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ctiveX/activeX1.bin" ContentType="application/vnd.ms-office.activeX"/>
  <Override PartName="/word/activeX/activeX1.xml" ContentType="application/vnd.ms-office.activeX+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C62CAD">
      <w:pPr>
        <w:rPr>
          <w:rFonts w:hint="eastAsia" w:ascii="仿宋" w:hAnsi="仿宋" w:eastAsia="仿宋" w:cs="仿宋"/>
          <w:color w:val="000000"/>
          <w:sz w:val="28"/>
          <w:szCs w:val="28"/>
          <w:highlight w:val="none"/>
        </w:rPr>
      </w:pPr>
    </w:p>
    <w:p w14:paraId="16D03B2E">
      <w:pPr>
        <w:adjustRightInd w:val="0"/>
        <w:snapToGrid w:val="0"/>
        <w:spacing w:line="360" w:lineRule="auto"/>
        <w:jc w:val="center"/>
        <w:rPr>
          <w:rFonts w:hint="eastAsia" w:ascii="仿宋" w:hAnsi="仿宋" w:eastAsia="仿宋" w:cs="仿宋"/>
          <w:bCs/>
          <w:color w:val="000000"/>
          <w:sz w:val="28"/>
          <w:szCs w:val="28"/>
          <w:highlight w:val="none"/>
        </w:rPr>
      </w:pPr>
    </w:p>
    <w:p w14:paraId="2E5038A9">
      <w:pPr>
        <w:adjustRightInd w:val="0"/>
        <w:snapToGrid w:val="0"/>
        <w:spacing w:line="360" w:lineRule="auto"/>
        <w:rPr>
          <w:rFonts w:hint="eastAsia" w:ascii="仿宋" w:hAnsi="仿宋" w:eastAsia="仿宋" w:cs="仿宋"/>
          <w:b/>
          <w:color w:val="000000"/>
          <w:sz w:val="44"/>
          <w:szCs w:val="44"/>
          <w:highlight w:val="none"/>
        </w:rPr>
      </w:pPr>
    </w:p>
    <w:p w14:paraId="2FE8EAE1">
      <w:pPr>
        <w:spacing w:before="240"/>
        <w:jc w:val="center"/>
        <w:rPr>
          <w:rStyle w:val="52"/>
          <w:rFonts w:hint="eastAsia" w:eastAsia="宋体"/>
          <w:color w:val="auto"/>
          <w:highlight w:val="none"/>
          <w:lang w:eastAsia="zh-CN"/>
        </w:rPr>
      </w:pPr>
      <w:r>
        <w:rPr>
          <w:rFonts w:hint="eastAsia" w:ascii="仿宋" w:hAnsi="仿宋" w:eastAsia="仿宋" w:cs="宋体"/>
          <w:b/>
          <w:color w:val="auto"/>
          <w:spacing w:val="40"/>
          <w:sz w:val="36"/>
          <w:szCs w:val="36"/>
          <w:highlight w:val="none"/>
          <w:lang w:eastAsia="zh-CN"/>
        </w:rPr>
        <w:t>中国人民财产保险股份有限公司宜春市分公司安全生产责任保险事故预防技术服务采购项目</w:t>
      </w:r>
    </w:p>
    <w:p w14:paraId="4307C868">
      <w:pPr>
        <w:tabs>
          <w:tab w:val="left" w:pos="720"/>
          <w:tab w:val="left" w:pos="8295"/>
        </w:tabs>
        <w:spacing w:line="360" w:lineRule="auto"/>
        <w:jc w:val="center"/>
        <w:rPr>
          <w:rFonts w:hint="eastAsia" w:ascii="仿宋" w:hAnsi="仿宋" w:eastAsia="仿宋" w:cs="仿宋"/>
          <w:b/>
          <w:color w:val="auto"/>
          <w:sz w:val="28"/>
          <w:szCs w:val="28"/>
          <w:highlight w:val="none"/>
        </w:rPr>
      </w:pPr>
    </w:p>
    <w:p w14:paraId="1720F3BB">
      <w:pPr>
        <w:pStyle w:val="2"/>
        <w:rPr>
          <w:rFonts w:hint="eastAsia"/>
          <w:color w:val="auto"/>
          <w:highlight w:val="none"/>
        </w:rPr>
      </w:pPr>
    </w:p>
    <w:p w14:paraId="18140BDB">
      <w:pPr>
        <w:tabs>
          <w:tab w:val="left" w:pos="720"/>
          <w:tab w:val="left" w:pos="8295"/>
        </w:tabs>
        <w:spacing w:before="240" w:line="360" w:lineRule="auto"/>
        <w:jc w:val="center"/>
        <w:rPr>
          <w:rFonts w:hint="eastAsia" w:ascii="仿宋" w:hAnsi="仿宋" w:eastAsia="仿宋" w:cs="仿宋"/>
          <w:b/>
          <w:color w:val="auto"/>
          <w:sz w:val="28"/>
          <w:szCs w:val="28"/>
          <w:highlight w:val="none"/>
        </w:rPr>
      </w:pPr>
      <w:r>
        <w:rPr>
          <w:rFonts w:hint="eastAsia" w:ascii="仿宋" w:hAnsi="仿宋" w:eastAsia="仿宋" w:cs="宋体"/>
          <w:b/>
          <w:color w:val="auto"/>
          <w:sz w:val="28"/>
          <w:szCs w:val="28"/>
          <w:highlight w:val="none"/>
        </w:rPr>
        <w:t>采购代理项目编号：GYLCS202507034</w:t>
      </w:r>
    </w:p>
    <w:p w14:paraId="05AADE50">
      <w:pPr>
        <w:rPr>
          <w:rFonts w:hint="eastAsia" w:ascii="仿宋" w:hAnsi="仿宋" w:eastAsia="仿宋" w:cs="仿宋"/>
          <w:color w:val="000000"/>
          <w:highlight w:val="none"/>
        </w:rPr>
      </w:pPr>
    </w:p>
    <w:p w14:paraId="76B6E682">
      <w:pPr>
        <w:tabs>
          <w:tab w:val="left" w:pos="720"/>
          <w:tab w:val="left" w:pos="8295"/>
        </w:tabs>
        <w:spacing w:line="360" w:lineRule="auto"/>
        <w:jc w:val="center"/>
        <w:rPr>
          <w:rFonts w:hint="eastAsia" w:ascii="仿宋" w:hAnsi="仿宋" w:eastAsia="仿宋" w:cs="仿宋"/>
          <w:b/>
          <w:color w:val="000000"/>
          <w:sz w:val="28"/>
          <w:szCs w:val="28"/>
          <w:highlight w:val="none"/>
        </w:rPr>
      </w:pPr>
    </w:p>
    <w:p w14:paraId="12D70694">
      <w:pPr>
        <w:pStyle w:val="2"/>
        <w:rPr>
          <w:rFonts w:hint="eastAsia"/>
          <w:highlight w:val="none"/>
        </w:rPr>
      </w:pPr>
    </w:p>
    <w:p w14:paraId="50CDB3E7">
      <w:pPr>
        <w:tabs>
          <w:tab w:val="left" w:pos="720"/>
          <w:tab w:val="left" w:pos="8295"/>
        </w:tabs>
        <w:spacing w:line="360" w:lineRule="auto"/>
        <w:jc w:val="center"/>
        <w:rPr>
          <w:rFonts w:hint="eastAsia" w:ascii="仿宋" w:hAnsi="仿宋" w:eastAsia="仿宋" w:cs="仿宋"/>
          <w:b/>
          <w:bCs/>
          <w:color w:val="000000"/>
          <w:sz w:val="84"/>
          <w:szCs w:val="84"/>
          <w:highlight w:val="none"/>
        </w:rPr>
      </w:pPr>
      <w:r>
        <w:rPr>
          <w:rFonts w:hint="eastAsia" w:ascii="仿宋" w:hAnsi="仿宋" w:eastAsia="仿宋" w:cs="仿宋"/>
          <w:b/>
          <w:bCs/>
          <w:color w:val="000000"/>
          <w:sz w:val="84"/>
          <w:szCs w:val="84"/>
          <w:highlight w:val="none"/>
        </w:rPr>
        <w:t>竞争性磋商文件</w:t>
      </w:r>
    </w:p>
    <w:p w14:paraId="52D5000A">
      <w:pPr>
        <w:tabs>
          <w:tab w:val="left" w:pos="720"/>
          <w:tab w:val="left" w:pos="8295"/>
        </w:tabs>
        <w:spacing w:line="360" w:lineRule="auto"/>
        <w:jc w:val="center"/>
        <w:rPr>
          <w:rFonts w:hint="eastAsia" w:ascii="仿宋" w:hAnsi="仿宋" w:eastAsia="仿宋" w:cs="仿宋"/>
          <w:b/>
          <w:color w:val="000000"/>
          <w:sz w:val="28"/>
          <w:szCs w:val="28"/>
          <w:highlight w:val="none"/>
        </w:rPr>
      </w:pPr>
    </w:p>
    <w:p w14:paraId="12583FAB">
      <w:pPr>
        <w:tabs>
          <w:tab w:val="left" w:pos="720"/>
          <w:tab w:val="left" w:pos="8295"/>
        </w:tabs>
        <w:spacing w:line="360" w:lineRule="auto"/>
        <w:jc w:val="center"/>
        <w:rPr>
          <w:rFonts w:hint="eastAsia" w:ascii="仿宋" w:hAnsi="仿宋" w:eastAsia="仿宋" w:cs="仿宋"/>
          <w:b/>
          <w:color w:val="000000"/>
          <w:sz w:val="28"/>
          <w:szCs w:val="28"/>
          <w:highlight w:val="none"/>
        </w:rPr>
      </w:pPr>
    </w:p>
    <w:p w14:paraId="3DF873F2">
      <w:pPr>
        <w:tabs>
          <w:tab w:val="left" w:pos="720"/>
          <w:tab w:val="left" w:pos="8295"/>
        </w:tabs>
        <w:spacing w:line="360" w:lineRule="auto"/>
        <w:jc w:val="center"/>
        <w:rPr>
          <w:rFonts w:hint="eastAsia" w:ascii="仿宋" w:hAnsi="仿宋" w:eastAsia="仿宋" w:cs="仿宋"/>
          <w:b/>
          <w:color w:val="000000"/>
          <w:sz w:val="28"/>
          <w:szCs w:val="28"/>
          <w:highlight w:val="none"/>
        </w:rPr>
      </w:pPr>
    </w:p>
    <w:p w14:paraId="13FD2423">
      <w:pPr>
        <w:tabs>
          <w:tab w:val="left" w:pos="720"/>
          <w:tab w:val="left" w:pos="8295"/>
        </w:tabs>
        <w:spacing w:line="360" w:lineRule="auto"/>
        <w:jc w:val="center"/>
        <w:rPr>
          <w:rFonts w:ascii="仿宋" w:hAnsi="仿宋" w:eastAsia="仿宋" w:cs="仿宋"/>
          <w:b/>
          <w:color w:val="auto"/>
          <w:sz w:val="36"/>
          <w:szCs w:val="36"/>
          <w:highlight w:val="none"/>
        </w:rPr>
      </w:pPr>
    </w:p>
    <w:p w14:paraId="2F326AF0">
      <w:pPr>
        <w:tabs>
          <w:tab w:val="left" w:pos="8295"/>
        </w:tabs>
        <w:adjustRightInd w:val="0"/>
        <w:snapToGrid w:val="0"/>
        <w:spacing w:line="360" w:lineRule="auto"/>
        <w:ind w:left="17" w:right="-21" w:rightChars="-10" w:hanging="17" w:hangingChars="6"/>
        <w:jc w:val="center"/>
        <w:rPr>
          <w:rFonts w:hint="eastAsia" w:ascii="仿宋" w:hAnsi="仿宋" w:eastAsia="仿宋" w:cs="仿宋"/>
          <w:b/>
          <w:color w:val="auto"/>
          <w:kern w:val="0"/>
          <w:sz w:val="28"/>
          <w:szCs w:val="28"/>
          <w:highlight w:val="none"/>
        </w:rPr>
      </w:pPr>
      <w:r>
        <w:rPr>
          <w:rFonts w:hint="eastAsia" w:ascii="仿宋" w:hAnsi="仿宋" w:eastAsia="仿宋" w:cs="仿宋"/>
          <w:b/>
          <w:color w:val="auto"/>
          <w:kern w:val="0"/>
          <w:sz w:val="28"/>
          <w:szCs w:val="28"/>
          <w:highlight w:val="none"/>
        </w:rPr>
        <w:t>采购人：中国人民财产保险股份有限公司宜春市分公司</w:t>
      </w:r>
    </w:p>
    <w:p w14:paraId="5669A2CC">
      <w:pPr>
        <w:tabs>
          <w:tab w:val="left" w:pos="8295"/>
        </w:tabs>
        <w:adjustRightInd w:val="0"/>
        <w:snapToGrid w:val="0"/>
        <w:spacing w:line="360" w:lineRule="auto"/>
        <w:ind w:left="1706" w:right="-21" w:rightChars="-10" w:hanging="1706" w:hangingChars="607"/>
        <w:jc w:val="center"/>
        <w:rPr>
          <w:rFonts w:hint="default" w:ascii="仿宋" w:hAnsi="仿宋" w:eastAsia="仿宋" w:cs="仿宋"/>
          <w:b/>
          <w:color w:val="auto"/>
          <w:kern w:val="0"/>
          <w:sz w:val="28"/>
          <w:szCs w:val="28"/>
          <w:highlight w:val="none"/>
          <w:lang w:val="en-US" w:eastAsia="zh-CN"/>
        </w:rPr>
      </w:pPr>
      <w:r>
        <w:rPr>
          <w:rFonts w:hint="eastAsia" w:ascii="仿宋" w:hAnsi="仿宋" w:eastAsia="仿宋" w:cs="仿宋"/>
          <w:b/>
          <w:color w:val="auto"/>
          <w:kern w:val="0"/>
          <w:sz w:val="28"/>
          <w:szCs w:val="28"/>
          <w:highlight w:val="none"/>
        </w:rPr>
        <w:t>采购代理机构：</w:t>
      </w:r>
      <w:r>
        <w:rPr>
          <w:rFonts w:hint="eastAsia" w:ascii="仿宋" w:hAnsi="仿宋" w:eastAsia="仿宋" w:cs="仿宋"/>
          <w:b/>
          <w:color w:val="auto"/>
          <w:kern w:val="0"/>
          <w:sz w:val="28"/>
          <w:szCs w:val="28"/>
          <w:highlight w:val="none"/>
          <w:lang w:val="en-US" w:eastAsia="zh-CN"/>
        </w:rPr>
        <w:t>中通服供应链股份有限公司</w:t>
      </w:r>
    </w:p>
    <w:p w14:paraId="2D6FB01E">
      <w:pPr>
        <w:tabs>
          <w:tab w:val="left" w:pos="720"/>
          <w:tab w:val="left" w:pos="8295"/>
        </w:tabs>
        <w:spacing w:line="360" w:lineRule="auto"/>
        <w:jc w:val="center"/>
        <w:rPr>
          <w:rFonts w:hint="eastAsia" w:ascii="仿宋" w:hAnsi="仿宋" w:eastAsia="仿宋" w:cs="仿宋"/>
          <w:b/>
          <w:color w:val="auto"/>
          <w:sz w:val="36"/>
          <w:szCs w:val="36"/>
          <w:highlight w:val="none"/>
        </w:rPr>
      </w:pPr>
      <w:r>
        <w:rPr>
          <w:rFonts w:hint="eastAsia" w:ascii="仿宋" w:hAnsi="仿宋" w:eastAsia="仿宋" w:cs="仿宋"/>
          <w:b/>
          <w:color w:val="auto"/>
          <w:sz w:val="28"/>
          <w:szCs w:val="28"/>
          <w:highlight w:val="none"/>
        </w:rPr>
        <w:t>日期：20</w:t>
      </w:r>
      <w:r>
        <w:rPr>
          <w:rFonts w:hint="eastAsia" w:ascii="仿宋" w:hAnsi="仿宋" w:eastAsia="仿宋" w:cs="仿宋"/>
          <w:b/>
          <w:color w:val="auto"/>
          <w:sz w:val="28"/>
          <w:szCs w:val="28"/>
          <w:highlight w:val="none"/>
          <w:lang w:val="en-US" w:eastAsia="zh-CN"/>
        </w:rPr>
        <w:t>25</w:t>
      </w:r>
      <w:r>
        <w:rPr>
          <w:rFonts w:hint="eastAsia" w:ascii="仿宋" w:hAnsi="仿宋" w:eastAsia="仿宋" w:cs="仿宋"/>
          <w:b/>
          <w:color w:val="auto"/>
          <w:sz w:val="28"/>
          <w:szCs w:val="28"/>
          <w:highlight w:val="none"/>
        </w:rPr>
        <w:t>年</w:t>
      </w:r>
      <w:r>
        <w:rPr>
          <w:rFonts w:hint="eastAsia" w:ascii="仿宋" w:hAnsi="仿宋" w:eastAsia="仿宋" w:cs="仿宋"/>
          <w:b/>
          <w:color w:val="auto"/>
          <w:sz w:val="28"/>
          <w:szCs w:val="28"/>
          <w:highlight w:val="none"/>
          <w:lang w:val="en-US" w:eastAsia="zh-CN"/>
        </w:rPr>
        <w:t>10</w:t>
      </w:r>
      <w:r>
        <w:rPr>
          <w:rFonts w:hint="eastAsia" w:ascii="仿宋" w:hAnsi="仿宋" w:eastAsia="仿宋" w:cs="仿宋"/>
          <w:b/>
          <w:color w:val="auto"/>
          <w:sz w:val="28"/>
          <w:szCs w:val="28"/>
          <w:highlight w:val="none"/>
        </w:rPr>
        <w:t>月</w:t>
      </w:r>
    </w:p>
    <w:p w14:paraId="793BAE5D">
      <w:pPr>
        <w:spacing w:line="360" w:lineRule="auto"/>
        <w:jc w:val="center"/>
        <w:rPr>
          <w:rFonts w:hint="eastAsia" w:ascii="仿宋" w:hAnsi="仿宋" w:eastAsia="仿宋" w:cs="仿宋"/>
          <w:color w:val="auto"/>
          <w:sz w:val="36"/>
          <w:highlight w:val="none"/>
        </w:rPr>
        <w:sectPr>
          <w:headerReference r:id="rId4" w:type="first"/>
          <w:footerReference r:id="rId7" w:type="first"/>
          <w:headerReference r:id="rId3" w:type="default"/>
          <w:footerReference r:id="rId5" w:type="default"/>
          <w:footerReference r:id="rId6" w:type="even"/>
          <w:pgSz w:w="11906" w:h="16838"/>
          <w:pgMar w:top="1417" w:right="1134" w:bottom="1134" w:left="1134" w:header="964" w:footer="964" w:gutter="0"/>
          <w:pgNumType w:start="1"/>
          <w:cols w:space="720" w:num="1"/>
          <w:docGrid w:linePitch="312" w:charSpace="0"/>
        </w:sectPr>
      </w:pPr>
    </w:p>
    <w:p w14:paraId="540D0063">
      <w:pPr>
        <w:jc w:val="center"/>
        <w:rPr>
          <w:rFonts w:hint="eastAsia" w:ascii="仿宋" w:hAnsi="仿宋" w:eastAsia="仿宋" w:cs="仿宋"/>
          <w:b/>
          <w:bCs/>
          <w:color w:val="000000"/>
          <w:sz w:val="28"/>
          <w:szCs w:val="28"/>
          <w:highlight w:val="none"/>
        </w:rPr>
      </w:pPr>
      <w:bookmarkStart w:id="0" w:name="_Toc23584"/>
      <w:r>
        <w:rPr>
          <w:rFonts w:hint="eastAsia" w:ascii="仿宋" w:hAnsi="仿宋" w:eastAsia="仿宋" w:cs="仿宋"/>
          <w:b/>
          <w:bCs/>
          <w:color w:val="000000"/>
          <w:sz w:val="28"/>
          <w:szCs w:val="28"/>
          <w:highlight w:val="none"/>
          <w:lang w:val="zh-CN"/>
        </w:rPr>
        <w:t>目  录</w:t>
      </w:r>
      <w:bookmarkEnd w:id="0"/>
    </w:p>
    <w:p w14:paraId="104BB228">
      <w:pPr>
        <w:pStyle w:val="28"/>
        <w:tabs>
          <w:tab w:val="right" w:leader="dot" w:pos="9638"/>
        </w:tabs>
      </w:pPr>
      <w:r>
        <w:rPr>
          <w:rFonts w:hint="eastAsia" w:ascii="仿宋" w:hAnsi="仿宋" w:eastAsia="仿宋" w:cs="仿宋"/>
          <w:b w:val="0"/>
          <w:bCs w:val="0"/>
          <w:caps w:val="0"/>
          <w:color w:val="000000"/>
          <w:sz w:val="24"/>
          <w:szCs w:val="24"/>
          <w:highlight w:val="none"/>
        </w:rPr>
        <w:fldChar w:fldCharType="begin"/>
      </w:r>
      <w:r>
        <w:rPr>
          <w:rFonts w:hint="eastAsia" w:ascii="仿宋" w:hAnsi="仿宋" w:eastAsia="仿宋" w:cs="仿宋"/>
          <w:b w:val="0"/>
          <w:bCs w:val="0"/>
          <w:caps w:val="0"/>
          <w:color w:val="000000"/>
          <w:sz w:val="24"/>
          <w:szCs w:val="24"/>
          <w:highlight w:val="none"/>
        </w:rPr>
        <w:instrText xml:space="preserve"> TOC \o "1-3" \h \z \u </w:instrText>
      </w:r>
      <w:r>
        <w:rPr>
          <w:rFonts w:hint="eastAsia" w:ascii="仿宋" w:hAnsi="仿宋" w:eastAsia="仿宋" w:cs="仿宋"/>
          <w:b w:val="0"/>
          <w:bCs w:val="0"/>
          <w:caps w:val="0"/>
          <w:color w:val="000000"/>
          <w:sz w:val="24"/>
          <w:szCs w:val="24"/>
          <w:highlight w:val="none"/>
        </w:rPr>
        <w:fldChar w:fldCharType="separate"/>
      </w:r>
      <w:r>
        <w:rPr>
          <w:rFonts w:hint="eastAsia" w:ascii="仿宋" w:hAnsi="仿宋" w:eastAsia="仿宋" w:cs="仿宋"/>
          <w:bCs w:val="0"/>
          <w:caps w:val="0"/>
          <w:color w:val="000000"/>
          <w:szCs w:val="24"/>
          <w:highlight w:val="none"/>
        </w:rPr>
        <w:fldChar w:fldCharType="begin"/>
      </w:r>
      <w:r>
        <w:rPr>
          <w:rFonts w:hint="eastAsia" w:ascii="仿宋" w:hAnsi="仿宋" w:eastAsia="仿宋" w:cs="仿宋"/>
          <w:bCs w:val="0"/>
          <w:caps w:val="0"/>
          <w:szCs w:val="24"/>
          <w:highlight w:val="none"/>
        </w:rPr>
        <w:instrText xml:space="preserve"> HYPERLINK \l _Toc32010 </w:instrText>
      </w:r>
      <w:r>
        <w:rPr>
          <w:rFonts w:hint="eastAsia" w:ascii="仿宋" w:hAnsi="仿宋" w:eastAsia="仿宋" w:cs="仿宋"/>
          <w:bCs w:val="0"/>
          <w:caps w:val="0"/>
          <w:szCs w:val="24"/>
          <w:highlight w:val="none"/>
        </w:rPr>
        <w:fldChar w:fldCharType="separate"/>
      </w:r>
      <w:r>
        <w:rPr>
          <w:rFonts w:hint="eastAsia" w:ascii="仿宋" w:hAnsi="仿宋" w:eastAsia="仿宋" w:cs="仿宋"/>
          <w:bCs w:val="0"/>
          <w:szCs w:val="28"/>
          <w:highlight w:val="none"/>
        </w:rPr>
        <w:t>第一章 竞争性磋商公告</w:t>
      </w:r>
      <w:r>
        <w:tab/>
      </w:r>
      <w:r>
        <w:fldChar w:fldCharType="begin"/>
      </w:r>
      <w:r>
        <w:instrText xml:space="preserve"> PAGEREF _Toc32010 \h </w:instrText>
      </w:r>
      <w:r>
        <w:fldChar w:fldCharType="separate"/>
      </w:r>
      <w:r>
        <w:t>4</w:t>
      </w:r>
      <w:r>
        <w:fldChar w:fldCharType="end"/>
      </w:r>
      <w:r>
        <w:rPr>
          <w:rFonts w:hint="eastAsia" w:ascii="仿宋" w:hAnsi="仿宋" w:eastAsia="仿宋" w:cs="仿宋"/>
          <w:bCs w:val="0"/>
          <w:caps w:val="0"/>
          <w:color w:val="000000"/>
          <w:szCs w:val="24"/>
          <w:highlight w:val="none"/>
        </w:rPr>
        <w:fldChar w:fldCharType="end"/>
      </w:r>
    </w:p>
    <w:p w14:paraId="6F7ACE9E">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_Toc31987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一、项目概况与采购范围</w:t>
      </w:r>
      <w:r>
        <w:tab/>
      </w:r>
      <w:r>
        <w:fldChar w:fldCharType="begin"/>
      </w:r>
      <w:r>
        <w:instrText xml:space="preserve"> PAGEREF _Toc31987 \h </w:instrText>
      </w:r>
      <w:r>
        <w:fldChar w:fldCharType="separate"/>
      </w:r>
      <w:r>
        <w:t>4</w:t>
      </w:r>
      <w:r>
        <w:fldChar w:fldCharType="end"/>
      </w:r>
      <w:r>
        <w:rPr>
          <w:rFonts w:hint="eastAsia" w:ascii="仿宋" w:hAnsi="仿宋" w:eastAsia="仿宋" w:cs="仿宋"/>
          <w:caps/>
          <w:color w:val="000000"/>
          <w:highlight w:val="none"/>
        </w:rPr>
        <w:fldChar w:fldCharType="end"/>
      </w:r>
    </w:p>
    <w:p w14:paraId="3A63021B">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_Toc1671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二、供应商资格要求</w:t>
      </w:r>
      <w:r>
        <w:tab/>
      </w:r>
      <w:r>
        <w:fldChar w:fldCharType="begin"/>
      </w:r>
      <w:r>
        <w:instrText xml:space="preserve"> PAGEREF _Toc1671 \h </w:instrText>
      </w:r>
      <w:r>
        <w:fldChar w:fldCharType="separate"/>
      </w:r>
      <w:r>
        <w:t>4</w:t>
      </w:r>
      <w:r>
        <w:fldChar w:fldCharType="end"/>
      </w:r>
      <w:r>
        <w:rPr>
          <w:rFonts w:hint="eastAsia" w:ascii="仿宋" w:hAnsi="仿宋" w:eastAsia="仿宋" w:cs="仿宋"/>
          <w:caps/>
          <w:color w:val="000000"/>
          <w:highlight w:val="none"/>
        </w:rPr>
        <w:fldChar w:fldCharType="end"/>
      </w:r>
    </w:p>
    <w:p w14:paraId="61C4184D">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_Toc3534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三、资格审查方法</w:t>
      </w:r>
      <w:r>
        <w:tab/>
      </w:r>
      <w:r>
        <w:fldChar w:fldCharType="begin"/>
      </w:r>
      <w:r>
        <w:instrText xml:space="preserve"> PAGEREF _Toc3534 \h </w:instrText>
      </w:r>
      <w:r>
        <w:fldChar w:fldCharType="separate"/>
      </w:r>
      <w:r>
        <w:t>5</w:t>
      </w:r>
      <w:r>
        <w:fldChar w:fldCharType="end"/>
      </w:r>
      <w:r>
        <w:rPr>
          <w:rFonts w:hint="eastAsia" w:ascii="仿宋" w:hAnsi="仿宋" w:eastAsia="仿宋" w:cs="仿宋"/>
          <w:caps/>
          <w:color w:val="000000"/>
          <w:highlight w:val="none"/>
        </w:rPr>
        <w:fldChar w:fldCharType="end"/>
      </w:r>
    </w:p>
    <w:p w14:paraId="048BF7DE">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_Toc3105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四、磋商文件的获取</w:t>
      </w:r>
      <w:r>
        <w:tab/>
      </w:r>
      <w:r>
        <w:fldChar w:fldCharType="begin"/>
      </w:r>
      <w:r>
        <w:instrText xml:space="preserve"> PAGEREF _Toc3105 \h </w:instrText>
      </w:r>
      <w:r>
        <w:fldChar w:fldCharType="separate"/>
      </w:r>
      <w:r>
        <w:t>6</w:t>
      </w:r>
      <w:r>
        <w:fldChar w:fldCharType="end"/>
      </w:r>
      <w:r>
        <w:rPr>
          <w:rFonts w:hint="eastAsia" w:ascii="仿宋" w:hAnsi="仿宋" w:eastAsia="仿宋" w:cs="仿宋"/>
          <w:caps/>
          <w:color w:val="000000"/>
          <w:highlight w:val="none"/>
        </w:rPr>
        <w:fldChar w:fldCharType="end"/>
      </w:r>
    </w:p>
    <w:p w14:paraId="13A4239D">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_Toc5149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五、响应文件的递交</w:t>
      </w:r>
      <w:r>
        <w:tab/>
      </w:r>
      <w:r>
        <w:fldChar w:fldCharType="begin"/>
      </w:r>
      <w:r>
        <w:instrText xml:space="preserve"> PAGEREF _Toc5149 \h </w:instrText>
      </w:r>
      <w:r>
        <w:fldChar w:fldCharType="separate"/>
      </w:r>
      <w:r>
        <w:t>6</w:t>
      </w:r>
      <w:r>
        <w:fldChar w:fldCharType="end"/>
      </w:r>
      <w:r>
        <w:rPr>
          <w:rFonts w:hint="eastAsia" w:ascii="仿宋" w:hAnsi="仿宋" w:eastAsia="仿宋" w:cs="仿宋"/>
          <w:caps/>
          <w:color w:val="000000"/>
          <w:highlight w:val="none"/>
        </w:rPr>
        <w:fldChar w:fldCharType="end"/>
      </w:r>
    </w:p>
    <w:p w14:paraId="436CE46D">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_Toc29948 </w:instrText>
      </w:r>
      <w:r>
        <w:rPr>
          <w:rFonts w:hint="eastAsia" w:ascii="仿宋" w:hAnsi="仿宋" w:eastAsia="仿宋" w:cs="仿宋"/>
          <w:caps/>
          <w:highlight w:val="none"/>
        </w:rPr>
        <w:fldChar w:fldCharType="separate"/>
      </w:r>
      <w:r>
        <w:rPr>
          <w:rFonts w:hint="eastAsia" w:ascii="仿宋" w:hAnsi="仿宋" w:eastAsia="仿宋" w:cs="仿宋"/>
          <w:szCs w:val="24"/>
          <w:highlight w:val="none"/>
          <w:lang w:val="en-US" w:eastAsia="zh-CN"/>
        </w:rPr>
        <w:t>六</w:t>
      </w:r>
      <w:r>
        <w:rPr>
          <w:rFonts w:hint="eastAsia" w:ascii="仿宋" w:hAnsi="仿宋" w:eastAsia="仿宋" w:cs="仿宋"/>
          <w:szCs w:val="24"/>
          <w:highlight w:val="none"/>
        </w:rPr>
        <w:t>、发布公告的媒介</w:t>
      </w:r>
      <w:r>
        <w:tab/>
      </w:r>
      <w:r>
        <w:fldChar w:fldCharType="begin"/>
      </w:r>
      <w:r>
        <w:instrText xml:space="preserve"> PAGEREF _Toc29948 \h </w:instrText>
      </w:r>
      <w:r>
        <w:fldChar w:fldCharType="separate"/>
      </w:r>
      <w:r>
        <w:t>6</w:t>
      </w:r>
      <w:r>
        <w:fldChar w:fldCharType="end"/>
      </w:r>
      <w:r>
        <w:rPr>
          <w:rFonts w:hint="eastAsia" w:ascii="仿宋" w:hAnsi="仿宋" w:eastAsia="仿宋" w:cs="仿宋"/>
          <w:caps/>
          <w:color w:val="000000"/>
          <w:highlight w:val="none"/>
        </w:rPr>
        <w:fldChar w:fldCharType="end"/>
      </w:r>
    </w:p>
    <w:p w14:paraId="2DD10C8A">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_Toc8921 </w:instrText>
      </w:r>
      <w:r>
        <w:rPr>
          <w:rFonts w:hint="eastAsia" w:ascii="仿宋" w:hAnsi="仿宋" w:eastAsia="仿宋" w:cs="仿宋"/>
          <w:caps/>
          <w:highlight w:val="none"/>
        </w:rPr>
        <w:fldChar w:fldCharType="separate"/>
      </w:r>
      <w:r>
        <w:rPr>
          <w:rFonts w:hint="eastAsia" w:ascii="仿宋" w:hAnsi="仿宋" w:eastAsia="仿宋" w:cs="仿宋"/>
          <w:szCs w:val="24"/>
          <w:highlight w:val="none"/>
          <w:lang w:val="en-US" w:eastAsia="zh-CN"/>
        </w:rPr>
        <w:t>七</w:t>
      </w:r>
      <w:r>
        <w:rPr>
          <w:rFonts w:hint="eastAsia" w:ascii="仿宋" w:hAnsi="仿宋" w:eastAsia="仿宋" w:cs="仿宋"/>
          <w:szCs w:val="24"/>
          <w:highlight w:val="none"/>
        </w:rPr>
        <w:t>、联系方式</w:t>
      </w:r>
      <w:r>
        <w:tab/>
      </w:r>
      <w:r>
        <w:fldChar w:fldCharType="begin"/>
      </w:r>
      <w:r>
        <w:instrText xml:space="preserve"> PAGEREF _Toc8921 \h </w:instrText>
      </w:r>
      <w:r>
        <w:fldChar w:fldCharType="separate"/>
      </w:r>
      <w:r>
        <w:t>7</w:t>
      </w:r>
      <w:r>
        <w:fldChar w:fldCharType="end"/>
      </w:r>
      <w:r>
        <w:rPr>
          <w:rFonts w:hint="eastAsia" w:ascii="仿宋" w:hAnsi="仿宋" w:eastAsia="仿宋" w:cs="仿宋"/>
          <w:caps/>
          <w:color w:val="000000"/>
          <w:highlight w:val="none"/>
        </w:rPr>
        <w:fldChar w:fldCharType="end"/>
      </w:r>
    </w:p>
    <w:p w14:paraId="3D94FE82">
      <w:pPr>
        <w:pStyle w:val="28"/>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_Toc14083 </w:instrText>
      </w:r>
      <w:r>
        <w:rPr>
          <w:rFonts w:hint="eastAsia" w:ascii="仿宋" w:hAnsi="仿宋" w:eastAsia="仿宋" w:cs="仿宋"/>
          <w:caps/>
          <w:highlight w:val="none"/>
        </w:rPr>
        <w:fldChar w:fldCharType="separate"/>
      </w:r>
      <w:r>
        <w:rPr>
          <w:rFonts w:hint="eastAsia" w:ascii="仿宋" w:hAnsi="仿宋" w:eastAsia="仿宋" w:cs="仿宋"/>
          <w:szCs w:val="28"/>
          <w:highlight w:val="none"/>
        </w:rPr>
        <w:t>第二章 供应商须知</w:t>
      </w:r>
      <w:r>
        <w:tab/>
      </w:r>
      <w:r>
        <w:fldChar w:fldCharType="begin"/>
      </w:r>
      <w:r>
        <w:instrText xml:space="preserve"> PAGEREF _Toc14083 \h </w:instrText>
      </w:r>
      <w:r>
        <w:fldChar w:fldCharType="separate"/>
      </w:r>
      <w:r>
        <w:t>8</w:t>
      </w:r>
      <w:r>
        <w:fldChar w:fldCharType="end"/>
      </w:r>
      <w:r>
        <w:rPr>
          <w:rFonts w:hint="eastAsia" w:ascii="仿宋" w:hAnsi="仿宋" w:eastAsia="仿宋" w:cs="仿宋"/>
          <w:caps/>
          <w:color w:val="000000"/>
          <w:highlight w:val="none"/>
        </w:rPr>
        <w:fldChar w:fldCharType="end"/>
      </w:r>
    </w:p>
    <w:p w14:paraId="3FAED813">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_Toc13233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一、供应商须知前附表</w:t>
      </w:r>
      <w:r>
        <w:tab/>
      </w:r>
      <w:r>
        <w:fldChar w:fldCharType="begin"/>
      </w:r>
      <w:r>
        <w:instrText xml:space="preserve"> PAGEREF _Toc13233 \h </w:instrText>
      </w:r>
      <w:r>
        <w:fldChar w:fldCharType="separate"/>
      </w:r>
      <w:r>
        <w:t>8</w:t>
      </w:r>
      <w:r>
        <w:fldChar w:fldCharType="end"/>
      </w:r>
      <w:r>
        <w:rPr>
          <w:rFonts w:hint="eastAsia" w:ascii="仿宋" w:hAnsi="仿宋" w:eastAsia="仿宋" w:cs="仿宋"/>
          <w:caps/>
          <w:color w:val="000000"/>
          <w:highlight w:val="none"/>
        </w:rPr>
        <w:fldChar w:fldCharType="end"/>
      </w:r>
    </w:p>
    <w:p w14:paraId="2479BE12">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_Toc6872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二、供应商须知正文</w:t>
      </w:r>
      <w:r>
        <w:tab/>
      </w:r>
      <w:r>
        <w:fldChar w:fldCharType="begin"/>
      </w:r>
      <w:r>
        <w:instrText xml:space="preserve"> PAGEREF _Toc6872 \h </w:instrText>
      </w:r>
      <w:r>
        <w:fldChar w:fldCharType="separate"/>
      </w:r>
      <w:r>
        <w:t>13</w:t>
      </w:r>
      <w:r>
        <w:fldChar w:fldCharType="end"/>
      </w:r>
      <w:r>
        <w:rPr>
          <w:rFonts w:hint="eastAsia" w:ascii="仿宋" w:hAnsi="仿宋" w:eastAsia="仿宋" w:cs="仿宋"/>
          <w:caps/>
          <w:color w:val="000000"/>
          <w:highlight w:val="none"/>
        </w:rPr>
        <w:fldChar w:fldCharType="end"/>
      </w:r>
    </w:p>
    <w:p w14:paraId="5625E456">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_Toc29631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（一）总 则</w:t>
      </w:r>
      <w:r>
        <w:tab/>
      </w:r>
      <w:r>
        <w:fldChar w:fldCharType="begin"/>
      </w:r>
      <w:r>
        <w:instrText xml:space="preserve"> PAGEREF _Toc29631 \h </w:instrText>
      </w:r>
      <w:r>
        <w:fldChar w:fldCharType="separate"/>
      </w:r>
      <w:r>
        <w:t>13</w:t>
      </w:r>
      <w:r>
        <w:fldChar w:fldCharType="end"/>
      </w:r>
      <w:r>
        <w:rPr>
          <w:rFonts w:hint="eastAsia" w:ascii="仿宋" w:hAnsi="仿宋" w:eastAsia="仿宋" w:cs="仿宋"/>
          <w:caps/>
          <w:color w:val="000000"/>
          <w:highlight w:val="none"/>
        </w:rPr>
        <w:fldChar w:fldCharType="end"/>
      </w:r>
    </w:p>
    <w:p w14:paraId="40609302">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_Toc3104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（二）磋商文件</w:t>
      </w:r>
      <w:r>
        <w:tab/>
      </w:r>
      <w:r>
        <w:fldChar w:fldCharType="begin"/>
      </w:r>
      <w:r>
        <w:instrText xml:space="preserve"> PAGEREF _Toc3104 \h </w:instrText>
      </w:r>
      <w:r>
        <w:fldChar w:fldCharType="separate"/>
      </w:r>
      <w:r>
        <w:t>13</w:t>
      </w:r>
      <w:r>
        <w:fldChar w:fldCharType="end"/>
      </w:r>
      <w:r>
        <w:rPr>
          <w:rFonts w:hint="eastAsia" w:ascii="仿宋" w:hAnsi="仿宋" w:eastAsia="仿宋" w:cs="仿宋"/>
          <w:caps/>
          <w:color w:val="000000"/>
          <w:highlight w:val="none"/>
        </w:rPr>
        <w:fldChar w:fldCharType="end"/>
      </w:r>
    </w:p>
    <w:p w14:paraId="6B63B362">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_Toc12074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（三）响应文件</w:t>
      </w:r>
      <w:r>
        <w:tab/>
      </w:r>
      <w:r>
        <w:fldChar w:fldCharType="begin"/>
      </w:r>
      <w:r>
        <w:instrText xml:space="preserve"> PAGEREF _Toc12074 \h </w:instrText>
      </w:r>
      <w:r>
        <w:fldChar w:fldCharType="separate"/>
      </w:r>
      <w:r>
        <w:t>14</w:t>
      </w:r>
      <w:r>
        <w:fldChar w:fldCharType="end"/>
      </w:r>
      <w:r>
        <w:rPr>
          <w:rFonts w:hint="eastAsia" w:ascii="仿宋" w:hAnsi="仿宋" w:eastAsia="仿宋" w:cs="仿宋"/>
          <w:caps/>
          <w:color w:val="000000"/>
          <w:highlight w:val="none"/>
        </w:rPr>
        <w:fldChar w:fldCharType="end"/>
      </w:r>
    </w:p>
    <w:p w14:paraId="5ACD2886">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_Toc16697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（四）响应文件的递交</w:t>
      </w:r>
      <w:r>
        <w:tab/>
      </w:r>
      <w:r>
        <w:fldChar w:fldCharType="begin"/>
      </w:r>
      <w:r>
        <w:instrText xml:space="preserve"> PAGEREF _Toc16697 \h </w:instrText>
      </w:r>
      <w:r>
        <w:fldChar w:fldCharType="separate"/>
      </w:r>
      <w:r>
        <w:t>16</w:t>
      </w:r>
      <w:r>
        <w:fldChar w:fldCharType="end"/>
      </w:r>
      <w:r>
        <w:rPr>
          <w:rFonts w:hint="eastAsia" w:ascii="仿宋" w:hAnsi="仿宋" w:eastAsia="仿宋" w:cs="仿宋"/>
          <w:caps/>
          <w:color w:val="000000"/>
          <w:highlight w:val="none"/>
        </w:rPr>
        <w:fldChar w:fldCharType="end"/>
      </w:r>
    </w:p>
    <w:p w14:paraId="68A4830C">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_Toc6777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（五）竞争性磋商和评审</w:t>
      </w:r>
      <w:r>
        <w:tab/>
      </w:r>
      <w:r>
        <w:fldChar w:fldCharType="begin"/>
      </w:r>
      <w:r>
        <w:instrText xml:space="preserve"> PAGEREF _Toc6777 \h </w:instrText>
      </w:r>
      <w:r>
        <w:fldChar w:fldCharType="separate"/>
      </w:r>
      <w:r>
        <w:t>16</w:t>
      </w:r>
      <w:r>
        <w:fldChar w:fldCharType="end"/>
      </w:r>
      <w:r>
        <w:rPr>
          <w:rFonts w:hint="eastAsia" w:ascii="仿宋" w:hAnsi="仿宋" w:eastAsia="仿宋" w:cs="仿宋"/>
          <w:caps/>
          <w:color w:val="000000"/>
          <w:highlight w:val="none"/>
        </w:rPr>
        <w:fldChar w:fldCharType="end"/>
      </w:r>
    </w:p>
    <w:p w14:paraId="710F0C88">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_Toc7583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（六）授予合同</w:t>
      </w:r>
      <w:r>
        <w:tab/>
      </w:r>
      <w:r>
        <w:fldChar w:fldCharType="begin"/>
      </w:r>
      <w:r>
        <w:instrText xml:space="preserve"> PAGEREF _Toc7583 \h </w:instrText>
      </w:r>
      <w:r>
        <w:fldChar w:fldCharType="separate"/>
      </w:r>
      <w:r>
        <w:t>18</w:t>
      </w:r>
      <w:r>
        <w:fldChar w:fldCharType="end"/>
      </w:r>
      <w:r>
        <w:rPr>
          <w:rFonts w:hint="eastAsia" w:ascii="仿宋" w:hAnsi="仿宋" w:eastAsia="仿宋" w:cs="仿宋"/>
          <w:caps/>
          <w:color w:val="000000"/>
          <w:highlight w:val="none"/>
        </w:rPr>
        <w:fldChar w:fldCharType="end"/>
      </w:r>
    </w:p>
    <w:p w14:paraId="383FD02E">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_Toc28647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（七）其他</w:t>
      </w:r>
      <w:r>
        <w:tab/>
      </w:r>
      <w:r>
        <w:fldChar w:fldCharType="begin"/>
      </w:r>
      <w:r>
        <w:instrText xml:space="preserve"> PAGEREF _Toc28647 \h </w:instrText>
      </w:r>
      <w:r>
        <w:fldChar w:fldCharType="separate"/>
      </w:r>
      <w:r>
        <w:t>18</w:t>
      </w:r>
      <w:r>
        <w:fldChar w:fldCharType="end"/>
      </w:r>
      <w:r>
        <w:rPr>
          <w:rFonts w:hint="eastAsia" w:ascii="仿宋" w:hAnsi="仿宋" w:eastAsia="仿宋" w:cs="仿宋"/>
          <w:caps/>
          <w:color w:val="000000"/>
          <w:highlight w:val="none"/>
        </w:rPr>
        <w:fldChar w:fldCharType="end"/>
      </w:r>
    </w:p>
    <w:p w14:paraId="683C5911">
      <w:pPr>
        <w:pStyle w:val="28"/>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_Toc3217 </w:instrText>
      </w:r>
      <w:r>
        <w:rPr>
          <w:rFonts w:hint="eastAsia" w:ascii="仿宋" w:hAnsi="仿宋" w:eastAsia="仿宋" w:cs="仿宋"/>
          <w:caps/>
          <w:highlight w:val="none"/>
        </w:rPr>
        <w:fldChar w:fldCharType="separate"/>
      </w:r>
      <w:r>
        <w:rPr>
          <w:rFonts w:hint="eastAsia" w:ascii="仿宋" w:hAnsi="仿宋" w:eastAsia="仿宋" w:cs="仿宋"/>
          <w:szCs w:val="28"/>
          <w:highlight w:val="none"/>
        </w:rPr>
        <w:t>第三章 评审办法</w:t>
      </w:r>
      <w:r>
        <w:tab/>
      </w:r>
      <w:r>
        <w:fldChar w:fldCharType="begin"/>
      </w:r>
      <w:r>
        <w:instrText xml:space="preserve"> PAGEREF _Toc3217 \h </w:instrText>
      </w:r>
      <w:r>
        <w:fldChar w:fldCharType="separate"/>
      </w:r>
      <w:r>
        <w:t>20</w:t>
      </w:r>
      <w:r>
        <w:fldChar w:fldCharType="end"/>
      </w:r>
      <w:r>
        <w:rPr>
          <w:rFonts w:hint="eastAsia" w:ascii="仿宋" w:hAnsi="仿宋" w:eastAsia="仿宋" w:cs="仿宋"/>
          <w:caps/>
          <w:color w:val="000000"/>
          <w:highlight w:val="none"/>
        </w:rPr>
        <w:fldChar w:fldCharType="end"/>
      </w:r>
    </w:p>
    <w:p w14:paraId="6D2B2978">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_Toc18429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一、评审程序</w:t>
      </w:r>
      <w:r>
        <w:tab/>
      </w:r>
      <w:r>
        <w:fldChar w:fldCharType="begin"/>
      </w:r>
      <w:r>
        <w:instrText xml:space="preserve"> PAGEREF _Toc18429 \h </w:instrText>
      </w:r>
      <w:r>
        <w:fldChar w:fldCharType="separate"/>
      </w:r>
      <w:r>
        <w:t>20</w:t>
      </w:r>
      <w:r>
        <w:fldChar w:fldCharType="end"/>
      </w:r>
      <w:r>
        <w:rPr>
          <w:rFonts w:hint="eastAsia" w:ascii="仿宋" w:hAnsi="仿宋" w:eastAsia="仿宋" w:cs="仿宋"/>
          <w:caps/>
          <w:color w:val="000000"/>
          <w:highlight w:val="none"/>
        </w:rPr>
        <w:fldChar w:fldCharType="end"/>
      </w:r>
    </w:p>
    <w:p w14:paraId="76D426FF">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_Toc15790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二、初步评审</w:t>
      </w:r>
      <w:r>
        <w:tab/>
      </w:r>
      <w:r>
        <w:fldChar w:fldCharType="begin"/>
      </w:r>
      <w:r>
        <w:instrText xml:space="preserve"> PAGEREF _Toc15790 \h </w:instrText>
      </w:r>
      <w:r>
        <w:fldChar w:fldCharType="separate"/>
      </w:r>
      <w:r>
        <w:t>21</w:t>
      </w:r>
      <w:r>
        <w:fldChar w:fldCharType="end"/>
      </w:r>
      <w:r>
        <w:rPr>
          <w:rFonts w:hint="eastAsia" w:ascii="仿宋" w:hAnsi="仿宋" w:eastAsia="仿宋" w:cs="仿宋"/>
          <w:caps/>
          <w:color w:val="000000"/>
          <w:highlight w:val="none"/>
        </w:rPr>
        <w:fldChar w:fldCharType="end"/>
      </w:r>
    </w:p>
    <w:p w14:paraId="0E322048">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_Toc4144 </w:instrText>
      </w:r>
      <w:r>
        <w:rPr>
          <w:rFonts w:hint="eastAsia" w:ascii="仿宋" w:hAnsi="仿宋" w:eastAsia="仿宋" w:cs="仿宋"/>
          <w:caps/>
          <w:highlight w:val="none"/>
        </w:rPr>
        <w:fldChar w:fldCharType="separate"/>
      </w:r>
      <w:r>
        <w:rPr>
          <w:rFonts w:hint="eastAsia" w:ascii="仿宋" w:hAnsi="仿宋" w:eastAsia="仿宋" w:cs="仿宋"/>
          <w:szCs w:val="24"/>
          <w:highlight w:val="none"/>
          <w:lang w:val="en-US" w:eastAsia="zh-CN"/>
        </w:rPr>
        <w:t>三</w:t>
      </w:r>
      <w:r>
        <w:rPr>
          <w:rFonts w:hint="eastAsia" w:ascii="仿宋" w:hAnsi="仿宋" w:eastAsia="仿宋" w:cs="仿宋"/>
          <w:szCs w:val="24"/>
          <w:highlight w:val="none"/>
        </w:rPr>
        <w:t>、详细评审</w:t>
      </w:r>
      <w:r>
        <w:tab/>
      </w:r>
      <w:r>
        <w:fldChar w:fldCharType="begin"/>
      </w:r>
      <w:r>
        <w:instrText xml:space="preserve"> PAGEREF _Toc4144 \h </w:instrText>
      </w:r>
      <w:r>
        <w:fldChar w:fldCharType="separate"/>
      </w:r>
      <w:r>
        <w:t>22</w:t>
      </w:r>
      <w:r>
        <w:fldChar w:fldCharType="end"/>
      </w:r>
      <w:r>
        <w:rPr>
          <w:rFonts w:hint="eastAsia" w:ascii="仿宋" w:hAnsi="仿宋" w:eastAsia="仿宋" w:cs="仿宋"/>
          <w:caps/>
          <w:color w:val="000000"/>
          <w:highlight w:val="none"/>
        </w:rPr>
        <w:fldChar w:fldCharType="end"/>
      </w:r>
    </w:p>
    <w:p w14:paraId="005D8153">
      <w:pPr>
        <w:pStyle w:val="28"/>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_Toc15263 </w:instrText>
      </w:r>
      <w:r>
        <w:rPr>
          <w:rFonts w:hint="eastAsia" w:ascii="仿宋" w:hAnsi="仿宋" w:eastAsia="仿宋" w:cs="仿宋"/>
          <w:caps/>
          <w:highlight w:val="none"/>
        </w:rPr>
        <w:fldChar w:fldCharType="separate"/>
      </w:r>
      <w:r>
        <w:rPr>
          <w:rFonts w:hint="eastAsia" w:ascii="仿宋" w:hAnsi="仿宋" w:eastAsia="仿宋" w:cs="仿宋"/>
          <w:szCs w:val="28"/>
        </w:rPr>
        <w:t xml:space="preserve">第四章 </w:t>
      </w:r>
      <w:r>
        <w:rPr>
          <w:rFonts w:hint="eastAsia" w:ascii="仿宋" w:hAnsi="仿宋" w:eastAsia="仿宋" w:cs="仿宋"/>
          <w:szCs w:val="28"/>
          <w:highlight w:val="none"/>
        </w:rPr>
        <w:t>合同条款</w:t>
      </w:r>
      <w:r>
        <w:tab/>
      </w:r>
      <w:r>
        <w:fldChar w:fldCharType="begin"/>
      </w:r>
      <w:r>
        <w:instrText xml:space="preserve"> PAGEREF _Toc15263 \h </w:instrText>
      </w:r>
      <w:r>
        <w:fldChar w:fldCharType="separate"/>
      </w:r>
      <w:r>
        <w:t>24</w:t>
      </w:r>
      <w:r>
        <w:fldChar w:fldCharType="end"/>
      </w:r>
      <w:r>
        <w:rPr>
          <w:rFonts w:hint="eastAsia" w:ascii="仿宋" w:hAnsi="仿宋" w:eastAsia="仿宋" w:cs="仿宋"/>
          <w:caps/>
          <w:color w:val="000000"/>
          <w:highlight w:val="none"/>
        </w:rPr>
        <w:fldChar w:fldCharType="end"/>
      </w:r>
    </w:p>
    <w:p w14:paraId="54AFA617">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_Toc22370 </w:instrText>
      </w:r>
      <w:r>
        <w:rPr>
          <w:rFonts w:hint="eastAsia" w:ascii="仿宋" w:hAnsi="仿宋" w:eastAsia="仿宋" w:cs="仿宋"/>
          <w:caps/>
          <w:highlight w:val="none"/>
        </w:rPr>
        <w:fldChar w:fldCharType="separate"/>
      </w:r>
      <w:r>
        <w:rPr>
          <w:rFonts w:hint="eastAsia" w:ascii="宋体" w:hAnsi="Cambria" w:eastAsia="黑体"/>
          <w:bCs/>
          <w:kern w:val="0"/>
          <w:szCs w:val="32"/>
          <w:highlight w:val="none"/>
        </w:rPr>
        <w:t>合同主要条款列表</w:t>
      </w:r>
      <w:r>
        <w:tab/>
      </w:r>
      <w:r>
        <w:fldChar w:fldCharType="begin"/>
      </w:r>
      <w:r>
        <w:instrText xml:space="preserve"> PAGEREF _Toc22370 \h </w:instrText>
      </w:r>
      <w:r>
        <w:fldChar w:fldCharType="separate"/>
      </w:r>
      <w:r>
        <w:t>24</w:t>
      </w:r>
      <w:r>
        <w:fldChar w:fldCharType="end"/>
      </w:r>
      <w:r>
        <w:rPr>
          <w:rFonts w:hint="eastAsia" w:ascii="仿宋" w:hAnsi="仿宋" w:eastAsia="仿宋" w:cs="仿宋"/>
          <w:caps/>
          <w:color w:val="000000"/>
          <w:highlight w:val="none"/>
        </w:rPr>
        <w:fldChar w:fldCharType="end"/>
      </w:r>
    </w:p>
    <w:p w14:paraId="0BB71415">
      <w:pPr>
        <w:pStyle w:val="28"/>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_Toc21782 </w:instrText>
      </w:r>
      <w:r>
        <w:rPr>
          <w:rFonts w:hint="eastAsia" w:ascii="仿宋" w:hAnsi="仿宋" w:eastAsia="仿宋" w:cs="仿宋"/>
          <w:caps/>
          <w:highlight w:val="none"/>
        </w:rPr>
        <w:fldChar w:fldCharType="separate"/>
      </w:r>
      <w:r>
        <w:rPr>
          <w:rFonts w:hint="eastAsia"/>
          <w:lang w:val="en-US" w:eastAsia="zh-CN"/>
        </w:rPr>
        <w:t>合同模板</w:t>
      </w:r>
      <w:r>
        <w:tab/>
      </w:r>
      <w:r>
        <w:fldChar w:fldCharType="begin"/>
      </w:r>
      <w:r>
        <w:instrText xml:space="preserve"> PAGEREF _Toc21782 \h </w:instrText>
      </w:r>
      <w:r>
        <w:fldChar w:fldCharType="separate"/>
      </w:r>
      <w:r>
        <w:t>25</w:t>
      </w:r>
      <w:r>
        <w:fldChar w:fldCharType="end"/>
      </w:r>
      <w:r>
        <w:rPr>
          <w:rFonts w:hint="eastAsia" w:ascii="仿宋" w:hAnsi="仿宋" w:eastAsia="仿宋" w:cs="仿宋"/>
          <w:caps/>
          <w:color w:val="000000"/>
          <w:highlight w:val="none"/>
        </w:rPr>
        <w:fldChar w:fldCharType="end"/>
      </w:r>
    </w:p>
    <w:p w14:paraId="6C3778DD">
      <w:pPr>
        <w:pStyle w:val="28"/>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_Toc12966 </w:instrText>
      </w:r>
      <w:r>
        <w:rPr>
          <w:rFonts w:hint="eastAsia" w:ascii="仿宋" w:hAnsi="仿宋" w:eastAsia="仿宋" w:cs="仿宋"/>
          <w:caps/>
          <w:highlight w:val="none"/>
        </w:rPr>
        <w:fldChar w:fldCharType="separate"/>
      </w:r>
      <w:r>
        <w:rPr>
          <w:rFonts w:hint="eastAsia" w:ascii="仿宋" w:hAnsi="仿宋" w:eastAsia="仿宋" w:cs="仿宋"/>
          <w:szCs w:val="28"/>
          <w:highlight w:val="none"/>
        </w:rPr>
        <w:t>第五章 采购需求</w:t>
      </w:r>
      <w:r>
        <w:tab/>
      </w:r>
      <w:r>
        <w:fldChar w:fldCharType="begin"/>
      </w:r>
      <w:r>
        <w:instrText xml:space="preserve"> PAGEREF _Toc12966 \h </w:instrText>
      </w:r>
      <w:r>
        <w:fldChar w:fldCharType="separate"/>
      </w:r>
      <w:r>
        <w:t>51</w:t>
      </w:r>
      <w:r>
        <w:fldChar w:fldCharType="end"/>
      </w:r>
      <w:r>
        <w:rPr>
          <w:rFonts w:hint="eastAsia" w:ascii="仿宋" w:hAnsi="仿宋" w:eastAsia="仿宋" w:cs="仿宋"/>
          <w:caps/>
          <w:color w:val="000000"/>
          <w:highlight w:val="none"/>
        </w:rPr>
        <w:fldChar w:fldCharType="end"/>
      </w:r>
    </w:p>
    <w:p w14:paraId="04E8C404">
      <w:pPr>
        <w:pStyle w:val="28"/>
        <w:tabs>
          <w:tab w:val="right" w:leader="dot" w:pos="9638"/>
        </w:tabs>
        <w:rPr>
          <w:rFonts w:hint="eastAsia" w:ascii="宋体" w:hAnsi="宋体" w:eastAsia="宋体" w:cs="宋体"/>
          <w:bCs/>
          <w:szCs w:val="24"/>
          <w:highlight w:val="none"/>
          <w:lang w:eastAsia="zh-CN"/>
        </w:rPr>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_Toc3789 </w:instrText>
      </w:r>
      <w:r>
        <w:rPr>
          <w:rFonts w:hint="eastAsia" w:ascii="仿宋" w:hAnsi="仿宋" w:eastAsia="仿宋" w:cs="仿宋"/>
          <w:caps/>
          <w:highlight w:val="none"/>
        </w:rPr>
        <w:fldChar w:fldCharType="separate"/>
      </w:r>
      <w:r>
        <w:rPr>
          <w:rFonts w:hint="eastAsia" w:ascii="宋体" w:hAnsi="宋体" w:eastAsia="宋体" w:cs="宋体"/>
          <w:bCs/>
          <w:szCs w:val="24"/>
          <w:highlight w:val="none"/>
          <w:lang w:eastAsia="zh-CN"/>
        </w:rPr>
        <w:t>备注：以上为</w:t>
      </w:r>
      <w:r>
        <w:rPr>
          <w:rFonts w:hint="eastAsia" w:ascii="宋体" w:hAnsi="宋体" w:eastAsia="宋体" w:cs="宋体"/>
          <w:bCs/>
          <w:szCs w:val="24"/>
          <w:highlight w:val="none"/>
        </w:rPr>
        <w:t>完成本项目规定工作所需的全部费用，包括但不限于产品费用、提供技术服务人员、必要工具设备的所有费用及税金等</w:t>
      </w:r>
      <w:r>
        <w:rPr>
          <w:rFonts w:hint="eastAsia" w:ascii="宋体" w:hAnsi="宋体" w:eastAsia="宋体" w:cs="宋体"/>
          <w:bCs/>
          <w:szCs w:val="24"/>
          <w:highlight w:val="none"/>
          <w:lang w:eastAsia="zh-CN"/>
        </w:rPr>
        <w:t>。</w:t>
      </w:r>
    </w:p>
    <w:p w14:paraId="7CF551BE">
      <w:pPr>
        <w:pStyle w:val="28"/>
        <w:tabs>
          <w:tab w:val="right" w:leader="dot" w:pos="9638"/>
        </w:tabs>
      </w:pPr>
      <w:r>
        <w:rPr>
          <w:rFonts w:hint="eastAsia" w:ascii="仿宋" w:hAnsi="仿宋" w:eastAsia="仿宋" w:cs="仿宋"/>
          <w:szCs w:val="28"/>
          <w:highlight w:val="none"/>
        </w:rPr>
        <w:t>第六章 响应文件格式</w:t>
      </w:r>
      <w:r>
        <w:tab/>
      </w:r>
      <w:r>
        <w:fldChar w:fldCharType="begin"/>
      </w:r>
      <w:r>
        <w:instrText xml:space="preserve"> PAGEREF _Toc3789 \h </w:instrText>
      </w:r>
      <w:r>
        <w:fldChar w:fldCharType="separate"/>
      </w:r>
      <w:r>
        <w:t>55</w:t>
      </w:r>
      <w:r>
        <w:fldChar w:fldCharType="end"/>
      </w:r>
      <w:r>
        <w:rPr>
          <w:rFonts w:hint="eastAsia" w:ascii="仿宋" w:hAnsi="仿宋" w:eastAsia="仿宋" w:cs="仿宋"/>
          <w:caps/>
          <w:color w:val="000000"/>
          <w:highlight w:val="none"/>
        </w:rPr>
        <w:fldChar w:fldCharType="end"/>
      </w:r>
    </w:p>
    <w:p w14:paraId="3BC8F90E">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_Toc28214 </w:instrText>
      </w:r>
      <w:r>
        <w:rPr>
          <w:rFonts w:hint="eastAsia" w:ascii="仿宋" w:hAnsi="仿宋" w:eastAsia="仿宋" w:cs="仿宋"/>
          <w:caps/>
          <w:highlight w:val="none"/>
        </w:rPr>
        <w:fldChar w:fldCharType="separate"/>
      </w:r>
      <w:r>
        <w:rPr>
          <w:rFonts w:hint="eastAsia" w:ascii="仿宋" w:hAnsi="仿宋" w:eastAsia="仿宋" w:cs="仿宋"/>
          <w:szCs w:val="24"/>
          <w:highlight w:val="none"/>
          <w:lang w:val="en-US" w:eastAsia="zh-CN"/>
        </w:rPr>
        <w:t>一、</w:t>
      </w:r>
      <w:r>
        <w:rPr>
          <w:rFonts w:hint="eastAsia" w:ascii="仿宋" w:hAnsi="仿宋" w:eastAsia="仿宋" w:cs="仿宋"/>
          <w:szCs w:val="24"/>
          <w:highlight w:val="none"/>
        </w:rPr>
        <w:t>商务文件</w:t>
      </w:r>
      <w:r>
        <w:tab/>
      </w:r>
      <w:r>
        <w:fldChar w:fldCharType="begin"/>
      </w:r>
      <w:r>
        <w:instrText xml:space="preserve"> PAGEREF _Toc28214 \h </w:instrText>
      </w:r>
      <w:r>
        <w:fldChar w:fldCharType="separate"/>
      </w:r>
      <w:r>
        <w:t>57</w:t>
      </w:r>
      <w:r>
        <w:fldChar w:fldCharType="end"/>
      </w:r>
      <w:r>
        <w:rPr>
          <w:rFonts w:hint="eastAsia" w:ascii="仿宋" w:hAnsi="仿宋" w:eastAsia="仿宋" w:cs="仿宋"/>
          <w:caps/>
          <w:color w:val="000000"/>
          <w:highlight w:val="none"/>
        </w:rPr>
        <w:fldChar w:fldCharType="end"/>
      </w:r>
    </w:p>
    <w:p w14:paraId="1E76CD4C">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_Toc24401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（一）响应函</w:t>
      </w:r>
      <w:r>
        <w:tab/>
      </w:r>
      <w:r>
        <w:fldChar w:fldCharType="begin"/>
      </w:r>
      <w:r>
        <w:instrText xml:space="preserve"> PAGEREF _Toc24401 \h </w:instrText>
      </w:r>
      <w:r>
        <w:fldChar w:fldCharType="separate"/>
      </w:r>
      <w:r>
        <w:t>59</w:t>
      </w:r>
      <w:r>
        <w:fldChar w:fldCharType="end"/>
      </w:r>
      <w:r>
        <w:rPr>
          <w:rFonts w:hint="eastAsia" w:ascii="仿宋" w:hAnsi="仿宋" w:eastAsia="仿宋" w:cs="仿宋"/>
          <w:caps/>
          <w:color w:val="000000"/>
          <w:highlight w:val="none"/>
        </w:rPr>
        <w:fldChar w:fldCharType="end"/>
      </w:r>
    </w:p>
    <w:p w14:paraId="60709C80">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_Toc23853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（二）法定代表人（负责人）身份证明书</w:t>
      </w:r>
      <w:r>
        <w:tab/>
      </w:r>
      <w:r>
        <w:fldChar w:fldCharType="begin"/>
      </w:r>
      <w:r>
        <w:instrText xml:space="preserve"> PAGEREF _Toc23853 \h </w:instrText>
      </w:r>
      <w:r>
        <w:fldChar w:fldCharType="separate"/>
      </w:r>
      <w:r>
        <w:t>60</w:t>
      </w:r>
      <w:r>
        <w:fldChar w:fldCharType="end"/>
      </w:r>
      <w:r>
        <w:rPr>
          <w:rFonts w:hint="eastAsia" w:ascii="仿宋" w:hAnsi="仿宋" w:eastAsia="仿宋" w:cs="仿宋"/>
          <w:caps/>
          <w:color w:val="000000"/>
          <w:highlight w:val="none"/>
        </w:rPr>
        <w:fldChar w:fldCharType="end"/>
      </w:r>
    </w:p>
    <w:p w14:paraId="730B310F">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_Toc12928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（三）法定代表人（负责人）授权委托书</w:t>
      </w:r>
      <w:r>
        <w:tab/>
      </w:r>
      <w:r>
        <w:fldChar w:fldCharType="begin"/>
      </w:r>
      <w:r>
        <w:instrText xml:space="preserve"> PAGEREF _Toc12928 \h </w:instrText>
      </w:r>
      <w:r>
        <w:fldChar w:fldCharType="separate"/>
      </w:r>
      <w:r>
        <w:t>61</w:t>
      </w:r>
      <w:r>
        <w:fldChar w:fldCharType="end"/>
      </w:r>
      <w:r>
        <w:rPr>
          <w:rFonts w:hint="eastAsia" w:ascii="仿宋" w:hAnsi="仿宋" w:eastAsia="仿宋" w:cs="仿宋"/>
          <w:caps/>
          <w:color w:val="000000"/>
          <w:highlight w:val="none"/>
        </w:rPr>
        <w:fldChar w:fldCharType="end"/>
      </w:r>
    </w:p>
    <w:p w14:paraId="092EB56C">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_Toc16004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（四）资格证明文件</w:t>
      </w:r>
      <w:r>
        <w:tab/>
      </w:r>
      <w:r>
        <w:fldChar w:fldCharType="begin"/>
      </w:r>
      <w:r>
        <w:instrText xml:space="preserve"> PAGEREF _Toc16004 \h </w:instrText>
      </w:r>
      <w:r>
        <w:fldChar w:fldCharType="separate"/>
      </w:r>
      <w:r>
        <w:t>62</w:t>
      </w:r>
      <w:r>
        <w:fldChar w:fldCharType="end"/>
      </w:r>
      <w:r>
        <w:rPr>
          <w:rFonts w:hint="eastAsia" w:ascii="仿宋" w:hAnsi="仿宋" w:eastAsia="仿宋" w:cs="仿宋"/>
          <w:caps/>
          <w:color w:val="000000"/>
          <w:highlight w:val="none"/>
        </w:rPr>
        <w:fldChar w:fldCharType="end"/>
      </w:r>
    </w:p>
    <w:p w14:paraId="5A171610">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_Toc19570 </w:instrText>
      </w:r>
      <w:r>
        <w:rPr>
          <w:rFonts w:hint="eastAsia" w:ascii="仿宋" w:hAnsi="仿宋" w:eastAsia="仿宋" w:cs="仿宋"/>
          <w:caps/>
          <w:highlight w:val="none"/>
        </w:rPr>
        <w:fldChar w:fldCharType="separate"/>
      </w:r>
      <w:r>
        <w:rPr>
          <w:rFonts w:ascii="仿宋" w:hAnsi="仿宋" w:eastAsia="仿宋" w:cs="仿宋"/>
          <w:szCs w:val="24"/>
          <w:highlight w:val="none"/>
        </w:rPr>
        <w:t>（</w:t>
      </w:r>
      <w:r>
        <w:rPr>
          <w:rFonts w:hint="eastAsia" w:ascii="仿宋" w:hAnsi="仿宋" w:eastAsia="仿宋" w:cs="仿宋"/>
          <w:szCs w:val="24"/>
          <w:highlight w:val="none"/>
          <w:lang w:val="en-US" w:eastAsia="zh-CN"/>
        </w:rPr>
        <w:t>五</w:t>
      </w:r>
      <w:r>
        <w:rPr>
          <w:rFonts w:ascii="仿宋" w:hAnsi="仿宋" w:eastAsia="仿宋" w:cs="仿宋"/>
          <w:szCs w:val="24"/>
          <w:highlight w:val="none"/>
        </w:rPr>
        <w:t>）</w:t>
      </w:r>
      <w:r>
        <w:rPr>
          <w:rFonts w:hint="eastAsia" w:ascii="仿宋" w:hAnsi="仿宋" w:eastAsia="仿宋" w:cs="仿宋"/>
          <w:szCs w:val="24"/>
          <w:highlight w:val="none"/>
        </w:rPr>
        <w:t>供应商</w:t>
      </w:r>
      <w:r>
        <w:rPr>
          <w:rFonts w:ascii="仿宋" w:hAnsi="仿宋" w:eastAsia="仿宋" w:cs="仿宋"/>
          <w:szCs w:val="24"/>
          <w:highlight w:val="none"/>
        </w:rPr>
        <w:t>须知应答偏离表</w:t>
      </w:r>
      <w:r>
        <w:tab/>
      </w:r>
      <w:r>
        <w:fldChar w:fldCharType="begin"/>
      </w:r>
      <w:r>
        <w:instrText xml:space="preserve"> PAGEREF _Toc19570 \h </w:instrText>
      </w:r>
      <w:r>
        <w:fldChar w:fldCharType="separate"/>
      </w:r>
      <w:r>
        <w:t>71</w:t>
      </w:r>
      <w:r>
        <w:fldChar w:fldCharType="end"/>
      </w:r>
      <w:r>
        <w:rPr>
          <w:rFonts w:hint="eastAsia" w:ascii="仿宋" w:hAnsi="仿宋" w:eastAsia="仿宋" w:cs="仿宋"/>
          <w:caps/>
          <w:color w:val="000000"/>
          <w:highlight w:val="none"/>
        </w:rPr>
        <w:fldChar w:fldCharType="end"/>
      </w:r>
    </w:p>
    <w:p w14:paraId="4D7A7222">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_Toc19177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w:t>
      </w:r>
      <w:r>
        <w:rPr>
          <w:rFonts w:hint="eastAsia" w:ascii="仿宋" w:hAnsi="仿宋" w:eastAsia="仿宋" w:cs="仿宋"/>
          <w:szCs w:val="24"/>
          <w:highlight w:val="none"/>
          <w:lang w:val="en-US" w:eastAsia="zh-CN"/>
        </w:rPr>
        <w:t>七</w:t>
      </w:r>
      <w:r>
        <w:rPr>
          <w:rFonts w:hint="eastAsia" w:ascii="仿宋" w:hAnsi="仿宋" w:eastAsia="仿宋" w:cs="仿宋"/>
          <w:szCs w:val="24"/>
          <w:highlight w:val="none"/>
        </w:rPr>
        <w:t>）供应商行为准则承诺书</w:t>
      </w:r>
      <w:r>
        <w:tab/>
      </w:r>
      <w:r>
        <w:fldChar w:fldCharType="begin"/>
      </w:r>
      <w:r>
        <w:instrText xml:space="preserve"> PAGEREF _Toc19177 \h </w:instrText>
      </w:r>
      <w:r>
        <w:fldChar w:fldCharType="separate"/>
      </w:r>
      <w:r>
        <w:t>73</w:t>
      </w:r>
      <w:r>
        <w:fldChar w:fldCharType="end"/>
      </w:r>
      <w:r>
        <w:rPr>
          <w:rFonts w:hint="eastAsia" w:ascii="仿宋" w:hAnsi="仿宋" w:eastAsia="仿宋" w:cs="仿宋"/>
          <w:caps/>
          <w:color w:val="000000"/>
          <w:highlight w:val="none"/>
        </w:rPr>
        <w:fldChar w:fldCharType="end"/>
      </w:r>
    </w:p>
    <w:p w14:paraId="72414FA6">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_Toc23597 </w:instrText>
      </w:r>
      <w:r>
        <w:rPr>
          <w:rFonts w:hint="eastAsia" w:ascii="仿宋" w:hAnsi="仿宋" w:eastAsia="仿宋" w:cs="仿宋"/>
          <w:caps/>
          <w:highlight w:val="none"/>
        </w:rPr>
        <w:fldChar w:fldCharType="separate"/>
      </w:r>
      <w:r>
        <w:rPr>
          <w:rFonts w:hint="eastAsia" w:ascii="仿宋" w:hAnsi="仿宋" w:eastAsia="仿宋" w:cs="宋体"/>
          <w:bCs w:val="0"/>
          <w:szCs w:val="24"/>
          <w:highlight w:val="none"/>
        </w:rPr>
        <w:t>（</w:t>
      </w:r>
      <w:r>
        <w:rPr>
          <w:rFonts w:hint="eastAsia" w:ascii="仿宋" w:hAnsi="仿宋" w:eastAsia="仿宋" w:cs="宋体"/>
          <w:bCs w:val="0"/>
          <w:szCs w:val="24"/>
          <w:highlight w:val="none"/>
          <w:lang w:val="en-US" w:eastAsia="zh-CN"/>
        </w:rPr>
        <w:t>八</w:t>
      </w:r>
      <w:r>
        <w:rPr>
          <w:rFonts w:hint="eastAsia" w:ascii="仿宋" w:hAnsi="仿宋" w:eastAsia="仿宋" w:cs="宋体"/>
          <w:bCs w:val="0"/>
          <w:szCs w:val="24"/>
          <w:highlight w:val="none"/>
        </w:rPr>
        <w:t>）供应商廉洁诚信承诺书</w:t>
      </w:r>
      <w:r>
        <w:tab/>
      </w:r>
      <w:r>
        <w:fldChar w:fldCharType="begin"/>
      </w:r>
      <w:r>
        <w:instrText xml:space="preserve"> PAGEREF _Toc23597 \h </w:instrText>
      </w:r>
      <w:r>
        <w:fldChar w:fldCharType="separate"/>
      </w:r>
      <w:r>
        <w:t>75</w:t>
      </w:r>
      <w:r>
        <w:fldChar w:fldCharType="end"/>
      </w:r>
      <w:r>
        <w:rPr>
          <w:rFonts w:hint="eastAsia" w:ascii="仿宋" w:hAnsi="仿宋" w:eastAsia="仿宋" w:cs="仿宋"/>
          <w:caps/>
          <w:color w:val="000000"/>
          <w:highlight w:val="none"/>
        </w:rPr>
        <w:fldChar w:fldCharType="end"/>
      </w:r>
    </w:p>
    <w:p w14:paraId="50C87A12">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_Toc12825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二、技术文件</w:t>
      </w:r>
      <w:r>
        <w:tab/>
      </w:r>
      <w:r>
        <w:fldChar w:fldCharType="begin"/>
      </w:r>
      <w:r>
        <w:instrText xml:space="preserve"> PAGEREF _Toc12825 \h </w:instrText>
      </w:r>
      <w:r>
        <w:fldChar w:fldCharType="separate"/>
      </w:r>
      <w:r>
        <w:t>79</w:t>
      </w:r>
      <w:r>
        <w:fldChar w:fldCharType="end"/>
      </w:r>
      <w:r>
        <w:rPr>
          <w:rFonts w:hint="eastAsia" w:ascii="仿宋" w:hAnsi="仿宋" w:eastAsia="仿宋" w:cs="仿宋"/>
          <w:caps/>
          <w:color w:val="000000"/>
          <w:highlight w:val="none"/>
        </w:rPr>
        <w:fldChar w:fldCharType="end"/>
      </w:r>
    </w:p>
    <w:p w14:paraId="4AD16891">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_Toc17437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（一）采购需求应答偏离表</w:t>
      </w:r>
      <w:r>
        <w:tab/>
      </w:r>
      <w:r>
        <w:fldChar w:fldCharType="begin"/>
      </w:r>
      <w:r>
        <w:instrText xml:space="preserve"> PAGEREF _Toc17437 \h </w:instrText>
      </w:r>
      <w:r>
        <w:fldChar w:fldCharType="separate"/>
      </w:r>
      <w:r>
        <w:t>80</w:t>
      </w:r>
      <w:r>
        <w:fldChar w:fldCharType="end"/>
      </w:r>
      <w:r>
        <w:rPr>
          <w:rFonts w:hint="eastAsia" w:ascii="仿宋" w:hAnsi="仿宋" w:eastAsia="仿宋" w:cs="仿宋"/>
          <w:caps/>
          <w:color w:val="000000"/>
          <w:highlight w:val="none"/>
        </w:rPr>
        <w:fldChar w:fldCharType="end"/>
      </w:r>
    </w:p>
    <w:p w14:paraId="062426A9">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_Toc32740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（二）技术方案</w:t>
      </w:r>
      <w:r>
        <w:tab/>
      </w:r>
      <w:r>
        <w:fldChar w:fldCharType="begin"/>
      </w:r>
      <w:r>
        <w:instrText xml:space="preserve"> PAGEREF _Toc32740 \h </w:instrText>
      </w:r>
      <w:r>
        <w:fldChar w:fldCharType="separate"/>
      </w:r>
      <w:r>
        <w:t>81</w:t>
      </w:r>
      <w:r>
        <w:fldChar w:fldCharType="end"/>
      </w:r>
      <w:r>
        <w:rPr>
          <w:rFonts w:hint="eastAsia" w:ascii="仿宋" w:hAnsi="仿宋" w:eastAsia="仿宋" w:cs="仿宋"/>
          <w:caps/>
          <w:color w:val="000000"/>
          <w:highlight w:val="none"/>
        </w:rPr>
        <w:fldChar w:fldCharType="end"/>
      </w:r>
    </w:p>
    <w:p w14:paraId="51D8298A">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_Toc12166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（三）其他材料</w:t>
      </w:r>
      <w:r>
        <w:tab/>
      </w:r>
      <w:r>
        <w:fldChar w:fldCharType="begin"/>
      </w:r>
      <w:r>
        <w:instrText xml:space="preserve"> PAGEREF _Toc12166 \h </w:instrText>
      </w:r>
      <w:r>
        <w:fldChar w:fldCharType="separate"/>
      </w:r>
      <w:r>
        <w:t>84</w:t>
      </w:r>
      <w:r>
        <w:fldChar w:fldCharType="end"/>
      </w:r>
      <w:r>
        <w:rPr>
          <w:rFonts w:hint="eastAsia" w:ascii="仿宋" w:hAnsi="仿宋" w:eastAsia="仿宋" w:cs="仿宋"/>
          <w:caps/>
          <w:color w:val="000000"/>
          <w:highlight w:val="none"/>
        </w:rPr>
        <w:fldChar w:fldCharType="end"/>
      </w:r>
    </w:p>
    <w:p w14:paraId="7E2A0B5B">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_Toc3694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三、报价文件</w:t>
      </w:r>
      <w:r>
        <w:tab/>
      </w:r>
      <w:r>
        <w:fldChar w:fldCharType="begin"/>
      </w:r>
      <w:r>
        <w:instrText xml:space="preserve"> PAGEREF _Toc3694 \h </w:instrText>
      </w:r>
      <w:r>
        <w:fldChar w:fldCharType="separate"/>
      </w:r>
      <w:r>
        <w:t>85</w:t>
      </w:r>
      <w:r>
        <w:fldChar w:fldCharType="end"/>
      </w:r>
      <w:r>
        <w:rPr>
          <w:rFonts w:hint="eastAsia" w:ascii="仿宋" w:hAnsi="仿宋" w:eastAsia="仿宋" w:cs="仿宋"/>
          <w:caps/>
          <w:color w:val="000000"/>
          <w:highlight w:val="none"/>
        </w:rPr>
        <w:fldChar w:fldCharType="end"/>
      </w:r>
    </w:p>
    <w:p w14:paraId="3BE52FEC">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_Toc9277 </w:instrText>
      </w:r>
      <w:r>
        <w:rPr>
          <w:rFonts w:hint="eastAsia" w:ascii="仿宋" w:hAnsi="仿宋" w:eastAsia="仿宋" w:cs="仿宋"/>
          <w:caps/>
          <w:highlight w:val="none"/>
        </w:rPr>
        <w:fldChar w:fldCharType="separate"/>
      </w:r>
      <w:r>
        <w:rPr>
          <w:rFonts w:ascii="仿宋" w:hAnsi="仿宋" w:cs="宋体"/>
          <w:szCs w:val="24"/>
          <w:highlight w:val="none"/>
        </w:rPr>
        <w:t>（一）投标一览表</w:t>
      </w:r>
      <w:r>
        <w:tab/>
      </w:r>
      <w:r>
        <w:fldChar w:fldCharType="begin"/>
      </w:r>
      <w:r>
        <w:instrText xml:space="preserve"> PAGEREF _Toc9277 \h </w:instrText>
      </w:r>
      <w:r>
        <w:fldChar w:fldCharType="separate"/>
      </w:r>
      <w:r>
        <w:t>85</w:t>
      </w:r>
      <w:r>
        <w:fldChar w:fldCharType="end"/>
      </w:r>
      <w:r>
        <w:rPr>
          <w:rFonts w:hint="eastAsia" w:ascii="仿宋" w:hAnsi="仿宋" w:eastAsia="仿宋" w:cs="仿宋"/>
          <w:caps/>
          <w:color w:val="000000"/>
          <w:highlight w:val="none"/>
        </w:rPr>
        <w:fldChar w:fldCharType="end"/>
      </w:r>
    </w:p>
    <w:p w14:paraId="0A8B7DFA">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_Toc6000 </w:instrText>
      </w:r>
      <w:r>
        <w:rPr>
          <w:rFonts w:hint="eastAsia" w:ascii="仿宋" w:hAnsi="仿宋" w:eastAsia="仿宋" w:cs="仿宋"/>
          <w:caps/>
          <w:highlight w:val="none"/>
        </w:rPr>
        <w:fldChar w:fldCharType="separate"/>
      </w:r>
      <w:r>
        <w:rPr>
          <w:rFonts w:hint="eastAsia" w:ascii="仿宋" w:hAnsi="仿宋" w:cs="宋体"/>
          <w:szCs w:val="24"/>
        </w:rPr>
        <w:t xml:space="preserve">（二） </w:t>
      </w:r>
      <w:r>
        <w:rPr>
          <w:rFonts w:ascii="仿宋" w:hAnsi="仿宋" w:cs="宋体"/>
          <w:szCs w:val="24"/>
          <w:highlight w:val="none"/>
        </w:rPr>
        <w:t>分项报价表</w:t>
      </w:r>
      <w:r>
        <w:tab/>
      </w:r>
      <w:r>
        <w:fldChar w:fldCharType="begin"/>
      </w:r>
      <w:r>
        <w:instrText xml:space="preserve"> PAGEREF _Toc6000 \h </w:instrText>
      </w:r>
      <w:r>
        <w:fldChar w:fldCharType="separate"/>
      </w:r>
      <w:r>
        <w:t>86</w:t>
      </w:r>
      <w:r>
        <w:fldChar w:fldCharType="end"/>
      </w:r>
      <w:r>
        <w:rPr>
          <w:rFonts w:hint="eastAsia" w:ascii="仿宋" w:hAnsi="仿宋" w:eastAsia="仿宋" w:cs="仿宋"/>
          <w:caps/>
          <w:color w:val="000000"/>
          <w:highlight w:val="none"/>
        </w:rPr>
        <w:fldChar w:fldCharType="end"/>
      </w:r>
    </w:p>
    <w:p w14:paraId="49A14A5C">
      <w:pPr>
        <w:pStyle w:val="20"/>
        <w:tabs>
          <w:tab w:val="right" w:leader="dot" w:pos="9638"/>
        </w:tabs>
        <w:rPr>
          <w:rFonts w:hint="eastAsia" w:ascii="仿宋" w:hAnsi="仿宋" w:eastAsia="仿宋" w:cs="仿宋"/>
          <w:color w:val="000000"/>
          <w:sz w:val="24"/>
          <w:highlight w:val="none"/>
        </w:rPr>
        <w:sectPr>
          <w:headerReference r:id="rId8" w:type="default"/>
          <w:footerReference r:id="rId9" w:type="default"/>
          <w:pgSz w:w="11906" w:h="16838"/>
          <w:pgMar w:top="1417" w:right="1134" w:bottom="1134" w:left="1134" w:header="851" w:footer="992" w:gutter="0"/>
          <w:pgNumType w:start="1"/>
          <w:cols w:space="720" w:num="1"/>
          <w:docGrid w:type="lines" w:linePitch="312" w:charSpace="0"/>
        </w:sectPr>
      </w:pPr>
      <w:r>
        <w:rPr>
          <w:rFonts w:hint="eastAsia" w:ascii="仿宋" w:hAnsi="仿宋" w:eastAsia="仿宋" w:cs="仿宋"/>
          <w:caps/>
          <w:color w:val="000000"/>
          <w:highlight w:val="none"/>
        </w:rPr>
        <w:fldChar w:fldCharType="end"/>
      </w:r>
    </w:p>
    <w:p w14:paraId="6B742A84">
      <w:pPr>
        <w:pStyle w:val="3"/>
        <w:spacing w:before="0" w:after="0" w:line="360" w:lineRule="auto"/>
        <w:jc w:val="center"/>
        <w:rPr>
          <w:rFonts w:ascii="仿宋" w:hAnsi="仿宋" w:eastAsia="仿宋" w:cs="仿宋"/>
          <w:bCs w:val="0"/>
          <w:color w:val="000000"/>
          <w:sz w:val="28"/>
          <w:szCs w:val="28"/>
          <w:highlight w:val="none"/>
        </w:rPr>
      </w:pPr>
      <w:bookmarkStart w:id="1" w:name="_Toc32010"/>
      <w:bookmarkStart w:id="2" w:name="_Toc11838"/>
      <w:bookmarkStart w:id="3" w:name="_Toc19709"/>
      <w:bookmarkStart w:id="4" w:name="_Toc11826"/>
      <w:bookmarkStart w:id="5" w:name="_Toc444891333"/>
      <w:bookmarkStart w:id="6" w:name="_Toc517281813"/>
      <w:bookmarkStart w:id="7" w:name="_Toc7300"/>
      <w:bookmarkStart w:id="8" w:name="_Toc287600115"/>
      <w:r>
        <w:rPr>
          <w:rFonts w:hint="eastAsia" w:ascii="仿宋" w:hAnsi="仿宋" w:eastAsia="仿宋" w:cs="仿宋"/>
          <w:bCs w:val="0"/>
          <w:color w:val="000000"/>
          <w:sz w:val="28"/>
          <w:szCs w:val="28"/>
          <w:highlight w:val="none"/>
        </w:rPr>
        <w:t>第一章 竞争性磋商公告</w:t>
      </w:r>
      <w:bookmarkEnd w:id="1"/>
    </w:p>
    <w:p w14:paraId="386AF507">
      <w:pPr>
        <w:wordWrap w:val="0"/>
        <w:spacing w:line="360" w:lineRule="auto"/>
        <w:ind w:firstLine="480" w:firstLineChars="200"/>
        <w:textAlignment w:val="baseline"/>
        <w:rPr>
          <w:rFonts w:hint="eastAsia" w:ascii="仿宋" w:hAnsi="仿宋" w:eastAsia="仿宋" w:cs="Cambria Math"/>
          <w:color w:val="auto"/>
          <w:sz w:val="24"/>
          <w:highlight w:val="none"/>
        </w:rPr>
      </w:pPr>
      <w:r>
        <w:rPr>
          <w:rFonts w:hint="eastAsia" w:ascii="仿宋" w:hAnsi="仿宋" w:eastAsia="仿宋" w:cs="仿宋"/>
          <w:color w:val="auto"/>
          <w:sz w:val="24"/>
          <w:highlight w:val="none"/>
        </w:rPr>
        <w:t>本项目</w:t>
      </w:r>
      <w:r>
        <w:rPr>
          <w:rFonts w:hint="eastAsia" w:ascii="仿宋" w:hAnsi="仿宋" w:eastAsia="仿宋" w:cs="仿宋"/>
          <w:color w:val="auto"/>
          <w:sz w:val="24"/>
          <w:highlight w:val="none"/>
          <w:u w:val="single"/>
          <w:lang w:eastAsia="zh-CN"/>
        </w:rPr>
        <w:t>中国人民财产保险股份有限公司宜春市分公司安全生产责任保险事故预防技术服务采购项目</w:t>
      </w:r>
      <w:r>
        <w:rPr>
          <w:rFonts w:hint="eastAsia" w:ascii="仿宋" w:hAnsi="仿宋" w:eastAsia="仿宋" w:cs="仿宋"/>
          <w:color w:val="auto"/>
          <w:sz w:val="24"/>
          <w:highlight w:val="none"/>
        </w:rPr>
        <w:t>（采购代理项目编号：GYLCS202507034 ）由</w:t>
      </w:r>
      <w:r>
        <w:rPr>
          <w:rFonts w:hint="eastAsia" w:ascii="仿宋" w:hAnsi="仿宋" w:eastAsia="仿宋" w:cs="仿宋"/>
          <w:color w:val="auto"/>
          <w:sz w:val="24"/>
          <w:highlight w:val="none"/>
          <w:u w:val="single"/>
        </w:rPr>
        <w:t>中国人民财产保险股份有限公司</w:t>
      </w:r>
      <w:r>
        <w:rPr>
          <w:rFonts w:hint="eastAsia" w:ascii="仿宋" w:hAnsi="仿宋" w:eastAsia="仿宋" w:cs="仿宋"/>
          <w:color w:val="auto"/>
          <w:sz w:val="24"/>
          <w:highlight w:val="none"/>
          <w:u w:val="single"/>
          <w:lang w:eastAsia="zh-CN"/>
        </w:rPr>
        <w:t>宜春市</w:t>
      </w:r>
      <w:r>
        <w:rPr>
          <w:rFonts w:hint="eastAsia" w:ascii="仿宋" w:hAnsi="仿宋" w:eastAsia="仿宋" w:cs="仿宋"/>
          <w:color w:val="auto"/>
          <w:sz w:val="24"/>
          <w:highlight w:val="none"/>
          <w:u w:val="single"/>
        </w:rPr>
        <w:t>分公司</w:t>
      </w:r>
      <w:r>
        <w:rPr>
          <w:rFonts w:hint="eastAsia" w:ascii="仿宋" w:hAnsi="仿宋" w:eastAsia="仿宋" w:cs="仿宋"/>
          <w:color w:val="auto"/>
          <w:sz w:val="24"/>
          <w:highlight w:val="none"/>
        </w:rPr>
        <w:t>（以下简称“采购人”）</w:t>
      </w:r>
      <w:r>
        <w:rPr>
          <w:rFonts w:hint="eastAsia" w:ascii="仿宋" w:hAnsi="仿宋" w:eastAsia="仿宋" w:cs="Cambria Math"/>
          <w:color w:val="auto"/>
          <w:sz w:val="24"/>
          <w:highlight w:val="none"/>
        </w:rPr>
        <w:t>批准并落实资金，组织本项目的磋商工作</w:t>
      </w:r>
      <w:r>
        <w:rPr>
          <w:rFonts w:hint="eastAsia" w:ascii="仿宋" w:hAnsi="仿宋" w:eastAsia="仿宋" w:cs="仿宋"/>
          <w:color w:val="auto"/>
          <w:sz w:val="24"/>
          <w:highlight w:val="none"/>
        </w:rPr>
        <w:t>，采购合同由</w:t>
      </w:r>
      <w:r>
        <w:rPr>
          <w:rFonts w:hint="eastAsia" w:ascii="仿宋" w:hAnsi="仿宋" w:eastAsia="仿宋" w:cs="宋体"/>
          <w:color w:val="auto"/>
          <w:sz w:val="24"/>
          <w:highlight w:val="none"/>
          <w:u w:val="single"/>
        </w:rPr>
        <w:t>中国人民财产保险股份有限公司</w:t>
      </w:r>
      <w:r>
        <w:rPr>
          <w:rFonts w:hint="eastAsia" w:ascii="仿宋" w:hAnsi="仿宋" w:eastAsia="仿宋" w:cs="仿宋"/>
          <w:color w:val="auto"/>
          <w:sz w:val="24"/>
          <w:highlight w:val="none"/>
          <w:u w:val="single"/>
          <w:lang w:eastAsia="zh-CN"/>
        </w:rPr>
        <w:t>宜春市</w:t>
      </w:r>
      <w:r>
        <w:rPr>
          <w:rFonts w:hint="eastAsia" w:ascii="仿宋" w:hAnsi="仿宋" w:eastAsia="仿宋" w:cs="宋体"/>
          <w:color w:val="auto"/>
          <w:sz w:val="24"/>
          <w:highlight w:val="none"/>
          <w:u w:val="single"/>
        </w:rPr>
        <w:t>分公司</w:t>
      </w:r>
      <w:r>
        <w:rPr>
          <w:rFonts w:hint="eastAsia" w:ascii="仿宋" w:hAnsi="仿宋" w:eastAsia="仿宋" w:cs="宋体"/>
          <w:color w:val="auto"/>
          <w:sz w:val="24"/>
          <w:highlight w:val="none"/>
        </w:rPr>
        <w:t>（以下简称“人保</w:t>
      </w:r>
      <w:r>
        <w:rPr>
          <w:rFonts w:hint="eastAsia" w:ascii="仿宋" w:hAnsi="仿宋" w:eastAsia="仿宋" w:cs="宋体"/>
          <w:color w:val="auto"/>
          <w:sz w:val="24"/>
          <w:highlight w:val="none"/>
          <w:lang w:val="en-US" w:eastAsia="zh-CN"/>
        </w:rPr>
        <w:t>财险宜春市分公司</w:t>
      </w:r>
      <w:r>
        <w:rPr>
          <w:rFonts w:hint="eastAsia" w:ascii="仿宋" w:hAnsi="仿宋" w:eastAsia="仿宋" w:cs="宋体"/>
          <w:color w:val="auto"/>
          <w:sz w:val="24"/>
          <w:highlight w:val="none"/>
        </w:rPr>
        <w:t>”）</w:t>
      </w:r>
      <w:r>
        <w:rPr>
          <w:rFonts w:hint="eastAsia" w:ascii="仿宋" w:hAnsi="仿宋" w:eastAsia="仿宋" w:cs="仿宋"/>
          <w:color w:val="auto"/>
          <w:sz w:val="24"/>
          <w:highlight w:val="none"/>
        </w:rPr>
        <w:t>根据成交结果与成交人签署。现委托</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中通服供应链股份有限公司</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（以下简称“采购代理机构”）进行公开竞争性磋商，</w:t>
      </w:r>
      <w:r>
        <w:rPr>
          <w:rFonts w:hint="eastAsia" w:ascii="仿宋" w:hAnsi="仿宋" w:eastAsia="仿宋" w:cs="Cambria Math"/>
          <w:color w:val="auto"/>
          <w:sz w:val="24"/>
          <w:highlight w:val="none"/>
        </w:rPr>
        <w:t xml:space="preserve">有意向且具有提供标的物能力的潜在供应商（以下简称“供应商”）可前来参与磋商响应。 </w:t>
      </w:r>
    </w:p>
    <w:p w14:paraId="01089F2E">
      <w:pPr>
        <w:pStyle w:val="4"/>
        <w:ind w:firstLine="0" w:firstLineChars="0"/>
        <w:jc w:val="left"/>
        <w:rPr>
          <w:rFonts w:hint="eastAsia" w:ascii="仿宋" w:hAnsi="仿宋" w:eastAsia="仿宋" w:cs="仿宋"/>
          <w:color w:val="auto"/>
          <w:sz w:val="24"/>
          <w:szCs w:val="24"/>
          <w:highlight w:val="none"/>
        </w:rPr>
      </w:pPr>
      <w:bookmarkStart w:id="9" w:name="_Toc31987"/>
      <w:r>
        <w:rPr>
          <w:rFonts w:hint="eastAsia" w:ascii="仿宋" w:hAnsi="仿宋" w:eastAsia="仿宋" w:cs="仿宋"/>
          <w:color w:val="auto"/>
          <w:sz w:val="24"/>
          <w:szCs w:val="24"/>
          <w:highlight w:val="none"/>
        </w:rPr>
        <w:t>一、项目概况与采购范围</w:t>
      </w:r>
      <w:bookmarkEnd w:id="9"/>
    </w:p>
    <w:p w14:paraId="7FEC8223">
      <w:pPr>
        <w:adjustRightInd w:val="0"/>
        <w:snapToGrid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1.1 项目名称：</w:t>
      </w:r>
      <w:r>
        <w:rPr>
          <w:rFonts w:hint="eastAsia" w:ascii="仿宋" w:hAnsi="仿宋" w:eastAsia="仿宋" w:cs="仿宋"/>
          <w:color w:val="auto"/>
          <w:sz w:val="24"/>
          <w:highlight w:val="none"/>
          <w:u w:val="single"/>
          <w:lang w:eastAsia="zh-CN"/>
        </w:rPr>
        <w:t>中国人民财产保险股份有限公司宜春市分公司安全生产责任保险事故预防技术服务采购项目</w:t>
      </w:r>
      <w:r>
        <w:rPr>
          <w:rFonts w:hint="eastAsia" w:ascii="仿宋" w:hAnsi="仿宋" w:eastAsia="仿宋" w:cs="仿宋"/>
          <w:color w:val="auto"/>
          <w:sz w:val="24"/>
          <w:highlight w:val="none"/>
        </w:rPr>
        <w:t>。</w:t>
      </w:r>
    </w:p>
    <w:p w14:paraId="084BEE93">
      <w:pPr>
        <w:adjustRightInd w:val="0"/>
        <w:snapToGrid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1.2 采购范围：本项目拟采购安全生产责任保险事故预防技术服务，具体技术要求详见第五章采购需求。</w:t>
      </w:r>
    </w:p>
    <w:p w14:paraId="2E786DA3">
      <w:pPr>
        <w:adjustRightInd w:val="0"/>
        <w:snapToGrid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1.3 标包划分：</w:t>
      </w:r>
      <w:r>
        <w:rPr>
          <w:rFonts w:hint="eastAsia" w:ascii="仿宋" w:hAnsi="仿宋" w:eastAsia="仿宋" w:cs="宋体"/>
          <w:color w:val="auto"/>
          <w:sz w:val="24"/>
          <w:highlight w:val="none"/>
        </w:rPr>
        <w:t>本项目不划分标包</w:t>
      </w:r>
      <w:r>
        <w:rPr>
          <w:rFonts w:hint="eastAsia" w:ascii="仿宋" w:hAnsi="仿宋" w:eastAsia="仿宋" w:cs="宋体"/>
          <w:color w:val="auto"/>
          <w:sz w:val="24"/>
          <w:highlight w:val="none"/>
          <w:lang w:eastAsia="zh-CN"/>
        </w:rPr>
        <w:t>，</w:t>
      </w:r>
      <w:r>
        <w:rPr>
          <w:rFonts w:hint="eastAsia" w:ascii="仿宋" w:hAnsi="仿宋" w:eastAsia="仿宋" w:cs="宋体"/>
          <w:color w:val="auto"/>
          <w:sz w:val="24"/>
          <w:highlight w:val="none"/>
        </w:rPr>
        <w:t>情况如下：</w:t>
      </w:r>
    </w:p>
    <w:tbl>
      <w:tblPr>
        <w:tblStyle w:val="41"/>
        <w:tblW w:w="491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9"/>
        <w:gridCol w:w="3828"/>
        <w:gridCol w:w="1648"/>
        <w:gridCol w:w="1559"/>
        <w:gridCol w:w="1559"/>
      </w:tblGrid>
      <w:tr w14:paraId="4666A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66" w:type="pct"/>
            <w:noWrap/>
            <w:vAlign w:val="center"/>
          </w:tcPr>
          <w:p w14:paraId="0E59F75A">
            <w:pPr>
              <w:keepNext w:val="0"/>
              <w:keepLines w:val="0"/>
              <w:widowControl/>
              <w:suppressLineNumbers w:val="0"/>
              <w:spacing w:before="0" w:beforeAutospacing="0" w:after="0" w:afterAutospacing="0" w:line="240" w:lineRule="auto"/>
              <w:ind w:left="0" w:right="0"/>
              <w:jc w:val="center"/>
              <w:rPr>
                <w:rFonts w:hint="default" w:ascii="仿宋" w:hAnsi="仿宋" w:eastAsia="仿宋" w:cs="宋体"/>
                <w:b/>
                <w:bCs/>
                <w:color w:val="auto"/>
                <w:kern w:val="0"/>
                <w:sz w:val="24"/>
                <w:szCs w:val="24"/>
                <w:highlight w:val="none"/>
              </w:rPr>
            </w:pPr>
            <w:r>
              <w:rPr>
                <w:rFonts w:hint="default" w:ascii="仿宋" w:hAnsi="仿宋" w:eastAsia="仿宋" w:cs="宋体"/>
                <w:b/>
                <w:bCs/>
                <w:color w:val="auto"/>
                <w:kern w:val="0"/>
                <w:sz w:val="24"/>
                <w:szCs w:val="24"/>
                <w:highlight w:val="none"/>
              </w:rPr>
              <w:t>序号</w:t>
            </w:r>
          </w:p>
        </w:tc>
        <w:tc>
          <w:tcPr>
            <w:tcW w:w="1974" w:type="pct"/>
            <w:noWrap/>
            <w:vAlign w:val="center"/>
          </w:tcPr>
          <w:p w14:paraId="3DD14F56">
            <w:pPr>
              <w:keepNext w:val="0"/>
              <w:keepLines w:val="0"/>
              <w:widowControl/>
              <w:suppressLineNumbers w:val="0"/>
              <w:spacing w:before="0" w:beforeAutospacing="0" w:after="0" w:afterAutospacing="0" w:line="240" w:lineRule="auto"/>
              <w:ind w:left="0" w:right="0"/>
              <w:jc w:val="center"/>
              <w:rPr>
                <w:rFonts w:hint="default" w:ascii="仿宋" w:hAnsi="仿宋" w:eastAsia="仿宋" w:cs="宋体"/>
                <w:b/>
                <w:bCs/>
                <w:color w:val="auto"/>
                <w:sz w:val="24"/>
                <w:szCs w:val="24"/>
                <w:highlight w:val="none"/>
              </w:rPr>
            </w:pPr>
            <w:r>
              <w:rPr>
                <w:rFonts w:hint="eastAsia" w:ascii="仿宋" w:hAnsi="仿宋" w:eastAsia="仿宋" w:cs="宋体"/>
                <w:b/>
                <w:bCs/>
                <w:color w:val="auto"/>
                <w:kern w:val="0"/>
                <w:sz w:val="24"/>
                <w:szCs w:val="24"/>
                <w:highlight w:val="none"/>
              </w:rPr>
              <w:t>项目名称</w:t>
            </w:r>
          </w:p>
        </w:tc>
        <w:tc>
          <w:tcPr>
            <w:tcW w:w="850" w:type="pct"/>
            <w:noWrap/>
            <w:vAlign w:val="center"/>
          </w:tcPr>
          <w:p w14:paraId="5D503D20">
            <w:pPr>
              <w:keepNext w:val="0"/>
              <w:keepLines w:val="0"/>
              <w:widowControl/>
              <w:suppressLineNumbers w:val="0"/>
              <w:spacing w:before="0" w:beforeAutospacing="0" w:after="0" w:afterAutospacing="0" w:line="240" w:lineRule="auto"/>
              <w:ind w:left="0" w:right="0"/>
              <w:jc w:val="center"/>
              <w:rPr>
                <w:rFonts w:hint="default" w:ascii="仿宋" w:hAnsi="仿宋" w:eastAsia="仿宋" w:cs="宋体"/>
                <w:b/>
                <w:bCs/>
                <w:color w:val="auto"/>
                <w:sz w:val="24"/>
                <w:szCs w:val="24"/>
                <w:highlight w:val="none"/>
              </w:rPr>
            </w:pPr>
            <w:r>
              <w:rPr>
                <w:rFonts w:hint="eastAsia" w:ascii="仿宋" w:hAnsi="仿宋" w:eastAsia="仿宋" w:cs="宋体"/>
                <w:b/>
                <w:bCs/>
                <w:color w:val="auto"/>
                <w:sz w:val="24"/>
                <w:szCs w:val="24"/>
                <w:highlight w:val="none"/>
              </w:rPr>
              <w:t>采购内容/数量</w:t>
            </w:r>
          </w:p>
        </w:tc>
        <w:tc>
          <w:tcPr>
            <w:tcW w:w="804" w:type="pct"/>
          </w:tcPr>
          <w:p w14:paraId="33C22DA2">
            <w:pPr>
              <w:keepNext w:val="0"/>
              <w:keepLines w:val="0"/>
              <w:widowControl/>
              <w:suppressLineNumbers w:val="0"/>
              <w:spacing w:before="0" w:beforeAutospacing="0" w:after="0" w:afterAutospacing="0" w:line="240" w:lineRule="auto"/>
              <w:ind w:left="0" w:right="0"/>
              <w:jc w:val="center"/>
              <w:rPr>
                <w:rFonts w:hint="default" w:ascii="仿宋" w:hAnsi="仿宋" w:eastAsia="仿宋" w:cs="宋体"/>
                <w:b/>
                <w:bCs/>
                <w:color w:val="auto"/>
                <w:kern w:val="0"/>
                <w:sz w:val="24"/>
                <w:szCs w:val="24"/>
                <w:highlight w:val="none"/>
              </w:rPr>
            </w:pPr>
            <w:r>
              <w:rPr>
                <w:rFonts w:hint="eastAsia" w:ascii="仿宋" w:hAnsi="仿宋" w:eastAsia="仿宋" w:cs="宋体"/>
                <w:b/>
                <w:bCs/>
                <w:color w:val="auto"/>
                <w:kern w:val="0"/>
                <w:sz w:val="24"/>
                <w:szCs w:val="24"/>
                <w:highlight w:val="none"/>
              </w:rPr>
              <w:t>预算金额（元）</w:t>
            </w:r>
          </w:p>
        </w:tc>
        <w:tc>
          <w:tcPr>
            <w:tcW w:w="804" w:type="pct"/>
            <w:noWrap/>
            <w:vAlign w:val="center"/>
          </w:tcPr>
          <w:p w14:paraId="04737B97">
            <w:pPr>
              <w:keepNext w:val="0"/>
              <w:keepLines w:val="0"/>
              <w:widowControl/>
              <w:suppressLineNumbers w:val="0"/>
              <w:spacing w:before="0" w:beforeAutospacing="0" w:after="0" w:afterAutospacing="0" w:line="240" w:lineRule="auto"/>
              <w:ind w:left="0" w:right="0"/>
              <w:jc w:val="center"/>
              <w:rPr>
                <w:rFonts w:hint="default" w:ascii="仿宋" w:hAnsi="仿宋" w:eastAsia="仿宋" w:cs="宋体"/>
                <w:b/>
                <w:bCs/>
                <w:color w:val="auto"/>
                <w:kern w:val="0"/>
                <w:sz w:val="24"/>
                <w:szCs w:val="24"/>
                <w:highlight w:val="none"/>
              </w:rPr>
            </w:pPr>
            <w:r>
              <w:rPr>
                <w:rFonts w:hint="eastAsia" w:ascii="仿宋" w:hAnsi="仿宋" w:eastAsia="仿宋" w:cs="宋体"/>
                <w:b/>
                <w:bCs/>
                <w:color w:val="auto"/>
                <w:kern w:val="0"/>
                <w:sz w:val="24"/>
                <w:szCs w:val="24"/>
                <w:highlight w:val="none"/>
              </w:rPr>
              <w:t>中标人数量</w:t>
            </w:r>
          </w:p>
        </w:tc>
      </w:tr>
      <w:tr w14:paraId="7F7B9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566" w:type="pct"/>
            <w:noWrap/>
            <w:vAlign w:val="center"/>
          </w:tcPr>
          <w:p w14:paraId="4AF57903">
            <w:pPr>
              <w:keepNext w:val="0"/>
              <w:keepLines w:val="0"/>
              <w:widowControl/>
              <w:suppressLineNumbers w:val="0"/>
              <w:spacing w:before="0" w:beforeAutospacing="0" w:after="0" w:afterAutospacing="0" w:line="240" w:lineRule="auto"/>
              <w:ind w:left="0" w:right="0"/>
              <w:jc w:val="center"/>
              <w:rPr>
                <w:rFonts w:hint="default"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1</w:t>
            </w:r>
          </w:p>
        </w:tc>
        <w:tc>
          <w:tcPr>
            <w:tcW w:w="1974" w:type="pct"/>
            <w:noWrap/>
            <w:vAlign w:val="center"/>
          </w:tcPr>
          <w:p w14:paraId="4AD29000">
            <w:pPr>
              <w:keepNext w:val="0"/>
              <w:keepLines w:val="0"/>
              <w:suppressLineNumbers w:val="0"/>
              <w:spacing w:before="0" w:beforeAutospacing="0" w:after="0" w:afterAutospacing="0" w:line="400" w:lineRule="exact"/>
              <w:ind w:left="0" w:right="0" w:firstLine="4" w:firstLineChars="2"/>
              <w:jc w:val="center"/>
              <w:rPr>
                <w:rFonts w:hint="default" w:ascii="仿宋" w:hAnsi="仿宋" w:eastAsia="仿宋" w:cs="宋体"/>
                <w:color w:val="auto"/>
                <w:sz w:val="24"/>
                <w:szCs w:val="24"/>
                <w:highlight w:val="none"/>
              </w:rPr>
            </w:pPr>
            <w:r>
              <w:rPr>
                <w:rFonts w:hint="default" w:ascii="仿宋" w:hAnsi="仿宋" w:eastAsia="仿宋" w:cs="宋体"/>
                <w:color w:val="auto"/>
                <w:sz w:val="24"/>
                <w:szCs w:val="24"/>
                <w:highlight w:val="none"/>
              </w:rPr>
              <w:t>中国人民财产保险股份有限公司宜春市分公司安全生产责任保险事故预防技术服务采购项目</w:t>
            </w:r>
          </w:p>
        </w:tc>
        <w:tc>
          <w:tcPr>
            <w:tcW w:w="850" w:type="pct"/>
            <w:noWrap/>
            <w:vAlign w:val="center"/>
          </w:tcPr>
          <w:p w14:paraId="4A4D5F30">
            <w:pPr>
              <w:keepNext w:val="0"/>
              <w:keepLines w:val="0"/>
              <w:suppressLineNumbers w:val="0"/>
              <w:spacing w:before="0" w:beforeAutospacing="0" w:after="0" w:afterAutospacing="0" w:line="400" w:lineRule="exact"/>
              <w:ind w:left="0" w:right="0" w:firstLine="4" w:firstLineChars="2"/>
              <w:jc w:val="center"/>
              <w:rPr>
                <w:rFonts w:hint="default" w:ascii="仿宋" w:hAnsi="仿宋" w:eastAsia="仿宋" w:cs="宋体"/>
                <w:color w:val="auto"/>
                <w:sz w:val="24"/>
                <w:szCs w:val="24"/>
                <w:highlight w:val="none"/>
              </w:rPr>
            </w:pPr>
            <w:r>
              <w:rPr>
                <w:rFonts w:hint="eastAsia" w:ascii="仿宋" w:hAnsi="仿宋" w:eastAsia="仿宋" w:cs="宋体"/>
                <w:color w:val="auto"/>
                <w:sz w:val="24"/>
                <w:szCs w:val="24"/>
                <w:highlight w:val="none"/>
              </w:rPr>
              <w:t>安责险事故预防服务/1年</w:t>
            </w:r>
          </w:p>
        </w:tc>
        <w:tc>
          <w:tcPr>
            <w:tcW w:w="804" w:type="pct"/>
            <w:vAlign w:val="center"/>
          </w:tcPr>
          <w:p w14:paraId="30D22CF8">
            <w:pPr>
              <w:keepNext w:val="0"/>
              <w:keepLines w:val="0"/>
              <w:suppressLineNumbers w:val="0"/>
              <w:spacing w:before="0" w:beforeAutospacing="0" w:after="0" w:afterAutospacing="0" w:line="400" w:lineRule="exact"/>
              <w:ind w:left="0" w:right="0" w:firstLine="4" w:firstLineChars="2"/>
              <w:jc w:val="center"/>
              <w:rPr>
                <w:rFonts w:hint="default" w:ascii="仿宋" w:hAnsi="仿宋" w:eastAsia="仿宋" w:cs="宋体"/>
                <w:color w:val="auto"/>
                <w:sz w:val="24"/>
                <w:szCs w:val="24"/>
                <w:highlight w:val="none"/>
              </w:rPr>
            </w:pPr>
            <w:r>
              <w:rPr>
                <w:rFonts w:hint="eastAsia" w:ascii="仿宋" w:hAnsi="仿宋" w:eastAsia="仿宋" w:cs="宋体"/>
                <w:color w:val="auto"/>
                <w:sz w:val="24"/>
                <w:szCs w:val="24"/>
                <w:highlight w:val="none"/>
                <w:lang w:val="en-US" w:eastAsia="zh-CN"/>
              </w:rPr>
              <w:t>120</w:t>
            </w:r>
            <w:r>
              <w:rPr>
                <w:rFonts w:hint="eastAsia" w:ascii="仿宋" w:hAnsi="仿宋" w:eastAsia="仿宋" w:cs="宋体"/>
                <w:color w:val="auto"/>
                <w:sz w:val="24"/>
                <w:szCs w:val="24"/>
                <w:highlight w:val="none"/>
              </w:rPr>
              <w:t>万元/年</w:t>
            </w:r>
          </w:p>
        </w:tc>
        <w:tc>
          <w:tcPr>
            <w:tcW w:w="804" w:type="pct"/>
            <w:noWrap/>
            <w:vAlign w:val="center"/>
          </w:tcPr>
          <w:p w14:paraId="5115F248">
            <w:pPr>
              <w:keepNext w:val="0"/>
              <w:keepLines w:val="0"/>
              <w:suppressLineNumbers w:val="0"/>
              <w:spacing w:before="0" w:beforeAutospacing="0" w:after="0" w:afterAutospacing="0" w:line="400" w:lineRule="exact"/>
              <w:ind w:left="0" w:right="0" w:firstLine="4" w:firstLineChars="2"/>
              <w:jc w:val="center"/>
              <w:rPr>
                <w:rFonts w:hint="default" w:ascii="仿宋" w:hAnsi="仿宋" w:eastAsia="仿宋" w:cs="宋体"/>
                <w:color w:val="auto"/>
                <w:sz w:val="24"/>
                <w:szCs w:val="24"/>
                <w:highlight w:val="none"/>
              </w:rPr>
            </w:pPr>
            <w:r>
              <w:rPr>
                <w:rFonts w:hint="eastAsia" w:ascii="仿宋" w:hAnsi="仿宋" w:eastAsia="仿宋" w:cs="宋体"/>
                <w:color w:val="auto"/>
                <w:sz w:val="24"/>
                <w:szCs w:val="24"/>
                <w:highlight w:val="none"/>
                <w:lang w:val="en-US" w:eastAsia="zh-CN"/>
              </w:rPr>
              <w:t>2</w:t>
            </w:r>
            <w:r>
              <w:rPr>
                <w:rFonts w:hint="eastAsia" w:ascii="仿宋" w:hAnsi="仿宋" w:eastAsia="仿宋" w:cs="宋体"/>
                <w:color w:val="auto"/>
                <w:sz w:val="24"/>
                <w:szCs w:val="24"/>
                <w:highlight w:val="none"/>
              </w:rPr>
              <w:t>个</w:t>
            </w:r>
          </w:p>
        </w:tc>
      </w:tr>
      <w:tr w14:paraId="554C8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91" w:type="pct"/>
            <w:gridSpan w:val="3"/>
            <w:noWrap/>
            <w:vAlign w:val="center"/>
          </w:tcPr>
          <w:p w14:paraId="27D5ACA1">
            <w:pPr>
              <w:keepNext w:val="0"/>
              <w:keepLines w:val="0"/>
              <w:suppressLineNumbers w:val="0"/>
              <w:spacing w:before="0" w:beforeAutospacing="0" w:after="0" w:afterAutospacing="0"/>
              <w:ind w:left="0" w:right="0"/>
              <w:rPr>
                <w:rFonts w:hint="default" w:ascii="仿宋" w:hAnsi="仿宋" w:eastAsia="仿宋" w:cs="宋体"/>
                <w:color w:val="auto"/>
                <w:sz w:val="24"/>
                <w:szCs w:val="24"/>
                <w:highlight w:val="none"/>
              </w:rPr>
            </w:pPr>
            <w:r>
              <w:rPr>
                <w:rFonts w:hint="eastAsia" w:ascii="仿宋" w:hAnsi="仿宋" w:eastAsia="仿宋" w:cs="宋体"/>
                <w:color w:val="auto"/>
                <w:sz w:val="24"/>
                <w:szCs w:val="24"/>
                <w:highlight w:val="none"/>
              </w:rPr>
              <w:t>预算总金额</w:t>
            </w:r>
          </w:p>
        </w:tc>
        <w:tc>
          <w:tcPr>
            <w:tcW w:w="804" w:type="pct"/>
            <w:vAlign w:val="center"/>
          </w:tcPr>
          <w:p w14:paraId="38F8FC6B">
            <w:pPr>
              <w:keepNext w:val="0"/>
              <w:keepLines w:val="0"/>
              <w:suppressLineNumbers w:val="0"/>
              <w:spacing w:before="0" w:beforeAutospacing="0" w:after="0" w:afterAutospacing="0" w:line="400" w:lineRule="exact"/>
              <w:ind w:left="0" w:right="0" w:firstLine="4" w:firstLineChars="2"/>
              <w:jc w:val="center"/>
              <w:rPr>
                <w:rFonts w:hint="default" w:ascii="仿宋" w:hAnsi="仿宋" w:eastAsia="仿宋" w:cs="宋体"/>
                <w:color w:val="auto"/>
                <w:sz w:val="24"/>
                <w:szCs w:val="24"/>
                <w:highlight w:val="none"/>
              </w:rPr>
            </w:pPr>
            <w:r>
              <w:rPr>
                <w:rFonts w:hint="eastAsia" w:ascii="仿宋" w:hAnsi="仿宋" w:eastAsia="仿宋" w:cs="宋体"/>
                <w:color w:val="auto"/>
                <w:sz w:val="24"/>
                <w:szCs w:val="24"/>
                <w:highlight w:val="none"/>
                <w:lang w:val="en-US" w:eastAsia="zh-CN"/>
              </w:rPr>
              <w:t>120</w:t>
            </w:r>
            <w:r>
              <w:rPr>
                <w:rFonts w:hint="eastAsia" w:ascii="仿宋" w:hAnsi="仿宋" w:eastAsia="仿宋" w:cs="宋体"/>
                <w:color w:val="auto"/>
                <w:sz w:val="24"/>
                <w:szCs w:val="24"/>
                <w:highlight w:val="none"/>
              </w:rPr>
              <w:t>万元/年</w:t>
            </w:r>
          </w:p>
        </w:tc>
        <w:tc>
          <w:tcPr>
            <w:tcW w:w="804" w:type="pct"/>
            <w:noWrap/>
            <w:vAlign w:val="center"/>
          </w:tcPr>
          <w:p w14:paraId="51C5B917">
            <w:pPr>
              <w:keepNext w:val="0"/>
              <w:keepLines w:val="0"/>
              <w:suppressLineNumbers w:val="0"/>
              <w:spacing w:before="0" w:beforeAutospacing="0" w:after="0" w:afterAutospacing="0"/>
              <w:ind w:left="0" w:right="0"/>
              <w:jc w:val="center"/>
              <w:rPr>
                <w:rFonts w:hint="default"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lang w:val="en-US" w:eastAsia="zh-CN"/>
              </w:rPr>
              <w:t>2</w:t>
            </w:r>
            <w:r>
              <w:rPr>
                <w:rFonts w:hint="eastAsia" w:ascii="仿宋" w:hAnsi="仿宋" w:eastAsia="仿宋" w:cs="宋体"/>
                <w:color w:val="auto"/>
                <w:kern w:val="0"/>
                <w:sz w:val="24"/>
                <w:szCs w:val="24"/>
                <w:highlight w:val="none"/>
              </w:rPr>
              <w:t>个</w:t>
            </w:r>
          </w:p>
        </w:tc>
      </w:tr>
      <w:tr w14:paraId="7E2CD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00" w:type="pct"/>
            <w:gridSpan w:val="5"/>
            <w:noWrap/>
            <w:vAlign w:val="center"/>
          </w:tcPr>
          <w:p w14:paraId="437A9D8E">
            <w:pPr>
              <w:keepNext w:val="0"/>
              <w:keepLines w:val="0"/>
              <w:suppressLineNumbers w:val="0"/>
              <w:spacing w:before="0" w:beforeAutospacing="0" w:after="0" w:afterAutospacing="0" w:line="400" w:lineRule="exact"/>
              <w:ind w:left="0" w:right="0" w:firstLine="4" w:firstLineChars="2"/>
              <w:jc w:val="left"/>
              <w:rPr>
                <w:rFonts w:hint="default" w:ascii="仿宋" w:hAnsi="仿宋" w:eastAsia="仿宋"/>
                <w:color w:val="auto"/>
                <w:szCs w:val="20"/>
                <w:highlight w:val="none"/>
              </w:rPr>
            </w:pPr>
            <w:r>
              <w:rPr>
                <w:rFonts w:hint="eastAsia" w:ascii="仿宋" w:hAnsi="仿宋" w:eastAsia="仿宋" w:cs="宋体"/>
                <w:color w:val="auto"/>
                <w:sz w:val="24"/>
                <w:szCs w:val="24"/>
                <w:highlight w:val="none"/>
              </w:rPr>
              <w:t>按照中标人最后获得的分数从高到低进行排序，排序前</w:t>
            </w:r>
            <w:r>
              <w:rPr>
                <w:rFonts w:hint="eastAsia" w:ascii="仿宋" w:hAnsi="仿宋" w:eastAsia="仿宋" w:cs="宋体"/>
                <w:color w:val="auto"/>
                <w:sz w:val="24"/>
                <w:szCs w:val="24"/>
                <w:highlight w:val="none"/>
                <w:lang w:val="en-US" w:eastAsia="zh-CN"/>
              </w:rPr>
              <w:t>2</w:t>
            </w:r>
            <w:r>
              <w:rPr>
                <w:rFonts w:hint="eastAsia" w:ascii="仿宋" w:hAnsi="仿宋" w:eastAsia="仿宋" w:cs="宋体"/>
                <w:color w:val="auto"/>
                <w:sz w:val="24"/>
                <w:szCs w:val="24"/>
                <w:highlight w:val="none"/>
              </w:rPr>
              <w:t>名为中标人</w:t>
            </w:r>
            <w:r>
              <w:rPr>
                <w:rFonts w:hint="eastAsia" w:ascii="仿宋" w:hAnsi="仿宋" w:eastAsia="仿宋" w:cs="宋体"/>
                <w:color w:val="auto"/>
                <w:sz w:val="24"/>
                <w:szCs w:val="24"/>
                <w:highlight w:val="none"/>
                <w:lang w:eastAsia="zh-CN"/>
              </w:rPr>
              <w:t>，</w:t>
            </w:r>
            <w:r>
              <w:rPr>
                <w:rFonts w:hint="eastAsia" w:ascii="仿宋" w:hAnsi="仿宋" w:eastAsia="仿宋" w:cs="Arial"/>
                <w:color w:val="auto"/>
                <w:sz w:val="24"/>
                <w:szCs w:val="20"/>
                <w:highlight w:val="none"/>
                <w:u w:val="single"/>
                <w:lang w:val="en-US" w:eastAsia="zh-CN"/>
              </w:rPr>
              <w:t>份额</w:t>
            </w:r>
            <w:r>
              <w:rPr>
                <w:rFonts w:hint="eastAsia" w:ascii="仿宋" w:hAnsi="仿宋" w:eastAsia="仿宋" w:cs="Arial"/>
                <w:color w:val="auto"/>
                <w:sz w:val="24"/>
                <w:szCs w:val="20"/>
                <w:highlight w:val="none"/>
                <w:u w:val="single"/>
                <w:lang w:eastAsia="zh-CN"/>
              </w:rPr>
              <w:t>为平均分配。</w:t>
            </w:r>
            <w:r>
              <w:rPr>
                <w:rFonts w:hint="eastAsia" w:ascii="仿宋" w:hAnsi="仿宋" w:eastAsia="仿宋" w:cs="宋体"/>
                <w:color w:val="auto"/>
                <w:sz w:val="24"/>
                <w:szCs w:val="24"/>
                <w:highlight w:val="none"/>
              </w:rPr>
              <w:t>（参与本次招标的投标人≥</w:t>
            </w:r>
            <w:r>
              <w:rPr>
                <w:rFonts w:hint="eastAsia" w:ascii="仿宋" w:hAnsi="仿宋" w:eastAsia="仿宋" w:cs="宋体"/>
                <w:color w:val="auto"/>
                <w:sz w:val="24"/>
                <w:szCs w:val="24"/>
                <w:highlight w:val="none"/>
                <w:lang w:val="en-US" w:eastAsia="zh-CN"/>
              </w:rPr>
              <w:t>4</w:t>
            </w:r>
            <w:r>
              <w:rPr>
                <w:rFonts w:hint="eastAsia" w:ascii="仿宋" w:hAnsi="仿宋" w:eastAsia="仿宋" w:cs="宋体"/>
                <w:color w:val="auto"/>
                <w:sz w:val="24"/>
                <w:szCs w:val="24"/>
                <w:highlight w:val="none"/>
              </w:rPr>
              <w:t>家，则选取前</w:t>
            </w:r>
            <w:r>
              <w:rPr>
                <w:rFonts w:hint="eastAsia" w:ascii="仿宋" w:hAnsi="仿宋" w:eastAsia="仿宋" w:cs="宋体"/>
                <w:color w:val="auto"/>
                <w:sz w:val="24"/>
                <w:szCs w:val="24"/>
                <w:highlight w:val="none"/>
                <w:lang w:val="en-US" w:eastAsia="zh-CN"/>
              </w:rPr>
              <w:t>2</w:t>
            </w:r>
            <w:r>
              <w:rPr>
                <w:rFonts w:hint="eastAsia" w:ascii="仿宋" w:hAnsi="仿宋" w:eastAsia="仿宋" w:cs="宋体"/>
                <w:color w:val="auto"/>
                <w:sz w:val="24"/>
                <w:szCs w:val="24"/>
                <w:highlight w:val="none"/>
              </w:rPr>
              <w:t>名作为中标人；若实际参与投标人＜</w:t>
            </w:r>
            <w:r>
              <w:rPr>
                <w:rFonts w:hint="eastAsia" w:ascii="仿宋" w:hAnsi="仿宋" w:eastAsia="仿宋" w:cs="宋体"/>
                <w:color w:val="auto"/>
                <w:sz w:val="24"/>
                <w:szCs w:val="24"/>
                <w:highlight w:val="none"/>
                <w:lang w:val="en-US" w:eastAsia="zh-CN"/>
              </w:rPr>
              <w:t>4</w:t>
            </w:r>
            <w:r>
              <w:rPr>
                <w:rFonts w:hint="eastAsia" w:ascii="仿宋" w:hAnsi="仿宋" w:eastAsia="仿宋" w:cs="宋体"/>
                <w:color w:val="auto"/>
                <w:sz w:val="24"/>
                <w:szCs w:val="24"/>
                <w:highlight w:val="none"/>
              </w:rPr>
              <w:t>家，本项目作流标处理，并重新组织招标活动。</w:t>
            </w:r>
          </w:p>
        </w:tc>
      </w:tr>
    </w:tbl>
    <w:p w14:paraId="537E12C8">
      <w:pPr>
        <w:adjustRightInd w:val="0"/>
        <w:snapToGrid w:val="0"/>
        <w:spacing w:before="240" w:line="360" w:lineRule="auto"/>
        <w:ind w:firstLine="480" w:firstLineChars="200"/>
        <w:jc w:val="left"/>
        <w:rPr>
          <w:rFonts w:hint="eastAsia" w:ascii="仿宋" w:hAnsi="仿宋" w:eastAsia="仿宋" w:cs="仿宋"/>
          <w:color w:val="auto"/>
          <w:sz w:val="24"/>
          <w:highlight w:val="none"/>
        </w:rPr>
      </w:pPr>
      <w:r>
        <w:rPr>
          <w:rFonts w:ascii="仿宋" w:hAnsi="仿宋" w:eastAsia="仿宋" w:cs="仿宋"/>
          <w:color w:val="auto"/>
          <w:sz w:val="24"/>
          <w:highlight w:val="none"/>
        </w:rPr>
        <w:t>1.4</w:t>
      </w:r>
      <w:r>
        <w:rPr>
          <w:rFonts w:ascii="仿宋" w:hAnsi="仿宋" w:cs="仿宋"/>
          <w:color w:val="auto"/>
          <w:sz w:val="24"/>
          <w:highlight w:val="none"/>
        </w:rPr>
        <w:t xml:space="preserve"> </w:t>
      </w:r>
      <w:r>
        <w:rPr>
          <w:rFonts w:hint="eastAsia" w:ascii="仿宋" w:hAnsi="仿宋" w:eastAsia="仿宋" w:cs="仿宋"/>
          <w:color w:val="auto"/>
          <w:sz w:val="24"/>
          <w:highlight w:val="none"/>
        </w:rPr>
        <w:t>项目性质：</w:t>
      </w:r>
      <w:r>
        <w:rPr>
          <w:rFonts w:hint="eastAsia" w:ascii="仿宋" w:hAnsi="仿宋" w:eastAsia="仿宋" w:cs="宋体"/>
          <w:color w:val="auto"/>
          <w:sz w:val="24"/>
          <w:highlight w:val="none"/>
        </w:rPr>
        <w:t>服务</w:t>
      </w:r>
      <w:r>
        <w:rPr>
          <w:rFonts w:hint="eastAsia" w:ascii="仿宋" w:hAnsi="仿宋" w:eastAsia="仿宋" w:cs="仿宋"/>
          <w:color w:val="auto"/>
          <w:sz w:val="24"/>
          <w:highlight w:val="none"/>
        </w:rPr>
        <w:t>。</w:t>
      </w:r>
    </w:p>
    <w:p w14:paraId="1AFA8F38">
      <w:pPr>
        <w:adjustRightInd w:val="0"/>
        <w:snapToGrid w:val="0"/>
        <w:spacing w:line="360" w:lineRule="auto"/>
        <w:ind w:firstLine="480" w:firstLineChars="200"/>
        <w:jc w:val="lef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1.5预算金额：</w:t>
      </w:r>
      <w:r>
        <w:rPr>
          <w:rFonts w:hint="eastAsia" w:ascii="仿宋" w:hAnsi="仿宋" w:eastAsia="仿宋" w:cs="仿宋"/>
          <w:color w:val="auto"/>
          <w:sz w:val="24"/>
          <w:highlight w:val="none"/>
          <w:lang w:val="en-US" w:eastAsia="zh-CN"/>
        </w:rPr>
        <w:t>120</w:t>
      </w:r>
      <w:r>
        <w:rPr>
          <w:rFonts w:hint="eastAsia" w:ascii="仿宋" w:hAnsi="仿宋" w:eastAsia="仿宋" w:cs="仿宋"/>
          <w:color w:val="auto"/>
          <w:sz w:val="24"/>
          <w:highlight w:val="none"/>
        </w:rPr>
        <w:t>万元</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含税）</w:t>
      </w:r>
    </w:p>
    <w:p w14:paraId="3FD45215">
      <w:pPr>
        <w:adjustRightInd w:val="0"/>
        <w:snapToGrid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服务期限：自合同签订之日起</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年。</w:t>
      </w:r>
    </w:p>
    <w:p w14:paraId="0C1159B2">
      <w:pPr>
        <w:adjustRightInd w:val="0"/>
        <w:snapToGrid w:val="0"/>
        <w:spacing w:line="360" w:lineRule="auto"/>
        <w:ind w:firstLine="480" w:firstLineChars="200"/>
        <w:jc w:val="left"/>
        <w:rPr>
          <w:rFonts w:hint="eastAsia" w:ascii="仿宋" w:hAnsi="仿宋" w:eastAsia="仿宋" w:cs="宋体"/>
          <w:color w:val="auto"/>
          <w:sz w:val="24"/>
          <w:highlight w:val="none"/>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val="en-US" w:eastAsia="zh-CN"/>
        </w:rPr>
        <w:t>7</w:t>
      </w:r>
      <w:r>
        <w:rPr>
          <w:rFonts w:hint="eastAsia" w:ascii="仿宋" w:hAnsi="仿宋" w:eastAsia="仿宋" w:cs="宋体"/>
          <w:color w:val="auto"/>
          <w:sz w:val="24"/>
          <w:highlight w:val="none"/>
        </w:rPr>
        <w:t>服务地点：宜春市。</w:t>
      </w:r>
    </w:p>
    <w:p w14:paraId="2F7EA540">
      <w:pPr>
        <w:adjustRightInd w:val="0"/>
        <w:snapToGrid w:val="0"/>
        <w:spacing w:line="360" w:lineRule="auto"/>
        <w:ind w:firstLine="480" w:firstLineChars="200"/>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1.8本项目最高限价</w:t>
      </w:r>
      <w:r>
        <w:rPr>
          <w:rFonts w:hint="eastAsia" w:ascii="仿宋" w:hAnsi="仿宋" w:eastAsia="仿宋" w:cs="仿宋"/>
          <w:color w:val="000000"/>
          <w:sz w:val="24"/>
          <w:highlight w:val="none"/>
          <w:lang w:val="en-US" w:eastAsia="zh-CN"/>
        </w:rPr>
        <w:t>为单项最高限价</w:t>
      </w:r>
      <w:r>
        <w:rPr>
          <w:rFonts w:hint="eastAsia" w:ascii="仿宋" w:hAnsi="仿宋" w:eastAsia="仿宋" w:cs="仿宋"/>
          <w:color w:val="000000"/>
          <w:sz w:val="24"/>
          <w:highlight w:val="none"/>
        </w:rPr>
        <w:t>。</w:t>
      </w:r>
    </w:p>
    <w:p w14:paraId="7E607583">
      <w:pPr>
        <w:pStyle w:val="4"/>
        <w:ind w:firstLine="0" w:firstLineChars="0"/>
        <w:jc w:val="left"/>
        <w:rPr>
          <w:rFonts w:hint="eastAsia" w:ascii="仿宋" w:hAnsi="仿宋" w:eastAsia="仿宋" w:cs="仿宋"/>
          <w:color w:val="000000"/>
          <w:sz w:val="24"/>
          <w:szCs w:val="24"/>
          <w:highlight w:val="none"/>
        </w:rPr>
      </w:pPr>
      <w:bookmarkStart w:id="10" w:name="_Toc1671"/>
      <w:r>
        <w:rPr>
          <w:rFonts w:hint="eastAsia" w:ascii="仿宋" w:hAnsi="仿宋" w:eastAsia="仿宋" w:cs="仿宋"/>
          <w:color w:val="000000"/>
          <w:sz w:val="24"/>
          <w:szCs w:val="24"/>
          <w:highlight w:val="none"/>
        </w:rPr>
        <w:t>二、供应商资格要求</w:t>
      </w:r>
      <w:bookmarkEnd w:id="10"/>
    </w:p>
    <w:p w14:paraId="79E84ED6">
      <w:pPr>
        <w:spacing w:line="360" w:lineRule="auto"/>
        <w:ind w:firstLine="480" w:firstLineChars="200"/>
        <w:textAlignment w:val="baseline"/>
        <w:rPr>
          <w:rFonts w:hint="eastAsia" w:ascii="仿宋" w:hAnsi="仿宋" w:eastAsia="仿宋" w:cs="宋体"/>
          <w:color w:val="000000"/>
          <w:sz w:val="24"/>
          <w:highlight w:val="none"/>
        </w:rPr>
      </w:pPr>
      <w:r>
        <w:rPr>
          <w:rFonts w:hint="eastAsia" w:ascii="仿宋" w:hAnsi="仿宋" w:eastAsia="仿宋" w:cs="宋体"/>
          <w:color w:val="000000"/>
          <w:sz w:val="24"/>
          <w:highlight w:val="none"/>
        </w:rPr>
        <w:t>2.1</w:t>
      </w:r>
      <w:r>
        <w:rPr>
          <w:rFonts w:hint="eastAsia" w:ascii="仿宋" w:hAnsi="仿宋" w:eastAsia="仿宋" w:cs="宋体"/>
          <w:b/>
          <w:bCs/>
          <w:color w:val="000000"/>
          <w:sz w:val="24"/>
          <w:highlight w:val="none"/>
        </w:rPr>
        <w:t>在中华人民共和国境内依法登记的法人或其他组织，具有独立承担民事责任的能力，</w:t>
      </w:r>
      <w:r>
        <w:rPr>
          <w:rFonts w:hint="eastAsia" w:ascii="仿宋" w:hAnsi="仿宋" w:eastAsia="仿宋" w:cs="宋体"/>
          <w:color w:val="000000"/>
          <w:sz w:val="24"/>
          <w:highlight w:val="none"/>
        </w:rPr>
        <w:t>供应商如为企业法人，须提供企业法人营业执照</w:t>
      </w:r>
      <w:r>
        <w:rPr>
          <w:rFonts w:hint="eastAsia" w:ascii="仿宋" w:hAnsi="仿宋" w:eastAsia="仿宋" w:cs="Monaco"/>
          <w:color w:val="000000"/>
          <w:sz w:val="24"/>
        </w:rPr>
        <w:t>（复印件）</w:t>
      </w:r>
      <w:r>
        <w:rPr>
          <w:rFonts w:hint="eastAsia" w:ascii="仿宋" w:hAnsi="仿宋" w:eastAsia="仿宋" w:cs="宋体"/>
          <w:color w:val="000000"/>
          <w:sz w:val="24"/>
          <w:highlight w:val="none"/>
        </w:rPr>
        <w:t>；供应商如为事业单位或其他组织，须提供事业单位法人证书或登记证或组织机构代码证或其他有效证明文件（复印件）；</w:t>
      </w:r>
    </w:p>
    <w:p w14:paraId="46882247">
      <w:pPr>
        <w:spacing w:line="360" w:lineRule="auto"/>
        <w:ind w:firstLine="480" w:firstLineChars="200"/>
        <w:textAlignment w:val="baseline"/>
        <w:rPr>
          <w:rFonts w:hint="eastAsia" w:ascii="仿宋" w:hAnsi="仿宋" w:eastAsia="仿宋" w:cs="宋体"/>
          <w:color w:val="000000"/>
          <w:sz w:val="24"/>
          <w:highlight w:val="none"/>
        </w:rPr>
      </w:pPr>
      <w:r>
        <w:rPr>
          <w:rFonts w:hint="eastAsia" w:ascii="仿宋" w:hAnsi="仿宋" w:eastAsia="仿宋" w:cs="宋体"/>
          <w:color w:val="000000"/>
          <w:sz w:val="24"/>
          <w:highlight w:val="none"/>
        </w:rPr>
        <w:t>2.2</w:t>
      </w:r>
      <w:r>
        <w:rPr>
          <w:rFonts w:hint="eastAsia" w:ascii="仿宋" w:hAnsi="仿宋" w:eastAsia="仿宋" w:cs="宋体"/>
          <w:b/>
          <w:bCs/>
          <w:color w:val="000000"/>
          <w:sz w:val="24"/>
          <w:highlight w:val="none"/>
        </w:rPr>
        <w:t>具有良好的商业信誉和健全的财务会计制度</w:t>
      </w:r>
      <w:r>
        <w:rPr>
          <w:rFonts w:hint="eastAsia" w:ascii="仿宋" w:hAnsi="仿宋" w:eastAsia="仿宋" w:cs="宋体"/>
          <w:color w:val="000000"/>
          <w:sz w:val="24"/>
          <w:highlight w:val="none"/>
        </w:rPr>
        <w:t>，需</w:t>
      </w:r>
      <w:r>
        <w:rPr>
          <w:rFonts w:hint="eastAsia" w:ascii="仿宋" w:hAnsi="仿宋" w:eastAsia="仿宋" w:cs="宋体"/>
          <w:color w:val="auto"/>
          <w:sz w:val="24"/>
          <w:highlight w:val="none"/>
        </w:rPr>
        <w:t>提供20</w:t>
      </w:r>
      <w:r>
        <w:rPr>
          <w:rFonts w:hint="eastAsia" w:ascii="仿宋" w:hAnsi="仿宋" w:eastAsia="仿宋" w:cs="宋体"/>
          <w:color w:val="auto"/>
          <w:sz w:val="24"/>
          <w:highlight w:val="none"/>
          <w:lang w:val="en-US" w:eastAsia="zh-CN"/>
        </w:rPr>
        <w:t>24</w:t>
      </w:r>
      <w:r>
        <w:rPr>
          <w:rFonts w:hint="eastAsia" w:ascii="仿宋" w:hAnsi="仿宋" w:eastAsia="仿宋" w:cs="宋体"/>
          <w:color w:val="auto"/>
          <w:sz w:val="24"/>
          <w:highlight w:val="none"/>
        </w:rPr>
        <w:t>年</w:t>
      </w:r>
      <w:r>
        <w:rPr>
          <w:rFonts w:hint="eastAsia" w:ascii="仿宋" w:hAnsi="仿宋" w:eastAsia="仿宋" w:cs="宋体"/>
          <w:color w:val="000000"/>
          <w:sz w:val="24"/>
          <w:highlight w:val="none"/>
        </w:rPr>
        <w:t>度经会计师事务所或审计机构审计的财务审计报告及财务报表（至少包含会计师事务所或审计机构签章页、资产负债表、现金流量表、损益表/利润表）或提供响应文件递交截止日前6个月内开具的银行资信证明。</w:t>
      </w:r>
    </w:p>
    <w:p w14:paraId="191AA55D">
      <w:pPr>
        <w:spacing w:line="360" w:lineRule="auto"/>
        <w:ind w:firstLine="480" w:firstLineChars="200"/>
        <w:textAlignment w:val="baseline"/>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2.3 </w:t>
      </w:r>
      <w:r>
        <w:rPr>
          <w:rFonts w:hint="eastAsia" w:ascii="仿宋" w:hAnsi="仿宋" w:eastAsia="仿宋" w:cs="宋体"/>
          <w:b/>
          <w:bCs/>
          <w:color w:val="000000"/>
          <w:sz w:val="24"/>
          <w:highlight w:val="none"/>
        </w:rPr>
        <w:t>供应商应具有履行合同所必需的设备和专业技术能力</w:t>
      </w:r>
      <w:r>
        <w:rPr>
          <w:rFonts w:hint="eastAsia" w:ascii="仿宋" w:hAnsi="仿宋" w:eastAsia="仿宋" w:cs="宋体"/>
          <w:color w:val="000000"/>
          <w:sz w:val="24"/>
          <w:highlight w:val="none"/>
        </w:rPr>
        <w:t>。</w:t>
      </w:r>
    </w:p>
    <w:p w14:paraId="1EDDCA62">
      <w:pPr>
        <w:spacing w:line="360" w:lineRule="auto"/>
        <w:ind w:firstLine="480" w:firstLineChars="200"/>
        <w:textAlignment w:val="baseline"/>
        <w:rPr>
          <w:rFonts w:hint="eastAsia" w:ascii="仿宋" w:hAnsi="仿宋" w:eastAsia="仿宋" w:cs="宋体"/>
          <w:b w:val="0"/>
          <w:bCs w:val="0"/>
          <w:color w:val="000000"/>
          <w:sz w:val="24"/>
          <w:highlight w:val="none"/>
          <w:lang w:eastAsia="zh-CN"/>
        </w:rPr>
      </w:pPr>
      <w:r>
        <w:rPr>
          <w:rFonts w:hint="eastAsia" w:ascii="仿宋" w:hAnsi="仿宋" w:eastAsia="仿宋" w:cs="宋体"/>
          <w:b w:val="0"/>
          <w:bCs w:val="0"/>
          <w:color w:val="auto"/>
          <w:sz w:val="24"/>
          <w:szCs w:val="24"/>
          <w:highlight w:val="none"/>
          <w:lang w:val="en-US" w:eastAsia="zh-CN"/>
        </w:rPr>
        <w:t>2.</w:t>
      </w:r>
      <w:r>
        <w:rPr>
          <w:rFonts w:hint="eastAsia" w:ascii="仿宋" w:hAnsi="仿宋" w:eastAsia="仿宋" w:cs="宋体"/>
          <w:b w:val="0"/>
          <w:bCs w:val="0"/>
          <w:color w:val="000000"/>
          <w:sz w:val="24"/>
          <w:highlight w:val="none"/>
          <w:lang w:val="en-US" w:eastAsia="zh-CN"/>
        </w:rPr>
        <w:t>3.1</w:t>
      </w:r>
      <w:r>
        <w:rPr>
          <w:rFonts w:hint="eastAsia" w:ascii="仿宋" w:hAnsi="仿宋" w:eastAsia="仿宋" w:cs="宋体"/>
          <w:b w:val="0"/>
          <w:bCs w:val="0"/>
          <w:color w:val="000000"/>
          <w:sz w:val="24"/>
          <w:highlight w:val="none"/>
        </w:rPr>
        <w:t>近三年（20</w:t>
      </w:r>
      <w:r>
        <w:rPr>
          <w:rFonts w:hint="eastAsia" w:ascii="仿宋" w:hAnsi="仿宋" w:eastAsia="仿宋" w:cs="宋体"/>
          <w:b w:val="0"/>
          <w:bCs w:val="0"/>
          <w:color w:val="000000"/>
          <w:sz w:val="24"/>
          <w:highlight w:val="none"/>
          <w:lang w:val="en-US" w:eastAsia="zh-CN"/>
        </w:rPr>
        <w:t>22</w:t>
      </w:r>
      <w:r>
        <w:rPr>
          <w:rFonts w:hint="eastAsia" w:ascii="仿宋" w:hAnsi="仿宋" w:eastAsia="仿宋" w:cs="宋体"/>
          <w:b w:val="0"/>
          <w:bCs w:val="0"/>
          <w:color w:val="000000"/>
          <w:sz w:val="24"/>
          <w:highlight w:val="none"/>
        </w:rPr>
        <w:t>年1月1日至今）应具有</w:t>
      </w:r>
      <w:r>
        <w:rPr>
          <w:rFonts w:hint="eastAsia" w:ascii="仿宋" w:hAnsi="仿宋" w:eastAsia="仿宋" w:cs="宋体"/>
          <w:b w:val="0"/>
          <w:bCs w:val="0"/>
          <w:color w:val="000000"/>
          <w:sz w:val="24"/>
          <w:highlight w:val="none"/>
          <w:lang w:val="en-US" w:eastAsia="zh-CN"/>
        </w:rPr>
        <w:t>1</w:t>
      </w:r>
      <w:r>
        <w:rPr>
          <w:rFonts w:hint="eastAsia" w:ascii="仿宋" w:hAnsi="仿宋" w:eastAsia="仿宋" w:cs="宋体"/>
          <w:b w:val="0"/>
          <w:bCs w:val="0"/>
          <w:color w:val="000000"/>
          <w:sz w:val="24"/>
          <w:highlight w:val="none"/>
        </w:rPr>
        <w:t>个同类项目实施案例，并提供符合上述要求的合同关键页作为有效的业绩证明材料。合同关键页包含但不限于合同首页、合同标的页、签署日期页及盖章页等。如合同为框架协议类，须同时提供该框架协议下经双方确认的、发生具体采购/服务事项的相关材料。</w:t>
      </w:r>
    </w:p>
    <w:p w14:paraId="6C7F129E">
      <w:pPr>
        <w:shd w:val="clear"/>
        <w:spacing w:line="360" w:lineRule="auto"/>
        <w:ind w:firstLine="480" w:firstLineChars="200"/>
        <w:textAlignment w:val="baseline"/>
        <w:rPr>
          <w:rFonts w:hint="eastAsia"/>
          <w:color w:val="auto"/>
          <w:highlight w:val="none"/>
          <w:shd w:val="clear" w:color="auto" w:fill="auto"/>
        </w:rPr>
      </w:pPr>
      <w:r>
        <w:rPr>
          <w:rFonts w:hint="eastAsia" w:ascii="仿宋" w:hAnsi="仿宋" w:eastAsia="仿宋" w:cs="宋体"/>
          <w:b w:val="0"/>
          <w:bCs w:val="0"/>
          <w:color w:val="000000"/>
          <w:sz w:val="24"/>
          <w:highlight w:val="none"/>
          <w:shd w:val="clear" w:color="auto" w:fill="auto"/>
          <w:lang w:val="en-US" w:eastAsia="zh-CN"/>
        </w:rPr>
        <w:t>2.3.2投标人具有1人及以上的中级注册安全工程师。提供证书复印件及劳务聘用合同复印件。</w:t>
      </w:r>
    </w:p>
    <w:p w14:paraId="3A11A484">
      <w:pPr>
        <w:spacing w:line="360" w:lineRule="auto"/>
        <w:ind w:firstLine="480" w:firstLineChars="200"/>
        <w:textAlignment w:val="baseline"/>
        <w:rPr>
          <w:rFonts w:hint="eastAsia" w:ascii="仿宋" w:hAnsi="仿宋" w:eastAsia="仿宋" w:cs="宋体"/>
          <w:color w:val="000000"/>
          <w:sz w:val="24"/>
          <w:highlight w:val="none"/>
        </w:rPr>
      </w:pPr>
      <w:r>
        <w:rPr>
          <w:rFonts w:hint="eastAsia" w:ascii="仿宋" w:hAnsi="仿宋" w:eastAsia="仿宋" w:cs="宋体"/>
          <w:color w:val="000000"/>
          <w:sz w:val="24"/>
          <w:highlight w:val="none"/>
        </w:rPr>
        <w:t>2.4</w:t>
      </w:r>
      <w:r>
        <w:rPr>
          <w:rFonts w:hint="eastAsia" w:ascii="仿宋" w:hAnsi="仿宋" w:eastAsia="仿宋" w:cs="宋体"/>
          <w:b/>
          <w:bCs/>
          <w:color w:val="000000"/>
          <w:sz w:val="24"/>
          <w:highlight w:val="none"/>
        </w:rPr>
        <w:t>具有依法缴纳税收和社会保障资金的良好记录</w:t>
      </w:r>
      <w:r>
        <w:rPr>
          <w:rFonts w:hint="eastAsia" w:ascii="仿宋" w:hAnsi="仿宋" w:eastAsia="仿宋" w:cs="宋体"/>
          <w:color w:val="000000"/>
          <w:sz w:val="24"/>
          <w:highlight w:val="none"/>
        </w:rPr>
        <w:t>，提供近6个月任意一个月的税收和社会保障资金缴纳凭证。</w:t>
      </w:r>
    </w:p>
    <w:p w14:paraId="145F0FE9">
      <w:pPr>
        <w:spacing w:line="360" w:lineRule="auto"/>
        <w:ind w:firstLine="480" w:firstLineChars="200"/>
        <w:textAlignment w:val="baseline"/>
        <w:rPr>
          <w:rFonts w:hint="eastAsia" w:ascii="仿宋" w:hAnsi="仿宋" w:eastAsia="仿宋" w:cs="宋体"/>
          <w:color w:val="000000"/>
          <w:sz w:val="24"/>
          <w:highlight w:val="none"/>
        </w:rPr>
      </w:pPr>
      <w:r>
        <w:rPr>
          <w:rFonts w:hint="eastAsia" w:ascii="仿宋" w:hAnsi="仿宋" w:eastAsia="仿宋" w:cs="宋体"/>
          <w:color w:val="000000"/>
          <w:sz w:val="24"/>
          <w:highlight w:val="none"/>
        </w:rPr>
        <w:t>2.5</w:t>
      </w:r>
      <w:r>
        <w:rPr>
          <w:rFonts w:hint="eastAsia" w:ascii="仿宋" w:hAnsi="仿宋" w:eastAsia="仿宋" w:cs="宋体"/>
          <w:b/>
          <w:bCs/>
          <w:color w:val="000000"/>
          <w:sz w:val="24"/>
          <w:highlight w:val="none"/>
        </w:rPr>
        <w:t>供应商应经营状况良好，且近三年内（</w:t>
      </w:r>
      <w:r>
        <w:rPr>
          <w:rFonts w:hint="eastAsia" w:ascii="仿宋" w:hAnsi="仿宋" w:eastAsia="仿宋" w:cs="宋体"/>
          <w:b/>
          <w:bCs/>
          <w:color w:val="auto"/>
          <w:sz w:val="24"/>
          <w:highlight w:val="none"/>
        </w:rPr>
        <w:t>20</w:t>
      </w:r>
      <w:r>
        <w:rPr>
          <w:rFonts w:hint="eastAsia" w:ascii="仿宋" w:hAnsi="仿宋" w:eastAsia="仿宋" w:cs="宋体"/>
          <w:b/>
          <w:bCs/>
          <w:color w:val="auto"/>
          <w:sz w:val="24"/>
          <w:highlight w:val="none"/>
          <w:lang w:val="en-US" w:eastAsia="zh-CN"/>
        </w:rPr>
        <w:t>22</w:t>
      </w:r>
      <w:r>
        <w:rPr>
          <w:rFonts w:hint="eastAsia" w:ascii="仿宋" w:hAnsi="仿宋" w:eastAsia="仿宋" w:cs="宋体"/>
          <w:b/>
          <w:bCs/>
          <w:color w:val="000000"/>
          <w:sz w:val="24"/>
          <w:highlight w:val="none"/>
        </w:rPr>
        <w:t>年1月1日至今）无违法违规记录。</w:t>
      </w:r>
      <w:r>
        <w:rPr>
          <w:rFonts w:hint="eastAsia" w:ascii="仿宋" w:hAnsi="仿宋" w:eastAsia="仿宋" w:cs="宋体"/>
          <w:color w:val="000000"/>
          <w:sz w:val="24"/>
          <w:highlight w:val="none"/>
        </w:rPr>
        <w:t>违法违规记录是指被“信用中国”列入失信被执行人、重大税收违法失信主体、政府采购严重违法失信行为记录名单。供应商需提供自磋商公告发布之日至响应文件递交截止之日期间对以上三项内容的查询截图。</w:t>
      </w:r>
    </w:p>
    <w:p w14:paraId="786B9B74">
      <w:pPr>
        <w:spacing w:line="360" w:lineRule="auto"/>
        <w:ind w:firstLine="480" w:firstLineChars="200"/>
        <w:textAlignment w:val="baseline"/>
        <w:rPr>
          <w:rFonts w:hint="eastAsia" w:ascii="仿宋" w:hAnsi="仿宋" w:eastAsia="仿宋" w:cs="宋体"/>
          <w:color w:val="000000"/>
          <w:sz w:val="24"/>
          <w:highlight w:val="none"/>
        </w:rPr>
      </w:pPr>
      <w:r>
        <w:rPr>
          <w:rFonts w:hint="eastAsia" w:ascii="仿宋" w:hAnsi="仿宋" w:eastAsia="仿宋" w:cs="宋体"/>
          <w:color w:val="000000"/>
          <w:sz w:val="24"/>
          <w:highlight w:val="none"/>
        </w:rPr>
        <w:t>信用中国查询网址：https://www.creditchina.gov.cn/xinyongfuwu/?navPage=5</w:t>
      </w:r>
    </w:p>
    <w:p w14:paraId="7214937D">
      <w:pPr>
        <w:spacing w:line="360" w:lineRule="auto"/>
        <w:ind w:firstLine="480" w:firstLineChars="200"/>
        <w:textAlignment w:val="baseline"/>
        <w:rPr>
          <w:rFonts w:hint="eastAsia" w:ascii="仿宋" w:hAnsi="仿宋" w:eastAsia="仿宋" w:cs="宋体"/>
          <w:b/>
          <w:bCs/>
          <w:color w:val="000000"/>
          <w:sz w:val="24"/>
          <w:highlight w:val="none"/>
        </w:rPr>
      </w:pPr>
      <w:r>
        <w:rPr>
          <w:rFonts w:hint="eastAsia" w:ascii="仿宋" w:hAnsi="仿宋" w:eastAsia="仿宋" w:cs="宋体"/>
          <w:color w:val="000000"/>
          <w:sz w:val="24"/>
          <w:highlight w:val="none"/>
        </w:rPr>
        <w:t xml:space="preserve">2.6 </w:t>
      </w:r>
      <w:r>
        <w:rPr>
          <w:rFonts w:hint="eastAsia" w:ascii="仿宋" w:hAnsi="仿宋" w:eastAsia="仿宋" w:cs="宋体"/>
          <w:b/>
          <w:bCs/>
          <w:color w:val="000000"/>
          <w:sz w:val="24"/>
          <w:highlight w:val="none"/>
        </w:rPr>
        <w:t>严禁列入</w:t>
      </w:r>
      <w:r>
        <w:rPr>
          <w:rFonts w:hint="eastAsia" w:ascii="仿宋" w:hAnsi="仿宋" w:eastAsia="仿宋" w:cs="宋体"/>
          <w:b/>
          <w:bCs/>
          <w:color w:val="000000"/>
          <w:sz w:val="24"/>
          <w:highlight w:val="none"/>
          <w:lang w:val="en-US" w:eastAsia="zh-CN"/>
        </w:rPr>
        <w:t>采购</w:t>
      </w:r>
      <w:r>
        <w:rPr>
          <w:rFonts w:hint="eastAsia" w:ascii="仿宋" w:hAnsi="仿宋" w:eastAsia="仿宋" w:cs="宋体"/>
          <w:b/>
          <w:bCs/>
          <w:color w:val="000000"/>
          <w:sz w:val="24"/>
          <w:highlight w:val="none"/>
        </w:rPr>
        <w:t>人及其所隶属的中国人民保险各级机构的供应商黑名单且在禁入期内的供应商参与采购活动。</w:t>
      </w:r>
    </w:p>
    <w:p w14:paraId="0A0828D9">
      <w:pPr>
        <w:spacing w:line="360" w:lineRule="auto"/>
        <w:ind w:firstLine="480" w:firstLineChars="200"/>
        <w:textAlignment w:val="baseline"/>
        <w:rPr>
          <w:rFonts w:hint="eastAsia" w:ascii="仿宋" w:hAnsi="仿宋" w:eastAsia="仿宋" w:cs="宋体"/>
          <w:color w:val="000000"/>
          <w:sz w:val="24"/>
          <w:highlight w:val="none"/>
        </w:rPr>
      </w:pPr>
      <w:r>
        <w:rPr>
          <w:rFonts w:hint="eastAsia" w:ascii="仿宋" w:hAnsi="仿宋" w:eastAsia="仿宋" w:cs="宋体"/>
          <w:color w:val="000000"/>
          <w:sz w:val="24"/>
          <w:highlight w:val="none"/>
        </w:rPr>
        <w:t>2.7单位负责人为同一人或存在控股、管理关系的不同单位，不得参加同一标段/标包磋商响应或未划分标段/标包的同一采购项目的磋商响应，需填写《供应商控股及管理关系情况申报表》。</w:t>
      </w:r>
    </w:p>
    <w:p w14:paraId="33FF55FD">
      <w:pPr>
        <w:spacing w:line="360" w:lineRule="auto"/>
        <w:ind w:firstLine="480" w:firstLineChars="200"/>
        <w:textAlignment w:val="baseline"/>
        <w:rPr>
          <w:rFonts w:hint="eastAsia" w:ascii="仿宋" w:hAnsi="仿宋" w:eastAsia="仿宋" w:cs="宋体"/>
          <w:color w:val="000000"/>
          <w:sz w:val="24"/>
          <w:highlight w:val="none"/>
        </w:rPr>
      </w:pPr>
      <w:r>
        <w:rPr>
          <w:rFonts w:hint="eastAsia" w:ascii="仿宋" w:hAnsi="仿宋" w:eastAsia="仿宋" w:cs="宋体"/>
          <w:color w:val="000000"/>
          <w:sz w:val="24"/>
          <w:highlight w:val="none"/>
        </w:rPr>
        <w:t>2.8本项目不接受联合体磋商响应。</w:t>
      </w:r>
    </w:p>
    <w:p w14:paraId="006E8F5F">
      <w:pPr>
        <w:pStyle w:val="4"/>
        <w:ind w:firstLine="0" w:firstLineChars="0"/>
        <w:jc w:val="left"/>
        <w:rPr>
          <w:rFonts w:hint="eastAsia" w:ascii="仿宋" w:hAnsi="仿宋" w:eastAsia="仿宋" w:cs="仿宋"/>
          <w:color w:val="000000"/>
          <w:sz w:val="24"/>
          <w:szCs w:val="24"/>
          <w:highlight w:val="none"/>
        </w:rPr>
      </w:pPr>
      <w:bookmarkStart w:id="11" w:name="_Toc3534"/>
      <w:r>
        <w:rPr>
          <w:rFonts w:hint="eastAsia" w:ascii="仿宋" w:hAnsi="仿宋" w:eastAsia="仿宋" w:cs="仿宋"/>
          <w:color w:val="000000"/>
          <w:sz w:val="24"/>
          <w:szCs w:val="24"/>
          <w:highlight w:val="none"/>
        </w:rPr>
        <w:t>三、资格审查方法</w:t>
      </w:r>
      <w:bookmarkEnd w:id="11"/>
    </w:p>
    <w:p w14:paraId="2335529C">
      <w:pPr>
        <w:spacing w:line="360" w:lineRule="auto"/>
        <w:ind w:firstLine="480" w:firstLineChars="200"/>
        <w:textAlignment w:val="baseline"/>
        <w:rPr>
          <w:rFonts w:ascii="仿宋" w:hAnsi="仿宋" w:eastAsia="仿宋" w:cs="仿宋"/>
          <w:color w:val="000000"/>
          <w:sz w:val="24"/>
          <w:highlight w:val="none"/>
        </w:rPr>
      </w:pPr>
      <w:r>
        <w:rPr>
          <w:rFonts w:hint="eastAsia" w:ascii="仿宋" w:hAnsi="仿宋" w:eastAsia="仿宋" w:cs="仿宋"/>
          <w:color w:val="auto"/>
          <w:sz w:val="24"/>
          <w:highlight w:val="none"/>
        </w:rPr>
        <w:t>本项目将进行资格后审，资格审查方法为合格制，资格审查标准和内容见磋商文件第三章评审办法。未通过资格后审</w:t>
      </w:r>
      <w:r>
        <w:rPr>
          <w:rFonts w:hint="eastAsia" w:ascii="仿宋" w:hAnsi="仿宋" w:eastAsia="仿宋" w:cs="仿宋"/>
          <w:color w:val="000000"/>
          <w:sz w:val="24"/>
          <w:highlight w:val="none"/>
        </w:rPr>
        <w:t>的供应商，响应文件将被否决，不进入磋商、详细评审等后续环节。</w:t>
      </w:r>
    </w:p>
    <w:p w14:paraId="45DB5903">
      <w:pPr>
        <w:pStyle w:val="4"/>
        <w:spacing w:after="240"/>
        <w:ind w:firstLine="0" w:firstLineChars="0"/>
        <w:jc w:val="left"/>
        <w:rPr>
          <w:rFonts w:hint="eastAsia" w:ascii="仿宋" w:hAnsi="仿宋" w:eastAsia="仿宋" w:cs="仿宋"/>
          <w:color w:val="000000"/>
          <w:sz w:val="24"/>
          <w:szCs w:val="24"/>
          <w:highlight w:val="none"/>
        </w:rPr>
      </w:pPr>
      <w:bookmarkStart w:id="12" w:name="_Toc3105"/>
      <w:r>
        <w:rPr>
          <w:rFonts w:hint="eastAsia" w:ascii="仿宋" w:hAnsi="仿宋" w:eastAsia="仿宋" w:cs="仿宋"/>
          <w:color w:val="000000"/>
          <w:sz w:val="24"/>
          <w:szCs w:val="24"/>
          <w:highlight w:val="none"/>
        </w:rPr>
        <w:t>四、磋商文件的获取</w:t>
      </w:r>
      <w:bookmarkEnd w:id="12"/>
    </w:p>
    <w:p w14:paraId="2409D79B">
      <w:pPr>
        <w:pStyle w:val="83"/>
        <w:adjustRightInd w:val="0"/>
        <w:snapToGrid w:val="0"/>
        <w:ind w:firstLineChars="175"/>
        <w:jc w:val="left"/>
        <w:rPr>
          <w:rFonts w:hint="eastAsia" w:ascii="仿宋" w:hAnsi="仿宋" w:eastAsia="仿宋" w:cs="仿宋"/>
          <w:color w:val="FF0000"/>
          <w:sz w:val="24"/>
          <w:szCs w:val="24"/>
          <w:highlight w:val="none"/>
        </w:rPr>
      </w:pPr>
      <w:r>
        <w:rPr>
          <w:rFonts w:ascii="仿宋" w:hAnsi="仿宋" w:eastAsia="仿宋" w:cs="仿宋"/>
          <w:color w:val="000000"/>
          <w:sz w:val="24"/>
          <w:szCs w:val="24"/>
          <w:highlight w:val="none"/>
        </w:rPr>
        <w:t>4</w:t>
      </w:r>
      <w:r>
        <w:rPr>
          <w:rFonts w:hint="eastAsia" w:ascii="仿宋" w:hAnsi="仿宋" w:eastAsia="仿宋" w:cs="仿宋"/>
          <w:color w:val="000000"/>
          <w:sz w:val="24"/>
          <w:szCs w:val="24"/>
          <w:highlight w:val="none"/>
        </w:rPr>
        <w:t>.1磋商文件</w:t>
      </w:r>
      <w:r>
        <w:rPr>
          <w:rFonts w:hint="eastAsia" w:ascii="仿宋" w:hAnsi="仿宋" w:eastAsia="仿宋" w:cs="宋体"/>
          <w:color w:val="000000"/>
          <w:sz w:val="24"/>
          <w:szCs w:val="24"/>
          <w:highlight w:val="none"/>
        </w:rPr>
        <w:t>获取</w:t>
      </w:r>
      <w:r>
        <w:rPr>
          <w:rFonts w:hint="eastAsia" w:ascii="仿宋" w:hAnsi="仿宋" w:eastAsia="仿宋" w:cs="仿宋"/>
          <w:color w:val="000000"/>
          <w:sz w:val="24"/>
          <w:szCs w:val="24"/>
          <w:highlight w:val="none"/>
        </w:rPr>
        <w:t>时间：</w:t>
      </w:r>
      <w:r>
        <w:rPr>
          <w:rFonts w:hint="eastAsia" w:ascii="仿宋" w:hAnsi="仿宋" w:eastAsia="仿宋" w:cs="仿宋"/>
          <w:color w:val="000000"/>
          <w:sz w:val="24"/>
          <w:szCs w:val="24"/>
          <w:highlight w:val="none"/>
          <w:shd w:val="clear"/>
        </w:rPr>
        <w:t>2025年</w:t>
      </w:r>
      <w:r>
        <w:rPr>
          <w:rFonts w:hint="eastAsia" w:ascii="仿宋" w:hAnsi="仿宋" w:eastAsia="仿宋" w:cs="仿宋"/>
          <w:color w:val="000000"/>
          <w:sz w:val="24"/>
          <w:szCs w:val="24"/>
          <w:highlight w:val="none"/>
          <w:shd w:val="clear"/>
          <w:lang w:val="en-US" w:eastAsia="zh-CN"/>
        </w:rPr>
        <w:t>10</w:t>
      </w:r>
      <w:r>
        <w:rPr>
          <w:rFonts w:hint="eastAsia" w:ascii="仿宋" w:hAnsi="仿宋" w:eastAsia="仿宋" w:cs="仿宋"/>
          <w:color w:val="000000"/>
          <w:sz w:val="24"/>
          <w:szCs w:val="24"/>
          <w:highlight w:val="none"/>
          <w:shd w:val="clear"/>
        </w:rPr>
        <w:t>月</w:t>
      </w:r>
      <w:r>
        <w:rPr>
          <w:rFonts w:hint="eastAsia" w:ascii="仿宋" w:hAnsi="仿宋" w:eastAsia="仿宋" w:cs="仿宋"/>
          <w:color w:val="000000"/>
          <w:sz w:val="24"/>
          <w:szCs w:val="24"/>
          <w:highlight w:val="none"/>
          <w:shd w:val="clear"/>
          <w:lang w:val="en-US" w:eastAsia="zh-CN"/>
        </w:rPr>
        <w:t>23</w:t>
      </w:r>
      <w:r>
        <w:rPr>
          <w:rFonts w:hint="eastAsia" w:ascii="仿宋" w:hAnsi="仿宋" w:eastAsia="仿宋" w:cs="仿宋"/>
          <w:color w:val="000000"/>
          <w:sz w:val="24"/>
          <w:szCs w:val="24"/>
          <w:highlight w:val="none"/>
          <w:shd w:val="clear"/>
        </w:rPr>
        <w:t>日至2025年</w:t>
      </w:r>
      <w:r>
        <w:rPr>
          <w:rFonts w:hint="eastAsia" w:ascii="仿宋" w:hAnsi="仿宋" w:eastAsia="仿宋" w:cs="仿宋"/>
          <w:color w:val="000000"/>
          <w:sz w:val="24"/>
          <w:szCs w:val="24"/>
          <w:highlight w:val="none"/>
          <w:shd w:val="clear"/>
          <w:lang w:val="en-US" w:eastAsia="zh-CN"/>
        </w:rPr>
        <w:t>10</w:t>
      </w:r>
      <w:r>
        <w:rPr>
          <w:rFonts w:hint="eastAsia" w:ascii="仿宋" w:hAnsi="仿宋" w:eastAsia="仿宋" w:cs="仿宋"/>
          <w:color w:val="000000"/>
          <w:sz w:val="24"/>
          <w:szCs w:val="24"/>
          <w:highlight w:val="none"/>
          <w:shd w:val="clear"/>
        </w:rPr>
        <w:t>月</w:t>
      </w:r>
      <w:r>
        <w:rPr>
          <w:rFonts w:hint="eastAsia" w:ascii="仿宋" w:hAnsi="仿宋" w:eastAsia="仿宋" w:cs="仿宋"/>
          <w:color w:val="000000"/>
          <w:sz w:val="24"/>
          <w:szCs w:val="24"/>
          <w:highlight w:val="none"/>
          <w:shd w:val="clear"/>
          <w:lang w:val="en-US" w:eastAsia="zh-CN"/>
        </w:rPr>
        <w:t>31</w:t>
      </w:r>
      <w:r>
        <w:rPr>
          <w:rFonts w:hint="eastAsia" w:ascii="仿宋" w:hAnsi="仿宋" w:eastAsia="仿宋" w:cs="仿宋"/>
          <w:color w:val="000000"/>
          <w:sz w:val="24"/>
          <w:szCs w:val="24"/>
          <w:highlight w:val="none"/>
        </w:rPr>
        <w:t>日，上午09时至12时，下午14时至17时（北京时间）</w:t>
      </w:r>
      <w:r>
        <w:rPr>
          <w:rFonts w:hint="eastAsia" w:ascii="仿宋" w:hAnsi="仿宋" w:eastAsia="仿宋" w:cs="宋体"/>
          <w:color w:val="FF0000"/>
          <w:sz w:val="24"/>
          <w:szCs w:val="24"/>
          <w:highlight w:val="none"/>
        </w:rPr>
        <w:t>。</w:t>
      </w:r>
    </w:p>
    <w:p w14:paraId="0ED03B50">
      <w:pPr>
        <w:spacing w:line="360" w:lineRule="auto"/>
        <w:ind w:firstLine="480"/>
        <w:rPr>
          <w:rFonts w:ascii="仿宋" w:hAnsi="仿宋" w:eastAsia="仿宋" w:cs="宋体"/>
          <w:sz w:val="24"/>
        </w:rPr>
      </w:pPr>
      <w:r>
        <w:rPr>
          <w:rFonts w:ascii="仿宋" w:hAnsi="仿宋" w:eastAsia="仿宋" w:cs="宋体"/>
          <w:color w:val="000000"/>
          <w:sz w:val="24"/>
          <w:highlight w:val="none"/>
        </w:rPr>
        <w:t>4</w:t>
      </w:r>
      <w:r>
        <w:rPr>
          <w:rFonts w:hint="eastAsia" w:ascii="仿宋" w:hAnsi="仿宋" w:eastAsia="仿宋" w:cs="宋体"/>
          <w:color w:val="000000"/>
          <w:sz w:val="24"/>
          <w:highlight w:val="none"/>
        </w:rPr>
        <w:t>.2</w:t>
      </w:r>
      <w:r>
        <w:rPr>
          <w:rFonts w:hint="eastAsia" w:ascii="仿宋" w:hAnsi="仿宋" w:eastAsia="仿宋" w:cs="宋体"/>
          <w:sz w:val="24"/>
        </w:rPr>
        <w:t>文件获取方式如下：</w:t>
      </w:r>
    </w:p>
    <w:p w14:paraId="667BC574">
      <w:pPr>
        <w:spacing w:line="360" w:lineRule="auto"/>
        <w:ind w:firstLine="480"/>
        <w:rPr>
          <w:rFonts w:ascii="仿宋" w:hAnsi="仿宋" w:eastAsia="仿宋" w:cs="宋体"/>
          <w:sz w:val="24"/>
        </w:rPr>
      </w:pPr>
      <w:r>
        <w:rPr>
          <w:rFonts w:hint="eastAsia" w:ascii="仿宋" w:hAnsi="仿宋" w:eastAsia="仿宋" w:cs="宋体"/>
          <w:sz w:val="24"/>
        </w:rPr>
        <w:t>获取地点及方式：网上发送。供应商采取发送电子邮件方式递交报名资料，邮件主题：项目名称+项目编号+公司名称；邮件内容：列明公司名称、法定代表人或授权代表人姓名及联系方式、报名费转账凭证；邮件附件：需采用A4纸幅面，将报名材料加盖企业鲜章，按顺序制作成1个PDF格式文件，文件名称与主题一致，复印件扫描无效。报名材料审核通过后，代理机构联系人向供应商邮箱发送磋商文件电子版；审核未通过的，代理联系人以邮件形式回复审核情况，供应商可在磋商文件申领时间内重新提交材料。代理机构邮箱：1</w:t>
      </w:r>
      <w:r>
        <w:rPr>
          <w:rFonts w:hint="eastAsia" w:ascii="仿宋" w:hAnsi="仿宋" w:eastAsia="仿宋" w:cs="宋体"/>
          <w:sz w:val="24"/>
          <w:lang w:val="en-US" w:eastAsia="zh-CN"/>
        </w:rPr>
        <w:t>224219142</w:t>
      </w:r>
      <w:r>
        <w:rPr>
          <w:rFonts w:hint="eastAsia" w:ascii="仿宋" w:hAnsi="仿宋" w:eastAsia="仿宋" w:cs="宋体"/>
          <w:sz w:val="24"/>
        </w:rPr>
        <w:t>@qq.com。</w:t>
      </w:r>
      <w:r>
        <w:rPr>
          <w:rFonts w:hint="eastAsia" w:ascii="仿宋" w:hAnsi="仿宋" w:eastAsia="仿宋" w:cs="宋体"/>
          <w:sz w:val="24"/>
        </w:rPr>
        <w:br w:type="textWrapping"/>
      </w:r>
      <w:r>
        <w:rPr>
          <w:rFonts w:hint="eastAsia" w:ascii="仿宋" w:hAnsi="仿宋" w:eastAsia="仿宋" w:cs="宋体"/>
          <w:sz w:val="24"/>
        </w:rPr>
        <w:t>报名所需材料：</w:t>
      </w:r>
    </w:p>
    <w:p w14:paraId="5E792E42">
      <w:pPr>
        <w:spacing w:line="360" w:lineRule="auto"/>
        <w:ind w:firstLine="480"/>
        <w:rPr>
          <w:rFonts w:ascii="仿宋" w:hAnsi="仿宋" w:eastAsia="仿宋" w:cs="宋体"/>
          <w:sz w:val="24"/>
        </w:rPr>
      </w:pPr>
      <w:r>
        <w:rPr>
          <w:rFonts w:hint="eastAsia" w:ascii="仿宋" w:hAnsi="仿宋" w:eastAsia="仿宋" w:cs="宋体"/>
          <w:sz w:val="24"/>
        </w:rPr>
        <w:t>（1）本单位有效的营业执照副本复印件并加盖单位公章的扫描件；</w:t>
      </w:r>
    </w:p>
    <w:p w14:paraId="003A171F">
      <w:pPr>
        <w:spacing w:line="360" w:lineRule="auto"/>
        <w:ind w:firstLine="480"/>
        <w:rPr>
          <w:rFonts w:ascii="仿宋" w:hAnsi="仿宋" w:eastAsia="仿宋" w:cs="宋体"/>
          <w:sz w:val="24"/>
        </w:rPr>
      </w:pPr>
      <w:r>
        <w:rPr>
          <w:rFonts w:hint="eastAsia" w:ascii="仿宋" w:hAnsi="仿宋" w:eastAsia="仿宋" w:cs="宋体"/>
          <w:sz w:val="24"/>
        </w:rPr>
        <w:t>（2）法定代表人授权委托书并加盖单位公章的原件扫描件；</w:t>
      </w:r>
    </w:p>
    <w:p w14:paraId="25038D23">
      <w:pPr>
        <w:spacing w:line="360" w:lineRule="auto"/>
        <w:ind w:firstLine="480"/>
        <w:rPr>
          <w:rFonts w:ascii="仿宋" w:hAnsi="仿宋" w:eastAsia="仿宋" w:cs="宋体"/>
          <w:sz w:val="24"/>
        </w:rPr>
      </w:pPr>
      <w:r>
        <w:rPr>
          <w:rFonts w:hint="eastAsia" w:ascii="仿宋" w:hAnsi="仿宋" w:eastAsia="仿宋" w:cs="宋体"/>
          <w:sz w:val="24"/>
        </w:rPr>
        <w:t>（3）法人及授权人身份证正反面复印件并加盖单位公章的扫描件；</w:t>
      </w:r>
    </w:p>
    <w:p w14:paraId="7362567E">
      <w:pPr>
        <w:spacing w:line="360" w:lineRule="auto"/>
        <w:ind w:firstLine="480"/>
        <w:rPr>
          <w:rFonts w:ascii="仿宋" w:hAnsi="仿宋" w:eastAsia="仿宋" w:cs="宋体"/>
          <w:sz w:val="24"/>
        </w:rPr>
      </w:pPr>
      <w:r>
        <w:rPr>
          <w:rFonts w:hint="eastAsia" w:ascii="仿宋" w:hAnsi="仿宋" w:eastAsia="仿宋" w:cs="宋体"/>
          <w:sz w:val="24"/>
        </w:rPr>
        <w:t>（4）报名费转帐凭证。</w:t>
      </w:r>
    </w:p>
    <w:p w14:paraId="00580F86">
      <w:pPr>
        <w:pStyle w:val="13"/>
        <w:spacing w:line="360" w:lineRule="auto"/>
        <w:ind w:firstLine="480" w:firstLineChars="200"/>
        <w:rPr>
          <w:rFonts w:hint="eastAsia" w:ascii="仿宋" w:hAnsi="仿宋" w:eastAsia="仿宋" w:cs="仿宋_GB2312"/>
          <w:sz w:val="24"/>
          <w:szCs w:val="24"/>
          <w:highlight w:val="none"/>
        </w:rPr>
      </w:pPr>
      <w:r>
        <w:rPr>
          <w:rFonts w:hint="eastAsia" w:ascii="仿宋" w:hAnsi="仿宋" w:eastAsia="仿宋" w:cs="宋体"/>
          <w:sz w:val="24"/>
        </w:rPr>
        <w:t>4.3文件售价：300元；售后不退。</w:t>
      </w:r>
    </w:p>
    <w:p w14:paraId="1EECA404">
      <w:pPr>
        <w:pStyle w:val="4"/>
        <w:ind w:firstLine="0" w:firstLineChars="0"/>
        <w:jc w:val="left"/>
        <w:rPr>
          <w:rFonts w:hint="eastAsia" w:ascii="仿宋" w:hAnsi="仿宋" w:eastAsia="仿宋" w:cs="仿宋"/>
          <w:color w:val="000000"/>
          <w:sz w:val="24"/>
          <w:szCs w:val="24"/>
          <w:highlight w:val="none"/>
        </w:rPr>
      </w:pPr>
      <w:bookmarkStart w:id="13" w:name="_Toc5149"/>
      <w:r>
        <w:rPr>
          <w:rFonts w:hint="eastAsia" w:ascii="仿宋" w:hAnsi="仿宋" w:eastAsia="仿宋" w:cs="仿宋"/>
          <w:color w:val="000000"/>
          <w:sz w:val="24"/>
          <w:szCs w:val="24"/>
          <w:highlight w:val="none"/>
        </w:rPr>
        <w:t>五、响应文件的递交</w:t>
      </w:r>
      <w:bookmarkEnd w:id="13"/>
    </w:p>
    <w:p w14:paraId="44FB2539">
      <w:pPr>
        <w:spacing w:line="360" w:lineRule="auto"/>
        <w:ind w:firstLine="480" w:firstLineChars="200"/>
        <w:textAlignment w:val="baseline"/>
        <w:rPr>
          <w:rFonts w:hint="eastAsia" w:ascii="仿宋" w:hAnsi="仿宋" w:eastAsia="仿宋" w:cs="宋体"/>
          <w:color w:val="auto"/>
          <w:sz w:val="24"/>
          <w:highlight w:val="none"/>
        </w:rPr>
      </w:pPr>
      <w:r>
        <w:rPr>
          <w:rFonts w:ascii="仿宋" w:hAnsi="仿宋" w:eastAsia="仿宋" w:cs="宋体"/>
          <w:color w:val="auto"/>
          <w:sz w:val="24"/>
          <w:highlight w:val="none"/>
        </w:rPr>
        <w:t>5</w:t>
      </w:r>
      <w:r>
        <w:rPr>
          <w:rFonts w:hint="eastAsia" w:ascii="仿宋" w:hAnsi="仿宋" w:eastAsia="仿宋" w:cs="宋体"/>
          <w:color w:val="auto"/>
          <w:sz w:val="24"/>
          <w:highlight w:val="none"/>
        </w:rPr>
        <w:t>.1响应文件递交截止时间：</w:t>
      </w:r>
      <w:r>
        <w:rPr>
          <w:rFonts w:hint="eastAsia" w:ascii="仿宋" w:hAnsi="仿宋" w:eastAsia="仿宋" w:cs="宋体"/>
          <w:color w:val="auto"/>
          <w:sz w:val="24"/>
          <w:highlight w:val="none"/>
          <w:u w:val="single"/>
        </w:rPr>
        <w:t>20</w:t>
      </w:r>
      <w:r>
        <w:rPr>
          <w:rFonts w:hint="eastAsia" w:ascii="仿宋" w:hAnsi="仿宋" w:eastAsia="仿宋" w:cs="宋体"/>
          <w:color w:val="auto"/>
          <w:sz w:val="24"/>
          <w:highlight w:val="none"/>
          <w:u w:val="single"/>
          <w:lang w:val="en-US" w:eastAsia="zh-CN"/>
        </w:rPr>
        <w:t>25</w:t>
      </w:r>
      <w:r>
        <w:rPr>
          <w:rFonts w:hint="eastAsia" w:ascii="仿宋" w:hAnsi="仿宋" w:eastAsia="仿宋" w:cs="宋体"/>
          <w:color w:val="auto"/>
          <w:sz w:val="24"/>
          <w:highlight w:val="none"/>
          <w:u w:val="single"/>
        </w:rPr>
        <w:t>年</w:t>
      </w:r>
      <w:r>
        <w:rPr>
          <w:rFonts w:hint="eastAsia" w:ascii="仿宋" w:hAnsi="仿宋" w:eastAsia="仿宋" w:cs="宋体"/>
          <w:color w:val="auto"/>
          <w:sz w:val="24"/>
          <w:highlight w:val="none"/>
          <w:u w:val="single"/>
          <w:lang w:val="en-US" w:eastAsia="zh-CN"/>
        </w:rPr>
        <w:t>11</w:t>
      </w:r>
      <w:r>
        <w:rPr>
          <w:rFonts w:hint="eastAsia" w:ascii="仿宋" w:hAnsi="仿宋" w:eastAsia="仿宋" w:cs="宋体"/>
          <w:color w:val="auto"/>
          <w:sz w:val="24"/>
          <w:highlight w:val="none"/>
          <w:u w:val="single"/>
        </w:rPr>
        <w:t>月</w:t>
      </w:r>
      <w:r>
        <w:rPr>
          <w:rFonts w:hint="eastAsia" w:ascii="仿宋" w:hAnsi="仿宋" w:eastAsia="仿宋" w:cs="宋体"/>
          <w:color w:val="auto"/>
          <w:sz w:val="24"/>
          <w:highlight w:val="none"/>
          <w:u w:val="single"/>
          <w:lang w:val="en-US" w:eastAsia="zh-CN"/>
        </w:rPr>
        <w:t>7</w:t>
      </w:r>
      <w:r>
        <w:rPr>
          <w:rFonts w:hint="eastAsia" w:ascii="仿宋" w:hAnsi="仿宋" w:eastAsia="仿宋" w:cs="宋体"/>
          <w:color w:val="auto"/>
          <w:sz w:val="24"/>
          <w:highlight w:val="none"/>
          <w:u w:val="single"/>
        </w:rPr>
        <w:t>日</w:t>
      </w:r>
      <w:r>
        <w:rPr>
          <w:rFonts w:hint="eastAsia" w:ascii="仿宋" w:hAnsi="仿宋" w:eastAsia="仿宋" w:cs="宋体"/>
          <w:color w:val="auto"/>
          <w:sz w:val="24"/>
          <w:highlight w:val="none"/>
          <w:u w:val="single"/>
          <w:lang w:val="en-US" w:eastAsia="zh-CN"/>
        </w:rPr>
        <w:t>10</w:t>
      </w:r>
      <w:r>
        <w:rPr>
          <w:rFonts w:hint="eastAsia" w:ascii="仿宋" w:hAnsi="仿宋" w:eastAsia="仿宋" w:cs="宋体"/>
          <w:color w:val="auto"/>
          <w:sz w:val="24"/>
          <w:highlight w:val="none"/>
          <w:u w:val="single"/>
        </w:rPr>
        <w:t>时</w:t>
      </w:r>
      <w:r>
        <w:rPr>
          <w:rFonts w:hint="eastAsia" w:ascii="仿宋" w:hAnsi="仿宋" w:eastAsia="仿宋" w:cs="宋体"/>
          <w:color w:val="auto"/>
          <w:sz w:val="24"/>
          <w:highlight w:val="none"/>
          <w:u w:val="single"/>
          <w:lang w:val="en-US" w:eastAsia="zh-CN"/>
        </w:rPr>
        <w:t>00</w:t>
      </w:r>
      <w:r>
        <w:rPr>
          <w:rFonts w:hint="eastAsia" w:ascii="仿宋" w:hAnsi="仿宋" w:eastAsia="仿宋" w:cs="宋体"/>
          <w:color w:val="auto"/>
          <w:sz w:val="24"/>
          <w:highlight w:val="none"/>
          <w:u w:val="single"/>
        </w:rPr>
        <w:t>分00秒</w:t>
      </w:r>
      <w:r>
        <w:rPr>
          <w:rFonts w:hint="eastAsia" w:ascii="仿宋" w:hAnsi="仿宋" w:eastAsia="仿宋" w:cs="宋体"/>
          <w:color w:val="auto"/>
          <w:sz w:val="24"/>
          <w:highlight w:val="none"/>
        </w:rPr>
        <w:t>。</w:t>
      </w:r>
    </w:p>
    <w:p w14:paraId="4E2CDC51">
      <w:pPr>
        <w:spacing w:line="360" w:lineRule="auto"/>
        <w:ind w:firstLine="480" w:firstLineChars="200"/>
        <w:jc w:val="left"/>
        <w:textAlignment w:val="baseline"/>
        <w:rPr>
          <w:rFonts w:hint="eastAsia"/>
          <w:color w:val="auto"/>
          <w:highlight w:val="none"/>
        </w:rPr>
      </w:pPr>
      <w:r>
        <w:rPr>
          <w:rFonts w:hint="eastAsia" w:ascii="仿宋" w:hAnsi="仿宋" w:eastAsia="仿宋" w:cs="宋体"/>
          <w:color w:val="auto"/>
          <w:sz w:val="24"/>
          <w:highlight w:val="none"/>
        </w:rPr>
        <w:t>5.2响应文件的递交：须现场递交至江西省宜春市袁州区袁山中路258号5楼会议室，</w:t>
      </w:r>
      <w:r>
        <w:rPr>
          <w:rFonts w:hint="eastAsia" w:ascii="仿宋" w:hAnsi="仿宋" w:eastAsia="仿宋" w:cs="宋体"/>
          <w:b/>
          <w:bCs/>
          <w:color w:val="auto"/>
          <w:sz w:val="24"/>
          <w:highlight w:val="none"/>
        </w:rPr>
        <w:t>逾期送达或者未送达指定地点或者未按照磋商文件要求封装的纸质响应文件不予接收。</w:t>
      </w:r>
    </w:p>
    <w:p w14:paraId="4D0743EB">
      <w:pPr>
        <w:spacing w:line="360" w:lineRule="auto"/>
        <w:ind w:firstLine="480" w:firstLineChars="200"/>
        <w:textAlignment w:val="baseline"/>
        <w:rPr>
          <w:rFonts w:hint="eastAsia" w:ascii="仿宋" w:hAnsi="仿宋" w:eastAsia="仿宋" w:cs="宋体"/>
          <w:b w:val="0"/>
          <w:bCs w:val="0"/>
          <w:color w:val="auto"/>
          <w:kern w:val="2"/>
          <w:sz w:val="24"/>
          <w:szCs w:val="24"/>
          <w:highlight w:val="none"/>
          <w:lang w:val="en-US" w:eastAsia="zh-CN" w:bidi="ar-SA"/>
        </w:rPr>
      </w:pPr>
      <w:r>
        <w:rPr>
          <w:rFonts w:hint="eastAsia" w:ascii="仿宋" w:hAnsi="仿宋" w:eastAsia="仿宋" w:cs="宋体"/>
          <w:b w:val="0"/>
          <w:color w:val="auto"/>
          <w:kern w:val="2"/>
          <w:sz w:val="24"/>
          <w:szCs w:val="24"/>
          <w:highlight w:val="none"/>
          <w:lang w:val="en-US" w:eastAsia="zh-CN" w:bidi="ar-SA"/>
        </w:rPr>
        <w:t>5.3</w:t>
      </w:r>
      <w:r>
        <w:rPr>
          <w:rFonts w:hint="eastAsia" w:ascii="仿宋" w:hAnsi="仿宋" w:eastAsia="仿宋" w:cs="宋体"/>
          <w:b w:val="0"/>
          <w:bCs w:val="0"/>
          <w:color w:val="auto"/>
          <w:kern w:val="2"/>
          <w:sz w:val="24"/>
          <w:szCs w:val="24"/>
          <w:highlight w:val="none"/>
          <w:lang w:val="en-US" w:eastAsia="zh-CN" w:bidi="ar-SA"/>
        </w:rPr>
        <w:t>本项目将于上述同一时间、地点进行磋商，采购人/采购代理机构邀请供应商代表准时参加。</w:t>
      </w:r>
    </w:p>
    <w:p w14:paraId="22D81E8D">
      <w:pPr>
        <w:spacing w:line="360" w:lineRule="auto"/>
        <w:ind w:firstLine="480" w:firstLineChars="200"/>
        <w:textAlignment w:val="baseline"/>
        <w:rPr>
          <w:rFonts w:hint="eastAsia" w:ascii="仿宋" w:hAnsi="仿宋" w:eastAsia="仿宋" w:cs="宋体"/>
          <w:b/>
          <w:bCs/>
          <w:color w:val="auto"/>
          <w:kern w:val="2"/>
          <w:sz w:val="24"/>
          <w:szCs w:val="24"/>
          <w:highlight w:val="none"/>
          <w:lang w:val="en-US" w:eastAsia="zh-CN" w:bidi="ar-SA"/>
        </w:rPr>
      </w:pPr>
      <w:r>
        <w:rPr>
          <w:rFonts w:hint="eastAsia" w:ascii="仿宋" w:hAnsi="仿宋" w:eastAsia="仿宋" w:cs="宋体"/>
          <w:b w:val="0"/>
          <w:color w:val="auto"/>
          <w:kern w:val="2"/>
          <w:sz w:val="24"/>
          <w:szCs w:val="24"/>
          <w:highlight w:val="none"/>
          <w:lang w:val="en-US" w:eastAsia="zh-CN" w:bidi="ar-SA"/>
        </w:rPr>
        <w:t>5.4</w:t>
      </w:r>
      <w:r>
        <w:rPr>
          <w:rFonts w:hint="eastAsia" w:ascii="仿宋" w:hAnsi="仿宋" w:eastAsia="仿宋" w:cs="宋体"/>
          <w:b/>
          <w:bCs/>
          <w:color w:val="auto"/>
          <w:kern w:val="2"/>
          <w:sz w:val="24"/>
          <w:szCs w:val="24"/>
          <w:highlight w:val="none"/>
          <w:lang w:val="en-US" w:eastAsia="zh-CN" w:bidi="ar-SA"/>
        </w:rPr>
        <w:t>出现以下情形之一时，采购人/采购代理机构不予接收投标文件：</w:t>
      </w:r>
    </w:p>
    <w:p w14:paraId="1462174B">
      <w:pPr>
        <w:spacing w:line="360" w:lineRule="auto"/>
        <w:ind w:firstLine="480" w:firstLineChars="200"/>
        <w:textAlignment w:val="baseline"/>
        <w:rPr>
          <w:rFonts w:hint="eastAsia" w:ascii="仿宋" w:hAnsi="仿宋" w:eastAsia="仿宋" w:cs="宋体"/>
          <w:b w:val="0"/>
          <w:color w:val="auto"/>
          <w:kern w:val="2"/>
          <w:sz w:val="24"/>
          <w:szCs w:val="24"/>
          <w:highlight w:val="none"/>
          <w:lang w:val="en-US" w:eastAsia="zh-CN" w:bidi="ar-SA"/>
        </w:rPr>
      </w:pPr>
      <w:r>
        <w:rPr>
          <w:rFonts w:hint="eastAsia" w:ascii="仿宋" w:hAnsi="仿宋" w:eastAsia="仿宋" w:cs="宋体"/>
          <w:b w:val="0"/>
          <w:color w:val="auto"/>
          <w:kern w:val="2"/>
          <w:sz w:val="24"/>
          <w:szCs w:val="24"/>
          <w:highlight w:val="none"/>
          <w:lang w:val="en-US" w:eastAsia="zh-CN" w:bidi="ar-SA"/>
        </w:rPr>
        <w:t>5.4.1  逾期送达或者未送达指定地点的；</w:t>
      </w:r>
    </w:p>
    <w:p w14:paraId="27A84122">
      <w:pPr>
        <w:spacing w:line="360" w:lineRule="auto"/>
        <w:ind w:firstLine="480" w:firstLineChars="200"/>
        <w:textAlignment w:val="baseline"/>
        <w:rPr>
          <w:rFonts w:hint="eastAsia" w:ascii="仿宋" w:hAnsi="仿宋" w:eastAsia="仿宋" w:cs="宋体"/>
          <w:b w:val="0"/>
          <w:color w:val="auto"/>
          <w:kern w:val="2"/>
          <w:sz w:val="24"/>
          <w:szCs w:val="24"/>
          <w:highlight w:val="none"/>
          <w:lang w:val="en-US" w:eastAsia="zh-CN" w:bidi="ar-SA"/>
        </w:rPr>
      </w:pPr>
      <w:r>
        <w:rPr>
          <w:rFonts w:hint="eastAsia" w:ascii="仿宋" w:hAnsi="仿宋" w:eastAsia="仿宋" w:cs="宋体"/>
          <w:b w:val="0"/>
          <w:color w:val="auto"/>
          <w:kern w:val="2"/>
          <w:sz w:val="24"/>
          <w:szCs w:val="24"/>
          <w:highlight w:val="none"/>
          <w:lang w:val="en-US" w:eastAsia="zh-CN" w:bidi="ar-SA"/>
        </w:rPr>
        <w:t>5.4.2  未按照响应文件要求密封的；</w:t>
      </w:r>
    </w:p>
    <w:p w14:paraId="544B2FBF">
      <w:pPr>
        <w:spacing w:line="360" w:lineRule="auto"/>
        <w:ind w:firstLine="480" w:firstLineChars="200"/>
        <w:textAlignment w:val="baseline"/>
        <w:rPr>
          <w:rFonts w:hint="eastAsia" w:ascii="仿宋" w:hAnsi="仿宋" w:eastAsia="仿宋" w:cs="宋体"/>
          <w:color w:val="auto"/>
          <w:sz w:val="24"/>
          <w:highlight w:val="none"/>
        </w:rPr>
      </w:pPr>
      <w:r>
        <w:rPr>
          <w:rFonts w:hint="eastAsia" w:ascii="仿宋" w:hAnsi="仿宋" w:eastAsia="仿宋" w:cs="宋体"/>
          <w:b w:val="0"/>
          <w:color w:val="auto"/>
          <w:kern w:val="2"/>
          <w:sz w:val="24"/>
          <w:szCs w:val="24"/>
          <w:highlight w:val="none"/>
          <w:lang w:val="en-US" w:eastAsia="zh-CN" w:bidi="ar-SA"/>
        </w:rPr>
        <w:t>5.4.3  未按照磋商公告要求获取磋商文件的。</w:t>
      </w:r>
    </w:p>
    <w:p w14:paraId="03A2B7BA">
      <w:pPr>
        <w:pStyle w:val="4"/>
        <w:ind w:firstLine="0" w:firstLineChars="0"/>
        <w:jc w:val="left"/>
        <w:rPr>
          <w:rFonts w:hint="eastAsia" w:ascii="仿宋" w:hAnsi="仿宋" w:eastAsia="仿宋" w:cs="仿宋"/>
          <w:color w:val="auto"/>
          <w:sz w:val="24"/>
          <w:szCs w:val="24"/>
          <w:highlight w:val="none"/>
        </w:rPr>
      </w:pPr>
      <w:bookmarkStart w:id="14" w:name="_Toc29948"/>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、发布公告的媒介</w:t>
      </w:r>
      <w:bookmarkEnd w:id="14"/>
    </w:p>
    <w:p w14:paraId="5108E49F">
      <w:pPr>
        <w:spacing w:line="360" w:lineRule="auto"/>
        <w:ind w:firstLine="480" w:firstLineChars="200"/>
        <w:textAlignment w:val="baseline"/>
        <w:rPr>
          <w:rFonts w:hint="eastAsia" w:ascii="仿宋" w:hAnsi="仿宋" w:eastAsia="仿宋" w:cs="仿宋"/>
          <w:color w:val="000000"/>
          <w:sz w:val="24"/>
          <w:highlight w:val="none"/>
        </w:rPr>
      </w:pPr>
      <w:r>
        <w:rPr>
          <w:rFonts w:hint="eastAsia" w:ascii="仿宋" w:hAnsi="仿宋" w:eastAsia="仿宋" w:cs="仿宋"/>
          <w:color w:val="auto"/>
          <w:sz w:val="24"/>
          <w:highlight w:val="none"/>
        </w:rPr>
        <w:t>本项目磋商公告同时在</w:t>
      </w:r>
      <w:r>
        <w:rPr>
          <w:rFonts w:hint="eastAsia" w:ascii="仿宋" w:hAnsi="仿宋" w:eastAsia="仿宋" w:cs="宋体"/>
          <w:color w:val="auto"/>
          <w:sz w:val="24"/>
          <w:highlight w:val="none"/>
          <w:u w:val="none"/>
        </w:rPr>
        <w:t>“人保e采”外网门户（https://ec.picc.com/）</w:t>
      </w:r>
      <w:r>
        <w:rPr>
          <w:rFonts w:hint="eastAsia" w:ascii="仿宋" w:hAnsi="仿宋" w:eastAsia="仿宋" w:cs="宋体"/>
          <w:color w:val="auto"/>
          <w:sz w:val="24"/>
          <w:u w:val="none"/>
        </w:rPr>
        <w:t>、中国采购与招标网（</w:t>
      </w:r>
      <w:r>
        <w:rPr>
          <w:rFonts w:ascii="仿宋" w:hAnsi="仿宋" w:eastAsia="仿宋" w:cs="宋体"/>
          <w:color w:val="auto"/>
          <w:sz w:val="24"/>
          <w:u w:val="none"/>
        </w:rPr>
        <w:t>https://www.chinabidding.cn/</w:t>
      </w:r>
      <w:r>
        <w:rPr>
          <w:rFonts w:hint="eastAsia" w:ascii="仿宋" w:hAnsi="仿宋" w:eastAsia="仿宋" w:cs="宋体"/>
          <w:color w:val="auto"/>
          <w:sz w:val="24"/>
          <w:u w:val="none"/>
        </w:rPr>
        <w:t>）、中国招标投标公共服务平台 (http://www.cebpubservice.com/)、招标代理机构网站（</w:t>
      </w:r>
      <w:r>
        <w:rPr>
          <w:rFonts w:ascii="仿宋" w:hAnsi="仿宋" w:eastAsia="仿宋" w:cs="宋体"/>
          <w:color w:val="auto"/>
          <w:sz w:val="24"/>
          <w:u w:val="none"/>
        </w:rPr>
        <w:t>https://zb.chinaccsscm.cn/</w:t>
      </w:r>
      <w:r>
        <w:rPr>
          <w:rFonts w:hint="eastAsia" w:ascii="仿宋" w:hAnsi="仿宋" w:eastAsia="仿宋" w:cs="宋体"/>
          <w:color w:val="auto"/>
          <w:sz w:val="24"/>
          <w:u w:val="none"/>
        </w:rPr>
        <w:t>）</w:t>
      </w:r>
      <w:r>
        <w:rPr>
          <w:rFonts w:hint="eastAsia" w:ascii="仿宋" w:hAnsi="仿宋" w:eastAsia="仿宋" w:cs="仿宋"/>
          <w:color w:val="auto"/>
          <w:sz w:val="24"/>
          <w:highlight w:val="none"/>
        </w:rPr>
        <w:t>上发布，</w:t>
      </w:r>
      <w:r>
        <w:rPr>
          <w:rFonts w:hint="eastAsia" w:ascii="仿宋" w:hAnsi="仿宋" w:eastAsia="仿宋" w:cs="宋体"/>
          <w:color w:val="auto"/>
          <w:sz w:val="24"/>
          <w:highlight w:val="none"/>
        </w:rPr>
        <w:t>除上述外，采购人/采购代理机构不在其他任何网站、论坛等媒介上发布任何采购信息，其他任何媒介上转载的、以采购人/采购代理机构为采购主体的采购信息均为非法转载，均为无效</w:t>
      </w:r>
      <w:r>
        <w:rPr>
          <w:rFonts w:hint="eastAsia" w:ascii="仿宋" w:hAnsi="仿宋" w:eastAsia="仿宋" w:cs="仿宋"/>
          <w:color w:val="auto"/>
          <w:sz w:val="24"/>
          <w:highlight w:val="none"/>
        </w:rPr>
        <w:t>。对于非法转载、篡改采购公告信息的组织或个人，采购人/采购代理机构</w:t>
      </w:r>
      <w:r>
        <w:rPr>
          <w:rFonts w:hint="eastAsia" w:ascii="仿宋" w:hAnsi="仿宋" w:eastAsia="仿宋" w:cs="仿宋"/>
          <w:color w:val="000000"/>
          <w:sz w:val="24"/>
          <w:highlight w:val="none"/>
        </w:rPr>
        <w:t>保留追究其法律责任的权利。</w:t>
      </w:r>
    </w:p>
    <w:p w14:paraId="5E91686A">
      <w:pPr>
        <w:pStyle w:val="4"/>
        <w:ind w:firstLine="0" w:firstLineChars="0"/>
        <w:jc w:val="left"/>
        <w:rPr>
          <w:rFonts w:hint="eastAsia" w:ascii="仿宋" w:hAnsi="仿宋" w:eastAsia="仿宋" w:cs="仿宋"/>
          <w:color w:val="000000"/>
          <w:sz w:val="24"/>
          <w:szCs w:val="24"/>
          <w:highlight w:val="none"/>
        </w:rPr>
      </w:pPr>
      <w:bookmarkStart w:id="15" w:name="_Toc8921"/>
      <w:r>
        <w:rPr>
          <w:rFonts w:hint="eastAsia" w:ascii="仿宋" w:hAnsi="仿宋" w:eastAsia="仿宋" w:cs="仿宋"/>
          <w:color w:val="000000"/>
          <w:sz w:val="24"/>
          <w:szCs w:val="24"/>
          <w:highlight w:val="none"/>
          <w:lang w:val="en-US" w:eastAsia="zh-CN"/>
        </w:rPr>
        <w:t>七</w:t>
      </w:r>
      <w:r>
        <w:rPr>
          <w:rFonts w:hint="eastAsia" w:ascii="仿宋" w:hAnsi="仿宋" w:eastAsia="仿宋" w:cs="仿宋"/>
          <w:color w:val="000000"/>
          <w:sz w:val="24"/>
          <w:szCs w:val="24"/>
          <w:highlight w:val="none"/>
        </w:rPr>
        <w:t>、联系方式</w:t>
      </w:r>
      <w:bookmarkEnd w:id="15"/>
    </w:p>
    <w:p w14:paraId="78CB96DA">
      <w:pPr>
        <w:tabs>
          <w:tab w:val="left" w:pos="-105"/>
          <w:tab w:val="left" w:pos="420"/>
          <w:tab w:val="left" w:pos="630"/>
          <w:tab w:val="left" w:pos="1155"/>
          <w:tab w:val="left" w:pos="1890"/>
          <w:tab w:val="left" w:pos="3150"/>
          <w:tab w:val="left" w:pos="3780"/>
        </w:tabs>
        <w:spacing w:line="360" w:lineRule="auto"/>
        <w:ind w:firstLine="422" w:firstLineChars="175"/>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采购人：中国人民财产保险股份有限公司</w:t>
      </w:r>
      <w:r>
        <w:rPr>
          <w:rFonts w:hint="eastAsia" w:ascii="仿宋" w:hAnsi="仿宋" w:eastAsia="仿宋" w:cs="仿宋"/>
          <w:b/>
          <w:bCs/>
          <w:color w:val="auto"/>
          <w:sz w:val="24"/>
          <w:highlight w:val="none"/>
          <w:lang w:val="en-US" w:eastAsia="zh-CN"/>
        </w:rPr>
        <w:t>宜春市</w:t>
      </w:r>
      <w:r>
        <w:rPr>
          <w:rFonts w:hint="eastAsia" w:ascii="仿宋" w:hAnsi="仿宋" w:eastAsia="仿宋" w:cs="仿宋"/>
          <w:b/>
          <w:bCs/>
          <w:color w:val="auto"/>
          <w:sz w:val="24"/>
          <w:highlight w:val="none"/>
        </w:rPr>
        <w:t>分公司</w:t>
      </w:r>
    </w:p>
    <w:p w14:paraId="1C6D1B7E">
      <w:pPr>
        <w:spacing w:line="360" w:lineRule="auto"/>
        <w:ind w:firstLine="420" w:firstLineChars="175"/>
        <w:jc w:val="left"/>
        <w:rPr>
          <w:rFonts w:ascii="仿宋" w:hAnsi="仿宋" w:eastAsia="仿宋" w:cs="仿宋"/>
          <w:color w:val="auto"/>
          <w:sz w:val="24"/>
          <w:highlight w:val="none"/>
        </w:rPr>
      </w:pPr>
      <w:r>
        <w:rPr>
          <w:rFonts w:hint="eastAsia" w:ascii="仿宋" w:hAnsi="仿宋" w:eastAsia="仿宋" w:cs="仿宋"/>
          <w:color w:val="auto"/>
          <w:sz w:val="24"/>
          <w:highlight w:val="none"/>
        </w:rPr>
        <w:t>地址：江西省宜春市袁州区袁山中路258号</w:t>
      </w:r>
    </w:p>
    <w:p w14:paraId="7292DC85">
      <w:pPr>
        <w:spacing w:line="360" w:lineRule="auto"/>
        <w:ind w:firstLine="420" w:firstLineChars="175"/>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招标代理机构：中通服供应链股份有限公司</w:t>
      </w:r>
    </w:p>
    <w:p w14:paraId="3CCF6E37">
      <w:pPr>
        <w:spacing w:line="360" w:lineRule="auto"/>
        <w:ind w:firstLine="420" w:firstLineChars="175"/>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地址： 江西省南昌市西湖区丁公路38号</w:t>
      </w:r>
    </w:p>
    <w:p w14:paraId="0FDBF0BD">
      <w:pPr>
        <w:spacing w:line="360" w:lineRule="auto"/>
        <w:ind w:firstLine="420" w:firstLineChars="175"/>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联系人：胡紫薇、周建凤、徐莉青、姜娜、蔡蔚   </w:t>
      </w:r>
    </w:p>
    <w:p w14:paraId="0E544D85">
      <w:pPr>
        <w:spacing w:line="360" w:lineRule="auto"/>
        <w:ind w:firstLine="420" w:firstLineChars="175"/>
        <w:jc w:val="lef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电话：15</w:t>
      </w:r>
      <w:r>
        <w:rPr>
          <w:rFonts w:hint="eastAsia" w:ascii="仿宋" w:hAnsi="仿宋" w:eastAsia="仿宋" w:cs="仿宋"/>
          <w:color w:val="auto"/>
          <w:sz w:val="24"/>
          <w:highlight w:val="none"/>
          <w:lang w:val="en-US" w:eastAsia="zh-CN"/>
        </w:rPr>
        <w:t>797957196</w:t>
      </w:r>
    </w:p>
    <w:p w14:paraId="5BD316EB">
      <w:pPr>
        <w:spacing w:line="360" w:lineRule="auto"/>
        <w:ind w:firstLine="420" w:firstLineChars="175"/>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电子邮箱：</w:t>
      </w:r>
      <w:r>
        <w:rPr>
          <w:rFonts w:hint="eastAsia" w:ascii="仿宋" w:hAnsi="仿宋" w:eastAsia="仿宋" w:cs="仿宋"/>
          <w:color w:val="auto"/>
          <w:sz w:val="24"/>
          <w:highlight w:val="none"/>
          <w:lang w:val="en-US" w:eastAsia="zh-CN"/>
        </w:rPr>
        <w:t>1224219142</w:t>
      </w:r>
      <w:r>
        <w:rPr>
          <w:rFonts w:hint="eastAsia" w:ascii="仿宋" w:hAnsi="仿宋" w:eastAsia="仿宋" w:cs="仿宋"/>
          <w:color w:val="auto"/>
          <w:sz w:val="24"/>
          <w:highlight w:val="none"/>
        </w:rPr>
        <w:t>@qq.com</w:t>
      </w:r>
    </w:p>
    <w:p w14:paraId="162D5457">
      <w:pPr>
        <w:spacing w:line="360" w:lineRule="auto"/>
        <w:ind w:firstLine="420" w:firstLineChars="175"/>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账户名：中通服供应链股份有限公司江西分公司</w:t>
      </w:r>
    </w:p>
    <w:p w14:paraId="2D909581">
      <w:pPr>
        <w:spacing w:line="360" w:lineRule="auto"/>
        <w:ind w:firstLine="420" w:firstLineChars="175"/>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开户银行：中信银行广州珠江新城支行</w:t>
      </w:r>
    </w:p>
    <w:p w14:paraId="2EE59AE9">
      <w:pPr>
        <w:spacing w:line="360" w:lineRule="auto"/>
        <w:ind w:firstLine="420" w:firstLineChars="175"/>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账号：</w:t>
      </w:r>
      <w:r>
        <w:rPr>
          <w:rFonts w:hint="eastAsia" w:ascii="仿宋" w:hAnsi="仿宋" w:eastAsia="仿宋" w:cs="仿宋"/>
          <w:color w:val="auto"/>
          <w:sz w:val="24"/>
          <w:highlight w:val="none"/>
          <w:lang w:eastAsia="zh-CN"/>
        </w:rPr>
        <w:t>3110930015700009523</w:t>
      </w:r>
    </w:p>
    <w:p w14:paraId="1C44D632">
      <w:pPr>
        <w:spacing w:line="360" w:lineRule="auto"/>
        <w:ind w:firstLine="480" w:firstLineChars="200"/>
        <w:jc w:val="right"/>
        <w:textAlignment w:val="baseline"/>
        <w:rPr>
          <w:rFonts w:hint="eastAsia" w:ascii="仿宋" w:hAnsi="仿宋" w:eastAsia="仿宋" w:cs="宋体"/>
          <w:color w:val="auto"/>
          <w:sz w:val="24"/>
          <w:highlight w:val="none"/>
        </w:rPr>
      </w:pPr>
    </w:p>
    <w:p w14:paraId="1E1DB965">
      <w:pPr>
        <w:spacing w:line="360" w:lineRule="auto"/>
        <w:ind w:firstLine="480" w:firstLineChars="200"/>
        <w:jc w:val="right"/>
        <w:textAlignment w:val="baseline"/>
        <w:rPr>
          <w:rFonts w:hint="eastAsia" w:ascii="仿宋" w:hAnsi="仿宋" w:eastAsia="仿宋" w:cs="宋体"/>
          <w:color w:val="auto"/>
          <w:sz w:val="24"/>
          <w:highlight w:val="none"/>
        </w:rPr>
      </w:pPr>
      <w:r>
        <w:rPr>
          <w:rFonts w:hint="eastAsia" w:ascii="仿宋" w:hAnsi="仿宋" w:eastAsia="仿宋" w:cs="宋体"/>
          <w:color w:val="auto"/>
          <w:sz w:val="24"/>
          <w:highlight w:val="none"/>
        </w:rPr>
        <w:t>采购人：中国人民财产保险股份有限公司</w:t>
      </w:r>
      <w:r>
        <w:rPr>
          <w:rFonts w:hint="eastAsia" w:ascii="仿宋" w:hAnsi="仿宋" w:eastAsia="仿宋" w:cs="宋体"/>
          <w:color w:val="auto"/>
          <w:sz w:val="24"/>
          <w:highlight w:val="none"/>
          <w:lang w:val="en-US" w:eastAsia="zh-CN"/>
        </w:rPr>
        <w:t>宜春市</w:t>
      </w:r>
      <w:r>
        <w:rPr>
          <w:rFonts w:hint="eastAsia" w:ascii="仿宋" w:hAnsi="仿宋" w:eastAsia="仿宋" w:cs="宋体"/>
          <w:color w:val="auto"/>
          <w:sz w:val="24"/>
          <w:highlight w:val="none"/>
        </w:rPr>
        <w:t>分公司</w:t>
      </w:r>
    </w:p>
    <w:p w14:paraId="4369C648">
      <w:pPr>
        <w:spacing w:line="360" w:lineRule="auto"/>
        <w:ind w:firstLine="480" w:firstLineChars="200"/>
        <w:jc w:val="right"/>
        <w:textAlignment w:val="baseline"/>
        <w:rPr>
          <w:rFonts w:hint="eastAsia" w:ascii="仿宋" w:hAnsi="仿宋" w:eastAsia="仿宋" w:cs="宋体"/>
          <w:color w:val="auto"/>
          <w:sz w:val="24"/>
          <w:highlight w:val="none"/>
        </w:rPr>
      </w:pPr>
      <w:r>
        <w:rPr>
          <w:rFonts w:hint="eastAsia" w:ascii="仿宋" w:hAnsi="仿宋" w:eastAsia="仿宋" w:cs="宋体"/>
          <w:color w:val="auto"/>
          <w:sz w:val="24"/>
          <w:highlight w:val="none"/>
        </w:rPr>
        <w:t>采购代理机构：</w:t>
      </w:r>
      <w:r>
        <w:rPr>
          <w:rFonts w:hint="eastAsia" w:ascii="仿宋" w:hAnsi="仿宋" w:eastAsia="仿宋" w:cs="仿宋"/>
          <w:color w:val="auto"/>
          <w:sz w:val="24"/>
          <w:highlight w:val="none"/>
        </w:rPr>
        <w:t>中通服供应链股份有限公司</w:t>
      </w:r>
    </w:p>
    <w:p w14:paraId="4634D742">
      <w:pPr>
        <w:spacing w:line="360" w:lineRule="auto"/>
        <w:ind w:firstLine="480" w:firstLineChars="200"/>
        <w:jc w:val="right"/>
        <w:textAlignment w:val="baseline"/>
        <w:rPr>
          <w:color w:val="auto"/>
          <w:highlight w:val="none"/>
        </w:rPr>
      </w:pPr>
      <w:r>
        <w:rPr>
          <w:rFonts w:hint="eastAsia" w:ascii="仿宋" w:hAnsi="仿宋" w:eastAsia="仿宋" w:cs="宋体"/>
          <w:color w:val="auto"/>
          <w:sz w:val="24"/>
          <w:highlight w:val="none"/>
        </w:rPr>
        <w:t>202</w:t>
      </w:r>
      <w:r>
        <w:rPr>
          <w:rFonts w:hint="eastAsia" w:ascii="仿宋" w:hAnsi="仿宋" w:eastAsia="仿宋" w:cs="宋体"/>
          <w:color w:val="auto"/>
          <w:sz w:val="24"/>
          <w:highlight w:val="none"/>
          <w:lang w:val="en-US" w:eastAsia="zh-CN"/>
        </w:rPr>
        <w:t>5</w:t>
      </w:r>
      <w:r>
        <w:rPr>
          <w:rFonts w:hint="eastAsia" w:ascii="仿宋" w:hAnsi="仿宋" w:eastAsia="仿宋" w:cs="宋体"/>
          <w:color w:val="auto"/>
          <w:sz w:val="24"/>
          <w:highlight w:val="none"/>
        </w:rPr>
        <w:t>年</w:t>
      </w:r>
      <w:r>
        <w:rPr>
          <w:rFonts w:hint="eastAsia" w:ascii="仿宋" w:hAnsi="仿宋" w:eastAsia="仿宋" w:cs="宋体"/>
          <w:color w:val="auto"/>
          <w:sz w:val="24"/>
          <w:highlight w:val="none"/>
          <w:lang w:val="en-US" w:eastAsia="zh-CN"/>
        </w:rPr>
        <w:t>10</w:t>
      </w:r>
      <w:r>
        <w:rPr>
          <w:rFonts w:hint="eastAsia" w:ascii="仿宋" w:hAnsi="仿宋" w:eastAsia="仿宋" w:cs="宋体"/>
          <w:color w:val="auto"/>
          <w:sz w:val="24"/>
          <w:highlight w:val="none"/>
        </w:rPr>
        <w:t>月</w:t>
      </w:r>
      <w:r>
        <w:rPr>
          <w:rFonts w:hint="eastAsia" w:ascii="仿宋" w:hAnsi="仿宋" w:eastAsia="仿宋" w:cs="宋体"/>
          <w:color w:val="auto"/>
          <w:sz w:val="24"/>
          <w:highlight w:val="none"/>
          <w:lang w:val="en-US" w:eastAsia="zh-CN"/>
        </w:rPr>
        <w:t>23</w:t>
      </w:r>
      <w:r>
        <w:rPr>
          <w:rFonts w:hint="eastAsia" w:ascii="仿宋" w:hAnsi="仿宋" w:eastAsia="仿宋" w:cs="宋体"/>
          <w:color w:val="auto"/>
          <w:sz w:val="24"/>
          <w:highlight w:val="none"/>
        </w:rPr>
        <w:t>日</w:t>
      </w:r>
    </w:p>
    <w:bookmarkEnd w:id="2"/>
    <w:bookmarkEnd w:id="3"/>
    <w:bookmarkEnd w:id="4"/>
    <w:bookmarkEnd w:id="5"/>
    <w:bookmarkEnd w:id="6"/>
    <w:bookmarkEnd w:id="7"/>
    <w:bookmarkEnd w:id="8"/>
    <w:p w14:paraId="4AD524D3">
      <w:pPr>
        <w:pStyle w:val="3"/>
        <w:spacing w:before="0" w:after="0" w:line="360" w:lineRule="auto"/>
        <w:jc w:val="center"/>
        <w:rPr>
          <w:rFonts w:hint="eastAsia" w:ascii="仿宋" w:hAnsi="仿宋" w:eastAsia="仿宋" w:cs="仿宋"/>
          <w:color w:val="000000"/>
          <w:sz w:val="28"/>
          <w:szCs w:val="28"/>
          <w:highlight w:val="none"/>
        </w:rPr>
      </w:pPr>
      <w:bookmarkStart w:id="16" w:name="_Toc2797"/>
      <w:bookmarkStart w:id="17" w:name="_Toc517281814"/>
      <w:bookmarkStart w:id="18" w:name="_Toc287600116"/>
      <w:bookmarkStart w:id="19" w:name="_Toc444891334"/>
      <w:bookmarkStart w:id="20" w:name="_Toc17103"/>
      <w:bookmarkStart w:id="21" w:name="_Toc23165"/>
      <w:bookmarkStart w:id="22" w:name="_Toc1895"/>
      <w:r>
        <w:rPr>
          <w:rFonts w:ascii="仿宋" w:hAnsi="仿宋" w:eastAsia="仿宋" w:cs="仿宋"/>
          <w:color w:val="000000"/>
          <w:sz w:val="28"/>
          <w:szCs w:val="28"/>
          <w:highlight w:val="none"/>
        </w:rPr>
        <w:br w:type="page"/>
      </w:r>
      <w:bookmarkStart w:id="23" w:name="_Toc14083"/>
      <w:r>
        <w:rPr>
          <w:rFonts w:hint="eastAsia" w:ascii="仿宋" w:hAnsi="仿宋" w:eastAsia="仿宋" w:cs="仿宋"/>
          <w:color w:val="000000"/>
          <w:sz w:val="28"/>
          <w:szCs w:val="28"/>
          <w:highlight w:val="none"/>
        </w:rPr>
        <w:t>第二章 供应商须知</w:t>
      </w:r>
      <w:bookmarkEnd w:id="16"/>
      <w:bookmarkEnd w:id="17"/>
      <w:bookmarkEnd w:id="18"/>
      <w:bookmarkEnd w:id="19"/>
      <w:bookmarkEnd w:id="20"/>
      <w:bookmarkEnd w:id="21"/>
      <w:bookmarkEnd w:id="22"/>
      <w:bookmarkEnd w:id="23"/>
    </w:p>
    <w:p w14:paraId="0BA40EE3">
      <w:pPr>
        <w:pStyle w:val="4"/>
        <w:ind w:firstLine="0" w:firstLineChars="0"/>
        <w:jc w:val="left"/>
        <w:rPr>
          <w:rFonts w:hint="eastAsia" w:ascii="仿宋" w:hAnsi="仿宋" w:eastAsia="仿宋" w:cs="仿宋"/>
          <w:color w:val="000000"/>
          <w:sz w:val="24"/>
          <w:szCs w:val="24"/>
          <w:highlight w:val="none"/>
        </w:rPr>
      </w:pPr>
      <w:bookmarkStart w:id="24" w:name="_Toc287600117"/>
      <w:bookmarkStart w:id="25" w:name="_Toc517281815"/>
      <w:bookmarkStart w:id="26" w:name="_Toc32464"/>
      <w:bookmarkStart w:id="27" w:name="_Toc17721"/>
      <w:bookmarkStart w:id="28" w:name="_Toc19783312"/>
      <w:bookmarkStart w:id="29" w:name="_Toc29571"/>
      <w:bookmarkStart w:id="30" w:name="_Toc444891335"/>
      <w:bookmarkStart w:id="31" w:name="_Toc13233"/>
      <w:bookmarkStart w:id="32" w:name="_Toc27353"/>
      <w:r>
        <w:rPr>
          <w:rFonts w:hint="eastAsia" w:ascii="仿宋" w:hAnsi="仿宋" w:eastAsia="仿宋" w:cs="仿宋"/>
          <w:color w:val="000000"/>
          <w:sz w:val="24"/>
          <w:szCs w:val="24"/>
          <w:highlight w:val="none"/>
        </w:rPr>
        <w:t>一、供应商须知前附表</w:t>
      </w:r>
      <w:bookmarkEnd w:id="24"/>
      <w:bookmarkEnd w:id="25"/>
      <w:bookmarkEnd w:id="26"/>
      <w:bookmarkEnd w:id="27"/>
      <w:bookmarkEnd w:id="28"/>
      <w:bookmarkEnd w:id="29"/>
      <w:bookmarkEnd w:id="30"/>
      <w:bookmarkEnd w:id="31"/>
      <w:bookmarkEnd w:id="32"/>
    </w:p>
    <w:p w14:paraId="5989B442">
      <w:pPr>
        <w:spacing w:line="360" w:lineRule="auto"/>
        <w:jc w:val="cente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本须知前附表是对供应商须知正文的具体补充和修改，如有矛盾，以本前附表为准。</w:t>
      </w:r>
    </w:p>
    <w:tbl>
      <w:tblPr>
        <w:tblStyle w:val="41"/>
        <w:tblW w:w="498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0" w:type="dxa"/>
          <w:right w:w="108" w:type="dxa"/>
        </w:tblCellMar>
      </w:tblPr>
      <w:tblGrid>
        <w:gridCol w:w="949"/>
        <w:gridCol w:w="1822"/>
        <w:gridCol w:w="7049"/>
      </w:tblGrid>
      <w:tr w14:paraId="751FA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469" w:hRule="atLeast"/>
          <w:tblHeader/>
          <w:jc w:val="center"/>
        </w:trPr>
        <w:tc>
          <w:tcPr>
            <w:tcW w:w="483" w:type="pct"/>
            <w:noWrap w:val="0"/>
            <w:vAlign w:val="center"/>
          </w:tcPr>
          <w:p w14:paraId="091C0303">
            <w:pPr>
              <w:adjustRightInd w:val="0"/>
              <w:snapToGrid w:val="0"/>
              <w:spacing w:line="360" w:lineRule="auto"/>
              <w:jc w:val="center"/>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条款号</w:t>
            </w:r>
          </w:p>
        </w:tc>
        <w:tc>
          <w:tcPr>
            <w:tcW w:w="927" w:type="pct"/>
            <w:noWrap w:val="0"/>
            <w:vAlign w:val="center"/>
          </w:tcPr>
          <w:p w14:paraId="2A1114B7">
            <w:pPr>
              <w:adjustRightInd w:val="0"/>
              <w:snapToGrid w:val="0"/>
              <w:spacing w:line="360" w:lineRule="auto"/>
              <w:jc w:val="center"/>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条款名称</w:t>
            </w:r>
          </w:p>
        </w:tc>
        <w:tc>
          <w:tcPr>
            <w:tcW w:w="3589" w:type="pct"/>
            <w:noWrap w:val="0"/>
            <w:vAlign w:val="center"/>
          </w:tcPr>
          <w:p w14:paraId="0FAF94DB">
            <w:pPr>
              <w:tabs>
                <w:tab w:val="left" w:pos="1180"/>
              </w:tabs>
              <w:adjustRightInd w:val="0"/>
              <w:snapToGrid w:val="0"/>
              <w:spacing w:line="360" w:lineRule="auto"/>
              <w:jc w:val="center"/>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编列内容</w:t>
            </w:r>
          </w:p>
        </w:tc>
      </w:tr>
      <w:tr w14:paraId="26E5F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546" w:hRule="atLeast"/>
          <w:jc w:val="center"/>
        </w:trPr>
        <w:tc>
          <w:tcPr>
            <w:tcW w:w="949" w:type="dxa"/>
            <w:noWrap w:val="0"/>
            <w:vAlign w:val="center"/>
          </w:tcPr>
          <w:p w14:paraId="6A559667">
            <w:pPr>
              <w:spacing w:line="360" w:lineRule="auto"/>
              <w:jc w:val="center"/>
              <w:rPr>
                <w:rFonts w:hint="eastAsia" w:ascii="仿宋" w:hAnsi="仿宋" w:eastAsia="仿宋" w:cs="仿宋"/>
                <w:color w:val="000000"/>
                <w:szCs w:val="21"/>
                <w:highlight w:val="none"/>
              </w:rPr>
            </w:pPr>
            <w:r>
              <w:rPr>
                <w:rFonts w:hint="eastAsia" w:ascii="仿宋" w:hAnsi="仿宋" w:eastAsia="仿宋" w:cs="仿宋"/>
                <w:sz w:val="24"/>
              </w:rPr>
              <w:t>1.-2.</w:t>
            </w:r>
          </w:p>
        </w:tc>
        <w:tc>
          <w:tcPr>
            <w:tcW w:w="927" w:type="pct"/>
            <w:noWrap w:val="0"/>
            <w:vAlign w:val="center"/>
          </w:tcPr>
          <w:p w14:paraId="1EDFA01B">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采购范围</w:t>
            </w:r>
          </w:p>
        </w:tc>
        <w:tc>
          <w:tcPr>
            <w:tcW w:w="3589" w:type="pct"/>
            <w:noWrap w:val="0"/>
            <w:vAlign w:val="center"/>
          </w:tcPr>
          <w:p w14:paraId="06C34473">
            <w:pPr>
              <w:pStyle w:val="157"/>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仿宋"/>
                <w:color w:val="000000"/>
                <w:highlight w:val="none"/>
              </w:rPr>
              <w:t>详见</w:t>
            </w:r>
            <w:r>
              <w:rPr>
                <w:rFonts w:hint="eastAsia" w:ascii="仿宋" w:hAnsi="仿宋" w:eastAsia="仿宋" w:cs="仿宋"/>
                <w:color w:val="000000"/>
                <w:highlight w:val="none"/>
                <w:u w:val="single"/>
              </w:rPr>
              <w:t>第一章 竞争性磋商公告“一、项目概况与采购范围”</w:t>
            </w:r>
            <w:r>
              <w:rPr>
                <w:rFonts w:hint="eastAsia" w:ascii="仿宋" w:hAnsi="仿宋" w:eastAsia="仿宋" w:cs="仿宋"/>
                <w:color w:val="000000"/>
                <w:highlight w:val="none"/>
              </w:rPr>
              <w:t>。</w:t>
            </w:r>
          </w:p>
        </w:tc>
      </w:tr>
      <w:tr w14:paraId="1429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949" w:type="dxa"/>
            <w:noWrap w:val="0"/>
            <w:vAlign w:val="center"/>
          </w:tcPr>
          <w:p w14:paraId="11BB0A5C">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 w:val="24"/>
              </w:rPr>
              <w:t>4.2</w:t>
            </w:r>
          </w:p>
        </w:tc>
        <w:tc>
          <w:tcPr>
            <w:tcW w:w="927" w:type="pct"/>
            <w:noWrap w:val="0"/>
            <w:vAlign w:val="center"/>
          </w:tcPr>
          <w:p w14:paraId="7ADBA18E">
            <w:pPr>
              <w:adjustRightInd w:val="0"/>
              <w:snapToGrid w:val="0"/>
              <w:spacing w:line="360" w:lineRule="auto"/>
              <w:ind w:left="36" w:leftChars="17"/>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资格审查方式及供应商应具备的资格条件</w:t>
            </w:r>
          </w:p>
        </w:tc>
        <w:tc>
          <w:tcPr>
            <w:tcW w:w="3589" w:type="pct"/>
            <w:noWrap w:val="0"/>
            <w:vAlign w:val="center"/>
          </w:tcPr>
          <w:p w14:paraId="4AFAC129">
            <w:pPr>
              <w:pStyle w:val="140"/>
              <w:topLinePunct/>
              <w:spacing w:before="62" w:beforeLines="20" w:after="62" w:afterLines="20"/>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□资格预审</w:t>
            </w:r>
          </w:p>
          <w:p w14:paraId="06E0586E">
            <w:pPr>
              <w:pStyle w:val="157"/>
              <w:spacing w:before="62" w:beforeLines="20" w:after="62" w:afterLines="20" w:line="360" w:lineRule="auto"/>
              <w:rPr>
                <w:rFonts w:hint="eastAsia" w:ascii="仿宋" w:hAnsi="仿宋" w:eastAsia="仿宋" w:cs="仿宋"/>
                <w:color w:val="auto"/>
                <w:highlight w:val="none"/>
              </w:rPr>
            </w:pPr>
            <w:r>
              <w:rPr>
                <w:rFonts w:hint="eastAsia" w:ascii="仿宋" w:hAnsi="仿宋" w:eastAsia="仿宋" w:cs="宋体"/>
                <w:color w:val="auto"/>
                <w:highlight w:val="none"/>
              </w:rPr>
              <w:sym w:font="Wingdings 2" w:char="0052"/>
            </w:r>
            <w:r>
              <w:rPr>
                <w:rFonts w:hint="eastAsia" w:ascii="仿宋" w:hAnsi="仿宋" w:eastAsia="仿宋" w:cs="宋体"/>
                <w:color w:val="auto"/>
                <w:highlight w:val="none"/>
              </w:rPr>
              <w:t>资格后审，</w:t>
            </w:r>
            <w:r>
              <w:rPr>
                <w:rFonts w:hint="eastAsia" w:ascii="仿宋" w:hAnsi="仿宋" w:eastAsia="仿宋" w:cs="仿宋"/>
                <w:color w:val="auto"/>
                <w:highlight w:val="none"/>
              </w:rPr>
              <w:t>详见</w:t>
            </w:r>
            <w:r>
              <w:rPr>
                <w:rFonts w:hint="eastAsia" w:ascii="仿宋" w:hAnsi="仿宋" w:eastAsia="仿宋" w:cs="仿宋"/>
                <w:color w:val="auto"/>
                <w:highlight w:val="none"/>
                <w:u w:val="single"/>
              </w:rPr>
              <w:t>第一章 竞争性磋商公告“二、供应商资格要求”</w:t>
            </w:r>
            <w:r>
              <w:rPr>
                <w:rFonts w:hint="eastAsia" w:ascii="仿宋" w:hAnsi="仿宋" w:eastAsia="仿宋" w:cs="仿宋"/>
                <w:color w:val="auto"/>
                <w:highlight w:val="none"/>
              </w:rPr>
              <w:t>。</w:t>
            </w:r>
          </w:p>
        </w:tc>
      </w:tr>
      <w:tr w14:paraId="0F5F5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949" w:type="dxa"/>
            <w:noWrap w:val="0"/>
            <w:vAlign w:val="center"/>
          </w:tcPr>
          <w:p w14:paraId="39B735A0">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 w:val="24"/>
              </w:rPr>
              <w:t>6.2</w:t>
            </w:r>
          </w:p>
        </w:tc>
        <w:tc>
          <w:tcPr>
            <w:tcW w:w="927" w:type="pct"/>
            <w:noWrap w:val="0"/>
            <w:vAlign w:val="center"/>
          </w:tcPr>
          <w:p w14:paraId="1F8B4F5B">
            <w:pPr>
              <w:spacing w:before="62" w:beforeLines="20" w:after="62" w:afterLines="20"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★磋商文件实质性要求的标识</w:t>
            </w:r>
          </w:p>
        </w:tc>
        <w:tc>
          <w:tcPr>
            <w:tcW w:w="3589" w:type="pct"/>
            <w:noWrap w:val="0"/>
            <w:vAlign w:val="center"/>
          </w:tcPr>
          <w:p w14:paraId="6B390B8F">
            <w:pPr>
              <w:pStyle w:val="140"/>
              <w:topLinePunct/>
              <w:spacing w:before="62" w:beforeLines="20" w:after="62" w:afterLines="20" w:line="360" w:lineRule="auto"/>
              <w:rPr>
                <w:rFonts w:hint="eastAsia" w:ascii="仿宋" w:hAnsi="仿宋" w:eastAsia="仿宋" w:cs="Cambria Math"/>
                <w:b/>
                <w:color w:val="auto"/>
                <w:sz w:val="21"/>
                <w:szCs w:val="21"/>
                <w:highlight w:val="none"/>
              </w:rPr>
            </w:pPr>
            <w:r>
              <w:rPr>
                <w:rFonts w:hint="eastAsia" w:ascii="仿宋" w:hAnsi="仿宋" w:eastAsia="仿宋" w:cs="Cambria Math"/>
                <w:color w:val="auto"/>
                <w:sz w:val="21"/>
                <w:szCs w:val="21"/>
                <w:highlight w:val="none"/>
                <w:u w:val="single"/>
              </w:rPr>
              <w:t>磋商文件中标识“★”条款、注明“磋商响应将被否决”、“对其响应做否决处理”</w:t>
            </w:r>
            <w:r>
              <w:rPr>
                <w:rFonts w:hint="eastAsia" w:ascii="仿宋" w:hAnsi="仿宋" w:eastAsia="仿宋" w:cs="宋体"/>
                <w:color w:val="auto"/>
                <w:sz w:val="21"/>
                <w:szCs w:val="21"/>
                <w:highlight w:val="none"/>
                <w:u w:val="single"/>
              </w:rPr>
              <w:t>等</w:t>
            </w:r>
            <w:r>
              <w:rPr>
                <w:rFonts w:hint="eastAsia" w:ascii="仿宋" w:hAnsi="仿宋" w:eastAsia="仿宋" w:cs="Cambria Math"/>
                <w:color w:val="auto"/>
                <w:sz w:val="21"/>
                <w:szCs w:val="21"/>
                <w:highlight w:val="none"/>
                <w:u w:val="single"/>
              </w:rPr>
              <w:t>的条款</w:t>
            </w:r>
            <w:r>
              <w:rPr>
                <w:rFonts w:hint="eastAsia" w:ascii="仿宋" w:hAnsi="仿宋" w:eastAsia="仿宋" w:cs="Cambria Math"/>
                <w:color w:val="auto"/>
                <w:sz w:val="21"/>
                <w:szCs w:val="21"/>
                <w:highlight w:val="none"/>
              </w:rPr>
              <w:t>，均为实质性条款，</w:t>
            </w:r>
            <w:r>
              <w:rPr>
                <w:rFonts w:hint="eastAsia" w:ascii="仿宋" w:hAnsi="仿宋" w:eastAsia="仿宋" w:cs="宋体"/>
                <w:b/>
                <w:color w:val="auto"/>
                <w:sz w:val="21"/>
                <w:szCs w:val="21"/>
                <w:highlight w:val="none"/>
              </w:rPr>
              <w:t>不满足任意一项</w:t>
            </w:r>
            <w:r>
              <w:rPr>
                <w:rFonts w:hint="eastAsia" w:ascii="仿宋" w:hAnsi="仿宋" w:eastAsia="仿宋" w:cs="Cambria Math"/>
                <w:b/>
                <w:color w:val="auto"/>
                <w:sz w:val="21"/>
                <w:szCs w:val="21"/>
                <w:highlight w:val="none"/>
              </w:rPr>
              <w:t>实质性条款的响应将被否决。</w:t>
            </w:r>
          </w:p>
        </w:tc>
      </w:tr>
      <w:tr w14:paraId="20516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949" w:type="dxa"/>
            <w:noWrap w:val="0"/>
            <w:vAlign w:val="center"/>
          </w:tcPr>
          <w:p w14:paraId="0E0F712E">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 w:val="24"/>
              </w:rPr>
              <w:t>7.2</w:t>
            </w:r>
          </w:p>
        </w:tc>
        <w:tc>
          <w:tcPr>
            <w:tcW w:w="927" w:type="pct"/>
            <w:noWrap w:val="0"/>
            <w:vAlign w:val="center"/>
          </w:tcPr>
          <w:p w14:paraId="779DA1BA">
            <w:pPr>
              <w:adjustRightInd w:val="0"/>
              <w:snapToGrid w:val="0"/>
              <w:spacing w:line="360" w:lineRule="auto"/>
              <w:ind w:left="36" w:leftChars="17"/>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供应商提出澄清的截止时间和方式</w:t>
            </w:r>
          </w:p>
        </w:tc>
        <w:tc>
          <w:tcPr>
            <w:tcW w:w="3589" w:type="pct"/>
            <w:noWrap w:val="0"/>
            <w:vAlign w:val="center"/>
          </w:tcPr>
          <w:p w14:paraId="491E9ECA">
            <w:pPr>
              <w:pStyle w:val="140"/>
              <w:topLinePunct/>
              <w:spacing w:before="62" w:beforeLines="20" w:after="62" w:afterLines="20"/>
              <w:rPr>
                <w:rFonts w:hint="eastAsia" w:ascii="仿宋" w:hAnsi="仿宋" w:eastAsia="仿宋" w:cs="宋体"/>
                <w:color w:val="auto"/>
                <w:sz w:val="21"/>
                <w:szCs w:val="21"/>
                <w:highlight w:val="none"/>
              </w:rPr>
            </w:pPr>
            <w:r>
              <w:rPr>
                <w:rFonts w:hint="eastAsia" w:ascii="仿宋" w:hAnsi="仿宋" w:eastAsia="仿宋" w:cs="宋体"/>
                <w:b/>
                <w:color w:val="auto"/>
                <w:sz w:val="21"/>
                <w:szCs w:val="21"/>
                <w:highlight w:val="none"/>
              </w:rPr>
              <w:t>截止时间：</w:t>
            </w:r>
            <w:r>
              <w:rPr>
                <w:rFonts w:hint="eastAsia" w:ascii="仿宋" w:hAnsi="仿宋" w:eastAsia="仿宋" w:cs="宋体"/>
                <w:b/>
                <w:color w:val="auto"/>
                <w:sz w:val="21"/>
                <w:szCs w:val="21"/>
                <w:highlight w:val="none"/>
                <w:u w:val="single"/>
              </w:rPr>
              <w:t>202</w:t>
            </w:r>
            <w:r>
              <w:rPr>
                <w:rFonts w:hint="eastAsia" w:ascii="仿宋" w:hAnsi="仿宋" w:eastAsia="仿宋" w:cs="宋体"/>
                <w:b/>
                <w:color w:val="auto"/>
                <w:sz w:val="21"/>
                <w:szCs w:val="21"/>
                <w:highlight w:val="none"/>
                <w:u w:val="single"/>
                <w:lang w:val="en-US" w:eastAsia="zh-CN"/>
              </w:rPr>
              <w:t>5</w:t>
            </w:r>
            <w:r>
              <w:rPr>
                <w:rFonts w:hint="eastAsia" w:ascii="仿宋" w:hAnsi="仿宋" w:eastAsia="仿宋" w:cs="宋体"/>
                <w:b/>
                <w:color w:val="auto"/>
                <w:sz w:val="21"/>
                <w:szCs w:val="21"/>
                <w:highlight w:val="none"/>
                <w:u w:val="single"/>
              </w:rPr>
              <w:t>年</w:t>
            </w:r>
            <w:r>
              <w:rPr>
                <w:rFonts w:hint="eastAsia" w:ascii="仿宋" w:hAnsi="仿宋" w:eastAsia="仿宋" w:cs="宋体"/>
                <w:b/>
                <w:color w:val="auto"/>
                <w:sz w:val="21"/>
                <w:szCs w:val="21"/>
                <w:highlight w:val="none"/>
                <w:u w:val="single"/>
                <w:lang w:val="en-US" w:eastAsia="zh-CN"/>
              </w:rPr>
              <w:t>11</w:t>
            </w:r>
            <w:r>
              <w:rPr>
                <w:rFonts w:hint="eastAsia" w:ascii="仿宋" w:hAnsi="仿宋" w:eastAsia="仿宋" w:cs="宋体"/>
                <w:b/>
                <w:color w:val="auto"/>
                <w:sz w:val="21"/>
                <w:szCs w:val="21"/>
                <w:highlight w:val="none"/>
                <w:u w:val="single"/>
              </w:rPr>
              <w:t>月</w:t>
            </w:r>
            <w:r>
              <w:rPr>
                <w:rFonts w:hint="eastAsia" w:ascii="仿宋" w:hAnsi="仿宋" w:eastAsia="仿宋" w:cs="宋体"/>
                <w:b/>
                <w:color w:val="auto"/>
                <w:sz w:val="21"/>
                <w:szCs w:val="21"/>
                <w:highlight w:val="none"/>
                <w:u w:val="single"/>
                <w:lang w:val="en-US" w:eastAsia="zh-CN"/>
              </w:rPr>
              <w:t>3</w:t>
            </w:r>
            <w:r>
              <w:rPr>
                <w:rFonts w:hint="eastAsia" w:ascii="仿宋" w:hAnsi="仿宋" w:eastAsia="仿宋" w:cs="宋体"/>
                <w:b/>
                <w:color w:val="auto"/>
                <w:sz w:val="21"/>
                <w:szCs w:val="21"/>
                <w:highlight w:val="none"/>
                <w:u w:val="single"/>
              </w:rPr>
              <w:t xml:space="preserve">日 </w:t>
            </w:r>
            <w:r>
              <w:rPr>
                <w:rFonts w:hint="eastAsia" w:ascii="仿宋" w:hAnsi="仿宋" w:eastAsia="仿宋" w:cs="宋体"/>
                <w:b/>
                <w:color w:val="auto"/>
                <w:sz w:val="21"/>
                <w:szCs w:val="21"/>
                <w:highlight w:val="none"/>
                <w:u w:val="single"/>
                <w:lang w:val="en-US" w:eastAsia="zh-CN"/>
              </w:rPr>
              <w:t>17</w:t>
            </w:r>
            <w:r>
              <w:rPr>
                <w:rFonts w:hint="eastAsia" w:ascii="仿宋" w:hAnsi="仿宋" w:eastAsia="仿宋" w:cs="宋体"/>
                <w:b/>
                <w:color w:val="auto"/>
                <w:sz w:val="21"/>
                <w:szCs w:val="21"/>
                <w:highlight w:val="none"/>
                <w:u w:val="single"/>
              </w:rPr>
              <w:t xml:space="preserve">时 </w:t>
            </w:r>
            <w:r>
              <w:rPr>
                <w:rFonts w:hint="eastAsia" w:ascii="仿宋" w:hAnsi="仿宋" w:eastAsia="仿宋" w:cs="宋体"/>
                <w:b/>
                <w:color w:val="auto"/>
                <w:sz w:val="21"/>
                <w:szCs w:val="21"/>
                <w:highlight w:val="none"/>
                <w:u w:val="single"/>
                <w:lang w:val="en-US" w:eastAsia="zh-CN"/>
              </w:rPr>
              <w:t>00</w:t>
            </w:r>
            <w:r>
              <w:rPr>
                <w:rFonts w:hint="eastAsia" w:ascii="仿宋" w:hAnsi="仿宋" w:eastAsia="仿宋" w:cs="宋体"/>
                <w:b/>
                <w:color w:val="auto"/>
                <w:sz w:val="21"/>
                <w:szCs w:val="21"/>
                <w:highlight w:val="none"/>
                <w:u w:val="single"/>
              </w:rPr>
              <w:t>分</w:t>
            </w:r>
            <w:r>
              <w:rPr>
                <w:rFonts w:hint="eastAsia" w:ascii="仿宋" w:hAnsi="仿宋" w:eastAsia="仿宋" w:cs="宋体"/>
                <w:b/>
                <w:color w:val="auto"/>
                <w:sz w:val="21"/>
                <w:szCs w:val="21"/>
                <w:highlight w:val="none"/>
              </w:rPr>
              <w:t>（北京时间）。</w:t>
            </w:r>
          </w:p>
          <w:p w14:paraId="215BD6AF">
            <w:pPr>
              <w:pStyle w:val="150"/>
              <w:spacing w:before="62" w:beforeLines="20" w:after="62" w:afterLines="20" w:line="360" w:lineRule="auto"/>
              <w:rPr>
                <w:rFonts w:hint="eastAsia" w:ascii="仿宋" w:hAnsi="仿宋" w:eastAsia="仿宋" w:cs="宋体"/>
                <w:color w:val="auto"/>
                <w:sz w:val="21"/>
                <w:szCs w:val="21"/>
                <w:highlight w:val="none"/>
                <w:lang w:val="en-US" w:eastAsia="zh-CN"/>
              </w:rPr>
            </w:pPr>
            <w:r>
              <w:rPr>
                <w:rFonts w:hint="eastAsia" w:ascii="仿宋" w:hAnsi="仿宋" w:eastAsia="仿宋" w:cs="宋体"/>
                <w:color w:val="auto"/>
                <w:sz w:val="21"/>
                <w:szCs w:val="21"/>
                <w:highlight w:val="none"/>
              </w:rPr>
              <w:t>提出澄清的方式：书面方式</w:t>
            </w:r>
            <w:r>
              <w:rPr>
                <w:rFonts w:hint="eastAsia" w:ascii="仿宋" w:hAnsi="仿宋" w:eastAsia="仿宋" w:cs="宋体"/>
                <w:color w:val="auto"/>
                <w:sz w:val="21"/>
                <w:szCs w:val="21"/>
                <w:highlight w:val="none"/>
                <w:lang w:eastAsia="zh-CN"/>
              </w:rPr>
              <w:t>。</w:t>
            </w:r>
            <w:bookmarkStart w:id="316" w:name="_GoBack"/>
            <w:bookmarkEnd w:id="316"/>
          </w:p>
        </w:tc>
      </w:tr>
      <w:tr w14:paraId="658CF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949" w:type="dxa"/>
            <w:noWrap w:val="0"/>
            <w:vAlign w:val="center"/>
          </w:tcPr>
          <w:p w14:paraId="2C9B8E83">
            <w:pPr>
              <w:spacing w:line="360" w:lineRule="auto"/>
              <w:jc w:val="center"/>
              <w:rPr>
                <w:rFonts w:ascii="仿宋" w:hAnsi="仿宋" w:eastAsia="仿宋" w:cs="仿宋"/>
                <w:color w:val="auto"/>
                <w:szCs w:val="21"/>
                <w:highlight w:val="none"/>
              </w:rPr>
            </w:pPr>
            <w:r>
              <w:rPr>
                <w:rFonts w:hint="eastAsia" w:ascii="仿宋" w:hAnsi="仿宋" w:eastAsia="仿宋" w:cs="仿宋"/>
                <w:color w:val="auto"/>
                <w:sz w:val="24"/>
              </w:rPr>
              <w:t>7.3</w:t>
            </w:r>
          </w:p>
        </w:tc>
        <w:tc>
          <w:tcPr>
            <w:tcW w:w="927" w:type="pct"/>
            <w:noWrap w:val="0"/>
            <w:vAlign w:val="center"/>
          </w:tcPr>
          <w:p w14:paraId="69A9A29E">
            <w:pPr>
              <w:adjustRightInd w:val="0"/>
              <w:snapToGrid w:val="0"/>
              <w:spacing w:line="360" w:lineRule="auto"/>
              <w:ind w:left="36" w:leftChars="17"/>
              <w:jc w:val="center"/>
              <w:rPr>
                <w:rFonts w:hint="eastAsia" w:ascii="仿宋" w:hAnsi="仿宋" w:eastAsia="仿宋" w:cs="仿宋"/>
                <w:color w:val="auto"/>
                <w:szCs w:val="21"/>
                <w:highlight w:val="none"/>
              </w:rPr>
            </w:pPr>
            <w:r>
              <w:rPr>
                <w:rFonts w:hint="eastAsia" w:ascii="仿宋" w:hAnsi="仿宋" w:eastAsia="仿宋" w:cs="宋体"/>
                <w:color w:val="auto"/>
                <w:szCs w:val="21"/>
                <w:highlight w:val="none"/>
              </w:rPr>
              <w:t>供应商确认收到澄清或修改的截止时间和方式</w:t>
            </w:r>
          </w:p>
        </w:tc>
        <w:tc>
          <w:tcPr>
            <w:tcW w:w="3589" w:type="pct"/>
            <w:noWrap w:val="0"/>
            <w:vAlign w:val="center"/>
          </w:tcPr>
          <w:p w14:paraId="4783830D">
            <w:pPr>
              <w:spacing w:line="360" w:lineRule="auto"/>
              <w:rPr>
                <w:rFonts w:hint="eastAsia" w:ascii="仿宋" w:hAnsi="仿宋" w:eastAsia="仿宋" w:cs="宋体"/>
                <w:b w:val="0"/>
                <w:bCs/>
                <w:color w:val="auto"/>
                <w:szCs w:val="21"/>
                <w:highlight w:val="none"/>
              </w:rPr>
            </w:pPr>
            <w:r>
              <w:rPr>
                <w:rFonts w:hint="eastAsia" w:ascii="仿宋" w:hAnsi="仿宋" w:eastAsia="仿宋" w:cs="宋体"/>
                <w:b/>
                <w:color w:val="auto"/>
                <w:szCs w:val="21"/>
                <w:highlight w:val="none"/>
              </w:rPr>
              <w:t>确认收到澄清或修改的时间：</w:t>
            </w:r>
            <w:r>
              <w:rPr>
                <w:rFonts w:hint="eastAsia" w:ascii="仿宋" w:hAnsi="仿宋" w:eastAsia="仿宋" w:cs="宋体"/>
                <w:b w:val="0"/>
                <w:bCs/>
                <w:color w:val="auto"/>
                <w:szCs w:val="21"/>
                <w:highlight w:val="none"/>
                <w:u w:val="single"/>
              </w:rPr>
              <w:t>收到</w:t>
            </w:r>
            <w:r>
              <w:rPr>
                <w:rFonts w:hint="eastAsia" w:ascii="仿宋" w:hAnsi="仿宋" w:eastAsia="仿宋" w:cs="宋体"/>
                <w:b w:val="0"/>
                <w:bCs/>
                <w:color w:val="auto"/>
                <w:szCs w:val="21"/>
                <w:highlight w:val="none"/>
                <w:u w:val="single"/>
                <w:lang w:val="en-US" w:eastAsia="zh-CN"/>
              </w:rPr>
              <w:t>磋商</w:t>
            </w:r>
            <w:r>
              <w:rPr>
                <w:rFonts w:hint="eastAsia" w:ascii="仿宋" w:hAnsi="仿宋" w:eastAsia="仿宋" w:cs="宋体"/>
                <w:b w:val="0"/>
                <w:bCs/>
                <w:color w:val="auto"/>
                <w:szCs w:val="21"/>
                <w:highlight w:val="none"/>
                <w:u w:val="single"/>
              </w:rPr>
              <w:t>文件澄清或修改通知后</w:t>
            </w:r>
            <w:r>
              <w:rPr>
                <w:rFonts w:hint="eastAsia" w:ascii="仿宋" w:hAnsi="仿宋" w:eastAsia="仿宋" w:cs="宋体"/>
                <w:b w:val="0"/>
                <w:bCs/>
                <w:color w:val="auto"/>
                <w:szCs w:val="21"/>
                <w:highlight w:val="none"/>
                <w:u w:val="single"/>
                <w:lang w:val="en-US" w:eastAsia="zh-CN"/>
              </w:rPr>
              <w:t>2</w:t>
            </w:r>
            <w:r>
              <w:rPr>
                <w:rFonts w:hint="eastAsia" w:ascii="仿宋" w:hAnsi="仿宋" w:eastAsia="仿宋" w:cs="宋体"/>
                <w:b w:val="0"/>
                <w:bCs/>
                <w:color w:val="auto"/>
                <w:szCs w:val="21"/>
                <w:highlight w:val="none"/>
                <w:u w:val="single"/>
              </w:rPr>
              <w:t>个工作日内。</w:t>
            </w:r>
          </w:p>
          <w:p w14:paraId="11584EE8">
            <w:pPr>
              <w:spacing w:line="360" w:lineRule="auto"/>
              <w:rPr>
                <w:rFonts w:hint="eastAsia" w:ascii="仿宋" w:hAnsi="仿宋" w:eastAsia="仿宋" w:cs="宋体"/>
                <w:color w:val="auto"/>
                <w:szCs w:val="21"/>
                <w:highlight w:val="none"/>
              </w:rPr>
            </w:pPr>
            <w:r>
              <w:rPr>
                <w:rFonts w:hint="eastAsia" w:ascii="仿宋" w:hAnsi="仿宋" w:eastAsia="仿宋" w:cs="宋体"/>
                <w:color w:val="auto"/>
                <w:szCs w:val="21"/>
                <w:highlight w:val="none"/>
              </w:rPr>
              <w:t>确认收到澄清或修改文件的方式：书面形式</w:t>
            </w:r>
            <w:r>
              <w:rPr>
                <w:rFonts w:hint="eastAsia" w:ascii="仿宋" w:hAnsi="仿宋" w:eastAsia="仿宋" w:cs="宋体"/>
                <w:color w:val="auto"/>
                <w:sz w:val="21"/>
                <w:szCs w:val="21"/>
                <w:highlight w:val="none"/>
                <w:lang w:eastAsia="zh-CN"/>
              </w:rPr>
              <w:t>。</w:t>
            </w:r>
          </w:p>
        </w:tc>
      </w:tr>
      <w:tr w14:paraId="13D6F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949" w:type="dxa"/>
            <w:noWrap w:val="0"/>
            <w:vAlign w:val="center"/>
          </w:tcPr>
          <w:p w14:paraId="24F9FC78">
            <w:pPr>
              <w:spacing w:line="360" w:lineRule="auto"/>
              <w:jc w:val="center"/>
              <w:rPr>
                <w:rFonts w:hint="eastAsia" w:ascii="仿宋" w:hAnsi="仿宋" w:eastAsia="仿宋" w:cs="仿宋"/>
                <w:color w:val="000000"/>
                <w:szCs w:val="21"/>
                <w:highlight w:val="none"/>
              </w:rPr>
            </w:pPr>
            <w:r>
              <w:rPr>
                <w:rFonts w:hint="eastAsia" w:ascii="仿宋" w:hAnsi="仿宋" w:eastAsia="仿宋" w:cs="仿宋"/>
                <w:sz w:val="24"/>
              </w:rPr>
              <w:t>10</w:t>
            </w:r>
          </w:p>
        </w:tc>
        <w:tc>
          <w:tcPr>
            <w:tcW w:w="927" w:type="pct"/>
            <w:noWrap w:val="0"/>
            <w:vAlign w:val="center"/>
          </w:tcPr>
          <w:p w14:paraId="1F0D94BB">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响应文件的组成</w:t>
            </w:r>
          </w:p>
        </w:tc>
        <w:tc>
          <w:tcPr>
            <w:tcW w:w="3589" w:type="pct"/>
            <w:noWrap w:val="0"/>
            <w:vAlign w:val="center"/>
          </w:tcPr>
          <w:p w14:paraId="0A8DC0DE">
            <w:pPr>
              <w:pStyle w:val="150"/>
              <w:spacing w:before="62" w:beforeLines="20" w:after="62" w:afterLines="20" w:line="276" w:lineRule="auto"/>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响应文件按照以下架构分成三册并顺序编制：</w:t>
            </w:r>
          </w:p>
          <w:p w14:paraId="0356A8B0">
            <w:pPr>
              <w:pStyle w:val="157"/>
              <w:spacing w:before="62" w:beforeLines="20" w:after="62" w:afterLines="20" w:line="276" w:lineRule="auto"/>
              <w:rPr>
                <w:rFonts w:hint="eastAsia" w:ascii="仿宋" w:hAnsi="仿宋" w:eastAsia="仿宋" w:cs="仿宋"/>
                <w:b/>
                <w:color w:val="000000"/>
                <w:highlight w:val="none"/>
              </w:rPr>
            </w:pPr>
            <w:r>
              <w:rPr>
                <w:rFonts w:hint="eastAsia" w:ascii="仿宋" w:hAnsi="仿宋" w:eastAsia="仿宋" w:cs="仿宋"/>
                <w:b/>
                <w:color w:val="000000"/>
                <w:highlight w:val="none"/>
              </w:rPr>
              <w:t>一、商务文件</w:t>
            </w:r>
          </w:p>
          <w:p w14:paraId="05AA13F7">
            <w:pPr>
              <w:autoSpaceDE w:val="0"/>
              <w:autoSpaceDN w:val="0"/>
              <w:spacing w:line="276" w:lineRule="auto"/>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初步评审索引表</w:t>
            </w:r>
          </w:p>
          <w:p w14:paraId="26E2B003">
            <w:pPr>
              <w:autoSpaceDE w:val="0"/>
              <w:autoSpaceDN w:val="0"/>
              <w:spacing w:line="276" w:lineRule="auto"/>
            </w:pPr>
            <w:r>
              <w:rPr>
                <w:rFonts w:hint="eastAsia" w:ascii="仿宋" w:hAnsi="仿宋" w:eastAsia="仿宋" w:cs="仿宋"/>
                <w:b/>
                <w:color w:val="000000"/>
                <w:szCs w:val="21"/>
                <w:highlight w:val="none"/>
              </w:rPr>
              <w:t>详细评审索引表</w:t>
            </w:r>
          </w:p>
          <w:p w14:paraId="6F2D1D47">
            <w:pPr>
              <w:pStyle w:val="157"/>
              <w:spacing w:before="62" w:beforeLines="20" w:after="62" w:afterLines="20" w:line="276" w:lineRule="auto"/>
              <w:rPr>
                <w:rFonts w:hint="eastAsia" w:ascii="仿宋" w:hAnsi="仿宋" w:eastAsia="仿宋" w:cs="仿宋"/>
                <w:color w:val="000000"/>
                <w:highlight w:val="none"/>
              </w:rPr>
            </w:pPr>
            <w:r>
              <w:rPr>
                <w:rFonts w:hint="eastAsia" w:ascii="仿宋" w:hAnsi="仿宋" w:eastAsia="仿宋" w:cs="仿宋"/>
                <w:color w:val="000000"/>
                <w:highlight w:val="none"/>
              </w:rPr>
              <w:t>（一）响应函</w:t>
            </w:r>
          </w:p>
          <w:p w14:paraId="6D99AE44">
            <w:pPr>
              <w:pStyle w:val="150"/>
              <w:spacing w:before="62" w:beforeLines="20" w:after="62" w:afterLines="20"/>
              <w:rPr>
                <w:rFonts w:hint="eastAsia" w:ascii="仿宋" w:hAnsi="仿宋" w:eastAsia="仿宋" w:cs="宋体"/>
                <w:color w:val="000000"/>
                <w:sz w:val="21"/>
                <w:szCs w:val="21"/>
                <w:highlight w:val="none"/>
              </w:rPr>
            </w:pPr>
            <w:r>
              <w:rPr>
                <w:rFonts w:hint="eastAsia" w:ascii="仿宋" w:hAnsi="仿宋" w:eastAsia="仿宋" w:cs="宋体"/>
                <w:color w:val="000000"/>
                <w:sz w:val="21"/>
                <w:szCs w:val="21"/>
                <w:highlight w:val="none"/>
              </w:rPr>
              <w:t>（二）法定代表人（负责人）身份证明</w:t>
            </w:r>
          </w:p>
          <w:p w14:paraId="38DAA16D">
            <w:pPr>
              <w:pStyle w:val="150"/>
              <w:spacing w:before="62" w:beforeLines="20" w:after="62" w:afterLines="20"/>
              <w:rPr>
                <w:rFonts w:hint="eastAsia" w:ascii="仿宋" w:hAnsi="仿宋" w:eastAsia="仿宋" w:cs="宋体"/>
                <w:color w:val="000000"/>
                <w:sz w:val="21"/>
                <w:szCs w:val="21"/>
                <w:highlight w:val="none"/>
              </w:rPr>
            </w:pPr>
            <w:r>
              <w:rPr>
                <w:rFonts w:hint="eastAsia" w:ascii="仿宋" w:hAnsi="仿宋" w:eastAsia="仿宋" w:cs="宋体"/>
                <w:color w:val="000000"/>
                <w:sz w:val="21"/>
                <w:szCs w:val="21"/>
                <w:highlight w:val="none"/>
              </w:rPr>
              <w:t>（三）法定代表人（负责人）授权委托书</w:t>
            </w:r>
          </w:p>
          <w:p w14:paraId="13962C5A">
            <w:pPr>
              <w:pStyle w:val="157"/>
              <w:spacing w:before="62" w:beforeLines="20" w:after="62" w:afterLines="20" w:line="276" w:lineRule="auto"/>
              <w:rPr>
                <w:rFonts w:hint="eastAsia" w:ascii="仿宋" w:hAnsi="仿宋" w:eastAsia="仿宋" w:cs="仿宋"/>
                <w:color w:val="000000"/>
                <w:highlight w:val="none"/>
              </w:rPr>
            </w:pPr>
            <w:r>
              <w:rPr>
                <w:rFonts w:hint="eastAsia" w:ascii="仿宋" w:hAnsi="仿宋" w:eastAsia="仿宋" w:cs="仿宋"/>
                <w:color w:val="000000"/>
                <w:highlight w:val="none"/>
              </w:rPr>
              <w:t>（四）资格证明文件</w:t>
            </w:r>
          </w:p>
          <w:p w14:paraId="5EA5D739">
            <w:pPr>
              <w:pStyle w:val="150"/>
              <w:spacing w:before="62" w:beforeLines="20" w:after="62" w:afterLines="20"/>
              <w:rPr>
                <w:rFonts w:hint="eastAsia" w:ascii="仿宋" w:hAnsi="仿宋" w:eastAsia="仿宋" w:cs="仿宋"/>
                <w:color w:val="000000"/>
                <w:highlight w:val="none"/>
              </w:rPr>
            </w:pPr>
            <w:r>
              <w:rPr>
                <w:rFonts w:hint="eastAsia" w:ascii="仿宋" w:hAnsi="仿宋" w:eastAsia="仿宋" w:cs="宋体"/>
                <w:color w:val="000000"/>
                <w:sz w:val="21"/>
                <w:szCs w:val="21"/>
                <w:highlight w:val="none"/>
              </w:rPr>
              <w:t>（五）供应商须知应答偏离表</w:t>
            </w:r>
          </w:p>
          <w:p w14:paraId="7C6D25A4">
            <w:pPr>
              <w:pStyle w:val="157"/>
              <w:spacing w:before="62" w:beforeLines="20" w:after="62" w:afterLines="20" w:line="276" w:lineRule="auto"/>
              <w:rPr>
                <w:rFonts w:hint="eastAsia" w:ascii="仿宋" w:hAnsi="仿宋" w:eastAsia="仿宋" w:cs="仿宋"/>
                <w:color w:val="000000"/>
                <w:highlight w:val="none"/>
              </w:rPr>
            </w:pPr>
            <w:r>
              <w:rPr>
                <w:rFonts w:hint="eastAsia" w:ascii="仿宋" w:hAnsi="仿宋" w:eastAsia="仿宋" w:cs="仿宋"/>
                <w:color w:val="000000"/>
                <w:highlight w:val="none"/>
              </w:rPr>
              <w:t>（六）合同条款应答偏离表</w:t>
            </w:r>
          </w:p>
          <w:p w14:paraId="0D7B3B10">
            <w:pPr>
              <w:pStyle w:val="157"/>
              <w:spacing w:before="62" w:beforeLines="20" w:after="62" w:afterLines="20" w:line="276" w:lineRule="auto"/>
              <w:rPr>
                <w:rFonts w:hint="eastAsia" w:ascii="仿宋" w:hAnsi="仿宋" w:eastAsia="仿宋" w:cs="仿宋"/>
                <w:color w:val="000000"/>
                <w:highlight w:val="none"/>
              </w:rPr>
            </w:pPr>
            <w:r>
              <w:rPr>
                <w:rFonts w:hint="eastAsia" w:ascii="仿宋" w:hAnsi="仿宋" w:eastAsia="仿宋" w:cs="仿宋"/>
                <w:color w:val="000000"/>
                <w:highlight w:val="none"/>
              </w:rPr>
              <w:t>（七）供应商行为准则承诺书</w:t>
            </w:r>
          </w:p>
          <w:p w14:paraId="2EC0BD51">
            <w:pPr>
              <w:pStyle w:val="157"/>
              <w:spacing w:before="62" w:beforeLines="20" w:after="62" w:afterLines="20" w:line="276" w:lineRule="auto"/>
              <w:rPr>
                <w:rFonts w:hint="eastAsia" w:ascii="仿宋" w:hAnsi="仿宋" w:eastAsia="仿宋" w:cs="仿宋"/>
                <w:color w:val="000000"/>
                <w:highlight w:val="none"/>
              </w:rPr>
            </w:pPr>
            <w:r>
              <w:rPr>
                <w:rFonts w:hint="eastAsia" w:ascii="仿宋" w:hAnsi="仿宋" w:eastAsia="仿宋" w:cs="宋体"/>
                <w:color w:val="000000"/>
                <w:highlight w:val="none"/>
              </w:rPr>
              <w:t>（八）供应商廉洁诚信承诺书</w:t>
            </w:r>
          </w:p>
          <w:p w14:paraId="70A8EDFC">
            <w:pPr>
              <w:pStyle w:val="157"/>
              <w:spacing w:before="62" w:beforeLines="20" w:after="62" w:afterLines="20" w:line="276" w:lineRule="auto"/>
              <w:rPr>
                <w:rFonts w:hint="eastAsia" w:ascii="仿宋" w:hAnsi="仿宋" w:eastAsia="仿宋" w:cs="仿宋"/>
                <w:color w:val="000000"/>
                <w:highlight w:val="none"/>
              </w:rPr>
            </w:pPr>
            <w:r>
              <w:rPr>
                <w:rFonts w:hint="eastAsia" w:ascii="仿宋" w:hAnsi="仿宋" w:eastAsia="仿宋" w:cs="仿宋"/>
                <w:color w:val="000000"/>
                <w:highlight w:val="none"/>
              </w:rPr>
              <w:t>（九）其他材料</w:t>
            </w:r>
            <w:r>
              <w:rPr>
                <w:rFonts w:hint="eastAsia" w:ascii="仿宋" w:hAnsi="仿宋" w:eastAsia="仿宋" w:cs="宋体"/>
                <w:color w:val="000000"/>
                <w:sz w:val="21"/>
                <w:szCs w:val="21"/>
                <w:highlight w:val="none"/>
              </w:rPr>
              <w:t>（如有）</w:t>
            </w:r>
          </w:p>
          <w:p w14:paraId="7D77A5BC">
            <w:pPr>
              <w:autoSpaceDE w:val="0"/>
              <w:autoSpaceDN w:val="0"/>
              <w:spacing w:line="276" w:lineRule="auto"/>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二、技术文件</w:t>
            </w:r>
          </w:p>
          <w:p w14:paraId="530A2BF5">
            <w:pPr>
              <w:autoSpaceDE w:val="0"/>
              <w:autoSpaceDN w:val="0"/>
              <w:spacing w:line="276" w:lineRule="auto"/>
              <w:rPr>
                <w:rFonts w:ascii="仿宋" w:hAnsi="仿宋" w:eastAsia="仿宋" w:cs="仿宋"/>
                <w:b/>
                <w:color w:val="000000"/>
                <w:szCs w:val="21"/>
                <w:highlight w:val="none"/>
              </w:rPr>
            </w:pPr>
            <w:r>
              <w:rPr>
                <w:rFonts w:hint="eastAsia" w:ascii="仿宋" w:hAnsi="仿宋" w:eastAsia="仿宋" w:cs="仿宋"/>
                <w:b/>
                <w:color w:val="000000"/>
                <w:szCs w:val="21"/>
                <w:highlight w:val="none"/>
              </w:rPr>
              <w:t>详细评审索引表</w:t>
            </w:r>
          </w:p>
          <w:p w14:paraId="038E426D">
            <w:pPr>
              <w:autoSpaceDE w:val="0"/>
              <w:autoSpaceDN w:val="0"/>
              <w:spacing w:line="276" w:lineRule="auto"/>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（一）采购需求应答偏离表</w:t>
            </w:r>
          </w:p>
          <w:p w14:paraId="7DB225EC">
            <w:pPr>
              <w:pStyle w:val="157"/>
              <w:spacing w:before="62" w:beforeLines="20" w:after="62" w:afterLines="20" w:line="276" w:lineRule="auto"/>
              <w:rPr>
                <w:rFonts w:hint="eastAsia" w:ascii="仿宋" w:hAnsi="仿宋" w:eastAsia="仿宋" w:cs="仿宋"/>
                <w:color w:val="000000"/>
                <w:highlight w:val="none"/>
              </w:rPr>
            </w:pPr>
            <w:r>
              <w:rPr>
                <w:rFonts w:hint="eastAsia" w:ascii="仿宋" w:hAnsi="仿宋" w:eastAsia="仿宋" w:cs="仿宋"/>
                <w:color w:val="000000"/>
                <w:highlight w:val="none"/>
              </w:rPr>
              <w:t>（二）技术方案</w:t>
            </w:r>
          </w:p>
          <w:p w14:paraId="35465C53">
            <w:pPr>
              <w:pStyle w:val="157"/>
              <w:spacing w:before="62" w:beforeLines="20" w:after="62" w:afterLines="20" w:line="276" w:lineRule="auto"/>
              <w:rPr>
                <w:rFonts w:hint="eastAsia" w:ascii="仿宋" w:hAnsi="仿宋" w:eastAsia="仿宋" w:cs="仿宋"/>
                <w:color w:val="000000"/>
                <w:highlight w:val="none"/>
              </w:rPr>
            </w:pPr>
            <w:r>
              <w:rPr>
                <w:rFonts w:hint="eastAsia" w:ascii="仿宋" w:hAnsi="仿宋" w:eastAsia="仿宋" w:cs="仿宋"/>
                <w:color w:val="000000"/>
                <w:highlight w:val="none"/>
              </w:rPr>
              <w:t>（三）其他材料</w:t>
            </w:r>
            <w:r>
              <w:rPr>
                <w:rFonts w:hint="eastAsia" w:ascii="仿宋" w:hAnsi="仿宋" w:eastAsia="仿宋" w:cs="宋体"/>
                <w:color w:val="000000"/>
                <w:sz w:val="21"/>
                <w:szCs w:val="21"/>
                <w:highlight w:val="none"/>
              </w:rPr>
              <w:t>（如有）</w:t>
            </w:r>
          </w:p>
          <w:p w14:paraId="27840B2A">
            <w:pPr>
              <w:autoSpaceDE w:val="0"/>
              <w:autoSpaceDN w:val="0"/>
              <w:spacing w:line="276" w:lineRule="auto"/>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三、报价文件</w:t>
            </w:r>
          </w:p>
          <w:p w14:paraId="1AB1966D">
            <w:pPr>
              <w:pStyle w:val="157"/>
              <w:spacing w:before="62" w:beforeLines="20" w:after="62" w:afterLines="20" w:line="276" w:lineRule="auto"/>
              <w:rPr>
                <w:rFonts w:hint="eastAsia" w:ascii="仿宋" w:hAnsi="仿宋" w:eastAsia="仿宋" w:cs="仿宋"/>
                <w:color w:val="000000"/>
                <w:highlight w:val="none"/>
              </w:rPr>
            </w:pPr>
            <w:r>
              <w:rPr>
                <w:rFonts w:hint="eastAsia" w:ascii="仿宋" w:hAnsi="仿宋" w:eastAsia="仿宋" w:cs="仿宋"/>
                <w:color w:val="000000"/>
                <w:highlight w:val="none"/>
              </w:rPr>
              <w:t>（一）报价一览表</w:t>
            </w:r>
          </w:p>
          <w:p w14:paraId="33DCEC63">
            <w:pPr>
              <w:pStyle w:val="157"/>
              <w:spacing w:before="62" w:beforeLines="20" w:after="62" w:afterLines="20" w:line="276" w:lineRule="auto"/>
              <w:rPr>
                <w:rFonts w:hint="eastAsia" w:ascii="仿宋" w:hAnsi="仿宋" w:eastAsia="仿宋" w:cs="仿宋"/>
                <w:color w:val="000000"/>
                <w:highlight w:val="none"/>
              </w:rPr>
            </w:pPr>
            <w:r>
              <w:rPr>
                <w:rFonts w:hint="eastAsia" w:ascii="仿宋" w:hAnsi="仿宋" w:eastAsia="仿宋" w:cs="仿宋"/>
                <w:color w:val="000000"/>
                <w:highlight w:val="none"/>
              </w:rPr>
              <w:t>（二）分项报价表</w:t>
            </w:r>
            <w:r>
              <w:rPr>
                <w:rFonts w:hint="eastAsia" w:ascii="仿宋" w:hAnsi="仿宋" w:eastAsia="仿宋" w:cs="宋体"/>
                <w:color w:val="000000"/>
                <w:sz w:val="21"/>
                <w:szCs w:val="21"/>
                <w:highlight w:val="none"/>
              </w:rPr>
              <w:t>（如有）</w:t>
            </w:r>
          </w:p>
        </w:tc>
      </w:tr>
      <w:tr w14:paraId="13030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949" w:type="dxa"/>
            <w:noWrap w:val="0"/>
            <w:vAlign w:val="center"/>
          </w:tcPr>
          <w:p w14:paraId="2E0FC968">
            <w:pPr>
              <w:spacing w:line="360" w:lineRule="auto"/>
              <w:jc w:val="center"/>
              <w:rPr>
                <w:rFonts w:ascii="仿宋" w:hAnsi="仿宋" w:eastAsia="仿宋" w:cs="仿宋"/>
                <w:color w:val="000000"/>
                <w:szCs w:val="21"/>
                <w:highlight w:val="none"/>
              </w:rPr>
            </w:pPr>
            <w:r>
              <w:rPr>
                <w:rFonts w:hint="eastAsia" w:ascii="仿宋" w:hAnsi="仿宋" w:eastAsia="仿宋" w:cs="仿宋"/>
                <w:sz w:val="24"/>
              </w:rPr>
              <w:t>15</w:t>
            </w:r>
          </w:p>
        </w:tc>
        <w:tc>
          <w:tcPr>
            <w:tcW w:w="927" w:type="pct"/>
            <w:noWrap w:val="0"/>
            <w:vAlign w:val="center"/>
          </w:tcPr>
          <w:p w14:paraId="48D83D94">
            <w:pPr>
              <w:adjustRightInd w:val="0"/>
              <w:snapToGrid w:val="0"/>
              <w:spacing w:line="360" w:lineRule="auto"/>
              <w:ind w:left="36" w:leftChars="17"/>
              <w:jc w:val="center"/>
              <w:rPr>
                <w:rFonts w:ascii="仿宋" w:hAnsi="仿宋" w:eastAsia="仿宋" w:cs="仿宋"/>
                <w:color w:val="000000"/>
                <w:szCs w:val="21"/>
                <w:highlight w:val="none"/>
              </w:rPr>
            </w:pPr>
            <w:r>
              <w:rPr>
                <w:rFonts w:hint="eastAsia" w:ascii="仿宋" w:hAnsi="仿宋" w:eastAsia="仿宋" w:cs="仿宋"/>
                <w:color w:val="000000"/>
                <w:szCs w:val="21"/>
                <w:highlight w:val="none"/>
              </w:rPr>
              <w:t>响应文件的递交</w:t>
            </w:r>
          </w:p>
        </w:tc>
        <w:tc>
          <w:tcPr>
            <w:tcW w:w="3589" w:type="pct"/>
            <w:noWrap w:val="0"/>
            <w:vAlign w:val="center"/>
          </w:tcPr>
          <w:p w14:paraId="596EBEF0">
            <w:pPr>
              <w:autoSpaceDE w:val="0"/>
              <w:autoSpaceDN w:val="0"/>
              <w:spacing w:line="360" w:lineRule="auto"/>
              <w:rPr>
                <w:rFonts w:hint="eastAsia" w:ascii="仿宋" w:hAnsi="仿宋" w:eastAsia="仿宋" w:cs="宋体"/>
                <w:bCs/>
                <w:color w:val="000000"/>
                <w:szCs w:val="21"/>
                <w:highlight w:val="none"/>
              </w:rPr>
            </w:pPr>
            <w:r>
              <w:rPr>
                <w:rFonts w:hint="eastAsia" w:ascii="仿宋" w:hAnsi="仿宋" w:eastAsia="仿宋" w:cs="仿宋"/>
                <w:color w:val="000000"/>
                <w:highlight w:val="none"/>
              </w:rPr>
              <w:t>详见</w:t>
            </w:r>
            <w:r>
              <w:rPr>
                <w:rFonts w:hint="eastAsia" w:ascii="仿宋" w:hAnsi="仿宋" w:eastAsia="仿宋" w:cs="仿宋"/>
                <w:color w:val="000000"/>
                <w:highlight w:val="none"/>
                <w:u w:val="single"/>
              </w:rPr>
              <w:t>第一章 竞争性磋商公告</w:t>
            </w:r>
          </w:p>
        </w:tc>
      </w:tr>
      <w:tr w14:paraId="03DD2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949" w:type="dxa"/>
            <w:noWrap w:val="0"/>
            <w:vAlign w:val="center"/>
          </w:tcPr>
          <w:p w14:paraId="221E24A6">
            <w:pPr>
              <w:spacing w:line="360" w:lineRule="auto"/>
              <w:jc w:val="center"/>
              <w:rPr>
                <w:rFonts w:hint="eastAsia" w:ascii="仿宋" w:hAnsi="仿宋" w:eastAsia="仿宋" w:cs="仿宋"/>
                <w:color w:val="000000"/>
                <w:szCs w:val="21"/>
                <w:highlight w:val="none"/>
              </w:rPr>
            </w:pPr>
            <w:r>
              <w:rPr>
                <w:rFonts w:hint="eastAsia" w:ascii="仿宋" w:hAnsi="仿宋" w:eastAsia="仿宋" w:cs="仿宋"/>
                <w:sz w:val="24"/>
              </w:rPr>
              <w:t>15</w:t>
            </w:r>
          </w:p>
        </w:tc>
        <w:tc>
          <w:tcPr>
            <w:tcW w:w="927" w:type="pct"/>
            <w:noWrap w:val="0"/>
            <w:vAlign w:val="center"/>
          </w:tcPr>
          <w:p w14:paraId="017F9AD4">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Cambria Math"/>
                <w:color w:val="000000"/>
                <w:szCs w:val="21"/>
                <w:highlight w:val="none"/>
              </w:rPr>
              <w:t>★</w:t>
            </w:r>
            <w:r>
              <w:rPr>
                <w:rFonts w:hint="eastAsia" w:ascii="仿宋" w:hAnsi="仿宋" w:eastAsia="仿宋" w:cs="宋体"/>
                <w:color w:val="000000"/>
                <w:szCs w:val="21"/>
                <w:highlight w:val="none"/>
              </w:rPr>
              <w:t>响应文件的盖章或签字要求</w:t>
            </w:r>
          </w:p>
        </w:tc>
        <w:tc>
          <w:tcPr>
            <w:tcW w:w="3589" w:type="pct"/>
            <w:noWrap w:val="0"/>
            <w:vAlign w:val="center"/>
          </w:tcPr>
          <w:p w14:paraId="4A6B9129">
            <w:pPr>
              <w:pStyle w:val="140"/>
              <w:topLinePunct/>
              <w:spacing w:before="62" w:beforeLines="20" w:after="62" w:afterLines="20" w:line="360" w:lineRule="auto"/>
              <w:rPr>
                <w:rFonts w:hint="eastAsia" w:ascii="仿宋" w:hAnsi="仿宋" w:eastAsia="仿宋" w:cs="宋体"/>
                <w:color w:val="000000"/>
                <w:sz w:val="21"/>
                <w:szCs w:val="21"/>
                <w:highlight w:val="none"/>
              </w:rPr>
            </w:pPr>
            <w:r>
              <w:rPr>
                <w:rFonts w:hint="eastAsia" w:ascii="仿宋" w:hAnsi="仿宋" w:eastAsia="仿宋" w:cs="宋体"/>
                <w:color w:val="000000"/>
                <w:sz w:val="21"/>
                <w:szCs w:val="21"/>
                <w:highlight w:val="none"/>
              </w:rPr>
              <w:t>（1）《法定代表人（负责人）身份证明》的落款处应加盖公章。</w:t>
            </w:r>
          </w:p>
          <w:p w14:paraId="617DC437">
            <w:pPr>
              <w:pStyle w:val="140"/>
              <w:topLinePunct/>
              <w:spacing w:before="62" w:beforeLines="20" w:after="62" w:afterLines="20" w:line="360" w:lineRule="auto"/>
              <w:rPr>
                <w:rFonts w:hint="eastAsia" w:ascii="仿宋" w:hAnsi="仿宋" w:eastAsia="仿宋" w:cs="宋体"/>
                <w:color w:val="000000"/>
                <w:sz w:val="21"/>
                <w:szCs w:val="21"/>
                <w:highlight w:val="none"/>
              </w:rPr>
            </w:pPr>
            <w:r>
              <w:rPr>
                <w:rFonts w:hint="eastAsia" w:ascii="仿宋" w:hAnsi="仿宋" w:eastAsia="仿宋" w:cs="宋体"/>
                <w:color w:val="000000"/>
                <w:sz w:val="21"/>
                <w:szCs w:val="21"/>
                <w:highlight w:val="none"/>
              </w:rPr>
              <w:t>（2）《法定代表人（负责人）授权委托书》的落款处应加盖公章</w:t>
            </w:r>
            <w:r>
              <w:rPr>
                <w:rFonts w:hint="eastAsia" w:ascii="仿宋" w:hAnsi="仿宋" w:eastAsia="仿宋" w:cs="宋体"/>
                <w:b/>
                <w:color w:val="000000"/>
                <w:sz w:val="21"/>
                <w:szCs w:val="21"/>
                <w:highlight w:val="none"/>
              </w:rPr>
              <w:t>并由</w:t>
            </w:r>
            <w:r>
              <w:rPr>
                <w:rFonts w:hint="eastAsia" w:ascii="仿宋" w:hAnsi="仿宋" w:eastAsia="仿宋" w:cs="宋体"/>
                <w:color w:val="000000"/>
                <w:sz w:val="21"/>
                <w:szCs w:val="21"/>
                <w:highlight w:val="none"/>
              </w:rPr>
              <w:t>法定代表人（负责人）</w:t>
            </w:r>
            <w:r>
              <w:rPr>
                <w:rFonts w:hint="eastAsia" w:ascii="仿宋" w:hAnsi="仿宋" w:eastAsia="仿宋" w:cs="宋体"/>
                <w:b/>
                <w:color w:val="000000"/>
                <w:sz w:val="21"/>
                <w:szCs w:val="21"/>
                <w:highlight w:val="none"/>
              </w:rPr>
              <w:t>和</w:t>
            </w:r>
            <w:r>
              <w:rPr>
                <w:rFonts w:hint="eastAsia" w:ascii="仿宋" w:hAnsi="仿宋" w:eastAsia="仿宋" w:cs="宋体"/>
                <w:color w:val="000000"/>
                <w:sz w:val="21"/>
                <w:szCs w:val="21"/>
                <w:highlight w:val="none"/>
              </w:rPr>
              <w:t>其委托代理人</w:t>
            </w:r>
            <w:r>
              <w:rPr>
                <w:rFonts w:hint="eastAsia" w:ascii="仿宋" w:hAnsi="仿宋" w:eastAsia="仿宋" w:cs="宋体"/>
                <w:b/>
                <w:color w:val="000000"/>
                <w:sz w:val="21"/>
                <w:szCs w:val="21"/>
                <w:highlight w:val="none"/>
              </w:rPr>
              <w:t>双方</w:t>
            </w:r>
            <w:r>
              <w:rPr>
                <w:rFonts w:hint="eastAsia" w:ascii="仿宋" w:hAnsi="仿宋" w:eastAsia="仿宋" w:cs="宋体"/>
                <w:color w:val="000000"/>
                <w:sz w:val="21"/>
                <w:szCs w:val="21"/>
                <w:highlight w:val="none"/>
              </w:rPr>
              <w:t>签字。</w:t>
            </w:r>
          </w:p>
          <w:p w14:paraId="766F7DBA">
            <w:pPr>
              <w:pStyle w:val="140"/>
              <w:topLinePunct/>
              <w:spacing w:before="62" w:beforeLines="20" w:after="62" w:afterLines="20" w:line="360" w:lineRule="auto"/>
              <w:rPr>
                <w:rFonts w:hint="eastAsia" w:ascii="仿宋" w:hAnsi="仿宋" w:eastAsia="仿宋" w:cs="宋体"/>
                <w:color w:val="000000"/>
                <w:sz w:val="21"/>
                <w:szCs w:val="21"/>
                <w:highlight w:val="none"/>
              </w:rPr>
            </w:pPr>
            <w:r>
              <w:rPr>
                <w:rFonts w:hint="eastAsia" w:ascii="仿宋" w:hAnsi="仿宋" w:eastAsia="仿宋" w:cs="宋体"/>
                <w:color w:val="000000"/>
                <w:sz w:val="21"/>
                <w:szCs w:val="21"/>
                <w:highlight w:val="none"/>
              </w:rPr>
              <w:t>（3）响应文件格式中其他有落款的文件，</w:t>
            </w:r>
            <w:r>
              <w:rPr>
                <w:rFonts w:hint="eastAsia" w:ascii="仿宋" w:hAnsi="仿宋" w:eastAsia="仿宋" w:cs="宋体"/>
                <w:b/>
                <w:color w:val="000000"/>
                <w:sz w:val="21"/>
                <w:szCs w:val="21"/>
                <w:highlight w:val="none"/>
              </w:rPr>
              <w:t>均需</w:t>
            </w:r>
            <w:r>
              <w:rPr>
                <w:rFonts w:hint="eastAsia" w:ascii="仿宋" w:hAnsi="仿宋" w:eastAsia="仿宋" w:cs="宋体"/>
                <w:color w:val="000000"/>
                <w:sz w:val="21"/>
                <w:szCs w:val="21"/>
                <w:highlight w:val="none"/>
              </w:rPr>
              <w:t>加盖公章。</w:t>
            </w:r>
          </w:p>
          <w:p w14:paraId="3FA914D8">
            <w:pPr>
              <w:pStyle w:val="140"/>
              <w:topLinePunct/>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宋体"/>
                <w:color w:val="000000"/>
                <w:sz w:val="21"/>
                <w:szCs w:val="21"/>
                <w:highlight w:val="none"/>
              </w:rPr>
              <w:t>（4）响应文件的所有签字处均指手写签字</w:t>
            </w:r>
            <w:r>
              <w:rPr>
                <w:rFonts w:hint="eastAsia" w:ascii="仿宋" w:hAnsi="仿宋" w:eastAsia="仿宋" w:cs="宋体"/>
                <w:b/>
                <w:color w:val="000000"/>
                <w:sz w:val="21"/>
                <w:szCs w:val="21"/>
                <w:highlight w:val="none"/>
              </w:rPr>
              <w:t>或</w:t>
            </w:r>
            <w:r>
              <w:rPr>
                <w:rFonts w:hint="eastAsia" w:ascii="仿宋" w:hAnsi="仿宋" w:eastAsia="仿宋" w:cs="宋体"/>
                <w:color w:val="000000"/>
                <w:sz w:val="21"/>
                <w:szCs w:val="21"/>
                <w:highlight w:val="none"/>
              </w:rPr>
              <w:t>签名章/印章</w:t>
            </w:r>
            <w:r>
              <w:rPr>
                <w:rFonts w:hint="eastAsia" w:ascii="仿宋" w:hAnsi="仿宋" w:eastAsia="仿宋" w:cs="宋体"/>
                <w:b/>
                <w:bCs/>
                <w:color w:val="000000"/>
                <w:sz w:val="21"/>
                <w:szCs w:val="21"/>
                <w:highlight w:val="none"/>
              </w:rPr>
              <w:t>或</w:t>
            </w:r>
            <w:r>
              <w:rPr>
                <w:rFonts w:hint="eastAsia" w:ascii="仿宋" w:hAnsi="仿宋" w:eastAsia="仿宋" w:cs="宋体"/>
                <w:color w:val="000000"/>
                <w:sz w:val="21"/>
                <w:szCs w:val="21"/>
                <w:highlight w:val="none"/>
              </w:rPr>
              <w:t>CA签名章，</w:t>
            </w:r>
            <w:r>
              <w:rPr>
                <w:rFonts w:hint="eastAsia" w:ascii="仿宋" w:hAnsi="仿宋" w:eastAsia="仿宋" w:cs="宋体"/>
                <w:b/>
                <w:color w:val="000000"/>
                <w:sz w:val="21"/>
                <w:szCs w:val="21"/>
                <w:highlight w:val="none"/>
              </w:rPr>
              <w:t>不得</w:t>
            </w:r>
            <w:r>
              <w:rPr>
                <w:rFonts w:hint="eastAsia" w:ascii="仿宋" w:hAnsi="仿宋" w:eastAsia="仿宋" w:cs="宋体"/>
                <w:color w:val="000000"/>
                <w:sz w:val="21"/>
                <w:szCs w:val="21"/>
                <w:highlight w:val="none"/>
              </w:rPr>
              <w:t>以打印体代替。</w:t>
            </w:r>
          </w:p>
        </w:tc>
      </w:tr>
      <w:tr w14:paraId="4DD28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949" w:type="dxa"/>
            <w:noWrap w:val="0"/>
            <w:vAlign w:val="center"/>
          </w:tcPr>
          <w:p w14:paraId="17839F0C">
            <w:pPr>
              <w:spacing w:line="360" w:lineRule="auto"/>
              <w:jc w:val="center"/>
              <w:rPr>
                <w:rFonts w:hint="eastAsia" w:ascii="仿宋" w:hAnsi="仿宋" w:eastAsia="仿宋" w:cs="仿宋"/>
                <w:color w:val="000000"/>
                <w:szCs w:val="21"/>
                <w:highlight w:val="none"/>
              </w:rPr>
            </w:pPr>
            <w:r>
              <w:rPr>
                <w:rFonts w:hint="eastAsia" w:ascii="仿宋" w:hAnsi="仿宋" w:eastAsia="仿宋" w:cs="仿宋"/>
                <w:sz w:val="24"/>
              </w:rPr>
              <w:t>11</w:t>
            </w:r>
          </w:p>
        </w:tc>
        <w:tc>
          <w:tcPr>
            <w:tcW w:w="927" w:type="pct"/>
            <w:noWrap w:val="0"/>
            <w:vAlign w:val="center"/>
          </w:tcPr>
          <w:p w14:paraId="2D856745">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磋商响应报价</w:t>
            </w:r>
          </w:p>
        </w:tc>
        <w:tc>
          <w:tcPr>
            <w:tcW w:w="3589" w:type="pct"/>
            <w:noWrap w:val="0"/>
            <w:vAlign w:val="center"/>
          </w:tcPr>
          <w:p w14:paraId="60D44117">
            <w:pPr>
              <w:pStyle w:val="157"/>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仿宋"/>
                <w:color w:val="000000"/>
                <w:highlight w:val="none"/>
              </w:rPr>
              <w:t>1）供应商应结合自身实力与经验、市场价格竞争及合同实施风险等因素进行综合考虑进行报价。</w:t>
            </w:r>
          </w:p>
          <w:p w14:paraId="41614B25">
            <w:pPr>
              <w:pStyle w:val="157"/>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仿宋"/>
                <w:color w:val="000000"/>
                <w:highlight w:val="none"/>
              </w:rPr>
              <w:t>2）磋商小组将视磋商情况决定是否进行多轮次报价，供应商</w:t>
            </w:r>
            <w:r>
              <w:rPr>
                <w:rFonts w:hint="eastAsia" w:ascii="仿宋" w:hAnsi="仿宋" w:eastAsia="仿宋" w:cs="仿宋"/>
                <w:color w:val="000000"/>
                <w:highlight w:val="none"/>
                <w:u w:val="single"/>
              </w:rPr>
              <w:t>最后一轮磋商提交的报价</w:t>
            </w:r>
            <w:r>
              <w:rPr>
                <w:rFonts w:hint="eastAsia" w:ascii="仿宋" w:hAnsi="仿宋" w:eastAsia="仿宋" w:cs="仿宋"/>
                <w:color w:val="000000"/>
                <w:highlight w:val="none"/>
              </w:rPr>
              <w:t>将作为该供应商的</w:t>
            </w:r>
            <w:r>
              <w:rPr>
                <w:rFonts w:hint="eastAsia" w:ascii="仿宋" w:hAnsi="仿宋" w:eastAsia="仿宋" w:cs="仿宋"/>
                <w:b/>
                <w:bCs/>
                <w:color w:val="000000"/>
                <w:highlight w:val="none"/>
              </w:rPr>
              <w:t>最终报价</w:t>
            </w:r>
            <w:r>
              <w:rPr>
                <w:rFonts w:hint="eastAsia" w:ascii="仿宋" w:hAnsi="仿宋" w:eastAsia="仿宋" w:cs="仿宋"/>
                <w:color w:val="000000"/>
                <w:highlight w:val="none"/>
              </w:rPr>
              <w:t>进行评审。</w:t>
            </w:r>
          </w:p>
        </w:tc>
      </w:tr>
      <w:tr w14:paraId="22CEC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949" w:type="dxa"/>
            <w:noWrap w:val="0"/>
            <w:vAlign w:val="center"/>
          </w:tcPr>
          <w:p w14:paraId="6E150A0A">
            <w:pPr>
              <w:spacing w:line="360" w:lineRule="auto"/>
              <w:jc w:val="center"/>
              <w:rPr>
                <w:rFonts w:hint="eastAsia" w:ascii="仿宋" w:hAnsi="仿宋" w:eastAsia="仿宋" w:cs="仿宋"/>
                <w:color w:val="000000"/>
                <w:szCs w:val="21"/>
                <w:highlight w:val="none"/>
              </w:rPr>
            </w:pPr>
            <w:r>
              <w:rPr>
                <w:rFonts w:hint="eastAsia" w:ascii="仿宋" w:hAnsi="仿宋" w:eastAsia="仿宋" w:cs="仿宋"/>
                <w:sz w:val="24"/>
              </w:rPr>
              <w:t>12</w:t>
            </w:r>
          </w:p>
        </w:tc>
        <w:tc>
          <w:tcPr>
            <w:tcW w:w="927" w:type="pct"/>
            <w:noWrap w:val="0"/>
            <w:vAlign w:val="center"/>
          </w:tcPr>
          <w:p w14:paraId="79152654">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★磋商响应有效期</w:t>
            </w:r>
          </w:p>
        </w:tc>
        <w:tc>
          <w:tcPr>
            <w:tcW w:w="3589" w:type="pct"/>
            <w:noWrap w:val="0"/>
            <w:vAlign w:val="center"/>
          </w:tcPr>
          <w:p w14:paraId="5A895DD2">
            <w:pPr>
              <w:pStyle w:val="157"/>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宋体"/>
                <w:color w:val="000000"/>
                <w:highlight w:val="none"/>
              </w:rPr>
              <w:t>磋商响应有效期：</w:t>
            </w:r>
            <w:r>
              <w:rPr>
                <w:rFonts w:hint="eastAsia" w:ascii="仿宋" w:hAnsi="仿宋" w:eastAsia="仿宋" w:cs="宋体"/>
                <w:color w:val="000000"/>
                <w:highlight w:val="none"/>
                <w:u w:val="single"/>
              </w:rPr>
              <w:t>120天</w:t>
            </w:r>
            <w:r>
              <w:rPr>
                <w:rFonts w:hint="eastAsia" w:ascii="仿宋" w:hAnsi="仿宋" w:eastAsia="仿宋" w:cs="仿宋"/>
                <w:highlight w:val="none"/>
                <w:u w:val="single"/>
              </w:rPr>
              <w:t>。</w:t>
            </w:r>
          </w:p>
        </w:tc>
      </w:tr>
      <w:tr w14:paraId="6FFAD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949" w:type="dxa"/>
            <w:noWrap w:val="0"/>
            <w:vAlign w:val="center"/>
          </w:tcPr>
          <w:p w14:paraId="3050863F">
            <w:pPr>
              <w:spacing w:line="360" w:lineRule="auto"/>
              <w:jc w:val="center"/>
              <w:rPr>
                <w:rFonts w:ascii="仿宋" w:hAnsi="仿宋" w:eastAsia="仿宋" w:cs="仿宋"/>
                <w:color w:val="000000"/>
                <w:szCs w:val="21"/>
                <w:highlight w:val="none"/>
              </w:rPr>
            </w:pPr>
            <w:r>
              <w:rPr>
                <w:rFonts w:hint="eastAsia" w:ascii="仿宋" w:hAnsi="仿宋" w:eastAsia="仿宋" w:cs="仿宋"/>
                <w:sz w:val="24"/>
              </w:rPr>
              <w:t>13</w:t>
            </w:r>
          </w:p>
        </w:tc>
        <w:tc>
          <w:tcPr>
            <w:tcW w:w="927" w:type="pct"/>
            <w:noWrap w:val="0"/>
            <w:vAlign w:val="center"/>
          </w:tcPr>
          <w:p w14:paraId="07FA9858">
            <w:pPr>
              <w:adjustRightInd w:val="0"/>
              <w:snapToGrid w:val="0"/>
              <w:spacing w:line="360" w:lineRule="auto"/>
              <w:ind w:left="36" w:leftChars="17"/>
              <w:jc w:val="center"/>
              <w:rPr>
                <w:rFonts w:hint="default" w:ascii="仿宋" w:hAnsi="仿宋" w:eastAsia="仿宋" w:cs="仿宋"/>
                <w:color w:val="000000"/>
                <w:szCs w:val="21"/>
                <w:highlight w:val="none"/>
                <w:lang w:val="en-US" w:eastAsia="zh-CN"/>
              </w:rPr>
            </w:pPr>
            <w:r>
              <w:rPr>
                <w:rFonts w:hint="eastAsia" w:ascii="仿宋" w:hAnsi="仿宋" w:eastAsia="仿宋" w:cs="宋体"/>
                <w:color w:val="000000"/>
                <w:szCs w:val="21"/>
                <w:highlight w:val="none"/>
              </w:rPr>
              <w:t>★磋商保证金</w:t>
            </w:r>
            <w:r>
              <w:rPr>
                <w:rFonts w:hint="eastAsia" w:ascii="仿宋" w:hAnsi="仿宋" w:eastAsia="仿宋" w:cs="宋体"/>
                <w:color w:val="000000"/>
                <w:szCs w:val="21"/>
                <w:highlight w:val="none"/>
                <w:lang w:val="en-US" w:eastAsia="zh-CN"/>
              </w:rPr>
              <w:t>的金额</w:t>
            </w:r>
          </w:p>
        </w:tc>
        <w:tc>
          <w:tcPr>
            <w:tcW w:w="3589" w:type="pct"/>
            <w:noWrap w:val="0"/>
            <w:vAlign w:val="center"/>
          </w:tcPr>
          <w:p w14:paraId="2F73E50C">
            <w:pPr>
              <w:pStyle w:val="157"/>
              <w:spacing w:before="62" w:beforeLines="20" w:after="62" w:afterLines="20" w:line="360" w:lineRule="auto"/>
              <w:rPr>
                <w:rFonts w:hint="eastAsia" w:ascii="仿宋" w:hAnsi="仿宋" w:eastAsia="仿宋" w:cs="仿宋"/>
                <w:color w:val="000000"/>
                <w:highlight w:val="none"/>
                <w:u w:val="none"/>
              </w:rPr>
            </w:pPr>
            <w:r>
              <w:rPr>
                <w:rFonts w:hint="eastAsia" w:ascii="仿宋" w:hAnsi="仿宋" w:eastAsia="仿宋" w:cs="仿宋"/>
                <w:color w:val="000000"/>
                <w:highlight w:val="none"/>
                <w:u w:val="none"/>
              </w:rPr>
              <w:t>保证金金额：</w:t>
            </w:r>
            <w:r>
              <w:rPr>
                <w:rFonts w:hint="eastAsia" w:ascii="仿宋" w:hAnsi="仿宋" w:eastAsia="仿宋" w:cs="仿宋"/>
                <w:color w:val="000000"/>
                <w:highlight w:val="none"/>
                <w:u w:val="none"/>
                <w:lang w:val="en-US" w:eastAsia="zh-CN"/>
              </w:rPr>
              <w:t>贰万肆仟</w:t>
            </w:r>
            <w:r>
              <w:rPr>
                <w:rFonts w:hint="eastAsia" w:ascii="仿宋" w:hAnsi="仿宋" w:eastAsia="仿宋" w:cs="仿宋"/>
                <w:color w:val="000000"/>
                <w:highlight w:val="none"/>
                <w:u w:val="none"/>
              </w:rPr>
              <w:t>元整（￥</w:t>
            </w:r>
            <w:r>
              <w:rPr>
                <w:rFonts w:hint="eastAsia" w:ascii="仿宋" w:hAnsi="仿宋" w:eastAsia="仿宋" w:cs="仿宋"/>
                <w:color w:val="000000"/>
                <w:highlight w:val="none"/>
                <w:u w:val="none"/>
                <w:lang w:val="en-US" w:eastAsia="zh-CN"/>
              </w:rPr>
              <w:t>24</w:t>
            </w:r>
            <w:r>
              <w:rPr>
                <w:rFonts w:hint="eastAsia" w:ascii="仿宋" w:hAnsi="仿宋" w:eastAsia="仿宋" w:cs="仿宋"/>
                <w:color w:val="000000"/>
                <w:highlight w:val="none"/>
                <w:u w:val="none"/>
              </w:rPr>
              <w:t>000.00）</w:t>
            </w:r>
          </w:p>
          <w:p w14:paraId="69753106">
            <w:pPr>
              <w:pStyle w:val="157"/>
              <w:spacing w:before="62" w:beforeLines="20" w:after="62" w:afterLines="20" w:line="360" w:lineRule="auto"/>
              <w:rPr>
                <w:rFonts w:hint="eastAsia" w:ascii="仿宋" w:hAnsi="仿宋" w:eastAsia="仿宋" w:cs="仿宋"/>
                <w:color w:val="000000"/>
                <w:highlight w:val="none"/>
                <w:u w:val="none"/>
              </w:rPr>
            </w:pPr>
            <w:r>
              <w:rPr>
                <w:rFonts w:hint="eastAsia" w:ascii="仿宋" w:hAnsi="仿宋" w:eastAsia="仿宋" w:cs="仿宋"/>
                <w:color w:val="000000"/>
                <w:highlight w:val="none"/>
                <w:u w:val="none"/>
              </w:rPr>
              <w:t>交纳截止时间：同本项目投标截止时间，以投标保证金账户实际收款为准。</w:t>
            </w:r>
          </w:p>
          <w:p w14:paraId="4F00397F">
            <w:pPr>
              <w:pStyle w:val="157"/>
              <w:spacing w:before="62" w:beforeLines="20" w:after="62" w:afterLines="20" w:line="360" w:lineRule="auto"/>
              <w:rPr>
                <w:rFonts w:hint="eastAsia" w:ascii="仿宋" w:hAnsi="仿宋" w:eastAsia="仿宋" w:cs="仿宋"/>
                <w:color w:val="000000"/>
                <w:highlight w:val="none"/>
                <w:u w:val="none"/>
              </w:rPr>
            </w:pPr>
            <w:r>
              <w:rPr>
                <w:rFonts w:hint="eastAsia" w:ascii="仿宋" w:hAnsi="仿宋" w:eastAsia="仿宋" w:cs="仿宋"/>
                <w:color w:val="000000"/>
                <w:highlight w:val="none"/>
                <w:u w:val="none"/>
              </w:rPr>
              <w:t>缴纳办法：投标单位必须通过基本账户转账至投标保证金账户。</w:t>
            </w:r>
          </w:p>
          <w:p w14:paraId="15720EE8">
            <w:pPr>
              <w:pStyle w:val="157"/>
              <w:spacing w:before="62" w:beforeLines="20" w:after="62" w:afterLines="20" w:line="360" w:lineRule="auto"/>
              <w:rPr>
                <w:rFonts w:hint="eastAsia" w:ascii="仿宋" w:hAnsi="仿宋" w:eastAsia="仿宋" w:cs="仿宋"/>
                <w:color w:val="000000"/>
                <w:highlight w:val="none"/>
                <w:u w:val="none"/>
              </w:rPr>
            </w:pPr>
            <w:r>
              <w:rPr>
                <w:rFonts w:hint="eastAsia" w:ascii="仿宋" w:hAnsi="仿宋" w:eastAsia="仿宋" w:cs="仿宋"/>
                <w:color w:val="000000"/>
                <w:highlight w:val="none"/>
                <w:u w:val="none"/>
              </w:rPr>
              <w:t>缴纳投标保证金账户信息：</w:t>
            </w:r>
          </w:p>
          <w:p w14:paraId="509FD527">
            <w:pPr>
              <w:pStyle w:val="157"/>
              <w:spacing w:before="62" w:beforeLines="20" w:after="62" w:afterLines="20" w:line="360" w:lineRule="auto"/>
              <w:rPr>
                <w:rFonts w:hint="eastAsia" w:ascii="仿宋" w:hAnsi="仿宋" w:eastAsia="仿宋" w:cs="仿宋"/>
                <w:color w:val="000000"/>
                <w:highlight w:val="none"/>
                <w:u w:val="none"/>
              </w:rPr>
            </w:pPr>
            <w:r>
              <w:rPr>
                <w:rFonts w:hint="eastAsia" w:ascii="仿宋" w:hAnsi="仿宋" w:eastAsia="仿宋" w:cs="仿宋"/>
                <w:color w:val="000000"/>
                <w:highlight w:val="none"/>
                <w:u w:val="none"/>
              </w:rPr>
              <w:t>户      名：中通服供应链股份有限公司江西分公司</w:t>
            </w:r>
          </w:p>
          <w:p w14:paraId="3AC895A0">
            <w:pPr>
              <w:pStyle w:val="157"/>
              <w:spacing w:before="62" w:beforeLines="20" w:after="62" w:afterLines="20" w:line="360" w:lineRule="auto"/>
              <w:rPr>
                <w:rFonts w:hint="eastAsia" w:ascii="仿宋" w:hAnsi="仿宋" w:eastAsia="仿宋" w:cs="仿宋"/>
                <w:color w:val="000000"/>
                <w:highlight w:val="none"/>
                <w:u w:val="none"/>
              </w:rPr>
            </w:pPr>
            <w:r>
              <w:rPr>
                <w:rFonts w:hint="eastAsia" w:ascii="仿宋" w:hAnsi="仿宋" w:eastAsia="仿宋" w:cs="仿宋"/>
                <w:color w:val="000000"/>
                <w:highlight w:val="none"/>
                <w:u w:val="none"/>
              </w:rPr>
              <w:t>开  户  行：中信银行广州珠江新城支行</w:t>
            </w:r>
          </w:p>
          <w:p w14:paraId="3478E3C0">
            <w:pPr>
              <w:pStyle w:val="157"/>
              <w:spacing w:before="62" w:beforeLines="20" w:after="62" w:afterLines="20" w:line="360" w:lineRule="auto"/>
              <w:rPr>
                <w:rFonts w:hint="eastAsia" w:ascii="仿宋" w:hAnsi="仿宋" w:eastAsia="仿宋" w:cs="仿宋"/>
                <w:color w:val="000000"/>
                <w:highlight w:val="none"/>
                <w:u w:val="single"/>
                <w:lang w:eastAsia="zh-CN"/>
              </w:rPr>
            </w:pPr>
            <w:r>
              <w:rPr>
                <w:rFonts w:hint="eastAsia" w:ascii="仿宋" w:hAnsi="仿宋" w:eastAsia="仿宋" w:cs="仿宋"/>
                <w:color w:val="000000"/>
                <w:highlight w:val="none"/>
                <w:u w:val="none"/>
              </w:rPr>
              <w:t>帐      号：</w:t>
            </w:r>
            <w:r>
              <w:rPr>
                <w:rFonts w:hint="eastAsia" w:ascii="仿宋" w:hAnsi="仿宋" w:eastAsia="仿宋" w:cs="仿宋"/>
                <w:color w:val="000000"/>
                <w:highlight w:val="none"/>
                <w:u w:val="none"/>
                <w:lang w:eastAsia="zh-CN"/>
              </w:rPr>
              <w:t>3110930015700009523</w:t>
            </w:r>
          </w:p>
        </w:tc>
      </w:tr>
      <w:tr w14:paraId="6120D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949" w:type="dxa"/>
            <w:noWrap w:val="0"/>
            <w:vAlign w:val="center"/>
          </w:tcPr>
          <w:p w14:paraId="7E8A018D">
            <w:pPr>
              <w:spacing w:line="360" w:lineRule="auto"/>
              <w:jc w:val="center"/>
              <w:rPr>
                <w:rFonts w:hint="eastAsia" w:ascii="仿宋" w:hAnsi="仿宋" w:eastAsia="仿宋" w:cs="仿宋"/>
                <w:color w:val="000000"/>
                <w:szCs w:val="21"/>
                <w:highlight w:val="none"/>
              </w:rPr>
            </w:pPr>
            <w:r>
              <w:rPr>
                <w:rFonts w:hint="eastAsia" w:ascii="仿宋" w:hAnsi="仿宋" w:eastAsia="仿宋" w:cs="仿宋"/>
                <w:sz w:val="24"/>
              </w:rPr>
              <w:t>13</w:t>
            </w:r>
          </w:p>
        </w:tc>
        <w:tc>
          <w:tcPr>
            <w:tcW w:w="927" w:type="pct"/>
            <w:noWrap w:val="0"/>
            <w:vAlign w:val="center"/>
          </w:tcPr>
          <w:p w14:paraId="61F42B97">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Cambria Math"/>
                <w:color w:val="000000"/>
                <w:szCs w:val="21"/>
                <w:highlight w:val="none"/>
              </w:rPr>
              <w:t>★</w:t>
            </w:r>
            <w:r>
              <w:rPr>
                <w:rFonts w:hint="eastAsia" w:ascii="仿宋" w:hAnsi="仿宋" w:eastAsia="仿宋" w:cs="宋体"/>
                <w:color w:val="000000"/>
                <w:szCs w:val="21"/>
                <w:highlight w:val="none"/>
                <w:lang w:val="en-US" w:eastAsia="zh-CN"/>
              </w:rPr>
              <w:t>磋商</w:t>
            </w:r>
            <w:r>
              <w:rPr>
                <w:rFonts w:hint="eastAsia" w:ascii="仿宋" w:hAnsi="仿宋" w:eastAsia="仿宋" w:cs="宋体"/>
                <w:color w:val="000000"/>
                <w:szCs w:val="21"/>
                <w:highlight w:val="none"/>
              </w:rPr>
              <w:t>保证金</w:t>
            </w:r>
            <w:r>
              <w:rPr>
                <w:rFonts w:hint="eastAsia" w:ascii="仿宋" w:hAnsi="仿宋" w:eastAsia="仿宋" w:cs="宋体"/>
                <w:color w:val="000000"/>
                <w:szCs w:val="21"/>
                <w:highlight w:val="none"/>
                <w:lang w:val="en-US" w:eastAsia="zh-CN"/>
              </w:rPr>
              <w:t>的</w:t>
            </w:r>
            <w:r>
              <w:rPr>
                <w:rFonts w:hint="eastAsia" w:ascii="仿宋" w:hAnsi="仿宋" w:eastAsia="仿宋" w:cs="宋体"/>
                <w:color w:val="000000"/>
                <w:szCs w:val="21"/>
                <w:highlight w:val="none"/>
              </w:rPr>
              <w:t>形式</w:t>
            </w:r>
          </w:p>
        </w:tc>
        <w:tc>
          <w:tcPr>
            <w:tcW w:w="3589" w:type="pct"/>
            <w:noWrap w:val="0"/>
            <w:vAlign w:val="center"/>
          </w:tcPr>
          <w:p w14:paraId="587955A9">
            <w:pPr>
              <w:pStyle w:val="157"/>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仿宋"/>
                <w:color w:val="000000"/>
                <w:highlight w:val="none"/>
              </w:rPr>
              <w:t>（1）</w:t>
            </w:r>
            <w:r>
              <w:rPr>
                <w:rFonts w:hint="eastAsia" w:ascii="仿宋" w:hAnsi="仿宋" w:eastAsia="仿宋" w:cs="仿宋"/>
                <w:color w:val="000000"/>
                <w:highlight w:val="none"/>
                <w:lang w:val="en-US" w:eastAsia="zh-CN"/>
              </w:rPr>
              <w:t>磋商</w:t>
            </w:r>
            <w:r>
              <w:rPr>
                <w:rFonts w:hint="eastAsia" w:ascii="仿宋" w:hAnsi="仿宋" w:eastAsia="仿宋" w:cs="仿宋"/>
                <w:color w:val="000000"/>
                <w:highlight w:val="none"/>
              </w:rPr>
              <w:t>保证金的形式：银行电汇/银行转账。</w:t>
            </w:r>
          </w:p>
          <w:p w14:paraId="7F61EF46">
            <w:pPr>
              <w:pStyle w:val="157"/>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仿宋"/>
                <w:color w:val="000000"/>
                <w:highlight w:val="none"/>
              </w:rPr>
              <w:t>（2）缴纳方式：银行转账。</w:t>
            </w:r>
          </w:p>
          <w:p w14:paraId="6C8BEDDC">
            <w:pPr>
              <w:pStyle w:val="157"/>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仿宋"/>
                <w:color w:val="000000"/>
                <w:highlight w:val="none"/>
              </w:rPr>
              <w:t>（3）未在文件递交截止时间前提交</w:t>
            </w:r>
            <w:r>
              <w:rPr>
                <w:rFonts w:hint="eastAsia" w:ascii="仿宋" w:hAnsi="仿宋" w:eastAsia="仿宋" w:cs="仿宋"/>
                <w:color w:val="000000"/>
                <w:highlight w:val="none"/>
                <w:lang w:val="en-US" w:eastAsia="zh-CN"/>
              </w:rPr>
              <w:t>磋商</w:t>
            </w:r>
            <w:r>
              <w:rPr>
                <w:rFonts w:hint="eastAsia" w:ascii="仿宋" w:hAnsi="仿宋" w:eastAsia="仿宋" w:cs="仿宋"/>
                <w:color w:val="000000"/>
                <w:highlight w:val="none"/>
              </w:rPr>
              <w:t>保证保险的或者提交的</w:t>
            </w:r>
            <w:r>
              <w:rPr>
                <w:rFonts w:hint="eastAsia" w:ascii="仿宋" w:hAnsi="仿宋" w:eastAsia="仿宋" w:cs="仿宋"/>
                <w:color w:val="000000"/>
                <w:highlight w:val="none"/>
                <w:lang w:val="en-US" w:eastAsia="zh-CN"/>
              </w:rPr>
              <w:t>磋商</w:t>
            </w:r>
            <w:r>
              <w:rPr>
                <w:rFonts w:hint="eastAsia" w:ascii="仿宋" w:hAnsi="仿宋" w:eastAsia="仿宋" w:cs="仿宋"/>
                <w:color w:val="000000"/>
                <w:highlight w:val="none"/>
              </w:rPr>
              <w:t>保证保险有瑕疵的，</w:t>
            </w:r>
            <w:r>
              <w:rPr>
                <w:rFonts w:hint="eastAsia" w:ascii="仿宋" w:hAnsi="仿宋" w:eastAsia="仿宋" w:cs="仿宋"/>
                <w:color w:val="000000"/>
                <w:highlight w:val="none"/>
                <w:lang w:val="en-US" w:eastAsia="zh-CN"/>
              </w:rPr>
              <w:t>响应</w:t>
            </w:r>
            <w:r>
              <w:rPr>
                <w:rFonts w:hint="eastAsia" w:ascii="仿宋" w:hAnsi="仿宋" w:eastAsia="仿宋" w:cs="仿宋"/>
                <w:color w:val="000000"/>
                <w:highlight w:val="none"/>
              </w:rPr>
              <w:t>将被否决。</w:t>
            </w:r>
          </w:p>
        </w:tc>
      </w:tr>
      <w:tr w14:paraId="3B528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949" w:type="dxa"/>
            <w:noWrap w:val="0"/>
            <w:vAlign w:val="center"/>
          </w:tcPr>
          <w:p w14:paraId="72CBF231">
            <w:pPr>
              <w:pStyle w:val="157"/>
              <w:spacing w:line="276" w:lineRule="auto"/>
              <w:jc w:val="center"/>
              <w:rPr>
                <w:rFonts w:hint="eastAsia" w:ascii="仿宋" w:hAnsi="仿宋" w:eastAsia="仿宋" w:cs="仿宋"/>
                <w:color w:val="000000"/>
                <w:highlight w:val="none"/>
              </w:rPr>
            </w:pPr>
            <w:r>
              <w:rPr>
                <w:rFonts w:hint="eastAsia" w:ascii="仿宋" w:hAnsi="仿宋" w:eastAsia="仿宋" w:cs="仿宋"/>
                <w:sz w:val="24"/>
                <w:szCs w:val="24"/>
              </w:rPr>
              <w:t>14</w:t>
            </w:r>
          </w:p>
        </w:tc>
        <w:tc>
          <w:tcPr>
            <w:tcW w:w="927" w:type="pct"/>
            <w:noWrap w:val="0"/>
            <w:vAlign w:val="center"/>
          </w:tcPr>
          <w:p w14:paraId="40670600">
            <w:pPr>
              <w:pStyle w:val="157"/>
              <w:spacing w:before="62" w:beforeLines="20" w:after="62" w:afterLines="20" w:line="276" w:lineRule="auto"/>
              <w:jc w:val="center"/>
              <w:rPr>
                <w:rFonts w:hint="eastAsia" w:ascii="仿宋" w:hAnsi="仿宋" w:eastAsia="仿宋" w:cs="仿宋"/>
                <w:color w:val="000000"/>
                <w:highlight w:val="none"/>
              </w:rPr>
            </w:pPr>
            <w:r>
              <w:rPr>
                <w:rFonts w:hint="eastAsia" w:ascii="仿宋" w:hAnsi="仿宋" w:eastAsia="仿宋" w:cs="宋体"/>
                <w:highlight w:val="none"/>
              </w:rPr>
              <w:t>★磋商保证金不予退还情形</w:t>
            </w:r>
          </w:p>
        </w:tc>
        <w:tc>
          <w:tcPr>
            <w:tcW w:w="3589" w:type="pct"/>
            <w:noWrap w:val="0"/>
            <w:vAlign w:val="center"/>
          </w:tcPr>
          <w:p w14:paraId="1004A7E3">
            <w:pPr>
              <w:pStyle w:val="2"/>
              <w:spacing w:line="360" w:lineRule="auto"/>
              <w:jc w:val="left"/>
              <w:rPr>
                <w:rFonts w:ascii="仿宋" w:hAnsi="仿宋" w:eastAsia="仿宋" w:cs="仿宋"/>
                <w:kern w:val="0"/>
                <w:sz w:val="21"/>
                <w:szCs w:val="21"/>
                <w:highlight w:val="none"/>
                <w:lang w:bidi="ar"/>
              </w:rPr>
            </w:pPr>
            <w:r>
              <w:rPr>
                <w:rFonts w:hint="eastAsia" w:ascii="仿宋" w:hAnsi="仿宋" w:eastAsia="仿宋" w:cs="仿宋"/>
                <w:kern w:val="0"/>
                <w:sz w:val="21"/>
                <w:szCs w:val="21"/>
                <w:highlight w:val="none"/>
                <w:lang w:bidi="ar"/>
              </w:rPr>
              <w:t>供应商或成交供应商出现下列行为之一，磋商保证金不予退还：</w:t>
            </w:r>
          </w:p>
          <w:p w14:paraId="5019B05D">
            <w:pPr>
              <w:pStyle w:val="2"/>
              <w:spacing w:line="360" w:lineRule="auto"/>
              <w:jc w:val="left"/>
              <w:rPr>
                <w:rFonts w:hint="eastAsia" w:ascii="仿宋" w:hAnsi="仿宋" w:eastAsia="仿宋" w:cs="仿宋"/>
                <w:kern w:val="0"/>
                <w:sz w:val="21"/>
                <w:szCs w:val="21"/>
                <w:highlight w:val="none"/>
                <w:lang w:bidi="ar"/>
              </w:rPr>
            </w:pPr>
            <w:r>
              <w:rPr>
                <w:rFonts w:hint="eastAsia" w:ascii="仿宋" w:hAnsi="仿宋" w:eastAsia="仿宋" w:cs="仿宋"/>
                <w:kern w:val="0"/>
                <w:sz w:val="21"/>
                <w:szCs w:val="21"/>
                <w:highlight w:val="none"/>
                <w:lang w:bidi="ar"/>
              </w:rPr>
              <w:t>（1）供应商在磋商截止后至磋商有效期期满前,要求撤回已递交的响应文件；</w:t>
            </w:r>
          </w:p>
          <w:p w14:paraId="5E0A5030">
            <w:pPr>
              <w:pStyle w:val="2"/>
              <w:spacing w:line="360" w:lineRule="auto"/>
              <w:jc w:val="left"/>
              <w:rPr>
                <w:rFonts w:hint="eastAsia" w:ascii="仿宋" w:hAnsi="仿宋" w:eastAsia="仿宋" w:cs="仿宋"/>
                <w:kern w:val="0"/>
                <w:sz w:val="21"/>
                <w:szCs w:val="21"/>
                <w:highlight w:val="none"/>
                <w:lang w:bidi="ar"/>
              </w:rPr>
            </w:pPr>
            <w:r>
              <w:rPr>
                <w:rFonts w:hint="eastAsia" w:ascii="仿宋" w:hAnsi="仿宋" w:eastAsia="仿宋" w:cs="仿宋"/>
                <w:kern w:val="0"/>
                <w:sz w:val="21"/>
                <w:szCs w:val="21"/>
                <w:highlight w:val="none"/>
                <w:lang w:bidi="ar"/>
              </w:rPr>
              <w:t>（2）成交后放弃成交的；</w:t>
            </w:r>
          </w:p>
          <w:p w14:paraId="0ADE927D">
            <w:pPr>
              <w:pStyle w:val="2"/>
              <w:spacing w:line="360" w:lineRule="auto"/>
              <w:jc w:val="left"/>
              <w:rPr>
                <w:rFonts w:hint="eastAsia" w:ascii="仿宋" w:hAnsi="仿宋" w:eastAsia="仿宋" w:cs="仿宋"/>
                <w:kern w:val="0"/>
                <w:sz w:val="21"/>
                <w:szCs w:val="21"/>
                <w:highlight w:val="none"/>
                <w:lang w:bidi="ar"/>
              </w:rPr>
            </w:pPr>
            <w:r>
              <w:rPr>
                <w:rFonts w:hint="eastAsia" w:ascii="仿宋" w:hAnsi="仿宋" w:eastAsia="仿宋" w:cs="仿宋"/>
                <w:kern w:val="0"/>
                <w:sz w:val="21"/>
                <w:szCs w:val="21"/>
                <w:highlight w:val="none"/>
                <w:lang w:bidi="ar"/>
              </w:rPr>
              <w:t>（3）成交后无正当理由不与采购人订立合同的；</w:t>
            </w:r>
          </w:p>
          <w:p w14:paraId="6399176B">
            <w:pPr>
              <w:pStyle w:val="2"/>
              <w:spacing w:line="360" w:lineRule="auto"/>
              <w:jc w:val="left"/>
              <w:rPr>
                <w:rFonts w:hint="eastAsia" w:ascii="仿宋" w:hAnsi="仿宋" w:eastAsia="仿宋" w:cs="仿宋"/>
                <w:kern w:val="0"/>
                <w:sz w:val="21"/>
                <w:szCs w:val="21"/>
                <w:highlight w:val="none"/>
                <w:lang w:bidi="ar"/>
              </w:rPr>
            </w:pPr>
            <w:r>
              <w:rPr>
                <w:rFonts w:hint="eastAsia" w:ascii="仿宋" w:hAnsi="仿宋" w:eastAsia="仿宋" w:cs="仿宋"/>
                <w:kern w:val="0"/>
                <w:sz w:val="21"/>
                <w:szCs w:val="21"/>
                <w:highlight w:val="none"/>
                <w:lang w:bidi="ar"/>
              </w:rPr>
              <w:t>（4）成交供应商在签订合同时向采购人提出附加条件或要求变更实质性合同条款的；</w:t>
            </w:r>
          </w:p>
          <w:p w14:paraId="33219A16">
            <w:pPr>
              <w:pStyle w:val="2"/>
              <w:spacing w:line="360" w:lineRule="auto"/>
              <w:jc w:val="left"/>
              <w:rPr>
                <w:rFonts w:hint="eastAsia" w:ascii="仿宋" w:hAnsi="仿宋" w:eastAsia="仿宋" w:cs="仿宋"/>
                <w:kern w:val="0"/>
                <w:sz w:val="21"/>
                <w:szCs w:val="21"/>
                <w:highlight w:val="none"/>
                <w:lang w:bidi="ar"/>
              </w:rPr>
            </w:pPr>
            <w:r>
              <w:rPr>
                <w:rFonts w:hint="eastAsia" w:ascii="仿宋" w:hAnsi="仿宋" w:eastAsia="仿宋" w:cs="仿宋"/>
                <w:kern w:val="0"/>
                <w:sz w:val="21"/>
                <w:szCs w:val="21"/>
                <w:highlight w:val="none"/>
                <w:lang w:bidi="ar"/>
              </w:rPr>
              <w:t>（5）成交供应商不按照磋商文件要求提交履约保证金的；</w:t>
            </w:r>
          </w:p>
          <w:p w14:paraId="524ABC48">
            <w:pPr>
              <w:pStyle w:val="157"/>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仿宋"/>
                <w:highlight w:val="none"/>
                <w:lang w:bidi="ar"/>
              </w:rPr>
              <w:t>（6）供应商有恶意欺诈、弄虚作假、围标串标、哄抬标价、徇私行贿等法律法规中所列违规行为的。</w:t>
            </w:r>
          </w:p>
        </w:tc>
      </w:tr>
      <w:tr w14:paraId="6ED34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949" w:type="dxa"/>
            <w:noWrap w:val="0"/>
            <w:vAlign w:val="center"/>
          </w:tcPr>
          <w:p w14:paraId="33DFB0E6">
            <w:pPr>
              <w:pStyle w:val="157"/>
              <w:spacing w:line="360" w:lineRule="auto"/>
              <w:jc w:val="center"/>
              <w:rPr>
                <w:rFonts w:hint="eastAsia" w:ascii="仿宋" w:hAnsi="仿宋" w:eastAsia="仿宋" w:cs="仿宋"/>
                <w:color w:val="000000"/>
                <w:highlight w:val="none"/>
              </w:rPr>
            </w:pPr>
          </w:p>
        </w:tc>
        <w:tc>
          <w:tcPr>
            <w:tcW w:w="927" w:type="pct"/>
            <w:noWrap w:val="0"/>
            <w:vAlign w:val="center"/>
          </w:tcPr>
          <w:p w14:paraId="647B7F3C">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响应文件的份数</w:t>
            </w:r>
          </w:p>
        </w:tc>
        <w:tc>
          <w:tcPr>
            <w:tcW w:w="3589" w:type="pct"/>
            <w:noWrap w:val="0"/>
            <w:vAlign w:val="center"/>
          </w:tcPr>
          <w:p w14:paraId="5AFB948A">
            <w:pPr>
              <w:pStyle w:val="16"/>
              <w:rPr>
                <w:rFonts w:hint="eastAsia" w:ascii="仿宋" w:hAnsi="仿宋" w:eastAsia="仿宋" w:cs="宋体"/>
                <w:color w:val="000000"/>
                <w:highlight w:val="none"/>
              </w:rPr>
            </w:pPr>
            <w:r>
              <w:rPr>
                <w:rFonts w:hint="eastAsia" w:ascii="仿宋" w:hAnsi="仿宋" w:eastAsia="仿宋" w:cs="宋体"/>
                <w:color w:val="000000"/>
                <w:sz w:val="21"/>
                <w:szCs w:val="21"/>
                <w:highlight w:val="none"/>
              </w:rPr>
              <w:t>电子文件</w:t>
            </w:r>
            <w:r>
              <w:rPr>
                <w:rFonts w:hint="eastAsia" w:ascii="仿宋" w:hAnsi="仿宋" w:eastAsia="仿宋" w:cs="宋体"/>
                <w:color w:val="000000"/>
                <w:sz w:val="21"/>
                <w:szCs w:val="21"/>
                <w:highlight w:val="none"/>
                <w:u w:val="single"/>
              </w:rPr>
              <w:t>1</w:t>
            </w:r>
            <w:r>
              <w:rPr>
                <w:rFonts w:hint="eastAsia" w:ascii="仿宋" w:hAnsi="仿宋" w:eastAsia="仿宋" w:cs="宋体"/>
                <w:color w:val="000000"/>
                <w:sz w:val="21"/>
                <w:szCs w:val="21"/>
                <w:highlight w:val="none"/>
              </w:rPr>
              <w:t>份（</w:t>
            </w:r>
            <w:r>
              <w:rPr>
                <w:rFonts w:hint="eastAsia" w:ascii="仿宋" w:hAnsi="仿宋" w:eastAsia="仿宋" w:cs="宋体"/>
                <w:color w:val="000000"/>
                <w:sz w:val="21"/>
                <w:szCs w:val="21"/>
                <w:highlight w:val="none"/>
                <w:lang w:val="en-US" w:eastAsia="zh-CN"/>
              </w:rPr>
              <w:t>具体格式要求：正本扫描件</w:t>
            </w:r>
            <w:r>
              <w:rPr>
                <w:rFonts w:hint="eastAsia" w:ascii="仿宋" w:hAnsi="仿宋" w:eastAsia="仿宋" w:cs="宋体"/>
                <w:color w:val="000000"/>
                <w:sz w:val="21"/>
                <w:szCs w:val="21"/>
                <w:highlight w:val="none"/>
              </w:rPr>
              <w:t>）；纸质文件正本</w:t>
            </w:r>
            <w:r>
              <w:rPr>
                <w:rFonts w:hint="eastAsia" w:ascii="仿宋" w:hAnsi="仿宋" w:eastAsia="仿宋" w:cs="宋体"/>
                <w:color w:val="000000"/>
                <w:sz w:val="21"/>
                <w:szCs w:val="21"/>
                <w:highlight w:val="none"/>
                <w:u w:val="single"/>
              </w:rPr>
              <w:t xml:space="preserve"> 1 </w:t>
            </w:r>
            <w:r>
              <w:rPr>
                <w:rFonts w:hint="eastAsia" w:ascii="仿宋" w:hAnsi="仿宋" w:eastAsia="仿宋" w:cs="宋体"/>
                <w:color w:val="000000"/>
                <w:sz w:val="21"/>
                <w:szCs w:val="21"/>
                <w:highlight w:val="none"/>
              </w:rPr>
              <w:t>份，副本</w:t>
            </w:r>
            <w:r>
              <w:rPr>
                <w:rFonts w:hint="default" w:ascii="仿宋" w:hAnsi="仿宋" w:eastAsia="仿宋" w:cs="宋体"/>
                <w:color w:val="000000"/>
                <w:sz w:val="21"/>
                <w:szCs w:val="21"/>
                <w:highlight w:val="none"/>
                <w:u w:val="single"/>
              </w:rPr>
              <w:t xml:space="preserve"> </w:t>
            </w:r>
            <w:r>
              <w:rPr>
                <w:rFonts w:hint="eastAsia" w:ascii="仿宋" w:hAnsi="仿宋" w:eastAsia="仿宋" w:cs="宋体"/>
                <w:color w:val="FF0000"/>
                <w:sz w:val="21"/>
                <w:szCs w:val="21"/>
                <w:highlight w:val="none"/>
                <w:u w:val="single"/>
                <w:lang w:val="en-US" w:eastAsia="zh-CN"/>
              </w:rPr>
              <w:t>3</w:t>
            </w:r>
            <w:r>
              <w:rPr>
                <w:rFonts w:hint="eastAsia" w:ascii="仿宋" w:hAnsi="仿宋" w:eastAsia="仿宋" w:cs="宋体"/>
                <w:color w:val="000000"/>
                <w:sz w:val="21"/>
                <w:szCs w:val="21"/>
                <w:highlight w:val="none"/>
                <w:u w:val="single"/>
              </w:rPr>
              <w:t xml:space="preserve"> </w:t>
            </w:r>
            <w:r>
              <w:rPr>
                <w:rFonts w:hint="eastAsia" w:ascii="仿宋" w:hAnsi="仿宋" w:eastAsia="仿宋" w:cs="宋体"/>
                <w:color w:val="000000"/>
                <w:sz w:val="21"/>
                <w:szCs w:val="21"/>
                <w:highlight w:val="none"/>
              </w:rPr>
              <w:t>份。</w:t>
            </w:r>
          </w:p>
        </w:tc>
      </w:tr>
      <w:tr w14:paraId="07E8A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949" w:type="dxa"/>
            <w:noWrap w:val="0"/>
            <w:vAlign w:val="center"/>
          </w:tcPr>
          <w:p w14:paraId="508CB516">
            <w:pPr>
              <w:spacing w:line="360" w:lineRule="auto"/>
              <w:jc w:val="center"/>
              <w:rPr>
                <w:rFonts w:hint="eastAsia" w:ascii="仿宋" w:hAnsi="仿宋" w:eastAsia="仿宋" w:cs="仿宋"/>
                <w:color w:val="000000"/>
                <w:szCs w:val="21"/>
                <w:highlight w:val="none"/>
              </w:rPr>
            </w:pPr>
            <w:r>
              <w:rPr>
                <w:rFonts w:hint="eastAsia" w:ascii="仿宋" w:hAnsi="仿宋" w:eastAsia="仿宋" w:cs="仿宋"/>
                <w:sz w:val="24"/>
              </w:rPr>
              <w:t>14</w:t>
            </w:r>
          </w:p>
        </w:tc>
        <w:tc>
          <w:tcPr>
            <w:tcW w:w="927" w:type="pct"/>
            <w:noWrap w:val="0"/>
            <w:vAlign w:val="center"/>
          </w:tcPr>
          <w:p w14:paraId="4296BBA6">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宋体"/>
                <w:color w:val="000000"/>
                <w:szCs w:val="21"/>
                <w:highlight w:val="none"/>
              </w:rPr>
              <w:t>纸质</w:t>
            </w:r>
            <w:r>
              <w:rPr>
                <w:rFonts w:hint="eastAsia" w:ascii="仿宋" w:hAnsi="仿宋" w:eastAsia="仿宋" w:cs="仿宋"/>
                <w:color w:val="000000"/>
                <w:szCs w:val="21"/>
                <w:highlight w:val="none"/>
              </w:rPr>
              <w:t>响应文件的装订、密封和标记</w:t>
            </w:r>
          </w:p>
        </w:tc>
        <w:tc>
          <w:tcPr>
            <w:tcW w:w="3589" w:type="pct"/>
            <w:noWrap w:val="0"/>
            <w:vAlign w:val="center"/>
          </w:tcPr>
          <w:p w14:paraId="4153C342">
            <w:pPr>
              <w:spacing w:line="360" w:lineRule="auto"/>
              <w:rPr>
                <w:rFonts w:hint="eastAsia" w:ascii="仿宋" w:hAnsi="仿宋" w:eastAsia="仿宋" w:cs="Cambria Math"/>
                <w:color w:val="000000"/>
                <w:szCs w:val="21"/>
                <w:highlight w:val="none"/>
              </w:rPr>
            </w:pPr>
            <w:r>
              <w:rPr>
                <w:rFonts w:hint="eastAsia" w:ascii="仿宋" w:hAnsi="仿宋" w:eastAsia="仿宋" w:cs="Cambria Math"/>
                <w:color w:val="000000"/>
                <w:szCs w:val="21"/>
                <w:highlight w:val="none"/>
              </w:rPr>
              <w:t>（1）采用A4纸胶装，双面打印，商务、技术、报价文件分别装订成册，密封粘接缝隙加盖供应商公章或由法定代表人（负责人）或其委托代理人签字。未按要求密封的</w:t>
            </w:r>
            <w:r>
              <w:rPr>
                <w:rFonts w:hint="eastAsia" w:ascii="仿宋" w:hAnsi="仿宋" w:eastAsia="仿宋" w:cs="Cambria Math"/>
                <w:color w:val="000000"/>
                <w:szCs w:val="21"/>
                <w:highlight w:val="none"/>
                <w:lang w:eastAsia="zh-Hans"/>
              </w:rPr>
              <w:t>纸质</w:t>
            </w:r>
            <w:r>
              <w:rPr>
                <w:rFonts w:hint="eastAsia" w:ascii="仿宋" w:hAnsi="仿宋" w:eastAsia="仿宋" w:cs="Cambria Math"/>
                <w:color w:val="000000"/>
                <w:szCs w:val="21"/>
                <w:highlight w:val="none"/>
              </w:rPr>
              <w:t>响应文件不予接收。</w:t>
            </w:r>
          </w:p>
          <w:p w14:paraId="0461B419">
            <w:pPr>
              <w:rPr>
                <w:rFonts w:ascii="仿宋" w:hAnsi="仿宋" w:eastAsia="仿宋"/>
                <w:color w:val="000000"/>
                <w:highlight w:val="none"/>
              </w:rPr>
            </w:pPr>
            <w:r>
              <w:rPr>
                <w:rFonts w:hint="eastAsia" w:ascii="仿宋" w:hAnsi="仿宋" w:eastAsia="仿宋" w:cs="Cambria Math"/>
                <w:color w:val="000000"/>
                <w:szCs w:val="21"/>
                <w:highlight w:val="none"/>
              </w:rPr>
              <w:t>（2）外层包封具体样式如下：</w:t>
            </w:r>
          </w:p>
          <w:p w14:paraId="76A2EABB">
            <w:pPr>
              <w:pStyle w:val="157"/>
              <w:spacing w:before="62" w:beforeLines="20" w:after="62" w:afterLines="20" w:line="360" w:lineRule="auto"/>
              <w:rPr>
                <w:rFonts w:hint="eastAsia" w:ascii="仿宋" w:hAnsi="仿宋" w:eastAsia="仿宋" w:cs="Cambria Math"/>
                <w:b/>
                <w:color w:val="000000"/>
                <w:highlight w:val="none"/>
              </w:rPr>
            </w:pPr>
            <w:r>
              <w:rPr>
                <w:rFonts w:hint="eastAsia" w:ascii="仿宋" w:hAnsi="仿宋" w:eastAsia="仿宋" w:cs="仿宋"/>
                <w:color w:val="000000"/>
                <w:highlight w:val="none"/>
              </w:rPr>
              <mc:AlternateContent>
                <mc:Choice Requires="wps">
                  <w:drawing>
                    <wp:inline distT="0" distB="0" distL="114300" distR="114300">
                      <wp:extent cx="4320540" cy="2775585"/>
                      <wp:effectExtent l="4445" t="4445" r="5715" b="13970"/>
                      <wp:docPr id="1" name="文本框 3"/>
                      <wp:cNvGraphicFramePr/>
                      <a:graphic xmlns:a="http://schemas.openxmlformats.org/drawingml/2006/main">
                        <a:graphicData uri="http://schemas.microsoft.com/office/word/2010/wordprocessingShape">
                          <wps:wsp>
                            <wps:cNvSpPr txBox="1">
                              <a:spLocks noRot="1"/>
                            </wps:cNvSpPr>
                            <wps:spPr>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6B8F8D3">
                                  <w:pPr>
                                    <w:spacing w:line="360" w:lineRule="auto"/>
                                    <w:rPr>
                                      <w:rFonts w:hint="eastAsia" w:ascii="仿宋" w:hAnsi="仿宋" w:eastAsia="仿宋" w:cs="仿宋"/>
                                      <w:kern w:val="0"/>
                                      <w:szCs w:val="21"/>
                                      <w:highlight w:val="none"/>
                                      <w:u w:val="single"/>
                                    </w:rPr>
                                  </w:pPr>
                                  <w:r>
                                    <w:rPr>
                                      <w:rFonts w:hint="eastAsia" w:ascii="仿宋" w:hAnsi="仿宋" w:eastAsia="仿宋" w:cs="仿宋"/>
                                      <w:kern w:val="0"/>
                                      <w:szCs w:val="21"/>
                                    </w:rPr>
                                    <w:t>项目名称：</w:t>
                                  </w:r>
                                  <w:r>
                                    <w:rPr>
                                      <w:rFonts w:hint="eastAsia" w:ascii="仿宋" w:hAnsi="仿宋" w:eastAsia="仿宋" w:cs="仿宋"/>
                                      <w:kern w:val="0"/>
                                      <w:szCs w:val="21"/>
                                      <w:u w:val="single"/>
                                    </w:rPr>
                                    <w:t xml:space="preserve">                 </w:t>
                                  </w:r>
                                  <w:r>
                                    <w:rPr>
                                      <w:rFonts w:hint="eastAsia" w:ascii="仿宋" w:hAnsi="仿宋" w:eastAsia="仿宋" w:cs="仿宋"/>
                                      <w:kern w:val="0"/>
                                      <w:szCs w:val="21"/>
                                      <w:highlight w:val="none"/>
                                    </w:rPr>
                                    <w:t xml:space="preserve"> </w:t>
                                  </w:r>
                                </w:p>
                                <w:p w14:paraId="1371969B">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采购人名称：</w:t>
                                  </w:r>
                                  <w:r>
                                    <w:rPr>
                                      <w:rFonts w:hint="eastAsia" w:ascii="仿宋" w:hAnsi="仿宋" w:eastAsia="仿宋" w:cs="仿宋"/>
                                      <w:kern w:val="0"/>
                                      <w:szCs w:val="21"/>
                                      <w:u w:val="single"/>
                                    </w:rPr>
                                    <w:t xml:space="preserve">                 </w:t>
                                  </w:r>
                                </w:p>
                                <w:p w14:paraId="7D0E9B7A">
                                  <w:pPr>
                                    <w:spacing w:line="360" w:lineRule="auto"/>
                                    <w:rPr>
                                      <w:rFonts w:hint="eastAsia" w:ascii="仿宋" w:hAnsi="仿宋" w:eastAsia="仿宋" w:cs="仿宋"/>
                                      <w:kern w:val="0"/>
                                      <w:szCs w:val="21"/>
                                    </w:rPr>
                                  </w:pPr>
                                  <w:r>
                                    <w:rPr>
                                      <w:rFonts w:hint="eastAsia" w:ascii="仿宋" w:hAnsi="仿宋" w:eastAsia="仿宋" w:cs="仿宋"/>
                                      <w:kern w:val="0"/>
                                      <w:szCs w:val="21"/>
                                    </w:rPr>
                                    <w:t>本文件于</w:t>
                                  </w:r>
                                  <w:r>
                                    <w:rPr>
                                      <w:rFonts w:hint="eastAsia" w:ascii="仿宋" w:hAnsi="仿宋" w:eastAsia="仿宋" w:cs="仿宋"/>
                                      <w:szCs w:val="21"/>
                                    </w:rPr>
                                    <w:t>【</w:t>
                                  </w:r>
                                  <w:r>
                                    <w:rPr>
                                      <w:rFonts w:hint="eastAsia" w:ascii="仿宋" w:hAnsi="仿宋" w:eastAsia="仿宋" w:cs="仿宋"/>
                                      <w:szCs w:val="21"/>
                                      <w:u w:val="single"/>
                                    </w:rPr>
                                    <w:t>XX</w:t>
                                  </w:r>
                                  <w:r>
                                    <w:rPr>
                                      <w:rFonts w:hint="eastAsia" w:ascii="仿宋" w:hAnsi="仿宋" w:eastAsia="仿宋" w:cs="仿宋"/>
                                      <w:szCs w:val="21"/>
                                    </w:rPr>
                                    <w:t>】年【</w:t>
                                  </w:r>
                                  <w:r>
                                    <w:rPr>
                                      <w:rFonts w:hint="eastAsia" w:ascii="仿宋" w:hAnsi="仿宋" w:eastAsia="仿宋" w:cs="仿宋"/>
                                      <w:szCs w:val="21"/>
                                      <w:u w:val="single"/>
                                    </w:rPr>
                                    <w:t>XX</w:t>
                                  </w:r>
                                  <w:r>
                                    <w:rPr>
                                      <w:rFonts w:hint="eastAsia" w:ascii="仿宋" w:hAnsi="仿宋" w:eastAsia="仿宋" w:cs="仿宋"/>
                                      <w:szCs w:val="21"/>
                                    </w:rPr>
                                    <w:t>】月【</w:t>
                                  </w:r>
                                  <w:r>
                                    <w:rPr>
                                      <w:rFonts w:hint="eastAsia" w:ascii="仿宋" w:hAnsi="仿宋" w:eastAsia="仿宋" w:cs="仿宋"/>
                                      <w:szCs w:val="21"/>
                                      <w:u w:val="single"/>
                                    </w:rPr>
                                    <w:t>XX</w:t>
                                  </w:r>
                                  <w:r>
                                    <w:rPr>
                                      <w:rFonts w:hint="eastAsia" w:ascii="仿宋" w:hAnsi="仿宋" w:eastAsia="仿宋" w:cs="仿宋"/>
                                      <w:szCs w:val="21"/>
                                    </w:rPr>
                                    <w:t>】日【</w:t>
                                  </w:r>
                                  <w:r>
                                    <w:rPr>
                                      <w:rFonts w:hint="eastAsia" w:ascii="仿宋" w:hAnsi="仿宋" w:eastAsia="仿宋" w:cs="仿宋"/>
                                      <w:szCs w:val="21"/>
                                      <w:u w:val="single"/>
                                    </w:rPr>
                                    <w:t>XX</w:t>
                                  </w:r>
                                  <w:r>
                                    <w:rPr>
                                      <w:rFonts w:hint="eastAsia" w:ascii="仿宋" w:hAnsi="仿宋" w:eastAsia="仿宋" w:cs="仿宋"/>
                                      <w:szCs w:val="21"/>
                                    </w:rPr>
                                    <w:t>】【</w:t>
                                  </w:r>
                                  <w:r>
                                    <w:rPr>
                                      <w:rFonts w:hint="eastAsia" w:ascii="仿宋" w:hAnsi="仿宋" w:eastAsia="仿宋" w:cs="仿宋"/>
                                      <w:szCs w:val="21"/>
                                      <w:u w:val="single"/>
                                    </w:rPr>
                                    <w:t>XX</w:t>
                                  </w:r>
                                  <w:r>
                                    <w:rPr>
                                      <w:rFonts w:hint="eastAsia" w:ascii="仿宋" w:hAnsi="仿宋" w:eastAsia="仿宋" w:cs="仿宋"/>
                                      <w:szCs w:val="21"/>
                                    </w:rPr>
                                    <w:t>】时【</w:t>
                                  </w:r>
                                  <w:r>
                                    <w:rPr>
                                      <w:rFonts w:hint="eastAsia" w:ascii="仿宋" w:hAnsi="仿宋" w:eastAsia="仿宋" w:cs="仿宋"/>
                                      <w:szCs w:val="21"/>
                                      <w:u w:val="single"/>
                                    </w:rPr>
                                    <w:t>XX</w:t>
                                  </w:r>
                                  <w:r>
                                    <w:rPr>
                                      <w:rFonts w:hint="eastAsia" w:ascii="仿宋" w:hAnsi="仿宋" w:eastAsia="仿宋" w:cs="仿宋"/>
                                      <w:szCs w:val="21"/>
                                    </w:rPr>
                                    <w:t>】</w:t>
                                  </w:r>
                                  <w:r>
                                    <w:rPr>
                                      <w:rFonts w:hint="eastAsia" w:ascii="仿宋" w:hAnsi="仿宋" w:eastAsia="仿宋" w:cs="仿宋"/>
                                      <w:kern w:val="0"/>
                                      <w:szCs w:val="21"/>
                                    </w:rPr>
                                    <w:t>（北京时间）前不得开封</w:t>
                                  </w:r>
                                </w:p>
                                <w:p w14:paraId="75FD8A4C">
                                  <w:pPr>
                                    <w:spacing w:line="360" w:lineRule="auto"/>
                                    <w:rPr>
                                      <w:rFonts w:hint="eastAsia" w:ascii="仿宋" w:hAnsi="仿宋" w:eastAsia="仿宋" w:cs="仿宋"/>
                                      <w:kern w:val="0"/>
                                      <w:szCs w:val="21"/>
                                    </w:rPr>
                                  </w:pPr>
                                  <w:r>
                                    <w:rPr>
                                      <w:rFonts w:hint="eastAsia" w:ascii="仿宋" w:hAnsi="仿宋" w:eastAsia="仿宋" w:cs="仿宋"/>
                                      <w:kern w:val="0"/>
                                      <w:szCs w:val="21"/>
                                    </w:rPr>
                                    <w:t>供应商名称：</w:t>
                                  </w:r>
                                  <w:r>
                                    <w:rPr>
                                      <w:rFonts w:hint="eastAsia" w:ascii="仿宋" w:hAnsi="仿宋" w:eastAsia="仿宋" w:cs="仿宋"/>
                                      <w:kern w:val="0"/>
                                      <w:szCs w:val="21"/>
                                      <w:u w:val="single"/>
                                    </w:rPr>
                                    <w:t xml:space="preserve">               </w:t>
                                  </w:r>
                                  <w:r>
                                    <w:rPr>
                                      <w:rFonts w:hint="eastAsia" w:ascii="仿宋" w:hAnsi="仿宋" w:eastAsia="仿宋" w:cs="仿宋"/>
                                      <w:kern w:val="0"/>
                                      <w:szCs w:val="21"/>
                                    </w:rPr>
                                    <w:t>（公章）</w:t>
                                  </w:r>
                                </w:p>
                                <w:p w14:paraId="55D56B31">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供应商地址：</w:t>
                                  </w:r>
                                  <w:r>
                                    <w:rPr>
                                      <w:rFonts w:hint="eastAsia" w:ascii="仿宋" w:hAnsi="仿宋" w:eastAsia="仿宋" w:cs="仿宋"/>
                                      <w:kern w:val="0"/>
                                      <w:szCs w:val="21"/>
                                      <w:u w:val="single"/>
                                    </w:rPr>
                                    <w:t xml:space="preserve">                 </w:t>
                                  </w:r>
                                </w:p>
                                <w:p w14:paraId="32F5E9D1">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封装文件内容：</w:t>
                                  </w:r>
                                  <w:r>
                                    <w:rPr>
                                      <w:rFonts w:hint="eastAsia" w:ascii="仿宋" w:hAnsi="仿宋" w:eastAsia="仿宋" w:cs="仿宋"/>
                                      <w:kern w:val="0"/>
                                      <w:szCs w:val="21"/>
                                      <w:u w:val="single"/>
                                    </w:rPr>
                                    <w:t xml:space="preserve">                 </w:t>
                                  </w:r>
                                </w:p>
                                <w:p w14:paraId="787DDCBA">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联系人及联系电话：</w:t>
                                  </w:r>
                                  <w:r>
                                    <w:rPr>
                                      <w:rFonts w:hint="eastAsia" w:ascii="仿宋" w:hAnsi="仿宋" w:eastAsia="仿宋" w:cs="仿宋"/>
                                      <w:kern w:val="0"/>
                                      <w:szCs w:val="21"/>
                                      <w:u w:val="single"/>
                                    </w:rPr>
                                    <w:t xml:space="preserve">                 </w:t>
                                  </w:r>
                                </w:p>
                              </w:txbxContent>
                            </wps:txbx>
                            <wps:bodyPr wrap="square" upright="1">
                              <a:spAutoFit/>
                            </wps:bodyPr>
                          </wps:wsp>
                        </a:graphicData>
                      </a:graphic>
                    </wp:inline>
                  </w:drawing>
                </mc:Choice>
                <mc:Fallback>
                  <w:pict>
                    <v:shape id="文本框 3" o:spid="_x0000_s1026" o:spt="202" type="#_x0000_t202" style="height:218.55pt;width:340.2pt;" fillcolor="#FFFFFF" filled="t" stroked="t" coordsize="21600,21600" o:gfxdata="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P4MlGvWAAAABQEAAA8AAAAAAAAAAQAgAAAAIgAAAGRycy9kb3ducmV2LnhtbFBL&#10;AQIUABQAAAAIAIdO4kC8OVY3MQIAAIIEAAAOAAAAAAAAAAEAIAAAACUBAABkcnMvZTJvRG9jLnht&#10;bFBLBQYAAAAABgAGAFkBAADIBQAAAAA=&#10;">
                      <v:fill on="t" focussize="0,0"/>
                      <v:stroke color="#000000" joinstyle="miter"/>
                      <v:imagedata o:title=""/>
                      <o:lock v:ext="edit" rotation="t" aspectratio="f"/>
                      <v:textbox style="mso-fit-shape-to-text:t;">
                        <w:txbxContent>
                          <w:p w14:paraId="36B8F8D3">
                            <w:pPr>
                              <w:spacing w:line="360" w:lineRule="auto"/>
                              <w:rPr>
                                <w:rFonts w:hint="eastAsia" w:ascii="仿宋" w:hAnsi="仿宋" w:eastAsia="仿宋" w:cs="仿宋"/>
                                <w:kern w:val="0"/>
                                <w:szCs w:val="21"/>
                                <w:highlight w:val="none"/>
                                <w:u w:val="single"/>
                              </w:rPr>
                            </w:pPr>
                            <w:r>
                              <w:rPr>
                                <w:rFonts w:hint="eastAsia" w:ascii="仿宋" w:hAnsi="仿宋" w:eastAsia="仿宋" w:cs="仿宋"/>
                                <w:kern w:val="0"/>
                                <w:szCs w:val="21"/>
                              </w:rPr>
                              <w:t>项目名称：</w:t>
                            </w:r>
                            <w:r>
                              <w:rPr>
                                <w:rFonts w:hint="eastAsia" w:ascii="仿宋" w:hAnsi="仿宋" w:eastAsia="仿宋" w:cs="仿宋"/>
                                <w:kern w:val="0"/>
                                <w:szCs w:val="21"/>
                                <w:u w:val="single"/>
                              </w:rPr>
                              <w:t xml:space="preserve">                 </w:t>
                            </w:r>
                            <w:r>
                              <w:rPr>
                                <w:rFonts w:hint="eastAsia" w:ascii="仿宋" w:hAnsi="仿宋" w:eastAsia="仿宋" w:cs="仿宋"/>
                                <w:kern w:val="0"/>
                                <w:szCs w:val="21"/>
                                <w:highlight w:val="none"/>
                              </w:rPr>
                              <w:t xml:space="preserve"> </w:t>
                            </w:r>
                          </w:p>
                          <w:p w14:paraId="1371969B">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采购人名称：</w:t>
                            </w:r>
                            <w:r>
                              <w:rPr>
                                <w:rFonts w:hint="eastAsia" w:ascii="仿宋" w:hAnsi="仿宋" w:eastAsia="仿宋" w:cs="仿宋"/>
                                <w:kern w:val="0"/>
                                <w:szCs w:val="21"/>
                                <w:u w:val="single"/>
                              </w:rPr>
                              <w:t xml:space="preserve">                 </w:t>
                            </w:r>
                          </w:p>
                          <w:p w14:paraId="7D0E9B7A">
                            <w:pPr>
                              <w:spacing w:line="360" w:lineRule="auto"/>
                              <w:rPr>
                                <w:rFonts w:hint="eastAsia" w:ascii="仿宋" w:hAnsi="仿宋" w:eastAsia="仿宋" w:cs="仿宋"/>
                                <w:kern w:val="0"/>
                                <w:szCs w:val="21"/>
                              </w:rPr>
                            </w:pPr>
                            <w:r>
                              <w:rPr>
                                <w:rFonts w:hint="eastAsia" w:ascii="仿宋" w:hAnsi="仿宋" w:eastAsia="仿宋" w:cs="仿宋"/>
                                <w:kern w:val="0"/>
                                <w:szCs w:val="21"/>
                              </w:rPr>
                              <w:t>本文件于</w:t>
                            </w:r>
                            <w:r>
                              <w:rPr>
                                <w:rFonts w:hint="eastAsia" w:ascii="仿宋" w:hAnsi="仿宋" w:eastAsia="仿宋" w:cs="仿宋"/>
                                <w:szCs w:val="21"/>
                              </w:rPr>
                              <w:t>【</w:t>
                            </w:r>
                            <w:r>
                              <w:rPr>
                                <w:rFonts w:hint="eastAsia" w:ascii="仿宋" w:hAnsi="仿宋" w:eastAsia="仿宋" w:cs="仿宋"/>
                                <w:szCs w:val="21"/>
                                <w:u w:val="single"/>
                              </w:rPr>
                              <w:t>XX</w:t>
                            </w:r>
                            <w:r>
                              <w:rPr>
                                <w:rFonts w:hint="eastAsia" w:ascii="仿宋" w:hAnsi="仿宋" w:eastAsia="仿宋" w:cs="仿宋"/>
                                <w:szCs w:val="21"/>
                              </w:rPr>
                              <w:t>】年【</w:t>
                            </w:r>
                            <w:r>
                              <w:rPr>
                                <w:rFonts w:hint="eastAsia" w:ascii="仿宋" w:hAnsi="仿宋" w:eastAsia="仿宋" w:cs="仿宋"/>
                                <w:szCs w:val="21"/>
                                <w:u w:val="single"/>
                              </w:rPr>
                              <w:t>XX</w:t>
                            </w:r>
                            <w:r>
                              <w:rPr>
                                <w:rFonts w:hint="eastAsia" w:ascii="仿宋" w:hAnsi="仿宋" w:eastAsia="仿宋" w:cs="仿宋"/>
                                <w:szCs w:val="21"/>
                              </w:rPr>
                              <w:t>】月【</w:t>
                            </w:r>
                            <w:r>
                              <w:rPr>
                                <w:rFonts w:hint="eastAsia" w:ascii="仿宋" w:hAnsi="仿宋" w:eastAsia="仿宋" w:cs="仿宋"/>
                                <w:szCs w:val="21"/>
                                <w:u w:val="single"/>
                              </w:rPr>
                              <w:t>XX</w:t>
                            </w:r>
                            <w:r>
                              <w:rPr>
                                <w:rFonts w:hint="eastAsia" w:ascii="仿宋" w:hAnsi="仿宋" w:eastAsia="仿宋" w:cs="仿宋"/>
                                <w:szCs w:val="21"/>
                              </w:rPr>
                              <w:t>】日【</w:t>
                            </w:r>
                            <w:r>
                              <w:rPr>
                                <w:rFonts w:hint="eastAsia" w:ascii="仿宋" w:hAnsi="仿宋" w:eastAsia="仿宋" w:cs="仿宋"/>
                                <w:szCs w:val="21"/>
                                <w:u w:val="single"/>
                              </w:rPr>
                              <w:t>XX</w:t>
                            </w:r>
                            <w:r>
                              <w:rPr>
                                <w:rFonts w:hint="eastAsia" w:ascii="仿宋" w:hAnsi="仿宋" w:eastAsia="仿宋" w:cs="仿宋"/>
                                <w:szCs w:val="21"/>
                              </w:rPr>
                              <w:t>】【</w:t>
                            </w:r>
                            <w:r>
                              <w:rPr>
                                <w:rFonts w:hint="eastAsia" w:ascii="仿宋" w:hAnsi="仿宋" w:eastAsia="仿宋" w:cs="仿宋"/>
                                <w:szCs w:val="21"/>
                                <w:u w:val="single"/>
                              </w:rPr>
                              <w:t>XX</w:t>
                            </w:r>
                            <w:r>
                              <w:rPr>
                                <w:rFonts w:hint="eastAsia" w:ascii="仿宋" w:hAnsi="仿宋" w:eastAsia="仿宋" w:cs="仿宋"/>
                                <w:szCs w:val="21"/>
                              </w:rPr>
                              <w:t>】时【</w:t>
                            </w:r>
                            <w:r>
                              <w:rPr>
                                <w:rFonts w:hint="eastAsia" w:ascii="仿宋" w:hAnsi="仿宋" w:eastAsia="仿宋" w:cs="仿宋"/>
                                <w:szCs w:val="21"/>
                                <w:u w:val="single"/>
                              </w:rPr>
                              <w:t>XX</w:t>
                            </w:r>
                            <w:r>
                              <w:rPr>
                                <w:rFonts w:hint="eastAsia" w:ascii="仿宋" w:hAnsi="仿宋" w:eastAsia="仿宋" w:cs="仿宋"/>
                                <w:szCs w:val="21"/>
                              </w:rPr>
                              <w:t>】</w:t>
                            </w:r>
                            <w:r>
                              <w:rPr>
                                <w:rFonts w:hint="eastAsia" w:ascii="仿宋" w:hAnsi="仿宋" w:eastAsia="仿宋" w:cs="仿宋"/>
                                <w:kern w:val="0"/>
                                <w:szCs w:val="21"/>
                              </w:rPr>
                              <w:t>（北京时间）前不得开封</w:t>
                            </w:r>
                          </w:p>
                          <w:p w14:paraId="75FD8A4C">
                            <w:pPr>
                              <w:spacing w:line="360" w:lineRule="auto"/>
                              <w:rPr>
                                <w:rFonts w:hint="eastAsia" w:ascii="仿宋" w:hAnsi="仿宋" w:eastAsia="仿宋" w:cs="仿宋"/>
                                <w:kern w:val="0"/>
                                <w:szCs w:val="21"/>
                              </w:rPr>
                            </w:pPr>
                            <w:r>
                              <w:rPr>
                                <w:rFonts w:hint="eastAsia" w:ascii="仿宋" w:hAnsi="仿宋" w:eastAsia="仿宋" w:cs="仿宋"/>
                                <w:kern w:val="0"/>
                                <w:szCs w:val="21"/>
                              </w:rPr>
                              <w:t>供应商名称：</w:t>
                            </w:r>
                            <w:r>
                              <w:rPr>
                                <w:rFonts w:hint="eastAsia" w:ascii="仿宋" w:hAnsi="仿宋" w:eastAsia="仿宋" w:cs="仿宋"/>
                                <w:kern w:val="0"/>
                                <w:szCs w:val="21"/>
                                <w:u w:val="single"/>
                              </w:rPr>
                              <w:t xml:space="preserve">               </w:t>
                            </w:r>
                            <w:r>
                              <w:rPr>
                                <w:rFonts w:hint="eastAsia" w:ascii="仿宋" w:hAnsi="仿宋" w:eastAsia="仿宋" w:cs="仿宋"/>
                                <w:kern w:val="0"/>
                                <w:szCs w:val="21"/>
                              </w:rPr>
                              <w:t>（公章）</w:t>
                            </w:r>
                          </w:p>
                          <w:p w14:paraId="55D56B31">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供应商地址：</w:t>
                            </w:r>
                            <w:r>
                              <w:rPr>
                                <w:rFonts w:hint="eastAsia" w:ascii="仿宋" w:hAnsi="仿宋" w:eastAsia="仿宋" w:cs="仿宋"/>
                                <w:kern w:val="0"/>
                                <w:szCs w:val="21"/>
                                <w:u w:val="single"/>
                              </w:rPr>
                              <w:t xml:space="preserve">                 </w:t>
                            </w:r>
                          </w:p>
                          <w:p w14:paraId="32F5E9D1">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封装文件内容：</w:t>
                            </w:r>
                            <w:r>
                              <w:rPr>
                                <w:rFonts w:hint="eastAsia" w:ascii="仿宋" w:hAnsi="仿宋" w:eastAsia="仿宋" w:cs="仿宋"/>
                                <w:kern w:val="0"/>
                                <w:szCs w:val="21"/>
                                <w:u w:val="single"/>
                              </w:rPr>
                              <w:t xml:space="preserve">                 </w:t>
                            </w:r>
                          </w:p>
                          <w:p w14:paraId="787DDCBA">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联系人及联系电话：</w:t>
                            </w:r>
                            <w:r>
                              <w:rPr>
                                <w:rFonts w:hint="eastAsia" w:ascii="仿宋" w:hAnsi="仿宋" w:eastAsia="仿宋" w:cs="仿宋"/>
                                <w:kern w:val="0"/>
                                <w:szCs w:val="21"/>
                                <w:u w:val="single"/>
                              </w:rPr>
                              <w:t xml:space="preserve">                 </w:t>
                            </w:r>
                          </w:p>
                        </w:txbxContent>
                      </v:textbox>
                      <w10:wrap type="none"/>
                      <w10:anchorlock/>
                    </v:shape>
                  </w:pict>
                </mc:Fallback>
              </mc:AlternateContent>
            </w:r>
          </w:p>
        </w:tc>
      </w:tr>
      <w:tr w14:paraId="603F1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949" w:type="dxa"/>
            <w:noWrap w:val="0"/>
            <w:vAlign w:val="center"/>
          </w:tcPr>
          <w:p w14:paraId="56EDE0B0">
            <w:pPr>
              <w:spacing w:line="360" w:lineRule="auto"/>
              <w:jc w:val="center"/>
              <w:rPr>
                <w:rFonts w:hint="eastAsia" w:ascii="仿宋" w:hAnsi="仿宋" w:eastAsia="仿宋" w:cs="仿宋"/>
                <w:color w:val="000000"/>
                <w:szCs w:val="21"/>
                <w:highlight w:val="none"/>
              </w:rPr>
            </w:pPr>
            <w:r>
              <w:rPr>
                <w:rFonts w:hint="eastAsia" w:ascii="仿宋" w:hAnsi="仿宋" w:eastAsia="仿宋" w:cs="仿宋"/>
                <w:sz w:val="24"/>
              </w:rPr>
              <w:t>15</w:t>
            </w:r>
          </w:p>
        </w:tc>
        <w:tc>
          <w:tcPr>
            <w:tcW w:w="927" w:type="pct"/>
            <w:noWrap w:val="0"/>
            <w:vAlign w:val="center"/>
          </w:tcPr>
          <w:p w14:paraId="4D1467EC">
            <w:pPr>
              <w:pStyle w:val="157"/>
              <w:spacing w:before="62" w:beforeLines="20" w:after="62" w:afterLines="20" w:line="360" w:lineRule="auto"/>
              <w:jc w:val="center"/>
              <w:rPr>
                <w:rFonts w:hint="eastAsia" w:ascii="仿宋" w:hAnsi="仿宋" w:eastAsia="仿宋" w:cs="仿宋"/>
                <w:color w:val="000000"/>
                <w:highlight w:val="none"/>
              </w:rPr>
            </w:pPr>
            <w:r>
              <w:rPr>
                <w:rFonts w:hint="eastAsia" w:ascii="仿宋" w:hAnsi="仿宋" w:eastAsia="仿宋" w:cs="仿宋"/>
                <w:color w:val="000000"/>
                <w:highlight w:val="none"/>
              </w:rPr>
              <w:t>响应文件的递交</w:t>
            </w:r>
          </w:p>
        </w:tc>
        <w:tc>
          <w:tcPr>
            <w:tcW w:w="3589" w:type="pct"/>
            <w:noWrap w:val="0"/>
            <w:vAlign w:val="center"/>
          </w:tcPr>
          <w:p w14:paraId="658A710C">
            <w:pPr>
              <w:pStyle w:val="157"/>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仿宋"/>
                <w:color w:val="000000"/>
                <w:highlight w:val="none"/>
              </w:rPr>
              <w:t>详见</w:t>
            </w:r>
            <w:r>
              <w:rPr>
                <w:rFonts w:hint="eastAsia" w:ascii="仿宋" w:hAnsi="仿宋" w:eastAsia="仿宋" w:cs="仿宋"/>
                <w:color w:val="000000"/>
                <w:highlight w:val="none"/>
                <w:u w:val="single"/>
              </w:rPr>
              <w:t>第一章 竞争性磋商公告“五、响应文件的递交”</w:t>
            </w:r>
            <w:r>
              <w:rPr>
                <w:rFonts w:hint="eastAsia" w:ascii="仿宋" w:hAnsi="仿宋" w:eastAsia="仿宋" w:cs="仿宋"/>
                <w:color w:val="000000"/>
                <w:highlight w:val="none"/>
              </w:rPr>
              <w:t>。</w:t>
            </w:r>
          </w:p>
        </w:tc>
      </w:tr>
      <w:tr w14:paraId="12115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949" w:type="dxa"/>
            <w:noWrap w:val="0"/>
            <w:vAlign w:val="center"/>
          </w:tcPr>
          <w:p w14:paraId="755EDFBB">
            <w:pPr>
              <w:spacing w:line="360" w:lineRule="auto"/>
              <w:jc w:val="center"/>
              <w:rPr>
                <w:rFonts w:ascii="仿宋" w:hAnsi="仿宋" w:eastAsia="仿宋" w:cs="仿宋"/>
                <w:color w:val="000000"/>
                <w:szCs w:val="21"/>
                <w:highlight w:val="none"/>
              </w:rPr>
            </w:pPr>
            <w:r>
              <w:rPr>
                <w:rFonts w:hint="eastAsia" w:ascii="仿宋" w:hAnsi="仿宋" w:eastAsia="仿宋" w:cs="仿宋"/>
                <w:sz w:val="24"/>
              </w:rPr>
              <w:t>17</w:t>
            </w:r>
          </w:p>
        </w:tc>
        <w:tc>
          <w:tcPr>
            <w:tcW w:w="927" w:type="pct"/>
            <w:noWrap w:val="0"/>
            <w:vAlign w:val="center"/>
          </w:tcPr>
          <w:p w14:paraId="6711FA97">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组建磋商小组</w:t>
            </w:r>
          </w:p>
        </w:tc>
        <w:tc>
          <w:tcPr>
            <w:tcW w:w="3589" w:type="pct"/>
            <w:noWrap w:val="0"/>
            <w:vAlign w:val="center"/>
          </w:tcPr>
          <w:p w14:paraId="0E93A91B">
            <w:pPr>
              <w:pStyle w:val="157"/>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仿宋"/>
                <w:color w:val="000000"/>
                <w:highlight w:val="none"/>
              </w:rPr>
              <w:t>本项目磋商小组成员人数为</w:t>
            </w:r>
            <w:r>
              <w:rPr>
                <w:rFonts w:hint="eastAsia" w:ascii="仿宋" w:hAnsi="仿宋" w:eastAsia="仿宋" w:cs="仿宋"/>
                <w:color w:val="000000"/>
                <w:highlight w:val="none"/>
                <w:lang w:val="en-US" w:eastAsia="zh-CN"/>
              </w:rPr>
              <w:t>5</w:t>
            </w:r>
            <w:r>
              <w:rPr>
                <w:rFonts w:hint="eastAsia" w:ascii="仿宋" w:hAnsi="仿宋" w:eastAsia="仿宋" w:cs="仿宋"/>
                <w:color w:val="000000"/>
                <w:highlight w:val="none"/>
              </w:rPr>
              <w:t>人：由</w:t>
            </w:r>
            <w:r>
              <w:rPr>
                <w:rFonts w:hint="eastAsia" w:ascii="仿宋" w:hAnsi="仿宋" w:eastAsia="仿宋" w:cs="仿宋"/>
                <w:color w:val="000000"/>
                <w:highlight w:val="none"/>
                <w:lang w:val="en-US" w:eastAsia="zh-CN"/>
              </w:rPr>
              <w:t>宜春</w:t>
            </w:r>
            <w:r>
              <w:rPr>
                <w:rFonts w:hint="eastAsia" w:ascii="仿宋" w:hAnsi="仿宋" w:eastAsia="仿宋" w:cs="仿宋"/>
                <w:color w:val="000000"/>
                <w:highlight w:val="none"/>
              </w:rPr>
              <w:t>市公司专家库中随机抽取1名和江西省专家库随机</w:t>
            </w:r>
            <w:r>
              <w:rPr>
                <w:rFonts w:hint="eastAsia" w:ascii="仿宋" w:hAnsi="仿宋" w:eastAsia="仿宋" w:cs="仿宋"/>
                <w:color w:val="000000"/>
                <w:highlight w:val="none"/>
                <w:lang w:val="en-US" w:eastAsia="zh-CN"/>
              </w:rPr>
              <w:t>4</w:t>
            </w:r>
            <w:r>
              <w:rPr>
                <w:rFonts w:hint="eastAsia" w:ascii="仿宋" w:hAnsi="仿宋" w:eastAsia="仿宋" w:cs="仿宋"/>
                <w:color w:val="000000"/>
                <w:highlight w:val="none"/>
              </w:rPr>
              <w:t>名代表，共由</w:t>
            </w:r>
            <w:r>
              <w:rPr>
                <w:rFonts w:hint="eastAsia" w:ascii="仿宋" w:hAnsi="仿宋" w:eastAsia="仿宋" w:cs="仿宋"/>
                <w:color w:val="000000"/>
                <w:highlight w:val="none"/>
                <w:lang w:val="en-US" w:eastAsia="zh-CN"/>
              </w:rPr>
              <w:t>5</w:t>
            </w:r>
            <w:r>
              <w:rPr>
                <w:rFonts w:hint="eastAsia" w:ascii="仿宋" w:hAnsi="仿宋" w:eastAsia="仿宋" w:cs="仿宋"/>
                <w:color w:val="000000"/>
                <w:highlight w:val="none"/>
              </w:rPr>
              <w:t>名代表组成评审专家</w:t>
            </w:r>
          </w:p>
        </w:tc>
      </w:tr>
      <w:tr w14:paraId="06606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949" w:type="dxa"/>
            <w:noWrap w:val="0"/>
            <w:vAlign w:val="center"/>
          </w:tcPr>
          <w:p w14:paraId="1D5708EF">
            <w:pPr>
              <w:spacing w:line="360" w:lineRule="auto"/>
              <w:jc w:val="center"/>
              <w:rPr>
                <w:rFonts w:hint="eastAsia" w:ascii="仿宋" w:hAnsi="仿宋" w:eastAsia="仿宋" w:cs="仿宋"/>
                <w:color w:val="000000"/>
                <w:szCs w:val="21"/>
                <w:highlight w:val="none"/>
              </w:rPr>
            </w:pPr>
            <w:r>
              <w:rPr>
                <w:rFonts w:hint="eastAsia" w:ascii="仿宋" w:hAnsi="仿宋" w:eastAsia="仿宋" w:cs="仿宋"/>
                <w:sz w:val="24"/>
              </w:rPr>
              <w:t>19</w:t>
            </w:r>
          </w:p>
        </w:tc>
        <w:tc>
          <w:tcPr>
            <w:tcW w:w="927" w:type="pct"/>
            <w:noWrap w:val="0"/>
            <w:vAlign w:val="center"/>
          </w:tcPr>
          <w:p w14:paraId="7B5CAF32">
            <w:pPr>
              <w:adjustRightInd w:val="0"/>
              <w:snapToGrid w:val="0"/>
              <w:spacing w:line="360" w:lineRule="auto"/>
              <w:ind w:left="36" w:leftChars="17"/>
              <w:jc w:val="center"/>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磋商程序及方式</w:t>
            </w:r>
          </w:p>
        </w:tc>
        <w:tc>
          <w:tcPr>
            <w:tcW w:w="3589" w:type="pct"/>
            <w:noWrap w:val="0"/>
            <w:vAlign w:val="center"/>
          </w:tcPr>
          <w:p w14:paraId="27431CC0">
            <w:pPr>
              <w:pStyle w:val="157"/>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仿宋"/>
                <w:color w:val="000000"/>
                <w:highlight w:val="none"/>
              </w:rPr>
              <w:t>（1）磋商小组将与通过初步评审的有效供应商按照</w:t>
            </w:r>
            <w:r>
              <w:rPr>
                <w:rFonts w:hint="eastAsia" w:ascii="仿宋" w:hAnsi="仿宋" w:eastAsia="仿宋" w:cs="仿宋"/>
                <w:color w:val="000000"/>
                <w:highlight w:val="none"/>
                <w:u w:val="single"/>
              </w:rPr>
              <w:t>响应文件递交顺序</w:t>
            </w:r>
            <w:r>
              <w:rPr>
                <w:rFonts w:hint="eastAsia" w:ascii="仿宋" w:hAnsi="仿宋" w:eastAsia="仿宋" w:cs="仿宋"/>
                <w:color w:val="000000"/>
                <w:highlight w:val="none"/>
              </w:rPr>
              <w:t>逐一进行磋商，供应商至少应派法定代表人或其授权委托人准时参会。</w:t>
            </w:r>
          </w:p>
          <w:p w14:paraId="1BE31FDD">
            <w:pPr>
              <w:pStyle w:val="157"/>
              <w:spacing w:before="62" w:beforeLines="20" w:after="62" w:afterLines="20" w:line="360" w:lineRule="auto"/>
              <w:rPr>
                <w:rFonts w:ascii="仿宋" w:hAnsi="仿宋" w:eastAsia="仿宋" w:cs="仿宋"/>
                <w:color w:val="000000"/>
                <w:highlight w:val="none"/>
              </w:rPr>
            </w:pPr>
            <w:r>
              <w:rPr>
                <w:rFonts w:hint="eastAsia" w:ascii="仿宋" w:hAnsi="仿宋" w:eastAsia="仿宋" w:cs="仿宋"/>
                <w:color w:val="000000"/>
                <w:highlight w:val="none"/>
              </w:rPr>
              <w:t>（2）磋商小组有权要求供应商对响应文件中含义不明确、同类问题表述不一致或者有明显文字和计算错误的内容等进行澄清、说明或更正。第一轮磋商结束后，供应商提交第一轮报价及磋商小组要求提供的其他文件，磋商小组将视具体情况决定是否进行多轮磋商及报价。最后一轮磋商结束后，供应商提交最终报价并签署相关承诺性文件。</w:t>
            </w:r>
          </w:p>
        </w:tc>
      </w:tr>
      <w:tr w14:paraId="54001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949" w:type="dxa"/>
            <w:noWrap w:val="0"/>
            <w:vAlign w:val="center"/>
          </w:tcPr>
          <w:p w14:paraId="0608E42D">
            <w:pPr>
              <w:spacing w:line="360" w:lineRule="auto"/>
              <w:jc w:val="center"/>
              <w:rPr>
                <w:rFonts w:hint="eastAsia" w:ascii="仿宋" w:hAnsi="仿宋" w:eastAsia="仿宋" w:cs="仿宋"/>
                <w:color w:val="000000"/>
                <w:szCs w:val="21"/>
                <w:highlight w:val="none"/>
              </w:rPr>
            </w:pPr>
            <w:r>
              <w:rPr>
                <w:rFonts w:hint="eastAsia" w:ascii="仿宋" w:hAnsi="仿宋" w:eastAsia="仿宋" w:cs="仿宋"/>
                <w:sz w:val="24"/>
              </w:rPr>
              <w:t>20</w:t>
            </w:r>
          </w:p>
        </w:tc>
        <w:tc>
          <w:tcPr>
            <w:tcW w:w="927" w:type="pct"/>
            <w:noWrap w:val="0"/>
            <w:vAlign w:val="center"/>
          </w:tcPr>
          <w:p w14:paraId="08DD2BF9">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磋商内容</w:t>
            </w:r>
          </w:p>
        </w:tc>
        <w:tc>
          <w:tcPr>
            <w:tcW w:w="3589" w:type="pct"/>
            <w:noWrap w:val="0"/>
            <w:vAlign w:val="center"/>
          </w:tcPr>
          <w:p w14:paraId="40212C59">
            <w:pPr>
              <w:pStyle w:val="157"/>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仿宋"/>
                <w:color w:val="000000"/>
              </w:rPr>
              <w:t>包含但不仅限于</w:t>
            </w:r>
            <w:r>
              <w:rPr>
                <w:rFonts w:hint="eastAsia" w:ascii="仿宋" w:hAnsi="仿宋" w:eastAsia="仿宋" w:cs="仿宋"/>
                <w:color w:val="000000"/>
                <w:u w:val="single"/>
              </w:rPr>
              <w:t>报价、对采购需求的理解、产品配置、实施方案、人员配置、服务承诺、商务条款</w:t>
            </w:r>
            <w:r>
              <w:rPr>
                <w:rFonts w:hint="eastAsia" w:ascii="仿宋" w:hAnsi="仿宋" w:eastAsia="仿宋" w:cs="仿宋"/>
                <w:color w:val="000000"/>
              </w:rPr>
              <w:t>等。</w:t>
            </w:r>
          </w:p>
        </w:tc>
      </w:tr>
      <w:tr w14:paraId="16457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622" w:hRule="atLeast"/>
          <w:jc w:val="center"/>
        </w:trPr>
        <w:tc>
          <w:tcPr>
            <w:tcW w:w="949" w:type="dxa"/>
            <w:noWrap w:val="0"/>
            <w:vAlign w:val="center"/>
          </w:tcPr>
          <w:p w14:paraId="4F0138DF">
            <w:pPr>
              <w:spacing w:line="360" w:lineRule="auto"/>
              <w:jc w:val="center"/>
              <w:rPr>
                <w:rFonts w:hint="eastAsia" w:ascii="仿宋" w:hAnsi="仿宋" w:eastAsia="仿宋" w:cs="仿宋"/>
                <w:color w:val="000000"/>
                <w:szCs w:val="21"/>
                <w:highlight w:val="none"/>
              </w:rPr>
            </w:pPr>
            <w:r>
              <w:rPr>
                <w:rFonts w:hint="eastAsia" w:ascii="仿宋" w:hAnsi="仿宋" w:eastAsia="仿宋" w:cs="仿宋"/>
                <w:sz w:val="24"/>
              </w:rPr>
              <w:t>21</w:t>
            </w:r>
          </w:p>
        </w:tc>
        <w:tc>
          <w:tcPr>
            <w:tcW w:w="927" w:type="pct"/>
            <w:noWrap w:val="0"/>
            <w:vAlign w:val="center"/>
          </w:tcPr>
          <w:p w14:paraId="6D044B66">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highlight w:val="none"/>
              </w:rPr>
              <w:t>成交候选人推荐原则</w:t>
            </w:r>
          </w:p>
        </w:tc>
        <w:tc>
          <w:tcPr>
            <w:tcW w:w="3589" w:type="pct"/>
            <w:noWrap w:val="0"/>
            <w:vAlign w:val="center"/>
          </w:tcPr>
          <w:p w14:paraId="22ECC4CE">
            <w:pPr>
              <w:pStyle w:val="157"/>
              <w:spacing w:before="62" w:beforeLines="20" w:after="62" w:afterLines="20" w:line="360" w:lineRule="auto"/>
              <w:rPr>
                <w:rFonts w:hint="eastAsia" w:ascii="仿宋" w:hAnsi="仿宋" w:eastAsia="仿宋" w:cs="仿宋"/>
                <w:color w:val="auto"/>
                <w:highlight w:val="none"/>
              </w:rPr>
            </w:pPr>
            <w:r>
              <w:rPr>
                <w:rFonts w:hint="eastAsia" w:ascii="仿宋" w:hAnsi="仿宋" w:eastAsia="仿宋" w:cs="仿宋"/>
                <w:color w:val="auto"/>
                <w:highlight w:val="none"/>
              </w:rPr>
              <w:t>磋商小组根据有效供应商</w:t>
            </w:r>
            <w:r>
              <w:rPr>
                <w:rFonts w:hint="eastAsia" w:ascii="仿宋" w:hAnsi="仿宋" w:eastAsia="仿宋" w:cs="宋体"/>
                <w:color w:val="auto"/>
                <w:highlight w:val="none"/>
              </w:rPr>
              <w:t>综合得分由高至低排出的名次，顺序推荐</w:t>
            </w:r>
            <w:r>
              <w:rPr>
                <w:rFonts w:hint="eastAsia" w:ascii="仿宋" w:hAnsi="仿宋" w:eastAsia="仿宋" w:cs="宋体"/>
                <w:color w:val="auto"/>
                <w:highlight w:val="none"/>
                <w:u w:val="single"/>
              </w:rPr>
              <w:t>综合得分前</w:t>
            </w:r>
            <w:r>
              <w:rPr>
                <w:rFonts w:hint="eastAsia" w:ascii="仿宋" w:hAnsi="仿宋" w:eastAsia="仿宋" w:cs="宋体"/>
                <w:color w:val="auto"/>
                <w:highlight w:val="none"/>
                <w:u w:val="single"/>
                <w:lang w:val="en-US" w:eastAsia="zh-CN"/>
              </w:rPr>
              <w:t>4</w:t>
            </w:r>
            <w:r>
              <w:rPr>
                <w:rFonts w:hint="eastAsia" w:ascii="仿宋" w:hAnsi="仿宋" w:eastAsia="仿宋" w:cs="宋体"/>
                <w:color w:val="auto"/>
                <w:highlight w:val="none"/>
                <w:u w:val="single"/>
              </w:rPr>
              <w:t>名</w:t>
            </w:r>
            <w:r>
              <w:rPr>
                <w:rFonts w:hint="eastAsia" w:ascii="仿宋" w:hAnsi="仿宋" w:eastAsia="仿宋" w:cs="宋体"/>
                <w:color w:val="auto"/>
                <w:highlight w:val="none"/>
              </w:rPr>
              <w:t>为成交候选人。</w:t>
            </w:r>
            <w:r>
              <w:rPr>
                <w:rFonts w:hint="eastAsia" w:ascii="仿宋" w:hAnsi="仿宋" w:eastAsia="仿宋" w:cs="仿宋"/>
                <w:color w:val="auto"/>
                <w:highlight w:val="none"/>
              </w:rPr>
              <w:t>综合得分相同时，价格得分高者排名优先；价格得分也相同时，</w:t>
            </w:r>
            <w:r>
              <w:rPr>
                <w:rFonts w:hint="eastAsia" w:ascii="仿宋" w:hAnsi="仿宋" w:eastAsia="仿宋" w:cs="仿宋"/>
                <w:color w:val="auto"/>
                <w:highlight w:val="none"/>
                <w:u w:val="single"/>
              </w:rPr>
              <w:t>技术</w:t>
            </w:r>
            <w:r>
              <w:rPr>
                <w:rFonts w:hint="eastAsia" w:ascii="仿宋" w:hAnsi="仿宋" w:eastAsia="仿宋" w:cs="仿宋"/>
                <w:color w:val="auto"/>
                <w:highlight w:val="none"/>
              </w:rPr>
              <w:t>得分高者排名优先。</w:t>
            </w:r>
          </w:p>
        </w:tc>
      </w:tr>
      <w:tr w14:paraId="6C458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949" w:type="dxa"/>
            <w:noWrap w:val="0"/>
            <w:vAlign w:val="center"/>
          </w:tcPr>
          <w:p w14:paraId="5C8904FA">
            <w:pPr>
              <w:spacing w:line="360" w:lineRule="auto"/>
              <w:jc w:val="center"/>
              <w:rPr>
                <w:rFonts w:hint="eastAsia" w:ascii="仿宋" w:hAnsi="仿宋" w:eastAsia="仿宋" w:cs="仿宋"/>
                <w:color w:val="000000"/>
                <w:szCs w:val="21"/>
                <w:highlight w:val="none"/>
              </w:rPr>
            </w:pPr>
            <w:r>
              <w:rPr>
                <w:rFonts w:hint="eastAsia" w:ascii="仿宋" w:hAnsi="仿宋" w:eastAsia="仿宋" w:cs="仿宋"/>
                <w:sz w:val="24"/>
              </w:rPr>
              <w:t>22</w:t>
            </w:r>
          </w:p>
        </w:tc>
        <w:tc>
          <w:tcPr>
            <w:tcW w:w="927" w:type="pct"/>
            <w:noWrap w:val="0"/>
            <w:vAlign w:val="center"/>
          </w:tcPr>
          <w:p w14:paraId="6A2E1FA8">
            <w:pPr>
              <w:pStyle w:val="157"/>
              <w:spacing w:before="62" w:beforeLines="20" w:after="62" w:afterLines="20" w:line="360" w:lineRule="auto"/>
              <w:jc w:val="center"/>
              <w:rPr>
                <w:rFonts w:hint="eastAsia" w:ascii="仿宋" w:hAnsi="仿宋" w:eastAsia="仿宋" w:cs="仿宋"/>
                <w:color w:val="000000"/>
                <w:highlight w:val="none"/>
              </w:rPr>
            </w:pPr>
            <w:r>
              <w:rPr>
                <w:rFonts w:hint="eastAsia" w:ascii="仿宋" w:hAnsi="仿宋" w:eastAsia="仿宋" w:cs="仿宋"/>
                <w:color w:val="000000"/>
                <w:highlight w:val="none"/>
              </w:rPr>
              <w:t>成交人数量</w:t>
            </w:r>
          </w:p>
        </w:tc>
        <w:tc>
          <w:tcPr>
            <w:tcW w:w="3589" w:type="pct"/>
            <w:noWrap w:val="0"/>
            <w:vAlign w:val="center"/>
          </w:tcPr>
          <w:p w14:paraId="017C8600">
            <w:pPr>
              <w:pStyle w:val="157"/>
              <w:spacing w:before="62" w:beforeLines="20" w:after="62" w:afterLines="20"/>
              <w:rPr>
                <w:rFonts w:ascii="仿宋" w:hAnsi="仿宋" w:eastAsia="仿宋" w:cs="仿宋"/>
                <w:color w:val="auto"/>
                <w:highlight w:val="none"/>
                <w:u w:val="single"/>
              </w:rPr>
            </w:pPr>
            <w:r>
              <w:rPr>
                <w:rFonts w:hint="eastAsia" w:ascii="仿宋" w:hAnsi="仿宋" w:eastAsia="仿宋" w:cs="仿宋"/>
                <w:color w:val="auto"/>
                <w:highlight w:val="none"/>
              </w:rPr>
              <w:t>成交人数量：</w:t>
            </w:r>
            <w:r>
              <w:rPr>
                <w:rFonts w:hint="eastAsia" w:ascii="仿宋" w:hAnsi="仿宋" w:eastAsia="仿宋" w:cs="仿宋"/>
                <w:color w:val="auto"/>
                <w:highlight w:val="none"/>
                <w:u w:val="single"/>
                <w:lang w:val="en-US" w:eastAsia="zh-CN"/>
              </w:rPr>
              <w:t>2</w:t>
            </w:r>
            <w:r>
              <w:rPr>
                <w:rFonts w:hint="eastAsia" w:ascii="仿宋" w:hAnsi="仿宋" w:eastAsia="仿宋" w:cs="仿宋"/>
                <w:color w:val="auto"/>
                <w:highlight w:val="none"/>
                <w:u w:val="single"/>
              </w:rPr>
              <w:t>家</w:t>
            </w:r>
          </w:p>
          <w:p w14:paraId="3590193D">
            <w:pPr>
              <w:pStyle w:val="157"/>
              <w:spacing w:before="62" w:beforeLines="20" w:after="62" w:afterLines="20" w:line="360" w:lineRule="auto"/>
              <w:rPr>
                <w:rFonts w:hint="eastAsia" w:ascii="仿宋" w:hAnsi="仿宋" w:eastAsia="仿宋" w:cs="仿宋"/>
                <w:color w:val="auto"/>
                <w:highlight w:val="none"/>
              </w:rPr>
            </w:pPr>
            <w:r>
              <w:rPr>
                <w:rFonts w:hint="eastAsia" w:ascii="仿宋" w:hAnsi="仿宋" w:eastAsia="仿宋" w:cs="宋体"/>
                <w:color w:val="auto"/>
                <w:highlight w:val="none"/>
                <w:u w:val="single"/>
              </w:rPr>
              <w:t>综合排名</w:t>
            </w:r>
            <w:r>
              <w:rPr>
                <w:rFonts w:hint="eastAsia" w:ascii="仿宋" w:hAnsi="仿宋" w:eastAsia="仿宋" w:cs="宋体"/>
                <w:color w:val="auto"/>
                <w:highlight w:val="none"/>
                <w:u w:val="single"/>
                <w:lang w:val="en-US" w:eastAsia="zh-CN"/>
              </w:rPr>
              <w:t>前二</w:t>
            </w:r>
            <w:r>
              <w:rPr>
                <w:rFonts w:hint="eastAsia" w:ascii="仿宋" w:hAnsi="仿宋" w:eastAsia="仿宋" w:cs="仿宋"/>
                <w:color w:val="auto"/>
                <w:highlight w:val="none"/>
              </w:rPr>
              <w:t>成交候选人放弃成交、因不可抗力不能履行合同、</w:t>
            </w:r>
            <w:r>
              <w:rPr>
                <w:rFonts w:hint="eastAsia" w:ascii="仿宋" w:hAnsi="仿宋" w:eastAsia="仿宋" w:cs="宋体"/>
                <w:color w:val="auto"/>
                <w:highlight w:val="none"/>
              </w:rPr>
              <w:t>不按照磋商文件要求提交履约保证金</w:t>
            </w:r>
            <w:r>
              <w:rPr>
                <w:rFonts w:hint="eastAsia" w:ascii="仿宋" w:hAnsi="仿宋" w:eastAsia="仿宋" w:cs="仿宋"/>
                <w:color w:val="auto"/>
                <w:highlight w:val="none"/>
              </w:rPr>
              <w:t>、存在重大经营或法律风险、被查实存在影响采购结果的违法行为等情形，采购人按照磋商小组提出的成交候选人名单排序依次确定其他成交候选人为成交人，或者重新采购。</w:t>
            </w:r>
          </w:p>
        </w:tc>
      </w:tr>
      <w:tr w14:paraId="72DEC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949" w:type="dxa"/>
            <w:noWrap w:val="0"/>
            <w:vAlign w:val="center"/>
          </w:tcPr>
          <w:p w14:paraId="6A4E5675">
            <w:pPr>
              <w:spacing w:line="360" w:lineRule="auto"/>
              <w:jc w:val="center"/>
              <w:rPr>
                <w:rFonts w:ascii="仿宋" w:hAnsi="仿宋" w:eastAsia="仿宋" w:cs="仿宋"/>
                <w:color w:val="000000"/>
                <w:szCs w:val="21"/>
                <w:highlight w:val="none"/>
              </w:rPr>
            </w:pPr>
            <w:r>
              <w:rPr>
                <w:rFonts w:hint="eastAsia" w:ascii="仿宋" w:hAnsi="仿宋" w:eastAsia="仿宋" w:cs="仿宋"/>
                <w:sz w:val="24"/>
              </w:rPr>
              <w:t>23</w:t>
            </w:r>
          </w:p>
        </w:tc>
        <w:tc>
          <w:tcPr>
            <w:tcW w:w="927" w:type="pct"/>
            <w:noWrap w:val="0"/>
            <w:vAlign w:val="center"/>
          </w:tcPr>
          <w:p w14:paraId="7A15AD5C">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履约保证金</w:t>
            </w:r>
          </w:p>
        </w:tc>
        <w:tc>
          <w:tcPr>
            <w:tcW w:w="3589" w:type="pct"/>
            <w:noWrap w:val="0"/>
            <w:vAlign w:val="center"/>
          </w:tcPr>
          <w:p w14:paraId="56E4D8C0">
            <w:pPr>
              <w:pStyle w:val="157"/>
              <w:spacing w:before="62" w:beforeLines="20" w:after="62" w:afterLines="20" w:line="360" w:lineRule="auto"/>
              <w:rPr>
                <w:rFonts w:ascii="仿宋" w:hAnsi="仿宋" w:eastAsia="仿宋" w:cs="宋体"/>
                <w:color w:val="auto"/>
                <w:highlight w:val="none"/>
              </w:rPr>
            </w:pPr>
            <w:r>
              <w:rPr>
                <w:rFonts w:hint="eastAsia" w:ascii="仿宋" w:hAnsi="仿宋" w:eastAsia="仿宋" w:cs="宋体"/>
                <w:color w:val="auto"/>
                <w:highlight w:val="none"/>
              </w:rPr>
              <w:t>□收取，形式及比例：</w:t>
            </w:r>
          </w:p>
          <w:p w14:paraId="059D0BCA">
            <w:pPr>
              <w:autoSpaceDE w:val="0"/>
              <w:autoSpaceDN w:val="0"/>
              <w:spacing w:line="360" w:lineRule="auto"/>
              <w:rPr>
                <w:rFonts w:hint="eastAsia" w:ascii="仿宋" w:hAnsi="仿宋" w:eastAsia="仿宋" w:cs="仿宋"/>
                <w:color w:val="auto"/>
                <w:szCs w:val="21"/>
                <w:highlight w:val="none"/>
              </w:rPr>
            </w:pPr>
            <w:r>
              <w:rPr>
                <w:rFonts w:hint="eastAsia" w:ascii="仿宋" w:hAnsi="仿宋" w:eastAsia="仿宋" w:cs="宋体"/>
                <w:color w:val="auto"/>
                <w:szCs w:val="21"/>
                <w:highlight w:val="none"/>
              </w:rPr>
              <w:sym w:font="Wingdings 2" w:char="0052"/>
            </w:r>
            <w:r>
              <w:rPr>
                <w:rFonts w:hint="eastAsia" w:ascii="仿宋" w:hAnsi="仿宋" w:eastAsia="仿宋" w:cs="宋体"/>
                <w:color w:val="auto"/>
                <w:szCs w:val="21"/>
                <w:highlight w:val="none"/>
              </w:rPr>
              <w:t>不收取</w:t>
            </w:r>
          </w:p>
        </w:tc>
      </w:tr>
      <w:tr w14:paraId="0D1D0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949" w:type="dxa"/>
            <w:noWrap w:val="0"/>
            <w:vAlign w:val="center"/>
          </w:tcPr>
          <w:p w14:paraId="1A5C5D86">
            <w:pPr>
              <w:spacing w:line="360" w:lineRule="auto"/>
              <w:jc w:val="center"/>
              <w:rPr>
                <w:rFonts w:ascii="仿宋" w:hAnsi="仿宋" w:eastAsia="仿宋" w:cs="仿宋"/>
                <w:color w:val="000000"/>
                <w:szCs w:val="21"/>
                <w:highlight w:val="none"/>
              </w:rPr>
            </w:pPr>
            <w:r>
              <w:rPr>
                <w:rFonts w:hint="eastAsia" w:ascii="仿宋" w:hAnsi="仿宋" w:eastAsia="仿宋" w:cs="仿宋"/>
                <w:sz w:val="24"/>
              </w:rPr>
              <w:t>24</w:t>
            </w:r>
          </w:p>
        </w:tc>
        <w:tc>
          <w:tcPr>
            <w:tcW w:w="927" w:type="pct"/>
            <w:noWrap w:val="0"/>
            <w:vAlign w:val="center"/>
          </w:tcPr>
          <w:p w14:paraId="5947F424">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采购代理服务费</w:t>
            </w:r>
          </w:p>
        </w:tc>
        <w:tc>
          <w:tcPr>
            <w:tcW w:w="3589" w:type="pct"/>
            <w:noWrap w:val="0"/>
            <w:vAlign w:val="center"/>
          </w:tcPr>
          <w:p w14:paraId="26D984D4">
            <w:pPr>
              <w:autoSpaceDE w:val="0"/>
              <w:autoSpaceDN w:val="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1）收费依据：参考原国家发展计划委员会《采购代理服务收费管理暂行办法》(计价格[2002]1980号文)、国家发展改革委员会办公厅发布的关于《采购代理服务收费有关问题的通知》(发改办[2003]857号文)和国家发展改革委《关于降低部分建设项目收费标准规范收费行为等有关问题的通知》(发改价格[2011]534号)的规定。</w:t>
            </w:r>
          </w:p>
          <w:p w14:paraId="671EC2BB">
            <w:pPr>
              <w:autoSpaceDE w:val="0"/>
              <w:autoSpaceDN w:val="0"/>
              <w:spacing w:line="360" w:lineRule="auto"/>
              <w:rPr>
                <w:rFonts w:hint="default" w:ascii="仿宋" w:hAnsi="仿宋" w:eastAsia="仿宋" w:cs="仿宋"/>
                <w:b/>
                <w:color w:val="000000"/>
                <w:kern w:val="0"/>
                <w:szCs w:val="21"/>
                <w:highlight w:val="none"/>
                <w:lang w:val="en-US" w:eastAsia="zh-CN"/>
              </w:rPr>
            </w:pPr>
            <w:r>
              <w:rPr>
                <w:rFonts w:hint="eastAsia" w:ascii="仿宋" w:hAnsi="仿宋" w:eastAsia="仿宋" w:cs="仿宋"/>
                <w:color w:val="000000"/>
                <w:szCs w:val="21"/>
                <w:highlight w:val="none"/>
              </w:rPr>
              <w:t>（2）</w:t>
            </w:r>
            <w:r>
              <w:rPr>
                <w:rFonts w:hint="eastAsia" w:ascii="仿宋" w:hAnsi="仿宋" w:eastAsia="仿宋" w:cs="Monaco"/>
                <w:color w:val="000000"/>
                <w:szCs w:val="21"/>
                <w:highlight w:val="none"/>
              </w:rPr>
              <w:t>服务费金额：根据中标结果按照标准的60%向中标方收取招标代理服务费,且最低收费 1500 元</w:t>
            </w:r>
            <w:r>
              <w:rPr>
                <w:rFonts w:hint="eastAsia" w:ascii="仿宋" w:hAnsi="仿宋" w:eastAsia="仿宋" w:cs="Monaco"/>
                <w:color w:val="FF0000"/>
                <w:szCs w:val="21"/>
                <w:highlight w:val="none"/>
                <w:lang w:val="en-US" w:eastAsia="zh-CN"/>
              </w:rPr>
              <w:t>。</w:t>
            </w:r>
          </w:p>
          <w:p w14:paraId="1772BDAE">
            <w:pPr>
              <w:autoSpaceDE w:val="0"/>
              <w:autoSpaceDN w:val="0"/>
              <w:spacing w:line="360" w:lineRule="auto"/>
              <w:rPr>
                <w:rFonts w:hint="eastAsia" w:ascii="仿宋" w:hAnsi="仿宋" w:eastAsia="仿宋" w:cs="仿宋"/>
                <w:color w:val="000000"/>
                <w:highlight w:val="none"/>
              </w:rPr>
            </w:pPr>
            <w:r>
              <w:rPr>
                <w:rFonts w:hint="eastAsia" w:ascii="仿宋" w:hAnsi="仿宋" w:eastAsia="仿宋" w:cs="仿宋"/>
                <w:color w:val="000000"/>
                <w:szCs w:val="21"/>
                <w:highlight w:val="none"/>
              </w:rPr>
              <w:t>（3）缴纳时限：</w:t>
            </w:r>
            <w:r>
              <w:rPr>
                <w:rFonts w:hint="eastAsia" w:ascii="仿宋" w:hAnsi="仿宋" w:eastAsia="仿宋" w:cs="仿宋"/>
                <w:color w:val="auto"/>
                <w:szCs w:val="21"/>
                <w:highlight w:val="none"/>
              </w:rPr>
              <w:t>成交人在</w:t>
            </w:r>
            <w:r>
              <w:rPr>
                <w:rFonts w:hint="eastAsia" w:ascii="仿宋" w:hAnsi="仿宋" w:eastAsia="仿宋" w:cs="仿宋"/>
                <w:color w:val="000000"/>
                <w:szCs w:val="21"/>
                <w:highlight w:val="none"/>
              </w:rPr>
              <w:t>收到采购代理服务费付款通知书后15日内，向采购代理机构一次性支付。</w:t>
            </w:r>
          </w:p>
        </w:tc>
      </w:tr>
    </w:tbl>
    <w:p w14:paraId="16947FDD">
      <w:pPr>
        <w:pStyle w:val="4"/>
        <w:ind w:firstLine="0" w:firstLineChars="0"/>
        <w:jc w:val="left"/>
        <w:rPr>
          <w:rFonts w:hint="eastAsia" w:ascii="仿宋" w:hAnsi="仿宋" w:eastAsia="仿宋" w:cs="仿宋"/>
          <w:color w:val="000000"/>
          <w:sz w:val="24"/>
          <w:szCs w:val="24"/>
          <w:highlight w:val="none"/>
        </w:rPr>
      </w:pPr>
      <w:r>
        <w:rPr>
          <w:rFonts w:hint="eastAsia" w:ascii="仿宋" w:hAnsi="仿宋" w:eastAsia="仿宋" w:cs="仿宋"/>
          <w:color w:val="000000"/>
          <w:highlight w:val="none"/>
        </w:rPr>
        <w:br w:type="page"/>
      </w:r>
      <w:bookmarkStart w:id="33" w:name="_Toc517281816"/>
      <w:bookmarkStart w:id="34" w:name="_Toc287600118"/>
      <w:bookmarkStart w:id="35" w:name="_Toc11071"/>
      <w:bookmarkStart w:id="36" w:name="_Toc27232"/>
      <w:bookmarkStart w:id="37" w:name="_Toc19783313"/>
      <w:bookmarkStart w:id="38" w:name="_Toc6047"/>
      <w:bookmarkStart w:id="39" w:name="_Toc20514"/>
      <w:bookmarkStart w:id="40" w:name="_Toc444891336"/>
      <w:bookmarkStart w:id="41" w:name="_Toc6872"/>
      <w:r>
        <w:rPr>
          <w:rFonts w:hint="eastAsia" w:ascii="仿宋" w:hAnsi="仿宋" w:eastAsia="仿宋" w:cs="仿宋"/>
          <w:color w:val="000000"/>
          <w:sz w:val="24"/>
          <w:szCs w:val="24"/>
          <w:highlight w:val="none"/>
        </w:rPr>
        <w:t>二、供应商须知</w:t>
      </w:r>
      <w:bookmarkEnd w:id="33"/>
      <w:bookmarkEnd w:id="34"/>
      <w:bookmarkEnd w:id="35"/>
      <w:bookmarkEnd w:id="36"/>
      <w:bookmarkEnd w:id="37"/>
      <w:bookmarkEnd w:id="38"/>
      <w:bookmarkEnd w:id="39"/>
      <w:bookmarkEnd w:id="40"/>
      <w:r>
        <w:rPr>
          <w:rFonts w:hint="eastAsia" w:ascii="仿宋" w:hAnsi="仿宋" w:eastAsia="仿宋" w:cs="仿宋"/>
          <w:color w:val="000000"/>
          <w:sz w:val="24"/>
          <w:szCs w:val="24"/>
          <w:highlight w:val="none"/>
        </w:rPr>
        <w:t>正文</w:t>
      </w:r>
      <w:bookmarkEnd w:id="41"/>
    </w:p>
    <w:p w14:paraId="51947F30">
      <w:pPr>
        <w:pStyle w:val="5"/>
        <w:spacing w:before="0" w:after="0" w:line="360" w:lineRule="auto"/>
        <w:ind w:firstLine="482"/>
        <w:rPr>
          <w:rFonts w:hint="eastAsia" w:ascii="仿宋" w:hAnsi="仿宋" w:eastAsia="仿宋" w:cs="仿宋"/>
          <w:color w:val="000000"/>
          <w:sz w:val="24"/>
          <w:szCs w:val="24"/>
          <w:highlight w:val="none"/>
        </w:rPr>
      </w:pPr>
      <w:bookmarkStart w:id="42" w:name="_Toc11851"/>
      <w:bookmarkStart w:id="43" w:name="_Toc22969"/>
      <w:bookmarkStart w:id="44" w:name="_Toc287600119"/>
      <w:bookmarkStart w:id="45" w:name="_Toc6681"/>
      <w:bookmarkStart w:id="46" w:name="_Toc16441"/>
      <w:bookmarkStart w:id="47" w:name="_Toc19783314"/>
      <w:bookmarkStart w:id="48" w:name="_Toc431"/>
      <w:bookmarkStart w:id="49" w:name="_Toc444891337"/>
      <w:bookmarkStart w:id="50" w:name="_Toc29631"/>
      <w:bookmarkStart w:id="51" w:name="_Toc517281817"/>
      <w:r>
        <w:rPr>
          <w:rFonts w:hint="eastAsia" w:ascii="仿宋" w:hAnsi="仿宋" w:eastAsia="仿宋" w:cs="仿宋"/>
          <w:color w:val="000000"/>
          <w:sz w:val="24"/>
          <w:szCs w:val="24"/>
          <w:highlight w:val="none"/>
        </w:rPr>
        <w:t>（一）总 则</w:t>
      </w:r>
      <w:bookmarkEnd w:id="42"/>
      <w:bookmarkEnd w:id="43"/>
      <w:bookmarkEnd w:id="44"/>
      <w:bookmarkEnd w:id="45"/>
      <w:bookmarkEnd w:id="46"/>
      <w:bookmarkEnd w:id="47"/>
      <w:bookmarkEnd w:id="48"/>
      <w:bookmarkEnd w:id="49"/>
      <w:bookmarkEnd w:id="50"/>
      <w:bookmarkEnd w:id="51"/>
    </w:p>
    <w:p w14:paraId="2A7EE531">
      <w:pPr>
        <w:pStyle w:val="6"/>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1.项目说明</w:t>
      </w:r>
    </w:p>
    <w:p w14:paraId="36A8347F">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本项目按照中华人民共和国有关法律、行政法规和部门规章以及采购人的采购管理制度，通过竞争性磋商方式确定签约供应商。</w:t>
      </w:r>
    </w:p>
    <w:p w14:paraId="71E258D7">
      <w:pPr>
        <w:pStyle w:val="6"/>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2.采购范围</w:t>
      </w:r>
    </w:p>
    <w:p w14:paraId="3F3C274A">
      <w:pPr>
        <w:tabs>
          <w:tab w:val="left" w:pos="3150"/>
          <w:tab w:val="left" w:pos="3780"/>
        </w:tabs>
        <w:spacing w:line="360" w:lineRule="auto"/>
        <w:jc w:val="left"/>
        <w:rPr>
          <w:rFonts w:hint="eastAsia" w:ascii="仿宋" w:hAnsi="仿宋" w:eastAsia="仿宋" w:cs="仿宋"/>
          <w:bCs/>
          <w:color w:val="000000"/>
          <w:sz w:val="24"/>
          <w:highlight w:val="none"/>
        </w:rPr>
      </w:pPr>
      <w:r>
        <w:rPr>
          <w:rFonts w:hint="eastAsia" w:ascii="仿宋" w:hAnsi="仿宋" w:eastAsia="仿宋" w:cs="仿宋"/>
          <w:color w:val="000000"/>
          <w:sz w:val="24"/>
          <w:highlight w:val="none"/>
          <w:u w:val="single"/>
        </w:rPr>
        <w:t>详见本须知前附表</w:t>
      </w:r>
      <w:r>
        <w:rPr>
          <w:rFonts w:hint="eastAsia" w:ascii="仿宋" w:hAnsi="仿宋" w:eastAsia="仿宋" w:cs="仿宋"/>
          <w:color w:val="000000"/>
          <w:sz w:val="24"/>
          <w:highlight w:val="none"/>
        </w:rPr>
        <w:t>，</w:t>
      </w:r>
      <w:r>
        <w:rPr>
          <w:rFonts w:hint="eastAsia" w:ascii="仿宋" w:hAnsi="仿宋" w:eastAsia="仿宋" w:cs="仿宋"/>
          <w:bCs/>
          <w:color w:val="000000"/>
          <w:sz w:val="24"/>
          <w:highlight w:val="none"/>
        </w:rPr>
        <w:t>详细内容详见第五章采购需求。</w:t>
      </w:r>
    </w:p>
    <w:p w14:paraId="61620BBD">
      <w:pPr>
        <w:pStyle w:val="6"/>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3.资金来源</w:t>
      </w:r>
    </w:p>
    <w:p w14:paraId="29001F17">
      <w:pPr>
        <w:tabs>
          <w:tab w:val="left" w:pos="3150"/>
          <w:tab w:val="left" w:pos="3780"/>
        </w:tabs>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资金来源于采购人或其子公司（含分支机构）自筹（比例100%），且资金已落实。</w:t>
      </w:r>
    </w:p>
    <w:p w14:paraId="64D911A6">
      <w:pPr>
        <w:pStyle w:val="6"/>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4.资格审查</w:t>
      </w:r>
    </w:p>
    <w:p w14:paraId="2AAAE484">
      <w:pPr>
        <w:widowControl/>
        <w:topLinePunct/>
        <w:spacing w:line="360" w:lineRule="auto"/>
        <w:rPr>
          <w:rFonts w:hint="eastAsia" w:ascii="仿宋" w:hAnsi="仿宋" w:eastAsia="仿宋" w:cs="宋体"/>
          <w:color w:val="000000"/>
          <w:kern w:val="0"/>
          <w:sz w:val="24"/>
          <w:highlight w:val="none"/>
        </w:rPr>
      </w:pPr>
      <w:r>
        <w:rPr>
          <w:rFonts w:ascii="仿宋" w:hAnsi="仿宋" w:eastAsia="仿宋" w:cs="宋体"/>
          <w:color w:val="000000"/>
          <w:kern w:val="0"/>
          <w:sz w:val="24"/>
          <w:highlight w:val="none"/>
        </w:rPr>
        <w:t>4.1</w:t>
      </w:r>
      <w:r>
        <w:rPr>
          <w:rFonts w:hint="eastAsia" w:ascii="仿宋" w:hAnsi="仿宋" w:eastAsia="仿宋" w:cs="宋体"/>
          <w:color w:val="000000"/>
          <w:kern w:val="0"/>
          <w:sz w:val="24"/>
          <w:highlight w:val="none"/>
        </w:rPr>
        <w:t>资格预审：是指在递交响应文件前对潜在供应商进行的资格审查。采用资格预审方式的，资格条件已经在磋商文件发出前的资格预审文件中作出规定。</w:t>
      </w:r>
    </w:p>
    <w:p w14:paraId="0C1FE97F">
      <w:pPr>
        <w:widowControl/>
        <w:topLinePunct/>
        <w:spacing w:line="360" w:lineRule="auto"/>
        <w:rPr>
          <w:rFonts w:hint="eastAsia" w:ascii="仿宋" w:hAnsi="仿宋" w:eastAsia="仿宋" w:cs="宋体"/>
          <w:color w:val="000000"/>
          <w:kern w:val="0"/>
          <w:sz w:val="24"/>
          <w:highlight w:val="none"/>
        </w:rPr>
      </w:pPr>
      <w:r>
        <w:rPr>
          <w:rFonts w:ascii="仿宋" w:hAnsi="仿宋" w:eastAsia="仿宋" w:cs="宋体"/>
          <w:color w:val="000000"/>
          <w:kern w:val="0"/>
          <w:sz w:val="24"/>
          <w:highlight w:val="none"/>
        </w:rPr>
        <w:t>4</w:t>
      </w:r>
      <w:r>
        <w:rPr>
          <w:rFonts w:hint="eastAsia" w:ascii="仿宋" w:hAnsi="仿宋" w:eastAsia="仿宋" w:cs="宋体"/>
          <w:color w:val="000000"/>
          <w:kern w:val="0"/>
          <w:sz w:val="24"/>
          <w:highlight w:val="none"/>
        </w:rPr>
        <w:t>.2资格后审：是指在首次响应文件递交截止时间后由磋商小组根据磋商文件的规定对供应商进行的资格审查。采购人应当在磋商文件中详细规定资格审查标准和方法，资格后审一般包括资格要求、其他业绩要求、审查标准和方法。本项目资格审查方式、供应商应具备的资格条件</w:t>
      </w:r>
      <w:r>
        <w:rPr>
          <w:rFonts w:hint="eastAsia" w:ascii="仿宋" w:hAnsi="仿宋" w:eastAsia="仿宋" w:cs="宋体"/>
          <w:color w:val="000000"/>
          <w:kern w:val="0"/>
          <w:sz w:val="24"/>
          <w:highlight w:val="none"/>
          <w:u w:val="single"/>
        </w:rPr>
        <w:t>详见本须知前附表。</w:t>
      </w:r>
    </w:p>
    <w:p w14:paraId="791397BF">
      <w:pPr>
        <w:pStyle w:val="6"/>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5.磋商响应费用</w:t>
      </w:r>
    </w:p>
    <w:p w14:paraId="56E6D9F4">
      <w:pPr>
        <w:spacing w:line="360" w:lineRule="auto"/>
        <w:textAlignment w:val="baseline"/>
        <w:rPr>
          <w:rFonts w:hint="eastAsia" w:ascii="仿宋" w:hAnsi="仿宋" w:eastAsia="仿宋" w:cs="宋体"/>
          <w:color w:val="000000"/>
          <w:sz w:val="24"/>
          <w:highlight w:val="none"/>
        </w:rPr>
      </w:pPr>
      <w:r>
        <w:rPr>
          <w:rFonts w:hint="eastAsia" w:ascii="仿宋" w:hAnsi="仿宋" w:eastAsia="仿宋" w:cs="宋体"/>
          <w:color w:val="000000"/>
          <w:sz w:val="24"/>
          <w:highlight w:val="none"/>
        </w:rPr>
        <w:t>不论结果如何，</w:t>
      </w:r>
      <w:r>
        <w:rPr>
          <w:rFonts w:hint="eastAsia" w:ascii="仿宋" w:hAnsi="仿宋" w:eastAsia="仿宋" w:cs="仿宋"/>
          <w:color w:val="000000"/>
          <w:sz w:val="24"/>
          <w:highlight w:val="none"/>
        </w:rPr>
        <w:t>供应商</w:t>
      </w:r>
      <w:r>
        <w:rPr>
          <w:rFonts w:hint="eastAsia" w:ascii="仿宋" w:hAnsi="仿宋" w:eastAsia="仿宋" w:cs="宋体"/>
          <w:color w:val="000000"/>
          <w:sz w:val="24"/>
          <w:highlight w:val="none"/>
        </w:rPr>
        <w:t>自行承担所有准备和参与本次磋商响应的有关费用。</w:t>
      </w:r>
    </w:p>
    <w:p w14:paraId="36EEDCF9">
      <w:pPr>
        <w:pStyle w:val="5"/>
        <w:spacing w:after="0" w:line="360" w:lineRule="auto"/>
        <w:ind w:firstLine="482"/>
        <w:rPr>
          <w:rFonts w:hint="eastAsia" w:ascii="仿宋" w:hAnsi="仿宋" w:eastAsia="仿宋" w:cs="仿宋"/>
          <w:color w:val="000000"/>
          <w:sz w:val="24"/>
          <w:szCs w:val="24"/>
          <w:highlight w:val="none"/>
        </w:rPr>
      </w:pPr>
      <w:bookmarkStart w:id="52" w:name="_Toc19783315"/>
      <w:bookmarkStart w:id="53" w:name="_Toc10975"/>
      <w:bookmarkStart w:id="54" w:name="_Toc25513"/>
      <w:bookmarkStart w:id="55" w:name="_Toc3104"/>
      <w:bookmarkStart w:id="56" w:name="_Toc444891338"/>
      <w:bookmarkStart w:id="57" w:name="_Toc3016"/>
      <w:bookmarkStart w:id="58" w:name="_Toc517281818"/>
      <w:bookmarkStart w:id="59" w:name="_Toc287600120"/>
      <w:bookmarkStart w:id="60" w:name="_Toc24246"/>
      <w:bookmarkStart w:id="61" w:name="_Toc5255"/>
      <w:r>
        <w:rPr>
          <w:rFonts w:hint="eastAsia" w:ascii="仿宋" w:hAnsi="仿宋" w:eastAsia="仿宋" w:cs="仿宋"/>
          <w:color w:val="000000"/>
          <w:sz w:val="24"/>
          <w:szCs w:val="24"/>
          <w:highlight w:val="none"/>
        </w:rPr>
        <w:t>（二）磋商文件</w:t>
      </w:r>
      <w:bookmarkEnd w:id="52"/>
      <w:bookmarkEnd w:id="53"/>
      <w:bookmarkEnd w:id="54"/>
      <w:bookmarkEnd w:id="55"/>
      <w:bookmarkEnd w:id="56"/>
      <w:bookmarkEnd w:id="57"/>
      <w:bookmarkEnd w:id="58"/>
      <w:bookmarkEnd w:id="59"/>
      <w:bookmarkEnd w:id="60"/>
      <w:bookmarkEnd w:id="61"/>
    </w:p>
    <w:p w14:paraId="7F04DDA1">
      <w:pPr>
        <w:pStyle w:val="6"/>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6.磋商文件的组成</w:t>
      </w:r>
    </w:p>
    <w:p w14:paraId="3807931D">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6.1磋商文件包括下列内容：</w:t>
      </w:r>
    </w:p>
    <w:p w14:paraId="3BA05ABA">
      <w:pPr>
        <w:pStyle w:val="23"/>
        <w:widowControl/>
        <w:spacing w:line="360" w:lineRule="auto"/>
        <w:ind w:left="0" w:leftChars="0" w:firstLine="480" w:firstLineChars="200"/>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第一章 竞争性磋商公告</w:t>
      </w:r>
    </w:p>
    <w:p w14:paraId="79F2D123">
      <w:pPr>
        <w:pStyle w:val="23"/>
        <w:widowControl/>
        <w:spacing w:line="360" w:lineRule="auto"/>
        <w:ind w:left="0" w:leftChars="0" w:firstLine="480" w:firstLineChars="200"/>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第二章 供应商须知</w:t>
      </w:r>
    </w:p>
    <w:p w14:paraId="37493CFC">
      <w:pPr>
        <w:pStyle w:val="23"/>
        <w:widowControl/>
        <w:spacing w:line="360" w:lineRule="auto"/>
        <w:ind w:left="0" w:leftChars="0" w:firstLine="480" w:firstLineChars="200"/>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第三章 评审办法</w:t>
      </w:r>
    </w:p>
    <w:p w14:paraId="4B4BF711">
      <w:pPr>
        <w:pStyle w:val="23"/>
        <w:widowControl/>
        <w:spacing w:line="360" w:lineRule="auto"/>
        <w:ind w:left="0" w:leftChars="0" w:firstLine="480" w:firstLineChars="200"/>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第四章 合同格式</w:t>
      </w:r>
    </w:p>
    <w:p w14:paraId="0B768687">
      <w:pPr>
        <w:tabs>
          <w:tab w:val="left" w:pos="540"/>
          <w:tab w:val="left" w:pos="720"/>
        </w:tabs>
        <w:spacing w:line="360" w:lineRule="auto"/>
        <w:ind w:firstLine="480" w:firstLineChars="200"/>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第五章 采购需求</w:t>
      </w:r>
    </w:p>
    <w:p w14:paraId="07EBC732">
      <w:pPr>
        <w:tabs>
          <w:tab w:val="left" w:pos="540"/>
          <w:tab w:val="left" w:pos="720"/>
        </w:tabs>
        <w:spacing w:line="360" w:lineRule="auto"/>
        <w:ind w:firstLine="480" w:firstLineChars="200"/>
        <w:jc w:val="left"/>
        <w:rPr>
          <w:rFonts w:ascii="仿宋" w:hAnsi="仿宋" w:eastAsia="仿宋" w:cs="仿宋"/>
          <w:color w:val="000000"/>
          <w:sz w:val="24"/>
          <w:highlight w:val="none"/>
        </w:rPr>
      </w:pPr>
      <w:r>
        <w:rPr>
          <w:rFonts w:hint="eastAsia" w:ascii="仿宋" w:hAnsi="仿宋" w:eastAsia="仿宋" w:cs="仿宋"/>
          <w:color w:val="000000"/>
          <w:sz w:val="24"/>
          <w:highlight w:val="none"/>
        </w:rPr>
        <w:t>第六章 响应文件格式</w:t>
      </w:r>
    </w:p>
    <w:p w14:paraId="1F6DC9C4">
      <w:pPr>
        <w:widowControl/>
        <w:topLinePunct/>
        <w:spacing w:line="360" w:lineRule="auto"/>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rPr>
        <w:t>6.</w:t>
      </w:r>
      <w:r>
        <w:rPr>
          <w:rFonts w:ascii="仿宋" w:hAnsi="仿宋" w:eastAsia="仿宋" w:cs="仿宋"/>
          <w:color w:val="000000"/>
          <w:kern w:val="0"/>
          <w:sz w:val="24"/>
          <w:highlight w:val="none"/>
        </w:rPr>
        <w:t>2</w:t>
      </w:r>
      <w:r>
        <w:rPr>
          <w:rFonts w:hint="eastAsia" w:ascii="仿宋" w:hAnsi="仿宋" w:eastAsia="仿宋" w:cs="仿宋"/>
          <w:color w:val="000000"/>
          <w:kern w:val="0"/>
          <w:sz w:val="24"/>
          <w:highlight w:val="none"/>
        </w:rPr>
        <w:t>采购人在磋商文件中以显著的方式标明实质性要求、条件以及不满足实质性要求和条件的响应文件将被否决的提示。实质性标识方式和具体要求</w:t>
      </w:r>
      <w:r>
        <w:rPr>
          <w:rFonts w:hint="eastAsia" w:ascii="仿宋" w:hAnsi="仿宋" w:eastAsia="仿宋" w:cs="仿宋"/>
          <w:color w:val="000000"/>
          <w:kern w:val="0"/>
          <w:sz w:val="24"/>
          <w:highlight w:val="none"/>
          <w:u w:val="single"/>
        </w:rPr>
        <w:t>见本须知前附表</w:t>
      </w:r>
      <w:r>
        <w:rPr>
          <w:rFonts w:hint="eastAsia" w:ascii="仿宋" w:hAnsi="仿宋" w:eastAsia="仿宋" w:cs="仿宋"/>
          <w:color w:val="000000"/>
          <w:kern w:val="0"/>
          <w:sz w:val="24"/>
          <w:highlight w:val="none"/>
        </w:rPr>
        <w:t>。</w:t>
      </w:r>
    </w:p>
    <w:p w14:paraId="20592FAE">
      <w:pPr>
        <w:pStyle w:val="6"/>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7.磋商文件的修改</w:t>
      </w:r>
    </w:p>
    <w:p w14:paraId="78888E03">
      <w:pPr>
        <w:widowControl/>
        <w:topLinePunct/>
        <w:spacing w:line="360" w:lineRule="auto"/>
        <w:rPr>
          <w:rFonts w:ascii="仿宋" w:hAnsi="仿宋" w:eastAsia="仿宋" w:cs="宋体"/>
          <w:color w:val="000000"/>
          <w:kern w:val="0"/>
          <w:sz w:val="24"/>
          <w:highlight w:val="none"/>
        </w:rPr>
      </w:pPr>
      <w:r>
        <w:rPr>
          <w:rFonts w:hint="eastAsia" w:ascii="仿宋" w:hAnsi="仿宋" w:eastAsia="仿宋" w:cs="仿宋"/>
          <w:color w:val="000000"/>
          <w:sz w:val="24"/>
          <w:highlight w:val="none"/>
        </w:rPr>
        <w:t>7.1潜在</w:t>
      </w:r>
      <w:r>
        <w:rPr>
          <w:rFonts w:hint="eastAsia" w:ascii="仿宋" w:hAnsi="仿宋" w:eastAsia="仿宋" w:cs="宋体"/>
          <w:color w:val="000000"/>
          <w:kern w:val="0"/>
          <w:sz w:val="24"/>
          <w:highlight w:val="none"/>
        </w:rPr>
        <w:t>供应商对</w:t>
      </w:r>
      <w:r>
        <w:rPr>
          <w:rFonts w:hint="eastAsia" w:ascii="仿宋" w:hAnsi="仿宋" w:eastAsia="仿宋" w:cs="仿宋"/>
          <w:color w:val="000000"/>
          <w:sz w:val="24"/>
          <w:highlight w:val="none"/>
        </w:rPr>
        <w:t>磋商文件</w:t>
      </w:r>
      <w:r>
        <w:rPr>
          <w:rFonts w:hint="eastAsia" w:ascii="仿宋" w:hAnsi="仿宋" w:eastAsia="仿宋" w:cs="宋体"/>
          <w:color w:val="000000"/>
          <w:kern w:val="0"/>
          <w:sz w:val="24"/>
          <w:highlight w:val="none"/>
        </w:rPr>
        <w:t>有疑问的，应当按照</w:t>
      </w:r>
      <w:r>
        <w:rPr>
          <w:rFonts w:hint="eastAsia" w:ascii="仿宋" w:hAnsi="仿宋" w:eastAsia="仿宋" w:cs="宋体"/>
          <w:color w:val="000000"/>
          <w:kern w:val="0"/>
          <w:sz w:val="24"/>
          <w:highlight w:val="none"/>
          <w:u w:val="single"/>
        </w:rPr>
        <w:t>本须知前附表</w:t>
      </w:r>
      <w:r>
        <w:rPr>
          <w:rFonts w:hint="eastAsia" w:ascii="仿宋" w:hAnsi="仿宋" w:eastAsia="仿宋" w:cs="宋体"/>
          <w:color w:val="000000"/>
          <w:kern w:val="0"/>
          <w:sz w:val="24"/>
          <w:highlight w:val="none"/>
        </w:rPr>
        <w:t>规定的时间和方式，要求采购人对</w:t>
      </w:r>
      <w:r>
        <w:rPr>
          <w:rFonts w:hint="eastAsia" w:ascii="仿宋" w:hAnsi="仿宋" w:eastAsia="仿宋" w:cs="仿宋"/>
          <w:color w:val="000000"/>
          <w:sz w:val="24"/>
          <w:highlight w:val="none"/>
        </w:rPr>
        <w:t>磋商文件</w:t>
      </w:r>
      <w:r>
        <w:rPr>
          <w:rFonts w:hint="eastAsia" w:ascii="仿宋" w:hAnsi="仿宋" w:eastAsia="仿宋" w:cs="宋体"/>
          <w:color w:val="000000"/>
          <w:kern w:val="0"/>
          <w:sz w:val="24"/>
          <w:highlight w:val="none"/>
        </w:rPr>
        <w:t>进行澄清。</w:t>
      </w:r>
    </w:p>
    <w:p w14:paraId="36DEE808">
      <w:pPr>
        <w:widowControl/>
        <w:topLinePunct/>
        <w:spacing w:line="360" w:lineRule="auto"/>
        <w:rPr>
          <w:rFonts w:hint="eastAsia" w:ascii="仿宋" w:hAnsi="仿宋" w:eastAsia="仿宋" w:cs="宋体"/>
          <w:color w:val="000000"/>
          <w:kern w:val="0"/>
          <w:sz w:val="24"/>
          <w:highlight w:val="none"/>
        </w:rPr>
      </w:pPr>
      <w:r>
        <w:rPr>
          <w:rFonts w:ascii="仿宋" w:hAnsi="仿宋" w:eastAsia="仿宋" w:cs="宋体"/>
          <w:color w:val="000000"/>
          <w:kern w:val="0"/>
          <w:sz w:val="24"/>
          <w:highlight w:val="none"/>
        </w:rPr>
        <w:t>7.2</w:t>
      </w:r>
      <w:r>
        <w:rPr>
          <w:rFonts w:hint="eastAsia" w:ascii="仿宋" w:hAnsi="仿宋" w:eastAsia="仿宋" w:cs="仿宋"/>
          <w:color w:val="000000"/>
          <w:sz w:val="24"/>
          <w:highlight w:val="none"/>
        </w:rPr>
        <w:t>采购人在响应文件递交截止时间前，可以书面形式发出的对磋商文件的澄清或修改内容，</w:t>
      </w:r>
      <w:r>
        <w:rPr>
          <w:rFonts w:hint="eastAsia" w:ascii="仿宋" w:hAnsi="仿宋" w:eastAsia="仿宋" w:cs="宋体"/>
          <w:color w:val="000000"/>
          <w:kern w:val="0"/>
          <w:sz w:val="24"/>
          <w:highlight w:val="none"/>
        </w:rPr>
        <w:t>如澄清或修改的内容可能影响响应文件编制的，原则上应当在响应文件递交截止之日3个工作日前，以书面形式通知所有获取</w:t>
      </w:r>
      <w:r>
        <w:rPr>
          <w:rFonts w:hint="eastAsia" w:ascii="仿宋" w:hAnsi="仿宋" w:eastAsia="仿宋" w:cs="仿宋"/>
          <w:color w:val="000000"/>
          <w:sz w:val="24"/>
          <w:highlight w:val="none"/>
        </w:rPr>
        <w:t>磋商文件</w:t>
      </w:r>
      <w:r>
        <w:rPr>
          <w:rFonts w:hint="eastAsia" w:ascii="仿宋" w:hAnsi="仿宋" w:eastAsia="仿宋" w:cs="宋体"/>
          <w:color w:val="000000"/>
          <w:kern w:val="0"/>
          <w:sz w:val="24"/>
          <w:highlight w:val="none"/>
        </w:rPr>
        <w:t>的潜在供应商，不足3个工作日的，原则上应顺延响应文件递交截止时间。</w:t>
      </w:r>
    </w:p>
    <w:p w14:paraId="72084F09">
      <w:pPr>
        <w:widowControl/>
        <w:topLinePunct/>
        <w:spacing w:line="360" w:lineRule="auto"/>
        <w:rPr>
          <w:rFonts w:hint="eastAsia" w:ascii="仿宋" w:hAnsi="仿宋" w:eastAsia="仿宋" w:cs="宋体"/>
          <w:color w:val="000000"/>
          <w:kern w:val="0"/>
          <w:sz w:val="24"/>
          <w:highlight w:val="none"/>
        </w:rPr>
      </w:pPr>
      <w:r>
        <w:rPr>
          <w:rFonts w:hint="eastAsia" w:ascii="仿宋" w:hAnsi="仿宋" w:eastAsia="仿宋" w:cs="宋体"/>
          <w:color w:val="000000"/>
          <w:kern w:val="0"/>
          <w:sz w:val="24"/>
          <w:highlight w:val="none"/>
        </w:rPr>
        <w:t>7.</w:t>
      </w:r>
      <w:r>
        <w:rPr>
          <w:rFonts w:ascii="仿宋" w:hAnsi="仿宋" w:eastAsia="仿宋" w:cs="宋体"/>
          <w:color w:val="000000"/>
          <w:kern w:val="0"/>
          <w:sz w:val="24"/>
          <w:highlight w:val="none"/>
        </w:rPr>
        <w:t>3</w:t>
      </w:r>
      <w:r>
        <w:rPr>
          <w:rFonts w:hint="eastAsia" w:ascii="仿宋" w:hAnsi="仿宋" w:eastAsia="仿宋" w:cs="宋体"/>
          <w:color w:val="000000"/>
          <w:kern w:val="0"/>
          <w:sz w:val="24"/>
          <w:highlight w:val="none"/>
        </w:rPr>
        <w:t xml:space="preserve">  供应商收到澄清或修改后，应当按照供应商须知前附表规定的时间和方式通知采购人，确认已收到该澄清或修改。</w:t>
      </w:r>
    </w:p>
    <w:p w14:paraId="19F1BDFE">
      <w:pPr>
        <w:spacing w:line="360" w:lineRule="auto"/>
        <w:jc w:val="left"/>
        <w:rPr>
          <w:rFonts w:ascii="仿宋" w:hAnsi="仿宋" w:eastAsia="仿宋" w:cs="仿宋"/>
          <w:color w:val="000000"/>
          <w:sz w:val="24"/>
          <w:highlight w:val="none"/>
        </w:rPr>
      </w:pPr>
      <w:r>
        <w:rPr>
          <w:rFonts w:hint="eastAsia" w:ascii="仿宋" w:hAnsi="仿宋" w:eastAsia="仿宋" w:cs="宋体"/>
          <w:color w:val="000000"/>
          <w:kern w:val="0"/>
          <w:sz w:val="24"/>
          <w:highlight w:val="none"/>
        </w:rPr>
        <w:t>7</w:t>
      </w:r>
      <w:r>
        <w:rPr>
          <w:rFonts w:ascii="仿宋" w:hAnsi="仿宋" w:eastAsia="仿宋" w:cs="宋体"/>
          <w:color w:val="000000"/>
          <w:kern w:val="0"/>
          <w:sz w:val="24"/>
          <w:highlight w:val="none"/>
        </w:rPr>
        <w:t>.</w:t>
      </w:r>
      <w:r>
        <w:rPr>
          <w:rFonts w:hint="eastAsia" w:ascii="仿宋" w:hAnsi="仿宋" w:eastAsia="仿宋" w:cs="宋体"/>
          <w:color w:val="000000"/>
          <w:kern w:val="0"/>
          <w:sz w:val="24"/>
          <w:highlight w:val="none"/>
        </w:rPr>
        <w:t>4</w:t>
      </w:r>
      <w:r>
        <w:rPr>
          <w:rFonts w:hint="eastAsia" w:ascii="仿宋" w:hAnsi="仿宋" w:eastAsia="仿宋" w:cs="仿宋"/>
          <w:color w:val="000000"/>
          <w:sz w:val="24"/>
          <w:highlight w:val="none"/>
        </w:rPr>
        <w:t xml:space="preserve"> </w:t>
      </w:r>
      <w:r>
        <w:rPr>
          <w:rFonts w:hint="eastAsia" w:ascii="仿宋" w:hAnsi="仿宋" w:eastAsia="仿宋" w:cs="宋体"/>
          <w:color w:val="000000"/>
          <w:kern w:val="0"/>
          <w:sz w:val="24"/>
          <w:highlight w:val="none"/>
        </w:rPr>
        <w:t>所有关于</w:t>
      </w:r>
      <w:r>
        <w:rPr>
          <w:rFonts w:hint="eastAsia" w:ascii="仿宋" w:hAnsi="仿宋" w:eastAsia="仿宋" w:cs="仿宋"/>
          <w:color w:val="000000"/>
          <w:sz w:val="24"/>
          <w:highlight w:val="none"/>
        </w:rPr>
        <w:t>磋商文件</w:t>
      </w:r>
      <w:r>
        <w:rPr>
          <w:rFonts w:hint="eastAsia" w:ascii="仿宋" w:hAnsi="仿宋" w:eastAsia="仿宋" w:cs="宋体"/>
          <w:color w:val="000000"/>
          <w:kern w:val="0"/>
          <w:sz w:val="24"/>
          <w:highlight w:val="none"/>
        </w:rPr>
        <w:t>的澄清和修改均作为</w:t>
      </w:r>
      <w:r>
        <w:rPr>
          <w:rFonts w:hint="eastAsia" w:ascii="仿宋" w:hAnsi="仿宋" w:eastAsia="仿宋" w:cs="仿宋"/>
          <w:color w:val="000000"/>
          <w:sz w:val="24"/>
          <w:highlight w:val="none"/>
        </w:rPr>
        <w:t>磋商文件</w:t>
      </w:r>
      <w:r>
        <w:rPr>
          <w:rFonts w:hint="eastAsia" w:ascii="仿宋" w:hAnsi="仿宋" w:eastAsia="仿宋" w:cs="宋体"/>
          <w:color w:val="000000"/>
          <w:kern w:val="0"/>
          <w:sz w:val="24"/>
          <w:highlight w:val="none"/>
        </w:rPr>
        <w:t>的补充部分。</w:t>
      </w:r>
      <w:r>
        <w:rPr>
          <w:rFonts w:hint="eastAsia" w:ascii="仿宋" w:hAnsi="仿宋" w:eastAsia="仿宋" w:cs="仿宋"/>
          <w:color w:val="000000"/>
          <w:sz w:val="24"/>
          <w:highlight w:val="none"/>
        </w:rPr>
        <w:t>当磋商文件、磋商文件的澄清或修改等在同一内容的表述上不一致时，以最后发出的书面文件为准。</w:t>
      </w:r>
    </w:p>
    <w:p w14:paraId="780EDCB1">
      <w:pPr>
        <w:pStyle w:val="6"/>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8.磋商响应预备会</w:t>
      </w:r>
    </w:p>
    <w:p w14:paraId="65D570F0">
      <w:pPr>
        <w:spacing w:line="360" w:lineRule="auto"/>
        <w:textAlignment w:val="baseline"/>
        <w:rPr>
          <w:rFonts w:hint="eastAsia" w:ascii="仿宋" w:hAnsi="仿宋" w:eastAsia="仿宋" w:cs="宋体"/>
          <w:color w:val="000000"/>
          <w:sz w:val="24"/>
          <w:highlight w:val="none"/>
          <w:u w:val="single"/>
          <w:lang w:eastAsia="zh-CN"/>
        </w:rPr>
      </w:pPr>
      <w:r>
        <w:rPr>
          <w:rFonts w:hint="eastAsia" w:ascii="仿宋" w:hAnsi="仿宋" w:eastAsia="仿宋" w:cs="宋体"/>
          <w:color w:val="000000"/>
          <w:sz w:val="24"/>
          <w:highlight w:val="none"/>
        </w:rPr>
        <w:t>采购人认为必要时，将召开磋商响应预备会(答疑会)，公开解答潜在供应商对磋商文件提出的疑问</w:t>
      </w:r>
      <w:r>
        <w:rPr>
          <w:rFonts w:hint="eastAsia" w:ascii="仿宋" w:hAnsi="仿宋" w:eastAsia="仿宋" w:cs="宋体"/>
          <w:color w:val="000000"/>
          <w:sz w:val="24"/>
          <w:highlight w:val="none"/>
          <w:lang w:eastAsia="zh-CN"/>
        </w:rPr>
        <w:t>。</w:t>
      </w:r>
    </w:p>
    <w:p w14:paraId="35B3A2F2">
      <w:pPr>
        <w:pStyle w:val="5"/>
        <w:numPr>
          <w:ilvl w:val="0"/>
          <w:numId w:val="0"/>
        </w:numPr>
        <w:spacing w:after="0" w:line="360" w:lineRule="auto"/>
        <w:jc w:val="center"/>
        <w:rPr>
          <w:rFonts w:hint="eastAsia" w:ascii="仿宋" w:hAnsi="仿宋" w:eastAsia="仿宋" w:cs="仿宋"/>
          <w:color w:val="000000"/>
          <w:sz w:val="24"/>
          <w:szCs w:val="24"/>
          <w:highlight w:val="none"/>
        </w:rPr>
      </w:pPr>
      <w:bookmarkStart w:id="62" w:name="_Toc19783316"/>
      <w:bookmarkStart w:id="63" w:name="_Toc517281819"/>
      <w:bookmarkStart w:id="64" w:name="_Toc16985"/>
      <w:bookmarkStart w:id="65" w:name="_Toc27563"/>
      <w:bookmarkStart w:id="66" w:name="_Toc287600121"/>
      <w:bookmarkStart w:id="67" w:name="_Toc13691"/>
      <w:bookmarkStart w:id="68" w:name="_Toc14308"/>
      <w:bookmarkStart w:id="69" w:name="_Toc12074"/>
      <w:bookmarkStart w:id="70" w:name="_Toc444891339"/>
      <w:bookmarkStart w:id="71" w:name="_Toc27642"/>
      <w:r>
        <w:rPr>
          <w:rFonts w:hint="eastAsia" w:ascii="仿宋" w:hAnsi="仿宋" w:eastAsia="仿宋" w:cs="仿宋"/>
          <w:color w:val="000000"/>
          <w:sz w:val="24"/>
          <w:szCs w:val="24"/>
          <w:highlight w:val="none"/>
        </w:rPr>
        <w:t>（三）响应文件</w:t>
      </w:r>
      <w:bookmarkEnd w:id="62"/>
      <w:bookmarkEnd w:id="63"/>
      <w:bookmarkEnd w:id="64"/>
      <w:bookmarkEnd w:id="65"/>
      <w:bookmarkEnd w:id="66"/>
      <w:bookmarkEnd w:id="67"/>
      <w:bookmarkEnd w:id="68"/>
      <w:bookmarkEnd w:id="69"/>
      <w:bookmarkEnd w:id="70"/>
      <w:bookmarkEnd w:id="71"/>
    </w:p>
    <w:p w14:paraId="1534B66A">
      <w:pPr>
        <w:pStyle w:val="6"/>
        <w:spacing w:before="0" w:after="0" w:line="360" w:lineRule="auto"/>
        <w:jc w:val="left"/>
        <w:rPr>
          <w:rFonts w:hint="eastAsia" w:ascii="仿宋" w:hAnsi="仿宋" w:eastAsia="仿宋" w:cs="仿宋"/>
          <w:color w:val="000000"/>
          <w:sz w:val="24"/>
          <w:szCs w:val="24"/>
          <w:highlight w:val="none"/>
        </w:rPr>
      </w:pPr>
      <w:r>
        <w:rPr>
          <w:rFonts w:ascii="仿宋" w:hAnsi="仿宋" w:eastAsia="仿宋" w:cs="仿宋"/>
          <w:color w:val="000000"/>
          <w:sz w:val="24"/>
          <w:szCs w:val="24"/>
          <w:highlight w:val="none"/>
        </w:rPr>
        <w:t>9</w:t>
      </w:r>
      <w:r>
        <w:rPr>
          <w:rFonts w:hint="eastAsia" w:ascii="仿宋" w:hAnsi="仿宋" w:eastAsia="仿宋" w:cs="仿宋"/>
          <w:color w:val="000000"/>
          <w:sz w:val="24"/>
          <w:szCs w:val="24"/>
          <w:highlight w:val="none"/>
        </w:rPr>
        <w:t>.响应文件的组成</w:t>
      </w:r>
    </w:p>
    <w:p w14:paraId="56DEDECB">
      <w:pPr>
        <w:spacing w:line="360" w:lineRule="auto"/>
        <w:jc w:val="left"/>
        <w:rPr>
          <w:rFonts w:hint="eastAsia" w:ascii="仿宋" w:hAnsi="仿宋" w:eastAsia="仿宋" w:cs="仿宋"/>
          <w:color w:val="000000"/>
          <w:sz w:val="24"/>
          <w:highlight w:val="none"/>
        </w:rPr>
      </w:pPr>
      <w:r>
        <w:rPr>
          <w:rFonts w:hint="eastAsia" w:ascii="仿宋" w:hAnsi="仿宋" w:eastAsia="仿宋" w:cs="宋体"/>
          <w:color w:val="000000"/>
          <w:sz w:val="24"/>
          <w:highlight w:val="none"/>
        </w:rPr>
        <w:t>供应商应当按照供应商须知前附表的要求制作并提交响应文件，具体组成</w:t>
      </w:r>
      <w:r>
        <w:rPr>
          <w:rFonts w:hint="eastAsia" w:ascii="仿宋" w:hAnsi="仿宋" w:eastAsia="仿宋" w:cs="仿宋"/>
          <w:color w:val="000000"/>
          <w:sz w:val="24"/>
          <w:highlight w:val="none"/>
          <w:u w:val="single"/>
        </w:rPr>
        <w:t>见本须知前附表</w:t>
      </w:r>
      <w:r>
        <w:rPr>
          <w:rFonts w:hint="eastAsia" w:ascii="仿宋" w:hAnsi="仿宋" w:eastAsia="仿宋" w:cs="仿宋"/>
          <w:color w:val="000000"/>
          <w:sz w:val="24"/>
          <w:highlight w:val="none"/>
        </w:rPr>
        <w:t>。</w:t>
      </w:r>
    </w:p>
    <w:p w14:paraId="1619CF24">
      <w:pPr>
        <w:pStyle w:val="6"/>
        <w:spacing w:before="0" w:after="0" w:line="360" w:lineRule="auto"/>
        <w:jc w:val="left"/>
        <w:rPr>
          <w:rFonts w:ascii="仿宋" w:hAnsi="仿宋" w:eastAsia="仿宋" w:cs="仿宋"/>
          <w:color w:val="000000"/>
          <w:sz w:val="24"/>
          <w:szCs w:val="24"/>
          <w:highlight w:val="none"/>
        </w:rPr>
      </w:pPr>
      <w:r>
        <w:rPr>
          <w:rFonts w:ascii="仿宋" w:hAnsi="仿宋" w:eastAsia="仿宋" w:cs="仿宋"/>
          <w:color w:val="000000"/>
          <w:sz w:val="24"/>
          <w:szCs w:val="24"/>
          <w:highlight w:val="none"/>
        </w:rPr>
        <w:t>10</w:t>
      </w:r>
      <w:r>
        <w:rPr>
          <w:rFonts w:hint="eastAsia" w:ascii="仿宋" w:hAnsi="仿宋" w:eastAsia="仿宋" w:cs="仿宋"/>
          <w:color w:val="000000"/>
          <w:sz w:val="24"/>
          <w:szCs w:val="24"/>
          <w:highlight w:val="none"/>
        </w:rPr>
        <w:t>.响应文件的编制</w:t>
      </w:r>
    </w:p>
    <w:p w14:paraId="4C858209">
      <w:pPr>
        <w:widowControl/>
        <w:topLinePunct/>
        <w:spacing w:line="360" w:lineRule="auto"/>
        <w:rPr>
          <w:rFonts w:hint="eastAsia" w:ascii="仿宋" w:hAnsi="仿宋" w:eastAsia="仿宋" w:cs="宋体"/>
          <w:color w:val="000000"/>
          <w:kern w:val="0"/>
          <w:sz w:val="24"/>
          <w:highlight w:val="none"/>
        </w:rPr>
      </w:pPr>
      <w:r>
        <w:rPr>
          <w:rFonts w:ascii="仿宋" w:hAnsi="仿宋" w:eastAsia="仿宋" w:cs="宋体"/>
          <w:color w:val="000000"/>
          <w:kern w:val="0"/>
          <w:sz w:val="24"/>
          <w:highlight w:val="none"/>
        </w:rPr>
        <w:t>10</w:t>
      </w:r>
      <w:r>
        <w:rPr>
          <w:rFonts w:hint="eastAsia" w:ascii="仿宋" w:hAnsi="仿宋" w:eastAsia="仿宋" w:cs="宋体"/>
          <w:color w:val="000000"/>
          <w:kern w:val="0"/>
          <w:sz w:val="24"/>
          <w:highlight w:val="none"/>
        </w:rPr>
        <w:t xml:space="preserve">.1 供应商应当按照磋商文件的要求编制响应文件，并对其提交的响应文件的真实性、合法性承担法律责任。响应文件应当对磋商文件提出的实质性要求和条件作出响应。 </w:t>
      </w:r>
    </w:p>
    <w:p w14:paraId="6265712D">
      <w:pPr>
        <w:widowControl/>
        <w:topLinePunct/>
        <w:spacing w:line="360" w:lineRule="auto"/>
        <w:rPr>
          <w:rFonts w:ascii="仿宋" w:hAnsi="仿宋" w:eastAsia="仿宋" w:cs="宋体"/>
          <w:color w:val="000000"/>
          <w:kern w:val="0"/>
          <w:sz w:val="24"/>
          <w:highlight w:val="none"/>
        </w:rPr>
      </w:pPr>
      <w:r>
        <w:rPr>
          <w:rFonts w:ascii="仿宋" w:hAnsi="仿宋" w:eastAsia="仿宋" w:cs="宋体"/>
          <w:color w:val="000000"/>
          <w:kern w:val="0"/>
          <w:sz w:val="24"/>
          <w:highlight w:val="none"/>
        </w:rPr>
        <w:t>10</w:t>
      </w:r>
      <w:r>
        <w:rPr>
          <w:rFonts w:hint="eastAsia" w:ascii="仿宋" w:hAnsi="仿宋" w:eastAsia="仿宋" w:cs="宋体"/>
          <w:color w:val="000000"/>
          <w:kern w:val="0"/>
          <w:sz w:val="24"/>
          <w:highlight w:val="none"/>
        </w:rPr>
        <w:t xml:space="preserve">.2 供应商应认真阅读磋商文件中所有的事项、格式、条款和技术规范等。供应商没有按照磋商文件要求递交全部资料，或者供应商没有对磋商文件在各方面都作出实质性响应是供应商的风险，并可能导致其磋商响应被否决。 </w:t>
      </w:r>
    </w:p>
    <w:p w14:paraId="72A28807">
      <w:pPr>
        <w:widowControl/>
        <w:topLinePunct/>
        <w:spacing w:line="360" w:lineRule="auto"/>
        <w:rPr>
          <w:rFonts w:hint="eastAsia" w:ascii="仿宋" w:hAnsi="仿宋" w:eastAsia="仿宋" w:cs="宋体"/>
          <w:color w:val="000000"/>
          <w:kern w:val="0"/>
          <w:sz w:val="24"/>
          <w:highlight w:val="none"/>
        </w:rPr>
      </w:pPr>
      <w:r>
        <w:rPr>
          <w:rFonts w:hint="eastAsia" w:ascii="仿宋" w:hAnsi="仿宋" w:eastAsia="仿宋" w:cs="宋体"/>
          <w:color w:val="000000"/>
          <w:kern w:val="0"/>
          <w:sz w:val="24"/>
          <w:highlight w:val="none"/>
        </w:rPr>
        <w:t>1</w:t>
      </w:r>
      <w:r>
        <w:rPr>
          <w:rFonts w:ascii="仿宋" w:hAnsi="仿宋" w:eastAsia="仿宋" w:cs="宋体"/>
          <w:color w:val="000000"/>
          <w:kern w:val="0"/>
          <w:sz w:val="24"/>
          <w:highlight w:val="none"/>
        </w:rPr>
        <w:t xml:space="preserve">0.3 </w:t>
      </w:r>
      <w:r>
        <w:rPr>
          <w:rFonts w:hint="eastAsia" w:ascii="仿宋" w:hAnsi="仿宋" w:eastAsia="仿宋" w:cs="宋体"/>
          <w:color w:val="000000"/>
          <w:kern w:val="0"/>
          <w:sz w:val="24"/>
          <w:highlight w:val="none"/>
        </w:rPr>
        <w:t>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磋商文件中要求进行解释或提出建议的除外）。</w:t>
      </w:r>
    </w:p>
    <w:p w14:paraId="02C72F2A">
      <w:pPr>
        <w:widowControl/>
        <w:topLinePunct/>
        <w:spacing w:line="360" w:lineRule="auto"/>
        <w:rPr>
          <w:rFonts w:hint="eastAsia" w:ascii="仿宋" w:hAnsi="仿宋" w:eastAsia="仿宋" w:cs="宋体"/>
          <w:color w:val="000000"/>
          <w:kern w:val="0"/>
          <w:sz w:val="24"/>
          <w:highlight w:val="none"/>
        </w:rPr>
      </w:pPr>
      <w:r>
        <w:rPr>
          <w:rFonts w:hint="eastAsia" w:ascii="仿宋" w:hAnsi="仿宋" w:eastAsia="仿宋" w:cs="宋体"/>
          <w:color w:val="000000"/>
          <w:kern w:val="0"/>
          <w:sz w:val="24"/>
          <w:highlight w:val="none"/>
        </w:rPr>
        <w:t>1</w:t>
      </w:r>
      <w:r>
        <w:rPr>
          <w:rFonts w:ascii="仿宋" w:hAnsi="仿宋" w:eastAsia="仿宋" w:cs="宋体"/>
          <w:color w:val="000000"/>
          <w:kern w:val="0"/>
          <w:sz w:val="24"/>
          <w:highlight w:val="none"/>
        </w:rPr>
        <w:t xml:space="preserve">0.4 </w:t>
      </w:r>
      <w:r>
        <w:rPr>
          <w:rFonts w:hint="eastAsia" w:ascii="仿宋" w:hAnsi="仿宋" w:eastAsia="仿宋" w:cs="宋体"/>
          <w:color w:val="000000"/>
          <w:kern w:val="0"/>
          <w:sz w:val="24"/>
          <w:highlight w:val="none"/>
        </w:rPr>
        <w:t>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磋商文件中要求进行解释或提出建议的除外）。</w:t>
      </w:r>
    </w:p>
    <w:p w14:paraId="3E0E1024">
      <w:pPr>
        <w:widowControl/>
        <w:topLinePunct/>
        <w:spacing w:line="360" w:lineRule="auto"/>
        <w:rPr>
          <w:rFonts w:hint="eastAsia" w:ascii="仿宋" w:hAnsi="仿宋" w:eastAsia="仿宋" w:cs="宋体"/>
          <w:color w:val="000000"/>
          <w:kern w:val="0"/>
          <w:sz w:val="24"/>
          <w:highlight w:val="none"/>
        </w:rPr>
      </w:pPr>
      <w:r>
        <w:rPr>
          <w:rFonts w:ascii="仿宋" w:hAnsi="仿宋" w:eastAsia="仿宋" w:cs="宋体"/>
          <w:color w:val="000000"/>
          <w:kern w:val="0"/>
          <w:sz w:val="24"/>
          <w:highlight w:val="none"/>
        </w:rPr>
        <w:t>10</w:t>
      </w:r>
      <w:r>
        <w:rPr>
          <w:rFonts w:hint="eastAsia" w:ascii="仿宋" w:hAnsi="仿宋" w:eastAsia="仿宋" w:cs="宋体"/>
          <w:color w:val="000000"/>
          <w:kern w:val="0"/>
          <w:sz w:val="24"/>
          <w:highlight w:val="none"/>
        </w:rPr>
        <w:t>.</w:t>
      </w:r>
      <w:r>
        <w:rPr>
          <w:rFonts w:ascii="仿宋" w:hAnsi="仿宋" w:eastAsia="仿宋" w:cs="宋体"/>
          <w:color w:val="000000"/>
          <w:kern w:val="0"/>
          <w:sz w:val="24"/>
          <w:highlight w:val="none"/>
        </w:rPr>
        <w:t>5</w:t>
      </w:r>
      <w:r>
        <w:rPr>
          <w:rFonts w:hint="eastAsia" w:ascii="仿宋" w:hAnsi="仿宋" w:eastAsia="仿宋" w:cs="宋体"/>
          <w:color w:val="000000"/>
          <w:kern w:val="0"/>
          <w:sz w:val="24"/>
          <w:highlight w:val="none"/>
        </w:rPr>
        <w:t xml:space="preserve"> 供应商提交的响应文件以及供应商与采购人就有关磋商的所有往来函电均应使用中文。供应商提交的证明文件和印刷的文献可以使用另一种语言，但相应内容应当译成中文，在解释响应文件时以中文译本为准。</w:t>
      </w:r>
    </w:p>
    <w:p w14:paraId="5D1F794E">
      <w:pPr>
        <w:widowControl/>
        <w:topLinePunct/>
        <w:spacing w:line="360" w:lineRule="auto"/>
        <w:rPr>
          <w:rFonts w:hint="eastAsia" w:ascii="仿宋" w:hAnsi="仿宋" w:eastAsia="仿宋" w:cs="宋体"/>
          <w:color w:val="000000"/>
          <w:kern w:val="0"/>
          <w:sz w:val="24"/>
          <w:highlight w:val="none"/>
          <w:u w:val="single"/>
        </w:rPr>
      </w:pPr>
      <w:r>
        <w:rPr>
          <w:rFonts w:ascii="仿宋" w:hAnsi="仿宋" w:eastAsia="仿宋" w:cs="宋体"/>
          <w:color w:val="000000"/>
          <w:kern w:val="0"/>
          <w:sz w:val="24"/>
          <w:highlight w:val="none"/>
        </w:rPr>
        <w:t>10</w:t>
      </w:r>
      <w:r>
        <w:rPr>
          <w:rFonts w:hint="eastAsia" w:ascii="仿宋" w:hAnsi="仿宋" w:eastAsia="仿宋" w:cs="宋体"/>
          <w:color w:val="000000"/>
          <w:kern w:val="0"/>
          <w:sz w:val="24"/>
          <w:highlight w:val="none"/>
        </w:rPr>
        <w:t>.</w:t>
      </w:r>
      <w:r>
        <w:rPr>
          <w:rFonts w:ascii="仿宋" w:hAnsi="仿宋" w:eastAsia="仿宋" w:cs="宋体"/>
          <w:color w:val="000000"/>
          <w:kern w:val="0"/>
          <w:sz w:val="24"/>
          <w:highlight w:val="none"/>
        </w:rPr>
        <w:t>6</w:t>
      </w:r>
      <w:r>
        <w:rPr>
          <w:rFonts w:hint="eastAsia" w:ascii="仿宋" w:hAnsi="仿宋" w:eastAsia="仿宋" w:cs="宋体"/>
          <w:color w:val="000000"/>
          <w:kern w:val="0"/>
          <w:sz w:val="24"/>
          <w:highlight w:val="none"/>
        </w:rPr>
        <w:t xml:space="preserve">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72" w:name="_Hlk173250545"/>
      <w:r>
        <w:rPr>
          <w:rFonts w:hint="eastAsia" w:ascii="仿宋" w:hAnsi="仿宋" w:eastAsia="仿宋" w:cs="宋体"/>
          <w:color w:val="000000"/>
          <w:kern w:val="0"/>
          <w:sz w:val="24"/>
          <w:highlight w:val="none"/>
        </w:rPr>
        <w:t>盖章或者签字另有要求的，</w:t>
      </w:r>
      <w:r>
        <w:rPr>
          <w:rFonts w:hint="eastAsia" w:ascii="仿宋" w:hAnsi="仿宋" w:eastAsia="仿宋" w:cs="宋体"/>
          <w:color w:val="000000"/>
          <w:kern w:val="0"/>
          <w:sz w:val="24"/>
          <w:highlight w:val="none"/>
          <w:u w:val="single"/>
        </w:rPr>
        <w:t>见本须知前附表。</w:t>
      </w:r>
    </w:p>
    <w:bookmarkEnd w:id="72"/>
    <w:p w14:paraId="6FE99DCF">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1</w:t>
      </w:r>
      <w:r>
        <w:rPr>
          <w:rFonts w:ascii="仿宋" w:hAnsi="仿宋" w:eastAsia="仿宋" w:cs="仿宋"/>
          <w:color w:val="000000"/>
          <w:sz w:val="24"/>
          <w:highlight w:val="none"/>
        </w:rPr>
        <w:t>0.7</w:t>
      </w:r>
      <w:r>
        <w:rPr>
          <w:rFonts w:hint="eastAsia" w:ascii="仿宋" w:hAnsi="仿宋" w:eastAsia="仿宋" w:cs="仿宋"/>
          <w:color w:val="000000"/>
          <w:sz w:val="24"/>
          <w:highlight w:val="none"/>
        </w:rPr>
        <w:t>除工程规范另有规定外，响应文件使用的度量衡单位，均采用中华人民共和国法定计量单位。</w:t>
      </w:r>
    </w:p>
    <w:p w14:paraId="70523BC7">
      <w:pPr>
        <w:pStyle w:val="6"/>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11.磋商响应报价</w:t>
      </w:r>
    </w:p>
    <w:p w14:paraId="0CE679EB">
      <w:pPr>
        <w:widowControl/>
        <w:topLinePunct/>
        <w:spacing w:line="360" w:lineRule="auto"/>
        <w:rPr>
          <w:rFonts w:hint="eastAsia" w:ascii="仿宋" w:hAnsi="仿宋" w:eastAsia="仿宋" w:cs="宋体"/>
          <w:color w:val="000000"/>
          <w:kern w:val="0"/>
          <w:sz w:val="24"/>
          <w:highlight w:val="none"/>
        </w:rPr>
      </w:pPr>
      <w:r>
        <w:rPr>
          <w:rFonts w:hint="eastAsia" w:ascii="仿宋" w:hAnsi="仿宋" w:eastAsia="仿宋" w:cs="宋体"/>
          <w:color w:val="000000"/>
          <w:kern w:val="0"/>
          <w:sz w:val="24"/>
          <w:highlight w:val="none"/>
        </w:rPr>
        <w:t>供应商应当根据磋商文件要求进行报价，供应商应当报出符合磋商文件要求的拟提供货物或服务的单价、总价、费率、税率等内容，采购人不接受供应商的任何低于成本报价的不正当竞争方式，其他报价要求</w:t>
      </w:r>
      <w:r>
        <w:rPr>
          <w:rFonts w:hint="eastAsia" w:ascii="仿宋" w:hAnsi="仿宋" w:eastAsia="仿宋" w:cs="仿宋"/>
          <w:color w:val="000000"/>
          <w:sz w:val="24"/>
          <w:highlight w:val="none"/>
        </w:rPr>
        <w:t>见</w:t>
      </w:r>
      <w:r>
        <w:rPr>
          <w:rFonts w:hint="eastAsia" w:ascii="仿宋" w:hAnsi="仿宋" w:eastAsia="仿宋" w:cs="仿宋"/>
          <w:color w:val="000000"/>
          <w:sz w:val="24"/>
          <w:highlight w:val="none"/>
          <w:u w:val="single"/>
        </w:rPr>
        <w:t>供应商须知前附表</w:t>
      </w:r>
      <w:r>
        <w:rPr>
          <w:rFonts w:hint="eastAsia" w:ascii="仿宋" w:hAnsi="仿宋" w:eastAsia="仿宋" w:cs="仿宋"/>
          <w:color w:val="000000"/>
          <w:sz w:val="24"/>
          <w:highlight w:val="none"/>
        </w:rPr>
        <w:t>。</w:t>
      </w:r>
    </w:p>
    <w:p w14:paraId="7FCA1C7D">
      <w:pPr>
        <w:pStyle w:val="6"/>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r>
        <w:rPr>
          <w:rFonts w:ascii="仿宋" w:hAnsi="仿宋" w:eastAsia="仿宋" w:cs="仿宋"/>
          <w:color w:val="000000"/>
          <w:sz w:val="24"/>
          <w:szCs w:val="24"/>
          <w:highlight w:val="none"/>
        </w:rPr>
        <w:t>2</w:t>
      </w:r>
      <w:r>
        <w:rPr>
          <w:rFonts w:hint="eastAsia" w:ascii="仿宋" w:hAnsi="仿宋" w:eastAsia="仿宋" w:cs="仿宋"/>
          <w:color w:val="000000"/>
          <w:sz w:val="24"/>
          <w:szCs w:val="24"/>
          <w:highlight w:val="none"/>
        </w:rPr>
        <w:t>.磋商响应有效期</w:t>
      </w:r>
    </w:p>
    <w:p w14:paraId="616DBCB5">
      <w:pPr>
        <w:widowControl/>
        <w:topLinePunct/>
        <w:spacing w:line="360" w:lineRule="auto"/>
        <w:rPr>
          <w:rFonts w:hint="eastAsia" w:ascii="仿宋" w:hAnsi="仿宋" w:eastAsia="仿宋" w:cs="宋体"/>
          <w:color w:val="000000"/>
          <w:kern w:val="0"/>
          <w:sz w:val="24"/>
          <w:highlight w:val="none"/>
        </w:rPr>
      </w:pPr>
      <w:r>
        <w:rPr>
          <w:rFonts w:ascii="仿宋" w:hAnsi="仿宋" w:eastAsia="仿宋" w:cs="宋体"/>
          <w:color w:val="000000"/>
          <w:kern w:val="0"/>
          <w:sz w:val="24"/>
          <w:highlight w:val="none"/>
        </w:rPr>
        <w:t>12</w:t>
      </w:r>
      <w:r>
        <w:rPr>
          <w:rFonts w:hint="eastAsia" w:ascii="仿宋" w:hAnsi="仿宋" w:eastAsia="仿宋" w:cs="宋体"/>
          <w:color w:val="000000"/>
          <w:kern w:val="0"/>
          <w:sz w:val="24"/>
          <w:highlight w:val="none"/>
        </w:rPr>
        <w:t>.1 磋商响应有效期从响应文件递交截止之日起算，具体时间</w:t>
      </w:r>
      <w:r>
        <w:rPr>
          <w:rFonts w:hint="eastAsia" w:ascii="仿宋" w:hAnsi="仿宋" w:eastAsia="仿宋" w:cs="宋体"/>
          <w:color w:val="000000"/>
          <w:kern w:val="0"/>
          <w:sz w:val="24"/>
          <w:highlight w:val="none"/>
          <w:u w:val="single"/>
        </w:rPr>
        <w:t>见本须知前附表</w:t>
      </w:r>
      <w:r>
        <w:rPr>
          <w:rFonts w:hint="eastAsia" w:ascii="仿宋" w:hAnsi="仿宋" w:eastAsia="仿宋" w:cs="宋体"/>
          <w:color w:val="000000"/>
          <w:kern w:val="0"/>
          <w:sz w:val="24"/>
          <w:highlight w:val="none"/>
        </w:rPr>
        <w:t>，在此期间，供应商不得要求撤销或修改其响应文件。供应商承诺的磋商响应有效期必须不短于磋商文件规定的磋商响应有效期，否则将构成对磋商文件的非实质性响应，磋商响应将被否决。</w:t>
      </w:r>
    </w:p>
    <w:p w14:paraId="031BBEDD">
      <w:pPr>
        <w:widowControl/>
        <w:topLinePunct/>
        <w:spacing w:line="360" w:lineRule="auto"/>
        <w:rPr>
          <w:rFonts w:hint="eastAsia" w:ascii="仿宋" w:hAnsi="仿宋" w:eastAsia="仿宋" w:cs="宋体"/>
          <w:color w:val="000000"/>
          <w:kern w:val="0"/>
          <w:sz w:val="24"/>
          <w:highlight w:val="none"/>
        </w:rPr>
      </w:pPr>
      <w:r>
        <w:rPr>
          <w:rFonts w:ascii="仿宋" w:hAnsi="仿宋" w:eastAsia="仿宋" w:cs="宋体"/>
          <w:color w:val="000000"/>
          <w:kern w:val="0"/>
          <w:sz w:val="24"/>
          <w:highlight w:val="none"/>
        </w:rPr>
        <w:t>12</w:t>
      </w:r>
      <w:r>
        <w:rPr>
          <w:rFonts w:hint="eastAsia" w:ascii="仿宋" w:hAnsi="仿宋" w:eastAsia="仿宋" w:cs="宋体"/>
          <w:color w:val="000000"/>
          <w:kern w:val="0"/>
          <w:sz w:val="24"/>
          <w:highlight w:val="none"/>
        </w:rPr>
        <w:t>.2 在原磋商响应有效期结束前，出现特殊情况的，采购人可以书面形式要求所有供应商延长磋商响应有效期。供应商同意延长的，不得要求或被允许修改其响应文件的实质性内容</w:t>
      </w:r>
      <w:r>
        <w:rPr>
          <w:rFonts w:hint="eastAsia" w:ascii="仿宋" w:hAnsi="仿宋" w:eastAsia="仿宋" w:cs="宋体"/>
          <w:color w:val="000000"/>
          <w:kern w:val="0"/>
          <w:sz w:val="24"/>
          <w:highlight w:val="none"/>
          <w:lang w:eastAsia="zh-CN"/>
        </w:rPr>
        <w:t>。</w:t>
      </w:r>
      <w:r>
        <w:rPr>
          <w:rFonts w:hint="eastAsia" w:ascii="仿宋" w:hAnsi="仿宋" w:eastAsia="仿宋" w:cs="宋体"/>
          <w:color w:val="000000"/>
          <w:kern w:val="0"/>
          <w:sz w:val="24"/>
          <w:highlight w:val="none"/>
        </w:rPr>
        <w:t>供应商拒绝延长的，其磋商响应失效。</w:t>
      </w:r>
    </w:p>
    <w:p w14:paraId="790FC019">
      <w:pPr>
        <w:pStyle w:val="6"/>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r>
        <w:rPr>
          <w:rFonts w:ascii="仿宋" w:hAnsi="仿宋" w:eastAsia="仿宋" w:cs="仿宋"/>
          <w:color w:val="000000"/>
          <w:sz w:val="24"/>
          <w:szCs w:val="24"/>
          <w:highlight w:val="none"/>
        </w:rPr>
        <w:t>3</w:t>
      </w:r>
      <w:r>
        <w:rPr>
          <w:rFonts w:hint="eastAsia" w:ascii="仿宋" w:hAnsi="仿宋" w:eastAsia="仿宋" w:cs="仿宋"/>
          <w:color w:val="000000"/>
          <w:sz w:val="24"/>
          <w:szCs w:val="24"/>
          <w:highlight w:val="none"/>
        </w:rPr>
        <w:t>.磋商保证金</w:t>
      </w:r>
      <w:r>
        <w:rPr>
          <w:rFonts w:hint="eastAsia" w:ascii="仿宋" w:hAnsi="仿宋" w:eastAsia="仿宋" w:cs="仿宋"/>
          <w:b w:val="0"/>
          <w:bCs w:val="0"/>
          <w:color w:val="auto"/>
          <w:sz w:val="24"/>
          <w:szCs w:val="24"/>
          <w:highlight w:val="none"/>
        </w:rPr>
        <w:t>（可以根据项目实际情况选择是否设置）</w:t>
      </w:r>
    </w:p>
    <w:p w14:paraId="3E744C23">
      <w:pPr>
        <w:spacing w:line="360" w:lineRule="auto"/>
        <w:jc w:val="left"/>
        <w:rPr>
          <w:rFonts w:ascii="仿宋" w:hAnsi="仿宋" w:eastAsia="仿宋" w:cs="仿宋"/>
          <w:color w:val="000000"/>
          <w:sz w:val="24"/>
          <w:highlight w:val="none"/>
        </w:rPr>
      </w:pPr>
      <w:r>
        <w:rPr>
          <w:rFonts w:hint="eastAsia" w:ascii="仿宋" w:hAnsi="仿宋" w:eastAsia="仿宋" w:cs="仿宋"/>
          <w:color w:val="000000"/>
          <w:sz w:val="24"/>
          <w:highlight w:val="none"/>
        </w:rPr>
        <w:t>1</w:t>
      </w:r>
      <w:r>
        <w:rPr>
          <w:rFonts w:ascii="仿宋" w:hAnsi="仿宋" w:eastAsia="仿宋" w:cs="仿宋"/>
          <w:color w:val="000000"/>
          <w:sz w:val="24"/>
          <w:highlight w:val="none"/>
        </w:rPr>
        <w:t>3</w:t>
      </w:r>
      <w:r>
        <w:rPr>
          <w:rFonts w:hint="eastAsia" w:ascii="仿宋" w:hAnsi="仿宋" w:eastAsia="仿宋" w:cs="仿宋"/>
          <w:color w:val="000000"/>
          <w:sz w:val="24"/>
          <w:highlight w:val="none"/>
        </w:rPr>
        <w:t>.1</w:t>
      </w:r>
      <w:r>
        <w:rPr>
          <w:rFonts w:hint="eastAsia" w:ascii="仿宋" w:hAnsi="仿宋" w:eastAsia="仿宋" w:cs="宋体"/>
          <w:color w:val="000000"/>
          <w:kern w:val="0"/>
          <w:sz w:val="24"/>
          <w:highlight w:val="none"/>
        </w:rPr>
        <w:t>采购人要求</w:t>
      </w:r>
      <w:r>
        <w:rPr>
          <w:rFonts w:hint="eastAsia" w:ascii="仿宋" w:hAnsi="仿宋" w:eastAsia="仿宋" w:cs="仿宋"/>
          <w:color w:val="000000"/>
          <w:sz w:val="24"/>
          <w:highlight w:val="none"/>
        </w:rPr>
        <w:t>供应商</w:t>
      </w:r>
      <w:r>
        <w:rPr>
          <w:rFonts w:hint="eastAsia" w:ascii="仿宋" w:hAnsi="仿宋" w:eastAsia="仿宋" w:cs="宋体"/>
          <w:color w:val="000000"/>
          <w:kern w:val="0"/>
          <w:sz w:val="24"/>
          <w:highlight w:val="none"/>
        </w:rPr>
        <w:t>提交磋商保证金的，磋商</w:t>
      </w:r>
      <w:r>
        <w:rPr>
          <w:rFonts w:hint="eastAsia" w:ascii="仿宋" w:hAnsi="仿宋" w:eastAsia="仿宋" w:cs="仿宋"/>
          <w:color w:val="000000"/>
          <w:sz w:val="24"/>
          <w:highlight w:val="none"/>
        </w:rPr>
        <w:t>保证金数额应当不超过采购项目预算的2%，磋商保证金有效期与磋商响应有效期一致，本项目磋商保证金金额、形式见</w:t>
      </w:r>
      <w:r>
        <w:rPr>
          <w:rFonts w:hint="eastAsia" w:ascii="仿宋" w:hAnsi="仿宋" w:eastAsia="仿宋" w:cs="仿宋"/>
          <w:color w:val="000000"/>
          <w:sz w:val="24"/>
          <w:highlight w:val="none"/>
          <w:u w:val="single"/>
        </w:rPr>
        <w:t>本须知前附表</w:t>
      </w:r>
      <w:r>
        <w:rPr>
          <w:rFonts w:hint="eastAsia" w:ascii="仿宋" w:hAnsi="仿宋" w:eastAsia="仿宋" w:cs="仿宋"/>
          <w:color w:val="000000"/>
          <w:sz w:val="24"/>
          <w:highlight w:val="none"/>
        </w:rPr>
        <w:t>。</w:t>
      </w:r>
    </w:p>
    <w:p w14:paraId="5092DBAB">
      <w:pPr>
        <w:widowControl/>
        <w:topLinePunct/>
        <w:spacing w:line="360" w:lineRule="auto"/>
        <w:rPr>
          <w:rFonts w:ascii="仿宋" w:hAnsi="仿宋" w:eastAsia="仿宋" w:cs="仿宋"/>
          <w:kern w:val="0"/>
          <w:sz w:val="24"/>
          <w:highlight w:val="none"/>
          <w:lang w:bidi="ar"/>
        </w:rPr>
      </w:pPr>
      <w:r>
        <w:rPr>
          <w:rFonts w:ascii="仿宋" w:hAnsi="仿宋" w:eastAsia="仿宋" w:cs="仿宋"/>
          <w:color w:val="000000"/>
          <w:sz w:val="24"/>
          <w:highlight w:val="none"/>
        </w:rPr>
        <w:t>13.2</w:t>
      </w:r>
      <w:r>
        <w:rPr>
          <w:rFonts w:hint="eastAsia" w:ascii="仿宋" w:hAnsi="仿宋" w:eastAsia="仿宋" w:cs="仿宋"/>
          <w:kern w:val="0"/>
          <w:sz w:val="24"/>
          <w:highlight w:val="none"/>
          <w:lang w:bidi="ar"/>
        </w:rPr>
        <w:t>供应商或成交供应商出现下列行为之一，</w:t>
      </w:r>
      <w:r>
        <w:rPr>
          <w:rFonts w:hint="eastAsia" w:ascii="仿宋" w:hAnsi="仿宋" w:eastAsia="仿宋" w:cs="宋体"/>
          <w:sz w:val="24"/>
          <w:highlight w:val="none"/>
        </w:rPr>
        <w:t>磋商</w:t>
      </w:r>
      <w:r>
        <w:rPr>
          <w:rFonts w:hint="eastAsia" w:ascii="仿宋" w:hAnsi="仿宋" w:eastAsia="仿宋" w:cs="仿宋"/>
          <w:kern w:val="0"/>
          <w:sz w:val="24"/>
          <w:highlight w:val="none"/>
          <w:lang w:bidi="ar"/>
        </w:rPr>
        <w:t>保证金不予退还：</w:t>
      </w:r>
    </w:p>
    <w:p w14:paraId="18105A0B">
      <w:pPr>
        <w:pStyle w:val="2"/>
        <w:spacing w:line="360" w:lineRule="auto"/>
        <w:jc w:val="left"/>
        <w:rPr>
          <w:rFonts w:hint="eastAsia" w:ascii="仿宋" w:hAnsi="仿宋" w:eastAsia="仿宋" w:cs="仿宋"/>
          <w:kern w:val="0"/>
          <w:sz w:val="24"/>
          <w:highlight w:val="none"/>
          <w:lang w:bidi="ar"/>
        </w:rPr>
      </w:pPr>
      <w:r>
        <w:rPr>
          <w:rFonts w:hint="eastAsia" w:ascii="仿宋" w:hAnsi="仿宋" w:eastAsia="仿宋" w:cs="仿宋"/>
          <w:kern w:val="0"/>
          <w:sz w:val="24"/>
          <w:highlight w:val="none"/>
          <w:lang w:bidi="ar"/>
        </w:rPr>
        <w:t>（1）供应商在磋商截止后至磋商有效期期满前,要求撤回已递交的响应文件；</w:t>
      </w:r>
    </w:p>
    <w:p w14:paraId="0B7467A2">
      <w:pPr>
        <w:pStyle w:val="2"/>
        <w:spacing w:line="360" w:lineRule="auto"/>
        <w:jc w:val="left"/>
        <w:rPr>
          <w:rFonts w:hint="eastAsia" w:ascii="仿宋" w:hAnsi="仿宋" w:eastAsia="仿宋" w:cs="仿宋"/>
          <w:kern w:val="0"/>
          <w:sz w:val="24"/>
          <w:highlight w:val="none"/>
          <w:lang w:bidi="ar"/>
        </w:rPr>
      </w:pPr>
      <w:r>
        <w:rPr>
          <w:rFonts w:hint="eastAsia" w:ascii="仿宋" w:hAnsi="仿宋" w:eastAsia="仿宋" w:cs="仿宋"/>
          <w:kern w:val="0"/>
          <w:sz w:val="24"/>
          <w:highlight w:val="none"/>
          <w:lang w:bidi="ar"/>
        </w:rPr>
        <w:t>（2）成交后放弃成交的；</w:t>
      </w:r>
    </w:p>
    <w:p w14:paraId="21BF1622">
      <w:pPr>
        <w:pStyle w:val="2"/>
        <w:spacing w:line="360" w:lineRule="auto"/>
        <w:jc w:val="left"/>
        <w:rPr>
          <w:rFonts w:hint="eastAsia" w:ascii="仿宋" w:hAnsi="仿宋" w:eastAsia="仿宋" w:cs="仿宋"/>
          <w:kern w:val="0"/>
          <w:sz w:val="24"/>
          <w:highlight w:val="none"/>
          <w:lang w:bidi="ar"/>
        </w:rPr>
      </w:pPr>
      <w:r>
        <w:rPr>
          <w:rFonts w:hint="eastAsia" w:ascii="仿宋" w:hAnsi="仿宋" w:eastAsia="仿宋" w:cs="仿宋"/>
          <w:kern w:val="0"/>
          <w:sz w:val="24"/>
          <w:highlight w:val="none"/>
          <w:lang w:bidi="ar"/>
        </w:rPr>
        <w:t>（3）成交后无正当理由不与采购人订立合同的；</w:t>
      </w:r>
    </w:p>
    <w:p w14:paraId="69830DD5">
      <w:pPr>
        <w:pStyle w:val="2"/>
        <w:spacing w:line="360" w:lineRule="auto"/>
        <w:jc w:val="left"/>
        <w:rPr>
          <w:rFonts w:hint="eastAsia" w:ascii="仿宋" w:hAnsi="仿宋" w:eastAsia="仿宋" w:cs="仿宋"/>
          <w:kern w:val="0"/>
          <w:sz w:val="24"/>
          <w:highlight w:val="none"/>
          <w:lang w:bidi="ar"/>
        </w:rPr>
      </w:pPr>
      <w:r>
        <w:rPr>
          <w:rFonts w:hint="eastAsia" w:ascii="仿宋" w:hAnsi="仿宋" w:eastAsia="仿宋" w:cs="仿宋"/>
          <w:kern w:val="0"/>
          <w:sz w:val="24"/>
          <w:highlight w:val="none"/>
          <w:lang w:bidi="ar"/>
        </w:rPr>
        <w:t>（4）成交供应商在签订合同时向采购人提出附加条件或要求变更实质性合同条款的；</w:t>
      </w:r>
    </w:p>
    <w:p w14:paraId="78038FE8">
      <w:pPr>
        <w:pStyle w:val="2"/>
        <w:spacing w:line="360" w:lineRule="auto"/>
        <w:jc w:val="left"/>
        <w:rPr>
          <w:rFonts w:hint="eastAsia" w:ascii="仿宋" w:hAnsi="仿宋" w:eastAsia="仿宋" w:cs="仿宋"/>
          <w:kern w:val="0"/>
          <w:sz w:val="24"/>
          <w:highlight w:val="none"/>
          <w:lang w:bidi="ar"/>
        </w:rPr>
      </w:pPr>
      <w:r>
        <w:rPr>
          <w:rFonts w:hint="eastAsia" w:ascii="仿宋" w:hAnsi="仿宋" w:eastAsia="仿宋" w:cs="仿宋"/>
          <w:kern w:val="0"/>
          <w:sz w:val="24"/>
          <w:highlight w:val="none"/>
          <w:lang w:bidi="ar"/>
        </w:rPr>
        <w:t>（5）成交供应商不按照磋商文件要求提交履约保证金的；</w:t>
      </w:r>
    </w:p>
    <w:p w14:paraId="6FD9CBC1">
      <w:pPr>
        <w:pStyle w:val="2"/>
        <w:spacing w:line="360" w:lineRule="auto"/>
        <w:jc w:val="left"/>
        <w:rPr>
          <w:rStyle w:val="90"/>
          <w:rFonts w:hint="default"/>
          <w:highlight w:val="none"/>
        </w:rPr>
      </w:pPr>
      <w:r>
        <w:rPr>
          <w:rFonts w:hint="eastAsia" w:ascii="仿宋" w:hAnsi="仿宋" w:eastAsia="仿宋" w:cs="仿宋"/>
          <w:kern w:val="0"/>
          <w:sz w:val="24"/>
          <w:highlight w:val="none"/>
          <w:lang w:bidi="ar"/>
        </w:rPr>
        <w:t>（6）供应商有恶意欺诈、弄虚作假、围标串标、哄抬标价、徇私行贿等法律法规中所列违规行为的</w:t>
      </w:r>
      <w:r>
        <w:rPr>
          <w:rStyle w:val="90"/>
          <w:rFonts w:hint="default"/>
          <w:highlight w:val="none"/>
        </w:rPr>
        <w:t>。</w:t>
      </w:r>
    </w:p>
    <w:p w14:paraId="76620B34">
      <w:pPr>
        <w:pStyle w:val="6"/>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r>
        <w:rPr>
          <w:rFonts w:ascii="仿宋" w:hAnsi="仿宋" w:eastAsia="仿宋" w:cs="仿宋"/>
          <w:color w:val="000000"/>
          <w:sz w:val="24"/>
          <w:szCs w:val="24"/>
          <w:highlight w:val="none"/>
        </w:rPr>
        <w:t>4</w:t>
      </w:r>
      <w:r>
        <w:rPr>
          <w:rFonts w:hint="eastAsia" w:ascii="仿宋" w:hAnsi="仿宋" w:eastAsia="仿宋" w:cs="仿宋"/>
          <w:color w:val="000000"/>
          <w:sz w:val="24"/>
          <w:szCs w:val="24"/>
          <w:highlight w:val="none"/>
        </w:rPr>
        <w:t>.响应文件的式样、密封和标记</w:t>
      </w:r>
    </w:p>
    <w:p w14:paraId="0A46E2CD">
      <w:pPr>
        <w:widowControl/>
        <w:topLinePunct/>
        <w:spacing w:line="360" w:lineRule="auto"/>
        <w:rPr>
          <w:rFonts w:hint="eastAsia" w:ascii="仿宋" w:hAnsi="仿宋" w:eastAsia="仿宋" w:cs="宋体"/>
          <w:color w:val="000000"/>
          <w:kern w:val="0"/>
          <w:sz w:val="24"/>
          <w:highlight w:val="none"/>
        </w:rPr>
      </w:pPr>
      <w:r>
        <w:rPr>
          <w:rFonts w:ascii="仿宋" w:hAnsi="仿宋" w:eastAsia="仿宋" w:cs="宋体"/>
          <w:color w:val="000000"/>
          <w:kern w:val="0"/>
          <w:sz w:val="24"/>
          <w:highlight w:val="none"/>
        </w:rPr>
        <w:t>14</w:t>
      </w:r>
      <w:r>
        <w:rPr>
          <w:rFonts w:hint="eastAsia" w:ascii="仿宋" w:hAnsi="仿宋" w:eastAsia="仿宋" w:cs="宋体"/>
          <w:color w:val="000000"/>
          <w:kern w:val="0"/>
          <w:sz w:val="24"/>
          <w:highlight w:val="none"/>
        </w:rPr>
        <w:t>.1 供应商应当编制一份响应文件“正本”和</w:t>
      </w:r>
      <w:r>
        <w:rPr>
          <w:rFonts w:hint="eastAsia" w:ascii="仿宋" w:hAnsi="仿宋" w:eastAsia="仿宋" w:cs="宋体"/>
          <w:color w:val="000000"/>
          <w:kern w:val="0"/>
          <w:sz w:val="24"/>
          <w:highlight w:val="none"/>
          <w:u w:val="single"/>
        </w:rPr>
        <w:t>本须知前附表</w:t>
      </w:r>
      <w:r>
        <w:rPr>
          <w:rFonts w:hint="eastAsia" w:ascii="仿宋" w:hAnsi="仿宋" w:eastAsia="仿宋" w:cs="宋体"/>
          <w:color w:val="000000"/>
          <w:kern w:val="0"/>
          <w:sz w:val="24"/>
          <w:highlight w:val="none"/>
        </w:rPr>
        <w:t>所述份数的“副本”和“电子版”，副本为正本复印件。纸质版文件与电子版文件不一致时，以</w:t>
      </w:r>
      <w:r>
        <w:rPr>
          <w:rFonts w:hint="eastAsia" w:ascii="仿宋" w:hAnsi="仿宋" w:eastAsia="仿宋" w:cs="宋体"/>
          <w:b/>
          <w:bCs/>
          <w:kern w:val="0"/>
          <w:sz w:val="24"/>
          <w:highlight w:val="none"/>
          <w:lang w:eastAsia="zh-Hans"/>
        </w:rPr>
        <w:t>电子版</w:t>
      </w:r>
      <w:r>
        <w:rPr>
          <w:rFonts w:hint="eastAsia" w:ascii="仿宋" w:hAnsi="仿宋" w:eastAsia="仿宋" w:cs="宋体"/>
          <w:color w:val="000000"/>
          <w:kern w:val="0"/>
          <w:sz w:val="24"/>
          <w:highlight w:val="none"/>
        </w:rPr>
        <w:t>文件为准;响应文件正本与副本不一致时，以正本为准</w:t>
      </w:r>
      <w:r>
        <w:rPr>
          <w:rFonts w:hint="eastAsia" w:ascii="仿宋" w:hAnsi="仿宋" w:eastAsia="仿宋" w:cs="宋体"/>
          <w:color w:val="000000"/>
          <w:kern w:val="0"/>
          <w:sz w:val="24"/>
          <w:highlight w:val="none"/>
          <w:lang w:eastAsia="zh-CN"/>
        </w:rPr>
        <w:t>。</w:t>
      </w:r>
      <w:r>
        <w:rPr>
          <w:rFonts w:hint="eastAsia" w:ascii="仿宋" w:hAnsi="仿宋" w:eastAsia="仿宋" w:cs="宋体"/>
          <w:color w:val="000000"/>
          <w:kern w:val="0"/>
          <w:sz w:val="24"/>
          <w:highlight w:val="none"/>
        </w:rPr>
        <w:t xml:space="preserve"> </w:t>
      </w:r>
    </w:p>
    <w:p w14:paraId="438345ED">
      <w:pPr>
        <w:widowControl/>
        <w:topLinePunct/>
        <w:spacing w:line="360" w:lineRule="auto"/>
        <w:rPr>
          <w:rFonts w:ascii="仿宋" w:hAnsi="仿宋" w:eastAsia="仿宋" w:cs="宋体"/>
          <w:color w:val="000000"/>
          <w:kern w:val="0"/>
          <w:sz w:val="24"/>
          <w:highlight w:val="none"/>
        </w:rPr>
      </w:pPr>
      <w:r>
        <w:rPr>
          <w:rFonts w:ascii="仿宋" w:hAnsi="仿宋" w:eastAsia="仿宋" w:cs="宋体"/>
          <w:color w:val="000000"/>
          <w:kern w:val="0"/>
          <w:sz w:val="24"/>
          <w:highlight w:val="none"/>
        </w:rPr>
        <w:t>14</w:t>
      </w:r>
      <w:r>
        <w:rPr>
          <w:rFonts w:hint="eastAsia" w:ascii="仿宋" w:hAnsi="仿宋" w:eastAsia="仿宋" w:cs="宋体"/>
          <w:color w:val="000000"/>
          <w:kern w:val="0"/>
          <w:sz w:val="24"/>
          <w:highlight w:val="none"/>
        </w:rPr>
        <w:t>.2 每份纸质文件响应文件的正本、副本应当分别装订，并于封面上明确标明“正本”“副本”字样。具体要求</w:t>
      </w:r>
      <w:r>
        <w:rPr>
          <w:rFonts w:hint="eastAsia" w:ascii="仿宋" w:hAnsi="仿宋" w:eastAsia="仿宋" w:cs="宋体"/>
          <w:color w:val="000000"/>
          <w:kern w:val="0"/>
          <w:sz w:val="24"/>
          <w:highlight w:val="none"/>
          <w:u w:val="single"/>
        </w:rPr>
        <w:t>见本须知前附表</w:t>
      </w:r>
      <w:r>
        <w:rPr>
          <w:rFonts w:hint="eastAsia" w:ascii="仿宋" w:hAnsi="仿宋" w:eastAsia="仿宋" w:cs="宋体"/>
          <w:color w:val="000000"/>
          <w:kern w:val="0"/>
          <w:sz w:val="24"/>
          <w:highlight w:val="none"/>
        </w:rPr>
        <w:t>。</w:t>
      </w:r>
    </w:p>
    <w:p w14:paraId="562C26E4">
      <w:pPr>
        <w:widowControl/>
        <w:topLinePunct/>
        <w:spacing w:line="360" w:lineRule="auto"/>
        <w:rPr>
          <w:rFonts w:hint="eastAsia" w:ascii="仿宋" w:hAnsi="仿宋" w:eastAsia="仿宋" w:cs="宋体"/>
          <w:color w:val="000000"/>
          <w:kern w:val="0"/>
          <w:sz w:val="24"/>
          <w:highlight w:val="none"/>
        </w:rPr>
      </w:pPr>
      <w:r>
        <w:rPr>
          <w:rFonts w:ascii="仿宋" w:hAnsi="仿宋" w:eastAsia="仿宋" w:cs="宋体"/>
          <w:color w:val="000000"/>
          <w:kern w:val="0"/>
          <w:sz w:val="24"/>
          <w:highlight w:val="none"/>
        </w:rPr>
        <w:t>14</w:t>
      </w:r>
      <w:r>
        <w:rPr>
          <w:rFonts w:hint="eastAsia" w:ascii="仿宋" w:hAnsi="仿宋" w:eastAsia="仿宋" w:cs="宋体"/>
          <w:color w:val="000000"/>
          <w:kern w:val="0"/>
          <w:sz w:val="24"/>
          <w:highlight w:val="none"/>
        </w:rPr>
        <w:t>.</w:t>
      </w:r>
      <w:r>
        <w:rPr>
          <w:rFonts w:ascii="仿宋" w:hAnsi="仿宋" w:eastAsia="仿宋" w:cs="宋体"/>
          <w:color w:val="000000"/>
          <w:kern w:val="0"/>
          <w:sz w:val="24"/>
          <w:highlight w:val="none"/>
        </w:rPr>
        <w:t>3</w:t>
      </w:r>
      <w:r>
        <w:rPr>
          <w:rFonts w:hint="eastAsia" w:ascii="仿宋" w:hAnsi="仿宋" w:eastAsia="仿宋" w:cs="宋体"/>
          <w:color w:val="000000"/>
          <w:kern w:val="0"/>
          <w:sz w:val="24"/>
          <w:highlight w:val="none"/>
        </w:rPr>
        <w:t xml:space="preserve"> 对于磋商文件中提及的原件或复印件要求，照片件、扫描件、影印件、截图件等与其具有同等效力（磋商文件有特殊要求的除外）。</w:t>
      </w:r>
    </w:p>
    <w:p w14:paraId="0AD02E95">
      <w:pPr>
        <w:pStyle w:val="5"/>
        <w:spacing w:after="0" w:line="360" w:lineRule="auto"/>
        <w:ind w:firstLine="482"/>
        <w:rPr>
          <w:rFonts w:hint="eastAsia" w:ascii="仿宋" w:hAnsi="仿宋" w:eastAsia="仿宋" w:cs="仿宋"/>
          <w:color w:val="000000"/>
          <w:sz w:val="24"/>
          <w:szCs w:val="24"/>
          <w:highlight w:val="none"/>
        </w:rPr>
      </w:pPr>
      <w:bookmarkStart w:id="73" w:name="_Toc7129"/>
      <w:bookmarkStart w:id="74" w:name="_Toc18673"/>
      <w:bookmarkStart w:id="75" w:name="_Toc4155"/>
      <w:bookmarkStart w:id="76" w:name="_Toc517281820"/>
      <w:bookmarkStart w:id="77" w:name="_Toc19783317"/>
      <w:bookmarkStart w:id="78" w:name="_Toc21600"/>
      <w:bookmarkStart w:id="79" w:name="_Toc444891340"/>
      <w:bookmarkStart w:id="80" w:name="_Toc14726"/>
      <w:bookmarkStart w:id="81" w:name="_Toc287600122"/>
      <w:bookmarkStart w:id="82" w:name="_Toc16697"/>
      <w:r>
        <w:rPr>
          <w:rFonts w:hint="eastAsia" w:ascii="仿宋" w:hAnsi="仿宋" w:eastAsia="仿宋" w:cs="仿宋"/>
          <w:color w:val="000000"/>
          <w:sz w:val="24"/>
          <w:szCs w:val="24"/>
          <w:highlight w:val="none"/>
        </w:rPr>
        <w:t>（四）响应文件的</w:t>
      </w:r>
      <w:bookmarkEnd w:id="73"/>
      <w:bookmarkEnd w:id="74"/>
      <w:bookmarkEnd w:id="75"/>
      <w:bookmarkEnd w:id="76"/>
      <w:bookmarkEnd w:id="77"/>
      <w:bookmarkEnd w:id="78"/>
      <w:bookmarkEnd w:id="79"/>
      <w:bookmarkEnd w:id="80"/>
      <w:bookmarkEnd w:id="81"/>
      <w:r>
        <w:rPr>
          <w:rFonts w:hint="eastAsia" w:ascii="仿宋" w:hAnsi="仿宋" w:eastAsia="仿宋" w:cs="仿宋"/>
          <w:color w:val="000000"/>
          <w:sz w:val="24"/>
          <w:szCs w:val="24"/>
          <w:highlight w:val="none"/>
        </w:rPr>
        <w:t>递交</w:t>
      </w:r>
      <w:bookmarkEnd w:id="82"/>
    </w:p>
    <w:p w14:paraId="73ACB3EB">
      <w:pPr>
        <w:pStyle w:val="6"/>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r>
        <w:rPr>
          <w:rFonts w:ascii="仿宋" w:hAnsi="仿宋" w:eastAsia="仿宋" w:cs="仿宋"/>
          <w:color w:val="000000"/>
          <w:sz w:val="24"/>
          <w:szCs w:val="24"/>
          <w:highlight w:val="none"/>
        </w:rPr>
        <w:t>5</w:t>
      </w:r>
      <w:r>
        <w:rPr>
          <w:rFonts w:hint="eastAsia" w:ascii="仿宋" w:hAnsi="仿宋" w:eastAsia="仿宋" w:cs="仿宋"/>
          <w:color w:val="000000"/>
          <w:sz w:val="24"/>
          <w:szCs w:val="24"/>
          <w:highlight w:val="none"/>
        </w:rPr>
        <w:t>.响应文件的递交</w:t>
      </w:r>
    </w:p>
    <w:p w14:paraId="3C3B1DA1">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1</w:t>
      </w:r>
      <w:r>
        <w:rPr>
          <w:rFonts w:ascii="仿宋" w:hAnsi="仿宋" w:eastAsia="仿宋" w:cs="仿宋"/>
          <w:color w:val="000000"/>
          <w:sz w:val="24"/>
          <w:highlight w:val="none"/>
        </w:rPr>
        <w:t>5</w:t>
      </w:r>
      <w:r>
        <w:rPr>
          <w:rFonts w:hint="eastAsia" w:ascii="仿宋" w:hAnsi="仿宋" w:eastAsia="仿宋" w:cs="仿宋"/>
          <w:color w:val="000000"/>
          <w:sz w:val="24"/>
          <w:highlight w:val="none"/>
        </w:rPr>
        <w:t>.1供应商应按</w:t>
      </w:r>
      <w:r>
        <w:rPr>
          <w:rFonts w:hint="eastAsia" w:ascii="仿宋" w:hAnsi="仿宋" w:eastAsia="仿宋" w:cs="仿宋"/>
          <w:color w:val="000000"/>
          <w:sz w:val="24"/>
          <w:highlight w:val="none"/>
          <w:u w:val="single"/>
        </w:rPr>
        <w:t>本须知前附表</w:t>
      </w:r>
      <w:r>
        <w:rPr>
          <w:rFonts w:hint="eastAsia" w:ascii="仿宋" w:hAnsi="仿宋" w:eastAsia="仿宋" w:cs="仿宋"/>
          <w:color w:val="000000"/>
          <w:sz w:val="24"/>
          <w:highlight w:val="none"/>
        </w:rPr>
        <w:t>规定的时间、方式递交响应文件。</w:t>
      </w:r>
    </w:p>
    <w:p w14:paraId="4EACE1F2">
      <w:pPr>
        <w:spacing w:line="360" w:lineRule="auto"/>
        <w:jc w:val="left"/>
        <w:rPr>
          <w:rFonts w:hint="eastAsia" w:ascii="仿宋" w:hAnsi="仿宋" w:eastAsia="仿宋" w:cs="宋体"/>
          <w:b/>
          <w:bCs/>
          <w:color w:val="000000"/>
          <w:sz w:val="24"/>
          <w:highlight w:val="none"/>
        </w:rPr>
      </w:pPr>
      <w:r>
        <w:rPr>
          <w:rFonts w:hint="eastAsia" w:ascii="仿宋" w:hAnsi="仿宋" w:eastAsia="仿宋" w:cs="宋体"/>
          <w:color w:val="000000"/>
          <w:sz w:val="24"/>
          <w:highlight w:val="none"/>
        </w:rPr>
        <w:t>15.2出现下列情形之一时，</w:t>
      </w:r>
      <w:r>
        <w:rPr>
          <w:rFonts w:hint="eastAsia" w:ascii="仿宋" w:hAnsi="仿宋" w:eastAsia="仿宋" w:cs="宋体"/>
          <w:b/>
          <w:bCs/>
          <w:color w:val="000000"/>
          <w:sz w:val="24"/>
          <w:highlight w:val="none"/>
        </w:rPr>
        <w:t>响应文件不予接收或已经递交的响应文件无效；</w:t>
      </w:r>
    </w:p>
    <w:p w14:paraId="42FECC96">
      <w:pPr>
        <w:spacing w:line="360" w:lineRule="auto"/>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（1）电子响应文件逾期递交的；</w:t>
      </w:r>
    </w:p>
    <w:p w14:paraId="2BEA9985">
      <w:pPr>
        <w:spacing w:line="360" w:lineRule="auto"/>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（2）纸质响应文件逾期递交或者未送达指定地点或者未按照磋商文件要求封装的；</w:t>
      </w:r>
    </w:p>
    <w:p w14:paraId="1339C507">
      <w:pPr>
        <w:spacing w:line="360" w:lineRule="auto"/>
        <w:jc w:val="left"/>
        <w:rPr>
          <w:rFonts w:hint="eastAsia" w:ascii="仿宋" w:hAnsi="仿宋" w:eastAsia="仿宋" w:cs="宋体"/>
          <w:sz w:val="24"/>
          <w:highlight w:val="none"/>
        </w:rPr>
      </w:pPr>
      <w:r>
        <w:rPr>
          <w:rFonts w:hint="eastAsia" w:ascii="仿宋" w:hAnsi="仿宋" w:eastAsia="仿宋" w:cs="宋体"/>
          <w:color w:val="000000"/>
          <w:sz w:val="24"/>
          <w:highlight w:val="none"/>
        </w:rPr>
        <w:t>（3）未通过资格预审的申请供应商递交的；</w:t>
      </w:r>
      <w:r>
        <w:rPr>
          <w:rFonts w:hint="eastAsia" w:ascii="仿宋" w:hAnsi="仿宋" w:eastAsia="仿宋" w:cs="宋体"/>
          <w:i/>
          <w:sz w:val="24"/>
          <w:highlight w:val="none"/>
        </w:rPr>
        <w:t>（资格预审项目适用）</w:t>
      </w:r>
    </w:p>
    <w:p w14:paraId="7909F744">
      <w:pPr>
        <w:spacing w:line="360" w:lineRule="auto"/>
        <w:jc w:val="left"/>
        <w:rPr>
          <w:rFonts w:ascii="仿宋" w:hAnsi="仿宋" w:eastAsia="仿宋" w:cs="宋体"/>
          <w:color w:val="000000"/>
          <w:sz w:val="24"/>
          <w:highlight w:val="none"/>
        </w:rPr>
      </w:pPr>
      <w:r>
        <w:rPr>
          <w:rFonts w:hint="eastAsia" w:ascii="仿宋" w:hAnsi="仿宋" w:eastAsia="仿宋" w:cs="宋体"/>
          <w:color w:val="000000"/>
          <w:sz w:val="24"/>
          <w:highlight w:val="none"/>
        </w:rPr>
        <w:t>（4）未按磋商公告或者响应公告书要求获得本项目磋商文件的。</w:t>
      </w:r>
    </w:p>
    <w:p w14:paraId="2F564D54">
      <w:pPr>
        <w:pStyle w:val="6"/>
        <w:spacing w:before="0" w:after="0" w:line="360" w:lineRule="auto"/>
        <w:jc w:val="left"/>
        <w:rPr>
          <w:rFonts w:hint="eastAsia" w:ascii="仿宋" w:hAnsi="仿宋" w:eastAsia="仿宋" w:cs="仿宋"/>
          <w:color w:val="000000"/>
          <w:sz w:val="24"/>
          <w:szCs w:val="24"/>
          <w:highlight w:val="none"/>
        </w:rPr>
      </w:pPr>
      <w:r>
        <w:rPr>
          <w:rFonts w:ascii="仿宋" w:hAnsi="仿宋" w:eastAsia="仿宋" w:cs="仿宋"/>
          <w:color w:val="000000"/>
          <w:sz w:val="24"/>
          <w:szCs w:val="24"/>
          <w:highlight w:val="none"/>
        </w:rPr>
        <w:t>16</w:t>
      </w:r>
      <w:r>
        <w:rPr>
          <w:rFonts w:hint="eastAsia" w:ascii="仿宋" w:hAnsi="仿宋" w:eastAsia="仿宋" w:cs="仿宋"/>
          <w:color w:val="000000"/>
          <w:sz w:val="24"/>
          <w:szCs w:val="24"/>
          <w:highlight w:val="none"/>
        </w:rPr>
        <w:t>.响应文件的修改、撤回和撤销</w:t>
      </w:r>
    </w:p>
    <w:p w14:paraId="6814182A">
      <w:pPr>
        <w:spacing w:line="360" w:lineRule="auto"/>
        <w:jc w:val="left"/>
        <w:rPr>
          <w:rFonts w:hint="eastAsia" w:ascii="仿宋" w:hAnsi="仿宋" w:eastAsia="仿宋" w:cs="仿宋"/>
          <w:color w:val="000000"/>
          <w:sz w:val="24"/>
          <w:highlight w:val="none"/>
        </w:rPr>
      </w:pPr>
      <w:r>
        <w:rPr>
          <w:rFonts w:ascii="仿宋" w:hAnsi="仿宋" w:eastAsia="仿宋" w:cs="仿宋"/>
          <w:color w:val="000000"/>
          <w:sz w:val="24"/>
          <w:highlight w:val="none"/>
        </w:rPr>
        <w:t>16</w:t>
      </w:r>
      <w:r>
        <w:rPr>
          <w:rFonts w:hint="eastAsia" w:ascii="仿宋" w:hAnsi="仿宋" w:eastAsia="仿宋" w:cs="仿宋"/>
          <w:color w:val="000000"/>
          <w:sz w:val="24"/>
          <w:highlight w:val="none"/>
        </w:rPr>
        <w:t>.1</w:t>
      </w:r>
      <w:r>
        <w:rPr>
          <w:rFonts w:hint="eastAsia" w:ascii="仿宋" w:hAnsi="仿宋" w:eastAsia="仿宋" w:cs="宋体"/>
          <w:color w:val="000000"/>
          <w:spacing w:val="-4"/>
          <w:kern w:val="0"/>
          <w:sz w:val="24"/>
          <w:highlight w:val="none"/>
        </w:rPr>
        <w:t>在</w:t>
      </w:r>
      <w:r>
        <w:rPr>
          <w:rFonts w:hint="eastAsia" w:ascii="仿宋" w:hAnsi="仿宋" w:eastAsia="仿宋" w:cs="宋体"/>
          <w:color w:val="000000"/>
          <w:kern w:val="0"/>
          <w:sz w:val="24"/>
          <w:highlight w:val="none"/>
        </w:rPr>
        <w:t>磋商文件</w:t>
      </w:r>
      <w:r>
        <w:rPr>
          <w:rFonts w:hint="eastAsia" w:ascii="仿宋" w:hAnsi="仿宋" w:eastAsia="仿宋" w:cs="宋体"/>
          <w:color w:val="000000"/>
          <w:spacing w:val="-4"/>
          <w:kern w:val="0"/>
          <w:sz w:val="24"/>
          <w:highlight w:val="none"/>
        </w:rPr>
        <w:t>规定的</w:t>
      </w:r>
      <w:r>
        <w:rPr>
          <w:rFonts w:hint="eastAsia" w:ascii="仿宋" w:hAnsi="仿宋" w:eastAsia="仿宋" w:cs="仿宋"/>
          <w:color w:val="000000"/>
          <w:sz w:val="24"/>
          <w:highlight w:val="none"/>
        </w:rPr>
        <w:t>响应文件</w:t>
      </w:r>
      <w:r>
        <w:rPr>
          <w:rFonts w:hint="eastAsia" w:ascii="仿宋" w:hAnsi="仿宋" w:eastAsia="仿宋" w:cs="宋体"/>
          <w:color w:val="000000"/>
          <w:spacing w:val="-4"/>
          <w:kern w:val="0"/>
          <w:sz w:val="24"/>
          <w:highlight w:val="none"/>
        </w:rPr>
        <w:t>递交截止时间前，</w:t>
      </w:r>
      <w:r>
        <w:rPr>
          <w:rFonts w:hint="eastAsia" w:ascii="仿宋" w:hAnsi="仿宋" w:eastAsia="仿宋" w:cs="宋体"/>
          <w:color w:val="000000"/>
          <w:kern w:val="0"/>
          <w:sz w:val="24"/>
          <w:highlight w:val="none"/>
        </w:rPr>
        <w:t>可以补充、修改或撤回已提交的响应文件。</w:t>
      </w:r>
      <w:r>
        <w:rPr>
          <w:rFonts w:ascii="仿宋" w:hAnsi="仿宋" w:eastAsia="仿宋" w:cs="宋体"/>
          <w:color w:val="000000"/>
          <w:kern w:val="0"/>
          <w:sz w:val="24"/>
          <w:highlight w:val="none"/>
        </w:rPr>
        <w:t>补充、修改的内容为</w:t>
      </w:r>
      <w:r>
        <w:rPr>
          <w:rFonts w:hint="eastAsia" w:ascii="仿宋" w:hAnsi="仿宋" w:eastAsia="仿宋" w:cs="宋体"/>
          <w:color w:val="000000"/>
          <w:kern w:val="0"/>
          <w:sz w:val="24"/>
          <w:highlight w:val="none"/>
        </w:rPr>
        <w:t>响应</w:t>
      </w:r>
      <w:r>
        <w:rPr>
          <w:rFonts w:ascii="仿宋" w:hAnsi="仿宋" w:eastAsia="仿宋" w:cs="宋体"/>
          <w:color w:val="000000"/>
          <w:kern w:val="0"/>
          <w:sz w:val="24"/>
          <w:highlight w:val="none"/>
        </w:rPr>
        <w:t>文件的组成部分</w:t>
      </w:r>
      <w:r>
        <w:rPr>
          <w:rFonts w:hint="eastAsia" w:ascii="仿宋" w:hAnsi="仿宋" w:eastAsia="仿宋" w:cs="宋体"/>
          <w:color w:val="000000"/>
          <w:kern w:val="0"/>
          <w:sz w:val="24"/>
          <w:highlight w:val="none"/>
        </w:rPr>
        <w:t>，应当在响应文件递交截止时间前按照磋商文件的规定进行递交。</w:t>
      </w:r>
    </w:p>
    <w:p w14:paraId="68CAC7B7">
      <w:pPr>
        <w:pStyle w:val="2"/>
        <w:spacing w:line="360" w:lineRule="auto"/>
        <w:jc w:val="left"/>
        <w:rPr>
          <w:rFonts w:hint="eastAsia"/>
          <w:highlight w:val="none"/>
        </w:rPr>
      </w:pPr>
      <w:bookmarkStart w:id="83" w:name="_Toc246996202"/>
      <w:bookmarkStart w:id="84" w:name="_Toc334766948"/>
      <w:bookmarkStart w:id="85" w:name="_Toc152042334"/>
      <w:bookmarkStart w:id="86" w:name="_Toc246996945"/>
      <w:bookmarkStart w:id="87" w:name="_Toc332188194"/>
      <w:bookmarkStart w:id="88" w:name="_Toc179632576"/>
      <w:bookmarkStart w:id="89" w:name="_Toc152045558"/>
      <w:bookmarkStart w:id="90" w:name="_Toc247085716"/>
      <w:bookmarkStart w:id="91" w:name="_Toc326223561"/>
      <w:bookmarkStart w:id="92" w:name="_Toc144974526"/>
      <w:r>
        <w:rPr>
          <w:rFonts w:ascii="仿宋" w:hAnsi="仿宋" w:eastAsia="仿宋" w:cs="仿宋"/>
          <w:color w:val="000000"/>
          <w:sz w:val="24"/>
          <w:highlight w:val="none"/>
        </w:rPr>
        <w:t>16.2</w:t>
      </w:r>
      <w:bookmarkEnd w:id="83"/>
      <w:bookmarkEnd w:id="84"/>
      <w:bookmarkEnd w:id="85"/>
      <w:bookmarkEnd w:id="86"/>
      <w:bookmarkEnd w:id="87"/>
      <w:bookmarkEnd w:id="88"/>
      <w:bookmarkEnd w:id="89"/>
      <w:bookmarkEnd w:id="90"/>
      <w:bookmarkEnd w:id="91"/>
      <w:bookmarkEnd w:id="92"/>
      <w:r>
        <w:rPr>
          <w:rFonts w:hint="eastAsia" w:ascii="仿宋" w:hAnsi="仿宋" w:eastAsia="仿宋" w:cs="仿宋"/>
          <w:color w:val="000000"/>
          <w:sz w:val="24"/>
          <w:highlight w:val="none"/>
          <w:lang w:val="en-US" w:eastAsia="zh-CN"/>
        </w:rPr>
        <w:t xml:space="preserve"> </w:t>
      </w:r>
      <w:r>
        <w:rPr>
          <w:rFonts w:hint="eastAsia" w:ascii="仿宋" w:hAnsi="仿宋" w:eastAsia="仿宋" w:cs="宋体"/>
          <w:color w:val="000000"/>
          <w:kern w:val="0"/>
          <w:sz w:val="24"/>
          <w:highlight w:val="none"/>
        </w:rPr>
        <w:t>响应文件递交截止时间后，供应商在响应有效期内撤销其响应文件，磋商保证金不予退还。</w:t>
      </w:r>
    </w:p>
    <w:p w14:paraId="57A8785E">
      <w:pPr>
        <w:pStyle w:val="5"/>
        <w:spacing w:before="0" w:after="0" w:line="360" w:lineRule="auto"/>
        <w:ind w:firstLine="482"/>
        <w:rPr>
          <w:rFonts w:hint="eastAsia" w:ascii="仿宋" w:hAnsi="仿宋" w:eastAsia="仿宋" w:cs="仿宋"/>
          <w:color w:val="000000"/>
          <w:sz w:val="24"/>
          <w:szCs w:val="24"/>
          <w:highlight w:val="none"/>
        </w:rPr>
      </w:pPr>
      <w:bookmarkStart w:id="93" w:name="_Toc20741"/>
      <w:bookmarkStart w:id="94" w:name="_Toc12797"/>
      <w:bookmarkStart w:id="95" w:name="_Toc287600123"/>
      <w:bookmarkStart w:id="96" w:name="_Toc517281821"/>
      <w:bookmarkStart w:id="97" w:name="_Toc6777"/>
      <w:bookmarkStart w:id="98" w:name="_Toc2636"/>
      <w:bookmarkStart w:id="99" w:name="_Toc444891341"/>
      <w:bookmarkStart w:id="100" w:name="_Toc11361"/>
      <w:bookmarkStart w:id="101" w:name="_Toc30466"/>
      <w:r>
        <w:rPr>
          <w:rFonts w:hint="eastAsia" w:ascii="仿宋" w:hAnsi="仿宋" w:eastAsia="仿宋" w:cs="仿宋"/>
          <w:color w:val="000000"/>
          <w:sz w:val="24"/>
          <w:szCs w:val="24"/>
          <w:highlight w:val="none"/>
        </w:rPr>
        <w:t>（五）竞争性磋商和评审</w:t>
      </w:r>
      <w:bookmarkEnd w:id="93"/>
      <w:bookmarkEnd w:id="94"/>
      <w:bookmarkEnd w:id="95"/>
      <w:bookmarkEnd w:id="96"/>
      <w:bookmarkEnd w:id="97"/>
      <w:bookmarkEnd w:id="98"/>
      <w:bookmarkEnd w:id="99"/>
      <w:bookmarkEnd w:id="100"/>
      <w:bookmarkEnd w:id="101"/>
    </w:p>
    <w:p w14:paraId="67A17D16">
      <w:pPr>
        <w:pStyle w:val="6"/>
        <w:spacing w:before="0" w:after="0" w:line="360" w:lineRule="auto"/>
        <w:jc w:val="left"/>
        <w:rPr>
          <w:rFonts w:hint="eastAsia" w:ascii="仿宋" w:hAnsi="仿宋" w:eastAsia="仿宋" w:cs="仿宋"/>
          <w:color w:val="000000"/>
          <w:sz w:val="24"/>
          <w:szCs w:val="24"/>
          <w:highlight w:val="none"/>
        </w:rPr>
      </w:pPr>
      <w:bookmarkStart w:id="102" w:name="_Toc234223229"/>
      <w:bookmarkStart w:id="103" w:name="_Toc234223227"/>
      <w:r>
        <w:rPr>
          <w:rFonts w:ascii="仿宋" w:hAnsi="仿宋" w:eastAsia="仿宋" w:cs="仿宋"/>
          <w:color w:val="000000"/>
          <w:sz w:val="24"/>
          <w:szCs w:val="24"/>
          <w:highlight w:val="none"/>
        </w:rPr>
        <w:t>17</w:t>
      </w:r>
      <w:r>
        <w:rPr>
          <w:rFonts w:hint="eastAsia" w:ascii="仿宋" w:hAnsi="仿宋" w:eastAsia="仿宋" w:cs="仿宋"/>
          <w:color w:val="000000"/>
          <w:sz w:val="24"/>
          <w:szCs w:val="24"/>
          <w:highlight w:val="none"/>
        </w:rPr>
        <w:t>.组建</w:t>
      </w:r>
      <w:bookmarkEnd w:id="102"/>
      <w:r>
        <w:rPr>
          <w:rFonts w:hint="eastAsia" w:ascii="仿宋" w:hAnsi="仿宋" w:eastAsia="仿宋" w:cs="仿宋"/>
          <w:color w:val="000000"/>
          <w:sz w:val="24"/>
          <w:szCs w:val="24"/>
          <w:highlight w:val="none"/>
        </w:rPr>
        <w:t>磋商小组</w:t>
      </w:r>
    </w:p>
    <w:p w14:paraId="0483DEC0">
      <w:pPr>
        <w:widowControl/>
        <w:topLinePunct/>
        <w:spacing w:line="360" w:lineRule="auto"/>
        <w:rPr>
          <w:rFonts w:ascii="仿宋" w:hAnsi="仿宋" w:eastAsia="仿宋" w:cs="宋体"/>
          <w:color w:val="000000"/>
          <w:kern w:val="0"/>
          <w:sz w:val="24"/>
          <w:highlight w:val="none"/>
        </w:rPr>
      </w:pPr>
      <w:r>
        <w:rPr>
          <w:rFonts w:hint="eastAsia" w:ascii="仿宋" w:hAnsi="仿宋" w:eastAsia="仿宋" w:cs="宋体"/>
          <w:color w:val="000000"/>
          <w:kern w:val="0"/>
          <w:sz w:val="24"/>
          <w:highlight w:val="none"/>
        </w:rPr>
        <w:t>1</w:t>
      </w:r>
      <w:r>
        <w:rPr>
          <w:rFonts w:ascii="仿宋" w:hAnsi="仿宋" w:eastAsia="仿宋" w:cs="宋体"/>
          <w:color w:val="000000"/>
          <w:kern w:val="0"/>
          <w:sz w:val="24"/>
          <w:highlight w:val="none"/>
        </w:rPr>
        <w:t>7.1</w:t>
      </w:r>
      <w:r>
        <w:rPr>
          <w:rFonts w:hint="eastAsia" w:ascii="仿宋" w:hAnsi="仿宋" w:eastAsia="仿宋" w:cs="宋体"/>
          <w:color w:val="000000"/>
          <w:kern w:val="0"/>
          <w:sz w:val="24"/>
          <w:highlight w:val="none"/>
        </w:rPr>
        <w:t>采购人依照企业采购管理制度的相关规定组建</w:t>
      </w:r>
      <w:r>
        <w:rPr>
          <w:rFonts w:hint="eastAsia" w:ascii="仿宋" w:hAnsi="仿宋" w:eastAsia="仿宋" w:cs="宋体"/>
          <w:color w:val="000000"/>
          <w:kern w:val="0"/>
          <w:sz w:val="24"/>
          <w:highlight w:val="none"/>
          <w:lang w:val="en-US" w:eastAsia="zh-CN"/>
        </w:rPr>
        <w:t>X</w:t>
      </w:r>
      <w:r>
        <w:rPr>
          <w:rFonts w:hint="eastAsia" w:ascii="仿宋" w:hAnsi="仿宋" w:eastAsia="仿宋" w:cs="宋体"/>
          <w:color w:val="000000"/>
          <w:kern w:val="0"/>
          <w:sz w:val="24"/>
          <w:highlight w:val="none"/>
        </w:rPr>
        <w:t>人及以上单数的磋商小组，具体人数</w:t>
      </w:r>
      <w:r>
        <w:rPr>
          <w:rFonts w:hint="eastAsia" w:ascii="仿宋" w:hAnsi="仿宋" w:eastAsia="仿宋" w:cs="仿宋"/>
          <w:color w:val="000000"/>
          <w:sz w:val="24"/>
          <w:highlight w:val="none"/>
        </w:rPr>
        <w:t>见</w:t>
      </w:r>
      <w:r>
        <w:rPr>
          <w:rFonts w:hint="eastAsia" w:ascii="仿宋" w:hAnsi="仿宋" w:eastAsia="仿宋" w:cs="仿宋"/>
          <w:color w:val="000000"/>
          <w:sz w:val="24"/>
          <w:highlight w:val="none"/>
          <w:u w:val="single"/>
        </w:rPr>
        <w:t>本须知前附表</w:t>
      </w:r>
      <w:r>
        <w:rPr>
          <w:rFonts w:hint="eastAsia" w:ascii="仿宋" w:hAnsi="仿宋" w:eastAsia="仿宋" w:cs="宋体"/>
          <w:color w:val="000000"/>
          <w:kern w:val="0"/>
          <w:sz w:val="24"/>
          <w:highlight w:val="none"/>
        </w:rPr>
        <w:t>，磋商小组成员名单在成交结果确定前保密。</w:t>
      </w:r>
    </w:p>
    <w:p w14:paraId="454268A2">
      <w:pPr>
        <w:widowControl/>
        <w:topLinePunct/>
        <w:spacing w:line="360" w:lineRule="auto"/>
        <w:rPr>
          <w:rFonts w:ascii="仿宋" w:hAnsi="仿宋" w:eastAsia="仿宋" w:cs="宋体"/>
          <w:color w:val="000000"/>
          <w:kern w:val="0"/>
          <w:sz w:val="24"/>
          <w:highlight w:val="none"/>
        </w:rPr>
      </w:pPr>
      <w:r>
        <w:rPr>
          <w:rFonts w:hint="eastAsia" w:ascii="仿宋" w:hAnsi="仿宋" w:eastAsia="仿宋" w:cs="宋体"/>
          <w:color w:val="000000"/>
          <w:kern w:val="0"/>
          <w:sz w:val="24"/>
          <w:highlight w:val="none"/>
        </w:rPr>
        <w:t>1</w:t>
      </w:r>
      <w:r>
        <w:rPr>
          <w:rFonts w:ascii="仿宋" w:hAnsi="仿宋" w:eastAsia="仿宋" w:cs="宋体"/>
          <w:color w:val="000000"/>
          <w:kern w:val="0"/>
          <w:sz w:val="24"/>
          <w:highlight w:val="none"/>
        </w:rPr>
        <w:t>7.2</w:t>
      </w:r>
      <w:r>
        <w:rPr>
          <w:rFonts w:hint="eastAsia" w:ascii="仿宋" w:hAnsi="仿宋" w:eastAsia="仿宋" w:cs="宋体"/>
          <w:color w:val="000000"/>
          <w:kern w:val="0"/>
          <w:sz w:val="24"/>
          <w:highlight w:val="none"/>
        </w:rPr>
        <w:t>磋商小组成员应当按照客观、公正、审慎的原则，根据磋商文件规定的评审程序、评审方法和评审标准进行独立评审。</w:t>
      </w:r>
    </w:p>
    <w:p w14:paraId="09024ED7">
      <w:pPr>
        <w:pStyle w:val="6"/>
        <w:spacing w:before="0" w:after="0" w:line="360" w:lineRule="auto"/>
        <w:jc w:val="left"/>
        <w:rPr>
          <w:rFonts w:ascii="仿宋" w:hAnsi="仿宋" w:eastAsia="仿宋" w:cs="仿宋"/>
          <w:color w:val="000000"/>
          <w:sz w:val="24"/>
          <w:szCs w:val="24"/>
          <w:highlight w:val="none"/>
        </w:rPr>
      </w:pPr>
      <w:bookmarkStart w:id="104" w:name="_Toc234223228"/>
      <w:r>
        <w:rPr>
          <w:rFonts w:ascii="仿宋" w:hAnsi="仿宋" w:eastAsia="仿宋" w:cs="仿宋"/>
          <w:color w:val="000000"/>
          <w:sz w:val="24"/>
          <w:szCs w:val="24"/>
          <w:highlight w:val="none"/>
        </w:rPr>
        <w:t>18</w:t>
      </w:r>
      <w:r>
        <w:rPr>
          <w:rFonts w:hint="eastAsia" w:ascii="仿宋" w:hAnsi="仿宋" w:eastAsia="仿宋" w:cs="仿宋"/>
          <w:color w:val="000000"/>
          <w:sz w:val="24"/>
          <w:szCs w:val="24"/>
          <w:highlight w:val="none"/>
        </w:rPr>
        <w:t>.初步评审</w:t>
      </w:r>
    </w:p>
    <w:p w14:paraId="40175A0E">
      <w:pPr>
        <w:widowControl/>
        <w:topLinePunct/>
        <w:spacing w:line="360" w:lineRule="auto"/>
        <w:rPr>
          <w:rFonts w:ascii="仿宋" w:hAnsi="仿宋" w:eastAsia="仿宋" w:cs="宋体"/>
          <w:color w:val="000000"/>
          <w:kern w:val="0"/>
          <w:sz w:val="24"/>
          <w:highlight w:val="none"/>
        </w:rPr>
      </w:pPr>
      <w:r>
        <w:rPr>
          <w:rFonts w:hint="eastAsia" w:ascii="仿宋" w:hAnsi="仿宋" w:eastAsia="仿宋" w:cs="宋体"/>
          <w:color w:val="000000"/>
          <w:kern w:val="0"/>
          <w:sz w:val="24"/>
          <w:highlight w:val="none"/>
        </w:rPr>
        <w:t>1</w:t>
      </w:r>
      <w:r>
        <w:rPr>
          <w:rFonts w:ascii="仿宋" w:hAnsi="仿宋" w:eastAsia="仿宋" w:cs="宋体"/>
          <w:color w:val="000000"/>
          <w:kern w:val="0"/>
          <w:sz w:val="24"/>
          <w:highlight w:val="none"/>
        </w:rPr>
        <w:t>8.1</w:t>
      </w:r>
      <w:r>
        <w:rPr>
          <w:rFonts w:hint="eastAsia" w:ascii="仿宋" w:hAnsi="仿宋" w:eastAsia="仿宋" w:cs="宋体"/>
          <w:color w:val="000000"/>
          <w:kern w:val="0"/>
          <w:sz w:val="24"/>
          <w:highlight w:val="none"/>
        </w:rPr>
        <w:t>磋商小组按照第三章</w:t>
      </w:r>
      <w:r>
        <w:rPr>
          <w:rFonts w:hint="eastAsia" w:ascii="仿宋" w:hAnsi="仿宋" w:eastAsia="仿宋" w:cs="宋体"/>
          <w:color w:val="000000"/>
          <w:kern w:val="0"/>
          <w:sz w:val="24"/>
        </w:rPr>
        <w:t>评审办法中初步评审的内容及要求</w:t>
      </w:r>
      <w:r>
        <w:rPr>
          <w:rFonts w:hint="eastAsia" w:ascii="仿宋" w:hAnsi="仿宋" w:eastAsia="仿宋" w:cs="宋体"/>
          <w:color w:val="000000"/>
          <w:kern w:val="0"/>
          <w:sz w:val="24"/>
          <w:highlight w:val="none"/>
        </w:rPr>
        <w:t>，对响应文件进行初步评审。通过初步评审的供应商进入磋商环节，未通过初步评审的供应商，其磋商响应将被否决，不进入磋商、详细评审等后续环节。</w:t>
      </w:r>
    </w:p>
    <w:p w14:paraId="5BBEF6AA">
      <w:pPr>
        <w:widowControl/>
        <w:topLinePunct/>
        <w:spacing w:line="360" w:lineRule="auto"/>
        <w:rPr>
          <w:rFonts w:hint="eastAsia" w:ascii="仿宋" w:hAnsi="仿宋" w:eastAsia="仿宋" w:cs="宋体"/>
          <w:color w:val="000000"/>
          <w:kern w:val="0"/>
          <w:sz w:val="24"/>
          <w:highlight w:val="none"/>
        </w:rPr>
      </w:pPr>
      <w:r>
        <w:rPr>
          <w:rFonts w:hint="eastAsia" w:ascii="仿宋" w:hAnsi="仿宋" w:eastAsia="仿宋" w:cs="宋体"/>
          <w:color w:val="000000"/>
          <w:kern w:val="0"/>
          <w:sz w:val="24"/>
          <w:highlight w:val="none"/>
        </w:rPr>
        <w:t>1</w:t>
      </w:r>
      <w:r>
        <w:rPr>
          <w:rFonts w:ascii="仿宋" w:hAnsi="仿宋" w:eastAsia="仿宋" w:cs="宋体"/>
          <w:color w:val="000000"/>
          <w:kern w:val="0"/>
          <w:sz w:val="24"/>
          <w:highlight w:val="none"/>
        </w:rPr>
        <w:t>8.2</w:t>
      </w:r>
      <w:r>
        <w:rPr>
          <w:rFonts w:hint="eastAsia" w:ascii="仿宋" w:hAnsi="仿宋" w:eastAsia="仿宋" w:cs="宋体"/>
          <w:color w:val="000000"/>
          <w:kern w:val="0"/>
          <w:sz w:val="24"/>
          <w:highlight w:val="none"/>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14:paraId="0CA840AD">
      <w:pPr>
        <w:widowControl/>
        <w:topLinePunct/>
        <w:spacing w:line="360" w:lineRule="auto"/>
        <w:rPr>
          <w:rFonts w:ascii="仿宋" w:hAnsi="仿宋" w:eastAsia="仿宋" w:cs="仿宋"/>
          <w:b/>
          <w:bCs/>
          <w:sz w:val="24"/>
          <w:highlight w:val="none"/>
        </w:rPr>
      </w:pPr>
      <w:r>
        <w:rPr>
          <w:rFonts w:hint="eastAsia" w:ascii="仿宋" w:hAnsi="仿宋" w:eastAsia="仿宋" w:cs="宋体"/>
          <w:color w:val="000000"/>
          <w:kern w:val="0"/>
          <w:sz w:val="24"/>
          <w:highlight w:val="none"/>
        </w:rPr>
        <w:t>18</w:t>
      </w:r>
      <w:r>
        <w:rPr>
          <w:rFonts w:ascii="仿宋" w:hAnsi="仿宋" w:eastAsia="仿宋" w:cs="宋体"/>
          <w:color w:val="000000"/>
          <w:kern w:val="0"/>
          <w:sz w:val="24"/>
          <w:highlight w:val="none"/>
        </w:rPr>
        <w:t>.3</w:t>
      </w:r>
      <w:r>
        <w:rPr>
          <w:rFonts w:hint="eastAsia" w:ascii="仿宋" w:hAnsi="仿宋" w:eastAsia="仿宋" w:cs="宋体"/>
          <w:color w:val="000000"/>
          <w:kern w:val="0"/>
          <w:sz w:val="24"/>
          <w:highlight w:val="none"/>
        </w:rPr>
        <w:t>磋商小组对供应商递交的澄清、说明或补正有疑问的，可以要求供应商进一步澄清、说明或者补正，直至满足磋商小组的要求。拒不按要求进行澄清、说明或者补正的供应商</w:t>
      </w:r>
      <w:r>
        <w:rPr>
          <w:rFonts w:hint="eastAsia" w:ascii="仿宋" w:hAnsi="仿宋" w:eastAsia="仿宋" w:cs="仿宋"/>
          <w:b/>
          <w:bCs/>
          <w:sz w:val="24"/>
          <w:highlight w:val="none"/>
        </w:rPr>
        <w:t>，磋商小组有权对其响应做否决处理。</w:t>
      </w:r>
    </w:p>
    <w:p w14:paraId="55875D32">
      <w:pPr>
        <w:widowControl/>
        <w:topLinePunct/>
        <w:spacing w:line="360" w:lineRule="auto"/>
        <w:rPr>
          <w:rFonts w:hint="eastAsia"/>
          <w:highlight w:val="none"/>
        </w:rPr>
      </w:pPr>
      <w:r>
        <w:rPr>
          <w:rFonts w:hint="eastAsia" w:ascii="仿宋" w:hAnsi="仿宋" w:eastAsia="仿宋" w:cs="宋体"/>
          <w:color w:val="000000"/>
          <w:kern w:val="0"/>
          <w:sz w:val="24"/>
          <w:highlight w:val="none"/>
        </w:rPr>
        <w:t>18</w:t>
      </w:r>
      <w:r>
        <w:rPr>
          <w:rFonts w:ascii="仿宋" w:hAnsi="仿宋" w:eastAsia="仿宋" w:cs="宋体"/>
          <w:color w:val="000000"/>
          <w:kern w:val="0"/>
          <w:sz w:val="24"/>
          <w:highlight w:val="none"/>
        </w:rPr>
        <w:t>.4</w:t>
      </w:r>
      <w:r>
        <w:rPr>
          <w:rFonts w:hint="eastAsia" w:ascii="仿宋" w:hAnsi="仿宋" w:eastAsia="仿宋" w:cs="宋体"/>
          <w:color w:val="000000"/>
          <w:kern w:val="0"/>
          <w:sz w:val="24"/>
          <w:highlight w:val="none"/>
        </w:rPr>
        <w:t>磋商小组必要时可以要求供应商提交有关证明和证件的原件，以便核验。拒不按要求提供原件的供应商，</w:t>
      </w:r>
      <w:r>
        <w:rPr>
          <w:rFonts w:hint="eastAsia" w:ascii="仿宋" w:hAnsi="仿宋" w:eastAsia="仿宋" w:cs="仿宋"/>
          <w:b/>
          <w:bCs/>
          <w:sz w:val="24"/>
          <w:highlight w:val="none"/>
        </w:rPr>
        <w:t>磋商小组有权对其响应做否决处理。</w:t>
      </w:r>
    </w:p>
    <w:p w14:paraId="4025B45C">
      <w:pPr>
        <w:pStyle w:val="6"/>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r>
        <w:rPr>
          <w:rFonts w:ascii="仿宋" w:hAnsi="仿宋" w:eastAsia="仿宋" w:cs="仿宋"/>
          <w:color w:val="000000"/>
          <w:sz w:val="24"/>
          <w:szCs w:val="24"/>
          <w:highlight w:val="none"/>
        </w:rPr>
        <w:t>9.</w:t>
      </w:r>
      <w:r>
        <w:rPr>
          <w:rFonts w:hint="eastAsia" w:ascii="仿宋" w:hAnsi="仿宋" w:eastAsia="仿宋" w:cs="仿宋"/>
          <w:color w:val="000000"/>
          <w:sz w:val="24"/>
          <w:szCs w:val="24"/>
          <w:highlight w:val="none"/>
        </w:rPr>
        <w:t>磋商程序</w:t>
      </w:r>
    </w:p>
    <w:p w14:paraId="692453D8">
      <w:pPr>
        <w:spacing w:line="360" w:lineRule="auto"/>
        <w:jc w:val="left"/>
        <w:rPr>
          <w:rFonts w:ascii="仿宋" w:hAnsi="仿宋" w:eastAsia="仿宋" w:cs="仿宋"/>
          <w:color w:val="000000"/>
          <w:sz w:val="24"/>
          <w:highlight w:val="none"/>
          <w:u w:val="single"/>
        </w:rPr>
      </w:pPr>
      <w:r>
        <w:rPr>
          <w:rFonts w:ascii="仿宋" w:hAnsi="仿宋" w:eastAsia="仿宋" w:cs="仿宋"/>
          <w:color w:val="000000"/>
          <w:sz w:val="24"/>
          <w:highlight w:val="none"/>
        </w:rPr>
        <w:t>19</w:t>
      </w:r>
      <w:r>
        <w:rPr>
          <w:rFonts w:hint="eastAsia" w:ascii="仿宋" w:hAnsi="仿宋" w:eastAsia="仿宋" w:cs="仿宋"/>
          <w:color w:val="000000"/>
          <w:sz w:val="24"/>
          <w:highlight w:val="none"/>
        </w:rPr>
        <w:t>.1磋商小组所有成员应当集中与通过初步评审的单一供应商分别进行磋商，并给予所有参加磋商的供应商平等的磋商机会。供应商磋商顺序、磋商形式以及其他要求等</w:t>
      </w:r>
      <w:r>
        <w:rPr>
          <w:rFonts w:hint="eastAsia" w:ascii="仿宋" w:hAnsi="仿宋" w:eastAsia="仿宋" w:cs="仿宋"/>
          <w:color w:val="000000"/>
          <w:sz w:val="24"/>
          <w:highlight w:val="none"/>
          <w:u w:val="single"/>
        </w:rPr>
        <w:t>详见本须知前附表。</w:t>
      </w:r>
    </w:p>
    <w:p w14:paraId="781EA1E6">
      <w:pPr>
        <w:spacing w:line="360" w:lineRule="auto"/>
        <w:jc w:val="left"/>
        <w:rPr>
          <w:rFonts w:ascii="仿宋" w:hAnsi="仿宋" w:eastAsia="仿宋" w:cs="仿宋"/>
          <w:color w:val="000000"/>
          <w:sz w:val="24"/>
          <w:highlight w:val="none"/>
        </w:rPr>
      </w:pPr>
      <w:r>
        <w:rPr>
          <w:rFonts w:ascii="仿宋" w:hAnsi="仿宋" w:eastAsia="仿宋" w:cs="仿宋"/>
          <w:color w:val="000000"/>
          <w:sz w:val="24"/>
          <w:highlight w:val="none"/>
        </w:rPr>
        <w:t>19.2</w:t>
      </w:r>
      <w:r>
        <w:rPr>
          <w:rFonts w:hint="eastAsia" w:ascii="仿宋" w:hAnsi="仿宋" w:eastAsia="仿宋" w:cs="仿宋"/>
          <w:color w:val="000000"/>
          <w:sz w:val="24"/>
          <w:highlight w:val="none"/>
        </w:rPr>
        <w:t>磋商小组与供应商就磋商文件中的价格、商务内容、技术内容或有待供应商进一步明确的内容等进行一对一磋商，并要求实质性响应的供应商提交最终报价。具体磋商内容详见</w:t>
      </w:r>
      <w:r>
        <w:rPr>
          <w:rFonts w:hint="eastAsia" w:ascii="仿宋" w:hAnsi="仿宋" w:eastAsia="仿宋" w:cs="仿宋"/>
          <w:color w:val="000000"/>
          <w:sz w:val="24"/>
          <w:highlight w:val="none"/>
          <w:u w:val="single"/>
        </w:rPr>
        <w:t>本须知前附表</w:t>
      </w:r>
      <w:r>
        <w:rPr>
          <w:rFonts w:hint="eastAsia" w:ascii="仿宋" w:hAnsi="仿宋" w:eastAsia="仿宋" w:cs="仿宋"/>
          <w:color w:val="000000"/>
          <w:sz w:val="24"/>
          <w:highlight w:val="none"/>
        </w:rPr>
        <w:t>。</w:t>
      </w:r>
    </w:p>
    <w:p w14:paraId="31F2D5B6">
      <w:pPr>
        <w:spacing w:line="360" w:lineRule="auto"/>
        <w:jc w:val="left"/>
        <w:rPr>
          <w:rFonts w:ascii="仿宋" w:hAnsi="仿宋" w:eastAsia="仿宋" w:cs="仿宋"/>
          <w:color w:val="000000"/>
          <w:sz w:val="24"/>
          <w:highlight w:val="none"/>
        </w:rPr>
      </w:pPr>
      <w:r>
        <w:rPr>
          <w:rFonts w:ascii="仿宋" w:hAnsi="仿宋" w:eastAsia="仿宋" w:cs="仿宋"/>
          <w:color w:val="000000"/>
          <w:sz w:val="24"/>
          <w:highlight w:val="none"/>
        </w:rPr>
        <w:t>19.3</w:t>
      </w:r>
      <w:r>
        <w:rPr>
          <w:rFonts w:hint="eastAsia" w:ascii="仿宋" w:hAnsi="仿宋" w:eastAsia="仿宋" w:cs="仿宋"/>
          <w:color w:val="000000"/>
          <w:sz w:val="24"/>
          <w:highlight w:val="none"/>
        </w:rPr>
        <w:t>磋商小组可视情况要求供应商进行多轮磋商及报价。磋商中，任何一方不得向第三方透露与磋商有关的任何信息。</w:t>
      </w:r>
    </w:p>
    <w:bookmarkEnd w:id="104"/>
    <w:p w14:paraId="52CA974A">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19.4各轮报价有算术错误的，磋商小组按照以下原则对报价进行修正，修正的价格经供应商书面确认后具有约束力。供应商不接受或不确认修正后价格的，磋商小组</w:t>
      </w:r>
      <w:r>
        <w:rPr>
          <w:rFonts w:hint="eastAsia" w:ascii="仿宋" w:hAnsi="仿宋" w:eastAsia="仿宋" w:cs="仿宋"/>
          <w:b/>
          <w:bCs/>
          <w:color w:val="000000"/>
          <w:sz w:val="24"/>
          <w:highlight w:val="none"/>
        </w:rPr>
        <w:t>应当否决其响应</w:t>
      </w:r>
      <w:r>
        <w:rPr>
          <w:rFonts w:hint="eastAsia" w:ascii="仿宋" w:hAnsi="仿宋" w:eastAsia="仿宋" w:cs="仿宋"/>
          <w:color w:val="000000"/>
          <w:sz w:val="24"/>
          <w:highlight w:val="none"/>
        </w:rPr>
        <w:t>。</w:t>
      </w:r>
    </w:p>
    <w:p w14:paraId="228C6DB1">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（1）大写金额与小写金额不一致的，以大写金额为准；</w:t>
      </w:r>
    </w:p>
    <w:p w14:paraId="5868EEC5">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（2）总价金额与根据单价计算出的结果不一致的，以单价金额为准修正总价，但单价金额小数点有明显错误的除外。</w:t>
      </w:r>
    </w:p>
    <w:bookmarkEnd w:id="103"/>
    <w:p w14:paraId="466800A0">
      <w:pPr>
        <w:pStyle w:val="6"/>
        <w:spacing w:before="0" w:after="0" w:line="360" w:lineRule="auto"/>
        <w:jc w:val="left"/>
        <w:rPr>
          <w:rFonts w:hint="eastAsia" w:ascii="仿宋" w:hAnsi="仿宋" w:eastAsia="仿宋" w:cs="仿宋"/>
          <w:color w:val="000000"/>
          <w:sz w:val="24"/>
          <w:szCs w:val="24"/>
          <w:highlight w:val="none"/>
        </w:rPr>
      </w:pPr>
      <w:r>
        <w:rPr>
          <w:rFonts w:ascii="仿宋" w:hAnsi="仿宋" w:eastAsia="仿宋" w:cs="仿宋"/>
          <w:color w:val="000000"/>
          <w:sz w:val="24"/>
          <w:szCs w:val="24"/>
          <w:highlight w:val="none"/>
        </w:rPr>
        <w:t>20</w:t>
      </w:r>
      <w:r>
        <w:rPr>
          <w:rFonts w:hint="eastAsia" w:ascii="仿宋" w:hAnsi="仿宋" w:eastAsia="仿宋" w:cs="仿宋"/>
          <w:color w:val="000000"/>
          <w:sz w:val="24"/>
          <w:szCs w:val="24"/>
          <w:highlight w:val="none"/>
        </w:rPr>
        <w:t>.详细评审</w:t>
      </w:r>
    </w:p>
    <w:p w14:paraId="7D7DEC1C">
      <w:pPr>
        <w:spacing w:line="360" w:lineRule="auto"/>
        <w:jc w:val="left"/>
        <w:rPr>
          <w:rFonts w:hint="eastAsia" w:ascii="仿宋" w:hAnsi="仿宋" w:eastAsia="仿宋" w:cs="仿宋"/>
          <w:color w:val="000000"/>
          <w:sz w:val="24"/>
          <w:highlight w:val="none"/>
        </w:rPr>
      </w:pPr>
      <w:r>
        <w:rPr>
          <w:rFonts w:ascii="仿宋" w:hAnsi="仿宋" w:eastAsia="仿宋" w:cs="仿宋"/>
          <w:color w:val="000000"/>
          <w:sz w:val="24"/>
          <w:highlight w:val="none"/>
        </w:rPr>
        <w:t>20</w:t>
      </w:r>
      <w:r>
        <w:rPr>
          <w:rFonts w:hint="eastAsia" w:ascii="仿宋" w:hAnsi="仿宋" w:eastAsia="仿宋" w:cs="仿宋"/>
          <w:color w:val="000000"/>
          <w:sz w:val="24"/>
          <w:highlight w:val="none"/>
        </w:rPr>
        <w:t>.1磋商小组采用综合评分法对提交最终报价的供应商的响应文件及其最终报价进行综合评分。综合评分法，是指响应文件满足磋商文件全部实质性要求且按评审因素的量化指标评审得分最高的供应商为成交候选人的评审方法。磋商文件中没有规定的评审标准不得作为评审依据。</w:t>
      </w:r>
    </w:p>
    <w:p w14:paraId="5204D02B">
      <w:pPr>
        <w:spacing w:line="360" w:lineRule="auto"/>
        <w:jc w:val="left"/>
        <w:rPr>
          <w:rFonts w:hint="eastAsia" w:ascii="仿宋" w:hAnsi="仿宋" w:eastAsia="仿宋" w:cs="仿宋"/>
          <w:color w:val="000000"/>
          <w:sz w:val="24"/>
          <w:highlight w:val="none"/>
        </w:rPr>
      </w:pPr>
      <w:r>
        <w:rPr>
          <w:rFonts w:ascii="仿宋" w:hAnsi="仿宋" w:eastAsia="仿宋" w:cs="仿宋"/>
          <w:color w:val="000000"/>
          <w:sz w:val="24"/>
          <w:highlight w:val="none"/>
        </w:rPr>
        <w:t>20</w:t>
      </w:r>
      <w:r>
        <w:rPr>
          <w:rFonts w:hint="eastAsia" w:ascii="仿宋" w:hAnsi="仿宋" w:eastAsia="仿宋" w:cs="仿宋"/>
          <w:color w:val="000000"/>
          <w:sz w:val="24"/>
          <w:highlight w:val="none"/>
        </w:rPr>
        <w:t>.2发生以下情形之一的，原则上做终止采购处理：</w:t>
      </w:r>
    </w:p>
    <w:p w14:paraId="5119A02C">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（1）出现影响采购公正的违法、违规行为的；</w:t>
      </w:r>
    </w:p>
    <w:p w14:paraId="64820500">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（2）成交候选人报价超过预算金额，采购需求方无法解决的；</w:t>
      </w:r>
    </w:p>
    <w:p w14:paraId="33A363FA">
      <w:pPr>
        <w:spacing w:line="360" w:lineRule="auto"/>
        <w:jc w:val="lef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（3）成交人为N家（1＜N≤3）的项目，有效供应商少于2N家（不含本数）；成交人为N家（N＞3）的项目，有效供应商少于1.5N家（不含本数）。 </w:t>
      </w:r>
    </w:p>
    <w:p w14:paraId="686F8F91">
      <w:pPr>
        <w:widowControl/>
        <w:topLinePunct/>
        <w:spacing w:line="360" w:lineRule="auto"/>
        <w:rPr>
          <w:rFonts w:hint="eastAsia" w:ascii="仿宋" w:hAnsi="仿宋" w:eastAsia="仿宋" w:cs="仿宋"/>
          <w:color w:val="000000"/>
          <w:sz w:val="24"/>
          <w:highlight w:val="none"/>
        </w:rPr>
      </w:pPr>
      <w:r>
        <w:rPr>
          <w:rFonts w:ascii="仿宋" w:hAnsi="仿宋" w:eastAsia="仿宋" w:cs="仿宋"/>
          <w:color w:val="000000"/>
          <w:sz w:val="24"/>
          <w:highlight w:val="none"/>
        </w:rPr>
        <w:t>20</w:t>
      </w:r>
      <w:r>
        <w:rPr>
          <w:rFonts w:hint="eastAsia" w:ascii="仿宋" w:hAnsi="仿宋" w:eastAsia="仿宋" w:cs="仿宋"/>
          <w:color w:val="000000"/>
          <w:sz w:val="24"/>
          <w:highlight w:val="none"/>
        </w:rPr>
        <w:t>.</w:t>
      </w:r>
      <w:r>
        <w:rPr>
          <w:rFonts w:ascii="仿宋" w:hAnsi="仿宋" w:eastAsia="仿宋" w:cs="仿宋"/>
          <w:color w:val="000000"/>
          <w:sz w:val="24"/>
          <w:highlight w:val="none"/>
        </w:rPr>
        <w:t>3</w:t>
      </w:r>
      <w:r>
        <w:rPr>
          <w:rFonts w:hint="eastAsia" w:ascii="仿宋" w:hAnsi="仿宋" w:eastAsia="仿宋" w:cs="仿宋"/>
          <w:color w:val="000000"/>
          <w:sz w:val="24"/>
          <w:highlight w:val="none"/>
        </w:rPr>
        <w:t>成交候选人推荐原则</w:t>
      </w:r>
      <w:r>
        <w:rPr>
          <w:rFonts w:hint="eastAsia" w:ascii="仿宋" w:hAnsi="仿宋" w:eastAsia="仿宋" w:cs="仿宋"/>
          <w:color w:val="000000"/>
          <w:sz w:val="24"/>
          <w:highlight w:val="none"/>
          <w:u w:val="single"/>
        </w:rPr>
        <w:t>详见本须知前附表</w:t>
      </w:r>
      <w:r>
        <w:rPr>
          <w:rFonts w:hint="eastAsia" w:ascii="仿宋" w:hAnsi="仿宋" w:eastAsia="仿宋" w:cs="仿宋"/>
          <w:color w:val="000000"/>
          <w:sz w:val="24"/>
          <w:highlight w:val="none"/>
        </w:rPr>
        <w:t>。</w:t>
      </w:r>
      <w:r>
        <w:rPr>
          <w:rFonts w:hint="eastAsia" w:ascii="仿宋" w:hAnsi="仿宋" w:eastAsia="仿宋" w:cs="宋体"/>
          <w:color w:val="000000"/>
          <w:kern w:val="0"/>
          <w:sz w:val="24"/>
          <w:highlight w:val="none"/>
        </w:rPr>
        <w:t>成交候选人的经营、财务状况发生较大变化或者存在违法行为，采购人认为可能影响其履约能力的，应当在发出成交通知书前由原磋商小组会按照磋商文件规定的标准和方法审查确认。</w:t>
      </w:r>
    </w:p>
    <w:p w14:paraId="191657E9">
      <w:pPr>
        <w:pStyle w:val="5"/>
        <w:spacing w:before="0" w:after="0" w:line="360" w:lineRule="auto"/>
        <w:ind w:firstLine="482"/>
        <w:rPr>
          <w:rFonts w:hint="eastAsia" w:ascii="仿宋" w:hAnsi="仿宋" w:eastAsia="仿宋" w:cs="仿宋"/>
          <w:color w:val="000000"/>
          <w:sz w:val="24"/>
          <w:szCs w:val="24"/>
          <w:highlight w:val="none"/>
        </w:rPr>
      </w:pPr>
      <w:bookmarkStart w:id="105" w:name="_Toc9911"/>
      <w:bookmarkStart w:id="106" w:name="_Toc16781"/>
      <w:bookmarkStart w:id="107" w:name="_Toc444891342"/>
      <w:bookmarkStart w:id="108" w:name="_Toc19451"/>
      <w:bookmarkStart w:id="109" w:name="_Toc234223231"/>
      <w:bookmarkStart w:id="110" w:name="_Toc287600124"/>
      <w:bookmarkStart w:id="111" w:name="_Toc7583"/>
      <w:bookmarkStart w:id="112" w:name="_Toc13936"/>
      <w:bookmarkStart w:id="113" w:name="_Toc517281822"/>
      <w:bookmarkStart w:id="114" w:name="_Toc2322"/>
      <w:r>
        <w:rPr>
          <w:rFonts w:hint="eastAsia" w:ascii="仿宋" w:hAnsi="仿宋" w:eastAsia="仿宋" w:cs="仿宋"/>
          <w:color w:val="000000"/>
          <w:sz w:val="24"/>
          <w:szCs w:val="24"/>
          <w:highlight w:val="none"/>
        </w:rPr>
        <w:t>（六）授予合同</w:t>
      </w:r>
      <w:bookmarkEnd w:id="105"/>
      <w:bookmarkEnd w:id="106"/>
      <w:bookmarkEnd w:id="107"/>
      <w:bookmarkEnd w:id="108"/>
      <w:bookmarkEnd w:id="109"/>
      <w:bookmarkEnd w:id="110"/>
      <w:bookmarkEnd w:id="111"/>
      <w:bookmarkEnd w:id="112"/>
      <w:bookmarkEnd w:id="113"/>
      <w:bookmarkEnd w:id="114"/>
    </w:p>
    <w:p w14:paraId="40462E37">
      <w:pPr>
        <w:pStyle w:val="6"/>
        <w:spacing w:before="0" w:after="0" w:line="360" w:lineRule="auto"/>
        <w:jc w:val="left"/>
        <w:rPr>
          <w:rFonts w:hint="eastAsia" w:ascii="仿宋" w:hAnsi="仿宋" w:eastAsia="仿宋" w:cs="仿宋"/>
          <w:color w:val="000000"/>
          <w:sz w:val="24"/>
          <w:szCs w:val="24"/>
          <w:highlight w:val="none"/>
        </w:rPr>
      </w:pPr>
      <w:bookmarkStart w:id="115" w:name="_Toc234223232"/>
      <w:r>
        <w:rPr>
          <w:rFonts w:hint="eastAsia" w:ascii="仿宋" w:hAnsi="仿宋" w:eastAsia="仿宋" w:cs="仿宋"/>
          <w:color w:val="000000"/>
          <w:sz w:val="24"/>
          <w:szCs w:val="24"/>
          <w:highlight w:val="none"/>
        </w:rPr>
        <w:t>2</w:t>
      </w:r>
      <w:r>
        <w:rPr>
          <w:rFonts w:ascii="仿宋" w:hAnsi="仿宋" w:eastAsia="仿宋" w:cs="仿宋"/>
          <w:color w:val="000000"/>
          <w:sz w:val="24"/>
          <w:szCs w:val="24"/>
          <w:highlight w:val="none"/>
        </w:rPr>
        <w:t>1</w:t>
      </w:r>
      <w:r>
        <w:rPr>
          <w:rFonts w:hint="eastAsia" w:ascii="仿宋" w:hAnsi="仿宋" w:eastAsia="仿宋" w:cs="仿宋"/>
          <w:color w:val="000000"/>
          <w:sz w:val="24"/>
          <w:szCs w:val="24"/>
          <w:highlight w:val="none"/>
        </w:rPr>
        <w:t>.确定</w:t>
      </w:r>
      <w:bookmarkEnd w:id="115"/>
      <w:r>
        <w:rPr>
          <w:rFonts w:hint="eastAsia" w:ascii="仿宋" w:hAnsi="仿宋" w:eastAsia="仿宋" w:cs="仿宋"/>
          <w:color w:val="000000"/>
          <w:sz w:val="24"/>
          <w:szCs w:val="24"/>
          <w:highlight w:val="none"/>
        </w:rPr>
        <w:t>成交人</w:t>
      </w:r>
    </w:p>
    <w:p w14:paraId="434DB848">
      <w:pPr>
        <w:spacing w:line="360" w:lineRule="auto"/>
        <w:jc w:val="left"/>
        <w:rPr>
          <w:rFonts w:ascii="仿宋" w:hAnsi="仿宋" w:eastAsia="仿宋" w:cs="仿宋"/>
          <w:color w:val="000000"/>
          <w:sz w:val="24"/>
          <w:highlight w:val="none"/>
        </w:rPr>
      </w:pPr>
      <w:r>
        <w:rPr>
          <w:rFonts w:ascii="仿宋" w:hAnsi="仿宋" w:eastAsia="仿宋" w:cs="仿宋"/>
          <w:color w:val="000000"/>
          <w:sz w:val="24"/>
          <w:highlight w:val="none"/>
        </w:rPr>
        <w:t>21.1</w:t>
      </w:r>
      <w:r>
        <w:rPr>
          <w:rFonts w:hint="eastAsia" w:ascii="仿宋" w:hAnsi="仿宋" w:eastAsia="仿宋" w:cs="仿宋"/>
          <w:color w:val="000000"/>
          <w:sz w:val="24"/>
          <w:highlight w:val="none"/>
        </w:rPr>
        <w:t>采购人依据磋商小组推荐的成交候选人名单确定成交人，成交人数量</w:t>
      </w:r>
      <w:r>
        <w:rPr>
          <w:rFonts w:hint="eastAsia" w:ascii="仿宋" w:hAnsi="仿宋" w:eastAsia="仿宋" w:cs="仿宋"/>
          <w:color w:val="000000"/>
          <w:sz w:val="24"/>
          <w:highlight w:val="none"/>
          <w:u w:val="single"/>
        </w:rPr>
        <w:t>见本须知前附表</w:t>
      </w:r>
      <w:r>
        <w:rPr>
          <w:rFonts w:hint="eastAsia" w:ascii="仿宋" w:hAnsi="仿宋" w:eastAsia="仿宋" w:cs="仿宋"/>
          <w:color w:val="000000"/>
          <w:sz w:val="24"/>
          <w:highlight w:val="none"/>
        </w:rPr>
        <w:t>。</w:t>
      </w:r>
    </w:p>
    <w:p w14:paraId="01C7929A">
      <w:pPr>
        <w:widowControl/>
        <w:topLinePunct/>
        <w:spacing w:line="360" w:lineRule="auto"/>
        <w:rPr>
          <w:rFonts w:ascii="仿宋" w:hAnsi="仿宋" w:eastAsia="仿宋" w:cs="宋体"/>
          <w:color w:val="000000"/>
          <w:kern w:val="0"/>
          <w:sz w:val="24"/>
          <w:highlight w:val="none"/>
        </w:rPr>
      </w:pPr>
      <w:r>
        <w:rPr>
          <w:rFonts w:ascii="仿宋" w:hAnsi="仿宋" w:eastAsia="仿宋" w:cs="宋体"/>
          <w:color w:val="000000"/>
          <w:kern w:val="0"/>
          <w:sz w:val="24"/>
          <w:highlight w:val="none"/>
        </w:rPr>
        <w:t>21.</w:t>
      </w:r>
      <w:r>
        <w:rPr>
          <w:rFonts w:hint="eastAsia" w:ascii="仿宋" w:hAnsi="仿宋" w:eastAsia="仿宋" w:cs="宋体"/>
          <w:color w:val="000000"/>
          <w:kern w:val="0"/>
          <w:sz w:val="24"/>
          <w:highlight w:val="none"/>
          <w:lang w:val="en-US" w:eastAsia="zh-CN"/>
        </w:rPr>
        <w:t>2</w:t>
      </w:r>
      <w:r>
        <w:rPr>
          <w:rFonts w:hint="eastAsia" w:ascii="仿宋" w:hAnsi="仿宋" w:eastAsia="仿宋" w:cs="宋体"/>
          <w:color w:val="000000"/>
          <w:kern w:val="0"/>
          <w:sz w:val="24"/>
          <w:highlight w:val="none"/>
        </w:rPr>
        <w:t>成交人确定后，采购人应当向成交人发出成交通知书，同时将成交结果通知所有未成交的供应商。成交通知书对采购人和成交人</w:t>
      </w:r>
      <w:r>
        <w:rPr>
          <w:rFonts w:hint="eastAsia" w:ascii="仿宋" w:hAnsi="仿宋" w:eastAsia="仿宋" w:cs="宋体"/>
          <w:color w:val="000000"/>
          <w:kern w:val="0"/>
          <w:sz w:val="24"/>
          <w:highlight w:val="none"/>
          <w:lang w:val="en-US" w:eastAsia="zh-CN"/>
        </w:rPr>
        <w:t>均</w:t>
      </w:r>
      <w:r>
        <w:rPr>
          <w:rFonts w:hint="eastAsia" w:ascii="仿宋" w:hAnsi="仿宋" w:eastAsia="仿宋" w:cs="宋体"/>
          <w:color w:val="000000"/>
          <w:kern w:val="0"/>
          <w:sz w:val="24"/>
          <w:highlight w:val="none"/>
        </w:rPr>
        <w:t>具有法律效力。成交人收到成交通知书后放弃成交的，应当承担法律责任。</w:t>
      </w:r>
    </w:p>
    <w:p w14:paraId="22340129">
      <w:pPr>
        <w:pStyle w:val="6"/>
        <w:spacing w:before="0" w:after="0" w:line="360" w:lineRule="auto"/>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w:t>
      </w:r>
      <w:r>
        <w:rPr>
          <w:rFonts w:ascii="仿宋" w:hAnsi="仿宋" w:eastAsia="仿宋" w:cs="仿宋"/>
          <w:color w:val="000000"/>
          <w:sz w:val="24"/>
          <w:szCs w:val="24"/>
          <w:highlight w:val="none"/>
        </w:rPr>
        <w:t>2.</w:t>
      </w:r>
      <w:r>
        <w:rPr>
          <w:rFonts w:hint="eastAsia" w:ascii="仿宋" w:hAnsi="仿宋" w:eastAsia="仿宋" w:cs="仿宋"/>
          <w:color w:val="000000"/>
          <w:sz w:val="24"/>
          <w:szCs w:val="24"/>
          <w:highlight w:val="none"/>
        </w:rPr>
        <w:t>签订合同</w:t>
      </w:r>
    </w:p>
    <w:p w14:paraId="1F972369">
      <w:pPr>
        <w:widowControl/>
        <w:topLinePunct/>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2</w:t>
      </w:r>
      <w:r>
        <w:rPr>
          <w:rFonts w:ascii="仿宋" w:hAnsi="仿宋" w:eastAsia="仿宋" w:cs="仿宋"/>
          <w:color w:val="000000"/>
          <w:sz w:val="24"/>
          <w:highlight w:val="none"/>
        </w:rPr>
        <w:t>2.1</w:t>
      </w:r>
      <w:r>
        <w:rPr>
          <w:rFonts w:hint="eastAsia" w:ascii="仿宋" w:hAnsi="仿宋" w:eastAsia="仿宋" w:cs="仿宋"/>
          <w:color w:val="000000"/>
          <w:sz w:val="24"/>
          <w:highlight w:val="none"/>
        </w:rPr>
        <w:t>采购人与成交人按照磋商文件和成交人的响应文件</w:t>
      </w:r>
      <w:r>
        <w:rPr>
          <w:rFonts w:hint="eastAsia" w:ascii="仿宋" w:hAnsi="仿宋" w:eastAsia="仿宋" w:cs="宋体"/>
          <w:color w:val="000000"/>
          <w:kern w:val="0"/>
          <w:sz w:val="24"/>
          <w:highlight w:val="none"/>
        </w:rPr>
        <w:t>订立书面合同。合同的标的、价款、质量、履行期限等主要条款应当与</w:t>
      </w:r>
      <w:r>
        <w:rPr>
          <w:rFonts w:hint="eastAsia" w:ascii="仿宋" w:hAnsi="仿宋" w:eastAsia="仿宋" w:cs="仿宋"/>
          <w:color w:val="000000"/>
          <w:sz w:val="24"/>
          <w:highlight w:val="none"/>
        </w:rPr>
        <w:t>磋商</w:t>
      </w:r>
      <w:r>
        <w:rPr>
          <w:rFonts w:hint="eastAsia" w:ascii="仿宋" w:hAnsi="仿宋" w:eastAsia="仿宋" w:cs="宋体"/>
          <w:color w:val="000000"/>
          <w:kern w:val="0"/>
          <w:sz w:val="24"/>
          <w:highlight w:val="none"/>
        </w:rPr>
        <w:t>文件和</w:t>
      </w:r>
      <w:r>
        <w:rPr>
          <w:rFonts w:hint="eastAsia" w:ascii="仿宋" w:hAnsi="仿宋" w:eastAsia="仿宋" w:cs="仿宋"/>
          <w:color w:val="000000"/>
          <w:sz w:val="24"/>
          <w:highlight w:val="none"/>
        </w:rPr>
        <w:t>成交</w:t>
      </w:r>
      <w:r>
        <w:rPr>
          <w:rFonts w:hint="eastAsia" w:ascii="仿宋" w:hAnsi="仿宋" w:eastAsia="仿宋" w:cs="宋体"/>
          <w:color w:val="000000"/>
          <w:kern w:val="0"/>
          <w:sz w:val="24"/>
          <w:highlight w:val="none"/>
        </w:rPr>
        <w:t>人的</w:t>
      </w:r>
      <w:r>
        <w:rPr>
          <w:rFonts w:hint="eastAsia" w:ascii="仿宋" w:hAnsi="仿宋" w:eastAsia="仿宋" w:cs="仿宋"/>
          <w:color w:val="000000"/>
          <w:sz w:val="24"/>
          <w:highlight w:val="none"/>
        </w:rPr>
        <w:t>响应</w:t>
      </w:r>
      <w:r>
        <w:rPr>
          <w:rFonts w:hint="eastAsia" w:ascii="仿宋" w:hAnsi="仿宋" w:eastAsia="仿宋" w:cs="宋体"/>
          <w:color w:val="000000"/>
          <w:kern w:val="0"/>
          <w:sz w:val="24"/>
          <w:highlight w:val="none"/>
        </w:rPr>
        <w:t>文件的内容一致。</w:t>
      </w:r>
    </w:p>
    <w:p w14:paraId="63E0722B">
      <w:pPr>
        <w:widowControl/>
        <w:topLinePunct/>
        <w:spacing w:line="360" w:lineRule="auto"/>
        <w:rPr>
          <w:rFonts w:hint="eastAsia" w:ascii="仿宋" w:hAnsi="仿宋" w:eastAsia="仿宋" w:cs="宋体"/>
          <w:color w:val="000000"/>
          <w:kern w:val="0"/>
          <w:sz w:val="24"/>
          <w:highlight w:val="none"/>
        </w:rPr>
      </w:pPr>
      <w:r>
        <w:rPr>
          <w:rFonts w:hint="eastAsia" w:ascii="仿宋" w:hAnsi="仿宋" w:eastAsia="仿宋" w:cs="仿宋"/>
          <w:color w:val="000000"/>
          <w:sz w:val="24"/>
          <w:highlight w:val="none"/>
        </w:rPr>
        <w:t>2</w:t>
      </w:r>
      <w:r>
        <w:rPr>
          <w:rFonts w:ascii="仿宋" w:hAnsi="仿宋" w:eastAsia="仿宋" w:cs="仿宋"/>
          <w:color w:val="000000"/>
          <w:sz w:val="24"/>
          <w:highlight w:val="none"/>
        </w:rPr>
        <w:t>2.2</w:t>
      </w:r>
      <w:r>
        <w:rPr>
          <w:rFonts w:hint="eastAsia" w:ascii="仿宋" w:hAnsi="仿宋" w:eastAsia="仿宋" w:cs="仿宋"/>
          <w:color w:val="000000"/>
          <w:sz w:val="24"/>
          <w:highlight w:val="none"/>
        </w:rPr>
        <w:t xml:space="preserve"> </w:t>
      </w:r>
      <w:r>
        <w:rPr>
          <w:rFonts w:hint="eastAsia" w:ascii="仿宋" w:hAnsi="仿宋" w:eastAsia="仿宋" w:cs="宋体"/>
          <w:color w:val="000000"/>
          <w:kern w:val="0"/>
          <w:sz w:val="24"/>
          <w:highlight w:val="none"/>
        </w:rPr>
        <w:t>成交人无正当理由不与采购人订立合同，在签订合同时向采购人提出附加条件，将取消其成交资格。给采购人造成损失的，成交人应当予以赔偿。</w:t>
      </w:r>
    </w:p>
    <w:p w14:paraId="456F7A98">
      <w:pPr>
        <w:widowControl/>
        <w:topLinePunct/>
        <w:spacing w:line="360" w:lineRule="auto"/>
        <w:rPr>
          <w:rFonts w:ascii="仿宋" w:hAnsi="仿宋" w:eastAsia="仿宋" w:cs="宋体"/>
          <w:color w:val="000000"/>
          <w:kern w:val="0"/>
          <w:sz w:val="24"/>
          <w:highlight w:val="none"/>
        </w:rPr>
      </w:pPr>
      <w:r>
        <w:rPr>
          <w:rFonts w:ascii="仿宋" w:hAnsi="仿宋" w:eastAsia="仿宋" w:cs="宋体"/>
          <w:color w:val="000000"/>
          <w:kern w:val="0"/>
          <w:sz w:val="24"/>
          <w:highlight w:val="none"/>
        </w:rPr>
        <w:t>22.3</w:t>
      </w:r>
      <w:r>
        <w:rPr>
          <w:rFonts w:hint="eastAsia" w:ascii="仿宋" w:hAnsi="仿宋" w:eastAsia="仿宋" w:cs="宋体"/>
          <w:color w:val="000000"/>
          <w:kern w:val="0"/>
          <w:sz w:val="24"/>
          <w:highlight w:val="none"/>
        </w:rPr>
        <w:t>磋商文件要求成交人提交履约保证金的，成交人应当按照</w:t>
      </w:r>
      <w:r>
        <w:rPr>
          <w:rFonts w:hint="eastAsia" w:ascii="仿宋" w:hAnsi="仿宋" w:eastAsia="仿宋" w:cs="宋体"/>
          <w:color w:val="000000"/>
          <w:kern w:val="0"/>
          <w:sz w:val="24"/>
          <w:highlight w:val="none"/>
          <w:u w:val="single"/>
        </w:rPr>
        <w:t>本须知前附表</w:t>
      </w:r>
      <w:r>
        <w:rPr>
          <w:rFonts w:hint="eastAsia" w:ascii="仿宋" w:hAnsi="仿宋" w:eastAsia="仿宋" w:cs="宋体"/>
          <w:color w:val="000000"/>
          <w:kern w:val="0"/>
          <w:sz w:val="24"/>
          <w:highlight w:val="none"/>
        </w:rPr>
        <w:t>要求的金额和方式递交。成交人如不按要求提交履约保证金，将取消其成交资格，磋商保证金不予退还。</w:t>
      </w:r>
    </w:p>
    <w:p w14:paraId="215B0D15">
      <w:pPr>
        <w:widowControl/>
        <w:topLinePunct/>
        <w:spacing w:line="360" w:lineRule="auto"/>
        <w:rPr>
          <w:rFonts w:ascii="仿宋" w:hAnsi="仿宋" w:eastAsia="仿宋" w:cs="宋体"/>
          <w:color w:val="000000"/>
          <w:kern w:val="0"/>
          <w:sz w:val="24"/>
          <w:highlight w:val="none"/>
        </w:rPr>
      </w:pPr>
      <w:r>
        <w:rPr>
          <w:rFonts w:hint="eastAsia" w:ascii="仿宋" w:hAnsi="仿宋" w:eastAsia="仿宋" w:cs="宋体"/>
          <w:color w:val="000000"/>
          <w:kern w:val="0"/>
          <w:sz w:val="24"/>
          <w:highlight w:val="none"/>
        </w:rPr>
        <w:t>22.4成交供应商</w:t>
      </w:r>
      <w:r>
        <w:rPr>
          <w:rFonts w:ascii="仿宋" w:hAnsi="仿宋" w:eastAsia="仿宋" w:cs="宋体"/>
          <w:color w:val="000000"/>
          <w:kern w:val="0"/>
          <w:sz w:val="24"/>
          <w:highlight w:val="none"/>
        </w:rPr>
        <w:t>不履行与</w:t>
      </w:r>
      <w:r>
        <w:rPr>
          <w:rFonts w:hint="eastAsia" w:ascii="仿宋" w:hAnsi="仿宋" w:eastAsia="仿宋" w:cs="宋体"/>
          <w:color w:val="000000"/>
          <w:kern w:val="0"/>
          <w:sz w:val="24"/>
          <w:highlight w:val="none"/>
        </w:rPr>
        <w:t>采购</w:t>
      </w:r>
      <w:r>
        <w:rPr>
          <w:rFonts w:ascii="仿宋" w:hAnsi="仿宋" w:eastAsia="仿宋" w:cs="宋体"/>
          <w:color w:val="000000"/>
          <w:kern w:val="0"/>
          <w:sz w:val="24"/>
          <w:highlight w:val="none"/>
        </w:rPr>
        <w:t>人订立的合同的，</w:t>
      </w:r>
      <w:r>
        <w:rPr>
          <w:rFonts w:hint="eastAsia" w:ascii="仿宋" w:hAnsi="仿宋" w:eastAsia="仿宋" w:cs="宋体"/>
          <w:color w:val="000000"/>
          <w:kern w:val="0"/>
          <w:sz w:val="24"/>
          <w:highlight w:val="none"/>
        </w:rPr>
        <w:t>履约</w:t>
      </w:r>
      <w:r>
        <w:rPr>
          <w:rFonts w:ascii="仿宋" w:hAnsi="仿宋" w:eastAsia="仿宋" w:cs="宋体"/>
          <w:color w:val="000000"/>
          <w:kern w:val="0"/>
          <w:sz w:val="24"/>
          <w:highlight w:val="none"/>
        </w:rPr>
        <w:t>保证金不予退还，给</w:t>
      </w:r>
      <w:r>
        <w:rPr>
          <w:rFonts w:hint="eastAsia" w:ascii="仿宋" w:hAnsi="仿宋" w:eastAsia="仿宋" w:cs="宋体"/>
          <w:color w:val="000000"/>
          <w:kern w:val="0"/>
          <w:sz w:val="24"/>
          <w:highlight w:val="none"/>
        </w:rPr>
        <w:t>采购</w:t>
      </w:r>
      <w:r>
        <w:rPr>
          <w:rFonts w:ascii="仿宋" w:hAnsi="仿宋" w:eastAsia="仿宋" w:cs="宋体"/>
          <w:color w:val="000000"/>
          <w:kern w:val="0"/>
          <w:sz w:val="24"/>
          <w:highlight w:val="none"/>
        </w:rPr>
        <w:t>人造成的损失超过履约保证金数额的，还应当对超过部分予以赔偿；没有提交履约保证金的，应当对</w:t>
      </w:r>
      <w:r>
        <w:rPr>
          <w:rFonts w:hint="eastAsia" w:ascii="仿宋" w:hAnsi="仿宋" w:eastAsia="仿宋" w:cs="宋体"/>
          <w:color w:val="000000"/>
          <w:kern w:val="0"/>
          <w:sz w:val="24"/>
          <w:highlight w:val="none"/>
        </w:rPr>
        <w:t>采购</w:t>
      </w:r>
      <w:r>
        <w:rPr>
          <w:rFonts w:ascii="仿宋" w:hAnsi="仿宋" w:eastAsia="仿宋" w:cs="宋体"/>
          <w:color w:val="000000"/>
          <w:kern w:val="0"/>
          <w:sz w:val="24"/>
          <w:highlight w:val="none"/>
        </w:rPr>
        <w:t>人的损失承担赔偿责任。</w:t>
      </w:r>
    </w:p>
    <w:p w14:paraId="50AFCD4C">
      <w:pPr>
        <w:pStyle w:val="5"/>
        <w:spacing w:before="0" w:after="0" w:line="360" w:lineRule="auto"/>
        <w:ind w:firstLine="482"/>
        <w:jc w:val="both"/>
        <w:rPr>
          <w:rFonts w:hint="eastAsia" w:ascii="仿宋" w:hAnsi="仿宋" w:eastAsia="仿宋" w:cs="仿宋"/>
          <w:color w:val="000000"/>
          <w:sz w:val="24"/>
          <w:szCs w:val="24"/>
          <w:highlight w:val="none"/>
        </w:rPr>
      </w:pPr>
      <w:bookmarkStart w:id="116" w:name="_Toc28647"/>
      <w:bookmarkStart w:id="117" w:name="_Toc14533"/>
      <w:bookmarkStart w:id="118" w:name="_Toc234223235"/>
      <w:r>
        <w:rPr>
          <w:rFonts w:hint="eastAsia" w:ascii="仿宋" w:hAnsi="仿宋" w:eastAsia="仿宋" w:cs="仿宋"/>
          <w:color w:val="000000"/>
          <w:sz w:val="24"/>
          <w:szCs w:val="24"/>
          <w:highlight w:val="none"/>
        </w:rPr>
        <w:t>（七）其他</w:t>
      </w:r>
      <w:bookmarkEnd w:id="116"/>
      <w:bookmarkEnd w:id="117"/>
    </w:p>
    <w:p w14:paraId="43D92805">
      <w:pPr>
        <w:pStyle w:val="6"/>
        <w:spacing w:before="0" w:after="0" w:line="360" w:lineRule="auto"/>
        <w:jc w:val="left"/>
        <w:rPr>
          <w:rFonts w:hint="eastAsia" w:ascii="仿宋" w:hAnsi="仿宋" w:eastAsia="仿宋" w:cs="仿宋"/>
          <w:bCs w:val="0"/>
          <w:color w:val="000000"/>
          <w:sz w:val="24"/>
          <w:szCs w:val="24"/>
          <w:highlight w:val="none"/>
        </w:rPr>
      </w:pPr>
      <w:r>
        <w:rPr>
          <w:rFonts w:hint="eastAsia" w:ascii="仿宋" w:hAnsi="仿宋" w:eastAsia="仿宋" w:cs="仿宋"/>
          <w:bCs w:val="0"/>
          <w:color w:val="000000"/>
          <w:sz w:val="24"/>
          <w:szCs w:val="24"/>
          <w:highlight w:val="none"/>
        </w:rPr>
        <w:t>2</w:t>
      </w:r>
      <w:r>
        <w:rPr>
          <w:rFonts w:ascii="仿宋" w:hAnsi="仿宋" w:eastAsia="仿宋" w:cs="仿宋"/>
          <w:bCs w:val="0"/>
          <w:color w:val="000000"/>
          <w:sz w:val="24"/>
          <w:szCs w:val="24"/>
          <w:highlight w:val="none"/>
        </w:rPr>
        <w:t>3</w:t>
      </w:r>
      <w:r>
        <w:rPr>
          <w:rFonts w:hint="eastAsia" w:ascii="仿宋" w:hAnsi="仿宋" w:eastAsia="仿宋" w:cs="仿宋"/>
          <w:bCs w:val="0"/>
          <w:color w:val="000000"/>
          <w:sz w:val="24"/>
          <w:szCs w:val="24"/>
          <w:highlight w:val="none"/>
        </w:rPr>
        <w:t>.采购代理服务费</w:t>
      </w:r>
      <w:bookmarkEnd w:id="118"/>
    </w:p>
    <w:p w14:paraId="1440B377">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详见</w:t>
      </w:r>
      <w:r>
        <w:rPr>
          <w:rFonts w:hint="eastAsia" w:ascii="仿宋" w:hAnsi="仿宋" w:eastAsia="仿宋" w:cs="仿宋"/>
          <w:color w:val="000000"/>
          <w:sz w:val="24"/>
          <w:highlight w:val="none"/>
          <w:u w:val="single"/>
        </w:rPr>
        <w:t>本须知前附表</w:t>
      </w:r>
      <w:r>
        <w:rPr>
          <w:rFonts w:hint="eastAsia" w:ascii="仿宋" w:hAnsi="仿宋" w:eastAsia="仿宋" w:cs="仿宋"/>
          <w:color w:val="000000"/>
          <w:sz w:val="24"/>
          <w:highlight w:val="none"/>
        </w:rPr>
        <w:t>。</w:t>
      </w:r>
    </w:p>
    <w:p w14:paraId="29C2B9E3">
      <w:pPr>
        <w:pStyle w:val="6"/>
        <w:spacing w:before="0" w:after="0" w:line="360" w:lineRule="auto"/>
        <w:jc w:val="left"/>
        <w:rPr>
          <w:rFonts w:hint="eastAsia" w:ascii="仿宋" w:hAnsi="仿宋" w:eastAsia="仿宋" w:cs="仿宋"/>
          <w:bCs w:val="0"/>
          <w:color w:val="000000"/>
          <w:sz w:val="24"/>
          <w:szCs w:val="24"/>
          <w:highlight w:val="none"/>
        </w:rPr>
      </w:pPr>
      <w:r>
        <w:rPr>
          <w:rFonts w:hint="eastAsia" w:ascii="仿宋" w:hAnsi="仿宋" w:eastAsia="仿宋" w:cs="仿宋"/>
          <w:bCs w:val="0"/>
          <w:color w:val="000000"/>
          <w:sz w:val="24"/>
          <w:szCs w:val="24"/>
          <w:highlight w:val="none"/>
        </w:rPr>
        <w:t>2</w:t>
      </w:r>
      <w:r>
        <w:rPr>
          <w:rFonts w:ascii="仿宋" w:hAnsi="仿宋" w:eastAsia="仿宋" w:cs="仿宋"/>
          <w:bCs w:val="0"/>
          <w:color w:val="000000"/>
          <w:sz w:val="24"/>
          <w:szCs w:val="24"/>
          <w:highlight w:val="none"/>
        </w:rPr>
        <w:t>4.</w:t>
      </w:r>
      <w:r>
        <w:rPr>
          <w:rFonts w:hint="eastAsia" w:ascii="仿宋" w:hAnsi="仿宋" w:eastAsia="仿宋" w:cs="仿宋"/>
          <w:bCs w:val="0"/>
          <w:color w:val="000000"/>
          <w:sz w:val="24"/>
          <w:szCs w:val="24"/>
          <w:highlight w:val="none"/>
        </w:rPr>
        <w:t>其他情况</w:t>
      </w:r>
    </w:p>
    <w:p w14:paraId="5FBE4741">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详见</w:t>
      </w:r>
      <w:r>
        <w:rPr>
          <w:rFonts w:hint="eastAsia" w:ascii="仿宋" w:hAnsi="仿宋" w:eastAsia="仿宋" w:cs="仿宋"/>
          <w:color w:val="000000"/>
          <w:sz w:val="24"/>
          <w:highlight w:val="none"/>
          <w:u w:val="single"/>
        </w:rPr>
        <w:t>本须知前附表</w:t>
      </w:r>
      <w:r>
        <w:rPr>
          <w:rFonts w:hint="eastAsia" w:ascii="仿宋" w:hAnsi="仿宋" w:eastAsia="仿宋" w:cs="仿宋"/>
          <w:color w:val="000000"/>
          <w:sz w:val="24"/>
          <w:highlight w:val="none"/>
        </w:rPr>
        <w:t>。</w:t>
      </w:r>
    </w:p>
    <w:p w14:paraId="03F5AEA5">
      <w:pPr>
        <w:rPr>
          <w:color w:val="000000"/>
          <w:highlight w:val="none"/>
        </w:rPr>
        <w:sectPr>
          <w:footerReference r:id="rId10" w:type="default"/>
          <w:pgSz w:w="11906" w:h="16838"/>
          <w:pgMar w:top="1417" w:right="1134" w:bottom="1134" w:left="1134" w:header="851" w:footer="992" w:gutter="0"/>
          <w:cols w:space="720" w:num="1"/>
          <w:docGrid w:type="lines" w:linePitch="312" w:charSpace="0"/>
        </w:sectPr>
      </w:pPr>
    </w:p>
    <w:p w14:paraId="3FE77465">
      <w:pPr>
        <w:pStyle w:val="3"/>
        <w:spacing w:before="0" w:after="0" w:line="360" w:lineRule="auto"/>
        <w:jc w:val="center"/>
        <w:rPr>
          <w:rFonts w:hint="eastAsia" w:ascii="仿宋" w:hAnsi="仿宋" w:eastAsia="仿宋" w:cs="仿宋"/>
          <w:color w:val="000000"/>
          <w:sz w:val="28"/>
          <w:szCs w:val="28"/>
          <w:highlight w:val="none"/>
        </w:rPr>
      </w:pPr>
      <w:bookmarkStart w:id="119" w:name="_Toc3217"/>
      <w:bookmarkStart w:id="120" w:name="_Toc444891343"/>
      <w:bookmarkStart w:id="121" w:name="_Toc517281824"/>
      <w:r>
        <w:rPr>
          <w:rFonts w:hint="eastAsia" w:ascii="仿宋" w:hAnsi="仿宋" w:eastAsia="仿宋" w:cs="仿宋"/>
          <w:color w:val="000000"/>
          <w:sz w:val="28"/>
          <w:szCs w:val="28"/>
          <w:highlight w:val="none"/>
        </w:rPr>
        <w:t>第三章 评审办法</w:t>
      </w:r>
      <w:bookmarkEnd w:id="119"/>
    </w:p>
    <w:p w14:paraId="0D07EF36">
      <w:pPr>
        <w:pStyle w:val="4"/>
        <w:ind w:firstLine="0" w:firstLineChars="0"/>
        <w:jc w:val="left"/>
        <w:rPr>
          <w:rFonts w:hint="eastAsia" w:ascii="仿宋" w:hAnsi="仿宋" w:eastAsia="仿宋" w:cs="仿宋"/>
          <w:color w:val="000000"/>
          <w:sz w:val="24"/>
          <w:szCs w:val="24"/>
          <w:highlight w:val="none"/>
        </w:rPr>
      </w:pPr>
      <w:bookmarkStart w:id="122" w:name="_Toc517281825"/>
      <w:bookmarkStart w:id="123" w:name="_Toc444891344"/>
      <w:bookmarkStart w:id="124" w:name="_Toc18429"/>
      <w:bookmarkStart w:id="125" w:name="_Toc227057964"/>
      <w:bookmarkStart w:id="126" w:name="_Toc226969358"/>
      <w:r>
        <w:rPr>
          <w:rFonts w:hint="eastAsia" w:ascii="仿宋" w:hAnsi="仿宋" w:eastAsia="仿宋" w:cs="仿宋"/>
          <w:color w:val="000000"/>
          <w:sz w:val="24"/>
          <w:szCs w:val="24"/>
          <w:highlight w:val="none"/>
        </w:rPr>
        <w:t>一、评审程序</w:t>
      </w:r>
      <w:bookmarkEnd w:id="122"/>
      <w:bookmarkEnd w:id="123"/>
      <w:bookmarkEnd w:id="124"/>
    </w:p>
    <w:p w14:paraId="34452FCB">
      <w:pPr>
        <w:spacing w:line="360" w:lineRule="auto"/>
        <w:ind w:firstLine="480" w:firstLineChars="200"/>
        <w:jc w:val="left"/>
        <w:rPr>
          <w:rFonts w:hint="eastAsia" w:ascii="仿宋" w:hAnsi="仿宋" w:eastAsia="仿宋" w:cs="仿宋"/>
          <w:color w:val="000000"/>
          <w:kern w:val="0"/>
          <w:sz w:val="24"/>
          <w:highlight w:val="none"/>
        </w:rPr>
      </w:pPr>
      <w:r>
        <w:rPr>
          <w:rFonts w:hint="eastAsia" w:ascii="仿宋" w:hAnsi="仿宋" w:eastAsia="仿宋" w:cs="仿宋"/>
          <w:color w:val="000000"/>
          <w:sz w:val="24"/>
          <w:highlight w:val="none"/>
        </w:rPr>
        <w:t>磋商小组</w:t>
      </w:r>
      <w:r>
        <w:rPr>
          <w:rFonts w:hint="eastAsia" w:ascii="仿宋" w:hAnsi="仿宋" w:eastAsia="仿宋" w:cs="仿宋"/>
          <w:color w:val="000000"/>
          <w:kern w:val="0"/>
          <w:sz w:val="24"/>
          <w:highlight w:val="none"/>
        </w:rPr>
        <w:t>对响应文件中的相关内容进行评审。评审按照以下程序进行：</w:t>
      </w:r>
    </w:p>
    <w:p w14:paraId="3BB81286">
      <w:pPr>
        <w:spacing w:line="360" w:lineRule="auto"/>
        <w:ind w:firstLine="420" w:firstLineChars="175"/>
        <w:jc w:val="left"/>
        <w:rPr>
          <w:rFonts w:ascii="仿宋" w:hAnsi="仿宋" w:eastAsia="仿宋" w:cs="仿宋"/>
          <w:color w:val="000000"/>
          <w:kern w:val="0"/>
          <w:sz w:val="24"/>
          <w:highlight w:val="none"/>
        </w:rPr>
      </w:pPr>
      <w:r>
        <w:rPr>
          <w:rFonts w:hint="eastAsia" w:ascii="仿宋" w:hAnsi="仿宋" w:eastAsia="仿宋" w:cs="仿宋"/>
          <w:color w:val="000000"/>
          <w:kern w:val="0"/>
          <w:sz w:val="24"/>
          <w:highlight w:val="none"/>
          <w:lang w:val="en-US" w:eastAsia="zh-CN"/>
        </w:rPr>
        <w:t>1.</w:t>
      </w:r>
      <w:r>
        <w:rPr>
          <w:rFonts w:hint="eastAsia" w:ascii="仿宋" w:hAnsi="仿宋" w:eastAsia="仿宋" w:cs="仿宋"/>
          <w:color w:val="000000"/>
          <w:kern w:val="0"/>
          <w:sz w:val="24"/>
          <w:highlight w:val="none"/>
        </w:rPr>
        <w:t>熟悉磋商文件；</w:t>
      </w:r>
    </w:p>
    <w:p w14:paraId="37E76D6A">
      <w:pPr>
        <w:spacing w:line="360" w:lineRule="auto"/>
        <w:ind w:firstLine="420" w:firstLineChars="175"/>
        <w:jc w:val="left"/>
        <w:rPr>
          <w:rFonts w:ascii="仿宋" w:hAnsi="仿宋" w:eastAsia="仿宋" w:cs="仿宋"/>
          <w:color w:val="000000"/>
          <w:kern w:val="0"/>
          <w:sz w:val="24"/>
          <w:highlight w:val="none"/>
        </w:rPr>
      </w:pPr>
      <w:r>
        <w:rPr>
          <w:rFonts w:hint="eastAsia" w:ascii="仿宋" w:hAnsi="仿宋" w:eastAsia="仿宋" w:cs="仿宋"/>
          <w:color w:val="000000"/>
          <w:kern w:val="0"/>
          <w:sz w:val="24"/>
          <w:highlight w:val="none"/>
          <w:lang w:val="en-US" w:eastAsia="zh-CN"/>
        </w:rPr>
        <w:t>2.</w:t>
      </w:r>
      <w:r>
        <w:rPr>
          <w:rFonts w:hint="eastAsia" w:ascii="仿宋" w:hAnsi="仿宋" w:eastAsia="仿宋" w:cs="仿宋"/>
          <w:color w:val="000000"/>
          <w:kern w:val="0"/>
          <w:sz w:val="24"/>
          <w:highlight w:val="none"/>
        </w:rPr>
        <w:t>对响应文件进行初步评审，检查响应文件是否满足磋商文件的初审要求；初步评审中不符合评审标准的，将做否决磋商响应处理；</w:t>
      </w:r>
    </w:p>
    <w:p w14:paraId="6696E02A">
      <w:pPr>
        <w:spacing w:line="360" w:lineRule="auto"/>
        <w:ind w:firstLine="420" w:firstLineChars="175"/>
        <w:jc w:val="left"/>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lang w:val="en-US" w:eastAsia="zh-CN"/>
        </w:rPr>
        <w:t>3.</w:t>
      </w:r>
      <w:r>
        <w:rPr>
          <w:rFonts w:hint="eastAsia" w:ascii="仿宋" w:hAnsi="仿宋" w:eastAsia="仿宋" w:cs="仿宋"/>
          <w:color w:val="000000"/>
          <w:kern w:val="0"/>
          <w:sz w:val="24"/>
          <w:highlight w:val="none"/>
        </w:rPr>
        <w:t>供应商有以下情形之一的，磋商小组应当否决其磋商响应：</w:t>
      </w:r>
    </w:p>
    <w:p w14:paraId="183E3F81">
      <w:pPr>
        <w:spacing w:line="360" w:lineRule="auto"/>
        <w:ind w:firstLine="420" w:firstLineChars="175"/>
        <w:jc w:val="left"/>
        <w:rPr>
          <w:rFonts w:hint="eastAsia" w:ascii="仿宋" w:hAnsi="仿宋" w:eastAsia="仿宋" w:cs="仿宋"/>
          <w:kern w:val="0"/>
          <w:sz w:val="24"/>
          <w:highlight w:val="none"/>
        </w:rPr>
      </w:pPr>
      <w:r>
        <w:rPr>
          <w:rFonts w:hint="eastAsia" w:ascii="仿宋" w:hAnsi="仿宋" w:eastAsia="仿宋" w:cs="仿宋"/>
          <w:kern w:val="0"/>
          <w:sz w:val="24"/>
          <w:highlight w:val="none"/>
        </w:rPr>
        <w:t>（1）按照</w:t>
      </w:r>
      <w:r>
        <w:rPr>
          <w:rFonts w:hint="eastAsia" w:ascii="仿宋" w:hAnsi="仿宋" w:eastAsia="仿宋" w:cs="仿宋"/>
          <w:kern w:val="0"/>
          <w:sz w:val="24"/>
          <w:highlight w:val="none"/>
          <w:lang w:val="en-US" w:eastAsia="zh-CN"/>
        </w:rPr>
        <w:t>磋商</w:t>
      </w:r>
      <w:r>
        <w:rPr>
          <w:rFonts w:hint="eastAsia" w:ascii="仿宋" w:hAnsi="仿宋" w:eastAsia="仿宋" w:cs="仿宋"/>
          <w:kern w:val="0"/>
          <w:sz w:val="24"/>
          <w:highlight w:val="none"/>
        </w:rPr>
        <w:t>公告要求已经递交电子</w:t>
      </w:r>
      <w:r>
        <w:rPr>
          <w:rFonts w:hint="eastAsia" w:ascii="仿宋" w:hAnsi="仿宋" w:eastAsia="仿宋" w:cs="仿宋"/>
          <w:kern w:val="0"/>
          <w:sz w:val="24"/>
          <w:highlight w:val="none"/>
          <w:lang w:val="en-US" w:eastAsia="zh-CN"/>
        </w:rPr>
        <w:t>响应</w:t>
      </w:r>
      <w:r>
        <w:rPr>
          <w:rFonts w:hint="eastAsia" w:ascii="仿宋" w:hAnsi="仿宋" w:eastAsia="仿宋" w:cs="仿宋"/>
          <w:kern w:val="0"/>
          <w:sz w:val="24"/>
          <w:highlight w:val="none"/>
        </w:rPr>
        <w:t>文件，</w:t>
      </w:r>
      <w:r>
        <w:rPr>
          <w:rFonts w:hint="eastAsia" w:ascii="仿宋" w:hAnsi="仿宋" w:eastAsia="仿宋" w:cs="仿宋"/>
          <w:kern w:val="0"/>
          <w:sz w:val="24"/>
          <w:highlight w:val="none"/>
          <w:lang w:val="en-US" w:eastAsia="zh-CN"/>
        </w:rPr>
        <w:t>但</w:t>
      </w:r>
      <w:r>
        <w:rPr>
          <w:rFonts w:hint="eastAsia" w:ascii="仿宋" w:hAnsi="仿宋" w:eastAsia="仿宋" w:cs="仿宋"/>
          <w:kern w:val="0"/>
          <w:sz w:val="24"/>
          <w:highlight w:val="none"/>
        </w:rPr>
        <w:t>未按要求递交纸质响应文件；</w:t>
      </w:r>
    </w:p>
    <w:p w14:paraId="1A523707">
      <w:pPr>
        <w:spacing w:line="360" w:lineRule="auto"/>
        <w:ind w:firstLine="420" w:firstLineChars="175"/>
        <w:jc w:val="left"/>
        <w:rPr>
          <w:rFonts w:hint="eastAsia" w:ascii="仿宋" w:hAnsi="仿宋" w:eastAsia="仿宋" w:cs="仿宋"/>
          <w:kern w:val="0"/>
          <w:sz w:val="24"/>
          <w:highlight w:val="none"/>
        </w:rPr>
      </w:pPr>
      <w:r>
        <w:rPr>
          <w:rFonts w:hint="eastAsia" w:ascii="仿宋" w:hAnsi="仿宋" w:eastAsia="仿宋" w:cs="仿宋"/>
          <w:kern w:val="0"/>
          <w:sz w:val="24"/>
          <w:highlight w:val="none"/>
        </w:rPr>
        <w:t>（2）响应文件未经供应商盖章和单位负责人签字；</w:t>
      </w:r>
    </w:p>
    <w:p w14:paraId="04A8F899">
      <w:pPr>
        <w:spacing w:line="360" w:lineRule="auto"/>
        <w:ind w:firstLine="420" w:firstLineChars="175"/>
        <w:jc w:val="left"/>
        <w:rPr>
          <w:rFonts w:hint="eastAsia" w:ascii="仿宋" w:hAnsi="仿宋" w:eastAsia="仿宋" w:cs="仿宋"/>
          <w:kern w:val="0"/>
          <w:sz w:val="24"/>
          <w:highlight w:val="none"/>
        </w:rPr>
      </w:pPr>
      <w:r>
        <w:rPr>
          <w:rFonts w:hint="eastAsia" w:ascii="仿宋" w:hAnsi="仿宋" w:eastAsia="仿宋" w:cs="仿宋"/>
          <w:kern w:val="0"/>
          <w:sz w:val="24"/>
          <w:highlight w:val="none"/>
        </w:rPr>
        <w:t>（3）允许联合体响应的，联合体没有递交共同响应协议；</w:t>
      </w:r>
    </w:p>
    <w:p w14:paraId="00600557">
      <w:pPr>
        <w:spacing w:line="360" w:lineRule="auto"/>
        <w:ind w:firstLine="420" w:firstLineChars="175"/>
        <w:jc w:val="left"/>
        <w:rPr>
          <w:rFonts w:hint="eastAsia" w:ascii="仿宋" w:hAnsi="仿宋" w:eastAsia="仿宋" w:cs="仿宋"/>
          <w:kern w:val="0"/>
          <w:sz w:val="24"/>
          <w:highlight w:val="none"/>
        </w:rPr>
      </w:pPr>
      <w:r>
        <w:rPr>
          <w:rFonts w:hint="eastAsia" w:ascii="仿宋" w:hAnsi="仿宋" w:eastAsia="仿宋" w:cs="仿宋"/>
          <w:kern w:val="0"/>
          <w:sz w:val="24"/>
          <w:highlight w:val="none"/>
        </w:rPr>
        <w:t>（4）不符合国家或者磋商文件规定的资格条件；</w:t>
      </w:r>
    </w:p>
    <w:p w14:paraId="2B70A2D3">
      <w:pPr>
        <w:spacing w:line="360" w:lineRule="auto"/>
        <w:ind w:firstLine="420" w:firstLineChars="175"/>
        <w:jc w:val="left"/>
        <w:rPr>
          <w:rFonts w:hint="eastAsia" w:ascii="仿宋" w:hAnsi="仿宋" w:eastAsia="仿宋" w:cs="仿宋"/>
          <w:kern w:val="0"/>
          <w:sz w:val="24"/>
          <w:highlight w:val="none"/>
        </w:rPr>
      </w:pPr>
      <w:r>
        <w:rPr>
          <w:rFonts w:hint="eastAsia" w:ascii="仿宋" w:hAnsi="仿宋" w:eastAsia="仿宋" w:cs="仿宋"/>
          <w:kern w:val="0"/>
          <w:sz w:val="24"/>
          <w:highlight w:val="none"/>
        </w:rPr>
        <w:t>（5）同一供应商提交两个以上不同的响应文件或者响应报价，但磋商文件要求提交备选文件的除外；</w:t>
      </w:r>
    </w:p>
    <w:p w14:paraId="132DAE97">
      <w:pPr>
        <w:spacing w:line="360" w:lineRule="auto"/>
        <w:ind w:firstLine="420" w:firstLineChars="175"/>
        <w:jc w:val="left"/>
        <w:rPr>
          <w:rFonts w:hint="eastAsia" w:ascii="仿宋" w:hAnsi="仿宋" w:eastAsia="仿宋" w:cs="宋体"/>
          <w:color w:val="000000"/>
          <w:kern w:val="0"/>
          <w:sz w:val="24"/>
          <w:szCs w:val="24"/>
          <w:highlight w:val="none"/>
        </w:rPr>
      </w:pP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lang w:val="en-US" w:eastAsia="zh-CN"/>
        </w:rPr>
        <w:t>6</w:t>
      </w:r>
      <w:r>
        <w:rPr>
          <w:rFonts w:hint="eastAsia" w:ascii="仿宋" w:hAnsi="仿宋" w:eastAsia="仿宋" w:cs="仿宋"/>
          <w:kern w:val="0"/>
          <w:sz w:val="24"/>
          <w:highlight w:val="none"/>
          <w:lang w:eastAsia="zh-CN"/>
        </w:rPr>
        <w:t>）</w:t>
      </w:r>
      <w:r>
        <w:rPr>
          <w:rFonts w:hint="eastAsia" w:ascii="仿宋" w:hAnsi="仿宋" w:eastAsia="仿宋" w:cs="宋体"/>
          <w:color w:val="000000"/>
          <w:kern w:val="0"/>
          <w:sz w:val="24"/>
          <w:szCs w:val="24"/>
          <w:highlight w:val="none"/>
          <w:lang w:val="en-US" w:eastAsia="zh-CN"/>
        </w:rPr>
        <w:t>最终</w:t>
      </w:r>
      <w:r>
        <w:rPr>
          <w:rFonts w:hint="eastAsia" w:ascii="仿宋" w:hAnsi="仿宋" w:eastAsia="仿宋" w:cs="宋体"/>
          <w:color w:val="000000"/>
          <w:kern w:val="0"/>
          <w:sz w:val="24"/>
          <w:szCs w:val="24"/>
          <w:highlight w:val="none"/>
        </w:rPr>
        <w:t>报价低于成本或者高于</w:t>
      </w:r>
      <w:r>
        <w:rPr>
          <w:rFonts w:hint="eastAsia" w:ascii="仿宋" w:hAnsi="仿宋" w:eastAsia="仿宋" w:cs="宋体"/>
          <w:color w:val="000000"/>
          <w:kern w:val="0"/>
          <w:sz w:val="24"/>
          <w:szCs w:val="24"/>
          <w:highlight w:val="none"/>
          <w:lang w:val="en-US" w:eastAsia="zh-CN"/>
        </w:rPr>
        <w:t>磋商</w:t>
      </w:r>
      <w:r>
        <w:rPr>
          <w:rFonts w:hint="eastAsia" w:ascii="仿宋" w:hAnsi="仿宋" w:eastAsia="仿宋" w:cs="宋体"/>
          <w:color w:val="000000"/>
          <w:kern w:val="0"/>
          <w:sz w:val="24"/>
          <w:szCs w:val="24"/>
          <w:highlight w:val="none"/>
        </w:rPr>
        <w:t>文件设定的最高投标限价；</w:t>
      </w:r>
    </w:p>
    <w:p w14:paraId="33F99E26">
      <w:pPr>
        <w:spacing w:line="360" w:lineRule="auto"/>
        <w:ind w:firstLine="420" w:firstLineChars="175"/>
        <w:jc w:val="left"/>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（7）</w:t>
      </w:r>
      <w:r>
        <w:rPr>
          <w:rFonts w:hint="eastAsia" w:ascii="仿宋" w:hAnsi="仿宋" w:eastAsia="仿宋" w:cs="宋体"/>
          <w:color w:val="000000"/>
          <w:kern w:val="0"/>
          <w:sz w:val="24"/>
          <w:szCs w:val="24"/>
          <w:highlight w:val="none"/>
          <w:lang w:val="en-US" w:eastAsia="zh-CN"/>
        </w:rPr>
        <w:t>响应</w:t>
      </w:r>
      <w:r>
        <w:rPr>
          <w:rFonts w:hint="eastAsia" w:ascii="仿宋" w:hAnsi="仿宋" w:eastAsia="仿宋" w:cs="宋体"/>
          <w:color w:val="000000"/>
          <w:kern w:val="0"/>
          <w:sz w:val="24"/>
          <w:szCs w:val="24"/>
          <w:highlight w:val="none"/>
        </w:rPr>
        <w:t>文件未对</w:t>
      </w:r>
      <w:r>
        <w:rPr>
          <w:rFonts w:hint="eastAsia" w:ascii="仿宋" w:hAnsi="仿宋" w:eastAsia="仿宋" w:cs="宋体"/>
          <w:color w:val="000000"/>
          <w:kern w:val="0"/>
          <w:sz w:val="24"/>
          <w:szCs w:val="24"/>
          <w:highlight w:val="none"/>
          <w:lang w:val="en-US" w:eastAsia="zh-CN"/>
        </w:rPr>
        <w:t>磋商</w:t>
      </w:r>
      <w:r>
        <w:rPr>
          <w:rFonts w:hint="eastAsia" w:ascii="仿宋" w:hAnsi="仿宋" w:eastAsia="仿宋" w:cs="宋体"/>
          <w:color w:val="000000"/>
          <w:kern w:val="0"/>
          <w:sz w:val="24"/>
          <w:szCs w:val="24"/>
          <w:highlight w:val="none"/>
        </w:rPr>
        <w:t xml:space="preserve">文件的实质性要求和条件作出响应； </w:t>
      </w:r>
    </w:p>
    <w:p w14:paraId="1E62B852">
      <w:pPr>
        <w:spacing w:line="360" w:lineRule="auto"/>
        <w:ind w:firstLine="420" w:firstLineChars="175"/>
        <w:jc w:val="left"/>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（8）</w:t>
      </w:r>
      <w:r>
        <w:rPr>
          <w:rFonts w:hint="eastAsia" w:ascii="仿宋" w:hAnsi="仿宋" w:eastAsia="仿宋" w:cs="宋体"/>
          <w:color w:val="000000"/>
          <w:kern w:val="0"/>
          <w:sz w:val="24"/>
          <w:szCs w:val="24"/>
          <w:highlight w:val="none"/>
          <w:lang w:val="en-US" w:eastAsia="zh-CN"/>
        </w:rPr>
        <w:t>供应商</w:t>
      </w:r>
      <w:r>
        <w:rPr>
          <w:rFonts w:hint="eastAsia" w:ascii="仿宋" w:hAnsi="仿宋" w:eastAsia="仿宋" w:cs="宋体"/>
          <w:color w:val="000000"/>
          <w:kern w:val="0"/>
          <w:sz w:val="24"/>
          <w:szCs w:val="24"/>
          <w:highlight w:val="none"/>
        </w:rPr>
        <w:t>有串通投标、弄虚作假、行贿等违法行为；</w:t>
      </w:r>
    </w:p>
    <w:p w14:paraId="3268F370">
      <w:pPr>
        <w:spacing w:line="360" w:lineRule="auto"/>
        <w:ind w:firstLine="420" w:firstLineChars="175"/>
        <w:jc w:val="left"/>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（9）不接受或不确认因算术性错误进行的价格修正；</w:t>
      </w:r>
    </w:p>
    <w:p w14:paraId="70FCB7F0">
      <w:pPr>
        <w:spacing w:line="360" w:lineRule="auto"/>
        <w:ind w:firstLine="420" w:firstLineChars="175"/>
        <w:jc w:val="left"/>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（10）</w:t>
      </w:r>
      <w:r>
        <w:rPr>
          <w:rFonts w:hint="eastAsia" w:ascii="仿宋" w:hAnsi="仿宋" w:eastAsia="仿宋" w:cs="宋体"/>
          <w:color w:val="000000"/>
          <w:kern w:val="0"/>
          <w:sz w:val="24"/>
          <w:szCs w:val="24"/>
          <w:highlight w:val="none"/>
          <w:lang w:val="en-US" w:eastAsia="zh-CN"/>
        </w:rPr>
        <w:t>响应</w:t>
      </w:r>
      <w:r>
        <w:rPr>
          <w:rFonts w:hint="eastAsia" w:ascii="仿宋" w:hAnsi="仿宋" w:eastAsia="仿宋" w:cs="宋体"/>
          <w:color w:val="000000"/>
          <w:kern w:val="0"/>
          <w:sz w:val="24"/>
          <w:szCs w:val="24"/>
          <w:highlight w:val="none"/>
        </w:rPr>
        <w:t>文件附有</w:t>
      </w:r>
      <w:r>
        <w:rPr>
          <w:rFonts w:hint="eastAsia" w:ascii="仿宋" w:hAnsi="仿宋" w:eastAsia="仿宋" w:cs="宋体"/>
          <w:color w:val="000000"/>
          <w:kern w:val="0"/>
          <w:sz w:val="24"/>
          <w:szCs w:val="24"/>
          <w:highlight w:val="none"/>
          <w:lang w:val="en-US" w:eastAsia="zh-CN"/>
        </w:rPr>
        <w:t>采购</w:t>
      </w:r>
      <w:r>
        <w:rPr>
          <w:rFonts w:hint="eastAsia" w:ascii="仿宋" w:hAnsi="仿宋" w:eastAsia="仿宋" w:cs="宋体"/>
          <w:color w:val="000000"/>
          <w:kern w:val="0"/>
          <w:sz w:val="24"/>
          <w:szCs w:val="24"/>
          <w:highlight w:val="none"/>
        </w:rPr>
        <w:t>人不能接受的条件；</w:t>
      </w:r>
    </w:p>
    <w:p w14:paraId="7EC1C24E">
      <w:pPr>
        <w:spacing w:line="360" w:lineRule="auto"/>
        <w:ind w:firstLine="420" w:firstLineChars="175"/>
        <w:jc w:val="left"/>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（11）不符合</w:t>
      </w:r>
      <w:r>
        <w:rPr>
          <w:rFonts w:hint="eastAsia" w:ascii="仿宋" w:hAnsi="仿宋" w:eastAsia="仿宋" w:cs="宋体"/>
          <w:color w:val="000000"/>
          <w:kern w:val="0"/>
          <w:sz w:val="24"/>
          <w:szCs w:val="24"/>
          <w:highlight w:val="none"/>
          <w:lang w:val="en-US" w:eastAsia="zh-CN"/>
        </w:rPr>
        <w:t>磋商</w:t>
      </w:r>
      <w:r>
        <w:rPr>
          <w:rFonts w:hint="eastAsia" w:ascii="仿宋" w:hAnsi="仿宋" w:eastAsia="仿宋" w:cs="宋体"/>
          <w:color w:val="000000"/>
          <w:kern w:val="0"/>
          <w:sz w:val="24"/>
          <w:szCs w:val="24"/>
          <w:highlight w:val="none"/>
        </w:rPr>
        <w:t>文件中规定的其他实质性要求。</w:t>
      </w:r>
    </w:p>
    <w:p w14:paraId="6158354E">
      <w:pPr>
        <w:spacing w:line="360" w:lineRule="auto"/>
        <w:ind w:firstLine="420" w:firstLineChars="175"/>
        <w:jc w:val="left"/>
        <w:rPr>
          <w:rFonts w:hint="eastAsia" w:ascii="仿宋" w:hAnsi="仿宋" w:eastAsia="仿宋" w:cs="仿宋"/>
          <w:kern w:val="0"/>
          <w:sz w:val="24"/>
          <w:highlight w:val="none"/>
        </w:rPr>
      </w:pPr>
      <w:r>
        <w:rPr>
          <w:rFonts w:hint="eastAsia" w:ascii="仿宋" w:hAnsi="仿宋" w:eastAsia="仿宋" w:cs="仿宋"/>
          <w:color w:val="000000"/>
          <w:kern w:val="0"/>
          <w:sz w:val="24"/>
          <w:highlight w:val="none"/>
          <w:lang w:val="en-US" w:eastAsia="zh-CN"/>
        </w:rPr>
        <w:t>4.初步评审</w:t>
      </w:r>
      <w:r>
        <w:rPr>
          <w:rFonts w:hint="eastAsia" w:ascii="仿宋" w:hAnsi="仿宋" w:eastAsia="仿宋" w:cs="仿宋"/>
          <w:color w:val="000000"/>
          <w:kern w:val="0"/>
          <w:sz w:val="24"/>
          <w:highlight w:val="none"/>
          <w:lang w:val="zh-CN" w:eastAsia="zh-CN"/>
        </w:rPr>
        <w:t>内容允许在磋商过程中按磋商小组规定的时间内补充，若未在规定时间内补充则将导致响应无效。</w:t>
      </w:r>
    </w:p>
    <w:p w14:paraId="6E3452E7">
      <w:pPr>
        <w:spacing w:line="360" w:lineRule="auto"/>
        <w:ind w:firstLine="420" w:firstLineChars="175"/>
        <w:jc w:val="left"/>
        <w:rPr>
          <w:rFonts w:hint="eastAsia" w:ascii="仿宋" w:hAnsi="仿宋" w:eastAsia="仿宋" w:cs="仿宋"/>
          <w:kern w:val="0"/>
          <w:sz w:val="24"/>
          <w:highlight w:val="none"/>
        </w:rPr>
      </w:pPr>
      <w:r>
        <w:rPr>
          <w:rFonts w:hint="eastAsia" w:ascii="仿宋" w:hAnsi="仿宋" w:eastAsia="仿宋" w:cs="仿宋"/>
          <w:kern w:val="0"/>
          <w:sz w:val="24"/>
          <w:highlight w:val="none"/>
          <w:lang w:val="en-US" w:eastAsia="zh-CN"/>
        </w:rPr>
        <w:t>5.</w:t>
      </w:r>
      <w:r>
        <w:rPr>
          <w:rFonts w:hint="eastAsia" w:ascii="仿宋" w:hAnsi="仿宋" w:eastAsia="仿宋" w:cs="仿宋"/>
          <w:kern w:val="0"/>
          <w:sz w:val="24"/>
          <w:highlight w:val="none"/>
        </w:rPr>
        <w:t>通过初步评审的供应商分别进行磋商；</w:t>
      </w:r>
    </w:p>
    <w:p w14:paraId="66D2379F">
      <w:pPr>
        <w:spacing w:line="360" w:lineRule="auto"/>
        <w:ind w:firstLine="420" w:firstLineChars="175"/>
        <w:jc w:val="left"/>
        <w:rPr>
          <w:rFonts w:ascii="仿宋" w:hAnsi="仿宋" w:eastAsia="仿宋" w:cs="仿宋"/>
          <w:kern w:val="0"/>
          <w:sz w:val="24"/>
          <w:highlight w:val="none"/>
        </w:rPr>
      </w:pPr>
      <w:r>
        <w:rPr>
          <w:rFonts w:hint="eastAsia" w:ascii="仿宋" w:hAnsi="仿宋" w:eastAsia="仿宋" w:cs="仿宋"/>
          <w:kern w:val="0"/>
          <w:sz w:val="24"/>
          <w:highlight w:val="none"/>
          <w:lang w:val="en-US" w:eastAsia="zh-CN"/>
        </w:rPr>
        <w:t>6.</w:t>
      </w:r>
      <w:r>
        <w:rPr>
          <w:rFonts w:hint="eastAsia" w:ascii="仿宋" w:hAnsi="仿宋" w:eastAsia="仿宋" w:cs="仿宋"/>
          <w:kern w:val="0"/>
          <w:sz w:val="24"/>
          <w:highlight w:val="none"/>
        </w:rPr>
        <w:t>通过初步评审的供应商进行最终报价；</w:t>
      </w:r>
    </w:p>
    <w:p w14:paraId="4EDAE637">
      <w:pPr>
        <w:spacing w:line="360" w:lineRule="auto"/>
        <w:ind w:firstLine="420" w:firstLineChars="175"/>
        <w:jc w:val="left"/>
        <w:rPr>
          <w:rFonts w:ascii="仿宋" w:hAnsi="仿宋" w:eastAsia="仿宋" w:cs="仿宋"/>
          <w:kern w:val="0"/>
          <w:sz w:val="24"/>
          <w:highlight w:val="none"/>
        </w:rPr>
      </w:pPr>
      <w:r>
        <w:rPr>
          <w:rFonts w:hint="eastAsia" w:ascii="仿宋" w:hAnsi="仿宋" w:eastAsia="仿宋" w:cs="仿宋"/>
          <w:kern w:val="0"/>
          <w:sz w:val="24"/>
          <w:highlight w:val="none"/>
          <w:lang w:val="en-US" w:eastAsia="zh-CN"/>
        </w:rPr>
        <w:t>7.</w:t>
      </w:r>
      <w:r>
        <w:rPr>
          <w:rFonts w:hint="eastAsia" w:ascii="仿宋" w:hAnsi="仿宋" w:eastAsia="仿宋" w:cs="仿宋"/>
          <w:kern w:val="0"/>
          <w:sz w:val="24"/>
          <w:highlight w:val="none"/>
        </w:rPr>
        <w:t>通过初步评审的响应文件进行详细评审及打分；</w:t>
      </w:r>
    </w:p>
    <w:p w14:paraId="043CEF41">
      <w:pPr>
        <w:spacing w:line="360" w:lineRule="auto"/>
        <w:ind w:firstLine="420" w:firstLineChars="175"/>
        <w:jc w:val="left"/>
        <w:rPr>
          <w:rFonts w:hint="eastAsia" w:ascii="仿宋" w:hAnsi="仿宋" w:eastAsia="仿宋" w:cs="仿宋"/>
          <w:color w:val="000000"/>
          <w:kern w:val="0"/>
          <w:sz w:val="24"/>
          <w:highlight w:val="none"/>
        </w:rPr>
      </w:pPr>
      <w:r>
        <w:rPr>
          <w:rFonts w:hint="eastAsia" w:ascii="仿宋" w:hAnsi="仿宋" w:eastAsia="仿宋" w:cs="仿宋"/>
          <w:kern w:val="0"/>
          <w:sz w:val="24"/>
          <w:highlight w:val="none"/>
          <w:lang w:val="en-US" w:eastAsia="zh-CN"/>
        </w:rPr>
        <w:t>8.</w:t>
      </w:r>
      <w:r>
        <w:rPr>
          <w:rFonts w:hint="eastAsia" w:ascii="仿宋" w:hAnsi="仿宋" w:eastAsia="仿宋" w:cs="仿宋"/>
          <w:kern w:val="0"/>
          <w:sz w:val="24"/>
          <w:highlight w:val="none"/>
        </w:rPr>
        <w:t>按照综合评分由高到低的次序推荐成交候选人，提交评审报告，评审报告应</w:t>
      </w:r>
      <w:r>
        <w:rPr>
          <w:rFonts w:hint="eastAsia" w:ascii="仿宋" w:hAnsi="仿宋" w:eastAsia="仿宋" w:cs="仿宋"/>
          <w:color w:val="000000"/>
          <w:kern w:val="0"/>
          <w:sz w:val="24"/>
          <w:highlight w:val="none"/>
        </w:rPr>
        <w:t>包含评审情况说明、排名次序、推荐成交候选人名单及其他说明事项。</w:t>
      </w:r>
    </w:p>
    <w:p w14:paraId="375BBAC2">
      <w:pPr>
        <w:pStyle w:val="4"/>
        <w:ind w:firstLine="0" w:firstLineChars="0"/>
        <w:jc w:val="left"/>
        <w:rPr>
          <w:rFonts w:hint="eastAsia" w:ascii="仿宋" w:hAnsi="仿宋" w:eastAsia="仿宋" w:cs="仿宋"/>
          <w:color w:val="000000"/>
          <w:sz w:val="24"/>
          <w:szCs w:val="24"/>
          <w:highlight w:val="none"/>
        </w:rPr>
      </w:pPr>
      <w:bookmarkStart w:id="127" w:name="_Toc517281826"/>
      <w:bookmarkStart w:id="128" w:name="_Toc444891345"/>
      <w:r>
        <w:rPr>
          <w:rFonts w:hint="eastAsia" w:ascii="仿宋" w:hAnsi="仿宋" w:eastAsia="仿宋" w:cs="仿宋"/>
          <w:color w:val="000000"/>
          <w:sz w:val="24"/>
          <w:szCs w:val="24"/>
          <w:highlight w:val="none"/>
        </w:rPr>
        <w:br w:type="page"/>
      </w:r>
      <w:bookmarkStart w:id="129" w:name="_Toc15790"/>
      <w:r>
        <w:rPr>
          <w:rFonts w:hint="eastAsia" w:ascii="仿宋" w:hAnsi="仿宋" w:eastAsia="仿宋" w:cs="仿宋"/>
          <w:color w:val="000000"/>
          <w:sz w:val="24"/>
          <w:szCs w:val="24"/>
          <w:highlight w:val="none"/>
        </w:rPr>
        <w:t>二、初步评审</w:t>
      </w:r>
      <w:bookmarkEnd w:id="127"/>
      <w:bookmarkEnd w:id="128"/>
      <w:bookmarkEnd w:id="129"/>
    </w:p>
    <w:bookmarkEnd w:id="125"/>
    <w:bookmarkEnd w:id="126"/>
    <w:tbl>
      <w:tblPr>
        <w:tblStyle w:val="41"/>
        <w:tblW w:w="5000"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666"/>
        <w:gridCol w:w="1167"/>
        <w:gridCol w:w="1952"/>
        <w:gridCol w:w="6069"/>
      </w:tblGrid>
      <w:tr w14:paraId="2FA89AB5">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noWrap w:val="0"/>
            <w:vAlign w:val="center"/>
          </w:tcPr>
          <w:p w14:paraId="4DA1A15C">
            <w:pPr>
              <w:widowControl/>
              <w:spacing w:line="360" w:lineRule="auto"/>
              <w:jc w:val="center"/>
              <w:rPr>
                <w:rFonts w:hint="eastAsia" w:ascii="仿宋" w:hAnsi="仿宋" w:eastAsia="仿宋" w:cs="仿宋"/>
                <w:b/>
                <w:color w:val="000000"/>
                <w:kern w:val="0"/>
                <w:szCs w:val="21"/>
                <w:highlight w:val="none"/>
              </w:rPr>
            </w:pPr>
            <w:bookmarkStart w:id="130" w:name="_Toc13468"/>
            <w:bookmarkStart w:id="131" w:name="_Toc444891346"/>
            <w:bookmarkStart w:id="132" w:name="_Toc517281827"/>
            <w:bookmarkStart w:id="133" w:name="_Toc426620345"/>
            <w:bookmarkStart w:id="134" w:name="_Toc4633"/>
            <w:bookmarkStart w:id="135" w:name="_Toc9003"/>
            <w:r>
              <w:rPr>
                <w:rFonts w:hint="eastAsia" w:ascii="仿宋" w:hAnsi="仿宋" w:eastAsia="仿宋" w:cs="仿宋"/>
                <w:b/>
                <w:color w:val="000000"/>
                <w:kern w:val="0"/>
                <w:szCs w:val="21"/>
                <w:highlight w:val="none"/>
              </w:rPr>
              <w:t>序号</w:t>
            </w:r>
          </w:p>
        </w:tc>
        <w:tc>
          <w:tcPr>
            <w:tcW w:w="592" w:type="pct"/>
            <w:noWrap w:val="0"/>
            <w:vAlign w:val="top"/>
          </w:tcPr>
          <w:p w14:paraId="5AD95E0F">
            <w:pPr>
              <w:widowControl/>
              <w:spacing w:before="24" w:after="24" w:line="360" w:lineRule="auto"/>
              <w:jc w:val="center"/>
              <w:rPr>
                <w:rFonts w:hint="eastAsia" w:ascii="仿宋" w:hAnsi="仿宋" w:eastAsia="仿宋" w:cs="仿宋"/>
                <w:b/>
                <w:color w:val="000000"/>
                <w:kern w:val="0"/>
                <w:szCs w:val="21"/>
                <w:highlight w:val="none"/>
              </w:rPr>
            </w:pPr>
            <w:r>
              <w:rPr>
                <w:rFonts w:hint="eastAsia" w:ascii="仿宋" w:hAnsi="仿宋" w:eastAsia="仿宋" w:cs="仿宋"/>
                <w:b/>
                <w:color w:val="000000"/>
                <w:kern w:val="0"/>
                <w:szCs w:val="21"/>
                <w:highlight w:val="none"/>
              </w:rPr>
              <w:t>评审环节</w:t>
            </w:r>
          </w:p>
        </w:tc>
        <w:tc>
          <w:tcPr>
            <w:tcW w:w="990" w:type="pct"/>
            <w:noWrap w:val="0"/>
            <w:vAlign w:val="center"/>
          </w:tcPr>
          <w:p w14:paraId="43DD9090">
            <w:pPr>
              <w:widowControl/>
              <w:spacing w:before="24" w:after="24" w:line="360" w:lineRule="auto"/>
              <w:jc w:val="center"/>
              <w:rPr>
                <w:rFonts w:hint="eastAsia" w:ascii="仿宋" w:hAnsi="仿宋" w:eastAsia="仿宋" w:cs="仿宋"/>
                <w:b/>
                <w:color w:val="000000"/>
                <w:kern w:val="0"/>
                <w:szCs w:val="21"/>
                <w:highlight w:val="none"/>
              </w:rPr>
            </w:pPr>
            <w:r>
              <w:rPr>
                <w:rFonts w:hint="eastAsia" w:ascii="仿宋" w:hAnsi="仿宋" w:eastAsia="仿宋" w:cs="仿宋"/>
                <w:b/>
                <w:color w:val="000000"/>
                <w:kern w:val="0"/>
                <w:szCs w:val="21"/>
                <w:highlight w:val="none"/>
              </w:rPr>
              <w:t>评审因素</w:t>
            </w:r>
          </w:p>
        </w:tc>
        <w:tc>
          <w:tcPr>
            <w:tcW w:w="3078" w:type="pct"/>
            <w:noWrap w:val="0"/>
            <w:vAlign w:val="center"/>
          </w:tcPr>
          <w:p w14:paraId="72876937">
            <w:pPr>
              <w:widowControl/>
              <w:spacing w:line="360" w:lineRule="auto"/>
              <w:jc w:val="center"/>
              <w:rPr>
                <w:rFonts w:hint="eastAsia" w:ascii="仿宋" w:hAnsi="仿宋" w:eastAsia="仿宋" w:cs="仿宋"/>
                <w:b/>
                <w:color w:val="000000"/>
                <w:kern w:val="0"/>
                <w:szCs w:val="21"/>
                <w:highlight w:val="none"/>
              </w:rPr>
            </w:pPr>
            <w:r>
              <w:rPr>
                <w:rFonts w:hint="eastAsia" w:ascii="仿宋" w:hAnsi="仿宋" w:eastAsia="仿宋" w:cs="仿宋"/>
                <w:b/>
                <w:color w:val="000000"/>
                <w:kern w:val="0"/>
                <w:szCs w:val="21"/>
                <w:highlight w:val="none"/>
              </w:rPr>
              <w:t>评审标准</w:t>
            </w:r>
          </w:p>
        </w:tc>
      </w:tr>
      <w:tr w14:paraId="2A475490">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restart"/>
            <w:noWrap w:val="0"/>
            <w:vAlign w:val="center"/>
          </w:tcPr>
          <w:p w14:paraId="4822C43E">
            <w:pPr>
              <w:widowControl/>
              <w:spacing w:line="360"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w:t>
            </w:r>
          </w:p>
        </w:tc>
        <w:tc>
          <w:tcPr>
            <w:tcW w:w="592" w:type="pct"/>
            <w:vMerge w:val="restart"/>
            <w:noWrap w:val="0"/>
            <w:vAlign w:val="center"/>
          </w:tcPr>
          <w:p w14:paraId="7846DC05">
            <w:pPr>
              <w:spacing w:before="24" w:after="24"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形式评审标准</w:t>
            </w:r>
          </w:p>
        </w:tc>
        <w:tc>
          <w:tcPr>
            <w:tcW w:w="990" w:type="pct"/>
            <w:noWrap w:val="0"/>
            <w:vAlign w:val="center"/>
          </w:tcPr>
          <w:p w14:paraId="259FAF29">
            <w:pPr>
              <w:spacing w:before="24" w:after="24" w:line="276"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szCs w:val="21"/>
                <w:highlight w:val="none"/>
              </w:rPr>
              <w:t>供应商名称</w:t>
            </w:r>
          </w:p>
        </w:tc>
        <w:tc>
          <w:tcPr>
            <w:tcW w:w="3078" w:type="pct"/>
            <w:noWrap w:val="0"/>
            <w:vAlign w:val="center"/>
          </w:tcPr>
          <w:p w14:paraId="4C5AE2A2">
            <w:pPr>
              <w:spacing w:before="24" w:after="24" w:line="276" w:lineRule="auto"/>
              <w:jc w:val="left"/>
              <w:rPr>
                <w:rFonts w:hint="eastAsia" w:ascii="仿宋" w:hAnsi="仿宋" w:eastAsia="仿宋" w:cs="仿宋"/>
                <w:color w:val="000000"/>
                <w:kern w:val="0"/>
                <w:szCs w:val="21"/>
                <w:highlight w:val="none"/>
              </w:rPr>
            </w:pPr>
            <w:r>
              <w:rPr>
                <w:rFonts w:hint="eastAsia" w:ascii="仿宋" w:hAnsi="仿宋" w:eastAsia="仿宋" w:cs="Cambria Math"/>
                <w:color w:val="000000"/>
                <w:szCs w:val="21"/>
                <w:highlight w:val="none"/>
              </w:rPr>
              <w:t>与企业营业执照、单位公章等保持一致。</w:t>
            </w:r>
          </w:p>
        </w:tc>
      </w:tr>
      <w:tr w14:paraId="388A4B88">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noWrap w:val="0"/>
            <w:vAlign w:val="center"/>
          </w:tcPr>
          <w:p w14:paraId="0ADB480A">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top"/>
          </w:tcPr>
          <w:p w14:paraId="2DCB60C7">
            <w:pPr>
              <w:spacing w:before="24" w:after="24" w:line="360" w:lineRule="auto"/>
              <w:jc w:val="center"/>
              <w:rPr>
                <w:rFonts w:hint="eastAsia" w:ascii="仿宋" w:hAnsi="仿宋" w:eastAsia="仿宋" w:cs="仿宋"/>
                <w:color w:val="000000"/>
                <w:szCs w:val="21"/>
                <w:highlight w:val="none"/>
              </w:rPr>
            </w:pPr>
          </w:p>
        </w:tc>
        <w:tc>
          <w:tcPr>
            <w:tcW w:w="990" w:type="pct"/>
            <w:noWrap w:val="0"/>
            <w:vAlign w:val="center"/>
          </w:tcPr>
          <w:p w14:paraId="41A7A050">
            <w:pPr>
              <w:spacing w:before="24" w:after="24" w:line="276" w:lineRule="auto"/>
              <w:jc w:val="center"/>
              <w:rPr>
                <w:rFonts w:hint="eastAsia" w:ascii="仿宋" w:hAnsi="仿宋" w:eastAsia="仿宋" w:cs="仿宋"/>
                <w:color w:val="000000"/>
                <w:spacing w:val="-4"/>
                <w:kern w:val="0"/>
                <w:szCs w:val="21"/>
                <w:highlight w:val="none"/>
              </w:rPr>
            </w:pPr>
            <w:r>
              <w:rPr>
                <w:rFonts w:hint="eastAsia" w:ascii="仿宋" w:hAnsi="仿宋" w:eastAsia="仿宋" w:cs="仿宋"/>
                <w:color w:val="000000"/>
                <w:szCs w:val="21"/>
                <w:highlight w:val="none"/>
              </w:rPr>
              <w:t>法定代表人（负责人）身份证明</w:t>
            </w:r>
          </w:p>
        </w:tc>
        <w:tc>
          <w:tcPr>
            <w:tcW w:w="3078" w:type="pct"/>
            <w:noWrap w:val="0"/>
            <w:vAlign w:val="center"/>
          </w:tcPr>
          <w:p w14:paraId="10479679">
            <w:pPr>
              <w:pStyle w:val="175"/>
              <w:topLinePunct/>
              <w:jc w:val="left"/>
              <w:rPr>
                <w:rFonts w:ascii="仿宋" w:hAnsi="仿宋" w:eastAsia="仿宋" w:cs="仿宋"/>
                <w:color w:val="000000"/>
                <w:sz w:val="21"/>
                <w:szCs w:val="21"/>
                <w:highlight w:val="none"/>
              </w:rPr>
            </w:pPr>
            <w:r>
              <w:rPr>
                <w:rFonts w:hint="eastAsia" w:ascii="仿宋" w:hAnsi="仿宋" w:eastAsia="仿宋" w:cs="仿宋"/>
                <w:color w:val="000000"/>
                <w:sz w:val="21"/>
                <w:szCs w:val="21"/>
                <w:highlight w:val="none"/>
              </w:rPr>
              <w:t>1、提供法定代表人（负责人）身份证复印件。</w:t>
            </w:r>
          </w:p>
          <w:p w14:paraId="021D8C0F">
            <w:pPr>
              <w:pStyle w:val="138"/>
              <w:tabs>
                <w:tab w:val="left" w:pos="630"/>
              </w:tabs>
              <w:topLinePunct/>
              <w:spacing w:before="62" w:beforeLines="20" w:after="62" w:afterLines="20" w:line="276" w:lineRule="auto"/>
              <w:rPr>
                <w:rFonts w:hint="eastAsia" w:ascii="仿宋" w:hAnsi="仿宋" w:eastAsia="仿宋" w:cs="仿宋"/>
                <w:color w:val="000000"/>
                <w:sz w:val="21"/>
                <w:szCs w:val="21"/>
                <w:highlight w:val="none"/>
              </w:rPr>
            </w:pPr>
            <w:r>
              <w:rPr>
                <w:rFonts w:hint="eastAsia" w:ascii="仿宋" w:hAnsi="仿宋" w:eastAsia="仿宋" w:cs="仿宋"/>
                <w:color w:val="000000"/>
                <w:sz w:val="22"/>
                <w:highlight w:val="none"/>
              </w:rPr>
              <w:t>2、落款加盖公章。</w:t>
            </w:r>
          </w:p>
        </w:tc>
      </w:tr>
      <w:tr w14:paraId="4815F890">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noWrap w:val="0"/>
            <w:vAlign w:val="center"/>
          </w:tcPr>
          <w:p w14:paraId="59B95075">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top"/>
          </w:tcPr>
          <w:p w14:paraId="6F0CBA36">
            <w:pPr>
              <w:spacing w:before="24" w:after="24" w:line="360" w:lineRule="auto"/>
              <w:jc w:val="center"/>
              <w:rPr>
                <w:rFonts w:hint="eastAsia" w:ascii="仿宋" w:hAnsi="仿宋" w:eastAsia="仿宋" w:cs="仿宋"/>
                <w:color w:val="000000"/>
                <w:szCs w:val="21"/>
                <w:highlight w:val="none"/>
              </w:rPr>
            </w:pPr>
          </w:p>
        </w:tc>
        <w:tc>
          <w:tcPr>
            <w:tcW w:w="990" w:type="pct"/>
            <w:noWrap w:val="0"/>
            <w:vAlign w:val="center"/>
          </w:tcPr>
          <w:p w14:paraId="429D5379">
            <w:pPr>
              <w:spacing w:before="24" w:after="24" w:line="276"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法定代表人（负责人）授权委托书</w:t>
            </w:r>
          </w:p>
        </w:tc>
        <w:tc>
          <w:tcPr>
            <w:tcW w:w="3078" w:type="pct"/>
            <w:noWrap w:val="0"/>
            <w:vAlign w:val="center"/>
          </w:tcPr>
          <w:p w14:paraId="1EE6DACD">
            <w:pPr>
              <w:pStyle w:val="175"/>
              <w:topLinePunct/>
              <w:spacing w:line="276"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1、提供委托代理人身份证复印件。</w:t>
            </w:r>
          </w:p>
          <w:p w14:paraId="40CE8C41">
            <w:pPr>
              <w:pStyle w:val="175"/>
              <w:topLinePunct/>
              <w:spacing w:line="276" w:lineRule="auto"/>
              <w:rPr>
                <w:rFonts w:hint="eastAsia" w:ascii="仿宋" w:hAnsi="仿宋" w:eastAsia="仿宋" w:cs="Cambria Math"/>
                <w:color w:val="000000"/>
                <w:sz w:val="21"/>
                <w:szCs w:val="21"/>
                <w:highlight w:val="none"/>
              </w:rPr>
            </w:pPr>
            <w:r>
              <w:rPr>
                <w:rFonts w:hint="eastAsia" w:ascii="仿宋" w:hAnsi="仿宋" w:eastAsia="仿宋" w:cs="仿宋"/>
                <w:color w:val="000000"/>
                <w:sz w:val="22"/>
                <w:highlight w:val="none"/>
              </w:rPr>
              <w:t>2、落款</w:t>
            </w:r>
            <w:r>
              <w:rPr>
                <w:rFonts w:hint="eastAsia" w:ascii="仿宋" w:hAnsi="仿宋" w:eastAsia="仿宋" w:cs="仿宋"/>
                <w:bCs/>
                <w:color w:val="000000"/>
                <w:sz w:val="22"/>
                <w:highlight w:val="none"/>
              </w:rPr>
              <w:t>加盖公章</w:t>
            </w:r>
            <w:r>
              <w:rPr>
                <w:rFonts w:hint="eastAsia" w:ascii="仿宋" w:hAnsi="仿宋" w:eastAsia="仿宋" w:cs="仿宋"/>
                <w:b/>
                <w:bCs/>
                <w:color w:val="000000"/>
                <w:sz w:val="22"/>
                <w:highlight w:val="none"/>
              </w:rPr>
              <w:t>并由</w:t>
            </w:r>
            <w:r>
              <w:rPr>
                <w:rFonts w:hint="eastAsia" w:ascii="仿宋" w:hAnsi="仿宋" w:eastAsia="仿宋" w:cs="仿宋"/>
                <w:color w:val="000000"/>
                <w:sz w:val="22"/>
                <w:highlight w:val="none"/>
              </w:rPr>
              <w:t>法定代表人（负责人）签字</w:t>
            </w:r>
            <w:r>
              <w:rPr>
                <w:rFonts w:hint="eastAsia" w:ascii="仿宋" w:hAnsi="仿宋" w:eastAsia="仿宋" w:cs="仿宋"/>
                <w:b/>
                <w:bCs/>
                <w:color w:val="000000"/>
                <w:sz w:val="22"/>
                <w:highlight w:val="none"/>
              </w:rPr>
              <w:t>和</w:t>
            </w:r>
            <w:r>
              <w:rPr>
                <w:rFonts w:hint="eastAsia" w:ascii="仿宋" w:hAnsi="仿宋" w:eastAsia="仿宋" w:cs="仿宋"/>
                <w:color w:val="000000"/>
                <w:sz w:val="22"/>
                <w:highlight w:val="none"/>
              </w:rPr>
              <w:t>其委托代理人</w:t>
            </w:r>
            <w:r>
              <w:rPr>
                <w:rFonts w:hint="eastAsia" w:ascii="仿宋" w:hAnsi="仿宋" w:eastAsia="仿宋" w:cs="仿宋"/>
                <w:b/>
                <w:bCs/>
                <w:color w:val="000000"/>
                <w:sz w:val="22"/>
                <w:highlight w:val="none"/>
              </w:rPr>
              <w:t>双方</w:t>
            </w:r>
            <w:r>
              <w:rPr>
                <w:rFonts w:hint="eastAsia" w:ascii="仿宋" w:hAnsi="仿宋" w:eastAsia="仿宋" w:cs="仿宋"/>
                <w:bCs/>
                <w:color w:val="000000"/>
                <w:sz w:val="22"/>
                <w:highlight w:val="none"/>
              </w:rPr>
              <w:t>签字。</w:t>
            </w:r>
          </w:p>
        </w:tc>
      </w:tr>
      <w:tr w14:paraId="33169A58">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noWrap w:val="0"/>
            <w:vAlign w:val="center"/>
          </w:tcPr>
          <w:p w14:paraId="6D7538D6">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top"/>
          </w:tcPr>
          <w:p w14:paraId="529718AB">
            <w:pPr>
              <w:spacing w:before="24" w:after="24" w:line="360" w:lineRule="auto"/>
              <w:jc w:val="center"/>
              <w:rPr>
                <w:rFonts w:hint="eastAsia" w:ascii="仿宋" w:hAnsi="仿宋" w:eastAsia="仿宋" w:cs="仿宋"/>
                <w:color w:val="000000"/>
                <w:szCs w:val="21"/>
                <w:highlight w:val="none"/>
              </w:rPr>
            </w:pPr>
          </w:p>
        </w:tc>
        <w:tc>
          <w:tcPr>
            <w:tcW w:w="990" w:type="pct"/>
            <w:noWrap w:val="0"/>
            <w:vAlign w:val="center"/>
          </w:tcPr>
          <w:p w14:paraId="3EED49BB">
            <w:pPr>
              <w:spacing w:before="24" w:after="24" w:line="276"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szCs w:val="21"/>
                <w:highlight w:val="none"/>
              </w:rPr>
              <w:t>响应文件签字或盖章</w:t>
            </w:r>
          </w:p>
        </w:tc>
        <w:tc>
          <w:tcPr>
            <w:tcW w:w="3078" w:type="pct"/>
            <w:noWrap w:val="0"/>
            <w:vAlign w:val="center"/>
          </w:tcPr>
          <w:p w14:paraId="6B19ABDB">
            <w:pPr>
              <w:spacing w:before="24" w:after="24"/>
              <w:jc w:val="left"/>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1、上述两款以外的响应文件格式中有落款的文件，</w:t>
            </w:r>
            <w:r>
              <w:rPr>
                <w:rFonts w:hint="eastAsia" w:ascii="仿宋" w:hAnsi="仿宋" w:eastAsia="仿宋" w:cs="宋体"/>
                <w:b/>
                <w:color w:val="000000"/>
                <w:szCs w:val="21"/>
                <w:highlight w:val="none"/>
              </w:rPr>
              <w:t>均需</w:t>
            </w:r>
            <w:r>
              <w:rPr>
                <w:rFonts w:hint="eastAsia" w:ascii="仿宋" w:hAnsi="仿宋" w:eastAsia="仿宋" w:cs="宋体"/>
                <w:color w:val="000000"/>
                <w:szCs w:val="21"/>
                <w:highlight w:val="none"/>
              </w:rPr>
              <w:t>加盖公章</w:t>
            </w:r>
            <w:r>
              <w:rPr>
                <w:rFonts w:hint="eastAsia" w:ascii="仿宋" w:hAnsi="仿宋" w:eastAsia="仿宋" w:cs="宋体"/>
                <w:b/>
                <w:color w:val="000000"/>
                <w:szCs w:val="21"/>
                <w:highlight w:val="none"/>
              </w:rPr>
              <w:t>或</w:t>
            </w:r>
            <w:r>
              <w:rPr>
                <w:rFonts w:hint="eastAsia" w:ascii="仿宋" w:hAnsi="仿宋" w:eastAsia="仿宋" w:cs="宋体"/>
                <w:color w:val="000000"/>
                <w:szCs w:val="21"/>
                <w:highlight w:val="none"/>
              </w:rPr>
              <w:t>由法定代表人（负责人）签字</w:t>
            </w:r>
            <w:r>
              <w:rPr>
                <w:rFonts w:hint="eastAsia" w:ascii="仿宋" w:hAnsi="仿宋" w:eastAsia="仿宋" w:cs="宋体"/>
                <w:b/>
                <w:color w:val="000000"/>
                <w:szCs w:val="21"/>
                <w:highlight w:val="none"/>
              </w:rPr>
              <w:t>或</w:t>
            </w:r>
            <w:r>
              <w:rPr>
                <w:rFonts w:hint="eastAsia" w:ascii="仿宋" w:hAnsi="仿宋" w:eastAsia="仿宋" w:cs="宋体"/>
                <w:color w:val="000000"/>
                <w:szCs w:val="21"/>
                <w:highlight w:val="none"/>
              </w:rPr>
              <w:t>其委托代理人签字。</w:t>
            </w:r>
          </w:p>
          <w:p w14:paraId="515C913C">
            <w:pPr>
              <w:pStyle w:val="157"/>
              <w:spacing w:before="62" w:beforeLines="20" w:after="62" w:afterLines="20" w:line="276" w:lineRule="auto"/>
              <w:rPr>
                <w:rFonts w:hint="eastAsia" w:ascii="仿宋" w:hAnsi="仿宋" w:eastAsia="仿宋" w:cs="宋体"/>
                <w:color w:val="000000"/>
                <w:highlight w:val="none"/>
              </w:rPr>
            </w:pPr>
            <w:r>
              <w:rPr>
                <w:rFonts w:hint="eastAsia" w:ascii="仿宋" w:hAnsi="仿宋" w:eastAsia="仿宋" w:cs="宋体"/>
                <w:color w:val="000000"/>
                <w:highlight w:val="none"/>
              </w:rPr>
              <w:t>2、响应文件的所有签字处均指手写签字</w:t>
            </w:r>
            <w:r>
              <w:rPr>
                <w:rFonts w:hint="eastAsia" w:ascii="仿宋" w:hAnsi="仿宋" w:eastAsia="仿宋" w:cs="宋体"/>
                <w:b/>
                <w:color w:val="000000"/>
                <w:highlight w:val="none"/>
              </w:rPr>
              <w:t>或</w:t>
            </w:r>
            <w:r>
              <w:rPr>
                <w:rFonts w:hint="eastAsia" w:ascii="仿宋" w:hAnsi="仿宋" w:eastAsia="仿宋" w:cs="宋体"/>
                <w:color w:val="000000"/>
                <w:highlight w:val="none"/>
              </w:rPr>
              <w:t>签名章/印章</w:t>
            </w:r>
            <w:r>
              <w:rPr>
                <w:rFonts w:hint="eastAsia" w:ascii="仿宋" w:hAnsi="仿宋" w:eastAsia="仿宋" w:cs="宋体"/>
                <w:b/>
                <w:bCs/>
                <w:color w:val="000000"/>
                <w:highlight w:val="none"/>
              </w:rPr>
              <w:t>或</w:t>
            </w:r>
            <w:r>
              <w:rPr>
                <w:rFonts w:hint="eastAsia" w:ascii="仿宋" w:hAnsi="仿宋" w:eastAsia="仿宋" w:cs="宋体"/>
                <w:color w:val="000000"/>
                <w:highlight w:val="none"/>
              </w:rPr>
              <w:t>CA签名章，</w:t>
            </w:r>
            <w:r>
              <w:rPr>
                <w:rFonts w:hint="eastAsia" w:ascii="仿宋" w:hAnsi="仿宋" w:eastAsia="仿宋" w:cs="宋体"/>
                <w:b/>
                <w:color w:val="000000"/>
                <w:highlight w:val="none"/>
              </w:rPr>
              <w:t>不得</w:t>
            </w:r>
            <w:r>
              <w:rPr>
                <w:rFonts w:hint="eastAsia" w:ascii="仿宋" w:hAnsi="仿宋" w:eastAsia="仿宋" w:cs="宋体"/>
                <w:color w:val="000000"/>
                <w:highlight w:val="none"/>
              </w:rPr>
              <w:t>以打印体代替。</w:t>
            </w:r>
          </w:p>
        </w:tc>
      </w:tr>
      <w:tr w14:paraId="533E4675">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338" w:type="pct"/>
            <w:vMerge w:val="restart"/>
            <w:noWrap w:val="0"/>
            <w:vAlign w:val="center"/>
          </w:tcPr>
          <w:p w14:paraId="1E8C5298">
            <w:pPr>
              <w:widowControl/>
              <w:spacing w:line="360"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2</w:t>
            </w:r>
          </w:p>
        </w:tc>
        <w:tc>
          <w:tcPr>
            <w:tcW w:w="592" w:type="pct"/>
            <w:vMerge w:val="restart"/>
            <w:noWrap w:val="0"/>
            <w:vAlign w:val="center"/>
          </w:tcPr>
          <w:p w14:paraId="25675233">
            <w:pPr>
              <w:spacing w:before="24" w:after="24"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资格评审标准</w:t>
            </w:r>
          </w:p>
        </w:tc>
        <w:tc>
          <w:tcPr>
            <w:tcW w:w="990" w:type="pct"/>
            <w:noWrap w:val="0"/>
            <w:vAlign w:val="center"/>
          </w:tcPr>
          <w:p w14:paraId="050E4600">
            <w:pPr>
              <w:spacing w:before="24" w:after="24" w:line="276"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营业执照</w:t>
            </w:r>
          </w:p>
        </w:tc>
        <w:tc>
          <w:tcPr>
            <w:tcW w:w="3078" w:type="pct"/>
            <w:noWrap w:val="0"/>
            <w:vAlign w:val="center"/>
          </w:tcPr>
          <w:p w14:paraId="4CFCAEFD">
            <w:pPr>
              <w:spacing w:before="24" w:after="24" w:line="276" w:lineRule="auto"/>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符合第一章“竞争性磋商公告”</w:t>
            </w:r>
            <w:r>
              <w:rPr>
                <w:rFonts w:hint="eastAsia" w:ascii="仿宋" w:hAnsi="仿宋" w:eastAsia="仿宋" w:cs="Cambria Math"/>
                <w:color w:val="000000"/>
                <w:szCs w:val="21"/>
                <w:highlight w:val="none"/>
              </w:rPr>
              <w:t>规定</w:t>
            </w:r>
          </w:p>
        </w:tc>
      </w:tr>
      <w:tr w14:paraId="79223126">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338" w:type="pct"/>
            <w:vMerge w:val="continue"/>
            <w:noWrap w:val="0"/>
            <w:vAlign w:val="center"/>
          </w:tcPr>
          <w:p w14:paraId="558FF13C">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center"/>
          </w:tcPr>
          <w:p w14:paraId="4DD65AC9">
            <w:pPr>
              <w:spacing w:before="24" w:after="24" w:line="360" w:lineRule="auto"/>
              <w:jc w:val="center"/>
              <w:rPr>
                <w:rFonts w:hint="eastAsia" w:ascii="仿宋" w:hAnsi="仿宋" w:eastAsia="仿宋" w:cs="仿宋"/>
                <w:color w:val="000000"/>
                <w:szCs w:val="21"/>
                <w:highlight w:val="none"/>
              </w:rPr>
            </w:pPr>
          </w:p>
        </w:tc>
        <w:tc>
          <w:tcPr>
            <w:tcW w:w="990" w:type="pct"/>
            <w:noWrap w:val="0"/>
            <w:vAlign w:val="center"/>
          </w:tcPr>
          <w:p w14:paraId="490A0DED">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无违法违规记录</w:t>
            </w:r>
          </w:p>
        </w:tc>
        <w:tc>
          <w:tcPr>
            <w:tcW w:w="3078" w:type="pct"/>
            <w:noWrap w:val="0"/>
            <w:vAlign w:val="center"/>
          </w:tcPr>
          <w:p w14:paraId="57789C4E">
            <w:pPr>
              <w:spacing w:before="24" w:after="24" w:line="276" w:lineRule="auto"/>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符合第一章“竞争性磋商公告”</w:t>
            </w:r>
            <w:r>
              <w:rPr>
                <w:rFonts w:hint="eastAsia" w:ascii="仿宋" w:hAnsi="仿宋" w:eastAsia="仿宋" w:cs="Cambria Math"/>
                <w:color w:val="000000"/>
                <w:szCs w:val="21"/>
                <w:highlight w:val="none"/>
              </w:rPr>
              <w:t>规定</w:t>
            </w:r>
          </w:p>
        </w:tc>
      </w:tr>
      <w:tr w14:paraId="5A54BBDC">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338" w:type="pct"/>
            <w:vMerge w:val="continue"/>
            <w:noWrap w:val="0"/>
            <w:vAlign w:val="center"/>
          </w:tcPr>
          <w:p w14:paraId="062CDF5A">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center"/>
          </w:tcPr>
          <w:p w14:paraId="53EC2BEC">
            <w:pPr>
              <w:spacing w:before="24" w:after="24" w:line="360" w:lineRule="auto"/>
              <w:jc w:val="center"/>
              <w:rPr>
                <w:rFonts w:hint="eastAsia" w:ascii="仿宋" w:hAnsi="仿宋" w:eastAsia="仿宋" w:cs="仿宋"/>
                <w:color w:val="000000"/>
                <w:szCs w:val="21"/>
                <w:highlight w:val="none"/>
              </w:rPr>
            </w:pPr>
          </w:p>
        </w:tc>
        <w:tc>
          <w:tcPr>
            <w:tcW w:w="990" w:type="pct"/>
            <w:noWrap w:val="0"/>
            <w:vAlign w:val="center"/>
          </w:tcPr>
          <w:p w14:paraId="405A9F6D">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000000"/>
                <w:szCs w:val="21"/>
                <w:highlight w:val="none"/>
              </w:rPr>
            </w:pPr>
            <w:r>
              <w:rPr>
                <w:rFonts w:hint="eastAsia" w:ascii="仿宋" w:hAnsi="仿宋" w:eastAsia="仿宋" w:cs="Monaco"/>
                <w:color w:val="000000"/>
                <w:szCs w:val="21"/>
                <w:highlight w:val="none"/>
              </w:rPr>
              <w:t>未被列入黑名单</w:t>
            </w:r>
          </w:p>
        </w:tc>
        <w:tc>
          <w:tcPr>
            <w:tcW w:w="3078" w:type="pct"/>
            <w:noWrap w:val="0"/>
            <w:vAlign w:val="center"/>
          </w:tcPr>
          <w:p w14:paraId="3E1227FC">
            <w:pPr>
              <w:spacing w:before="24" w:after="24" w:line="276" w:lineRule="auto"/>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符合第一章“竞争性磋商公告”</w:t>
            </w:r>
            <w:r>
              <w:rPr>
                <w:rFonts w:hint="eastAsia" w:ascii="仿宋" w:hAnsi="仿宋" w:eastAsia="仿宋" w:cs="Cambria Math"/>
                <w:color w:val="000000"/>
                <w:szCs w:val="21"/>
                <w:highlight w:val="none"/>
              </w:rPr>
              <w:t>规定</w:t>
            </w:r>
          </w:p>
        </w:tc>
      </w:tr>
      <w:tr w14:paraId="4E1F5F93">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338" w:type="pct"/>
            <w:vMerge w:val="continue"/>
            <w:noWrap w:val="0"/>
            <w:vAlign w:val="center"/>
          </w:tcPr>
          <w:p w14:paraId="3A393109">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top"/>
          </w:tcPr>
          <w:p w14:paraId="6B8DEFF2">
            <w:pPr>
              <w:spacing w:before="24" w:after="24" w:line="360" w:lineRule="auto"/>
              <w:jc w:val="center"/>
              <w:rPr>
                <w:rFonts w:hint="eastAsia" w:ascii="仿宋" w:hAnsi="仿宋" w:eastAsia="仿宋" w:cs="仿宋"/>
                <w:color w:val="000000"/>
                <w:kern w:val="0"/>
                <w:szCs w:val="21"/>
                <w:highlight w:val="none"/>
              </w:rPr>
            </w:pPr>
          </w:p>
        </w:tc>
        <w:tc>
          <w:tcPr>
            <w:tcW w:w="990" w:type="pct"/>
            <w:noWrap w:val="0"/>
            <w:vAlign w:val="center"/>
          </w:tcPr>
          <w:p w14:paraId="58CDFF17">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000000"/>
                <w:szCs w:val="21"/>
                <w:highlight w:val="none"/>
              </w:rPr>
            </w:pPr>
            <w:r>
              <w:rPr>
                <w:rFonts w:hint="eastAsia" w:ascii="仿宋" w:hAnsi="仿宋" w:eastAsia="仿宋" w:cs="Cambria Math"/>
                <w:color w:val="000000"/>
                <w:szCs w:val="21"/>
                <w:highlight w:val="none"/>
              </w:rPr>
              <w:t>控股及管理关系</w:t>
            </w:r>
          </w:p>
        </w:tc>
        <w:tc>
          <w:tcPr>
            <w:tcW w:w="3078" w:type="pct"/>
            <w:noWrap w:val="0"/>
            <w:vAlign w:val="center"/>
          </w:tcPr>
          <w:p w14:paraId="01498FB6">
            <w:pPr>
              <w:spacing w:before="24" w:after="24" w:line="276" w:lineRule="auto"/>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符合第一章“竞争性磋商公告”</w:t>
            </w:r>
            <w:r>
              <w:rPr>
                <w:rFonts w:hint="eastAsia" w:ascii="仿宋" w:hAnsi="仿宋" w:eastAsia="仿宋" w:cs="Cambria Math"/>
                <w:color w:val="000000"/>
                <w:szCs w:val="21"/>
                <w:highlight w:val="none"/>
              </w:rPr>
              <w:t>规定</w:t>
            </w:r>
          </w:p>
        </w:tc>
      </w:tr>
      <w:tr w14:paraId="391638D6">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noWrap w:val="0"/>
            <w:vAlign w:val="center"/>
          </w:tcPr>
          <w:p w14:paraId="7E0F07BE">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top"/>
          </w:tcPr>
          <w:p w14:paraId="690CFCE9">
            <w:pPr>
              <w:spacing w:before="24" w:after="24" w:line="360" w:lineRule="auto"/>
              <w:jc w:val="center"/>
              <w:rPr>
                <w:rFonts w:hint="eastAsia" w:ascii="仿宋" w:hAnsi="仿宋" w:eastAsia="仿宋" w:cs="仿宋"/>
                <w:color w:val="000000"/>
                <w:kern w:val="0"/>
                <w:szCs w:val="21"/>
                <w:highlight w:val="none"/>
              </w:rPr>
            </w:pPr>
          </w:p>
        </w:tc>
        <w:tc>
          <w:tcPr>
            <w:tcW w:w="1952" w:type="dxa"/>
            <w:noWrap w:val="0"/>
            <w:vAlign w:val="center"/>
          </w:tcPr>
          <w:p w14:paraId="13756A2A">
            <w:pPr>
              <w:keepNext w:val="0"/>
              <w:keepLines w:val="0"/>
              <w:suppressLineNumbers w:val="0"/>
              <w:spacing w:before="24" w:beforeAutospacing="0" w:after="24" w:afterAutospacing="0"/>
              <w:ind w:left="0" w:leftChars="0" w:right="0" w:rightChars="0"/>
              <w:jc w:val="center"/>
              <w:rPr>
                <w:rFonts w:hint="default" w:ascii="仿宋" w:hAnsi="仿宋" w:eastAsia="仿宋" w:cs="仿宋"/>
                <w:color w:val="FF0000"/>
                <w:kern w:val="0"/>
                <w:szCs w:val="21"/>
                <w:highlight w:val="none"/>
                <w:lang w:val="en-US" w:eastAsia="zh-CN"/>
              </w:rPr>
            </w:pPr>
            <w:r>
              <w:rPr>
                <w:rFonts w:hint="eastAsia" w:ascii="仿宋" w:hAnsi="仿宋" w:eastAsia="仿宋" w:cs="宋体"/>
                <w:color w:val="auto"/>
                <w:szCs w:val="21"/>
                <w:highlight w:val="none"/>
              </w:rPr>
              <w:t>具有良好的商业信誉和健全的财务会计制度</w:t>
            </w:r>
          </w:p>
        </w:tc>
        <w:tc>
          <w:tcPr>
            <w:tcW w:w="3078" w:type="pct"/>
            <w:noWrap w:val="0"/>
            <w:vAlign w:val="center"/>
          </w:tcPr>
          <w:p w14:paraId="35B26A2D">
            <w:pPr>
              <w:spacing w:before="24" w:after="24" w:line="276" w:lineRule="auto"/>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符合第一章“竞争性磋商公告”</w:t>
            </w:r>
            <w:r>
              <w:rPr>
                <w:rFonts w:hint="eastAsia" w:ascii="仿宋" w:hAnsi="仿宋" w:eastAsia="仿宋" w:cs="Cambria Math"/>
                <w:color w:val="000000"/>
                <w:szCs w:val="21"/>
                <w:highlight w:val="none"/>
              </w:rPr>
              <w:t>规定</w:t>
            </w:r>
          </w:p>
        </w:tc>
      </w:tr>
      <w:tr w14:paraId="7C1ED0E6">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338" w:type="pct"/>
            <w:vMerge w:val="continue"/>
            <w:noWrap w:val="0"/>
            <w:vAlign w:val="center"/>
          </w:tcPr>
          <w:p w14:paraId="70FD4BC8">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top"/>
          </w:tcPr>
          <w:p w14:paraId="106BF7CF">
            <w:pPr>
              <w:spacing w:before="24" w:after="24" w:line="360" w:lineRule="auto"/>
              <w:jc w:val="center"/>
              <w:rPr>
                <w:rFonts w:hint="eastAsia" w:ascii="仿宋" w:hAnsi="仿宋" w:eastAsia="仿宋" w:cs="仿宋"/>
                <w:color w:val="000000"/>
                <w:kern w:val="0"/>
                <w:szCs w:val="21"/>
                <w:highlight w:val="none"/>
              </w:rPr>
            </w:pPr>
          </w:p>
        </w:tc>
        <w:tc>
          <w:tcPr>
            <w:tcW w:w="1952" w:type="dxa"/>
            <w:noWrap w:val="0"/>
            <w:vAlign w:val="center"/>
          </w:tcPr>
          <w:p w14:paraId="3EE0BF9E">
            <w:pPr>
              <w:keepNext w:val="0"/>
              <w:keepLines w:val="0"/>
              <w:suppressLineNumbers w:val="0"/>
              <w:spacing w:before="24" w:beforeAutospacing="0" w:after="24" w:afterAutospacing="0"/>
              <w:ind w:left="0" w:leftChars="0" w:right="0" w:rightChars="0"/>
              <w:jc w:val="center"/>
              <w:rPr>
                <w:rFonts w:hint="default" w:ascii="仿宋" w:hAnsi="仿宋" w:eastAsia="仿宋" w:cs="仿宋"/>
                <w:color w:val="FF0000"/>
                <w:kern w:val="0"/>
                <w:szCs w:val="21"/>
                <w:highlight w:val="none"/>
                <w:lang w:val="en-US" w:eastAsia="zh-CN"/>
              </w:rPr>
            </w:pPr>
            <w:r>
              <w:rPr>
                <w:rFonts w:hint="default" w:ascii="仿宋" w:hAnsi="仿宋" w:eastAsia="仿宋" w:cs="宋体"/>
                <w:color w:val="auto"/>
                <w:szCs w:val="21"/>
                <w:highlight w:val="none"/>
              </w:rPr>
              <w:t>社保和纳税</w:t>
            </w:r>
          </w:p>
        </w:tc>
        <w:tc>
          <w:tcPr>
            <w:tcW w:w="3078" w:type="pct"/>
            <w:noWrap w:val="0"/>
            <w:vAlign w:val="center"/>
          </w:tcPr>
          <w:p w14:paraId="5522DCB1">
            <w:pPr>
              <w:spacing w:before="24" w:after="24" w:line="276" w:lineRule="auto"/>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符合第一章“竞争性磋商公告”</w:t>
            </w:r>
            <w:r>
              <w:rPr>
                <w:rFonts w:hint="eastAsia" w:ascii="仿宋" w:hAnsi="仿宋" w:eastAsia="仿宋" w:cs="Cambria Math"/>
                <w:color w:val="000000"/>
                <w:szCs w:val="21"/>
                <w:highlight w:val="none"/>
              </w:rPr>
              <w:t>规定</w:t>
            </w:r>
          </w:p>
        </w:tc>
      </w:tr>
      <w:tr w14:paraId="2A91DCB3">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noWrap w:val="0"/>
            <w:vAlign w:val="center"/>
          </w:tcPr>
          <w:p w14:paraId="6E71F40A">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top"/>
          </w:tcPr>
          <w:p w14:paraId="0B5B9438">
            <w:pPr>
              <w:spacing w:before="24" w:after="24" w:line="360" w:lineRule="auto"/>
              <w:jc w:val="center"/>
              <w:rPr>
                <w:rFonts w:hint="eastAsia" w:ascii="仿宋" w:hAnsi="仿宋" w:eastAsia="仿宋" w:cs="仿宋"/>
                <w:color w:val="000000"/>
                <w:kern w:val="0"/>
                <w:szCs w:val="21"/>
                <w:highlight w:val="none"/>
              </w:rPr>
            </w:pPr>
          </w:p>
        </w:tc>
        <w:tc>
          <w:tcPr>
            <w:tcW w:w="1952" w:type="dxa"/>
            <w:noWrap w:val="0"/>
            <w:vAlign w:val="center"/>
          </w:tcPr>
          <w:p w14:paraId="46BD857A">
            <w:pPr>
              <w:keepNext w:val="0"/>
              <w:keepLines w:val="0"/>
              <w:suppressLineNumbers w:val="0"/>
              <w:spacing w:before="24" w:beforeAutospacing="0" w:after="24" w:afterAutospacing="0"/>
              <w:ind w:left="0" w:leftChars="0" w:right="0" w:rightChars="0"/>
              <w:jc w:val="center"/>
              <w:rPr>
                <w:rFonts w:hint="default" w:ascii="仿宋" w:hAnsi="仿宋" w:eastAsia="仿宋" w:cs="宋体"/>
                <w:color w:val="auto"/>
                <w:szCs w:val="21"/>
                <w:highlight w:val="none"/>
                <w:lang w:val="en-US" w:eastAsia="zh-CN"/>
              </w:rPr>
            </w:pPr>
            <w:r>
              <w:rPr>
                <w:rFonts w:hint="eastAsia" w:ascii="仿宋" w:hAnsi="仿宋" w:eastAsia="仿宋" w:cs="宋体"/>
                <w:color w:val="auto"/>
                <w:szCs w:val="21"/>
                <w:highlight w:val="none"/>
              </w:rPr>
              <w:t>履行合同所必需的设备和专业技术能力</w:t>
            </w:r>
          </w:p>
        </w:tc>
        <w:tc>
          <w:tcPr>
            <w:tcW w:w="3078" w:type="pct"/>
            <w:noWrap w:val="0"/>
            <w:vAlign w:val="center"/>
          </w:tcPr>
          <w:p w14:paraId="31E575ED">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符合第一章“竞争性磋商公告”</w:t>
            </w:r>
            <w:r>
              <w:rPr>
                <w:rFonts w:hint="eastAsia" w:ascii="仿宋" w:hAnsi="仿宋" w:eastAsia="仿宋" w:cs="Cambria Math"/>
                <w:color w:val="000000"/>
                <w:szCs w:val="21"/>
                <w:highlight w:val="none"/>
              </w:rPr>
              <w:t>规定</w:t>
            </w:r>
          </w:p>
        </w:tc>
      </w:tr>
      <w:tr w14:paraId="30A40CA8">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338" w:type="pct"/>
            <w:vMerge w:val="continue"/>
            <w:noWrap w:val="0"/>
            <w:vAlign w:val="center"/>
          </w:tcPr>
          <w:p w14:paraId="152E976D">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top"/>
          </w:tcPr>
          <w:p w14:paraId="78422131">
            <w:pPr>
              <w:spacing w:before="24" w:after="24" w:line="360" w:lineRule="auto"/>
              <w:jc w:val="center"/>
              <w:rPr>
                <w:rFonts w:hint="eastAsia" w:ascii="仿宋" w:hAnsi="仿宋" w:eastAsia="仿宋" w:cs="仿宋"/>
                <w:color w:val="000000"/>
                <w:kern w:val="0"/>
                <w:szCs w:val="21"/>
                <w:highlight w:val="none"/>
              </w:rPr>
            </w:pPr>
          </w:p>
        </w:tc>
        <w:tc>
          <w:tcPr>
            <w:tcW w:w="990" w:type="pct"/>
            <w:noWrap w:val="0"/>
            <w:vAlign w:val="center"/>
          </w:tcPr>
          <w:p w14:paraId="769BEAF7">
            <w:pPr>
              <w:keepNext w:val="0"/>
              <w:keepLines w:val="0"/>
              <w:suppressLineNumbers w:val="0"/>
              <w:spacing w:before="24" w:beforeAutospacing="0" w:after="24" w:afterAutospacing="0"/>
              <w:ind w:left="0" w:leftChars="0" w:right="0" w:rightChars="0"/>
              <w:jc w:val="center"/>
              <w:rPr>
                <w:rFonts w:hint="default" w:ascii="仿宋" w:hAnsi="仿宋" w:eastAsia="仿宋" w:cs="宋体"/>
                <w:color w:val="auto"/>
                <w:szCs w:val="21"/>
                <w:highlight w:val="none"/>
                <w:lang w:val="en-US" w:eastAsia="zh-CN"/>
              </w:rPr>
            </w:pPr>
            <w:r>
              <w:rPr>
                <w:rFonts w:hint="eastAsia" w:ascii="仿宋" w:hAnsi="仿宋" w:eastAsia="仿宋" w:cs="宋体"/>
                <w:color w:val="auto"/>
                <w:szCs w:val="21"/>
                <w:highlight w:val="none"/>
                <w:lang w:val="en-US" w:eastAsia="zh-CN"/>
              </w:rPr>
              <w:t>联合体</w:t>
            </w:r>
          </w:p>
        </w:tc>
        <w:tc>
          <w:tcPr>
            <w:tcW w:w="3078" w:type="pct"/>
            <w:noWrap w:val="0"/>
            <w:vAlign w:val="center"/>
          </w:tcPr>
          <w:p w14:paraId="68F22000">
            <w:pPr>
              <w:spacing w:before="24" w:after="24" w:line="276" w:lineRule="auto"/>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符合第一章“竞争性磋商公告”</w:t>
            </w:r>
            <w:r>
              <w:rPr>
                <w:rFonts w:hint="eastAsia" w:ascii="仿宋" w:hAnsi="仿宋" w:eastAsia="仿宋" w:cs="Cambria Math"/>
                <w:color w:val="000000"/>
                <w:szCs w:val="21"/>
                <w:highlight w:val="none"/>
              </w:rPr>
              <w:t>规定</w:t>
            </w:r>
          </w:p>
        </w:tc>
      </w:tr>
      <w:tr w14:paraId="50CD53A5">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338" w:type="pct"/>
            <w:vMerge w:val="restart"/>
            <w:noWrap w:val="0"/>
            <w:vAlign w:val="center"/>
          </w:tcPr>
          <w:p w14:paraId="0269EB90">
            <w:pPr>
              <w:widowControl/>
              <w:spacing w:line="360" w:lineRule="auto"/>
              <w:jc w:val="center"/>
              <w:rPr>
                <w:rFonts w:hint="eastAsia" w:ascii="仿宋" w:hAnsi="仿宋" w:eastAsia="仿宋" w:cs="仿宋"/>
                <w:color w:val="000000"/>
                <w:kern w:val="0"/>
                <w:szCs w:val="21"/>
                <w:highlight w:val="none"/>
              </w:rPr>
            </w:pPr>
            <w:r>
              <w:rPr>
                <w:rFonts w:ascii="仿宋" w:hAnsi="仿宋" w:eastAsia="仿宋" w:cs="仿宋"/>
                <w:color w:val="000000"/>
                <w:kern w:val="0"/>
                <w:szCs w:val="21"/>
                <w:highlight w:val="none"/>
              </w:rPr>
              <w:t>3</w:t>
            </w:r>
          </w:p>
        </w:tc>
        <w:tc>
          <w:tcPr>
            <w:tcW w:w="592" w:type="pct"/>
            <w:vMerge w:val="restart"/>
            <w:noWrap w:val="0"/>
            <w:vAlign w:val="center"/>
          </w:tcPr>
          <w:p w14:paraId="42847A69">
            <w:pPr>
              <w:spacing w:before="24" w:after="24" w:line="360"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响应性评审标准</w:t>
            </w:r>
          </w:p>
        </w:tc>
        <w:tc>
          <w:tcPr>
            <w:tcW w:w="990" w:type="pct"/>
            <w:noWrap w:val="0"/>
            <w:vAlign w:val="center"/>
          </w:tcPr>
          <w:p w14:paraId="43FF2597">
            <w:pPr>
              <w:spacing w:before="24" w:after="24" w:line="276"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响应函</w:t>
            </w:r>
          </w:p>
        </w:tc>
        <w:tc>
          <w:tcPr>
            <w:tcW w:w="3078" w:type="pct"/>
            <w:noWrap w:val="0"/>
            <w:vAlign w:val="center"/>
          </w:tcPr>
          <w:p w14:paraId="1D6177DF">
            <w:pPr>
              <w:spacing w:before="24" w:after="24" w:line="276" w:lineRule="auto"/>
              <w:jc w:val="left"/>
              <w:rPr>
                <w:rFonts w:hint="eastAsia" w:ascii="仿宋" w:hAnsi="仿宋" w:eastAsia="仿宋" w:cs="仿宋"/>
                <w:color w:val="000000"/>
                <w:szCs w:val="21"/>
                <w:highlight w:val="none"/>
              </w:rPr>
            </w:pPr>
            <w:r>
              <w:rPr>
                <w:rFonts w:hint="eastAsia" w:ascii="仿宋" w:hAnsi="仿宋" w:eastAsia="仿宋"/>
                <w:color w:val="000000"/>
                <w:szCs w:val="21"/>
                <w:highlight w:val="none"/>
              </w:rPr>
              <w:t>除填写双方名称、项目名称外，未修改原文内容</w:t>
            </w:r>
            <w:r>
              <w:rPr>
                <w:rFonts w:hint="eastAsia" w:ascii="仿宋" w:hAnsi="仿宋" w:eastAsia="仿宋" w:cs="Cambria Math"/>
                <w:color w:val="000000"/>
                <w:szCs w:val="21"/>
                <w:highlight w:val="none"/>
              </w:rPr>
              <w:t>。</w:t>
            </w:r>
          </w:p>
        </w:tc>
      </w:tr>
      <w:tr w14:paraId="290E8F41">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338" w:type="pct"/>
            <w:vMerge w:val="continue"/>
            <w:noWrap w:val="0"/>
            <w:vAlign w:val="center"/>
          </w:tcPr>
          <w:p w14:paraId="2DCCFE59">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center"/>
          </w:tcPr>
          <w:p w14:paraId="3A26FBAC">
            <w:pPr>
              <w:spacing w:before="24" w:after="24" w:line="360" w:lineRule="auto"/>
              <w:jc w:val="center"/>
              <w:rPr>
                <w:rFonts w:hint="eastAsia" w:ascii="仿宋" w:hAnsi="仿宋" w:eastAsia="仿宋" w:cs="仿宋"/>
                <w:color w:val="000000"/>
                <w:kern w:val="0"/>
                <w:szCs w:val="21"/>
                <w:highlight w:val="none"/>
              </w:rPr>
            </w:pPr>
          </w:p>
        </w:tc>
        <w:tc>
          <w:tcPr>
            <w:tcW w:w="990" w:type="pct"/>
            <w:noWrap w:val="0"/>
            <w:vAlign w:val="center"/>
          </w:tcPr>
          <w:p w14:paraId="0E5B0923">
            <w:pPr>
              <w:spacing w:before="24" w:after="24" w:line="276" w:lineRule="auto"/>
              <w:jc w:val="center"/>
              <w:rPr>
                <w:rFonts w:hint="eastAsia" w:ascii="仿宋" w:hAnsi="仿宋" w:eastAsia="仿宋" w:cs="仿宋"/>
                <w:color w:val="auto"/>
                <w:kern w:val="0"/>
                <w:szCs w:val="21"/>
                <w:highlight w:val="none"/>
                <w:lang w:val="en-US" w:eastAsia="zh-CN"/>
              </w:rPr>
            </w:pPr>
            <w:r>
              <w:rPr>
                <w:rFonts w:hint="eastAsia" w:ascii="仿宋" w:hAnsi="仿宋" w:eastAsia="仿宋" w:cs="Cambria Math"/>
                <w:color w:val="auto"/>
                <w:szCs w:val="21"/>
                <w:highlight w:val="none"/>
              </w:rPr>
              <w:t>磋商保证</w:t>
            </w:r>
            <w:r>
              <w:rPr>
                <w:rFonts w:hint="eastAsia" w:ascii="仿宋" w:hAnsi="仿宋" w:eastAsia="仿宋" w:cs="Cambria Math"/>
                <w:color w:val="auto"/>
                <w:szCs w:val="21"/>
                <w:highlight w:val="none"/>
                <w:lang w:val="en-US" w:eastAsia="zh-CN"/>
              </w:rPr>
              <w:t>金</w:t>
            </w:r>
          </w:p>
        </w:tc>
        <w:tc>
          <w:tcPr>
            <w:tcW w:w="3078" w:type="pct"/>
            <w:noWrap w:val="0"/>
            <w:vAlign w:val="center"/>
          </w:tcPr>
          <w:p w14:paraId="509CDE26">
            <w:pPr>
              <w:spacing w:before="24" w:after="24" w:line="276" w:lineRule="auto"/>
              <w:jc w:val="left"/>
              <w:rPr>
                <w:rFonts w:hint="eastAsia" w:ascii="仿宋" w:hAnsi="仿宋" w:eastAsia="仿宋" w:cs="仿宋"/>
                <w:color w:val="000000"/>
                <w:szCs w:val="21"/>
                <w:highlight w:val="none"/>
              </w:rPr>
            </w:pPr>
            <w:r>
              <w:rPr>
                <w:rFonts w:hint="eastAsia" w:ascii="仿宋" w:hAnsi="仿宋" w:eastAsia="仿宋" w:cs="Cambria Math"/>
                <w:color w:val="000000"/>
                <w:szCs w:val="21"/>
                <w:highlight w:val="none"/>
              </w:rPr>
              <w:t>符合第二章“供应商须知前附表”规定</w:t>
            </w:r>
          </w:p>
        </w:tc>
      </w:tr>
      <w:tr w14:paraId="6D810B66">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noWrap w:val="0"/>
            <w:vAlign w:val="center"/>
          </w:tcPr>
          <w:p w14:paraId="262AD91B">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center"/>
          </w:tcPr>
          <w:p w14:paraId="5247BFC0">
            <w:pPr>
              <w:spacing w:before="24" w:after="24" w:line="360" w:lineRule="auto"/>
              <w:jc w:val="center"/>
              <w:rPr>
                <w:rFonts w:hint="eastAsia" w:ascii="仿宋" w:hAnsi="仿宋" w:eastAsia="仿宋" w:cs="仿宋"/>
                <w:color w:val="000000"/>
                <w:kern w:val="0"/>
                <w:szCs w:val="21"/>
                <w:highlight w:val="none"/>
              </w:rPr>
            </w:pPr>
          </w:p>
        </w:tc>
        <w:tc>
          <w:tcPr>
            <w:tcW w:w="990" w:type="pct"/>
            <w:noWrap w:val="0"/>
            <w:vAlign w:val="center"/>
          </w:tcPr>
          <w:p w14:paraId="29BC3E11">
            <w:pPr>
              <w:spacing w:before="24" w:after="24" w:line="276" w:lineRule="auto"/>
              <w:jc w:val="center"/>
              <w:rPr>
                <w:rFonts w:hint="eastAsia" w:ascii="仿宋" w:hAnsi="仿宋" w:eastAsia="仿宋" w:cs="Cambria Math"/>
                <w:color w:val="auto"/>
                <w:szCs w:val="21"/>
                <w:highlight w:val="none"/>
              </w:rPr>
            </w:pPr>
            <w:r>
              <w:rPr>
                <w:rFonts w:hint="eastAsia" w:ascii="仿宋" w:hAnsi="仿宋" w:eastAsia="仿宋" w:cs="宋体"/>
                <w:color w:val="auto"/>
                <w:szCs w:val="21"/>
                <w:highlight w:val="none"/>
              </w:rPr>
              <w:t>供应商行为准则承诺书</w:t>
            </w:r>
          </w:p>
        </w:tc>
        <w:tc>
          <w:tcPr>
            <w:tcW w:w="3078" w:type="pct"/>
            <w:noWrap w:val="0"/>
            <w:vAlign w:val="center"/>
          </w:tcPr>
          <w:p w14:paraId="00F8B277">
            <w:pPr>
              <w:spacing w:before="24" w:after="24" w:line="276" w:lineRule="auto"/>
              <w:jc w:val="left"/>
              <w:rPr>
                <w:rFonts w:hint="eastAsia" w:ascii="仿宋" w:hAnsi="仿宋" w:eastAsia="仿宋" w:cs="Cambria Math"/>
                <w:color w:val="000000"/>
                <w:szCs w:val="21"/>
                <w:highlight w:val="none"/>
              </w:rPr>
            </w:pPr>
            <w:r>
              <w:rPr>
                <w:rFonts w:hint="eastAsia" w:ascii="仿宋" w:hAnsi="仿宋" w:eastAsia="仿宋" w:cs="仿宋"/>
                <w:color w:val="000000"/>
                <w:szCs w:val="21"/>
                <w:highlight w:val="none"/>
              </w:rPr>
              <w:t>除供应商填写内容外，未修改原文内容。</w:t>
            </w:r>
          </w:p>
        </w:tc>
      </w:tr>
      <w:tr w14:paraId="16B8A961">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noWrap w:val="0"/>
            <w:vAlign w:val="center"/>
          </w:tcPr>
          <w:p w14:paraId="0DF04231">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center"/>
          </w:tcPr>
          <w:p w14:paraId="31BAB9BD">
            <w:pPr>
              <w:spacing w:before="24" w:after="24" w:line="360" w:lineRule="auto"/>
              <w:jc w:val="center"/>
              <w:rPr>
                <w:rFonts w:hint="eastAsia" w:ascii="仿宋" w:hAnsi="仿宋" w:eastAsia="仿宋" w:cs="仿宋"/>
                <w:color w:val="000000"/>
                <w:kern w:val="0"/>
                <w:szCs w:val="21"/>
                <w:highlight w:val="none"/>
              </w:rPr>
            </w:pPr>
          </w:p>
        </w:tc>
        <w:tc>
          <w:tcPr>
            <w:tcW w:w="990" w:type="pct"/>
            <w:noWrap w:val="0"/>
            <w:vAlign w:val="center"/>
          </w:tcPr>
          <w:p w14:paraId="58177039">
            <w:pPr>
              <w:spacing w:before="24" w:after="24" w:line="276" w:lineRule="auto"/>
              <w:jc w:val="center"/>
              <w:rPr>
                <w:rFonts w:hint="eastAsia" w:ascii="仿宋" w:hAnsi="仿宋" w:eastAsia="仿宋" w:cs="Cambria Math"/>
                <w:color w:val="000000"/>
                <w:szCs w:val="21"/>
                <w:highlight w:val="none"/>
              </w:rPr>
            </w:pPr>
            <w:r>
              <w:rPr>
                <w:rFonts w:hint="eastAsia" w:ascii="仿宋" w:hAnsi="仿宋" w:eastAsia="仿宋" w:cs="宋体"/>
                <w:color w:val="000000"/>
                <w:szCs w:val="21"/>
                <w:highlight w:val="none"/>
              </w:rPr>
              <w:t>供应商廉洁诚信承诺书</w:t>
            </w:r>
          </w:p>
        </w:tc>
        <w:tc>
          <w:tcPr>
            <w:tcW w:w="3078" w:type="pct"/>
            <w:noWrap w:val="0"/>
            <w:vAlign w:val="center"/>
          </w:tcPr>
          <w:p w14:paraId="1D59BBE4">
            <w:pPr>
              <w:spacing w:before="24" w:after="24" w:line="276" w:lineRule="auto"/>
              <w:jc w:val="left"/>
              <w:rPr>
                <w:rFonts w:hint="eastAsia" w:ascii="仿宋" w:hAnsi="仿宋" w:eastAsia="仿宋" w:cs="Cambria Math"/>
                <w:color w:val="000000"/>
                <w:szCs w:val="21"/>
                <w:highlight w:val="none"/>
              </w:rPr>
            </w:pPr>
            <w:r>
              <w:rPr>
                <w:rFonts w:hint="eastAsia" w:ascii="仿宋" w:hAnsi="仿宋" w:eastAsia="仿宋" w:cs="仿宋"/>
                <w:color w:val="000000"/>
                <w:szCs w:val="21"/>
                <w:highlight w:val="none"/>
              </w:rPr>
              <w:t>除供应商填写内容外，未修改原文内容。</w:t>
            </w:r>
          </w:p>
        </w:tc>
      </w:tr>
      <w:tr w14:paraId="7F9ED959">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noWrap w:val="0"/>
            <w:vAlign w:val="center"/>
          </w:tcPr>
          <w:p w14:paraId="58F0C80B">
            <w:pPr>
              <w:widowControl/>
              <w:spacing w:line="360" w:lineRule="auto"/>
              <w:jc w:val="center"/>
              <w:rPr>
                <w:rFonts w:ascii="仿宋" w:hAnsi="仿宋" w:eastAsia="仿宋" w:cs="仿宋"/>
                <w:color w:val="000000"/>
                <w:kern w:val="0"/>
                <w:szCs w:val="21"/>
                <w:highlight w:val="none"/>
              </w:rPr>
            </w:pPr>
          </w:p>
        </w:tc>
        <w:tc>
          <w:tcPr>
            <w:tcW w:w="592" w:type="pct"/>
            <w:vMerge w:val="continue"/>
            <w:noWrap w:val="0"/>
            <w:vAlign w:val="center"/>
          </w:tcPr>
          <w:p w14:paraId="7E801D5F">
            <w:pPr>
              <w:spacing w:before="24" w:after="24" w:line="360" w:lineRule="auto"/>
              <w:jc w:val="center"/>
              <w:rPr>
                <w:rFonts w:hint="eastAsia" w:ascii="仿宋" w:hAnsi="仿宋" w:eastAsia="仿宋" w:cs="仿宋"/>
                <w:color w:val="000000"/>
                <w:kern w:val="0"/>
                <w:szCs w:val="21"/>
                <w:highlight w:val="none"/>
              </w:rPr>
            </w:pPr>
          </w:p>
        </w:tc>
        <w:tc>
          <w:tcPr>
            <w:tcW w:w="990" w:type="pct"/>
            <w:noWrap w:val="0"/>
            <w:vAlign w:val="center"/>
          </w:tcPr>
          <w:p w14:paraId="3ADCB1DE">
            <w:pPr>
              <w:spacing w:before="24" w:after="24" w:line="276" w:lineRule="auto"/>
              <w:jc w:val="center"/>
              <w:rPr>
                <w:rFonts w:ascii="仿宋" w:hAnsi="仿宋" w:eastAsia="仿宋" w:cs="仿宋"/>
                <w:color w:val="auto"/>
                <w:kern w:val="0"/>
                <w:szCs w:val="21"/>
                <w:highlight w:val="none"/>
              </w:rPr>
            </w:pPr>
            <w:r>
              <w:rPr>
                <w:rFonts w:hint="eastAsia" w:ascii="仿宋" w:hAnsi="仿宋" w:eastAsia="仿宋" w:cs="Cambria Math"/>
                <w:color w:val="auto"/>
                <w:szCs w:val="21"/>
                <w:highlight w:val="none"/>
              </w:rPr>
              <w:t>供应商偏离应答</w:t>
            </w:r>
          </w:p>
        </w:tc>
        <w:tc>
          <w:tcPr>
            <w:tcW w:w="3078" w:type="pct"/>
            <w:noWrap w:val="0"/>
            <w:vAlign w:val="center"/>
          </w:tcPr>
          <w:p w14:paraId="45B94ECD">
            <w:pPr>
              <w:spacing w:before="24" w:after="24" w:line="276"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《供应商须知应答偏离表》、《合同条款应答偏离表》、《采购需求应答偏离表》》进行了符合第二章“供应商须知”的应答</w:t>
            </w:r>
          </w:p>
        </w:tc>
      </w:tr>
    </w:tbl>
    <w:p w14:paraId="344AC791">
      <w:pPr>
        <w:pStyle w:val="4"/>
        <w:ind w:firstLine="420" w:firstLineChars="200"/>
        <w:jc w:val="left"/>
        <w:rPr>
          <w:rFonts w:hint="eastAsia" w:ascii="仿宋" w:hAnsi="仿宋" w:eastAsia="仿宋" w:cs="仿宋"/>
          <w:color w:val="000000"/>
          <w:sz w:val="24"/>
          <w:szCs w:val="24"/>
          <w:highlight w:val="none"/>
        </w:rPr>
      </w:pPr>
      <w:r>
        <w:rPr>
          <w:rFonts w:hint="eastAsia" w:ascii="仿宋" w:hAnsi="仿宋" w:eastAsia="仿宋" w:cs="仿宋"/>
          <w:b w:val="0"/>
          <w:bCs w:val="0"/>
          <w:color w:val="000000"/>
          <w:sz w:val="21"/>
          <w:szCs w:val="21"/>
          <w:highlight w:val="none"/>
        </w:rPr>
        <w:br w:type="page"/>
      </w:r>
      <w:bookmarkStart w:id="136" w:name="_Toc4144"/>
      <w:r>
        <w:rPr>
          <w:rFonts w:hint="eastAsia" w:ascii="仿宋" w:hAnsi="仿宋" w:eastAsia="仿宋" w:cs="仿宋"/>
          <w:color w:val="000000"/>
          <w:sz w:val="24"/>
          <w:szCs w:val="24"/>
          <w:highlight w:val="none"/>
          <w:lang w:val="en-US" w:eastAsia="zh-CN"/>
        </w:rPr>
        <w:t>三</w:t>
      </w:r>
      <w:r>
        <w:rPr>
          <w:rFonts w:hint="eastAsia" w:ascii="仿宋" w:hAnsi="仿宋" w:eastAsia="仿宋" w:cs="仿宋"/>
          <w:color w:val="000000"/>
          <w:sz w:val="24"/>
          <w:szCs w:val="24"/>
          <w:highlight w:val="none"/>
        </w:rPr>
        <w:t>、</w:t>
      </w:r>
      <w:bookmarkEnd w:id="130"/>
      <w:bookmarkEnd w:id="131"/>
      <w:bookmarkEnd w:id="132"/>
      <w:bookmarkEnd w:id="133"/>
      <w:bookmarkEnd w:id="134"/>
      <w:bookmarkEnd w:id="135"/>
      <w:r>
        <w:rPr>
          <w:rFonts w:hint="eastAsia" w:ascii="仿宋" w:hAnsi="仿宋" w:eastAsia="仿宋" w:cs="仿宋"/>
          <w:color w:val="000000"/>
          <w:sz w:val="24"/>
          <w:szCs w:val="24"/>
          <w:highlight w:val="none"/>
        </w:rPr>
        <w:t>详细评审</w:t>
      </w:r>
      <w:bookmarkEnd w:id="136"/>
    </w:p>
    <w:tbl>
      <w:tblPr>
        <w:tblStyle w:val="42"/>
        <w:tblW w:w="99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39"/>
        <w:gridCol w:w="1389"/>
        <w:gridCol w:w="6188"/>
        <w:gridCol w:w="1089"/>
      </w:tblGrid>
      <w:tr w14:paraId="7D0D3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39" w:type="dxa"/>
            <w:vAlign w:val="center"/>
          </w:tcPr>
          <w:p w14:paraId="01CFEFA1">
            <w:pPr>
              <w:pStyle w:val="21"/>
              <w:keepNext w:val="0"/>
              <w:keepLines w:val="0"/>
              <w:widowControl/>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lang w:val="en-US" w:eastAsia="zh-CN"/>
              </w:rPr>
            </w:pPr>
            <w:r>
              <w:rPr>
                <w:rFonts w:hint="eastAsia" w:ascii="宋体" w:hAnsi="宋体" w:cs="Times New Roman"/>
                <w:color w:val="auto"/>
                <w:szCs w:val="21"/>
                <w:highlight w:val="none"/>
                <w:lang w:val="en-US" w:eastAsia="zh-CN"/>
              </w:rPr>
              <w:t>评分项</w:t>
            </w:r>
          </w:p>
        </w:tc>
        <w:tc>
          <w:tcPr>
            <w:tcW w:w="1389" w:type="dxa"/>
            <w:vAlign w:val="center"/>
          </w:tcPr>
          <w:p w14:paraId="1E6A6E40">
            <w:pPr>
              <w:pStyle w:val="21"/>
              <w:keepNext w:val="0"/>
              <w:keepLines w:val="0"/>
              <w:widowControl/>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default" w:ascii="宋体" w:hAnsi="宋体"/>
                <w:b/>
                <w:iCs/>
                <w:color w:val="auto"/>
                <w:szCs w:val="21"/>
                <w:highlight w:val="none"/>
              </w:rPr>
              <w:t>细则</w:t>
            </w:r>
          </w:p>
        </w:tc>
        <w:tc>
          <w:tcPr>
            <w:tcW w:w="6188" w:type="dxa"/>
            <w:vAlign w:val="center"/>
          </w:tcPr>
          <w:p w14:paraId="49F13514">
            <w:pPr>
              <w:pStyle w:val="21"/>
              <w:keepNext w:val="0"/>
              <w:keepLines w:val="0"/>
              <w:widowControl/>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default" w:ascii="宋体" w:hAnsi="宋体"/>
                <w:b/>
                <w:iCs/>
                <w:color w:val="auto"/>
                <w:szCs w:val="21"/>
                <w:highlight w:val="none"/>
              </w:rPr>
              <w:t>评价标准</w:t>
            </w:r>
          </w:p>
        </w:tc>
        <w:tc>
          <w:tcPr>
            <w:tcW w:w="1089" w:type="dxa"/>
            <w:vAlign w:val="center"/>
          </w:tcPr>
          <w:p w14:paraId="2801FDB5">
            <w:pPr>
              <w:pStyle w:val="21"/>
              <w:keepNext w:val="0"/>
              <w:keepLines w:val="0"/>
              <w:widowControl/>
              <w:suppressLineNumbers w:val="0"/>
              <w:snapToGrid w:val="0"/>
              <w:spacing w:before="0" w:beforeAutospacing="0" w:after="0" w:afterAutospacing="0" w:line="360" w:lineRule="auto"/>
              <w:ind w:left="0" w:right="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分值</w:t>
            </w:r>
          </w:p>
        </w:tc>
      </w:tr>
      <w:tr w14:paraId="2E5CF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3" w:hRule="atLeast"/>
          <w:jc w:val="center"/>
        </w:trPr>
        <w:tc>
          <w:tcPr>
            <w:tcW w:w="1239" w:type="dxa"/>
            <w:vAlign w:val="center"/>
          </w:tcPr>
          <w:p w14:paraId="32F65DAF">
            <w:pPr>
              <w:pStyle w:val="2"/>
              <w:jc w:val="left"/>
              <w:rPr>
                <w:rFonts w:hint="eastAsia"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价格评审</w:t>
            </w:r>
            <w:r>
              <w:rPr>
                <w:rFonts w:hint="eastAsia" w:asciiTheme="minorEastAsia" w:hAnsiTheme="minorEastAsia" w:eastAsiaTheme="minorEastAsia" w:cstheme="minorEastAsia"/>
                <w:color w:val="auto"/>
                <w:sz w:val="24"/>
                <w:szCs w:val="24"/>
                <w:highlight w:val="none"/>
                <w:lang w:val="en-US" w:eastAsia="zh-CN"/>
              </w:rPr>
              <w:t>（40</w:t>
            </w:r>
            <w:r>
              <w:rPr>
                <w:rFonts w:hint="default" w:asciiTheme="minorEastAsia" w:hAnsiTheme="minorEastAsia" w:eastAsiaTheme="minorEastAsia" w:cstheme="minorEastAsia"/>
                <w:color w:val="auto"/>
                <w:sz w:val="24"/>
                <w:szCs w:val="24"/>
                <w:highlight w:val="none"/>
                <w:lang w:val="en-US" w:eastAsia="zh-CN"/>
              </w:rPr>
              <w:t>分）</w:t>
            </w:r>
          </w:p>
        </w:tc>
        <w:tc>
          <w:tcPr>
            <w:tcW w:w="7577" w:type="dxa"/>
            <w:gridSpan w:val="2"/>
            <w:vAlign w:val="center"/>
          </w:tcPr>
          <w:p w14:paraId="238231FE">
            <w:pPr>
              <w:keepNext w:val="0"/>
              <w:keepLines w:val="0"/>
              <w:suppressLineNumbers w:val="0"/>
              <w:spacing w:before="0" w:beforeAutospacing="0" w:after="0" w:afterAutospacing="0"/>
              <w:ind w:left="0" w:right="0"/>
              <w:rPr>
                <w:rFonts w:hint="default" w:ascii="宋体" w:hAnsi="宋体"/>
                <w:color w:val="auto"/>
                <w:szCs w:val="21"/>
                <w:highlight w:val="none"/>
              </w:rPr>
            </w:pPr>
            <w:r>
              <w:rPr>
                <w:rFonts w:hint="eastAsia" w:ascii="宋体" w:hAnsi="宋体"/>
                <w:color w:val="auto"/>
                <w:szCs w:val="21"/>
                <w:highlight w:val="none"/>
                <w:lang w:val="en-US" w:eastAsia="zh-CN"/>
              </w:rPr>
              <w:t>1</w:t>
            </w:r>
            <w:r>
              <w:rPr>
                <w:rFonts w:hint="default" w:ascii="宋体" w:hAnsi="宋体"/>
                <w:color w:val="auto"/>
                <w:szCs w:val="21"/>
                <w:highlight w:val="none"/>
              </w:rPr>
              <w:t>）评标价：各有效投标人的含税投标合价</w:t>
            </w:r>
            <w:r>
              <w:rPr>
                <w:rFonts w:hint="eastAsia" w:ascii="宋体" w:hAnsi="宋体"/>
                <w:color w:val="auto"/>
                <w:szCs w:val="21"/>
                <w:highlight w:val="none"/>
                <w:lang w:val="en-US" w:eastAsia="zh-CN"/>
              </w:rPr>
              <w:t>合计</w:t>
            </w:r>
            <w:r>
              <w:rPr>
                <w:rFonts w:hint="default" w:ascii="宋体" w:hAnsi="宋体"/>
                <w:color w:val="auto"/>
                <w:szCs w:val="21"/>
                <w:highlight w:val="none"/>
              </w:rPr>
              <w:t>,剔除可抵扣的增值税进项税额。</w:t>
            </w:r>
          </w:p>
          <w:p w14:paraId="59DD3A05">
            <w:pPr>
              <w:keepNext w:val="0"/>
              <w:keepLines w:val="0"/>
              <w:suppressLineNumbers w:val="0"/>
              <w:spacing w:before="0" w:beforeAutospacing="0" w:after="0" w:afterAutospacing="0"/>
              <w:ind w:left="0" w:right="0"/>
              <w:rPr>
                <w:rFonts w:hint="default" w:ascii="宋体" w:hAnsi="宋体"/>
                <w:color w:val="auto"/>
                <w:szCs w:val="21"/>
                <w:highlight w:val="none"/>
              </w:rPr>
            </w:pPr>
            <w:r>
              <w:rPr>
                <w:rFonts w:hint="eastAsia" w:ascii="宋体" w:hAnsi="宋体"/>
                <w:color w:val="auto"/>
                <w:szCs w:val="21"/>
                <w:highlight w:val="none"/>
                <w:lang w:val="en-US" w:eastAsia="zh-CN"/>
              </w:rPr>
              <w:t>2</w:t>
            </w:r>
            <w:r>
              <w:rPr>
                <w:rFonts w:hint="default" w:ascii="宋体" w:hAnsi="宋体"/>
                <w:color w:val="auto"/>
                <w:szCs w:val="21"/>
                <w:highlight w:val="none"/>
              </w:rPr>
              <w:t>）评标基准价：满足招标文件要求且最低的有效评标价。</w:t>
            </w:r>
          </w:p>
          <w:p w14:paraId="1BD7D162">
            <w:pPr>
              <w:keepNext w:val="0"/>
              <w:keepLines w:val="0"/>
              <w:suppressLineNumbers w:val="0"/>
              <w:spacing w:before="0" w:beforeAutospacing="0" w:after="0" w:afterAutospacing="0"/>
              <w:ind w:left="0" w:right="0"/>
              <w:rPr>
                <w:rFonts w:hint="default" w:ascii="宋体" w:hAnsi="宋体"/>
                <w:color w:val="auto"/>
                <w:szCs w:val="21"/>
                <w:highlight w:val="none"/>
              </w:rPr>
            </w:pPr>
            <w:r>
              <w:rPr>
                <w:rFonts w:hint="eastAsia" w:ascii="宋体" w:hAnsi="宋体"/>
                <w:color w:val="auto"/>
                <w:szCs w:val="21"/>
                <w:highlight w:val="none"/>
                <w:lang w:val="en-US" w:eastAsia="zh-CN"/>
              </w:rPr>
              <w:t>3</w:t>
            </w:r>
            <w:r>
              <w:rPr>
                <w:rFonts w:hint="default" w:ascii="宋体" w:hAnsi="宋体"/>
                <w:color w:val="auto"/>
                <w:szCs w:val="21"/>
                <w:highlight w:val="none"/>
              </w:rPr>
              <w:t>）价格分计算：评标价=评标基准价的投标人，得价格分的满分；其他投标人的价格分按照以下公式计算，并精确到小数点后两位：</w:t>
            </w:r>
          </w:p>
          <w:p w14:paraId="6F6A6116">
            <w:pPr>
              <w:keepNext w:val="0"/>
              <w:keepLines w:val="0"/>
              <w:suppressLineNumbers w:val="0"/>
              <w:spacing w:before="0" w:beforeAutospacing="0" w:after="0" w:afterAutospacing="0"/>
              <w:ind w:left="0" w:right="0"/>
              <w:rPr>
                <w:rFonts w:hint="default" w:ascii="宋体" w:hAnsi="宋体"/>
                <w:color w:val="auto"/>
                <w:szCs w:val="21"/>
                <w:highlight w:val="yellow"/>
              </w:rPr>
            </w:pPr>
            <w:r>
              <w:rPr>
                <w:rFonts w:hint="default" w:ascii="宋体" w:hAnsi="宋体"/>
                <w:color w:val="auto"/>
                <w:szCs w:val="21"/>
                <w:highlight w:val="none"/>
              </w:rPr>
              <w:t>价格得分＝（评标基准价/该投标人的评标价）*</w:t>
            </w:r>
            <w:r>
              <w:rPr>
                <w:rFonts w:hint="eastAsia" w:ascii="宋体" w:hAnsi="宋体"/>
                <w:color w:val="auto"/>
                <w:szCs w:val="21"/>
                <w:highlight w:val="none"/>
                <w:lang w:val="en-US" w:eastAsia="zh-CN"/>
              </w:rPr>
              <w:t>分值</w:t>
            </w:r>
            <w:r>
              <w:rPr>
                <w:rFonts w:hint="default" w:ascii="宋体" w:hAnsi="宋体"/>
                <w:color w:val="auto"/>
                <w:szCs w:val="21"/>
                <w:highlight w:val="none"/>
              </w:rPr>
              <w:t>；</w:t>
            </w:r>
          </w:p>
          <w:p w14:paraId="37B9ACC2">
            <w:pPr>
              <w:keepNext w:val="0"/>
              <w:keepLines w:val="0"/>
              <w:widowControl/>
              <w:suppressLineNumbers w:val="0"/>
              <w:jc w:val="left"/>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eastAsia="宋体" w:cs="宋体"/>
                <w:b/>
                <w:bCs/>
                <w:color w:val="000000"/>
                <w:kern w:val="0"/>
                <w:sz w:val="24"/>
                <w:szCs w:val="24"/>
                <w:lang w:val="en-US" w:eastAsia="zh-CN" w:bidi="ar"/>
              </w:rPr>
              <w:t>备注：评标委员会认为投标人的报价明显低于其他通过符合性审查投标 人的报价，有可能影响产品质量或者不能诚信履约的，应当要求其在合 理的时间内作出说明，必要时提交相关证明材料；投标人不能证明其报 价合理性的，评标委员会应当将其作无效标处理。</w:t>
            </w:r>
          </w:p>
        </w:tc>
        <w:tc>
          <w:tcPr>
            <w:tcW w:w="1089" w:type="dxa"/>
            <w:vAlign w:val="center"/>
          </w:tcPr>
          <w:p w14:paraId="4F605D58">
            <w:pPr>
              <w:pStyle w:val="2"/>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40分</w:t>
            </w:r>
          </w:p>
        </w:tc>
      </w:tr>
      <w:tr w14:paraId="44B7F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atLeast"/>
          <w:jc w:val="center"/>
        </w:trPr>
        <w:tc>
          <w:tcPr>
            <w:tcW w:w="1239" w:type="dxa"/>
            <w:vMerge w:val="restart"/>
            <w:vAlign w:val="center"/>
          </w:tcPr>
          <w:p w14:paraId="3D5DD328">
            <w:pPr>
              <w:pStyle w:val="2"/>
              <w:jc w:val="center"/>
              <w:rPr>
                <w:rFonts w:hint="eastAsia"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技术评审（</w:t>
            </w:r>
            <w:r>
              <w:rPr>
                <w:rFonts w:hint="eastAsia" w:asciiTheme="minorEastAsia" w:hAnsiTheme="minorEastAsia" w:eastAsiaTheme="minorEastAsia" w:cstheme="minorEastAsia"/>
                <w:color w:val="auto"/>
                <w:sz w:val="24"/>
                <w:szCs w:val="24"/>
                <w:highlight w:val="none"/>
                <w:lang w:val="en-US" w:eastAsia="zh-CN"/>
              </w:rPr>
              <w:t>35</w:t>
            </w:r>
            <w:r>
              <w:rPr>
                <w:rFonts w:hint="default" w:asciiTheme="minorEastAsia" w:hAnsiTheme="minorEastAsia" w:eastAsiaTheme="minorEastAsia" w:cstheme="minorEastAsia"/>
                <w:color w:val="auto"/>
                <w:sz w:val="24"/>
                <w:szCs w:val="24"/>
                <w:highlight w:val="none"/>
                <w:lang w:val="en-US" w:eastAsia="zh-CN"/>
              </w:rPr>
              <w:t>分）</w:t>
            </w:r>
          </w:p>
        </w:tc>
        <w:tc>
          <w:tcPr>
            <w:tcW w:w="1389" w:type="dxa"/>
            <w:vAlign w:val="center"/>
          </w:tcPr>
          <w:p w14:paraId="1256D11F">
            <w:pPr>
              <w:pStyle w:val="2"/>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应急演练方案</w:t>
            </w:r>
          </w:p>
        </w:tc>
        <w:tc>
          <w:tcPr>
            <w:tcW w:w="6188" w:type="dxa"/>
          </w:tcPr>
          <w:p w14:paraId="21EAC5B5">
            <w:pPr>
              <w:pStyle w:val="2"/>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应急演练方案：</w:t>
            </w:r>
          </w:p>
          <w:p w14:paraId="63C85C1E">
            <w:pPr>
              <w:pStyle w:val="2"/>
              <w:jc w:val="left"/>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方案紧密围绕本项目特性与风险点，演练流程设计科学，涵盖事故预警、应急响应、抢险救援、医疗救护、后期处置全环节；人员分工明确，采用实战化、多部门联动演练模式，配备详细物资清单、进度安排及效果评估标准，具备极强实操性。；</w:t>
            </w:r>
          </w:p>
          <w:p w14:paraId="3C549AD0">
            <w:pPr>
              <w:pStyle w:val="2"/>
              <w:jc w:val="left"/>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方案基本覆盖项目主要风险场景，演练流程较完整，但部分环节（如善后处理）细节缺失；人员分工与岗位职责表述较笼统，演练形式以理论讲解或局部模拟为主；物资与时间规划基本合理，但缺乏系统评估机制，需进一步优化。</w:t>
            </w:r>
          </w:p>
          <w:p w14:paraId="5B6536FC">
            <w:pPr>
              <w:pStyle w:val="2"/>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方案与项目实际结合不足，未突出项目高危作业风险；演练场景单一，流程简化（如仅模拟疏散）；人员职责不明确，缺乏专业应急分工；无具体物资清单与演练时间安排，未设置效果评估标准，难以保障演练有效性 。</w:t>
            </w:r>
          </w:p>
          <w:p w14:paraId="357D5E6F">
            <w:pPr>
              <w:pStyle w:val="2"/>
              <w:jc w:val="left"/>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以上1-3每一项</w:t>
            </w:r>
            <w:r>
              <w:rPr>
                <w:rFonts w:hint="default" w:asciiTheme="minorEastAsia" w:hAnsiTheme="minorEastAsia" w:eastAsiaTheme="minorEastAsia" w:cstheme="minorEastAsia"/>
                <w:color w:val="auto"/>
                <w:sz w:val="24"/>
                <w:szCs w:val="24"/>
                <w:highlight w:val="none"/>
                <w:lang w:val="en-US" w:eastAsia="zh-CN"/>
              </w:rPr>
              <w:t>优秀得</w:t>
            </w:r>
            <w:r>
              <w:rPr>
                <w:rFonts w:hint="eastAsia" w:asciiTheme="minorEastAsia" w:hAnsiTheme="minorEastAsia" w:eastAsiaTheme="minorEastAsia" w:cstheme="minorEastAsia"/>
                <w:color w:val="auto"/>
                <w:sz w:val="24"/>
                <w:szCs w:val="24"/>
                <w:highlight w:val="none"/>
                <w:lang w:val="en-US" w:eastAsia="zh-CN"/>
              </w:rPr>
              <w:t>5</w:t>
            </w:r>
            <w:r>
              <w:rPr>
                <w:rFonts w:hint="default" w:asciiTheme="minorEastAsia" w:hAnsiTheme="minorEastAsia" w:eastAsiaTheme="minorEastAsia" w:cstheme="minorEastAsia"/>
                <w:color w:val="auto"/>
                <w:sz w:val="24"/>
                <w:szCs w:val="24"/>
                <w:highlight w:val="none"/>
                <w:lang w:val="en-US" w:eastAsia="zh-CN"/>
              </w:rPr>
              <w:t>分，良好得</w:t>
            </w:r>
            <w:r>
              <w:rPr>
                <w:rFonts w:hint="eastAsia" w:asciiTheme="minorEastAsia" w:hAnsiTheme="minorEastAsia" w:eastAsiaTheme="minorEastAsia" w:cstheme="minorEastAsia"/>
                <w:color w:val="auto"/>
                <w:sz w:val="24"/>
                <w:szCs w:val="24"/>
                <w:highlight w:val="none"/>
                <w:lang w:val="en-US" w:eastAsia="zh-CN"/>
              </w:rPr>
              <w:t>3</w:t>
            </w:r>
            <w:r>
              <w:rPr>
                <w:rFonts w:hint="default" w:asciiTheme="minorEastAsia" w:hAnsiTheme="minorEastAsia" w:eastAsiaTheme="minorEastAsia" w:cstheme="minorEastAsia"/>
                <w:color w:val="auto"/>
                <w:sz w:val="24"/>
                <w:szCs w:val="24"/>
                <w:highlight w:val="none"/>
                <w:lang w:val="en-US" w:eastAsia="zh-CN"/>
              </w:rPr>
              <w:t>分，一般得</w:t>
            </w:r>
            <w:r>
              <w:rPr>
                <w:rFonts w:hint="eastAsia" w:asciiTheme="minorEastAsia" w:hAnsiTheme="minorEastAsia" w:eastAsiaTheme="minorEastAsia" w:cstheme="minorEastAsia"/>
                <w:color w:val="auto"/>
                <w:sz w:val="24"/>
                <w:szCs w:val="24"/>
                <w:highlight w:val="none"/>
                <w:lang w:val="en-US" w:eastAsia="zh-CN"/>
              </w:rPr>
              <w:t>1</w:t>
            </w:r>
            <w:r>
              <w:rPr>
                <w:rFonts w:hint="default" w:asciiTheme="minorEastAsia" w:hAnsiTheme="minorEastAsia" w:eastAsiaTheme="minorEastAsia" w:cstheme="minorEastAsia"/>
                <w:color w:val="auto"/>
                <w:sz w:val="24"/>
                <w:szCs w:val="24"/>
                <w:highlight w:val="none"/>
                <w:lang w:val="en-US" w:eastAsia="zh-CN"/>
              </w:rPr>
              <w:t>分，</w:t>
            </w:r>
            <w:r>
              <w:rPr>
                <w:rFonts w:hint="eastAsia" w:asciiTheme="minorEastAsia" w:hAnsiTheme="minorEastAsia" w:eastAsiaTheme="minorEastAsia" w:cstheme="minorEastAsia"/>
                <w:color w:val="auto"/>
                <w:sz w:val="24"/>
                <w:szCs w:val="24"/>
                <w:highlight w:val="none"/>
                <w:lang w:val="en-US" w:eastAsia="zh-CN"/>
              </w:rPr>
              <w:t>以上三项最高得15分。</w:t>
            </w:r>
          </w:p>
          <w:p w14:paraId="01A57DE5">
            <w:pPr>
              <w:pStyle w:val="39"/>
              <w:ind w:left="0" w:leftChars="0" w:firstLine="0" w:firstLineChars="0"/>
              <w:jc w:val="left"/>
              <w:rPr>
                <w:rFonts w:hint="eastAsia"/>
                <w:lang w:val="en-US" w:eastAsia="zh-CN"/>
              </w:rPr>
            </w:pPr>
            <w:r>
              <w:rPr>
                <w:rFonts w:hint="eastAsia" w:asciiTheme="minorEastAsia" w:hAnsiTheme="minorEastAsia" w:eastAsiaTheme="minorEastAsia" w:cstheme="minorEastAsia"/>
                <w:b/>
                <w:bCs/>
                <w:color w:val="auto"/>
                <w:sz w:val="24"/>
                <w:szCs w:val="24"/>
                <w:highlight w:val="none"/>
                <w:lang w:val="en-US" w:eastAsia="zh-CN"/>
              </w:rPr>
              <w:t>评审依据：投标人提供投标文件的技术文件加盖投标人公章，未提供或者提供不符合要求的不得分。</w:t>
            </w:r>
          </w:p>
        </w:tc>
        <w:tc>
          <w:tcPr>
            <w:tcW w:w="1089" w:type="dxa"/>
            <w:vAlign w:val="center"/>
          </w:tcPr>
          <w:p w14:paraId="7A158C02">
            <w:pPr>
              <w:pStyle w:val="2"/>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15分</w:t>
            </w:r>
          </w:p>
        </w:tc>
      </w:tr>
      <w:tr w14:paraId="7FA36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6" w:hRule="atLeast"/>
          <w:jc w:val="center"/>
        </w:trPr>
        <w:tc>
          <w:tcPr>
            <w:tcW w:w="1239" w:type="dxa"/>
            <w:vMerge w:val="continue"/>
          </w:tcPr>
          <w:p w14:paraId="4188BB06">
            <w:pPr>
              <w:pStyle w:val="2"/>
              <w:jc w:val="left"/>
              <w:rPr>
                <w:rFonts w:hint="eastAsia" w:asciiTheme="minorEastAsia" w:hAnsiTheme="minorEastAsia" w:eastAsiaTheme="minorEastAsia" w:cstheme="minorEastAsia"/>
                <w:color w:val="auto"/>
                <w:sz w:val="24"/>
                <w:szCs w:val="24"/>
                <w:highlight w:val="none"/>
                <w:lang w:val="en-US" w:eastAsia="zh-CN"/>
              </w:rPr>
            </w:pPr>
          </w:p>
        </w:tc>
        <w:tc>
          <w:tcPr>
            <w:tcW w:w="1389" w:type="dxa"/>
            <w:vAlign w:val="center"/>
          </w:tcPr>
          <w:p w14:paraId="615DD5E8">
            <w:pPr>
              <w:pStyle w:val="2"/>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服务方案、服务质量</w:t>
            </w:r>
          </w:p>
        </w:tc>
        <w:tc>
          <w:tcPr>
            <w:tcW w:w="6188" w:type="dxa"/>
          </w:tcPr>
          <w:p w14:paraId="5989E33D">
            <w:pPr>
              <w:pStyle w:val="2"/>
              <w:jc w:val="left"/>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根据投标人针对本项目制定的服务方案完整性、全面性、对需求响应的契合度等方面的理解程度及解决办法、服务计划、应急方案、服务质量保证等方面的科学性、合理性、可行性等情况综合评分。优秀得</w:t>
            </w:r>
            <w:r>
              <w:rPr>
                <w:rFonts w:hint="eastAsia" w:asciiTheme="minorEastAsia" w:hAnsiTheme="minorEastAsia" w:eastAsiaTheme="minorEastAsia" w:cstheme="minorEastAsia"/>
                <w:color w:val="auto"/>
                <w:sz w:val="24"/>
                <w:szCs w:val="24"/>
                <w:highlight w:val="none"/>
                <w:lang w:val="en-US" w:eastAsia="zh-CN"/>
              </w:rPr>
              <w:t>10</w:t>
            </w:r>
            <w:r>
              <w:rPr>
                <w:rFonts w:hint="default" w:asciiTheme="minorEastAsia" w:hAnsiTheme="minorEastAsia" w:eastAsiaTheme="minorEastAsia" w:cstheme="minorEastAsia"/>
                <w:color w:val="auto"/>
                <w:sz w:val="24"/>
                <w:szCs w:val="24"/>
                <w:highlight w:val="none"/>
                <w:lang w:val="en-US" w:eastAsia="zh-CN"/>
              </w:rPr>
              <w:t>分，良好得</w:t>
            </w:r>
            <w:r>
              <w:rPr>
                <w:rFonts w:hint="eastAsia" w:asciiTheme="minorEastAsia" w:hAnsiTheme="minorEastAsia" w:eastAsiaTheme="minorEastAsia" w:cstheme="minorEastAsia"/>
                <w:color w:val="auto"/>
                <w:sz w:val="24"/>
                <w:szCs w:val="24"/>
                <w:highlight w:val="none"/>
                <w:lang w:val="en-US" w:eastAsia="zh-CN"/>
              </w:rPr>
              <w:t>8</w:t>
            </w:r>
            <w:r>
              <w:rPr>
                <w:rFonts w:hint="default" w:asciiTheme="minorEastAsia" w:hAnsiTheme="minorEastAsia" w:eastAsiaTheme="minorEastAsia" w:cstheme="minorEastAsia"/>
                <w:color w:val="auto"/>
                <w:sz w:val="24"/>
                <w:szCs w:val="24"/>
                <w:highlight w:val="none"/>
                <w:lang w:val="en-US" w:eastAsia="zh-CN"/>
              </w:rPr>
              <w:t>分，一般得</w:t>
            </w:r>
            <w:r>
              <w:rPr>
                <w:rFonts w:hint="eastAsia" w:asciiTheme="minorEastAsia" w:hAnsiTheme="minorEastAsia" w:eastAsiaTheme="minorEastAsia" w:cstheme="minorEastAsia"/>
                <w:color w:val="auto"/>
                <w:sz w:val="24"/>
                <w:szCs w:val="24"/>
                <w:highlight w:val="none"/>
                <w:lang w:val="en-US" w:eastAsia="zh-CN"/>
              </w:rPr>
              <w:t>6</w:t>
            </w:r>
            <w:r>
              <w:rPr>
                <w:rFonts w:hint="default" w:asciiTheme="minorEastAsia" w:hAnsiTheme="minorEastAsia" w:eastAsiaTheme="minorEastAsia" w:cstheme="minorEastAsia"/>
                <w:color w:val="auto"/>
                <w:sz w:val="24"/>
                <w:szCs w:val="24"/>
                <w:highlight w:val="none"/>
                <w:lang w:val="en-US" w:eastAsia="zh-CN"/>
              </w:rPr>
              <w:t>分</w:t>
            </w:r>
            <w:r>
              <w:rPr>
                <w:rFonts w:hint="eastAsia" w:asciiTheme="minorEastAsia" w:hAnsiTheme="minorEastAsia" w:eastAsiaTheme="minorEastAsia" w:cstheme="minorEastAsia"/>
                <w:color w:val="auto"/>
                <w:sz w:val="24"/>
                <w:szCs w:val="24"/>
                <w:highlight w:val="none"/>
                <w:lang w:val="en-US" w:eastAsia="zh-CN"/>
              </w:rPr>
              <w:t>。</w:t>
            </w:r>
          </w:p>
          <w:p w14:paraId="4595508E">
            <w:pPr>
              <w:pStyle w:val="39"/>
              <w:ind w:left="0" w:leftChars="0" w:firstLine="0" w:firstLineChars="0"/>
              <w:jc w:val="left"/>
              <w:rPr>
                <w:rFonts w:hint="eastAsia"/>
                <w:lang w:val="en-US" w:eastAsia="zh-CN"/>
              </w:rPr>
            </w:pPr>
            <w:r>
              <w:rPr>
                <w:rFonts w:hint="eastAsia" w:asciiTheme="minorEastAsia" w:hAnsiTheme="minorEastAsia" w:eastAsiaTheme="minorEastAsia" w:cstheme="minorEastAsia"/>
                <w:b/>
                <w:bCs/>
                <w:color w:val="auto"/>
                <w:sz w:val="24"/>
                <w:szCs w:val="24"/>
                <w:highlight w:val="none"/>
                <w:lang w:val="en-US" w:eastAsia="zh-CN"/>
              </w:rPr>
              <w:t>评审依据：投标人提供投标文件的技术文件加盖投标人公章，未提供或者提供不符合要求的不得分。</w:t>
            </w:r>
          </w:p>
        </w:tc>
        <w:tc>
          <w:tcPr>
            <w:tcW w:w="1089" w:type="dxa"/>
            <w:vAlign w:val="center"/>
          </w:tcPr>
          <w:p w14:paraId="43331CDD">
            <w:pPr>
              <w:pStyle w:val="2"/>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10分</w:t>
            </w:r>
          </w:p>
        </w:tc>
      </w:tr>
      <w:tr w14:paraId="7435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3" w:hRule="atLeast"/>
          <w:jc w:val="center"/>
        </w:trPr>
        <w:tc>
          <w:tcPr>
            <w:tcW w:w="1239" w:type="dxa"/>
            <w:vMerge w:val="continue"/>
          </w:tcPr>
          <w:p w14:paraId="53E60D64">
            <w:pPr>
              <w:pStyle w:val="2"/>
              <w:jc w:val="left"/>
              <w:rPr>
                <w:rFonts w:hint="eastAsia" w:asciiTheme="minorEastAsia" w:hAnsiTheme="minorEastAsia" w:eastAsiaTheme="minorEastAsia" w:cstheme="minorEastAsia"/>
                <w:color w:val="auto"/>
                <w:sz w:val="24"/>
                <w:szCs w:val="24"/>
                <w:highlight w:val="none"/>
                <w:lang w:val="en-US" w:eastAsia="zh-CN"/>
              </w:rPr>
            </w:pPr>
          </w:p>
        </w:tc>
        <w:tc>
          <w:tcPr>
            <w:tcW w:w="1389" w:type="dxa"/>
            <w:vAlign w:val="center"/>
          </w:tcPr>
          <w:p w14:paraId="1D2C34F8">
            <w:pPr>
              <w:pStyle w:val="2"/>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增值服务</w:t>
            </w:r>
          </w:p>
        </w:tc>
        <w:tc>
          <w:tcPr>
            <w:tcW w:w="6188" w:type="dxa"/>
          </w:tcPr>
          <w:p w14:paraId="11CF97E2">
            <w:pPr>
              <w:pStyle w:val="2"/>
              <w:jc w:val="left"/>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投标人根据对项目需求的理解，提供增值服务方案，对增值服务与本项目需求契合度，方案完整性等方面进行评价，</w:t>
            </w:r>
            <w:r>
              <w:rPr>
                <w:rFonts w:hint="eastAsia" w:asciiTheme="minorEastAsia" w:hAnsiTheme="minorEastAsia" w:eastAsiaTheme="minorEastAsia" w:cstheme="minorEastAsia"/>
                <w:color w:val="auto"/>
                <w:sz w:val="24"/>
                <w:szCs w:val="24"/>
                <w:highlight w:val="none"/>
                <w:lang w:val="en-US" w:eastAsia="zh-CN"/>
              </w:rPr>
              <w:t>优秀得10</w:t>
            </w:r>
            <w:r>
              <w:rPr>
                <w:rFonts w:hint="default" w:asciiTheme="minorEastAsia" w:hAnsiTheme="minorEastAsia" w:eastAsiaTheme="minorEastAsia" w:cstheme="minorEastAsia"/>
                <w:color w:val="auto"/>
                <w:sz w:val="24"/>
                <w:szCs w:val="24"/>
                <w:highlight w:val="none"/>
                <w:lang w:val="en-US" w:eastAsia="zh-CN"/>
              </w:rPr>
              <w:t>分，</w:t>
            </w:r>
            <w:r>
              <w:rPr>
                <w:rFonts w:hint="eastAsia" w:asciiTheme="minorEastAsia" w:hAnsiTheme="minorEastAsia" w:eastAsiaTheme="minorEastAsia" w:cstheme="minorEastAsia"/>
                <w:color w:val="auto"/>
                <w:sz w:val="24"/>
                <w:szCs w:val="24"/>
                <w:highlight w:val="none"/>
                <w:lang w:val="en-US" w:eastAsia="zh-CN"/>
              </w:rPr>
              <w:t>良好得8</w:t>
            </w:r>
            <w:r>
              <w:rPr>
                <w:rFonts w:hint="default" w:asciiTheme="minorEastAsia" w:hAnsiTheme="minorEastAsia" w:eastAsiaTheme="minorEastAsia" w:cstheme="minorEastAsia"/>
                <w:color w:val="auto"/>
                <w:sz w:val="24"/>
                <w:szCs w:val="24"/>
                <w:highlight w:val="none"/>
                <w:lang w:val="en-US" w:eastAsia="zh-CN"/>
              </w:rPr>
              <w:t>分，一般</w:t>
            </w:r>
            <w:r>
              <w:rPr>
                <w:rFonts w:hint="eastAsia" w:asciiTheme="minorEastAsia" w:hAnsiTheme="minorEastAsia" w:eastAsiaTheme="minorEastAsia" w:cstheme="minorEastAsia"/>
                <w:color w:val="auto"/>
                <w:sz w:val="24"/>
                <w:szCs w:val="24"/>
                <w:highlight w:val="none"/>
                <w:lang w:val="en-US" w:eastAsia="zh-CN"/>
              </w:rPr>
              <w:t>得6</w:t>
            </w:r>
            <w:r>
              <w:rPr>
                <w:rFonts w:hint="default" w:asciiTheme="minorEastAsia" w:hAnsiTheme="minorEastAsia" w:eastAsiaTheme="minorEastAsia" w:cstheme="minorEastAsia"/>
                <w:color w:val="auto"/>
                <w:sz w:val="24"/>
                <w:szCs w:val="24"/>
                <w:highlight w:val="none"/>
                <w:lang w:val="en-US" w:eastAsia="zh-CN"/>
              </w:rPr>
              <w:t>分</w:t>
            </w:r>
            <w:r>
              <w:rPr>
                <w:rFonts w:hint="eastAsia" w:asciiTheme="minorEastAsia" w:hAnsiTheme="minorEastAsia" w:eastAsiaTheme="minorEastAsia" w:cstheme="minorEastAsia"/>
                <w:color w:val="auto"/>
                <w:sz w:val="24"/>
                <w:szCs w:val="24"/>
                <w:highlight w:val="none"/>
                <w:lang w:val="en-US" w:eastAsia="zh-CN"/>
              </w:rPr>
              <w:t>。</w:t>
            </w:r>
          </w:p>
          <w:p w14:paraId="39140A66">
            <w:pPr>
              <w:pStyle w:val="39"/>
              <w:ind w:left="0" w:leftChars="0" w:firstLine="0" w:firstLineChars="0"/>
              <w:jc w:val="left"/>
              <w:rPr>
                <w:rFonts w:hint="eastAsia"/>
                <w:lang w:val="en-US" w:eastAsia="zh-CN"/>
              </w:rPr>
            </w:pPr>
            <w:r>
              <w:rPr>
                <w:rFonts w:hint="eastAsia" w:asciiTheme="minorEastAsia" w:hAnsiTheme="minorEastAsia" w:eastAsiaTheme="minorEastAsia" w:cstheme="minorEastAsia"/>
                <w:b/>
                <w:bCs/>
                <w:color w:val="auto"/>
                <w:sz w:val="24"/>
                <w:szCs w:val="24"/>
                <w:highlight w:val="none"/>
                <w:lang w:val="en-US" w:eastAsia="zh-CN"/>
              </w:rPr>
              <w:t>评审依据：投标人提供投标文件的技术文件加盖投标人公章，未提供或者提供不符合要求的不得分。</w:t>
            </w:r>
          </w:p>
        </w:tc>
        <w:tc>
          <w:tcPr>
            <w:tcW w:w="1089" w:type="dxa"/>
            <w:vAlign w:val="center"/>
          </w:tcPr>
          <w:p w14:paraId="6C6E68E1">
            <w:pPr>
              <w:pStyle w:val="2"/>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10分</w:t>
            </w:r>
          </w:p>
        </w:tc>
      </w:tr>
      <w:tr w14:paraId="10A28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9" w:hRule="atLeast"/>
          <w:jc w:val="center"/>
        </w:trPr>
        <w:tc>
          <w:tcPr>
            <w:tcW w:w="1239" w:type="dxa"/>
            <w:vMerge w:val="restart"/>
            <w:vAlign w:val="center"/>
          </w:tcPr>
          <w:p w14:paraId="0E63F772">
            <w:pPr>
              <w:pStyle w:val="2"/>
              <w:jc w:val="both"/>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商务评审（25分）</w:t>
            </w:r>
          </w:p>
        </w:tc>
        <w:tc>
          <w:tcPr>
            <w:tcW w:w="1389" w:type="dxa"/>
            <w:vAlign w:val="center"/>
          </w:tcPr>
          <w:p w14:paraId="28909626">
            <w:pPr>
              <w:pStyle w:val="2"/>
              <w:jc w:val="left"/>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业绩</w:t>
            </w:r>
          </w:p>
        </w:tc>
        <w:tc>
          <w:tcPr>
            <w:tcW w:w="6188" w:type="dxa"/>
          </w:tcPr>
          <w:p w14:paraId="59DC122B">
            <w:pPr>
              <w:keepNext w:val="0"/>
              <w:keepLines w:val="0"/>
              <w:widowControl/>
              <w:suppressLineNumbers w:val="0"/>
              <w:jc w:val="left"/>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 xml:space="preserve">自2022年1月1日起至项目开标当日(以合同签订时间为准)，投标人具有同类业绩的，提供一个业绩得5分，最高得15分。 </w:t>
            </w:r>
          </w:p>
          <w:p w14:paraId="499DA961">
            <w:pPr>
              <w:keepNext w:val="0"/>
              <w:keepLines w:val="0"/>
              <w:widowControl/>
              <w:suppressLineNumbers w:val="0"/>
              <w:jc w:val="lef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kern w:val="2"/>
                <w:sz w:val="24"/>
                <w:szCs w:val="24"/>
                <w:highlight w:val="none"/>
                <w:lang w:val="en-US" w:eastAsia="zh-CN" w:bidi="ar-SA"/>
              </w:rPr>
              <w:t>评审依据：提供项目业绩合同扫描件加盖投标人公章，未提供或者提供不符合要求的不得分。</w:t>
            </w:r>
          </w:p>
        </w:tc>
        <w:tc>
          <w:tcPr>
            <w:tcW w:w="1089" w:type="dxa"/>
            <w:vAlign w:val="center"/>
          </w:tcPr>
          <w:p w14:paraId="679F0D4D">
            <w:pPr>
              <w:pStyle w:val="2"/>
              <w:jc w:val="left"/>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15分</w:t>
            </w:r>
          </w:p>
        </w:tc>
      </w:tr>
      <w:tr w14:paraId="4F7AA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 w:hRule="atLeast"/>
          <w:jc w:val="center"/>
        </w:trPr>
        <w:tc>
          <w:tcPr>
            <w:tcW w:w="1239" w:type="dxa"/>
            <w:vMerge w:val="continue"/>
          </w:tcPr>
          <w:p w14:paraId="6BCE45DF">
            <w:pPr>
              <w:pStyle w:val="2"/>
              <w:jc w:val="left"/>
              <w:rPr>
                <w:rFonts w:hint="eastAsia" w:asciiTheme="minorEastAsia" w:hAnsiTheme="minorEastAsia" w:eastAsiaTheme="minorEastAsia" w:cstheme="minorEastAsia"/>
                <w:color w:val="auto"/>
                <w:sz w:val="24"/>
                <w:szCs w:val="24"/>
                <w:highlight w:val="none"/>
                <w:lang w:val="en-US" w:eastAsia="zh-CN"/>
              </w:rPr>
            </w:pPr>
          </w:p>
        </w:tc>
        <w:tc>
          <w:tcPr>
            <w:tcW w:w="1389" w:type="dxa"/>
            <w:vAlign w:val="center"/>
          </w:tcPr>
          <w:p w14:paraId="29C86E4A">
            <w:pPr>
              <w:pStyle w:val="2"/>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拟派人员</w:t>
            </w:r>
          </w:p>
        </w:tc>
        <w:tc>
          <w:tcPr>
            <w:tcW w:w="6188" w:type="dxa"/>
          </w:tcPr>
          <w:p w14:paraId="136D0C4A">
            <w:pPr>
              <w:pStyle w:val="2"/>
              <w:jc w:val="left"/>
              <w:rPr>
                <w:rFonts w:hint="eastAsia"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投标人需对本项目</w:t>
            </w:r>
            <w:r>
              <w:rPr>
                <w:rFonts w:hint="eastAsia" w:asciiTheme="minorEastAsia" w:hAnsiTheme="minorEastAsia" w:eastAsiaTheme="minorEastAsia" w:cstheme="minorEastAsia"/>
                <w:color w:val="auto"/>
                <w:sz w:val="24"/>
                <w:szCs w:val="24"/>
                <w:highlight w:val="none"/>
                <w:lang w:val="en-US" w:eastAsia="zh-CN"/>
              </w:rPr>
              <w:t xml:space="preserve">配置团队：                           </w:t>
            </w:r>
            <w:r>
              <w:rPr>
                <w:rFonts w:hint="eastAsia" w:asciiTheme="minorEastAsia" w:hAnsiTheme="minorEastAsia" w:eastAsiaTheme="minorEastAsia" w:cstheme="minorEastAsia"/>
                <w:color w:val="auto"/>
                <w:sz w:val="24"/>
                <w:szCs w:val="24"/>
                <w:highlight w:val="none"/>
                <w:shd w:val="clear"/>
                <w:lang w:val="en-US" w:eastAsia="zh-CN"/>
              </w:rPr>
              <w:t>每提供一名注册安全工程师得3分，最高得6分。</w:t>
            </w:r>
          </w:p>
          <w:p w14:paraId="49D3F653">
            <w:pPr>
              <w:pStyle w:val="2"/>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评审依据：提供证件原件扫描件、劳务合同复印件加盖投标人公章及拟派人员承诺函加盖公章。未提供或者提供不符合要求的不得分。</w:t>
            </w:r>
          </w:p>
        </w:tc>
        <w:tc>
          <w:tcPr>
            <w:tcW w:w="1089" w:type="dxa"/>
            <w:vAlign w:val="center"/>
          </w:tcPr>
          <w:p w14:paraId="5B0C2CD5">
            <w:pPr>
              <w:pStyle w:val="2"/>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6分</w:t>
            </w:r>
          </w:p>
        </w:tc>
      </w:tr>
      <w:tr w14:paraId="7A018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1239" w:type="dxa"/>
            <w:vMerge w:val="continue"/>
          </w:tcPr>
          <w:p w14:paraId="0FA16492">
            <w:pPr>
              <w:pStyle w:val="2"/>
              <w:jc w:val="left"/>
              <w:rPr>
                <w:rFonts w:hint="eastAsia" w:asciiTheme="minorEastAsia" w:hAnsiTheme="minorEastAsia" w:eastAsiaTheme="minorEastAsia" w:cstheme="minorEastAsia"/>
                <w:color w:val="auto"/>
                <w:sz w:val="24"/>
                <w:szCs w:val="24"/>
                <w:highlight w:val="none"/>
                <w:lang w:val="en-US" w:eastAsia="zh-CN"/>
              </w:rPr>
            </w:pPr>
          </w:p>
        </w:tc>
        <w:tc>
          <w:tcPr>
            <w:tcW w:w="1389" w:type="dxa"/>
            <w:vAlign w:val="center"/>
          </w:tcPr>
          <w:p w14:paraId="7CA38510">
            <w:pPr>
              <w:pStyle w:val="2"/>
              <w:jc w:val="left"/>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售后保障</w:t>
            </w:r>
          </w:p>
        </w:tc>
        <w:tc>
          <w:tcPr>
            <w:tcW w:w="6188" w:type="dxa"/>
          </w:tcPr>
          <w:p w14:paraId="442F19E9">
            <w:pPr>
              <w:pStyle w:val="2"/>
              <w:jc w:val="left"/>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在采购方所在地区设有独立的办事处或办公区域，或承诺中标后1个月内在采购方所在地区设有独立的办事处或办公区域，得4分，最多得4分。</w:t>
            </w:r>
          </w:p>
          <w:p w14:paraId="5D636127">
            <w:pPr>
              <w:pStyle w:val="2"/>
              <w:jc w:val="left"/>
              <w:rPr>
                <w:rFonts w:hint="default"/>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评审依据：投标人提供办公场所的房产证或者办公区域租赁合同等扫描件加盖投标人公章佐证或承诺函。</w:t>
            </w:r>
          </w:p>
        </w:tc>
        <w:tc>
          <w:tcPr>
            <w:tcW w:w="1089" w:type="dxa"/>
            <w:vAlign w:val="center"/>
          </w:tcPr>
          <w:p w14:paraId="5038CB04">
            <w:pPr>
              <w:pStyle w:val="2"/>
              <w:jc w:val="left"/>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4分</w:t>
            </w:r>
          </w:p>
        </w:tc>
      </w:tr>
    </w:tbl>
    <w:p w14:paraId="4E1FD521">
      <w:pPr>
        <w:pStyle w:val="112"/>
        <w:tabs>
          <w:tab w:val="left" w:pos="0"/>
        </w:tabs>
        <w:adjustRightInd w:val="0"/>
        <w:snapToGrid w:val="0"/>
        <w:spacing w:line="360" w:lineRule="auto"/>
        <w:ind w:firstLine="480"/>
        <w:rPr>
          <w:rFonts w:ascii="仿宋" w:hAnsi="仿宋" w:eastAsia="仿宋" w:cs="仿宋"/>
          <w:color w:val="FF0000"/>
          <w:sz w:val="24"/>
          <w:szCs w:val="24"/>
          <w:highlight w:val="none"/>
        </w:rPr>
      </w:pPr>
    </w:p>
    <w:p w14:paraId="4C95264F">
      <w:pPr>
        <w:pStyle w:val="112"/>
        <w:tabs>
          <w:tab w:val="left" w:pos="0"/>
        </w:tabs>
        <w:adjustRightInd w:val="0"/>
        <w:snapToGrid w:val="0"/>
        <w:spacing w:line="360" w:lineRule="auto"/>
        <w:ind w:firstLine="480"/>
        <w:rPr>
          <w:rFonts w:ascii="仿宋" w:hAnsi="仿宋" w:eastAsia="仿宋" w:cs="仿宋"/>
          <w:color w:val="000000"/>
          <w:sz w:val="24"/>
          <w:szCs w:val="24"/>
          <w:highlight w:val="none"/>
        </w:rPr>
      </w:pPr>
    </w:p>
    <w:p w14:paraId="5C4A0F91">
      <w:pPr>
        <w:pStyle w:val="3"/>
        <w:numPr>
          <w:ilvl w:val="0"/>
          <w:numId w:val="4"/>
        </w:numPr>
        <w:spacing w:before="0" w:after="0" w:line="360" w:lineRule="auto"/>
        <w:jc w:val="center"/>
        <w:rPr>
          <w:rFonts w:hint="eastAsia" w:ascii="仿宋" w:hAnsi="仿宋" w:eastAsia="仿宋" w:cs="仿宋"/>
          <w:color w:val="FF0000"/>
          <w:sz w:val="28"/>
          <w:szCs w:val="28"/>
          <w:highlight w:val="none"/>
        </w:rPr>
      </w:pPr>
      <w:r>
        <w:rPr>
          <w:rFonts w:hint="eastAsia" w:ascii="仿宋" w:hAnsi="仿宋" w:eastAsia="仿宋" w:cs="仿宋"/>
          <w:color w:val="000000"/>
          <w:sz w:val="28"/>
          <w:szCs w:val="28"/>
          <w:highlight w:val="none"/>
        </w:rPr>
        <w:br w:type="page"/>
      </w:r>
      <w:bookmarkStart w:id="137" w:name="_Toc15263"/>
      <w:r>
        <w:rPr>
          <w:rFonts w:hint="eastAsia" w:ascii="仿宋" w:hAnsi="仿宋" w:eastAsia="仿宋" w:cs="仿宋"/>
          <w:color w:val="FF0000"/>
          <w:sz w:val="28"/>
          <w:szCs w:val="28"/>
          <w:highlight w:val="none"/>
        </w:rPr>
        <w:t>合同条款</w:t>
      </w:r>
      <w:bookmarkEnd w:id="137"/>
    </w:p>
    <w:p w14:paraId="17FE2509">
      <w:pPr>
        <w:widowControl w:val="0"/>
        <w:numPr>
          <w:ilvl w:val="0"/>
          <w:numId w:val="0"/>
        </w:numPr>
        <w:jc w:val="both"/>
        <w:rPr>
          <w:rFonts w:hint="eastAsia"/>
        </w:rPr>
      </w:pPr>
    </w:p>
    <w:p w14:paraId="43B6F35A">
      <w:pPr>
        <w:keepNext w:val="0"/>
        <w:keepLines w:val="0"/>
        <w:widowControl/>
        <w:suppressLineNumbers w:val="0"/>
        <w:jc w:val="left"/>
      </w:pPr>
      <w:r>
        <w:rPr>
          <w:rFonts w:ascii="宋体" w:hAnsi="宋体" w:eastAsia="宋体" w:cs="宋体"/>
          <w:vanish/>
          <w:sz w:val="24"/>
          <w:szCs w:val="24"/>
        </w:rPr>
        <w:object>
          <v:shape id="_x0000_i1025" o:spt="201" alt="" type="#_x0000_t201" style="height:18pt;width:72pt;" o:ole="t" filled="f" o:preferrelative="t" stroked="f" coordsize="21600,21600">
            <v:path/>
            <v:fill on="f" focussize="0,0"/>
            <v:stroke on="f"/>
            <v:imagedata r:id="rId19" o:title=""/>
            <o:lock v:ext="edit" aspectratio="t"/>
            <w10:wrap type="none"/>
            <w10:anchorlock/>
          </v:shape>
          <w:control r:id="rId18" w:name="HTMLHidden1" w:shapeid="_x0000_i1025"/>
        </w:object>
      </w:r>
    </w:p>
    <w:p w14:paraId="479031FB">
      <w:pPr>
        <w:pStyle w:val="21"/>
        <w:ind w:right="-401" w:rightChars="-191" w:firstLine="880" w:firstLineChars="200"/>
        <w:jc w:val="center"/>
        <w:rPr>
          <w:rFonts w:hint="eastAsia" w:ascii="方正小标宋简体" w:hAnsi="方正小标宋简体" w:eastAsia="方正小标宋简体" w:cs="方正小标宋简体"/>
          <w:b w:val="0"/>
          <w:bCs w:val="0"/>
          <w:sz w:val="44"/>
          <w:szCs w:val="44"/>
          <w:lang w:val="en-US" w:eastAsia="zh-CN"/>
        </w:rPr>
      </w:pPr>
      <w:r>
        <w:rPr>
          <w:rFonts w:hint="eastAsia" w:ascii="方正小标宋简体" w:hAnsi="方正小标宋简体" w:eastAsia="方正小标宋简体" w:cs="方正小标宋简体"/>
          <w:b w:val="0"/>
          <w:bCs w:val="0"/>
          <w:sz w:val="44"/>
          <w:szCs w:val="44"/>
        </w:rPr>
        <w:t>中国人民财产保险股份有限公司宜春市分公司安全生产责任保险事故预防技术服务采购项目</w:t>
      </w:r>
      <w:r>
        <w:rPr>
          <w:rFonts w:hint="eastAsia" w:ascii="方正小标宋简体" w:hAnsi="方正小标宋简体" w:eastAsia="方正小标宋简体" w:cs="方正小标宋简体"/>
          <w:b w:val="0"/>
          <w:bCs w:val="0"/>
          <w:sz w:val="44"/>
          <w:szCs w:val="44"/>
          <w:lang w:val="en-US" w:eastAsia="zh-CN"/>
        </w:rPr>
        <w:t>合同</w:t>
      </w:r>
    </w:p>
    <w:p w14:paraId="0C2995F3">
      <w:pPr>
        <w:pStyle w:val="21"/>
        <w:ind w:right="-401" w:rightChars="-191" w:firstLine="480" w:firstLineChars="200"/>
        <w:rPr>
          <w:rFonts w:hint="eastAsia" w:ascii="楷体" w:hAnsi="楷体" w:eastAsia="楷体" w:cs="楷体"/>
          <w:kern w:val="2"/>
          <w:sz w:val="24"/>
          <w:szCs w:val="22"/>
          <w:lang w:val="en-US" w:eastAsia="zh-CN" w:bidi="ar"/>
        </w:rPr>
      </w:pPr>
      <w:r>
        <w:rPr>
          <w:rFonts w:hint="eastAsia" w:ascii="楷体" w:hAnsi="楷体" w:eastAsia="楷体" w:cs="楷体"/>
          <w:kern w:val="2"/>
          <w:sz w:val="24"/>
          <w:szCs w:val="22"/>
          <w:lang w:val="en-US" w:eastAsia="zh-CN" w:bidi="ar"/>
        </w:rPr>
        <w:t>甲方全称：</w:t>
      </w:r>
    </w:p>
    <w:p w14:paraId="2FA868F6">
      <w:pPr>
        <w:pStyle w:val="21"/>
        <w:ind w:right="-401" w:rightChars="-191" w:firstLine="480" w:firstLineChars="200"/>
        <w:rPr>
          <w:rFonts w:hint="eastAsia" w:ascii="楷体" w:hAnsi="楷体" w:eastAsia="楷体" w:cs="楷体"/>
          <w:kern w:val="2"/>
          <w:sz w:val="24"/>
          <w:szCs w:val="22"/>
          <w:lang w:val="en-US" w:eastAsia="zh-CN" w:bidi="ar"/>
        </w:rPr>
      </w:pPr>
      <w:r>
        <w:rPr>
          <w:rFonts w:hint="eastAsia" w:ascii="楷体" w:hAnsi="楷体" w:eastAsia="楷体" w:cs="楷体"/>
          <w:kern w:val="2"/>
          <w:sz w:val="24"/>
          <w:szCs w:val="22"/>
          <w:lang w:val="en-US" w:eastAsia="zh-CN" w:bidi="ar"/>
        </w:rPr>
        <w:t>地址：</w:t>
      </w:r>
    </w:p>
    <w:p w14:paraId="3E727384">
      <w:pPr>
        <w:pStyle w:val="21"/>
        <w:ind w:right="-401" w:rightChars="-191" w:firstLine="480" w:firstLineChars="200"/>
        <w:rPr>
          <w:rFonts w:hint="default" w:ascii="楷体" w:hAnsi="楷体" w:eastAsia="楷体" w:cs="楷体"/>
          <w:kern w:val="2"/>
          <w:sz w:val="24"/>
          <w:szCs w:val="22"/>
          <w:lang w:val="en-US" w:eastAsia="zh-CN" w:bidi="ar"/>
        </w:rPr>
      </w:pPr>
      <w:r>
        <w:rPr>
          <w:rFonts w:hint="eastAsia" w:ascii="楷体" w:hAnsi="楷体" w:eastAsia="楷体" w:cs="楷体"/>
          <w:kern w:val="2"/>
          <w:sz w:val="24"/>
          <w:szCs w:val="22"/>
          <w:lang w:val="en-US" w:eastAsia="zh-CN" w:bidi="ar"/>
        </w:rPr>
        <w:t>法定代表人：</w:t>
      </w:r>
    </w:p>
    <w:p w14:paraId="2FE90547">
      <w:pPr>
        <w:snapToGrid w:val="0"/>
        <w:rPr>
          <w:rFonts w:hint="eastAsia" w:ascii="楷体" w:hAnsi="楷体" w:eastAsia="楷体" w:cs="楷体"/>
          <w:kern w:val="2"/>
          <w:sz w:val="24"/>
          <w:szCs w:val="22"/>
          <w:lang w:val="en-US" w:eastAsia="zh-CN" w:bidi="ar"/>
        </w:rPr>
      </w:pPr>
    </w:p>
    <w:p w14:paraId="20553648">
      <w:pPr>
        <w:pStyle w:val="21"/>
        <w:ind w:right="-401" w:rightChars="-191" w:firstLine="480" w:firstLineChars="200"/>
        <w:rPr>
          <w:rFonts w:hint="eastAsia" w:ascii="楷体" w:hAnsi="楷体" w:eastAsia="楷体" w:cs="楷体"/>
          <w:kern w:val="2"/>
          <w:sz w:val="24"/>
          <w:szCs w:val="22"/>
          <w:lang w:val="en-US" w:eastAsia="zh-CN" w:bidi="ar"/>
        </w:rPr>
      </w:pPr>
      <w:r>
        <w:rPr>
          <w:rFonts w:hint="eastAsia" w:ascii="楷体" w:hAnsi="楷体" w:eastAsia="楷体" w:cs="楷体"/>
          <w:kern w:val="2"/>
          <w:sz w:val="24"/>
          <w:szCs w:val="22"/>
          <w:lang w:val="en-US" w:eastAsia="zh-CN" w:bidi="ar"/>
        </w:rPr>
        <w:t>乙方全称：</w:t>
      </w:r>
    </w:p>
    <w:p w14:paraId="1ADD0D31">
      <w:pPr>
        <w:pStyle w:val="21"/>
        <w:ind w:right="-401" w:rightChars="-191" w:firstLine="480" w:firstLineChars="200"/>
        <w:rPr>
          <w:rFonts w:hint="eastAsia" w:ascii="楷体" w:hAnsi="楷体" w:eastAsia="楷体" w:cs="楷体"/>
          <w:kern w:val="2"/>
          <w:sz w:val="24"/>
          <w:szCs w:val="22"/>
          <w:lang w:val="en-US" w:eastAsia="zh-CN" w:bidi="ar"/>
        </w:rPr>
      </w:pPr>
      <w:r>
        <w:rPr>
          <w:rFonts w:hint="eastAsia" w:ascii="楷体" w:hAnsi="楷体" w:eastAsia="楷体" w:cs="楷体"/>
          <w:kern w:val="2"/>
          <w:sz w:val="24"/>
          <w:szCs w:val="22"/>
          <w:lang w:val="en-US" w:eastAsia="zh-CN" w:bidi="ar"/>
        </w:rPr>
        <w:t>地址：</w:t>
      </w:r>
    </w:p>
    <w:p w14:paraId="340E9C65">
      <w:pPr>
        <w:pStyle w:val="21"/>
        <w:ind w:right="-401" w:rightChars="-191" w:firstLine="480" w:firstLineChars="200"/>
        <w:rPr>
          <w:rFonts w:hint="eastAsia" w:ascii="楷体" w:hAnsi="楷体" w:eastAsia="楷体" w:cs="楷体"/>
          <w:kern w:val="2"/>
          <w:sz w:val="24"/>
          <w:szCs w:val="22"/>
          <w:lang w:val="en-US" w:eastAsia="zh-CN" w:bidi="ar"/>
        </w:rPr>
      </w:pPr>
      <w:r>
        <w:rPr>
          <w:rFonts w:hint="eastAsia" w:ascii="楷体" w:hAnsi="楷体" w:eastAsia="楷体" w:cs="楷体"/>
          <w:kern w:val="2"/>
          <w:sz w:val="24"/>
          <w:szCs w:val="22"/>
          <w:lang w:val="en-US" w:eastAsia="zh-CN" w:bidi="ar"/>
        </w:rPr>
        <w:t>法定代表人：</w:t>
      </w:r>
    </w:p>
    <w:p w14:paraId="3390BA24">
      <w:pPr>
        <w:keepNext w:val="0"/>
        <w:keepLines w:val="0"/>
        <w:widowControl w:val="0"/>
        <w:suppressLineNumbers w:val="0"/>
        <w:snapToGrid w:val="0"/>
        <w:spacing w:before="0" w:beforeAutospacing="0" w:after="0" w:afterAutospacing="0" w:line="360" w:lineRule="auto"/>
        <w:ind w:left="0" w:right="0"/>
        <w:jc w:val="both"/>
        <w:rPr>
          <w:rFonts w:hint="eastAsia" w:ascii="楷体" w:hAnsi="楷体" w:eastAsia="楷体" w:cs="楷体"/>
          <w:sz w:val="24"/>
          <w:szCs w:val="22"/>
          <w:lang w:val="en-US"/>
        </w:rPr>
      </w:pPr>
      <w:r>
        <w:rPr>
          <w:rFonts w:hint="eastAsia" w:ascii="楷体" w:hAnsi="楷体" w:eastAsia="楷体" w:cs="楷体"/>
          <w:b/>
          <w:bCs w:val="0"/>
          <w:kern w:val="2"/>
          <w:sz w:val="24"/>
          <w:szCs w:val="22"/>
          <w:lang w:val="en-US" w:eastAsia="zh-CN" w:bidi="ar"/>
        </w:rPr>
        <w:t>鉴于：</w:t>
      </w:r>
    </w:p>
    <w:p w14:paraId="420B0F92">
      <w:pPr>
        <w:keepNext w:val="0"/>
        <w:keepLines w:val="0"/>
        <w:widowControl w:val="0"/>
        <w:suppressLineNumbers w:val="0"/>
        <w:snapToGrid w:val="0"/>
        <w:spacing w:before="0" w:beforeAutospacing="0" w:after="0" w:afterAutospacing="0" w:line="360" w:lineRule="auto"/>
        <w:ind w:left="0" w:right="0" w:firstLine="480"/>
        <w:jc w:val="both"/>
        <w:rPr>
          <w:rFonts w:hint="eastAsia" w:ascii="楷体" w:hAnsi="楷体" w:eastAsia="楷体" w:cs="楷体"/>
          <w:sz w:val="24"/>
          <w:szCs w:val="22"/>
          <w:lang w:val="en-US"/>
        </w:rPr>
      </w:pPr>
      <w:r>
        <w:rPr>
          <w:rFonts w:hint="eastAsia" w:ascii="楷体" w:hAnsi="楷体" w:eastAsia="楷体" w:cs="楷体"/>
          <w:kern w:val="2"/>
          <w:sz w:val="24"/>
          <w:szCs w:val="22"/>
          <w:lang w:val="en-US" w:eastAsia="zh-CN" w:bidi="ar"/>
        </w:rPr>
        <w:t>本合同双方当事人（1）均为依照中华人民共和国法律成立并有效存续的独立法人，（2）并且已经获得签署本合同的相应授权，（3）具备履行本合同所必须的资质和条件。</w:t>
      </w:r>
    </w:p>
    <w:p w14:paraId="07D9A9F6">
      <w:pPr>
        <w:keepNext w:val="0"/>
        <w:keepLines w:val="0"/>
        <w:widowControl w:val="0"/>
        <w:suppressLineNumbers w:val="0"/>
        <w:snapToGrid w:val="0"/>
        <w:spacing w:before="0" w:beforeAutospacing="0" w:after="0" w:afterAutospacing="0" w:line="360" w:lineRule="auto"/>
        <w:ind w:left="0" w:right="0" w:firstLine="480"/>
        <w:jc w:val="both"/>
        <w:rPr>
          <w:rFonts w:hint="eastAsia" w:ascii="楷体" w:hAnsi="楷体" w:eastAsia="楷体" w:cs="楷体"/>
          <w:sz w:val="24"/>
          <w:szCs w:val="22"/>
          <w:lang w:val="en-US"/>
        </w:rPr>
      </w:pPr>
      <w:bookmarkStart w:id="138" w:name="_Toc13205927"/>
      <w:bookmarkStart w:id="139" w:name="_Toc13117792"/>
      <w:bookmarkStart w:id="140" w:name="_Toc13459301"/>
      <w:r>
        <w:rPr>
          <w:rFonts w:hint="eastAsia" w:ascii="楷体" w:hAnsi="楷体" w:eastAsia="楷体" w:cs="Arial"/>
          <w:kern w:val="2"/>
          <w:sz w:val="24"/>
          <w:szCs w:val="22"/>
          <w:lang w:val="en-US" w:eastAsia="zh-CN" w:bidi="ar"/>
        </w:rPr>
        <w:t>为保障双方的合法权益，</w:t>
      </w:r>
      <w:r>
        <w:rPr>
          <w:rFonts w:hint="eastAsia" w:ascii="楷体" w:hAnsi="楷体" w:eastAsia="楷体" w:cs="楷体"/>
          <w:kern w:val="2"/>
          <w:sz w:val="24"/>
          <w:szCs w:val="22"/>
          <w:lang w:val="en-US" w:eastAsia="zh-CN" w:bidi="ar"/>
        </w:rPr>
        <w:t>根据《中华人民共和国民法典》</w:t>
      </w:r>
      <w:r>
        <w:rPr>
          <w:rFonts w:hint="eastAsia" w:ascii="楷体" w:hAnsi="楷体" w:eastAsia="楷体" w:cs="Arial"/>
          <w:kern w:val="2"/>
          <w:sz w:val="24"/>
          <w:szCs w:val="22"/>
          <w:lang w:val="en-US" w:eastAsia="zh-CN" w:bidi="ar"/>
        </w:rPr>
        <w:t>及相关法律法规的规定, 甲、乙双方在平等互利、协商一致的基础上</w:t>
      </w:r>
      <w:r>
        <w:rPr>
          <w:rFonts w:hint="eastAsia" w:ascii="楷体" w:hAnsi="楷体" w:eastAsia="楷体" w:cs="楷体"/>
          <w:kern w:val="2"/>
          <w:sz w:val="24"/>
          <w:szCs w:val="22"/>
          <w:lang w:val="en-US" w:eastAsia="zh-CN" w:bidi="ar"/>
        </w:rPr>
        <w:t>，</w:t>
      </w:r>
      <w:r>
        <w:rPr>
          <w:rFonts w:hint="eastAsia" w:ascii="楷体" w:hAnsi="楷体" w:eastAsia="楷体" w:cs="Arial"/>
          <w:kern w:val="2"/>
          <w:sz w:val="24"/>
          <w:szCs w:val="22"/>
          <w:lang w:val="en-US" w:eastAsia="zh-CN" w:bidi="ar"/>
        </w:rPr>
        <w:t>就甲方购买、乙方销售双方约定货物事宜达成协议如下，以资共同遵照执行。</w:t>
      </w:r>
      <w:bookmarkEnd w:id="138"/>
      <w:bookmarkEnd w:id="139"/>
      <w:bookmarkEnd w:id="140"/>
    </w:p>
    <w:p w14:paraId="03369498">
      <w:pPr>
        <w:pStyle w:val="21"/>
        <w:ind w:right="-401" w:rightChars="-191" w:firstLine="480" w:firstLineChars="200"/>
        <w:rPr>
          <w:rFonts w:hint="eastAsia" w:ascii="楷体" w:hAnsi="楷体" w:eastAsia="楷体" w:cs="楷体"/>
          <w:kern w:val="2"/>
          <w:sz w:val="24"/>
          <w:szCs w:val="22"/>
          <w:lang w:val="en-US" w:eastAsia="zh-CN" w:bidi="ar"/>
        </w:rPr>
      </w:pPr>
    </w:p>
    <w:p w14:paraId="725AD634">
      <w:pPr>
        <w:pStyle w:val="21"/>
        <w:ind w:right="-401" w:rightChars="-191" w:firstLine="480" w:firstLineChars="200"/>
        <w:rPr>
          <w:rFonts w:hint="eastAsia" w:ascii="楷体" w:hAnsi="楷体" w:eastAsia="楷体" w:cs="楷体"/>
          <w:kern w:val="2"/>
          <w:sz w:val="24"/>
          <w:szCs w:val="22"/>
          <w:lang w:val="en-US" w:eastAsia="zh-CN" w:bidi="ar"/>
        </w:rPr>
      </w:pPr>
    </w:p>
    <w:p w14:paraId="24C2E0B0">
      <w:pPr>
        <w:pStyle w:val="21"/>
        <w:ind w:right="-401" w:rightChars="-191" w:firstLine="480" w:firstLineChars="200"/>
        <w:rPr>
          <w:rFonts w:hint="default" w:ascii="楷体" w:hAnsi="楷体" w:eastAsia="楷体" w:cs="楷体"/>
          <w:kern w:val="2"/>
          <w:sz w:val="24"/>
          <w:szCs w:val="22"/>
          <w:lang w:val="en-US" w:eastAsia="zh-CN" w:bidi="ar"/>
        </w:rPr>
      </w:pPr>
    </w:p>
    <w:p w14:paraId="562555BF">
      <w:pPr>
        <w:keepNext w:val="0"/>
        <w:keepLines w:val="0"/>
        <w:widowControl/>
        <w:suppressLineNumbers w:val="0"/>
        <w:spacing w:before="0" w:beforeAutospacing="1" w:after="0" w:afterAutospacing="1" w:line="600" w:lineRule="exact"/>
        <w:ind w:left="0" w:right="0"/>
        <w:jc w:val="center"/>
        <w:rPr>
          <w:rFonts w:hint="eastAsia" w:ascii="宋体" w:hAnsi="宋体" w:eastAsia="宋体" w:cs="宋体"/>
          <w:b/>
          <w:bCs/>
          <w:sz w:val="28"/>
          <w:szCs w:val="28"/>
          <w:lang w:eastAsia="zh-CN"/>
        </w:rPr>
      </w:pPr>
    </w:p>
    <w:p w14:paraId="14FEC129">
      <w:pPr>
        <w:keepNext w:val="0"/>
        <w:keepLines w:val="0"/>
        <w:widowControl/>
        <w:suppressLineNumbers w:val="0"/>
        <w:spacing w:before="0" w:beforeAutospacing="1" w:after="0" w:afterAutospacing="1" w:line="600" w:lineRule="exact"/>
        <w:ind w:left="0" w:right="0"/>
        <w:jc w:val="center"/>
      </w:pPr>
      <w:r>
        <w:rPr>
          <w:rFonts w:hint="eastAsia" w:ascii="宋体" w:hAnsi="宋体" w:eastAsia="宋体" w:cs="宋体"/>
          <w:b/>
          <w:bCs/>
          <w:sz w:val="28"/>
          <w:szCs w:val="28"/>
        </w:rPr>
        <w:t>商务部分</w:t>
      </w:r>
    </w:p>
    <w:p w14:paraId="039BC9C9">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sz w:val="28"/>
          <w:szCs w:val="28"/>
          <w:lang w:eastAsia="zh-CN"/>
        </w:rPr>
      </w:pPr>
      <w:r>
        <w:rPr>
          <w:rFonts w:hint="eastAsia" w:ascii="宋体" w:hAnsi="宋体" w:eastAsia="宋体" w:cs="宋体"/>
          <w:b/>
          <w:bCs w:val="0"/>
          <w:sz w:val="28"/>
          <w:szCs w:val="28"/>
        </w:rPr>
        <w:t xml:space="preserve">第一条 </w:t>
      </w:r>
      <w:r>
        <w:rPr>
          <w:rFonts w:hint="eastAsia" w:ascii="宋体" w:hAnsi="宋体" w:eastAsia="宋体" w:cs="宋体"/>
          <w:sz w:val="28"/>
          <w:szCs w:val="28"/>
        </w:rPr>
        <w:t>项目内容及要求</w:t>
      </w:r>
    </w:p>
    <w:p w14:paraId="733B1FA5">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b/>
          <w:bCs/>
          <w:sz w:val="28"/>
          <w:szCs w:val="28"/>
          <w:lang w:eastAsia="zh-CN"/>
        </w:rPr>
      </w:pPr>
      <w:r>
        <w:rPr>
          <w:rFonts w:hint="eastAsia" w:ascii="宋体" w:hAnsi="宋体" w:eastAsia="宋体" w:cs="宋体"/>
          <w:b/>
          <w:bCs/>
          <w:sz w:val="28"/>
          <w:szCs w:val="28"/>
        </w:rPr>
        <w:t>项目内容及要求</w:t>
      </w:r>
    </w:p>
    <w:p w14:paraId="56E6DDF0">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本合同项下甲乙双方约定的项目内容及要求见本合同【附件】。</w:t>
      </w:r>
    </w:p>
    <w:p w14:paraId="138D1AB7">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b/>
          <w:bCs w:val="0"/>
          <w:sz w:val="28"/>
          <w:szCs w:val="28"/>
        </w:rPr>
        <w:t xml:space="preserve">第二条 </w:t>
      </w:r>
      <w:r>
        <w:rPr>
          <w:rFonts w:hint="eastAsia" w:ascii="宋体" w:hAnsi="宋体" w:eastAsia="宋体" w:cs="宋体"/>
          <w:b/>
          <w:bCs/>
          <w:sz w:val="28"/>
          <w:szCs w:val="28"/>
        </w:rPr>
        <w:t>合同价格</w:t>
      </w:r>
    </w:p>
    <w:p w14:paraId="099D47A9">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（一） 本合同服务费用总额为_______元（大写_______）。合同价格明细见【附件】。</w:t>
      </w:r>
    </w:p>
    <w:p w14:paraId="7F41F662">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（二）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14:paraId="6909A8CA">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（三） 本合同付款安排见【附件】。</w:t>
      </w:r>
    </w:p>
    <w:p w14:paraId="6C612E8C">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（四） 由于乙方未提供或未及时提供足额有效的增值税专用发票，或乙方变更账户信息但未提前通知甲方而导致的付款迟延，甲方不承担任何责任。</w:t>
      </w:r>
    </w:p>
    <w:p w14:paraId="02DF97C2">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（五） ......</w:t>
      </w:r>
    </w:p>
    <w:p w14:paraId="3D548A56">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sz w:val="28"/>
          <w:szCs w:val="28"/>
          <w:lang w:eastAsia="zh-CN"/>
        </w:rPr>
      </w:pPr>
      <w:r>
        <w:rPr>
          <w:rFonts w:hint="eastAsia" w:ascii="宋体" w:hAnsi="宋体" w:eastAsia="宋体" w:cs="宋体"/>
          <w:b/>
          <w:bCs w:val="0"/>
          <w:sz w:val="28"/>
          <w:szCs w:val="28"/>
        </w:rPr>
        <w:t xml:space="preserve">第三条 </w:t>
      </w:r>
      <w:r>
        <w:rPr>
          <w:rFonts w:hint="eastAsia" w:ascii="宋体" w:hAnsi="宋体" w:eastAsia="宋体" w:cs="宋体"/>
          <w:sz w:val="28"/>
          <w:szCs w:val="28"/>
        </w:rPr>
        <w:t>双方的权利和义务</w:t>
      </w:r>
    </w:p>
    <w:p w14:paraId="7373AA46">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b/>
          <w:bCs/>
          <w:sz w:val="28"/>
          <w:szCs w:val="28"/>
          <w:lang w:eastAsia="zh-CN"/>
        </w:rPr>
      </w:pPr>
      <w:r>
        <w:rPr>
          <w:rFonts w:hint="eastAsia" w:ascii="宋体" w:hAnsi="宋体" w:eastAsia="宋体" w:cs="宋体"/>
          <w:b/>
          <w:bCs/>
          <w:sz w:val="28"/>
          <w:szCs w:val="28"/>
        </w:rPr>
        <w:t>双方的权利和义务</w:t>
      </w:r>
    </w:p>
    <w:p w14:paraId="6C4650E4">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除本合同约定的双方的权利义务外，甲乙双方在本合同项下的其他权利和义务见【附件】的约定。</w:t>
      </w:r>
    </w:p>
    <w:p w14:paraId="2C6CE660">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sz w:val="28"/>
          <w:szCs w:val="28"/>
          <w:lang w:eastAsia="zh-CN"/>
        </w:rPr>
      </w:pPr>
      <w:r>
        <w:rPr>
          <w:rFonts w:hint="eastAsia" w:ascii="宋体" w:hAnsi="宋体" w:eastAsia="宋体" w:cs="宋体"/>
          <w:b/>
          <w:bCs w:val="0"/>
          <w:sz w:val="28"/>
          <w:szCs w:val="28"/>
        </w:rPr>
        <w:t xml:space="preserve">第四条 </w:t>
      </w:r>
      <w:r>
        <w:rPr>
          <w:rFonts w:hint="eastAsia" w:ascii="宋体" w:hAnsi="宋体" w:eastAsia="宋体" w:cs="宋体"/>
          <w:sz w:val="28"/>
          <w:szCs w:val="28"/>
        </w:rPr>
        <w:t>违约责任</w:t>
      </w:r>
    </w:p>
    <w:p w14:paraId="08F2A97A">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b/>
          <w:bCs/>
          <w:sz w:val="28"/>
          <w:szCs w:val="28"/>
          <w:lang w:eastAsia="zh-CN"/>
        </w:rPr>
      </w:pPr>
      <w:r>
        <w:rPr>
          <w:rFonts w:hint="eastAsia" w:ascii="宋体" w:hAnsi="宋体" w:eastAsia="宋体" w:cs="宋体"/>
          <w:b/>
          <w:bCs/>
          <w:sz w:val="28"/>
          <w:szCs w:val="28"/>
        </w:rPr>
        <w:t>违约责任</w:t>
      </w:r>
    </w:p>
    <w:p w14:paraId="3F366A62">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甲、乙任一方或双方违约的，违约一方应当向相对方承担相应的违约责任。违约责任的具体约定见【附件】。</w:t>
      </w:r>
    </w:p>
    <w:p w14:paraId="6E1FA86E">
      <w:pPr>
        <w:keepNext w:val="0"/>
        <w:keepLines w:val="0"/>
        <w:widowControl/>
        <w:suppressLineNumbers w:val="0"/>
        <w:spacing w:before="0" w:beforeAutospacing="1" w:after="0" w:afterAutospacing="1" w:line="600" w:lineRule="exact"/>
        <w:ind w:left="0" w:right="0"/>
        <w:jc w:val="center"/>
      </w:pPr>
      <w:r>
        <w:rPr>
          <w:rFonts w:hint="eastAsia" w:ascii="宋体" w:hAnsi="宋体" w:eastAsia="宋体" w:cs="宋体"/>
          <w:b/>
          <w:bCs/>
          <w:sz w:val="28"/>
          <w:szCs w:val="28"/>
        </w:rPr>
        <w:t>通用部分</w:t>
      </w:r>
    </w:p>
    <w:p w14:paraId="21E049E7">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b/>
          <w:bCs w:val="0"/>
          <w:sz w:val="28"/>
          <w:szCs w:val="28"/>
        </w:rPr>
        <w:t xml:space="preserve">第五条 </w:t>
      </w:r>
      <w:r>
        <w:rPr>
          <w:rFonts w:hint="eastAsia" w:ascii="宋体" w:hAnsi="宋体" w:eastAsia="宋体" w:cs="宋体"/>
          <w:b/>
          <w:bCs/>
          <w:sz w:val="28"/>
          <w:szCs w:val="28"/>
        </w:rPr>
        <w:t>双方的权利和义务</w:t>
      </w:r>
    </w:p>
    <w:p w14:paraId="1742F5BC">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sz w:val="28"/>
          <w:szCs w:val="28"/>
          <w:lang w:eastAsia="zh-CN"/>
        </w:rPr>
      </w:pPr>
      <w:r>
        <w:rPr>
          <w:rFonts w:hint="eastAsia" w:ascii="宋体" w:hAnsi="宋体" w:eastAsia="宋体" w:cs="宋体"/>
          <w:sz w:val="28"/>
          <w:szCs w:val="28"/>
        </w:rPr>
        <w:t>（一） 甲方的权利和义务</w:t>
      </w:r>
    </w:p>
    <w:p w14:paraId="5D8FA9B6">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sz w:val="28"/>
          <w:szCs w:val="28"/>
          <w:lang w:eastAsia="zh-CN"/>
        </w:rPr>
      </w:pPr>
      <w:r>
        <w:rPr>
          <w:rFonts w:hint="eastAsia" w:ascii="宋体" w:hAnsi="宋体" w:eastAsia="宋体" w:cs="宋体"/>
          <w:sz w:val="28"/>
          <w:szCs w:val="28"/>
        </w:rPr>
        <w:t>（1）甲方有权获得本合同项下乙方应提供的全部合格的服务；</w:t>
      </w:r>
    </w:p>
    <w:p w14:paraId="2158186F">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sz w:val="28"/>
          <w:szCs w:val="28"/>
          <w:lang w:eastAsia="zh-CN"/>
        </w:rPr>
      </w:pPr>
      <w:r>
        <w:rPr>
          <w:rFonts w:hint="eastAsia" w:ascii="宋体" w:hAnsi="宋体" w:eastAsia="宋体" w:cs="宋体"/>
          <w:sz w:val="28"/>
          <w:szCs w:val="28"/>
        </w:rPr>
        <w:t>（2）甲方有权在合同期内对乙方的产品及服务进行监督；</w:t>
      </w:r>
    </w:p>
    <w:p w14:paraId="0A165C0B">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sz w:val="28"/>
          <w:szCs w:val="28"/>
          <w:lang w:eastAsia="zh-CN"/>
        </w:rPr>
      </w:pPr>
      <w:r>
        <w:rPr>
          <w:rFonts w:hint="eastAsia" w:ascii="宋体" w:hAnsi="宋体" w:eastAsia="宋体" w:cs="宋体"/>
          <w:sz w:val="28"/>
          <w:szCs w:val="28"/>
        </w:rPr>
        <w:t>（3）乙方未按照合同约定履行义务的，甲方有权采取相应的措施；</w:t>
      </w:r>
    </w:p>
    <w:p w14:paraId="20483D77">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sz w:val="28"/>
          <w:szCs w:val="28"/>
          <w:lang w:eastAsia="zh-CN"/>
        </w:rPr>
      </w:pPr>
      <w:r>
        <w:rPr>
          <w:rFonts w:hint="eastAsia" w:ascii="宋体" w:hAnsi="宋体" w:eastAsia="宋体" w:cs="宋体"/>
          <w:sz w:val="28"/>
          <w:szCs w:val="28"/>
        </w:rPr>
        <w:t>（4）甲方应按照合同约定向乙方支付合同价款；</w:t>
      </w:r>
    </w:p>
    <w:p w14:paraId="67BA791F">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（5）甲方享有其它双方约定的权利、承担其它双方约定的义务。</w:t>
      </w:r>
    </w:p>
    <w:p w14:paraId="498BBD6E">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（二） ......</w:t>
      </w:r>
    </w:p>
    <w:p w14:paraId="264F535B">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sz w:val="28"/>
          <w:szCs w:val="28"/>
          <w:lang w:eastAsia="zh-CN"/>
        </w:rPr>
      </w:pPr>
      <w:r>
        <w:rPr>
          <w:rFonts w:hint="eastAsia" w:ascii="宋体" w:hAnsi="宋体" w:eastAsia="宋体" w:cs="宋体"/>
          <w:sz w:val="28"/>
          <w:szCs w:val="28"/>
        </w:rPr>
        <w:t>（三） 乙方的权利和义务</w:t>
      </w:r>
    </w:p>
    <w:p w14:paraId="3BA2E689">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sz w:val="28"/>
          <w:szCs w:val="28"/>
          <w:lang w:eastAsia="zh-CN"/>
        </w:rPr>
      </w:pPr>
      <w:r>
        <w:rPr>
          <w:rFonts w:hint="eastAsia" w:ascii="宋体" w:hAnsi="宋体" w:eastAsia="宋体" w:cs="宋体"/>
          <w:sz w:val="28"/>
          <w:szCs w:val="28"/>
        </w:rPr>
        <w:t>（1）乙方有权获得甲方支付的合同价款；</w:t>
      </w:r>
    </w:p>
    <w:p w14:paraId="190FD6B5">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sz w:val="28"/>
          <w:szCs w:val="28"/>
          <w:lang w:eastAsia="zh-CN"/>
        </w:rPr>
      </w:pPr>
      <w:r>
        <w:rPr>
          <w:rFonts w:hint="eastAsia" w:ascii="宋体" w:hAnsi="宋体" w:eastAsia="宋体" w:cs="宋体"/>
          <w:sz w:val="28"/>
          <w:szCs w:val="28"/>
        </w:rPr>
        <w:t>（2）乙方应按照合同约定向甲方提供全部合格的服务；</w:t>
      </w:r>
    </w:p>
    <w:p w14:paraId="335C71BD">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sz w:val="28"/>
          <w:szCs w:val="28"/>
          <w:lang w:eastAsia="zh-CN"/>
        </w:rPr>
      </w:pPr>
      <w:r>
        <w:rPr>
          <w:rFonts w:hint="eastAsia" w:ascii="宋体" w:hAnsi="宋体" w:eastAsia="宋体" w:cs="宋体"/>
          <w:sz w:val="28"/>
          <w:szCs w:val="28"/>
        </w:rPr>
        <w:t>（3）乙方应当按照合同约定的期限及要求完成项目内容；</w:t>
      </w:r>
    </w:p>
    <w:p w14:paraId="772DB600">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sz w:val="28"/>
          <w:szCs w:val="28"/>
          <w:lang w:eastAsia="zh-CN"/>
        </w:rPr>
      </w:pPr>
      <w:r>
        <w:rPr>
          <w:rFonts w:hint="eastAsia" w:ascii="宋体" w:hAnsi="宋体" w:eastAsia="宋体" w:cs="宋体"/>
          <w:sz w:val="28"/>
          <w:szCs w:val="28"/>
        </w:rPr>
        <w:t>（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p>
    <w:p w14:paraId="47435E8B">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（5）乙方享有其它双方约定的权利、承担其它双方约定的义务。</w:t>
      </w:r>
    </w:p>
    <w:p w14:paraId="4A6A6C0F">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（四） ......</w:t>
      </w:r>
    </w:p>
    <w:p w14:paraId="17082660">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sz w:val="28"/>
          <w:szCs w:val="28"/>
          <w:lang w:eastAsia="zh-CN"/>
        </w:rPr>
      </w:pPr>
      <w:r>
        <w:rPr>
          <w:rFonts w:hint="eastAsia" w:ascii="宋体" w:hAnsi="宋体" w:eastAsia="宋体" w:cs="宋体"/>
          <w:b/>
          <w:bCs w:val="0"/>
          <w:sz w:val="28"/>
          <w:szCs w:val="28"/>
        </w:rPr>
        <w:t xml:space="preserve">第六条 </w:t>
      </w:r>
      <w:r>
        <w:rPr>
          <w:rFonts w:hint="eastAsia" w:ascii="宋体" w:hAnsi="宋体" w:eastAsia="宋体" w:cs="宋体"/>
          <w:sz w:val="28"/>
          <w:szCs w:val="28"/>
        </w:rPr>
        <w:t>数据安全</w:t>
      </w:r>
    </w:p>
    <w:p w14:paraId="54A374B5">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sz w:val="28"/>
          <w:szCs w:val="28"/>
          <w:lang w:eastAsia="zh-CN"/>
        </w:rPr>
      </w:pPr>
    </w:p>
    <w:p w14:paraId="37D35D1E">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b/>
          <w:bCs/>
          <w:sz w:val="28"/>
          <w:szCs w:val="28"/>
        </w:rPr>
        <w:t>数据安全（接收外部数据和对外传输数据）</w:t>
      </w:r>
    </w:p>
    <w:p w14:paraId="386C8D97">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sz w:val="28"/>
          <w:szCs w:val="28"/>
          <w:lang w:eastAsia="zh-CN"/>
        </w:rPr>
      </w:pPr>
    </w:p>
    <w:p w14:paraId="330C4328">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一）涉及个人信息的，乙方应承诺其已获得信息主体本人的书面授权或者法律效力等同于书面授权的其他授权方式。该授权应当明确载明信息主体同意授权乙方向甲方提供其信息，并开展数据处理活动；及转授权甲方向第三方机构_______提供其信息/或委托第三方机构_______处理其信息，并开展数据处理活动。</w:t>
      </w:r>
    </w:p>
    <w:p w14:paraId="631540E4">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sz w:val="28"/>
          <w:szCs w:val="28"/>
          <w:lang w:eastAsia="zh-CN"/>
        </w:rPr>
      </w:pPr>
    </w:p>
    <w:p w14:paraId="0F6D96B2">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1.乙方应妥善留存信息主体的授权文件，甲方如须对乙方的授权文件进行抽查、核查、备份时，乙方应予配合。</w:t>
      </w:r>
    </w:p>
    <w:p w14:paraId="7E85789E">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sz w:val="28"/>
          <w:szCs w:val="28"/>
          <w:lang w:eastAsia="zh-CN"/>
        </w:rPr>
      </w:pPr>
    </w:p>
    <w:p w14:paraId="18371779">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2.乙方在获得信息主体的相关授权之前，有义务告知信息主体其对个人信息的处理目的、处理方式、个人信息种类、保存期限、行使个人信息相关权利的方式和程序，并向信息主体告知甲方的姓名、联系方式、处理目的、处理方式和个人信息的种类，取得信息主体的单独同意；涉及敏感个人信息的，还应当向信息主体告知处理敏感个人信息的必要性以及对个人权益的影响，法律、行政法规另有规定的除外。</w:t>
      </w:r>
    </w:p>
    <w:p w14:paraId="3761560A">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sz w:val="28"/>
          <w:szCs w:val="28"/>
          <w:lang w:eastAsia="zh-CN"/>
        </w:rPr>
      </w:pPr>
    </w:p>
    <w:p w14:paraId="0AF4FC57">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3.乙方需取得信息主体在充分知情的前提下自愿、明确作出的合法有效授权。乙方与信息主体因授权、使用信息等问题引起的争议与甲方无关。</w:t>
      </w:r>
    </w:p>
    <w:p w14:paraId="3683EFFD">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sz w:val="28"/>
          <w:szCs w:val="28"/>
          <w:lang w:eastAsia="zh-CN"/>
        </w:rPr>
      </w:pPr>
    </w:p>
    <w:p w14:paraId="13C7BFDD">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（二）涉及非个人信息的，乙方承诺其提供数据来源的合法合规性；且不涉及第三方商业秘密且已获得数据所有权、使用权人的合法授权。</w:t>
      </w:r>
    </w:p>
    <w:p w14:paraId="25B8A1B3">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sz w:val="28"/>
          <w:szCs w:val="28"/>
          <w:lang w:eastAsia="zh-CN"/>
        </w:rPr>
      </w:pPr>
    </w:p>
    <w:p w14:paraId="7BD8DCD4">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三）涉及公开信息爬取的，乙方应承诺数据来源合法，包括：明确爬虫行为已遵循ROBOTS协议、不存在规避或破解被爬取网站反爬虫措施的行为、承诺不存在其他《中华人民共和国反不正当竞争法》等法律法规禁止的行为。</w:t>
      </w:r>
    </w:p>
    <w:p w14:paraId="40D15AA8">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sz w:val="28"/>
          <w:szCs w:val="28"/>
          <w:lang w:eastAsia="zh-CN"/>
        </w:rPr>
      </w:pPr>
    </w:p>
    <w:p w14:paraId="434F672E">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（四）双方数据处理活动的地域限于中国境内（为本合同履行之目的，不包含香港、澳门、台湾地区），不得将数据传输至境外。</w:t>
      </w:r>
    </w:p>
    <w:p w14:paraId="7F0787AD">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sz w:val="28"/>
          <w:szCs w:val="28"/>
          <w:lang w:eastAsia="zh-CN"/>
        </w:rPr>
      </w:pPr>
    </w:p>
    <w:p w14:paraId="79A24DD5">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（五）乙方应当按照合同约定使用数据，遵循最小化原则。乙方应保证数据及信息的处理(包括收集、存储、使用、加工、传输、提供、公开、删除等)的安全，防止数据及信息被篡改或丢失、泄漏。</w:t>
      </w:r>
    </w:p>
    <w:p w14:paraId="7E983592">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sz w:val="28"/>
          <w:szCs w:val="28"/>
          <w:lang w:eastAsia="zh-CN"/>
        </w:rPr>
      </w:pPr>
    </w:p>
    <w:p w14:paraId="1BF7127C">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（六）乙方应保证数据使用不以垄断经营和不正当竞争为目的，不发生误导、欺诈、胁迫或者干扰等限制个人或者组织正当选择与决策的行为，遵循社会公德伦理。</w:t>
      </w:r>
    </w:p>
    <w:p w14:paraId="0A6EF6B1">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sz w:val="28"/>
          <w:szCs w:val="28"/>
          <w:lang w:eastAsia="zh-CN"/>
        </w:rPr>
      </w:pPr>
    </w:p>
    <w:p w14:paraId="01F1119C">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七）甲方有权对乙方处理涉及甲方业务及甲方传输的信息有关事宜进行监督。同时，乙方应建立《数据安全突发事件应急预案》，确定数据安全突发事件应急联系人。甲方所提供的数据发生安全事件后，乙方应启动应急预案进行处置，并将相关情况第一时间告知甲方。处置后两个工作日内，乙方将事件处置的评估总结和改进措施告知甲方。</w:t>
      </w:r>
    </w:p>
    <w:p w14:paraId="44DE4E48">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sz w:val="28"/>
          <w:szCs w:val="28"/>
          <w:lang w:eastAsia="zh-CN"/>
        </w:rPr>
      </w:pPr>
    </w:p>
    <w:p w14:paraId="2205A40B">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（八）数据及信息的保存期限应符合实现本协议业务处理目的所必要的最短时间。乙方应在合作期满或终止后，及时删除各种介质上所存储的甲方提供的数据及信息。</w:t>
      </w:r>
    </w:p>
    <w:p w14:paraId="2A19A94F">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sz w:val="28"/>
          <w:szCs w:val="28"/>
          <w:lang w:eastAsia="zh-CN"/>
        </w:rPr>
      </w:pPr>
    </w:p>
    <w:p w14:paraId="1C1B79D9">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九）对数据及信息的处理(包括收集、存储、使用、加工、传输、提供、公开、删除等)仅在中华人民共和国境内（为本合同履行之目的，不包含香港、澳门、台湾地区），除非得到甲方事先书面同意，乙方不得使用、披露、分发或流传给任何第三人，但法律、行政法规另有规定的除外。</w:t>
      </w:r>
    </w:p>
    <w:p w14:paraId="6A41A88C">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sz w:val="28"/>
          <w:szCs w:val="28"/>
          <w:lang w:eastAsia="zh-CN"/>
        </w:rPr>
      </w:pPr>
    </w:p>
    <w:p w14:paraId="52A64A17">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sz w:val="28"/>
          <w:szCs w:val="28"/>
          <w:lang w:eastAsia="zh-CN"/>
        </w:rPr>
      </w:pPr>
      <w:r>
        <w:rPr>
          <w:rFonts w:hint="eastAsia" w:ascii="宋体" w:hAnsi="宋体" w:eastAsia="宋体" w:cs="宋体"/>
          <w:sz w:val="28"/>
          <w:szCs w:val="28"/>
        </w:rPr>
        <w:t>（十）若需开展数据测试，乙方的测试环境应与生产系统隔离，未经脱敏处理不得进入测试环境。</w:t>
      </w:r>
    </w:p>
    <w:p w14:paraId="0A3A5947">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b/>
          <w:bCs/>
          <w:sz w:val="28"/>
          <w:szCs w:val="28"/>
        </w:rPr>
        <w:t>数据安全（接收外部数据）</w:t>
      </w:r>
    </w:p>
    <w:p w14:paraId="3914BA5F">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sz w:val="28"/>
          <w:szCs w:val="28"/>
          <w:lang w:eastAsia="zh-CN"/>
        </w:rPr>
      </w:pPr>
    </w:p>
    <w:p w14:paraId="40544A61">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一）涉及个人信息的，乙方应承诺其已获得信息主体本人的书面授权或者法律效力等同于书面授权的其他授权方式。该授权应当明确载明信息主体同意授权乙方向甲方提供其信息，并开展数据处理活动；及转授权甲方向第三方机构_______提供其信息/或委托第三方机构_______处理其信息，并开展数据处理活动。</w:t>
      </w:r>
    </w:p>
    <w:p w14:paraId="38488852">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sz w:val="28"/>
          <w:szCs w:val="28"/>
          <w:lang w:eastAsia="zh-CN"/>
        </w:rPr>
      </w:pPr>
    </w:p>
    <w:p w14:paraId="4BEEC1B2">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1.乙方应妥善留存信息主体的授权文件，甲方如须对乙方的授权文件进行抽查、核查、备份时，乙方应予配合。</w:t>
      </w:r>
    </w:p>
    <w:p w14:paraId="441FBD88">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sz w:val="28"/>
          <w:szCs w:val="28"/>
          <w:lang w:eastAsia="zh-CN"/>
        </w:rPr>
      </w:pPr>
    </w:p>
    <w:p w14:paraId="3772F3D2">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2.乙方在获得信息主体的相关授权之前，有义务告知信息主体其对个人信息的处理目的、处理方式、个人信息种类、保存期限、行使个人信息相关权利的方式和程序，并向信息主体告知甲方的姓名、联系方式、处理目的、处理方式和个人信息的种类，取得信息主体的单独同意；涉及敏感个人信息的，还应当向信息主体告知处理敏感个人信息的必要性以及对个人权益的影响，法律、行政法规另有规定的除外。</w:t>
      </w:r>
    </w:p>
    <w:p w14:paraId="2E4F59CE">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sz w:val="28"/>
          <w:szCs w:val="28"/>
          <w:lang w:eastAsia="zh-CN"/>
        </w:rPr>
      </w:pPr>
    </w:p>
    <w:p w14:paraId="089593F0">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3.乙方需取得信息主体在充分知情的前提下自愿、明确作出的合法有效授权。乙方与信息主体因授权、使用信息等问题引起的争议与甲方无关。</w:t>
      </w:r>
    </w:p>
    <w:p w14:paraId="129BE201">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sz w:val="28"/>
          <w:szCs w:val="28"/>
          <w:lang w:eastAsia="zh-CN"/>
        </w:rPr>
      </w:pPr>
    </w:p>
    <w:p w14:paraId="05068525">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（二）涉及非个人信息的，乙方承诺其提供数据来源的合法合规性；且不涉及第三方商业秘密且已获得数据所有权、使用权人的合法授权。</w:t>
      </w:r>
    </w:p>
    <w:p w14:paraId="276ACB7A">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sz w:val="28"/>
          <w:szCs w:val="28"/>
          <w:lang w:eastAsia="zh-CN"/>
        </w:rPr>
      </w:pPr>
    </w:p>
    <w:p w14:paraId="0E911F5F">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三）涉及公开信息爬取的，乙方应承诺数据来源合法，包括：明确爬虫行为已遵循ROBOTS协议、不存在规避或破解被爬取网站反爬虫措施的行为、承诺不存在其他《中华人民共和国反不正当竞争法》等法律法规禁止的行为。</w:t>
      </w:r>
    </w:p>
    <w:p w14:paraId="049A495A">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sz w:val="28"/>
          <w:szCs w:val="28"/>
          <w:lang w:eastAsia="zh-CN"/>
        </w:rPr>
      </w:pPr>
    </w:p>
    <w:p w14:paraId="22F2A273">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sz w:val="28"/>
          <w:szCs w:val="28"/>
          <w:lang w:eastAsia="zh-CN"/>
        </w:rPr>
      </w:pPr>
      <w:r>
        <w:rPr>
          <w:rFonts w:hint="eastAsia" w:ascii="宋体" w:hAnsi="宋体" w:eastAsia="宋体" w:cs="宋体"/>
          <w:sz w:val="28"/>
          <w:szCs w:val="28"/>
        </w:rPr>
        <w:t>（四）双方数据处理活动的地域限于中国境内（为本合同履行之目的，不包含香港、澳门、台湾地区），不得将数据传输至境外。</w:t>
      </w:r>
    </w:p>
    <w:p w14:paraId="6B974F7B">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b/>
          <w:bCs/>
          <w:sz w:val="28"/>
          <w:szCs w:val="28"/>
        </w:rPr>
        <w:t>数据安全（对外传输数据）</w:t>
      </w:r>
    </w:p>
    <w:p w14:paraId="22D9F3EC">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sz w:val="28"/>
          <w:szCs w:val="28"/>
          <w:lang w:eastAsia="zh-CN"/>
        </w:rPr>
      </w:pPr>
    </w:p>
    <w:p w14:paraId="2F6D5655">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（一）乙方应当按照合同约定使用数据，遵循最小化原则。乙方应保证数据及信息的处理(包括收集、存储、使用、加工、传输、提供、公开、删除等)的安全，防止数据及信息被篡改或丢失、泄漏。</w:t>
      </w:r>
    </w:p>
    <w:p w14:paraId="497091A8">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sz w:val="28"/>
          <w:szCs w:val="28"/>
          <w:lang w:eastAsia="zh-CN"/>
        </w:rPr>
      </w:pPr>
    </w:p>
    <w:p w14:paraId="10A803A1">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（二）乙方应保证数据使用不以垄断经营和不正当竞争为目的，不发生误导、欺诈、胁迫或者干扰等限制个人或者组织正当选择与决策的行为，遵循社会公德伦理。</w:t>
      </w:r>
    </w:p>
    <w:p w14:paraId="09C17DF8">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sz w:val="28"/>
          <w:szCs w:val="28"/>
          <w:lang w:eastAsia="zh-CN"/>
        </w:rPr>
      </w:pPr>
    </w:p>
    <w:p w14:paraId="0B8A770D">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三）甲方有权对乙方处理涉及甲方业务及甲方传输的信息有关事宜进行监督。同时，乙方应建立《数据安全突发事件应急预案》，确定数据安全突发事件应急联系人。甲方所提供的数据发生安全事件后，乙方应启动应急预案进行处置，并将相关情况第一时间告知甲方。处置后两个工作日内，乙方将事件处置的评估总结和改进措施告知甲方。</w:t>
      </w:r>
    </w:p>
    <w:p w14:paraId="6437DD2E">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sz w:val="28"/>
          <w:szCs w:val="28"/>
          <w:lang w:eastAsia="zh-CN"/>
        </w:rPr>
      </w:pPr>
    </w:p>
    <w:p w14:paraId="397F4C94">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（四）数据及信息的保存期限应符合实现本协议业务处理目的所必要的最短时间。乙方应在合作期满或终止后，及时删除各种介质上所存储的甲方提供的数据及信息。</w:t>
      </w:r>
    </w:p>
    <w:p w14:paraId="6F7840DC">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sz w:val="28"/>
          <w:szCs w:val="28"/>
          <w:lang w:eastAsia="zh-CN"/>
        </w:rPr>
      </w:pPr>
    </w:p>
    <w:p w14:paraId="61B67B7B">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五）对数据及信息的处理(包括收集、存储、使用、加工、传输、提供、公开、删除等)仅在中华人民共和国境内（为本合同履行之目的，不包含香港、澳门、台湾地区），除非得到甲方事先书面同意，乙方不得使用、披露、分发或流传给任何第三人，但法律、行政法规另有规定的除外。</w:t>
      </w:r>
    </w:p>
    <w:p w14:paraId="7312537D">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sz w:val="28"/>
          <w:szCs w:val="28"/>
          <w:lang w:eastAsia="zh-CN"/>
        </w:rPr>
      </w:pPr>
    </w:p>
    <w:p w14:paraId="610432CB">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（六）若需开展数据测试，乙方的测试环境应与生产系统隔离，未经脱敏处理不得进入测试环境。</w:t>
      </w:r>
    </w:p>
    <w:p w14:paraId="349726CA">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sz w:val="28"/>
          <w:szCs w:val="28"/>
          <w:lang w:eastAsia="zh-CN"/>
        </w:rPr>
      </w:pPr>
      <w:r>
        <w:rPr>
          <w:rFonts w:hint="eastAsia" w:ascii="宋体" w:hAnsi="宋体" w:eastAsia="宋体" w:cs="宋体"/>
          <w:b/>
          <w:bCs w:val="0"/>
          <w:sz w:val="28"/>
          <w:szCs w:val="28"/>
        </w:rPr>
        <w:t xml:space="preserve">第七条 </w:t>
      </w:r>
      <w:r>
        <w:rPr>
          <w:rFonts w:hint="eastAsia" w:ascii="宋体" w:hAnsi="宋体" w:eastAsia="宋体" w:cs="宋体"/>
          <w:sz w:val="28"/>
          <w:szCs w:val="28"/>
        </w:rPr>
        <w:t>禁止转让</w:t>
      </w:r>
    </w:p>
    <w:p w14:paraId="27723EC4">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b/>
          <w:bCs/>
          <w:sz w:val="28"/>
          <w:szCs w:val="28"/>
          <w:lang w:eastAsia="zh-CN"/>
        </w:rPr>
      </w:pPr>
      <w:r>
        <w:rPr>
          <w:rFonts w:hint="eastAsia" w:ascii="宋体" w:hAnsi="宋体" w:eastAsia="宋体" w:cs="宋体"/>
          <w:b/>
          <w:bCs/>
          <w:sz w:val="28"/>
          <w:szCs w:val="28"/>
        </w:rPr>
        <w:t>禁止转让</w:t>
      </w:r>
    </w:p>
    <w:p w14:paraId="3D802051">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未经甲方事先书面同意，乙方不得将其本合同项下之全部义务或其中一部分义务转让给第三方执行。</w:t>
      </w:r>
    </w:p>
    <w:p w14:paraId="7A468662">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sz w:val="28"/>
          <w:szCs w:val="28"/>
          <w:lang w:eastAsia="zh-CN"/>
        </w:rPr>
      </w:pPr>
      <w:r>
        <w:rPr>
          <w:rFonts w:hint="eastAsia" w:ascii="宋体" w:hAnsi="宋体" w:eastAsia="宋体" w:cs="宋体"/>
          <w:b/>
          <w:bCs w:val="0"/>
          <w:sz w:val="28"/>
          <w:szCs w:val="28"/>
        </w:rPr>
        <w:t xml:space="preserve">第八条 </w:t>
      </w:r>
      <w:r>
        <w:rPr>
          <w:rFonts w:hint="eastAsia" w:ascii="宋体" w:hAnsi="宋体" w:eastAsia="宋体" w:cs="宋体"/>
          <w:sz w:val="28"/>
          <w:szCs w:val="28"/>
        </w:rPr>
        <w:t>商标使用</w:t>
      </w:r>
    </w:p>
    <w:p w14:paraId="40B86FF7">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b/>
          <w:bCs/>
          <w:sz w:val="28"/>
          <w:szCs w:val="28"/>
          <w:lang w:eastAsia="zh-CN"/>
        </w:rPr>
      </w:pPr>
      <w:r>
        <w:rPr>
          <w:rFonts w:hint="eastAsia" w:ascii="宋体" w:hAnsi="宋体" w:eastAsia="宋体" w:cs="宋体"/>
          <w:b/>
          <w:bCs/>
          <w:sz w:val="28"/>
          <w:szCs w:val="28"/>
        </w:rPr>
        <w:t>商标使用</w:t>
      </w:r>
    </w:p>
    <w:p w14:paraId="31E1F332">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未经甲方书面许可，乙方不得将甲方的商标、公司名称、标识等用于宣传和/或展示。</w:t>
      </w:r>
    </w:p>
    <w:p w14:paraId="3E4984E6">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sz w:val="28"/>
          <w:szCs w:val="28"/>
          <w:lang w:eastAsia="zh-CN"/>
        </w:rPr>
      </w:pPr>
      <w:r>
        <w:rPr>
          <w:rFonts w:hint="eastAsia" w:ascii="宋体" w:hAnsi="宋体" w:eastAsia="宋体" w:cs="宋体"/>
          <w:b/>
          <w:bCs w:val="0"/>
          <w:sz w:val="28"/>
          <w:szCs w:val="28"/>
        </w:rPr>
        <w:t xml:space="preserve">第九条 </w:t>
      </w:r>
      <w:r>
        <w:rPr>
          <w:rFonts w:hint="eastAsia" w:ascii="宋体" w:hAnsi="宋体" w:eastAsia="宋体" w:cs="宋体"/>
          <w:sz w:val="28"/>
          <w:szCs w:val="28"/>
        </w:rPr>
        <w:t>权利保证</w:t>
      </w:r>
    </w:p>
    <w:p w14:paraId="5ADA3B9F">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b/>
          <w:bCs/>
          <w:sz w:val="28"/>
          <w:szCs w:val="28"/>
          <w:lang w:eastAsia="zh-CN"/>
        </w:rPr>
      </w:pPr>
      <w:r>
        <w:rPr>
          <w:rFonts w:hint="eastAsia" w:ascii="宋体" w:hAnsi="宋体" w:eastAsia="宋体" w:cs="宋体"/>
          <w:b/>
          <w:bCs/>
          <w:sz w:val="28"/>
          <w:szCs w:val="28"/>
        </w:rPr>
        <w:t>权利保证</w:t>
      </w:r>
    </w:p>
    <w:p w14:paraId="456D1CA3">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14:paraId="78B00877">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b/>
          <w:bCs w:val="0"/>
          <w:sz w:val="28"/>
          <w:szCs w:val="28"/>
        </w:rPr>
        <w:t xml:space="preserve">第十条 </w:t>
      </w:r>
      <w:r>
        <w:rPr>
          <w:rFonts w:hint="eastAsia" w:ascii="宋体" w:hAnsi="宋体" w:eastAsia="宋体" w:cs="宋体"/>
          <w:b/>
          <w:bCs/>
          <w:sz w:val="28"/>
          <w:szCs w:val="28"/>
        </w:rPr>
        <w:t>违约责任</w:t>
      </w:r>
    </w:p>
    <w:p w14:paraId="4234A809">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（一） 由于甲方原因不能按合同约定时间付款的，每延迟10个工作日，甲方按合同应付金额的_______%向乙方支付违约金。</w:t>
      </w:r>
    </w:p>
    <w:p w14:paraId="5530980E">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sz w:val="28"/>
          <w:szCs w:val="28"/>
          <w:lang w:eastAsia="zh-CN"/>
        </w:rPr>
      </w:pPr>
      <w:r>
        <w:rPr>
          <w:rFonts w:hint="eastAsia" w:ascii="宋体" w:hAnsi="宋体" w:eastAsia="宋体" w:cs="宋体"/>
          <w:sz w:val="28"/>
          <w:szCs w:val="28"/>
        </w:rPr>
        <w:t>（二） 乙方延迟交付的违约责任</w:t>
      </w:r>
    </w:p>
    <w:p w14:paraId="4F011141">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sz w:val="28"/>
          <w:szCs w:val="28"/>
          <w:lang w:eastAsia="zh-CN"/>
        </w:rPr>
      </w:pPr>
      <w:r>
        <w:rPr>
          <w:rFonts w:hint="eastAsia" w:ascii="宋体" w:hAnsi="宋体" w:eastAsia="宋体" w:cs="宋体"/>
          <w:sz w:val="28"/>
          <w:szCs w:val="28"/>
        </w:rPr>
        <w:t>（1）由于乙方原因造成项目延迟的，每延迟10个工作日，乙方向甲方支付违约金为合同服务费用总额的_______%。</w:t>
      </w:r>
    </w:p>
    <w:p w14:paraId="1FA3DE65">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（2）由于乙方原因造成项目迟延，经甲方催促后乙方继续延误的，甲方有权单方面解除合同，乙方应按照合同服务费用总额的_______%向甲方支付违约金，并赔偿由此引起的甲方全部损失。</w:t>
      </w:r>
    </w:p>
    <w:p w14:paraId="0A150326">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（三） 验收不合格并且乙方在甲方指定期限内无法完成整改、提交合格的工作成果的，乙方应向甲方支付合同服务费用总额_______%的违约金，并赔偿由此引起的甲方全部损失。</w:t>
      </w:r>
    </w:p>
    <w:p w14:paraId="4A7F7D95">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（四） 如果乙方违反本合同约定的保密义务，乙方应向甲方支付相当于合同服务费用总额_______%的违约金，甲方受到的损失超出违约金的部分，由乙方继续承担赔偿责任。</w:t>
      </w:r>
    </w:p>
    <w:p w14:paraId="4AE8C330">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（五） 除本合同的约定外，因乙方的违约行为给甲方造成损失的，乙方应向甲方支付相当于合同服务费用总额_______%的违约金，如甲方受到的损失超过违约金的，超出部分由乙方继续承担赔偿责任。</w:t>
      </w:r>
    </w:p>
    <w:p w14:paraId="667066AB">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（六） ......</w:t>
      </w:r>
    </w:p>
    <w:p w14:paraId="7C8C688C">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b/>
          <w:bCs w:val="0"/>
          <w:sz w:val="28"/>
          <w:szCs w:val="28"/>
        </w:rPr>
        <w:t xml:space="preserve">第十一条 </w:t>
      </w:r>
      <w:r>
        <w:rPr>
          <w:rFonts w:hint="eastAsia" w:ascii="宋体" w:hAnsi="宋体" w:eastAsia="宋体" w:cs="宋体"/>
          <w:b/>
          <w:bCs/>
          <w:sz w:val="28"/>
          <w:szCs w:val="28"/>
        </w:rPr>
        <w:t>保密义务</w:t>
      </w:r>
    </w:p>
    <w:p w14:paraId="740C5AD9">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14:paraId="423C8317">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（二） 乙方在本合同中所受领的保密信息应及时返还甲方或在甲方监督下予以销毁。乙方擅自留存备份信息，视为违反保密约定。</w:t>
      </w:r>
    </w:p>
    <w:p w14:paraId="036536DD">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（三） 无论本合同因何种原因终止，本保密条款依然有效。</w:t>
      </w:r>
    </w:p>
    <w:p w14:paraId="5CDB3DA1">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b/>
          <w:bCs w:val="0"/>
          <w:sz w:val="28"/>
          <w:szCs w:val="28"/>
        </w:rPr>
        <w:t xml:space="preserve">第十二条 </w:t>
      </w:r>
      <w:r>
        <w:rPr>
          <w:rFonts w:hint="eastAsia" w:ascii="宋体" w:hAnsi="宋体" w:eastAsia="宋体" w:cs="宋体"/>
          <w:b/>
          <w:bCs/>
          <w:sz w:val="28"/>
          <w:szCs w:val="28"/>
        </w:rPr>
        <w:t>不可抗力</w:t>
      </w:r>
    </w:p>
    <w:p w14:paraId="660C8226">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14:paraId="0EEE300D">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14:paraId="12F2A54D">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（三） 合同一方迟延履行后发生不可抗力的，不能免除其责任。</w:t>
      </w:r>
    </w:p>
    <w:p w14:paraId="38197C27">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（四） 不可抗力因素消除后，双方应立即进行磋商，就不可抗力所造成影响程度甲方有权决定是否继续履行或者终止本合同。如果甲方决定终止合同，如甲方已经付款，乙方应将已交付部分的款项在5日内向甲方返还。</w:t>
      </w:r>
    </w:p>
    <w:p w14:paraId="438A9A66">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sz w:val="28"/>
          <w:szCs w:val="28"/>
          <w:lang w:eastAsia="zh-CN"/>
        </w:rPr>
      </w:pPr>
      <w:r>
        <w:rPr>
          <w:rFonts w:hint="eastAsia" w:ascii="宋体" w:hAnsi="宋体" w:eastAsia="宋体" w:cs="宋体"/>
          <w:b/>
          <w:bCs w:val="0"/>
          <w:sz w:val="28"/>
          <w:szCs w:val="28"/>
        </w:rPr>
        <w:t xml:space="preserve">第十三条 </w:t>
      </w:r>
      <w:r>
        <w:rPr>
          <w:rFonts w:hint="eastAsia" w:ascii="宋体" w:hAnsi="宋体" w:eastAsia="宋体" w:cs="宋体"/>
          <w:sz w:val="28"/>
          <w:szCs w:val="28"/>
        </w:rPr>
        <w:t>合同变更</w:t>
      </w:r>
    </w:p>
    <w:p w14:paraId="6FB57B63">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b/>
          <w:bCs/>
          <w:sz w:val="28"/>
          <w:szCs w:val="28"/>
          <w:lang w:eastAsia="zh-CN"/>
        </w:rPr>
      </w:pPr>
      <w:r>
        <w:rPr>
          <w:rFonts w:hint="eastAsia" w:ascii="宋体" w:hAnsi="宋体" w:eastAsia="宋体" w:cs="宋体"/>
          <w:b/>
          <w:bCs/>
          <w:sz w:val="28"/>
          <w:szCs w:val="28"/>
        </w:rPr>
        <w:t>合同变更</w:t>
      </w:r>
    </w:p>
    <w:p w14:paraId="1802D68C">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对本合同的任何变更或补充，须经甲乙双方协商一致，并另行签订书面补充协议。</w:t>
      </w:r>
    </w:p>
    <w:p w14:paraId="1184DF2C">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b/>
          <w:bCs w:val="0"/>
          <w:sz w:val="28"/>
          <w:szCs w:val="28"/>
        </w:rPr>
        <w:t xml:space="preserve">第十四条 </w:t>
      </w:r>
      <w:r>
        <w:rPr>
          <w:rFonts w:hint="eastAsia" w:ascii="宋体" w:hAnsi="宋体" w:eastAsia="宋体" w:cs="宋体"/>
          <w:b/>
          <w:bCs/>
          <w:sz w:val="28"/>
          <w:szCs w:val="28"/>
        </w:rPr>
        <w:t>合同特别终止</w:t>
      </w:r>
    </w:p>
    <w:p w14:paraId="59F16AFF">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sz w:val="28"/>
          <w:szCs w:val="28"/>
          <w:lang w:eastAsia="zh-CN"/>
        </w:rPr>
      </w:pPr>
      <w:r>
        <w:rPr>
          <w:rFonts w:hint="eastAsia" w:ascii="宋体" w:hAnsi="宋体" w:eastAsia="宋体" w:cs="宋体"/>
          <w:sz w:val="28"/>
          <w:szCs w:val="28"/>
        </w:rPr>
        <w:t>（一） 甲乙双方同意在乙方出现下列情形时，甲方可以书面形式通知乙方（或者乙方的破产清算组或相关管理人）提出终止合同而不向其提供任何补偿：</w:t>
      </w:r>
    </w:p>
    <w:p w14:paraId="6750AEFB">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sz w:val="28"/>
          <w:szCs w:val="28"/>
          <w:lang w:eastAsia="zh-CN"/>
        </w:rPr>
      </w:pPr>
      <w:r>
        <w:rPr>
          <w:rFonts w:hint="eastAsia" w:ascii="宋体" w:hAnsi="宋体" w:eastAsia="宋体" w:cs="宋体"/>
          <w:sz w:val="28"/>
          <w:szCs w:val="28"/>
        </w:rPr>
        <w:t>（1）乙方破产、解散（包括但不限于乙方股东会决议解散、乙方被吊销营业执照、被责令关闭、被撤销、被司法机关裁决解散等情形）；</w:t>
      </w:r>
    </w:p>
    <w:p w14:paraId="0FDEF434">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（2）乙方发生未经甲方书面同意的重大产权变更（包括但不限于合并、分立、注销等情形)；（如系上市公司）被勒令停止上市；以及任何原因背负重大债务导致无履行能力。</w:t>
      </w:r>
    </w:p>
    <w:p w14:paraId="36075092">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（二） 如果因上述原因导致本合同终止，甲方已经采取或者将要采取任何补救措施的权利不受任何影响。</w:t>
      </w:r>
    </w:p>
    <w:p w14:paraId="5706DD75">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b/>
          <w:bCs w:val="0"/>
          <w:sz w:val="28"/>
          <w:szCs w:val="28"/>
        </w:rPr>
        <w:t xml:space="preserve">第十五条 </w:t>
      </w:r>
      <w:r>
        <w:rPr>
          <w:rFonts w:hint="eastAsia" w:ascii="宋体" w:hAnsi="宋体" w:eastAsia="宋体" w:cs="宋体"/>
          <w:b/>
          <w:bCs/>
          <w:sz w:val="28"/>
          <w:szCs w:val="28"/>
        </w:rPr>
        <w:t>法律适用与争议解决</w:t>
      </w:r>
    </w:p>
    <w:p w14:paraId="626EECEF">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（一） 本合同的订立、效力、解释、履行和争议的解决均适用中华人民共和国法律（不包括港澳台地区法律）。</w:t>
      </w:r>
    </w:p>
    <w:p w14:paraId="3F63D927">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 xml:space="preserve">（二） 凡因本合同引起的或与本合同有关的任何争议，双方首先应友好协商解决。协商不成的，任何一方均可向甲方所在地有管辖权的法院提起诉讼。 </w:t>
      </w:r>
    </w:p>
    <w:p w14:paraId="65B6135D">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b/>
          <w:bCs w:val="0"/>
          <w:sz w:val="28"/>
          <w:szCs w:val="28"/>
        </w:rPr>
        <w:t xml:space="preserve">第十六条 </w:t>
      </w:r>
      <w:r>
        <w:rPr>
          <w:rFonts w:hint="eastAsia" w:ascii="宋体" w:hAnsi="宋体" w:eastAsia="宋体" w:cs="宋体"/>
          <w:b/>
          <w:bCs/>
          <w:sz w:val="28"/>
          <w:szCs w:val="28"/>
        </w:rPr>
        <w:t>合同生效及其他</w:t>
      </w:r>
    </w:p>
    <w:p w14:paraId="0F11622C">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（一） 本合同经甲乙双方法定代表人或授权代表签字并加盖公章或合同专用章后生效。</w:t>
      </w:r>
    </w:p>
    <w:p w14:paraId="47734CCD">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（二） 合同期限自_______年_______月_______日始，至_______年_______月_______日止。</w:t>
      </w:r>
    </w:p>
    <w:p w14:paraId="090A0259">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（三） 本合同一式_______份，其中正本_______份，副本_______份。甲方执_______份正本，_______份副本；乙方执_______份正本，_______份副本。</w:t>
      </w:r>
    </w:p>
    <w:p w14:paraId="139B82C7">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（四） 无论本合同是否有相反约定，本合同附件（如有）作为本合同的组成部分，与本合同具有同等法律效力，当附件条款与本合同条款发生冲突时，以本合同条款为准。</w:t>
      </w:r>
    </w:p>
    <w:p w14:paraId="739AEBEB">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（五） 本合同及合同附件（如有）是甲乙双方关于本次交易所最终确定的全部内容，甲乙双方均承认其已审阅、理解本合同及合同附件的内容，并同意取代甲乙双方之间此前关于本次交易所做出的任何口头或书面的承诺。</w:t>
      </w:r>
    </w:p>
    <w:p w14:paraId="48AD8E73">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（六） 由于法律和法规、政策而导致本合同任何条款无效或无法执行，则该条款无效，但不影响剩余其他条款的效力。</w:t>
      </w:r>
    </w:p>
    <w:p w14:paraId="5AA79858">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（七） ......</w:t>
      </w:r>
    </w:p>
    <w:p w14:paraId="50AF55B1">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b/>
          <w:bCs/>
          <w:sz w:val="28"/>
          <w:szCs w:val="28"/>
          <w:lang w:eastAsia="zh-CN"/>
        </w:rPr>
      </w:pPr>
      <w:r>
        <w:rPr>
          <w:rFonts w:hint="eastAsia" w:ascii="宋体" w:hAnsi="宋体" w:eastAsia="宋体" w:cs="宋体"/>
          <w:b/>
          <w:bCs w:val="0"/>
          <w:sz w:val="28"/>
          <w:szCs w:val="28"/>
        </w:rPr>
        <w:t xml:space="preserve">第十七条 </w:t>
      </w:r>
      <w:r>
        <w:rPr>
          <w:rFonts w:hint="eastAsia" w:ascii="宋体" w:hAnsi="宋体" w:eastAsia="宋体" w:cs="宋体"/>
          <w:b/>
          <w:bCs/>
          <w:sz w:val="28"/>
          <w:szCs w:val="28"/>
        </w:rPr>
        <w:t>附件的组成</w:t>
      </w:r>
    </w:p>
    <w:p w14:paraId="3E9DD11C">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sz w:val="28"/>
          <w:szCs w:val="28"/>
        </w:rPr>
        <w:t>附件</w:t>
      </w:r>
    </w:p>
    <w:p w14:paraId="34DE640E">
      <w:pPr>
        <w:keepNext w:val="0"/>
        <w:keepLines w:val="0"/>
        <w:widowControl/>
        <w:suppressLineNumbers w:val="0"/>
        <w:spacing w:before="0" w:beforeAutospacing="1" w:after="0" w:afterAutospacing="1" w:line="600" w:lineRule="exact"/>
        <w:ind w:left="0" w:right="0" w:firstLine="525"/>
        <w:jc w:val="left"/>
      </w:pPr>
      <w:r>
        <w:rPr>
          <w:rFonts w:hint="eastAsia" w:ascii="宋体" w:hAnsi="宋体" w:eastAsia="宋体" w:cs="宋体"/>
          <w:b/>
          <w:bCs w:val="0"/>
          <w:sz w:val="28"/>
          <w:szCs w:val="28"/>
        </w:rPr>
        <w:t xml:space="preserve">第十八条 </w:t>
      </w:r>
      <w:r>
        <w:rPr>
          <w:rFonts w:hint="eastAsia" w:ascii="宋体" w:hAnsi="宋体" w:eastAsia="宋体" w:cs="宋体"/>
          <w:sz w:val="28"/>
          <w:szCs w:val="28"/>
        </w:rPr>
        <w:t>......</w:t>
      </w:r>
    </w:p>
    <w:p w14:paraId="0D0D2D03">
      <w:pPr>
        <w:rPr>
          <w:rFonts w:hint="eastAsia" w:ascii="宋体" w:hAnsi="宋体" w:eastAsia="宋体" w:cs="宋体"/>
          <w:sz w:val="28"/>
          <w:szCs w:val="28"/>
        </w:rPr>
      </w:pPr>
      <w:r>
        <w:rPr>
          <w:rFonts w:hint="eastAsia" w:ascii="宋体" w:hAnsi="宋体" w:eastAsia="宋体" w:cs="宋体"/>
          <w:sz w:val="28"/>
          <w:szCs w:val="28"/>
        </w:rPr>
        <w:br w:type="page"/>
      </w:r>
    </w:p>
    <w:p w14:paraId="60E4404A">
      <w:pPr>
        <w:pStyle w:val="3"/>
        <w:tabs>
          <w:tab w:val="left" w:pos="2190"/>
        </w:tabs>
        <w:ind w:firstLine="482"/>
        <w:outlineLvl w:val="9"/>
        <w:rPr>
          <w:rFonts w:hint="eastAsia"/>
        </w:rPr>
      </w:pPr>
      <w:bookmarkStart w:id="141" w:name="_Toc7236"/>
      <w:bookmarkStart w:id="142" w:name="_Toc16634"/>
      <w:r>
        <w:rPr>
          <w:rFonts w:hint="eastAsia"/>
        </w:rPr>
        <w:t>附件一</w:t>
      </w:r>
      <w:bookmarkEnd w:id="141"/>
      <w:bookmarkEnd w:id="142"/>
      <w:r>
        <w:tab/>
      </w:r>
    </w:p>
    <w:p w14:paraId="767E769D">
      <w:pPr>
        <w:spacing w:line="360" w:lineRule="auto"/>
        <w:jc w:val="center"/>
        <w:outlineLvl w:val="1"/>
        <w:rPr>
          <w:rFonts w:ascii="楷体" w:hAnsi="楷体" w:eastAsia="楷体" w:cs="楷体"/>
          <w:b/>
        </w:rPr>
      </w:pPr>
      <w:bookmarkStart w:id="143" w:name="_Toc2066"/>
      <w:bookmarkStart w:id="144" w:name="_Toc14690"/>
      <w:r>
        <w:rPr>
          <w:rFonts w:hint="eastAsia" w:ascii="楷体" w:hAnsi="楷体" w:eastAsia="楷体" w:cs="楷体"/>
          <w:b/>
        </w:rPr>
        <w:t>服务内容及要求</w:t>
      </w:r>
      <w:bookmarkEnd w:id="143"/>
      <w:bookmarkEnd w:id="144"/>
    </w:p>
    <w:p w14:paraId="77B5E2FF">
      <w:pPr>
        <w:tabs>
          <w:tab w:val="left" w:pos="165"/>
          <w:tab w:val="left" w:pos="315"/>
        </w:tabs>
        <w:autoSpaceDE w:val="0"/>
        <w:autoSpaceDN w:val="0"/>
        <w:adjustRightInd/>
        <w:spacing w:line="360" w:lineRule="auto"/>
        <w:ind w:firstLine="470"/>
        <w:jc w:val="both"/>
        <w:textAlignment w:val="auto"/>
        <w:rPr>
          <w:rFonts w:ascii="楷体" w:hAnsi="楷体" w:eastAsia="楷体" w:cs="Arial"/>
          <w:szCs w:val="24"/>
        </w:rPr>
      </w:pPr>
    </w:p>
    <w:p w14:paraId="068BC94B">
      <w:pPr>
        <w:tabs>
          <w:tab w:val="left" w:pos="165"/>
          <w:tab w:val="left" w:pos="315"/>
        </w:tabs>
        <w:autoSpaceDE w:val="0"/>
        <w:autoSpaceDN w:val="0"/>
        <w:adjustRightInd/>
        <w:spacing w:line="360" w:lineRule="auto"/>
        <w:ind w:firstLine="470"/>
        <w:jc w:val="both"/>
        <w:textAlignment w:val="auto"/>
        <w:outlineLvl w:val="1"/>
        <w:rPr>
          <w:rFonts w:ascii="楷体" w:hAnsi="楷体" w:eastAsia="楷体" w:cs="Arial"/>
          <w:snapToGrid w:val="0"/>
          <w:spacing w:val="24"/>
          <w:szCs w:val="24"/>
        </w:rPr>
      </w:pPr>
      <w:bookmarkStart w:id="145" w:name="_Toc11220"/>
      <w:bookmarkStart w:id="146" w:name="_Toc2387"/>
      <w:r>
        <w:rPr>
          <w:rFonts w:hint="eastAsia" w:ascii="楷体" w:hAnsi="楷体" w:eastAsia="楷体" w:cs="Arial"/>
          <w:szCs w:val="24"/>
        </w:rPr>
        <w:t>1.</w:t>
      </w:r>
      <w:r>
        <w:rPr>
          <w:rFonts w:hint="eastAsia" w:ascii="楷体" w:hAnsi="楷体" w:eastAsia="楷体" w:cs="Arial"/>
          <w:snapToGrid w:val="0"/>
          <w:spacing w:val="24"/>
          <w:szCs w:val="24"/>
        </w:rPr>
        <w:t>项目名称</w:t>
      </w:r>
      <w:bookmarkEnd w:id="145"/>
      <w:bookmarkEnd w:id="146"/>
    </w:p>
    <w:p w14:paraId="7C99F673">
      <w:pPr>
        <w:autoSpaceDE w:val="0"/>
        <w:autoSpaceDN w:val="0"/>
        <w:spacing w:line="360" w:lineRule="auto"/>
        <w:ind w:firstLine="420" w:firstLineChars="200"/>
        <w:jc w:val="both"/>
        <w:rPr>
          <w:rFonts w:ascii="楷体" w:hAnsi="楷体" w:eastAsia="楷体" w:cs="Arial"/>
          <w:szCs w:val="24"/>
        </w:rPr>
      </w:pPr>
      <w:r>
        <w:rPr>
          <w:rFonts w:hint="eastAsia" w:ascii="楷体" w:hAnsi="楷体" w:eastAsia="楷体" w:cs="Arial"/>
          <w:szCs w:val="24"/>
        </w:rPr>
        <w:t>项目名称：。</w:t>
      </w:r>
    </w:p>
    <w:p w14:paraId="093D3BC6">
      <w:pPr>
        <w:spacing w:line="360" w:lineRule="auto"/>
        <w:ind w:firstLine="420" w:firstLineChars="200"/>
        <w:jc w:val="both"/>
        <w:outlineLvl w:val="1"/>
        <w:rPr>
          <w:rFonts w:ascii="楷体" w:hAnsi="楷体" w:eastAsia="楷体" w:cs="Arial"/>
          <w:szCs w:val="24"/>
        </w:rPr>
      </w:pPr>
      <w:bookmarkStart w:id="147" w:name="_Toc10937"/>
      <w:bookmarkStart w:id="148" w:name="_Toc1724"/>
      <w:r>
        <w:rPr>
          <w:rFonts w:hint="eastAsia" w:ascii="楷体" w:hAnsi="楷体" w:eastAsia="楷体" w:cs="Arial"/>
          <w:szCs w:val="24"/>
        </w:rPr>
        <w:t>2.项目内容</w:t>
      </w:r>
      <w:bookmarkEnd w:id="147"/>
      <w:bookmarkEnd w:id="148"/>
    </w:p>
    <w:p w14:paraId="131A1B30">
      <w:pPr>
        <w:spacing w:line="360" w:lineRule="auto"/>
        <w:ind w:firstLine="420" w:firstLineChars="200"/>
        <w:jc w:val="both"/>
        <w:outlineLvl w:val="2"/>
        <w:rPr>
          <w:rFonts w:hint="eastAsia" w:ascii="楷体" w:hAnsi="楷体" w:eastAsia="楷体" w:cs="Arial"/>
          <w:szCs w:val="24"/>
        </w:rPr>
      </w:pPr>
      <w:bookmarkStart w:id="149" w:name="_Toc28778"/>
      <w:bookmarkStart w:id="150" w:name="_Toc7369"/>
      <w:r>
        <w:rPr>
          <w:rFonts w:hint="eastAsia" w:ascii="楷体" w:hAnsi="楷体" w:eastAsia="楷体" w:cs="Arial"/>
          <w:szCs w:val="24"/>
        </w:rPr>
        <w:t>（1）乙方向甲方提供的服务的内容：</w:t>
      </w:r>
      <w:bookmarkEnd w:id="149"/>
      <w:bookmarkEnd w:id="150"/>
      <w:r>
        <w:rPr>
          <w:rFonts w:hint="eastAsia" w:ascii="楷体" w:hAnsi="楷体" w:eastAsia="楷体" w:cs="Arial"/>
          <w:szCs w:val="24"/>
        </w:rPr>
        <w:t xml:space="preserve">                                 </w:t>
      </w:r>
    </w:p>
    <w:p w14:paraId="2BC0D2A5">
      <w:pPr>
        <w:spacing w:line="360" w:lineRule="auto"/>
        <w:ind w:firstLine="387" w:firstLineChars="150"/>
        <w:jc w:val="both"/>
        <w:outlineLvl w:val="2"/>
        <w:rPr>
          <w:rFonts w:ascii="楷体" w:hAnsi="楷体" w:eastAsia="楷体" w:cs="Arial"/>
          <w:snapToGrid w:val="0"/>
          <w:spacing w:val="24"/>
          <w:szCs w:val="24"/>
        </w:rPr>
      </w:pPr>
      <w:bookmarkStart w:id="151" w:name="_Toc7521"/>
      <w:bookmarkStart w:id="152" w:name="_Toc26112"/>
      <w:r>
        <w:rPr>
          <w:rFonts w:hint="eastAsia" w:ascii="楷体" w:hAnsi="楷体" w:eastAsia="楷体" w:cs="Arial"/>
          <w:snapToGrid w:val="0"/>
          <w:spacing w:val="24"/>
          <w:szCs w:val="24"/>
        </w:rPr>
        <w:t>（2）服务期限：。</w:t>
      </w:r>
      <w:bookmarkEnd w:id="151"/>
      <w:bookmarkEnd w:id="152"/>
    </w:p>
    <w:p w14:paraId="757DF50D">
      <w:pPr>
        <w:spacing w:line="360" w:lineRule="auto"/>
        <w:ind w:firstLine="387" w:firstLineChars="150"/>
        <w:jc w:val="both"/>
        <w:outlineLvl w:val="2"/>
        <w:rPr>
          <w:rFonts w:ascii="楷体" w:hAnsi="楷体" w:eastAsia="楷体" w:cs="Arial"/>
          <w:snapToGrid w:val="0"/>
          <w:spacing w:val="24"/>
          <w:szCs w:val="24"/>
        </w:rPr>
      </w:pPr>
      <w:bookmarkStart w:id="153" w:name="_Toc3302"/>
      <w:bookmarkStart w:id="154" w:name="_Toc1428"/>
      <w:r>
        <w:rPr>
          <w:rFonts w:hint="eastAsia" w:ascii="楷体" w:hAnsi="楷体" w:eastAsia="楷体" w:cs="Arial"/>
          <w:snapToGrid w:val="0"/>
          <w:spacing w:val="24"/>
          <w:szCs w:val="24"/>
        </w:rPr>
        <w:t>（3）</w:t>
      </w:r>
      <w:r>
        <w:rPr>
          <w:rFonts w:hint="eastAsia" w:ascii="楷体" w:hAnsi="楷体" w:eastAsia="楷体" w:cs="Arial"/>
          <w:szCs w:val="24"/>
        </w:rPr>
        <w:t>甲方向乙方支付的合同服务费用总计为人民币    元（大写：    整）。费用包括如下项目：</w:t>
      </w:r>
      <w:bookmarkEnd w:id="153"/>
      <w:bookmarkEnd w:id="154"/>
      <w:r>
        <w:rPr>
          <w:rFonts w:hint="eastAsia" w:ascii="楷体" w:hAnsi="楷体" w:eastAsia="楷体" w:cs="Arial"/>
          <w:szCs w:val="24"/>
        </w:rPr>
        <w:t xml:space="preserve">                                       </w:t>
      </w:r>
    </w:p>
    <w:p w14:paraId="2F3F600D">
      <w:pPr>
        <w:spacing w:line="360" w:lineRule="auto"/>
        <w:ind w:firstLine="387" w:firstLineChars="150"/>
        <w:jc w:val="both"/>
        <w:outlineLvl w:val="2"/>
        <w:rPr>
          <w:rFonts w:ascii="楷体" w:hAnsi="楷体" w:eastAsia="楷体" w:cs="Arial"/>
          <w:snapToGrid w:val="0"/>
          <w:spacing w:val="24"/>
          <w:szCs w:val="24"/>
        </w:rPr>
      </w:pPr>
      <w:bookmarkStart w:id="155" w:name="_Toc26846"/>
      <w:bookmarkStart w:id="156" w:name="_Toc32205"/>
      <w:r>
        <w:rPr>
          <w:rFonts w:hint="eastAsia" w:ascii="楷体" w:hAnsi="楷体" w:eastAsia="楷体" w:cs="Arial"/>
          <w:snapToGrid w:val="0"/>
          <w:spacing w:val="24"/>
          <w:szCs w:val="24"/>
        </w:rPr>
        <w:t>（4）其他要求：</w:t>
      </w:r>
      <w:bookmarkEnd w:id="155"/>
      <w:bookmarkEnd w:id="156"/>
    </w:p>
    <w:p w14:paraId="21A54D3C">
      <w:pPr>
        <w:tabs>
          <w:tab w:val="left" w:pos="165"/>
          <w:tab w:val="left" w:pos="315"/>
        </w:tabs>
        <w:autoSpaceDE w:val="0"/>
        <w:autoSpaceDN w:val="0"/>
        <w:adjustRightInd/>
        <w:spacing w:line="360" w:lineRule="auto"/>
        <w:ind w:firstLine="409" w:firstLineChars="195"/>
        <w:jc w:val="both"/>
        <w:textAlignment w:val="auto"/>
        <w:outlineLvl w:val="1"/>
        <w:rPr>
          <w:rFonts w:ascii="楷体" w:hAnsi="楷体" w:eastAsia="楷体" w:cs="Arial"/>
          <w:snapToGrid w:val="0"/>
          <w:spacing w:val="24"/>
          <w:szCs w:val="24"/>
        </w:rPr>
      </w:pPr>
      <w:bookmarkStart w:id="157" w:name="_Toc7650"/>
      <w:bookmarkStart w:id="158" w:name="_Toc17574"/>
      <w:r>
        <w:rPr>
          <w:rFonts w:hint="eastAsia" w:ascii="楷体" w:hAnsi="楷体" w:eastAsia="楷体" w:cs="Arial"/>
          <w:szCs w:val="24"/>
        </w:rPr>
        <w:t>3.</w:t>
      </w:r>
      <w:r>
        <w:rPr>
          <w:rFonts w:hint="eastAsia" w:ascii="楷体" w:hAnsi="楷体" w:eastAsia="楷体" w:cs="Arial"/>
          <w:snapToGrid w:val="0"/>
          <w:spacing w:val="24"/>
          <w:szCs w:val="24"/>
        </w:rPr>
        <w:t>告知</w:t>
      </w:r>
      <w:bookmarkEnd w:id="157"/>
      <w:bookmarkEnd w:id="158"/>
    </w:p>
    <w:p w14:paraId="19E8D71D">
      <w:pPr>
        <w:tabs>
          <w:tab w:val="left" w:pos="165"/>
          <w:tab w:val="left" w:pos="315"/>
        </w:tabs>
        <w:autoSpaceDE w:val="0"/>
        <w:autoSpaceDN w:val="0"/>
        <w:adjustRightInd/>
        <w:spacing w:line="360" w:lineRule="auto"/>
        <w:ind w:firstLine="420" w:firstLineChars="200"/>
        <w:jc w:val="both"/>
        <w:textAlignment w:val="auto"/>
        <w:rPr>
          <w:rFonts w:ascii="楷体" w:hAnsi="楷体" w:eastAsia="楷体" w:cs="Arial"/>
          <w:szCs w:val="24"/>
        </w:rPr>
      </w:pPr>
      <w:r>
        <w:rPr>
          <w:rFonts w:hint="eastAsia" w:ascii="楷体" w:hAnsi="楷体" w:eastAsia="楷体" w:cs="Arial"/>
          <w:szCs w:val="24"/>
        </w:rPr>
        <w:t>甲乙双方同意涉及本合同的一切事宜均以书面形式提交，双方应及时响应。</w:t>
      </w:r>
    </w:p>
    <w:p w14:paraId="023AE629">
      <w:pPr>
        <w:tabs>
          <w:tab w:val="left" w:pos="315"/>
        </w:tabs>
        <w:autoSpaceDE w:val="0"/>
        <w:autoSpaceDN w:val="0"/>
        <w:adjustRightInd/>
        <w:spacing w:line="360" w:lineRule="auto"/>
        <w:ind w:firstLine="409" w:firstLineChars="195"/>
        <w:jc w:val="both"/>
        <w:textAlignment w:val="auto"/>
        <w:outlineLvl w:val="1"/>
        <w:rPr>
          <w:rFonts w:ascii="楷体" w:hAnsi="楷体" w:eastAsia="楷体" w:cs="Arial"/>
          <w:snapToGrid w:val="0"/>
          <w:spacing w:val="24"/>
          <w:szCs w:val="24"/>
        </w:rPr>
      </w:pPr>
      <w:bookmarkStart w:id="159" w:name="_Toc23450"/>
      <w:bookmarkStart w:id="160" w:name="_Toc13152"/>
      <w:r>
        <w:rPr>
          <w:rFonts w:hint="eastAsia" w:ascii="楷体" w:hAnsi="楷体" w:eastAsia="楷体" w:cs="Arial"/>
          <w:szCs w:val="24"/>
        </w:rPr>
        <w:t>4.</w:t>
      </w:r>
      <w:r>
        <w:rPr>
          <w:rFonts w:hint="eastAsia" w:ascii="楷体" w:hAnsi="楷体" w:eastAsia="楷体" w:cs="Arial"/>
          <w:snapToGrid w:val="0"/>
          <w:spacing w:val="24"/>
          <w:szCs w:val="24"/>
        </w:rPr>
        <w:t>问题项目处理</w:t>
      </w:r>
      <w:bookmarkEnd w:id="159"/>
      <w:bookmarkEnd w:id="160"/>
    </w:p>
    <w:p w14:paraId="6CBDF06B">
      <w:pPr>
        <w:spacing w:line="360" w:lineRule="auto"/>
        <w:ind w:firstLine="420" w:firstLineChars="200"/>
        <w:jc w:val="both"/>
        <w:rPr>
          <w:rFonts w:hint="eastAsia" w:ascii="楷体" w:hAnsi="楷体" w:eastAsia="楷体" w:cs="Arial"/>
          <w:szCs w:val="24"/>
        </w:rPr>
      </w:pPr>
      <w:r>
        <w:rPr>
          <w:rFonts w:hint="eastAsia" w:ascii="楷体" w:hAnsi="楷体" w:eastAsia="楷体" w:cs="Arial"/>
          <w:szCs w:val="24"/>
        </w:rPr>
        <w:t>问题项目的处理应按照甲方项目管理规范的要求进行。在项目实施过程中，如因乙方原因造成项目出现异常且在30天内乙方未改变问题项目现状，则甲方有权终止该项目，并拒绝支付剩余款项，甲方有权要求乙方退回已收取的合同费用，并保留向乙方追偿损失的权利。</w:t>
      </w:r>
    </w:p>
    <w:p w14:paraId="2D9BBA5A">
      <w:pPr>
        <w:spacing w:line="360" w:lineRule="auto"/>
        <w:ind w:firstLine="420" w:firstLineChars="200"/>
        <w:jc w:val="both"/>
        <w:rPr>
          <w:rFonts w:hint="eastAsia" w:ascii="楷体" w:hAnsi="楷体" w:eastAsia="楷体" w:cs="Arial"/>
          <w:szCs w:val="24"/>
        </w:rPr>
      </w:pPr>
    </w:p>
    <w:p w14:paraId="0A406697">
      <w:pPr>
        <w:spacing w:line="360" w:lineRule="auto"/>
        <w:ind w:firstLine="420" w:firstLineChars="200"/>
        <w:jc w:val="both"/>
        <w:rPr>
          <w:rFonts w:hint="eastAsia" w:ascii="楷体" w:hAnsi="楷体" w:eastAsia="楷体" w:cs="Arial"/>
          <w:szCs w:val="24"/>
        </w:rPr>
      </w:pPr>
    </w:p>
    <w:p w14:paraId="6D3E46B7">
      <w:pPr>
        <w:spacing w:line="360" w:lineRule="auto"/>
        <w:ind w:firstLine="420" w:firstLineChars="200"/>
        <w:jc w:val="both"/>
        <w:rPr>
          <w:rFonts w:hint="eastAsia" w:ascii="楷体" w:hAnsi="楷体" w:eastAsia="楷体" w:cs="Arial"/>
          <w:szCs w:val="24"/>
        </w:rPr>
      </w:pPr>
    </w:p>
    <w:p w14:paraId="668D6BD5">
      <w:pPr>
        <w:spacing w:line="360" w:lineRule="auto"/>
        <w:ind w:firstLine="420" w:firstLineChars="200"/>
        <w:jc w:val="both"/>
        <w:rPr>
          <w:rFonts w:hint="eastAsia" w:ascii="楷体" w:hAnsi="楷体" w:eastAsia="楷体" w:cs="Arial"/>
          <w:szCs w:val="24"/>
        </w:rPr>
      </w:pPr>
    </w:p>
    <w:p w14:paraId="2CA463CE">
      <w:pPr>
        <w:spacing w:line="360" w:lineRule="auto"/>
        <w:ind w:firstLine="420" w:firstLineChars="200"/>
        <w:jc w:val="both"/>
        <w:rPr>
          <w:rFonts w:hint="eastAsia" w:ascii="楷体" w:hAnsi="楷体" w:eastAsia="楷体" w:cs="Arial"/>
          <w:szCs w:val="24"/>
        </w:rPr>
      </w:pPr>
    </w:p>
    <w:p w14:paraId="1051CC6D">
      <w:pPr>
        <w:spacing w:line="360" w:lineRule="auto"/>
        <w:ind w:firstLine="420" w:firstLineChars="200"/>
        <w:jc w:val="both"/>
        <w:rPr>
          <w:rFonts w:hint="eastAsia" w:ascii="楷体" w:hAnsi="楷体" w:eastAsia="楷体" w:cs="Arial"/>
          <w:szCs w:val="24"/>
        </w:rPr>
      </w:pPr>
    </w:p>
    <w:p w14:paraId="0DE2F4BB">
      <w:pPr>
        <w:spacing w:line="360" w:lineRule="auto"/>
        <w:ind w:firstLine="420" w:firstLineChars="200"/>
        <w:jc w:val="both"/>
        <w:rPr>
          <w:rFonts w:hint="eastAsia" w:ascii="楷体" w:hAnsi="楷体" w:eastAsia="楷体" w:cs="Arial"/>
          <w:szCs w:val="24"/>
        </w:rPr>
      </w:pPr>
    </w:p>
    <w:p w14:paraId="7DC94A3F">
      <w:pPr>
        <w:spacing w:line="360" w:lineRule="auto"/>
        <w:ind w:firstLine="420" w:firstLineChars="200"/>
        <w:jc w:val="both"/>
        <w:rPr>
          <w:rFonts w:hint="eastAsia" w:ascii="楷体" w:hAnsi="楷体" w:eastAsia="楷体" w:cs="Arial"/>
          <w:szCs w:val="24"/>
        </w:rPr>
      </w:pPr>
    </w:p>
    <w:p w14:paraId="071F0F3E">
      <w:pPr>
        <w:spacing w:line="360" w:lineRule="auto"/>
        <w:ind w:firstLine="420" w:firstLineChars="200"/>
        <w:jc w:val="both"/>
        <w:rPr>
          <w:rFonts w:hint="eastAsia" w:ascii="楷体" w:hAnsi="楷体" w:eastAsia="楷体" w:cs="Arial"/>
          <w:szCs w:val="24"/>
        </w:rPr>
      </w:pPr>
    </w:p>
    <w:p w14:paraId="69D06A3E">
      <w:pPr>
        <w:spacing w:line="360" w:lineRule="auto"/>
        <w:ind w:firstLine="420" w:firstLineChars="200"/>
        <w:jc w:val="both"/>
        <w:rPr>
          <w:rFonts w:hint="eastAsia" w:ascii="楷体" w:hAnsi="楷体" w:eastAsia="楷体" w:cs="Arial"/>
          <w:szCs w:val="24"/>
        </w:rPr>
      </w:pPr>
    </w:p>
    <w:p w14:paraId="1E1181FA">
      <w:pPr>
        <w:pStyle w:val="3"/>
        <w:ind w:firstLine="482"/>
        <w:outlineLvl w:val="9"/>
      </w:pPr>
      <w:bookmarkStart w:id="161" w:name="_Toc8636"/>
      <w:bookmarkStart w:id="162" w:name="_Toc27570"/>
      <w:r>
        <w:rPr>
          <w:rFonts w:hint="eastAsia"/>
        </w:rPr>
        <w:t>附件二</w:t>
      </w:r>
      <w:bookmarkEnd w:id="161"/>
      <w:bookmarkEnd w:id="162"/>
    </w:p>
    <w:p w14:paraId="53F9CBE2">
      <w:pPr>
        <w:spacing w:line="360" w:lineRule="auto"/>
        <w:jc w:val="center"/>
        <w:outlineLvl w:val="1"/>
        <w:rPr>
          <w:rFonts w:ascii="楷体" w:hAnsi="楷体" w:eastAsia="楷体" w:cs="楷体"/>
          <w:b/>
        </w:rPr>
      </w:pPr>
      <w:bookmarkStart w:id="163" w:name="_Toc13889"/>
      <w:bookmarkStart w:id="164" w:name="_Toc9425"/>
      <w:r>
        <w:rPr>
          <w:rFonts w:hint="eastAsia" w:ascii="楷体" w:hAnsi="楷体" w:eastAsia="楷体" w:cs="楷体"/>
          <w:b/>
        </w:rPr>
        <w:t>付款</w:t>
      </w:r>
      <w:bookmarkEnd w:id="163"/>
      <w:bookmarkEnd w:id="164"/>
    </w:p>
    <w:p w14:paraId="49BF26B2">
      <w:pPr>
        <w:autoSpaceDE w:val="0"/>
        <w:autoSpaceDN w:val="0"/>
        <w:spacing w:line="360" w:lineRule="auto"/>
        <w:ind w:left="482"/>
        <w:rPr>
          <w:rFonts w:ascii="楷体" w:hAnsi="楷体" w:eastAsia="楷体" w:cs="楷体"/>
        </w:rPr>
      </w:pPr>
    </w:p>
    <w:p w14:paraId="1A3C7ADB">
      <w:pPr>
        <w:autoSpaceDE w:val="0"/>
        <w:autoSpaceDN w:val="0"/>
        <w:spacing w:line="360" w:lineRule="auto"/>
        <w:ind w:left="482"/>
        <w:rPr>
          <w:rFonts w:ascii="楷体" w:hAnsi="楷体" w:eastAsia="楷体" w:cs="楷体"/>
        </w:rPr>
      </w:pPr>
      <w:r>
        <w:rPr>
          <w:rFonts w:ascii="楷体" w:hAnsi="楷体" w:eastAsia="楷体" w:cs="楷体"/>
        </w:rPr>
        <w:t>1.</w:t>
      </w:r>
      <w:r>
        <w:rPr>
          <w:rFonts w:hint="eastAsia" w:ascii="楷体" w:hAnsi="楷体" w:eastAsia="楷体" w:cs="楷体"/>
        </w:rPr>
        <w:t>本合同使用货币种类为人民币。</w:t>
      </w:r>
    </w:p>
    <w:p w14:paraId="765331F9">
      <w:pPr>
        <w:spacing w:line="360" w:lineRule="auto"/>
        <w:ind w:firstLine="420" w:firstLineChars="200"/>
        <w:rPr>
          <w:rFonts w:ascii="楷体" w:hAnsi="楷体" w:eastAsia="楷体"/>
        </w:rPr>
      </w:pPr>
      <w:r>
        <w:rPr>
          <w:rFonts w:hint="eastAsia" w:ascii="楷体" w:hAnsi="楷体" w:eastAsia="楷体" w:cs="楷体"/>
        </w:rPr>
        <w:t>2</w:t>
      </w:r>
      <w:r>
        <w:rPr>
          <w:rFonts w:ascii="楷体" w:hAnsi="楷体" w:eastAsia="楷体" w:cs="楷体"/>
        </w:rPr>
        <w:t>.</w:t>
      </w:r>
      <w:r>
        <w:rPr>
          <w:rFonts w:hint="eastAsia" w:ascii="楷体" w:hAnsi="楷体" w:eastAsia="楷体"/>
        </w:rPr>
        <w:t>付款方式：</w:t>
      </w:r>
      <w:r>
        <w:rPr>
          <w:rFonts w:hint="eastAsia" w:ascii="楷体" w:hAnsi="楷体" w:eastAsia="楷体"/>
          <w:u w:val="single"/>
        </w:rPr>
        <w:t>转账</w:t>
      </w:r>
      <w:r>
        <w:rPr>
          <w:rFonts w:ascii="楷体" w:hAnsi="楷体" w:eastAsia="楷体"/>
        </w:rPr>
        <w:t>[</w:t>
      </w:r>
      <w:r>
        <w:rPr>
          <w:rFonts w:hint="eastAsia" w:ascii="楷体" w:hAnsi="楷体" w:eastAsia="楷体"/>
        </w:rPr>
        <w:t>现金</w:t>
      </w:r>
      <w:r>
        <w:rPr>
          <w:rFonts w:ascii="楷体" w:hAnsi="楷体" w:eastAsia="楷体"/>
        </w:rPr>
        <w:t>/</w:t>
      </w:r>
      <w:r>
        <w:rPr>
          <w:rFonts w:hint="eastAsia" w:ascii="楷体" w:hAnsi="楷体" w:eastAsia="楷体"/>
        </w:rPr>
        <w:t>支票</w:t>
      </w:r>
      <w:r>
        <w:rPr>
          <w:rFonts w:ascii="楷体" w:hAnsi="楷体" w:eastAsia="楷体"/>
        </w:rPr>
        <w:t>]</w:t>
      </w:r>
      <w:r>
        <w:rPr>
          <w:rFonts w:hint="eastAsia" w:ascii="楷体" w:hAnsi="楷体" w:eastAsia="楷体"/>
        </w:rPr>
        <w:t>双方采用转账方式付款的，甲方应向乙方以下账户进行支付：</w:t>
      </w:r>
    </w:p>
    <w:p w14:paraId="25359854">
      <w:pPr>
        <w:spacing w:afterLines="50" w:line="360" w:lineRule="auto"/>
        <w:ind w:firstLine="420" w:firstLineChars="200"/>
        <w:rPr>
          <w:rFonts w:ascii="楷体" w:hAnsi="楷体" w:eastAsia="楷体"/>
          <w:u w:val="single"/>
        </w:rPr>
      </w:pPr>
      <w:r>
        <w:rPr>
          <w:rFonts w:ascii="楷体" w:hAnsi="楷体" w:eastAsia="楷体"/>
        </w:rPr>
        <w:tab/>
      </w:r>
      <w:r>
        <w:rPr>
          <w:rFonts w:hint="eastAsia" w:ascii="楷体" w:hAnsi="楷体" w:eastAsia="楷体"/>
        </w:rPr>
        <w:t>乙方：</w:t>
      </w:r>
    </w:p>
    <w:p w14:paraId="24860FEB">
      <w:pPr>
        <w:spacing w:afterLines="50" w:line="360" w:lineRule="auto"/>
        <w:ind w:firstLine="420" w:firstLineChars="200"/>
        <w:rPr>
          <w:rFonts w:ascii="楷体" w:hAnsi="楷体" w:eastAsia="楷体"/>
          <w:u w:val="single"/>
        </w:rPr>
      </w:pPr>
      <w:r>
        <w:rPr>
          <w:rFonts w:ascii="楷体" w:hAnsi="楷体" w:eastAsia="楷体"/>
        </w:rPr>
        <w:tab/>
      </w:r>
      <w:r>
        <w:rPr>
          <w:rFonts w:ascii="楷体" w:hAnsi="楷体" w:eastAsia="楷体"/>
        </w:rPr>
        <w:t>开户行：</w:t>
      </w:r>
    </w:p>
    <w:p w14:paraId="0B321668">
      <w:pPr>
        <w:spacing w:afterLines="50" w:line="360" w:lineRule="auto"/>
        <w:ind w:firstLine="420" w:firstLineChars="200"/>
        <w:rPr>
          <w:rFonts w:ascii="楷体" w:hAnsi="楷体" w:eastAsia="楷体"/>
          <w:u w:val="single"/>
        </w:rPr>
      </w:pPr>
      <w:r>
        <w:rPr>
          <w:rFonts w:ascii="楷体" w:hAnsi="楷体" w:eastAsia="楷体"/>
        </w:rPr>
        <w:tab/>
      </w:r>
      <w:r>
        <w:rPr>
          <w:rFonts w:ascii="楷体" w:hAnsi="楷体" w:eastAsia="楷体"/>
        </w:rPr>
        <w:t>账户名称：</w:t>
      </w:r>
    </w:p>
    <w:p w14:paraId="2F6A6F3C">
      <w:pPr>
        <w:spacing w:afterLines="50" w:line="360" w:lineRule="auto"/>
        <w:ind w:firstLine="420" w:firstLineChars="200"/>
        <w:rPr>
          <w:rFonts w:ascii="楷体" w:hAnsi="楷体" w:eastAsia="楷体"/>
          <w:u w:val="single"/>
        </w:rPr>
      </w:pPr>
      <w:r>
        <w:rPr>
          <w:rFonts w:ascii="楷体" w:hAnsi="楷体" w:eastAsia="楷体"/>
        </w:rPr>
        <w:tab/>
      </w:r>
      <w:r>
        <w:rPr>
          <w:rFonts w:ascii="楷体" w:hAnsi="楷体" w:eastAsia="楷体"/>
        </w:rPr>
        <w:t>账号：</w:t>
      </w:r>
    </w:p>
    <w:p w14:paraId="3C0BFAA4">
      <w:pPr>
        <w:spacing w:afterLines="50"/>
        <w:ind w:firstLine="420" w:firstLineChars="200"/>
        <w:rPr>
          <w:rFonts w:ascii="楷体" w:hAnsi="楷体" w:eastAsia="楷体"/>
        </w:rPr>
      </w:pPr>
      <w:r>
        <w:rPr>
          <w:rFonts w:hint="eastAsia" w:ascii="楷体" w:hAnsi="楷体" w:eastAsia="楷体"/>
        </w:rPr>
        <w:t>乙方如需改变上述账户，应提前</w:t>
      </w:r>
      <w:r>
        <w:rPr>
          <w:rFonts w:ascii="楷体" w:hAnsi="楷体" w:eastAsia="楷体"/>
        </w:rPr>
        <w:t>10</w:t>
      </w:r>
      <w:r>
        <w:rPr>
          <w:rFonts w:hint="eastAsia" w:ascii="楷体" w:hAnsi="楷体" w:eastAsia="楷体"/>
        </w:rPr>
        <w:t>日以书面通知甲方。</w:t>
      </w:r>
    </w:p>
    <w:p w14:paraId="2F6E103A">
      <w:pPr>
        <w:spacing w:line="360" w:lineRule="auto"/>
        <w:ind w:firstLine="420" w:firstLineChars="200"/>
        <w:jc w:val="both"/>
        <w:rPr>
          <w:rFonts w:ascii="楷体" w:hAnsi="楷体" w:eastAsia="楷体" w:cs="Arial"/>
          <w:szCs w:val="24"/>
        </w:rPr>
      </w:pPr>
      <w:r>
        <w:rPr>
          <w:rFonts w:hint="eastAsia" w:ascii="楷体" w:hAnsi="楷体" w:eastAsia="楷体" w:cs="Arial"/>
          <w:szCs w:val="24"/>
        </w:rPr>
        <w:t>3.付款安排</w:t>
      </w:r>
    </w:p>
    <w:p w14:paraId="3352F166">
      <w:pPr>
        <w:autoSpaceDE w:val="0"/>
        <w:autoSpaceDN w:val="0"/>
        <w:spacing w:line="360" w:lineRule="auto"/>
        <w:ind w:firstLine="411" w:firstLineChars="196"/>
        <w:jc w:val="both"/>
        <w:rPr>
          <w:rFonts w:hint="eastAsia" w:ascii="楷体" w:hAnsi="楷体" w:eastAsia="楷体" w:cs="Arial"/>
          <w:szCs w:val="24"/>
        </w:rPr>
      </w:pPr>
      <w:r>
        <w:rPr>
          <w:rFonts w:hint="eastAsia" w:ascii="楷体" w:hAnsi="楷体" w:eastAsia="楷体" w:cs="Arial"/>
          <w:szCs w:val="24"/>
        </w:rPr>
        <w:t xml:space="preserve"> (1)供应商按季度向招标人提供服务明细清单及服务费用结算清单。招标人在确认上述内容并收到等额的增值税专用发票后15天内，甲方按照服务费总额100%的款项支付。</w:t>
      </w:r>
    </w:p>
    <w:p w14:paraId="41137886">
      <w:pPr>
        <w:autoSpaceDE w:val="0"/>
        <w:autoSpaceDN w:val="0"/>
        <w:spacing w:line="360" w:lineRule="auto"/>
        <w:ind w:firstLine="411" w:firstLineChars="196"/>
        <w:jc w:val="both"/>
        <w:rPr>
          <w:rFonts w:ascii="楷体" w:hAnsi="楷体" w:eastAsia="楷体" w:cs="Arial"/>
          <w:szCs w:val="24"/>
        </w:rPr>
      </w:pPr>
      <w:r>
        <w:rPr>
          <w:rFonts w:hint="eastAsia" w:ascii="楷体" w:hAnsi="楷体" w:eastAsia="楷体" w:cs="Arial"/>
          <w:szCs w:val="24"/>
        </w:rPr>
        <w:t>(2)履约保证金：无。</w:t>
      </w:r>
    </w:p>
    <w:p w14:paraId="50643A00">
      <w:pPr>
        <w:spacing w:line="360" w:lineRule="auto"/>
        <w:ind w:firstLine="420" w:firstLineChars="200"/>
        <w:jc w:val="both"/>
        <w:rPr>
          <w:rFonts w:ascii="楷体" w:hAnsi="楷体" w:eastAsia="楷体" w:cs="Arial"/>
          <w:szCs w:val="24"/>
        </w:rPr>
      </w:pPr>
      <w:r>
        <w:rPr>
          <w:rFonts w:hint="eastAsia" w:ascii="楷体" w:hAnsi="楷体" w:eastAsia="楷体" w:cs="Arial"/>
          <w:szCs w:val="24"/>
        </w:rPr>
        <w:t>4.增值税专用发票的相关约定</w:t>
      </w:r>
    </w:p>
    <w:p w14:paraId="0CC14DDC">
      <w:pPr>
        <w:autoSpaceDE w:val="0"/>
        <w:autoSpaceDN w:val="0"/>
        <w:spacing w:line="360" w:lineRule="auto"/>
        <w:ind w:firstLine="411" w:firstLineChars="196"/>
        <w:jc w:val="both"/>
        <w:rPr>
          <w:rFonts w:ascii="楷体" w:hAnsi="楷体" w:eastAsia="楷体" w:cs="Arial"/>
          <w:szCs w:val="24"/>
        </w:rPr>
      </w:pPr>
      <w:r>
        <w:rPr>
          <w:rFonts w:hint="eastAsia" w:ascii="楷体" w:hAnsi="楷体" w:eastAsia="楷体" w:cs="Arial"/>
          <w:szCs w:val="24"/>
        </w:rPr>
        <w:t xml:space="preserve">（1）乙方应向甲方开具增值税专用发票，甲方开票信息如下： </w:t>
      </w:r>
    </w:p>
    <w:p w14:paraId="30C4B0B9">
      <w:pPr>
        <w:autoSpaceDE w:val="0"/>
        <w:autoSpaceDN w:val="0"/>
        <w:spacing w:line="360" w:lineRule="auto"/>
        <w:ind w:firstLine="411" w:firstLineChars="196"/>
        <w:jc w:val="both"/>
        <w:rPr>
          <w:rFonts w:ascii="楷体" w:hAnsi="楷体" w:eastAsia="楷体" w:cs="Arial"/>
          <w:szCs w:val="24"/>
        </w:rPr>
      </w:pPr>
      <w:r>
        <w:rPr>
          <w:rFonts w:hint="eastAsia" w:ascii="楷体" w:hAnsi="楷体" w:eastAsia="楷体" w:cs="Arial"/>
          <w:szCs w:val="24"/>
        </w:rPr>
        <w:t xml:space="preserve">公司名称： </w:t>
      </w:r>
      <w:r>
        <w:rPr>
          <w:rFonts w:ascii="楷体" w:hAnsi="楷体" w:eastAsia="楷体" w:cs="Arial"/>
          <w:szCs w:val="24"/>
        </w:rPr>
        <w:t>_______________________________</w:t>
      </w:r>
    </w:p>
    <w:p w14:paraId="60293DC7">
      <w:pPr>
        <w:autoSpaceDE w:val="0"/>
        <w:autoSpaceDN w:val="0"/>
        <w:spacing w:line="360" w:lineRule="auto"/>
        <w:ind w:firstLine="411" w:firstLineChars="196"/>
        <w:jc w:val="both"/>
        <w:rPr>
          <w:rFonts w:ascii="楷体" w:hAnsi="楷体" w:eastAsia="楷体" w:cs="Arial"/>
          <w:szCs w:val="24"/>
        </w:rPr>
      </w:pPr>
      <w:r>
        <w:rPr>
          <w:rFonts w:hint="eastAsia" w:ascii="楷体" w:hAnsi="楷体" w:eastAsia="楷体" w:cs="Arial"/>
          <w:szCs w:val="24"/>
        </w:rPr>
        <w:t xml:space="preserve">纳税识别号： </w:t>
      </w:r>
      <w:r>
        <w:rPr>
          <w:rFonts w:ascii="楷体" w:hAnsi="楷体" w:eastAsia="楷体" w:cs="Arial"/>
          <w:szCs w:val="24"/>
        </w:rPr>
        <w:t>_____________________________</w:t>
      </w:r>
    </w:p>
    <w:p w14:paraId="35397B0F">
      <w:pPr>
        <w:autoSpaceDE w:val="0"/>
        <w:autoSpaceDN w:val="0"/>
        <w:spacing w:line="360" w:lineRule="auto"/>
        <w:ind w:firstLine="411" w:firstLineChars="196"/>
        <w:jc w:val="both"/>
        <w:rPr>
          <w:rFonts w:ascii="楷体" w:hAnsi="楷体" w:eastAsia="楷体" w:cs="Arial"/>
          <w:szCs w:val="24"/>
        </w:rPr>
      </w:pPr>
      <w:r>
        <w:rPr>
          <w:rFonts w:hint="eastAsia" w:ascii="楷体" w:hAnsi="楷体" w:eastAsia="楷体" w:cs="Arial"/>
          <w:szCs w:val="24"/>
        </w:rPr>
        <w:t xml:space="preserve">银行账号： </w:t>
      </w:r>
      <w:r>
        <w:rPr>
          <w:rFonts w:ascii="楷体" w:hAnsi="楷体" w:eastAsia="楷体" w:cs="Arial"/>
          <w:szCs w:val="24"/>
        </w:rPr>
        <w:t>_______________________________</w:t>
      </w:r>
    </w:p>
    <w:p w14:paraId="0DB5F61A">
      <w:pPr>
        <w:autoSpaceDE w:val="0"/>
        <w:autoSpaceDN w:val="0"/>
        <w:spacing w:line="360" w:lineRule="auto"/>
        <w:ind w:firstLine="411" w:firstLineChars="196"/>
        <w:jc w:val="both"/>
        <w:rPr>
          <w:rFonts w:ascii="楷体" w:hAnsi="楷体" w:eastAsia="楷体" w:cs="Arial"/>
          <w:szCs w:val="24"/>
        </w:rPr>
      </w:pPr>
      <w:r>
        <w:rPr>
          <w:rFonts w:hint="eastAsia" w:ascii="楷体" w:hAnsi="楷体" w:eastAsia="楷体" w:cs="Arial"/>
          <w:szCs w:val="24"/>
        </w:rPr>
        <w:t xml:space="preserve">开户银行： </w:t>
      </w:r>
      <w:r>
        <w:rPr>
          <w:rFonts w:ascii="楷体" w:hAnsi="楷体" w:eastAsia="楷体" w:cs="Arial"/>
          <w:szCs w:val="24"/>
        </w:rPr>
        <w:t>_______________________________</w:t>
      </w:r>
    </w:p>
    <w:p w14:paraId="62E9ED84">
      <w:pPr>
        <w:autoSpaceDE w:val="0"/>
        <w:autoSpaceDN w:val="0"/>
        <w:spacing w:line="360" w:lineRule="auto"/>
        <w:ind w:firstLine="411" w:firstLineChars="196"/>
        <w:jc w:val="both"/>
        <w:rPr>
          <w:rFonts w:ascii="楷体" w:hAnsi="楷体" w:eastAsia="楷体" w:cs="Arial"/>
          <w:szCs w:val="24"/>
        </w:rPr>
      </w:pPr>
      <w:r>
        <w:rPr>
          <w:rFonts w:hint="eastAsia" w:ascii="楷体" w:hAnsi="楷体" w:eastAsia="楷体" w:cs="Arial"/>
          <w:szCs w:val="24"/>
        </w:rPr>
        <w:t xml:space="preserve">开票地址： </w:t>
      </w:r>
      <w:r>
        <w:rPr>
          <w:rFonts w:ascii="楷体" w:hAnsi="楷体" w:eastAsia="楷体" w:cs="Arial"/>
          <w:szCs w:val="24"/>
        </w:rPr>
        <w:t>_______________________________</w:t>
      </w:r>
    </w:p>
    <w:p w14:paraId="012FFDEC">
      <w:pPr>
        <w:autoSpaceDE w:val="0"/>
        <w:autoSpaceDN w:val="0"/>
        <w:spacing w:line="360" w:lineRule="auto"/>
        <w:ind w:firstLine="411" w:firstLineChars="196"/>
        <w:jc w:val="both"/>
        <w:rPr>
          <w:rFonts w:ascii="楷体" w:hAnsi="楷体" w:eastAsia="楷体" w:cs="Arial"/>
          <w:szCs w:val="24"/>
        </w:rPr>
      </w:pPr>
      <w:r>
        <w:rPr>
          <w:rFonts w:hint="eastAsia" w:ascii="楷体" w:hAnsi="楷体" w:eastAsia="楷体" w:cs="Arial"/>
          <w:szCs w:val="24"/>
        </w:rPr>
        <w:t xml:space="preserve">开票电话： </w:t>
      </w:r>
      <w:r>
        <w:rPr>
          <w:rFonts w:ascii="楷体" w:hAnsi="楷体" w:eastAsia="楷体" w:cs="Arial"/>
          <w:szCs w:val="24"/>
        </w:rPr>
        <w:t>_______________________________</w:t>
      </w:r>
    </w:p>
    <w:p w14:paraId="4316A1C3">
      <w:pPr>
        <w:autoSpaceDE w:val="0"/>
        <w:autoSpaceDN w:val="0"/>
        <w:spacing w:line="360" w:lineRule="auto"/>
        <w:ind w:firstLine="411" w:firstLineChars="196"/>
        <w:jc w:val="both"/>
        <w:rPr>
          <w:rFonts w:ascii="楷体" w:hAnsi="楷体" w:eastAsia="楷体" w:cs="Arial"/>
          <w:szCs w:val="24"/>
        </w:rPr>
      </w:pPr>
      <w:r>
        <w:rPr>
          <w:rFonts w:hint="eastAsia" w:ascii="楷体" w:hAnsi="楷体" w:eastAsia="楷体" w:cs="Arial"/>
          <w:szCs w:val="24"/>
        </w:rPr>
        <w:t>（2）乙方同时向甲方公司及其分支机构提供产品及服务的，双方应在合同中约定甲方的分支机构和对应的价款。乙方应分别对清单中的费用承担方开具相应金额的增值税专用发票；</w:t>
      </w:r>
    </w:p>
    <w:p w14:paraId="6A52BA65">
      <w:pPr>
        <w:autoSpaceDE w:val="0"/>
        <w:autoSpaceDN w:val="0"/>
        <w:spacing w:line="360" w:lineRule="auto"/>
        <w:ind w:firstLine="411" w:firstLineChars="196"/>
        <w:jc w:val="both"/>
        <w:rPr>
          <w:rFonts w:ascii="楷体" w:hAnsi="楷体" w:eastAsia="楷体" w:cs="Arial"/>
          <w:szCs w:val="24"/>
        </w:rPr>
      </w:pPr>
      <w:r>
        <w:rPr>
          <w:rFonts w:hint="eastAsia" w:ascii="楷体" w:hAnsi="楷体" w:eastAsia="楷体" w:cs="Arial"/>
          <w:szCs w:val="24"/>
        </w:rPr>
        <w:t>（3）乙方应在每次增值税专用发票开具后的30个自然日内向甲方提交相应增值税专用发票，否则甲方有权拒收发票。经多次分批的增值税专用发票的开具、提交以及双方收付款，</w:t>
      </w:r>
      <w:r>
        <w:rPr>
          <w:rFonts w:hint="eastAsia" w:ascii="楷体_GB2312" w:hAnsi="宋体" w:eastAsia="楷体_GB2312"/>
        </w:rPr>
        <w:t>乙方开具并提交甲方的增值税专用发票的价税合计金额应与甲方已经支付的价税合计款项保持一致</w:t>
      </w:r>
      <w:r>
        <w:rPr>
          <w:rFonts w:hint="eastAsia" w:ascii="楷体" w:hAnsi="楷体" w:eastAsia="楷体" w:cs="Arial"/>
          <w:szCs w:val="24"/>
        </w:rPr>
        <w:t xml:space="preserve">； </w:t>
      </w:r>
    </w:p>
    <w:p w14:paraId="53136354">
      <w:pPr>
        <w:autoSpaceDE w:val="0"/>
        <w:autoSpaceDN w:val="0"/>
        <w:spacing w:line="360" w:lineRule="auto"/>
        <w:ind w:firstLine="411" w:firstLineChars="196"/>
        <w:jc w:val="both"/>
        <w:rPr>
          <w:rFonts w:ascii="楷体" w:hAnsi="楷体" w:eastAsia="楷体" w:cs="Arial"/>
          <w:szCs w:val="24"/>
        </w:rPr>
      </w:pPr>
      <w:r>
        <w:rPr>
          <w:rFonts w:hint="eastAsia" w:ascii="楷体" w:hAnsi="楷体" w:eastAsia="楷体" w:cs="Arial"/>
          <w:szCs w:val="24"/>
        </w:rPr>
        <w:t>（4）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p>
    <w:p w14:paraId="0D95F8FA">
      <w:pPr>
        <w:autoSpaceDE w:val="0"/>
        <w:autoSpaceDN w:val="0"/>
        <w:spacing w:line="360" w:lineRule="auto"/>
        <w:ind w:firstLine="411" w:firstLineChars="196"/>
        <w:jc w:val="both"/>
        <w:rPr>
          <w:rFonts w:ascii="楷体" w:hAnsi="楷体" w:eastAsia="楷体" w:cs="Arial"/>
          <w:szCs w:val="24"/>
        </w:rPr>
      </w:pPr>
      <w:r>
        <w:rPr>
          <w:rFonts w:hint="eastAsia" w:ascii="楷体" w:hAnsi="楷体" w:eastAsia="楷体" w:cs="Arial"/>
          <w:szCs w:val="24"/>
        </w:rPr>
        <w:t>（5）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14:paraId="0F50320D">
      <w:pPr>
        <w:autoSpaceDE w:val="0"/>
        <w:autoSpaceDN w:val="0"/>
        <w:spacing w:line="360" w:lineRule="auto"/>
        <w:ind w:firstLine="411" w:firstLineChars="196"/>
        <w:jc w:val="both"/>
        <w:rPr>
          <w:rFonts w:ascii="楷体" w:hAnsi="楷体" w:eastAsia="楷体" w:cs="Arial"/>
          <w:szCs w:val="24"/>
        </w:rPr>
      </w:pPr>
      <w:r>
        <w:rPr>
          <w:rFonts w:hint="eastAsia" w:ascii="楷体" w:hAnsi="楷体" w:eastAsia="楷体" w:cs="Arial"/>
          <w:szCs w:val="24"/>
        </w:rPr>
        <w:t>（6）为保证取得的发票可以及时并成功获得抵扣，乙方开具的增值税专用发票送达并经甲方签收后，若发生丢失，乙方应积极协助甲方，按照相关税收法规和文件的规定提供相应资料，并确保甲方顺利获得抵扣；</w:t>
      </w:r>
    </w:p>
    <w:p w14:paraId="3022DBD1">
      <w:pPr>
        <w:autoSpaceDE w:val="0"/>
        <w:autoSpaceDN w:val="0"/>
        <w:spacing w:line="360" w:lineRule="auto"/>
        <w:ind w:firstLine="411" w:firstLineChars="196"/>
        <w:jc w:val="both"/>
        <w:rPr>
          <w:rFonts w:ascii="楷体" w:hAnsi="楷体" w:eastAsia="楷体" w:cs="Arial"/>
          <w:szCs w:val="24"/>
        </w:rPr>
      </w:pPr>
      <w:r>
        <w:rPr>
          <w:rFonts w:hint="eastAsia" w:ascii="楷体" w:hAnsi="楷体" w:eastAsia="楷体" w:cs="Arial"/>
          <w:szCs w:val="24"/>
        </w:rPr>
        <w:t>（7）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14:paraId="7F1BF58C">
      <w:pPr>
        <w:pStyle w:val="3"/>
        <w:ind w:firstLine="482"/>
        <w:outlineLvl w:val="9"/>
        <w:rPr>
          <w:rFonts w:hint="eastAsia"/>
        </w:rPr>
      </w:pPr>
    </w:p>
    <w:p w14:paraId="5C8B8134">
      <w:pPr>
        <w:pStyle w:val="3"/>
        <w:ind w:firstLine="482"/>
        <w:outlineLvl w:val="9"/>
        <w:rPr>
          <w:rFonts w:hint="eastAsia"/>
        </w:rPr>
      </w:pPr>
    </w:p>
    <w:p w14:paraId="2E93BAC0">
      <w:pPr>
        <w:pStyle w:val="3"/>
        <w:ind w:firstLine="482"/>
        <w:outlineLvl w:val="9"/>
        <w:rPr>
          <w:rFonts w:hint="eastAsia"/>
        </w:rPr>
      </w:pPr>
    </w:p>
    <w:p w14:paraId="4B9FF32B">
      <w:pPr>
        <w:pStyle w:val="3"/>
        <w:ind w:firstLine="482"/>
        <w:outlineLvl w:val="9"/>
        <w:rPr>
          <w:rFonts w:hint="eastAsia"/>
        </w:rPr>
      </w:pPr>
    </w:p>
    <w:p w14:paraId="0B259706">
      <w:pPr>
        <w:pStyle w:val="3"/>
        <w:ind w:firstLine="482"/>
        <w:outlineLvl w:val="9"/>
        <w:rPr>
          <w:rFonts w:hint="eastAsia"/>
        </w:rPr>
      </w:pPr>
    </w:p>
    <w:p w14:paraId="2BEDF238">
      <w:pPr>
        <w:pStyle w:val="3"/>
        <w:ind w:firstLine="482"/>
        <w:outlineLvl w:val="9"/>
        <w:rPr>
          <w:rFonts w:hint="eastAsia"/>
        </w:rPr>
      </w:pPr>
    </w:p>
    <w:p w14:paraId="3C2AFD58">
      <w:pPr>
        <w:pStyle w:val="3"/>
        <w:ind w:left="0" w:leftChars="0" w:firstLine="0" w:firstLineChars="0"/>
        <w:outlineLvl w:val="9"/>
        <w:rPr>
          <w:rFonts w:hint="eastAsia"/>
        </w:rPr>
      </w:pPr>
    </w:p>
    <w:p w14:paraId="596A0407">
      <w:pPr>
        <w:rPr>
          <w:rFonts w:hint="eastAsia"/>
        </w:rPr>
      </w:pPr>
    </w:p>
    <w:p w14:paraId="714AF3DD">
      <w:pPr>
        <w:pStyle w:val="3"/>
        <w:ind w:firstLine="482"/>
        <w:outlineLvl w:val="9"/>
      </w:pPr>
      <w:bookmarkStart w:id="165" w:name="_Toc3160"/>
      <w:bookmarkStart w:id="166" w:name="_Toc14589"/>
      <w:r>
        <w:rPr>
          <w:rFonts w:hint="eastAsia"/>
        </w:rPr>
        <w:t>附件三</w:t>
      </w:r>
      <w:bookmarkEnd w:id="165"/>
      <w:bookmarkEnd w:id="166"/>
    </w:p>
    <w:p w14:paraId="6C4A2F8A">
      <w:pPr>
        <w:spacing w:line="360" w:lineRule="auto"/>
        <w:jc w:val="center"/>
        <w:outlineLvl w:val="1"/>
        <w:rPr>
          <w:rFonts w:ascii="楷体" w:hAnsi="楷体" w:eastAsia="楷体" w:cs="楷体"/>
          <w:b/>
        </w:rPr>
      </w:pPr>
      <w:bookmarkStart w:id="167" w:name="_Toc6674"/>
      <w:bookmarkStart w:id="168" w:name="_Toc20672"/>
      <w:r>
        <w:rPr>
          <w:rFonts w:hint="eastAsia" w:ascii="楷体" w:hAnsi="楷体" w:eastAsia="楷体" w:cs="楷体"/>
          <w:b/>
        </w:rPr>
        <w:t>双方的权利和义务</w:t>
      </w:r>
      <w:bookmarkEnd w:id="167"/>
      <w:bookmarkEnd w:id="168"/>
    </w:p>
    <w:p w14:paraId="73E0CFF9">
      <w:pPr>
        <w:spacing w:line="360" w:lineRule="auto"/>
        <w:ind w:firstLine="422" w:firstLineChars="200"/>
        <w:jc w:val="both"/>
        <w:rPr>
          <w:rFonts w:ascii="楷体" w:hAnsi="楷体" w:eastAsia="楷体" w:cs="Arial"/>
          <w:b/>
          <w:szCs w:val="24"/>
        </w:rPr>
      </w:pPr>
    </w:p>
    <w:p w14:paraId="05F4A80B">
      <w:pPr>
        <w:spacing w:line="360" w:lineRule="auto"/>
        <w:ind w:firstLine="420" w:firstLineChars="200"/>
        <w:jc w:val="both"/>
        <w:outlineLvl w:val="0"/>
        <w:rPr>
          <w:rFonts w:ascii="楷体" w:hAnsi="楷体" w:eastAsia="楷体" w:cs="Arial"/>
          <w:szCs w:val="24"/>
        </w:rPr>
      </w:pPr>
      <w:bookmarkStart w:id="169" w:name="_Toc5121"/>
      <w:bookmarkStart w:id="170" w:name="_Toc29523"/>
      <w:r>
        <w:rPr>
          <w:rFonts w:hint="eastAsia" w:ascii="楷体" w:hAnsi="楷体" w:eastAsia="楷体" w:cs="Arial"/>
          <w:szCs w:val="24"/>
        </w:rPr>
        <w:t>1.甲方的权利和义务</w:t>
      </w:r>
      <w:bookmarkEnd w:id="169"/>
      <w:bookmarkEnd w:id="170"/>
    </w:p>
    <w:p w14:paraId="03B1E70F">
      <w:pPr>
        <w:spacing w:line="360" w:lineRule="auto"/>
        <w:ind w:firstLine="516" w:firstLineChars="200"/>
        <w:jc w:val="both"/>
        <w:rPr>
          <w:rFonts w:ascii="楷体" w:hAnsi="楷体" w:eastAsia="楷体" w:cs="Arial"/>
          <w:snapToGrid w:val="0"/>
          <w:spacing w:val="24"/>
          <w:szCs w:val="24"/>
        </w:rPr>
      </w:pPr>
    </w:p>
    <w:p w14:paraId="5E6153A1">
      <w:pPr>
        <w:spacing w:line="360" w:lineRule="auto"/>
        <w:ind w:firstLine="480"/>
        <w:jc w:val="both"/>
        <w:outlineLvl w:val="0"/>
        <w:rPr>
          <w:rFonts w:ascii="楷体" w:hAnsi="楷体" w:eastAsia="楷体" w:cs="Arial"/>
          <w:szCs w:val="24"/>
        </w:rPr>
      </w:pPr>
      <w:bookmarkStart w:id="171" w:name="_Toc11091"/>
      <w:bookmarkStart w:id="172" w:name="_Toc2868"/>
      <w:r>
        <w:rPr>
          <w:rFonts w:hint="eastAsia" w:ascii="楷体" w:hAnsi="楷体" w:eastAsia="楷体" w:cs="Arial"/>
          <w:szCs w:val="24"/>
        </w:rPr>
        <w:t>2.乙方的权利和义务</w:t>
      </w:r>
      <w:bookmarkEnd w:id="171"/>
      <w:bookmarkEnd w:id="172"/>
    </w:p>
    <w:p w14:paraId="46E573EF"/>
    <w:p w14:paraId="6B05D452">
      <w:pPr>
        <w:pStyle w:val="3"/>
        <w:ind w:firstLine="482"/>
        <w:outlineLvl w:val="9"/>
        <w:rPr>
          <w:rFonts w:hint="eastAsia"/>
        </w:rPr>
      </w:pPr>
    </w:p>
    <w:p w14:paraId="0A4EF4C3">
      <w:pPr>
        <w:pStyle w:val="3"/>
        <w:ind w:firstLine="482"/>
        <w:outlineLvl w:val="9"/>
        <w:rPr>
          <w:rFonts w:hint="eastAsia"/>
        </w:rPr>
      </w:pPr>
    </w:p>
    <w:p w14:paraId="496FD105">
      <w:pPr>
        <w:pStyle w:val="3"/>
        <w:ind w:firstLine="482"/>
        <w:outlineLvl w:val="9"/>
        <w:rPr>
          <w:rFonts w:hint="eastAsia" w:eastAsia="宋体"/>
          <w:lang w:val="en-US" w:eastAsia="zh-CN"/>
        </w:rPr>
      </w:pPr>
    </w:p>
    <w:p w14:paraId="6C58EE4A">
      <w:pPr>
        <w:pStyle w:val="3"/>
        <w:ind w:firstLine="482"/>
        <w:outlineLvl w:val="9"/>
        <w:rPr>
          <w:rFonts w:hint="eastAsia"/>
        </w:rPr>
      </w:pPr>
    </w:p>
    <w:p w14:paraId="127625E7">
      <w:pPr>
        <w:pStyle w:val="3"/>
        <w:ind w:firstLine="482"/>
        <w:outlineLvl w:val="9"/>
        <w:rPr>
          <w:rFonts w:hint="eastAsia"/>
        </w:rPr>
      </w:pPr>
    </w:p>
    <w:p w14:paraId="026BC93C">
      <w:pPr>
        <w:pStyle w:val="3"/>
        <w:ind w:firstLine="482"/>
        <w:outlineLvl w:val="9"/>
        <w:rPr>
          <w:rFonts w:hint="eastAsia"/>
        </w:rPr>
      </w:pPr>
    </w:p>
    <w:p w14:paraId="4F888576">
      <w:pPr>
        <w:pStyle w:val="3"/>
        <w:ind w:firstLine="482"/>
        <w:outlineLvl w:val="9"/>
        <w:rPr>
          <w:rFonts w:hint="eastAsia"/>
        </w:rPr>
      </w:pPr>
    </w:p>
    <w:p w14:paraId="4AACC230">
      <w:pPr>
        <w:pStyle w:val="3"/>
        <w:ind w:firstLine="482"/>
        <w:outlineLvl w:val="9"/>
        <w:rPr>
          <w:rFonts w:hint="eastAsia"/>
        </w:rPr>
      </w:pPr>
    </w:p>
    <w:p w14:paraId="6C9A3B82">
      <w:pPr>
        <w:pStyle w:val="3"/>
        <w:ind w:firstLine="482"/>
        <w:outlineLvl w:val="9"/>
        <w:rPr>
          <w:rFonts w:hint="eastAsia"/>
        </w:rPr>
      </w:pPr>
    </w:p>
    <w:p w14:paraId="69D5653C">
      <w:pPr>
        <w:rPr>
          <w:rFonts w:hint="eastAsia"/>
        </w:rPr>
      </w:pPr>
    </w:p>
    <w:p w14:paraId="2B3AACF6">
      <w:pPr>
        <w:rPr>
          <w:rFonts w:hint="eastAsia"/>
        </w:rPr>
      </w:pPr>
    </w:p>
    <w:p w14:paraId="1D9096B3">
      <w:pPr>
        <w:rPr>
          <w:rFonts w:hint="eastAsia"/>
        </w:rPr>
      </w:pPr>
    </w:p>
    <w:p w14:paraId="74D390D8">
      <w:pPr>
        <w:rPr>
          <w:rFonts w:hint="eastAsia"/>
        </w:rPr>
      </w:pPr>
    </w:p>
    <w:p w14:paraId="6F0CEDC0">
      <w:pPr>
        <w:rPr>
          <w:rFonts w:hint="eastAsia"/>
        </w:rPr>
      </w:pPr>
    </w:p>
    <w:p w14:paraId="6CFDD9F4">
      <w:pPr>
        <w:rPr>
          <w:rFonts w:hint="eastAsia"/>
        </w:rPr>
      </w:pPr>
    </w:p>
    <w:p w14:paraId="0931B967">
      <w:pPr>
        <w:rPr>
          <w:rFonts w:hint="eastAsia"/>
        </w:rPr>
      </w:pPr>
    </w:p>
    <w:p w14:paraId="2D529C07">
      <w:pPr>
        <w:rPr>
          <w:rFonts w:hint="eastAsia"/>
        </w:rPr>
      </w:pPr>
    </w:p>
    <w:p w14:paraId="1752CA1F">
      <w:pPr>
        <w:rPr>
          <w:rFonts w:hint="eastAsia"/>
        </w:rPr>
      </w:pPr>
    </w:p>
    <w:p w14:paraId="17BCC168">
      <w:pPr>
        <w:rPr>
          <w:rFonts w:hint="eastAsia"/>
        </w:rPr>
      </w:pPr>
    </w:p>
    <w:p w14:paraId="59949505">
      <w:pPr>
        <w:rPr>
          <w:rFonts w:hint="eastAsia"/>
        </w:rPr>
      </w:pPr>
    </w:p>
    <w:p w14:paraId="4E44FCBF">
      <w:pPr>
        <w:rPr>
          <w:rFonts w:hint="eastAsia"/>
        </w:rPr>
      </w:pPr>
    </w:p>
    <w:p w14:paraId="0C209234">
      <w:pPr>
        <w:rPr>
          <w:rFonts w:hint="eastAsia"/>
        </w:rPr>
      </w:pPr>
    </w:p>
    <w:p w14:paraId="102B394A">
      <w:pPr>
        <w:rPr>
          <w:rFonts w:hint="eastAsia"/>
        </w:rPr>
      </w:pPr>
    </w:p>
    <w:p w14:paraId="2D7235B4">
      <w:pPr>
        <w:rPr>
          <w:rFonts w:hint="eastAsia"/>
        </w:rPr>
      </w:pPr>
    </w:p>
    <w:p w14:paraId="7E171C2A">
      <w:pPr>
        <w:rPr>
          <w:rFonts w:hint="eastAsia"/>
        </w:rPr>
      </w:pPr>
    </w:p>
    <w:p w14:paraId="74D1A787">
      <w:pPr>
        <w:rPr>
          <w:rFonts w:hint="eastAsia"/>
        </w:rPr>
      </w:pPr>
    </w:p>
    <w:p w14:paraId="530E894B">
      <w:pPr>
        <w:rPr>
          <w:rFonts w:hint="eastAsia"/>
        </w:rPr>
      </w:pPr>
    </w:p>
    <w:p w14:paraId="2DF4BDDC">
      <w:pPr>
        <w:rPr>
          <w:rFonts w:hint="eastAsia"/>
        </w:rPr>
      </w:pPr>
    </w:p>
    <w:p w14:paraId="70921BBC">
      <w:pPr>
        <w:pStyle w:val="3"/>
        <w:ind w:firstLine="482"/>
        <w:outlineLvl w:val="9"/>
        <w:rPr>
          <w:rFonts w:hint="eastAsia"/>
        </w:rPr>
      </w:pPr>
    </w:p>
    <w:p w14:paraId="112AD524">
      <w:pPr>
        <w:pStyle w:val="3"/>
        <w:ind w:firstLine="482"/>
        <w:outlineLvl w:val="9"/>
      </w:pPr>
      <w:bookmarkStart w:id="173" w:name="_Toc8"/>
      <w:bookmarkStart w:id="174" w:name="_Toc6095"/>
      <w:r>
        <w:rPr>
          <w:rFonts w:hint="eastAsia"/>
        </w:rPr>
        <w:t>附件四</w:t>
      </w:r>
      <w:bookmarkEnd w:id="173"/>
      <w:bookmarkEnd w:id="174"/>
    </w:p>
    <w:p w14:paraId="23C8EF8C">
      <w:pPr>
        <w:spacing w:line="360" w:lineRule="auto"/>
        <w:jc w:val="center"/>
        <w:outlineLvl w:val="1"/>
        <w:rPr>
          <w:rFonts w:ascii="楷体" w:hAnsi="楷体" w:eastAsia="楷体"/>
          <w:b/>
        </w:rPr>
      </w:pPr>
      <w:bookmarkStart w:id="175" w:name="_Toc30644"/>
      <w:bookmarkStart w:id="176" w:name="_Toc14358"/>
      <w:r>
        <w:rPr>
          <w:rFonts w:hint="eastAsia" w:ascii="楷体" w:hAnsi="楷体" w:eastAsia="楷体"/>
          <w:b/>
        </w:rPr>
        <w:t>违约责任</w:t>
      </w:r>
      <w:bookmarkEnd w:id="175"/>
      <w:bookmarkEnd w:id="176"/>
    </w:p>
    <w:p w14:paraId="3EFE1385">
      <w:pPr>
        <w:spacing w:line="360" w:lineRule="auto"/>
        <w:ind w:firstLine="420" w:firstLineChars="200"/>
        <w:rPr>
          <w:rFonts w:ascii="楷体" w:hAnsi="楷体" w:eastAsia="楷体"/>
        </w:rPr>
      </w:pPr>
    </w:p>
    <w:p w14:paraId="79176CE9">
      <w:pPr>
        <w:spacing w:line="360" w:lineRule="auto"/>
        <w:ind w:firstLine="420" w:firstLineChars="200"/>
        <w:rPr>
          <w:rFonts w:hint="eastAsia" w:ascii="楷体" w:hAnsi="楷体" w:eastAsia="楷体"/>
        </w:rPr>
      </w:pPr>
      <w:r>
        <w:rPr>
          <w:rFonts w:hint="eastAsia" w:ascii="楷体" w:hAnsi="楷体" w:eastAsia="楷体"/>
        </w:rPr>
        <w:t>除合同约定的违约责任以外，任何一方存在以下约定情形的，应承担相应的违约责任：</w:t>
      </w:r>
    </w:p>
    <w:p w14:paraId="073F54F3">
      <w:pPr>
        <w:rPr>
          <w:rFonts w:hint="eastAsia" w:ascii="楷体" w:hAnsi="楷体" w:eastAsia="楷体"/>
        </w:rPr>
      </w:pPr>
      <w:r>
        <w:rPr>
          <w:rFonts w:hint="eastAsia" w:ascii="楷体" w:hAnsi="楷体" w:eastAsia="楷体"/>
        </w:rPr>
        <w:br w:type="page"/>
      </w:r>
    </w:p>
    <w:p w14:paraId="63DDD846">
      <w:pPr>
        <w:pStyle w:val="3"/>
        <w:ind w:firstLine="482"/>
        <w:outlineLvl w:val="9"/>
        <w:rPr>
          <w:rFonts w:hint="eastAsia" w:eastAsia="楷体"/>
          <w:lang w:eastAsia="zh-CN"/>
        </w:rPr>
      </w:pPr>
      <w:bookmarkStart w:id="177" w:name="_Toc32659"/>
      <w:bookmarkStart w:id="178" w:name="_Toc2436"/>
      <w:r>
        <w:rPr>
          <w:rFonts w:hint="eastAsia"/>
        </w:rPr>
        <w:t>附件</w:t>
      </w:r>
      <w:r>
        <w:rPr>
          <w:rFonts w:hint="eastAsia"/>
          <w:lang w:val="en-US" w:eastAsia="zh-CN"/>
        </w:rPr>
        <w:t>五</w:t>
      </w:r>
      <w:bookmarkEnd w:id="177"/>
      <w:bookmarkEnd w:id="178"/>
    </w:p>
    <w:p w14:paraId="10C8B7BF">
      <w:pPr>
        <w:keepNext w:val="0"/>
        <w:keepLines w:val="0"/>
        <w:widowControl w:val="0"/>
        <w:suppressLineNumbers w:val="0"/>
        <w:spacing w:before="312" w:beforeLines="100" w:beforeAutospacing="0" w:after="312" w:afterLines="100" w:afterAutospacing="0" w:line="300" w:lineRule="auto"/>
        <w:ind w:left="0" w:right="0"/>
        <w:jc w:val="center"/>
        <w:outlineLvl w:val="0"/>
        <w:rPr>
          <w:rFonts w:hint="eastAsia" w:ascii="楷体" w:hAnsi="楷体" w:eastAsia="楷体" w:cs="楷体"/>
          <w:b/>
          <w:bCs/>
          <w:spacing w:val="20"/>
          <w:sz w:val="28"/>
          <w:szCs w:val="28"/>
          <w:lang w:val="en-US"/>
        </w:rPr>
      </w:pPr>
      <w:bookmarkStart w:id="179" w:name="_Toc1856"/>
      <w:bookmarkStart w:id="180" w:name="_Toc4506"/>
      <w:r>
        <w:rPr>
          <w:rFonts w:hint="eastAsia" w:ascii="楷体" w:hAnsi="楷体" w:eastAsia="楷体" w:cs="楷体"/>
          <w:b/>
          <w:bCs/>
          <w:spacing w:val="20"/>
          <w:kern w:val="2"/>
          <w:sz w:val="28"/>
          <w:szCs w:val="28"/>
          <w:lang w:val="en-US" w:eastAsia="zh-CN" w:bidi="ar"/>
        </w:rPr>
        <w:t>廉洁诚信协议</w:t>
      </w:r>
      <w:bookmarkEnd w:id="179"/>
      <w:bookmarkEnd w:id="180"/>
    </w:p>
    <w:p w14:paraId="47CA07EB">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14:paraId="529E3E70">
      <w:pPr>
        <w:keepNext w:val="0"/>
        <w:keepLines w:val="0"/>
        <w:widowControl w:val="0"/>
        <w:suppressLineNumbers w:val="0"/>
        <w:spacing w:before="312" w:beforeLines="100" w:beforeAutospacing="0" w:after="312" w:afterLines="100" w:afterAutospacing="0" w:line="300" w:lineRule="auto"/>
        <w:ind w:left="0" w:right="0" w:firstLine="482" w:firstLineChars="200"/>
        <w:jc w:val="both"/>
        <w:outlineLvl w:val="0"/>
        <w:rPr>
          <w:rFonts w:hint="eastAsia" w:ascii="楷体" w:hAnsi="楷体" w:eastAsia="楷体" w:cs="楷体"/>
          <w:b/>
          <w:bCs/>
          <w:sz w:val="24"/>
          <w:szCs w:val="24"/>
          <w:lang w:val="en-US"/>
        </w:rPr>
      </w:pPr>
      <w:bookmarkStart w:id="181" w:name="_Toc29236"/>
      <w:bookmarkStart w:id="182" w:name="_Toc4235"/>
      <w:r>
        <w:rPr>
          <w:rFonts w:hint="eastAsia" w:ascii="楷体" w:hAnsi="楷体" w:eastAsia="楷体" w:cs="楷体"/>
          <w:b/>
          <w:bCs/>
          <w:kern w:val="2"/>
          <w:sz w:val="24"/>
          <w:szCs w:val="24"/>
          <w:lang w:val="en-US" w:eastAsia="zh-CN" w:bidi="ar"/>
        </w:rPr>
        <w:t>第一条  总则</w:t>
      </w:r>
      <w:bookmarkEnd w:id="181"/>
      <w:bookmarkEnd w:id="182"/>
    </w:p>
    <w:p w14:paraId="150553C1">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1.1甲乙双方均应当严格遵守国家法律法规和甲方集中采购管理、供应商管理的相关要求，不从事任何违法违规违纪行为。坚持诚实守信原则，恪守商业道德和职业道德，规范商务人员廉洁从业行为。</w:t>
      </w:r>
    </w:p>
    <w:p w14:paraId="6D7BEDF8">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14:paraId="2451BBA0">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1.3本协议所称相关主体，对任何一方而言，包括但不限于以下单位或者个人：</w:t>
      </w:r>
    </w:p>
    <w:p w14:paraId="1322B930">
      <w:pPr>
        <w:keepNext w:val="0"/>
        <w:keepLines w:val="0"/>
        <w:widowControl w:val="0"/>
        <w:suppressLineNumbers w:val="0"/>
        <w:spacing w:before="0" w:beforeAutospacing="0" w:after="312" w:afterLines="100" w:afterAutospacing="0"/>
        <w:ind w:left="0" w:right="0" w:firstLine="480" w:firstLineChars="200"/>
        <w:jc w:val="both"/>
        <w:outlineLvl w:val="1"/>
        <w:rPr>
          <w:rFonts w:hint="eastAsia" w:ascii="楷体" w:hAnsi="楷体" w:eastAsia="楷体" w:cs="楷体"/>
          <w:sz w:val="24"/>
          <w:szCs w:val="24"/>
          <w:lang w:val="en-US"/>
        </w:rPr>
      </w:pPr>
      <w:bookmarkStart w:id="183" w:name="_Toc22819"/>
      <w:bookmarkStart w:id="184" w:name="_Toc17983"/>
      <w:r>
        <w:rPr>
          <w:rFonts w:hint="eastAsia" w:ascii="楷体" w:hAnsi="楷体" w:eastAsia="楷体" w:cs="楷体"/>
          <w:kern w:val="2"/>
          <w:sz w:val="24"/>
          <w:szCs w:val="24"/>
          <w:lang w:val="en-US" w:eastAsia="zh-CN" w:bidi="ar"/>
        </w:rPr>
        <w:t>（1）一方或其关联方之工作人员；</w:t>
      </w:r>
      <w:bookmarkEnd w:id="183"/>
      <w:bookmarkEnd w:id="184"/>
    </w:p>
    <w:p w14:paraId="2A82BB46">
      <w:pPr>
        <w:keepNext w:val="0"/>
        <w:keepLines w:val="0"/>
        <w:widowControl w:val="0"/>
        <w:suppressLineNumbers w:val="0"/>
        <w:spacing w:before="0" w:beforeAutospacing="0" w:after="312" w:afterLines="100" w:afterAutospacing="0"/>
        <w:ind w:left="0" w:right="0" w:firstLine="480" w:firstLineChars="200"/>
        <w:jc w:val="both"/>
        <w:outlineLvl w:val="1"/>
        <w:rPr>
          <w:rFonts w:hint="eastAsia" w:ascii="楷体" w:hAnsi="楷体" w:eastAsia="楷体" w:cs="楷体"/>
          <w:sz w:val="24"/>
          <w:szCs w:val="24"/>
          <w:lang w:val="en-US"/>
        </w:rPr>
      </w:pPr>
      <w:bookmarkStart w:id="185" w:name="_Toc16801"/>
      <w:bookmarkStart w:id="186" w:name="_Toc1864"/>
      <w:r>
        <w:rPr>
          <w:rFonts w:hint="eastAsia" w:ascii="楷体" w:hAnsi="楷体" w:eastAsia="楷体" w:cs="楷体"/>
          <w:kern w:val="2"/>
          <w:sz w:val="24"/>
          <w:szCs w:val="24"/>
          <w:lang w:val="en-US" w:eastAsia="zh-CN" w:bidi="ar"/>
        </w:rPr>
        <w:t>（2）受一方委托办理相关事务的单位或者个人；</w:t>
      </w:r>
      <w:bookmarkEnd w:id="185"/>
      <w:bookmarkEnd w:id="186"/>
    </w:p>
    <w:p w14:paraId="3A3650B0">
      <w:pPr>
        <w:keepNext w:val="0"/>
        <w:keepLines w:val="0"/>
        <w:widowControl w:val="0"/>
        <w:suppressLineNumbers w:val="0"/>
        <w:spacing w:before="0" w:beforeAutospacing="0" w:after="312" w:afterLines="100" w:afterAutospacing="0"/>
        <w:ind w:left="0" w:right="0" w:firstLine="480" w:firstLineChars="200"/>
        <w:jc w:val="both"/>
        <w:outlineLvl w:val="1"/>
        <w:rPr>
          <w:rFonts w:hint="eastAsia" w:ascii="楷体" w:hAnsi="楷体" w:eastAsia="楷体" w:cs="楷体"/>
          <w:sz w:val="24"/>
          <w:szCs w:val="24"/>
          <w:lang w:val="en-US"/>
        </w:rPr>
      </w:pPr>
      <w:bookmarkStart w:id="187" w:name="_Toc28836"/>
      <w:bookmarkStart w:id="188" w:name="_Toc12865"/>
      <w:r>
        <w:rPr>
          <w:rFonts w:hint="eastAsia" w:ascii="楷体" w:hAnsi="楷体" w:eastAsia="楷体" w:cs="楷体"/>
          <w:kern w:val="2"/>
          <w:sz w:val="24"/>
          <w:szCs w:val="24"/>
          <w:lang w:val="en-US" w:eastAsia="zh-CN" w:bidi="ar"/>
        </w:rPr>
        <w:t>（3）利用职权或者影响力影响交易的单位或者个人；</w:t>
      </w:r>
      <w:bookmarkEnd w:id="187"/>
      <w:bookmarkEnd w:id="188"/>
    </w:p>
    <w:p w14:paraId="0045F667">
      <w:pPr>
        <w:keepNext w:val="0"/>
        <w:keepLines w:val="0"/>
        <w:widowControl w:val="0"/>
        <w:suppressLineNumbers w:val="0"/>
        <w:spacing w:before="0" w:beforeAutospacing="0" w:after="312" w:afterLines="100" w:afterAutospacing="0"/>
        <w:ind w:left="0" w:right="0" w:firstLine="480" w:firstLineChars="200"/>
        <w:jc w:val="both"/>
        <w:outlineLvl w:val="1"/>
        <w:rPr>
          <w:rFonts w:hint="eastAsia" w:ascii="楷体" w:hAnsi="楷体" w:eastAsia="楷体" w:cs="楷体"/>
          <w:sz w:val="24"/>
          <w:szCs w:val="24"/>
          <w:lang w:val="en-US"/>
        </w:rPr>
      </w:pPr>
      <w:bookmarkStart w:id="189" w:name="_Toc17243"/>
      <w:bookmarkStart w:id="190" w:name="_Toc20292"/>
      <w:r>
        <w:rPr>
          <w:rFonts w:hint="eastAsia" w:ascii="楷体" w:hAnsi="楷体" w:eastAsia="楷体" w:cs="楷体"/>
          <w:kern w:val="2"/>
          <w:sz w:val="24"/>
          <w:szCs w:val="24"/>
          <w:lang w:val="en-US" w:eastAsia="zh-CN" w:bidi="ar"/>
        </w:rPr>
        <w:t>（4）前述相关人员的亲属；</w:t>
      </w:r>
      <w:bookmarkEnd w:id="189"/>
      <w:bookmarkEnd w:id="190"/>
    </w:p>
    <w:p w14:paraId="0A8919B2">
      <w:pPr>
        <w:keepNext w:val="0"/>
        <w:keepLines w:val="0"/>
        <w:widowControl w:val="0"/>
        <w:suppressLineNumbers w:val="0"/>
        <w:spacing w:before="0" w:beforeAutospacing="0" w:after="312" w:afterLines="100" w:afterAutospacing="0"/>
        <w:ind w:left="0" w:right="0" w:firstLine="480" w:firstLineChars="200"/>
        <w:jc w:val="both"/>
        <w:outlineLvl w:val="1"/>
        <w:rPr>
          <w:rFonts w:hint="eastAsia" w:ascii="楷体" w:hAnsi="楷体" w:eastAsia="楷体" w:cs="楷体"/>
          <w:sz w:val="24"/>
          <w:szCs w:val="24"/>
          <w:lang w:val="en-US"/>
        </w:rPr>
      </w:pPr>
      <w:bookmarkStart w:id="191" w:name="_Toc9218"/>
      <w:bookmarkStart w:id="192" w:name="_Toc8774"/>
      <w:r>
        <w:rPr>
          <w:rFonts w:hint="eastAsia" w:ascii="楷体" w:hAnsi="楷体" w:eastAsia="楷体" w:cs="楷体"/>
          <w:kern w:val="2"/>
          <w:sz w:val="24"/>
          <w:szCs w:val="24"/>
          <w:lang w:val="en-US" w:eastAsia="zh-CN" w:bidi="ar"/>
        </w:rPr>
        <w:t>（5）与前述相关主体存在利害关系的其他单位或者人员。</w:t>
      </w:r>
      <w:bookmarkEnd w:id="191"/>
      <w:bookmarkEnd w:id="192"/>
    </w:p>
    <w:p w14:paraId="5F7B521A">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乙方相关主体实施违反本协议约定之行为的，均应视为乙方实施行为。</w:t>
      </w:r>
    </w:p>
    <w:p w14:paraId="43BB7EE0">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1.4一方监督发现对方相关主体在业务合作中存在违规行为的，应当及时提醒并有权向对方纪检部门举报。情节严重构成犯罪的，任何一方均有权向司法机关报案，追究相关单位或者人员的刑事责任。</w:t>
      </w:r>
    </w:p>
    <w:p w14:paraId="0FC7B2E2">
      <w:pPr>
        <w:keepNext w:val="0"/>
        <w:keepLines w:val="0"/>
        <w:widowControl w:val="0"/>
        <w:suppressLineNumbers w:val="0"/>
        <w:spacing w:before="312" w:beforeLines="100" w:beforeAutospacing="0" w:after="312" w:afterLines="100" w:afterAutospacing="0" w:line="300" w:lineRule="auto"/>
        <w:ind w:left="0" w:right="0" w:firstLine="482" w:firstLineChars="200"/>
        <w:jc w:val="both"/>
        <w:outlineLvl w:val="0"/>
        <w:rPr>
          <w:rFonts w:hint="eastAsia" w:ascii="楷体" w:hAnsi="楷体" w:eastAsia="楷体" w:cs="楷体"/>
          <w:b/>
          <w:bCs/>
          <w:sz w:val="24"/>
          <w:szCs w:val="24"/>
          <w:lang w:val="en-US"/>
        </w:rPr>
      </w:pPr>
      <w:bookmarkStart w:id="193" w:name="_Toc13823"/>
      <w:bookmarkStart w:id="194" w:name="_Toc31013"/>
      <w:r>
        <w:rPr>
          <w:rFonts w:hint="eastAsia" w:ascii="楷体" w:hAnsi="楷体" w:eastAsia="楷体" w:cs="楷体"/>
          <w:b/>
          <w:bCs/>
          <w:kern w:val="2"/>
          <w:sz w:val="24"/>
          <w:szCs w:val="24"/>
          <w:lang w:val="en-US" w:eastAsia="zh-CN" w:bidi="ar"/>
        </w:rPr>
        <w:t>第二条  商业贿赂</w:t>
      </w:r>
      <w:bookmarkEnd w:id="193"/>
      <w:bookmarkEnd w:id="194"/>
    </w:p>
    <w:p w14:paraId="02DC2664">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2.1本协议所称商业贿赂，是指乙方或乙方相关主体为获取或意图获取交易机会或者竞争优势，采用财物或者其他形式贿赂甲方或甲方相关主体的行为。</w:t>
      </w:r>
    </w:p>
    <w:p w14:paraId="59FEE3A6">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14:paraId="7FB3AEC4">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2.3本条第1款所称其他形式，包括但不限于：</w:t>
      </w:r>
    </w:p>
    <w:p w14:paraId="56E009A8">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（1）以任何方式实施商业贿赂或违规提供回扣、折扣、宴请与游玩活动或其他不正当利益；</w:t>
      </w:r>
    </w:p>
    <w:p w14:paraId="658EF1FB">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（2）为甲方或甲方相关主体安排有可能影响公平、公正交易的宴请、健身、娱乐等活动；</w:t>
      </w:r>
    </w:p>
    <w:p w14:paraId="48DECC9C">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（3）为甲方或甲方相关主体投资入股、个人借款或买卖股票、债券等提供方便；</w:t>
      </w:r>
    </w:p>
    <w:p w14:paraId="5466C329">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（4）为甲方或甲方相关主体购买或装修住房、婚丧嫁娶、配偶子女上学或工作安排以及出国出境、旅游等提供方便；</w:t>
      </w:r>
    </w:p>
    <w:p w14:paraId="3F6C4BFB">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（5）违反规定为甲方或甲方相关主体在乙方相关企业工作、挂名兼职、合伙经营、介绍承揽业务等提供方便；</w:t>
      </w:r>
    </w:p>
    <w:p w14:paraId="4F8FB54D">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（6）向甲方或甲方相关主体提供借款、融资、担保等；</w:t>
      </w:r>
    </w:p>
    <w:p w14:paraId="19DD5314">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（7）给予或承诺给予其不正当利益的其他行为；</w:t>
      </w:r>
    </w:p>
    <w:p w14:paraId="1EFE48F5">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（8）其他违反国家法律法规或商业道德准则的影响公正交易的行为。</w:t>
      </w:r>
    </w:p>
    <w:p w14:paraId="20531704">
      <w:pPr>
        <w:keepNext w:val="0"/>
        <w:keepLines w:val="0"/>
        <w:widowControl w:val="0"/>
        <w:suppressLineNumbers w:val="0"/>
        <w:spacing w:before="312" w:beforeLines="100" w:beforeAutospacing="0" w:after="312" w:afterLines="100" w:afterAutospacing="0" w:line="300" w:lineRule="auto"/>
        <w:ind w:left="0" w:right="0" w:firstLine="482" w:firstLineChars="200"/>
        <w:jc w:val="both"/>
        <w:outlineLvl w:val="0"/>
        <w:rPr>
          <w:rFonts w:hint="eastAsia" w:ascii="楷体" w:hAnsi="楷体" w:eastAsia="楷体" w:cs="楷体"/>
          <w:b/>
          <w:bCs/>
          <w:sz w:val="24"/>
          <w:szCs w:val="24"/>
          <w:lang w:val="en-US"/>
        </w:rPr>
      </w:pPr>
      <w:bookmarkStart w:id="195" w:name="_Toc15250"/>
      <w:bookmarkStart w:id="196" w:name="_Toc2133"/>
      <w:r>
        <w:rPr>
          <w:rFonts w:hint="eastAsia" w:ascii="楷体" w:hAnsi="楷体" w:eastAsia="楷体" w:cs="楷体"/>
          <w:b/>
          <w:bCs/>
          <w:kern w:val="2"/>
          <w:sz w:val="24"/>
          <w:szCs w:val="24"/>
          <w:lang w:val="en-US" w:eastAsia="zh-CN" w:bidi="ar"/>
        </w:rPr>
        <w:t>第三条  回扣</w:t>
      </w:r>
      <w:bookmarkEnd w:id="195"/>
      <w:bookmarkEnd w:id="196"/>
    </w:p>
    <w:p w14:paraId="3750A8E8">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3.1本协议所称回扣，是指乙方促成合作时在账外暗中以现金、实物或者其他方式退给甲方或甲方相关主体一定比例的商品或服务价款。</w:t>
      </w:r>
    </w:p>
    <w:p w14:paraId="16D6ECB2">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3.2本条第1款所称账外，是指未在依法设立的反映其生产经营活动或者行政事业经费收支的财务账上按照财务会计制度规定明确如实记载，包括不记入财务账、转入其他财务账或者做假账等。</w:t>
      </w:r>
    </w:p>
    <w:p w14:paraId="4CF6D3F4">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3.3乙方在账外暗中给予甲方相关主体回扣的，视为实施商业贿赂行为。</w:t>
      </w:r>
    </w:p>
    <w:p w14:paraId="3382632F">
      <w:pPr>
        <w:keepNext w:val="0"/>
        <w:keepLines w:val="0"/>
        <w:widowControl w:val="0"/>
        <w:suppressLineNumbers w:val="0"/>
        <w:spacing w:before="312" w:beforeLines="100" w:beforeAutospacing="0" w:after="312" w:afterLines="100" w:afterAutospacing="0" w:line="300" w:lineRule="auto"/>
        <w:ind w:left="0" w:right="0" w:firstLine="482" w:firstLineChars="200"/>
        <w:jc w:val="both"/>
        <w:outlineLvl w:val="0"/>
        <w:rPr>
          <w:rFonts w:hint="eastAsia" w:ascii="楷体" w:hAnsi="楷体" w:eastAsia="楷体" w:cs="楷体"/>
          <w:b/>
          <w:bCs/>
          <w:sz w:val="24"/>
          <w:szCs w:val="24"/>
          <w:lang w:val="en-US"/>
        </w:rPr>
      </w:pPr>
      <w:bookmarkStart w:id="197" w:name="_Toc19462"/>
      <w:bookmarkStart w:id="198" w:name="_Toc15101"/>
      <w:r>
        <w:rPr>
          <w:rFonts w:hint="eastAsia" w:ascii="楷体" w:hAnsi="楷体" w:eastAsia="楷体" w:cs="楷体"/>
          <w:b/>
          <w:bCs/>
          <w:kern w:val="2"/>
          <w:sz w:val="24"/>
          <w:szCs w:val="24"/>
          <w:lang w:val="en-US" w:eastAsia="zh-CN" w:bidi="ar"/>
        </w:rPr>
        <w:t>第四条  折扣</w:t>
      </w:r>
      <w:bookmarkEnd w:id="197"/>
      <w:bookmarkEnd w:id="198"/>
    </w:p>
    <w:p w14:paraId="73208FEE">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14:paraId="37D1B4FF">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4.2乙方提供的商品或服务，可以以明示方式给予甲方折扣。乙方给予甲方折扣的，必须在采购协议中予以明确并如实入账。</w:t>
      </w:r>
    </w:p>
    <w:p w14:paraId="5CA60E61">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4.3本条第1款所称如实入账，是指根据采购或合作协议约定的金额和支付方式，在依法设立的反映甲方生产经营活动收支的财务账上按照财务会计制度规定明确如实记载。</w:t>
      </w:r>
    </w:p>
    <w:p w14:paraId="0B67E345">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4.4乙方违反本条约定的，视为实施商业贿赂行为。</w:t>
      </w:r>
    </w:p>
    <w:p w14:paraId="5D05FC73">
      <w:pPr>
        <w:keepNext w:val="0"/>
        <w:keepLines w:val="0"/>
        <w:widowControl w:val="0"/>
        <w:suppressLineNumbers w:val="0"/>
        <w:spacing w:before="312" w:beforeLines="100" w:beforeAutospacing="0" w:after="312" w:afterLines="100" w:afterAutospacing="0" w:line="300" w:lineRule="auto"/>
        <w:ind w:left="0" w:right="0" w:firstLine="482" w:firstLineChars="200"/>
        <w:jc w:val="both"/>
        <w:outlineLvl w:val="0"/>
        <w:rPr>
          <w:rFonts w:hint="eastAsia" w:ascii="楷体" w:hAnsi="楷体" w:eastAsia="楷体" w:cs="楷体"/>
          <w:b/>
          <w:bCs/>
          <w:sz w:val="24"/>
          <w:szCs w:val="24"/>
          <w:lang w:val="en-US"/>
        </w:rPr>
      </w:pPr>
      <w:bookmarkStart w:id="199" w:name="_Toc1051"/>
      <w:bookmarkStart w:id="200" w:name="_Toc26442"/>
      <w:r>
        <w:rPr>
          <w:rFonts w:hint="eastAsia" w:ascii="楷体" w:hAnsi="楷体" w:eastAsia="楷体" w:cs="楷体"/>
          <w:b/>
          <w:bCs/>
          <w:kern w:val="2"/>
          <w:sz w:val="24"/>
          <w:szCs w:val="24"/>
          <w:lang w:val="en-US" w:eastAsia="zh-CN" w:bidi="ar"/>
        </w:rPr>
        <w:t>第五条  宴请与游玩活动</w:t>
      </w:r>
      <w:bookmarkEnd w:id="199"/>
      <w:bookmarkEnd w:id="200"/>
    </w:p>
    <w:p w14:paraId="6A9ED604">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14:paraId="3DFA31F3">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5.2乙方不得为甲方相关主体提供各种形式的旅游、健身、KTV、酒吧、按摩、赌博、色情等娱乐休闲活动。</w:t>
      </w:r>
    </w:p>
    <w:p w14:paraId="79B59627">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5.3乙方违反本条约定的，视为实施商业贿赂行为。</w:t>
      </w:r>
    </w:p>
    <w:p w14:paraId="4660A26B">
      <w:pPr>
        <w:keepNext w:val="0"/>
        <w:keepLines w:val="0"/>
        <w:widowControl w:val="0"/>
        <w:suppressLineNumbers w:val="0"/>
        <w:spacing w:before="312" w:beforeLines="100" w:beforeAutospacing="0" w:after="312" w:afterLines="100" w:afterAutospacing="0" w:line="300" w:lineRule="auto"/>
        <w:ind w:left="0" w:right="0" w:firstLine="482" w:firstLineChars="200"/>
        <w:jc w:val="both"/>
        <w:outlineLvl w:val="0"/>
        <w:rPr>
          <w:rFonts w:hint="eastAsia" w:ascii="楷体" w:hAnsi="楷体" w:eastAsia="楷体" w:cs="楷体"/>
          <w:b/>
          <w:bCs/>
          <w:sz w:val="24"/>
          <w:szCs w:val="24"/>
          <w:lang w:val="en-US"/>
        </w:rPr>
      </w:pPr>
      <w:bookmarkStart w:id="201" w:name="_Toc16465"/>
      <w:bookmarkStart w:id="202" w:name="_Toc24358"/>
      <w:r>
        <w:rPr>
          <w:rFonts w:hint="eastAsia" w:ascii="楷体" w:hAnsi="楷体" w:eastAsia="楷体" w:cs="楷体"/>
          <w:b/>
          <w:bCs/>
          <w:kern w:val="2"/>
          <w:sz w:val="24"/>
          <w:szCs w:val="24"/>
          <w:lang w:val="en-US" w:eastAsia="zh-CN" w:bidi="ar"/>
        </w:rPr>
        <w:t>第六条  禁止行为</w:t>
      </w:r>
      <w:bookmarkEnd w:id="201"/>
      <w:bookmarkEnd w:id="202"/>
    </w:p>
    <w:p w14:paraId="69A2D61F">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双方一致同意双方或双方相关主体的如下行为是应当禁止的营私舞弊或腐败行为：</w:t>
      </w:r>
    </w:p>
    <w:p w14:paraId="2128DED7">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6.1甲方及甲方相关主体向乙方索要或收受财物或其他形式的财产性利益、非财产性利益。</w:t>
      </w:r>
    </w:p>
    <w:p w14:paraId="4870482C">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6.2乙方及乙方相关主体向甲方或甲方相关主体提供财物或其他形式的财产性利益、非财产性利益，包括但不限于：</w:t>
      </w:r>
    </w:p>
    <w:p w14:paraId="7F7A26BD">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（1）报销甲方相关主体的私人费用；</w:t>
      </w:r>
    </w:p>
    <w:p w14:paraId="50F95A06">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（2）提供超过宴请标准的宴请或娱乐活动；</w:t>
      </w:r>
    </w:p>
    <w:p w14:paraId="609CDDDA">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（3）介绍甲方相关主体亲友到乙方处工作；</w:t>
      </w:r>
    </w:p>
    <w:p w14:paraId="5E119F7C">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（4）提出、邀请或事实上接受甲方相关主体在乙方参股或参与乙方经营活动；</w:t>
      </w:r>
    </w:p>
    <w:p w14:paraId="3C1E3900">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（5）组织或向甲方相关主体提供旅游等代偿活动利益；</w:t>
      </w:r>
    </w:p>
    <w:p w14:paraId="371FAEFB">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（6）向甲方相关主体提供借款、融资、担保等；</w:t>
      </w:r>
    </w:p>
    <w:p w14:paraId="17F4C7FF">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（7）给予或承诺给予甲方相关主体不正当利益的其他行为；</w:t>
      </w:r>
    </w:p>
    <w:p w14:paraId="082EC99B">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（8）其他违反本协议约定、国家法律法规或商业道德准则的影响公正交易的行为。</w:t>
      </w:r>
    </w:p>
    <w:p w14:paraId="3C2D2BDD">
      <w:pPr>
        <w:keepNext w:val="0"/>
        <w:keepLines w:val="0"/>
        <w:widowControl w:val="0"/>
        <w:suppressLineNumbers w:val="0"/>
        <w:spacing w:before="312" w:beforeLines="100" w:beforeAutospacing="0" w:after="312" w:afterLines="100" w:afterAutospacing="0" w:line="300" w:lineRule="auto"/>
        <w:ind w:left="0" w:right="0" w:firstLine="482" w:firstLineChars="200"/>
        <w:jc w:val="both"/>
        <w:outlineLvl w:val="0"/>
        <w:rPr>
          <w:rFonts w:hint="eastAsia" w:ascii="楷体" w:hAnsi="楷体" w:eastAsia="楷体" w:cs="楷体"/>
          <w:b/>
          <w:bCs/>
          <w:sz w:val="24"/>
          <w:szCs w:val="24"/>
          <w:lang w:val="en-US"/>
        </w:rPr>
      </w:pPr>
      <w:bookmarkStart w:id="203" w:name="_Toc25733"/>
      <w:bookmarkStart w:id="204" w:name="_Toc15340"/>
      <w:r>
        <w:rPr>
          <w:rFonts w:hint="eastAsia" w:ascii="楷体" w:hAnsi="楷体" w:eastAsia="楷体" w:cs="楷体"/>
          <w:b/>
          <w:bCs/>
          <w:kern w:val="2"/>
          <w:sz w:val="24"/>
          <w:szCs w:val="24"/>
          <w:lang w:val="en-US" w:eastAsia="zh-CN" w:bidi="ar"/>
        </w:rPr>
        <w:t>第七条  乙方承诺</w:t>
      </w:r>
      <w:bookmarkEnd w:id="203"/>
      <w:bookmarkEnd w:id="204"/>
    </w:p>
    <w:p w14:paraId="1C6F3470">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乙方承诺在双方的商务接洽、合同关系、交易过程中遵守如下要求：</w:t>
      </w:r>
    </w:p>
    <w:p w14:paraId="31E9A498">
      <w:pPr>
        <w:keepNext w:val="0"/>
        <w:keepLines w:val="0"/>
        <w:widowControl w:val="0"/>
        <w:suppressLineNumbers w:val="0"/>
        <w:spacing w:before="312" w:beforeLines="100" w:beforeAutospacing="0" w:after="312" w:afterLines="100" w:afterAutospacing="0" w:line="300" w:lineRule="auto"/>
        <w:ind w:left="0" w:right="0" w:firstLine="482" w:firstLineChars="200"/>
        <w:jc w:val="both"/>
        <w:outlineLvl w:val="1"/>
        <w:rPr>
          <w:rFonts w:hint="eastAsia" w:ascii="楷体" w:hAnsi="楷体" w:eastAsia="楷体" w:cs="楷体"/>
          <w:b/>
          <w:bCs/>
          <w:sz w:val="24"/>
          <w:szCs w:val="24"/>
          <w:lang w:val="en-US"/>
        </w:rPr>
      </w:pPr>
      <w:bookmarkStart w:id="205" w:name="_Toc28609"/>
      <w:bookmarkStart w:id="206" w:name="_Toc5012"/>
      <w:r>
        <w:rPr>
          <w:rFonts w:hint="eastAsia" w:ascii="楷体" w:hAnsi="楷体" w:eastAsia="楷体" w:cs="楷体"/>
          <w:b/>
          <w:bCs/>
          <w:kern w:val="2"/>
          <w:sz w:val="24"/>
          <w:szCs w:val="24"/>
          <w:lang w:val="en-US" w:eastAsia="zh-CN" w:bidi="ar"/>
        </w:rPr>
        <w:t>7.1 避免利害关系</w:t>
      </w:r>
      <w:bookmarkEnd w:id="205"/>
      <w:bookmarkEnd w:id="206"/>
    </w:p>
    <w:p w14:paraId="1B7E54C4">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14:paraId="1DD888BC">
      <w:pPr>
        <w:keepNext w:val="0"/>
        <w:keepLines w:val="0"/>
        <w:widowControl w:val="0"/>
        <w:suppressLineNumbers w:val="0"/>
        <w:spacing w:before="312" w:beforeLines="100" w:beforeAutospacing="0" w:after="312" w:afterLines="100" w:afterAutospacing="0" w:line="300" w:lineRule="auto"/>
        <w:ind w:left="0" w:right="0" w:firstLine="482" w:firstLineChars="200"/>
        <w:jc w:val="both"/>
        <w:outlineLvl w:val="1"/>
        <w:rPr>
          <w:rFonts w:hint="eastAsia" w:ascii="楷体" w:hAnsi="楷体" w:eastAsia="楷体" w:cs="楷体"/>
          <w:b/>
          <w:bCs/>
          <w:sz w:val="24"/>
          <w:szCs w:val="24"/>
          <w:lang w:val="en-US"/>
        </w:rPr>
      </w:pPr>
      <w:bookmarkStart w:id="207" w:name="_Toc23459"/>
      <w:bookmarkStart w:id="208" w:name="_Toc5493"/>
      <w:r>
        <w:rPr>
          <w:rFonts w:hint="eastAsia" w:ascii="楷体" w:hAnsi="楷体" w:eastAsia="楷体" w:cs="楷体"/>
          <w:b/>
          <w:bCs/>
          <w:kern w:val="2"/>
          <w:sz w:val="24"/>
          <w:szCs w:val="24"/>
          <w:lang w:val="en-US" w:eastAsia="zh-CN" w:bidi="ar"/>
        </w:rPr>
        <w:t>7.2 恪守廉洁自律原则</w:t>
      </w:r>
      <w:bookmarkEnd w:id="207"/>
      <w:bookmarkEnd w:id="208"/>
    </w:p>
    <w:p w14:paraId="5E5E8BD1">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14:paraId="47092C0E">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7.2.2支持甲方的廉洁诚信建设，承诺承担实名举报的义务，若乙方或乙方相关主体对甲方或甲方相关主体的索贿行为不拒绝、不申报，并满足其要求的，则该行为视同乙方实施商业贿赂行为。</w:t>
      </w:r>
    </w:p>
    <w:p w14:paraId="6FBF84A9">
      <w:pPr>
        <w:keepNext w:val="0"/>
        <w:keepLines w:val="0"/>
        <w:widowControl w:val="0"/>
        <w:suppressLineNumbers w:val="0"/>
        <w:spacing w:before="312" w:beforeLines="100" w:beforeAutospacing="0" w:after="312" w:afterLines="100" w:afterAutospacing="0" w:line="300" w:lineRule="auto"/>
        <w:ind w:left="0" w:right="0" w:firstLine="482" w:firstLineChars="200"/>
        <w:jc w:val="both"/>
        <w:outlineLvl w:val="1"/>
        <w:rPr>
          <w:rFonts w:hint="eastAsia" w:ascii="楷体" w:hAnsi="楷体" w:eastAsia="楷体" w:cs="楷体"/>
          <w:b/>
          <w:bCs/>
          <w:sz w:val="24"/>
          <w:szCs w:val="24"/>
          <w:lang w:val="en-US"/>
        </w:rPr>
      </w:pPr>
      <w:bookmarkStart w:id="209" w:name="_Toc19220"/>
      <w:bookmarkStart w:id="210" w:name="_Toc16847"/>
      <w:r>
        <w:rPr>
          <w:rFonts w:hint="eastAsia" w:ascii="楷体" w:hAnsi="楷体" w:eastAsia="楷体" w:cs="楷体"/>
          <w:b/>
          <w:bCs/>
          <w:kern w:val="2"/>
          <w:sz w:val="24"/>
          <w:szCs w:val="24"/>
          <w:lang w:val="en-US" w:eastAsia="zh-CN" w:bidi="ar"/>
        </w:rPr>
        <w:t>7.3 恪守诚实信用原则</w:t>
      </w:r>
      <w:bookmarkEnd w:id="209"/>
      <w:bookmarkEnd w:id="210"/>
    </w:p>
    <w:p w14:paraId="460C9476">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14:paraId="4D850213">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7.3.2严格遵守向甲方做出的承诺、双方签署的合同、协议和备忘录等，确保产品质量和服务质量，不隐瞒任何可能对甲方利益造成影响的信息，积极配合甲方的审计。</w:t>
      </w:r>
    </w:p>
    <w:p w14:paraId="69EBCBE6">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7.3.3严格遵守甲方的供应商行为准则、合作协议、保密承诺书等政策文件中的相关规定。</w:t>
      </w:r>
    </w:p>
    <w:p w14:paraId="21C6EC8A">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7.3.4严格遵守甲方的品牌管理的相关规定，未经甲方授权不擅自使用甲方字样、授权合作伙伴等类似容易对外产生混淆的字样。</w:t>
      </w:r>
    </w:p>
    <w:p w14:paraId="27349C87">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7.3.5严格遵守国家相关法律法规及甲方的管理规定，不参与任何违法活动。</w:t>
      </w:r>
    </w:p>
    <w:p w14:paraId="46CC4402">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7.3.6承诺实事求是，不对内部或社会传递任何虚假信息，严格遵守保密协议，不透露任何甲方的商业机密。</w:t>
      </w:r>
    </w:p>
    <w:p w14:paraId="684F2454">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7.3.7未经甲方同意，不向任何新闻媒体、第三方述及有关甲方工作人员恪守商业道德方面的评价、信息。</w:t>
      </w:r>
    </w:p>
    <w:p w14:paraId="0FDEF9E2">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14:paraId="639CFCB8">
      <w:pPr>
        <w:keepNext w:val="0"/>
        <w:keepLines w:val="0"/>
        <w:widowControl w:val="0"/>
        <w:suppressLineNumbers w:val="0"/>
        <w:spacing w:before="312" w:beforeLines="100" w:beforeAutospacing="0" w:after="312" w:afterLines="100" w:afterAutospacing="0" w:line="300" w:lineRule="auto"/>
        <w:ind w:left="0" w:right="0" w:firstLine="482" w:firstLineChars="200"/>
        <w:jc w:val="both"/>
        <w:outlineLvl w:val="1"/>
        <w:rPr>
          <w:rFonts w:hint="eastAsia" w:ascii="楷体" w:hAnsi="楷体" w:eastAsia="楷体" w:cs="楷体"/>
          <w:b/>
          <w:bCs/>
          <w:sz w:val="24"/>
          <w:szCs w:val="24"/>
          <w:lang w:val="en-US"/>
        </w:rPr>
      </w:pPr>
      <w:bookmarkStart w:id="211" w:name="_Toc18386"/>
      <w:bookmarkStart w:id="212" w:name="_Toc18771"/>
      <w:r>
        <w:rPr>
          <w:rFonts w:hint="eastAsia" w:ascii="楷体" w:hAnsi="楷体" w:eastAsia="楷体" w:cs="楷体"/>
          <w:b/>
          <w:bCs/>
          <w:kern w:val="2"/>
          <w:sz w:val="24"/>
          <w:szCs w:val="24"/>
          <w:lang w:val="en-US" w:eastAsia="zh-CN" w:bidi="ar"/>
        </w:rPr>
        <w:t>7.4 确保信息公开透明</w:t>
      </w:r>
      <w:bookmarkEnd w:id="211"/>
      <w:bookmarkEnd w:id="212"/>
    </w:p>
    <w:p w14:paraId="36AD0031">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7.4.1主动向甲方披露与采购项目相关的信息，包括乙方真实情况、产品价格、技术参数、服务团队信息、履约情况等。</w:t>
      </w:r>
    </w:p>
    <w:p w14:paraId="40E82737">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7.4.2不利用非法手段向甲方及甲方相关主体打探有关涉及甲方及甲方相关主体的商业秘密、人员信息、采购信息等。</w:t>
      </w:r>
    </w:p>
    <w:p w14:paraId="5351D622">
      <w:pPr>
        <w:keepNext w:val="0"/>
        <w:keepLines w:val="0"/>
        <w:widowControl w:val="0"/>
        <w:suppressLineNumbers w:val="0"/>
        <w:spacing w:before="312" w:beforeLines="100" w:beforeAutospacing="0" w:after="312" w:afterLines="100" w:afterAutospacing="0" w:line="300" w:lineRule="auto"/>
        <w:ind w:left="0" w:right="0" w:firstLine="482" w:firstLineChars="200"/>
        <w:jc w:val="both"/>
        <w:outlineLvl w:val="1"/>
        <w:rPr>
          <w:rFonts w:hint="eastAsia" w:ascii="楷体" w:hAnsi="楷体" w:eastAsia="楷体" w:cs="楷体"/>
          <w:b/>
          <w:bCs/>
          <w:sz w:val="24"/>
          <w:szCs w:val="24"/>
          <w:lang w:val="en-US"/>
        </w:rPr>
      </w:pPr>
      <w:bookmarkStart w:id="213" w:name="_Toc19095"/>
      <w:bookmarkStart w:id="214" w:name="_Toc7742"/>
      <w:r>
        <w:rPr>
          <w:rFonts w:hint="eastAsia" w:ascii="楷体" w:hAnsi="楷体" w:eastAsia="楷体" w:cs="楷体"/>
          <w:b/>
          <w:bCs/>
          <w:kern w:val="2"/>
          <w:sz w:val="24"/>
          <w:szCs w:val="24"/>
          <w:lang w:val="en-US" w:eastAsia="zh-CN" w:bidi="ar"/>
        </w:rPr>
        <w:t>7.5 积极配合监督举报</w:t>
      </w:r>
      <w:bookmarkEnd w:id="213"/>
      <w:bookmarkEnd w:id="214"/>
    </w:p>
    <w:p w14:paraId="2285365F">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14:paraId="292E4843">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7.5.2如乙方有知悉或怀疑甲方相关主体有违反上述约定的，应及时采取措施并有权向甲方纪检部门举报。甲方会对所有信息提供者及所提供的全部资料严格保密。</w:t>
      </w:r>
    </w:p>
    <w:p w14:paraId="375C7BD0">
      <w:pPr>
        <w:keepNext w:val="0"/>
        <w:keepLines w:val="0"/>
        <w:widowControl w:val="0"/>
        <w:suppressLineNumbers w:val="0"/>
        <w:spacing w:before="312" w:beforeLines="100" w:beforeAutospacing="0" w:after="312" w:afterLines="100" w:afterAutospacing="0" w:line="300" w:lineRule="auto"/>
        <w:ind w:left="0" w:right="0" w:firstLine="482" w:firstLineChars="200"/>
        <w:jc w:val="both"/>
        <w:outlineLvl w:val="1"/>
        <w:rPr>
          <w:rFonts w:hint="eastAsia" w:ascii="楷体" w:hAnsi="楷体" w:eastAsia="楷体" w:cs="楷体"/>
          <w:b/>
          <w:bCs/>
          <w:sz w:val="24"/>
          <w:szCs w:val="24"/>
          <w:lang w:val="en-US"/>
        </w:rPr>
      </w:pPr>
      <w:bookmarkStart w:id="215" w:name="_Toc2239"/>
      <w:bookmarkStart w:id="216" w:name="_Toc27012"/>
      <w:r>
        <w:rPr>
          <w:rFonts w:hint="eastAsia" w:ascii="楷体" w:hAnsi="楷体" w:eastAsia="楷体" w:cs="楷体"/>
          <w:b/>
          <w:bCs/>
          <w:kern w:val="2"/>
          <w:sz w:val="24"/>
          <w:szCs w:val="24"/>
          <w:lang w:val="en-US" w:eastAsia="zh-CN" w:bidi="ar"/>
        </w:rPr>
        <w:t>7.6 加强内部廉洁管理</w:t>
      </w:r>
      <w:bookmarkEnd w:id="215"/>
      <w:bookmarkEnd w:id="216"/>
    </w:p>
    <w:p w14:paraId="13E55C59">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7.6.1加强内部管理：加强对员工的廉洁教育和培训，提高员工的道德素质和法律意识，建立健全内部管理制度，确保员工行为的合规性和廉洁性。</w:t>
      </w:r>
    </w:p>
    <w:p w14:paraId="08138CB6">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7.6.2设立监督机制：通过专门的监督机构或人员，对乙方的业务活动进行实时监督，确保员工行为的合规性。</w:t>
      </w:r>
    </w:p>
    <w:p w14:paraId="548CB0F3">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7.6.3建立举报制度：鼓励员工积极举报违规行为，对举报人予以保护并给予奖励。</w:t>
      </w:r>
    </w:p>
    <w:p w14:paraId="1DBE2116">
      <w:pPr>
        <w:keepNext w:val="0"/>
        <w:keepLines w:val="0"/>
        <w:widowControl w:val="0"/>
        <w:suppressLineNumbers w:val="0"/>
        <w:spacing w:before="312" w:beforeLines="100" w:beforeAutospacing="0" w:after="312" w:afterLines="100" w:afterAutospacing="0" w:line="300" w:lineRule="auto"/>
        <w:ind w:left="0" w:right="0" w:firstLine="482" w:firstLineChars="200"/>
        <w:jc w:val="both"/>
        <w:outlineLvl w:val="0"/>
        <w:rPr>
          <w:rFonts w:hint="eastAsia" w:ascii="楷体" w:hAnsi="楷体" w:eastAsia="楷体" w:cs="楷体"/>
          <w:b/>
          <w:bCs/>
          <w:sz w:val="24"/>
          <w:szCs w:val="24"/>
          <w:lang w:val="en-US"/>
        </w:rPr>
      </w:pPr>
      <w:bookmarkStart w:id="217" w:name="_Toc17486"/>
      <w:bookmarkStart w:id="218" w:name="_Toc9873"/>
      <w:r>
        <w:rPr>
          <w:rFonts w:hint="eastAsia" w:ascii="楷体" w:hAnsi="楷体" w:eastAsia="楷体" w:cs="楷体"/>
          <w:b/>
          <w:bCs/>
          <w:kern w:val="2"/>
          <w:sz w:val="24"/>
          <w:szCs w:val="24"/>
          <w:lang w:val="en-US" w:eastAsia="zh-CN" w:bidi="ar"/>
        </w:rPr>
        <w:t>第八条  违约责任</w:t>
      </w:r>
      <w:bookmarkEnd w:id="217"/>
      <w:bookmarkEnd w:id="218"/>
    </w:p>
    <w:p w14:paraId="6EB4D151">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8.1若甲方人员违反本协议第六条规定的，按照甲方内部管理权限，依据有关法律和规定给予处分或组织处理，涉嫌犯罪的，移交司法机关追究刑事责任。</w:t>
      </w:r>
    </w:p>
    <w:p w14:paraId="693A5E18">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8.2如乙方违反本协议任何约定或承诺，甲方有权依据甲方采购管理、供应商管理和采购文件相关要求，对乙方进行严肃处理，相关处罚结果记入供应商诚信档案。</w:t>
      </w:r>
    </w:p>
    <w:p w14:paraId="44650382">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8.3 如乙方违反本协议任何约定或承诺，</w:t>
      </w:r>
      <w:r>
        <w:rPr>
          <w:rFonts w:hint="eastAsia" w:ascii="楷体" w:hAnsi="楷体" w:eastAsia="楷体" w:cs="楷体"/>
          <w:b/>
          <w:bCs/>
          <w:kern w:val="2"/>
          <w:sz w:val="24"/>
          <w:szCs w:val="24"/>
          <w:lang w:val="en-US" w:eastAsia="zh-CN" w:bidi="ar"/>
        </w:rPr>
        <w:t>甲方及甲方子公司有权根据情节严重程度选择单方全面终止与乙方的合同及合作，且无需承担任何责任。乙方给甲方造成损失的，甲方有权要求乙方承担全部赔偿责任。</w:t>
      </w:r>
    </w:p>
    <w:p w14:paraId="702E52D8">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8.4</w:t>
      </w:r>
      <w:r>
        <w:rPr>
          <w:rFonts w:hint="eastAsia" w:ascii="楷体" w:hAnsi="楷体" w:eastAsia="楷体" w:cs="楷体"/>
          <w:b/>
          <w:bCs/>
          <w:kern w:val="2"/>
          <w:sz w:val="24"/>
          <w:szCs w:val="24"/>
          <w:lang w:val="en-US" w:eastAsia="zh-CN" w:bidi="ar"/>
        </w:rPr>
        <w:t>甲方及甲方子公司按照前述条款要求乙方承担赔偿责任的，</w:t>
      </w:r>
      <w:r>
        <w:rPr>
          <w:rFonts w:hint="eastAsia" w:ascii="楷体" w:hAnsi="楷体" w:eastAsia="楷体" w:cs="楷体"/>
          <w:kern w:val="2"/>
          <w:sz w:val="24"/>
          <w:szCs w:val="24"/>
          <w:lang w:val="en-US" w:eastAsia="zh-CN" w:bidi="ar"/>
        </w:rPr>
        <w:t>乙方应于甲方发出赔偿通知之日起【10】个工作日内支付，如未及时支付，甲方及甲方子公司有权从主合同款项中直接扣除。</w:t>
      </w:r>
    </w:p>
    <w:p w14:paraId="78E4BB86">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8.5乙方知悉并同意，对于上述情形的处理甲方有完全的判断权和自主权。</w:t>
      </w:r>
    </w:p>
    <w:p w14:paraId="3D52B010">
      <w:pPr>
        <w:keepNext w:val="0"/>
        <w:keepLines w:val="0"/>
        <w:widowControl w:val="0"/>
        <w:suppressLineNumbers w:val="0"/>
        <w:spacing w:before="312" w:beforeLines="100" w:beforeAutospacing="0" w:after="312" w:afterLines="100" w:afterAutospacing="0" w:line="300" w:lineRule="auto"/>
        <w:ind w:left="0" w:right="0" w:firstLine="482" w:firstLineChars="200"/>
        <w:jc w:val="both"/>
        <w:outlineLvl w:val="0"/>
        <w:rPr>
          <w:rFonts w:hint="eastAsia" w:ascii="楷体" w:hAnsi="楷体" w:eastAsia="楷体" w:cs="楷体"/>
          <w:b/>
          <w:bCs/>
          <w:sz w:val="24"/>
          <w:szCs w:val="24"/>
          <w:lang w:val="en-US"/>
        </w:rPr>
      </w:pPr>
      <w:bookmarkStart w:id="219" w:name="_Toc300"/>
      <w:bookmarkStart w:id="220" w:name="_Toc28173"/>
      <w:r>
        <w:rPr>
          <w:rFonts w:hint="eastAsia" w:ascii="楷体" w:hAnsi="楷体" w:eastAsia="楷体" w:cs="楷体"/>
          <w:b/>
          <w:bCs/>
          <w:kern w:val="2"/>
          <w:sz w:val="24"/>
          <w:szCs w:val="24"/>
          <w:lang w:val="en-US" w:eastAsia="zh-CN" w:bidi="ar"/>
        </w:rPr>
        <w:t>第九条  附则</w:t>
      </w:r>
      <w:bookmarkEnd w:id="219"/>
      <w:bookmarkEnd w:id="220"/>
    </w:p>
    <w:p w14:paraId="1E20AA80">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9.1本协议的标题及各条款的标题仅为检索方便而设置，具体内容应当以各条款的具体规定为准，而不应参考该标题进行解释。</w:t>
      </w:r>
    </w:p>
    <w:p w14:paraId="4E38D30D">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14:paraId="32B40C16">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14:paraId="2C8C840F">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9.4本协议未尽事宜以双方签订的主合同为准。本协议与主合同约定不一致的，根据约定内容对双方提出的廉洁诚信要求，以较为严格的约定为准。若双方未签订主合同或主合同终止、解除的，本协议应独立执行。</w:t>
      </w:r>
    </w:p>
    <w:p w14:paraId="55DAF21D">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9.5本协议长期有效。</w:t>
      </w:r>
    </w:p>
    <w:p w14:paraId="4D64F416">
      <w:pPr>
        <w:pStyle w:val="2"/>
        <w:ind w:firstLine="1040" w:firstLineChars="200"/>
        <w:jc w:val="both"/>
        <w:rPr>
          <w:rFonts w:hint="eastAsia"/>
        </w:rPr>
        <w:sectPr>
          <w:footerReference r:id="rId13" w:type="first"/>
          <w:headerReference r:id="rId11" w:type="default"/>
          <w:footerReference r:id="rId12" w:type="default"/>
          <w:pgSz w:w="11906" w:h="16838"/>
          <w:pgMar w:top="1417" w:right="1134" w:bottom="1134" w:left="1134" w:header="851" w:footer="992" w:gutter="0"/>
          <w:cols w:space="720" w:num="1"/>
          <w:titlePg/>
          <w:docGrid w:type="lines" w:linePitch="312" w:charSpace="0"/>
        </w:sectPr>
      </w:pPr>
    </w:p>
    <w:bookmarkEnd w:id="120"/>
    <w:bookmarkEnd w:id="121"/>
    <w:p w14:paraId="278F0B1F">
      <w:pPr>
        <w:pStyle w:val="3"/>
        <w:spacing w:before="0" w:after="0" w:line="360" w:lineRule="auto"/>
        <w:jc w:val="center"/>
        <w:rPr>
          <w:rFonts w:hint="eastAsia" w:ascii="仿宋" w:hAnsi="仿宋" w:eastAsia="仿宋" w:cs="仿宋"/>
          <w:color w:val="FF0000"/>
          <w:highlight w:val="none"/>
        </w:rPr>
      </w:pPr>
      <w:bookmarkStart w:id="221" w:name="_Toc28349"/>
      <w:bookmarkStart w:id="222" w:name="_Toc24143"/>
      <w:bookmarkStart w:id="223" w:name="_Toc24217"/>
      <w:bookmarkStart w:id="224" w:name="_Toc444891347"/>
      <w:bookmarkStart w:id="225" w:name="_Toc16424"/>
      <w:bookmarkStart w:id="226" w:name="_Toc12966"/>
      <w:bookmarkStart w:id="227" w:name="_Toc517281828"/>
      <w:r>
        <w:rPr>
          <w:rFonts w:hint="eastAsia" w:ascii="仿宋" w:hAnsi="仿宋" w:eastAsia="仿宋" w:cs="仿宋"/>
          <w:color w:val="FF0000"/>
          <w:sz w:val="28"/>
          <w:szCs w:val="28"/>
          <w:highlight w:val="none"/>
        </w:rPr>
        <w:t xml:space="preserve">第五章 </w:t>
      </w:r>
      <w:bookmarkEnd w:id="221"/>
      <w:bookmarkEnd w:id="222"/>
      <w:bookmarkEnd w:id="223"/>
      <w:bookmarkEnd w:id="224"/>
      <w:bookmarkEnd w:id="225"/>
      <w:r>
        <w:rPr>
          <w:rFonts w:hint="eastAsia" w:ascii="仿宋" w:hAnsi="仿宋" w:eastAsia="仿宋" w:cs="仿宋"/>
          <w:color w:val="FF0000"/>
          <w:sz w:val="28"/>
          <w:szCs w:val="28"/>
          <w:highlight w:val="none"/>
        </w:rPr>
        <w:t>采购需求</w:t>
      </w:r>
      <w:bookmarkEnd w:id="226"/>
      <w:bookmarkEnd w:id="227"/>
    </w:p>
    <w:p w14:paraId="438A06ED">
      <w:pPr>
        <w:adjustRightInd w:val="0"/>
        <w:snapToGrid w:val="0"/>
        <w:spacing w:line="360" w:lineRule="auto"/>
        <w:ind w:firstLine="482" w:firstLineChars="200"/>
        <w:rPr>
          <w:rFonts w:hint="eastAsia" w:ascii="仿宋" w:hAnsi="仿宋" w:eastAsia="仿宋" w:cs="仿宋"/>
          <w:b/>
          <w:bCs/>
          <w:color w:val="auto"/>
          <w:sz w:val="24"/>
          <w:highlight w:val="none"/>
          <w:lang w:eastAsia="zh-CN"/>
        </w:rPr>
      </w:pPr>
      <w:bookmarkStart w:id="228" w:name="_Toc11206"/>
      <w:bookmarkStart w:id="229" w:name="_Toc517281835"/>
      <w:bookmarkStart w:id="230" w:name="_Toc287600128"/>
      <w:bookmarkStart w:id="231" w:name="_Toc10693"/>
      <w:bookmarkStart w:id="232" w:name="_Toc444891352"/>
      <w:bookmarkStart w:id="233" w:name="_Toc21125"/>
      <w:bookmarkStart w:id="234" w:name="_Toc17141"/>
      <w:r>
        <w:rPr>
          <w:rFonts w:hint="eastAsia" w:ascii="仿宋" w:hAnsi="仿宋" w:eastAsia="仿宋" w:cs="仿宋"/>
          <w:b/>
          <w:bCs/>
          <w:color w:val="auto"/>
          <w:sz w:val="24"/>
          <w:highlight w:val="none"/>
          <w:lang w:eastAsia="zh-CN"/>
        </w:rPr>
        <w:t>（一）服务总体要求</w:t>
      </w:r>
    </w:p>
    <w:p w14:paraId="04C6A45F">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合规性</w:t>
      </w:r>
    </w:p>
    <w:p w14:paraId="5B021EFD">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服务需严格遵循国家及江西省安全生产相关法律法规、政策标准，如《安全生产责任保险实施办法》《江西省安全生产条例》等，确保服务的合法性与规范性。</w:t>
      </w:r>
    </w:p>
    <w:p w14:paraId="41B6D6C5">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定制化</w:t>
      </w:r>
    </w:p>
    <w:p w14:paraId="38D91424">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充分考虑江西不同行业（</w:t>
      </w:r>
      <w:r>
        <w:rPr>
          <w:rFonts w:hint="eastAsia" w:ascii="仿宋" w:hAnsi="仿宋" w:eastAsia="仿宋" w:cs="仿宋"/>
          <w:color w:val="auto"/>
          <w:sz w:val="24"/>
          <w:highlight w:val="none"/>
          <w:lang w:eastAsia="zh-CN"/>
        </w:rPr>
        <w:t>如</w:t>
      </w:r>
      <w:r>
        <w:rPr>
          <w:rFonts w:hint="eastAsia" w:ascii="仿宋" w:hAnsi="仿宋" w:eastAsia="仿宋" w:cs="仿宋"/>
          <w:color w:val="auto"/>
          <w:kern w:val="0"/>
          <w:sz w:val="24"/>
          <w:szCs w:val="22"/>
          <w:highlight w:val="none"/>
          <w:lang w:val="en-US" w:eastAsia="zh-CN" w:bidi="ar-SA"/>
        </w:rPr>
        <w:t>建筑施工、烟花爆竹、交通运输和民用爆炸用品行业等</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根据</w:t>
      </w:r>
      <w:r>
        <w:rPr>
          <w:rFonts w:hint="eastAsia" w:ascii="仿宋" w:hAnsi="仿宋" w:eastAsia="仿宋" w:cs="仿宋"/>
          <w:color w:val="auto"/>
          <w:sz w:val="24"/>
          <w:highlight w:val="none"/>
        </w:rPr>
        <w:t>不同规模企业的安全生产特点和实际需求，制定个性化的事故预防技术服务方案。</w:t>
      </w:r>
    </w:p>
    <w:p w14:paraId="708DE9FA">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专业性</w:t>
      </w:r>
    </w:p>
    <w:p w14:paraId="7CE95AA3">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服务团队应具备专业的安全生产知识和丰富的实践经验，团队成员需持有相关资格证书，如注册安全工程师、安全评价师等。</w:t>
      </w:r>
    </w:p>
    <w:p w14:paraId="56F27029">
      <w:pPr>
        <w:adjustRightInd w:val="0"/>
        <w:snapToGrid w:val="0"/>
        <w:spacing w:line="360" w:lineRule="auto"/>
        <w:ind w:firstLine="482" w:firstLineChars="200"/>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rPr>
        <w:t>（二）</w:t>
      </w:r>
      <w:r>
        <w:rPr>
          <w:rFonts w:hint="eastAsia" w:ascii="仿宋" w:hAnsi="仿宋" w:eastAsia="仿宋" w:cs="仿宋"/>
          <w:b/>
          <w:bCs/>
          <w:color w:val="auto"/>
          <w:sz w:val="24"/>
          <w:highlight w:val="none"/>
          <w:lang w:eastAsia="zh-CN"/>
        </w:rPr>
        <w:t>服务标准</w:t>
      </w:r>
    </w:p>
    <w:p w14:paraId="68D7B119">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严格按照行业主管部门要求及安责险事故预防技术服务规范开展事故预防技术服务，包括但不限于：江西省应急管理厅、关于印发《江西省省安全生产责任保险事故预防技术服务规范总则（试行）》、按照省安监局《关于推进全省安全生产责任保险工作的指导意见》（赣安监管政法字〔2010〕387号）、《中华人民共和国安全生产法》和省政府2015年1号文件等。国家规定的标准及规范、行业标准及规范或其它相关标准及规范如有更新调整，则按最新的标准及规范执行。</w:t>
      </w:r>
    </w:p>
    <w:p w14:paraId="59E4CBDC">
      <w:pPr>
        <w:pStyle w:val="155"/>
        <w:spacing w:line="360" w:lineRule="auto"/>
        <w:ind w:firstLine="480" w:firstLineChars="200"/>
        <w:rPr>
          <w:rFonts w:hint="eastAsia" w:ascii="仿宋" w:hAnsi="仿宋" w:eastAsia="仿宋" w:cs="仿宋"/>
          <w:color w:val="auto"/>
          <w:kern w:val="2"/>
          <w:highlight w:val="none"/>
        </w:rPr>
      </w:pPr>
      <w:r>
        <w:rPr>
          <w:rFonts w:hint="eastAsia" w:ascii="仿宋" w:hAnsi="仿宋" w:eastAsia="仿宋" w:cs="仿宋"/>
          <w:color w:val="auto"/>
          <w:kern w:val="2"/>
          <w:highlight w:val="none"/>
        </w:rPr>
        <w:t>2、所有安责险技术服务的开展均统一使用安责险数字平台，并完成服务流程的闭环。</w:t>
      </w:r>
    </w:p>
    <w:p w14:paraId="76E62548">
      <w:pPr>
        <w:pStyle w:val="155"/>
        <w:spacing w:line="360" w:lineRule="auto"/>
        <w:ind w:firstLine="480" w:firstLineChars="200"/>
        <w:rPr>
          <w:rFonts w:hint="eastAsia" w:ascii="仿宋" w:hAnsi="仿宋" w:eastAsia="仿宋" w:cs="仿宋"/>
          <w:color w:val="auto"/>
          <w:kern w:val="2"/>
          <w:highlight w:val="none"/>
        </w:rPr>
      </w:pPr>
      <w:r>
        <w:rPr>
          <w:rFonts w:hint="eastAsia" w:ascii="仿宋" w:hAnsi="仿宋" w:eastAsia="仿宋" w:cs="仿宋"/>
          <w:color w:val="auto"/>
          <w:kern w:val="2"/>
          <w:highlight w:val="none"/>
        </w:rPr>
        <w:t>3、服务报告须符合标准规范（1.上传照片须含有时间、天气、定位要素；2.风险隐患须有照片佐证；3.须填写企业基本信息及本次检查重点内容；4.须填写现场服务专家的姓名、资质信息；5.须填写“服务总结”）。</w:t>
      </w:r>
    </w:p>
    <w:p w14:paraId="24F44E54">
      <w:pPr>
        <w:adjustRightInd w:val="0"/>
        <w:snapToGrid w:val="0"/>
        <w:spacing w:line="360" w:lineRule="auto"/>
        <w:ind w:firstLine="482" w:firstLineChars="20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（三）服务</w:t>
      </w:r>
      <w:r>
        <w:rPr>
          <w:rFonts w:hint="eastAsia" w:ascii="仿宋" w:hAnsi="仿宋" w:eastAsia="仿宋" w:cs="仿宋"/>
          <w:b/>
          <w:bCs/>
          <w:color w:val="auto"/>
          <w:sz w:val="24"/>
          <w:highlight w:val="none"/>
          <w:lang w:eastAsia="zh-CN"/>
        </w:rPr>
        <w:t>具体</w:t>
      </w:r>
      <w:r>
        <w:rPr>
          <w:rFonts w:hint="eastAsia" w:ascii="仿宋" w:hAnsi="仿宋" w:eastAsia="仿宋" w:cs="仿宋"/>
          <w:b/>
          <w:bCs/>
          <w:color w:val="auto"/>
          <w:sz w:val="24"/>
          <w:highlight w:val="none"/>
        </w:rPr>
        <w:t>要求</w:t>
      </w:r>
    </w:p>
    <w:p w14:paraId="06C8454C">
      <w:pPr>
        <w:adjustRightInd w:val="0"/>
        <w:snapToGrid w:val="0"/>
        <w:spacing w:line="360" w:lineRule="auto"/>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安全生产宣传教育培训。安全生产技术服务机构应按合同约定编制宣传教育培训计划。宣传教育培训计划应包括宣传教育培训对象、内容、频次和方法等。宣传教育培训的对象为施工项目责任主体单位的全部或部分管理人员和施工作业人员。宣传教育培训的内容主要包括法律、法规、部门规章、政策性文件、安全和技术标准、安全生产责任保险事故预防技术服务方案和工程项目相关安全技术要求等。</w:t>
      </w:r>
    </w:p>
    <w:p w14:paraId="73D6644C">
      <w:pPr>
        <w:adjustRightInd w:val="0"/>
        <w:snapToGrid w:val="0"/>
        <w:spacing w:line="360" w:lineRule="auto"/>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2、安全生产事故风险识别和隐患排查。为工程项目提供风险识别和隐患排查服务，并参照《施工现场风险源分级与防范措施一览表》的风险分级标准，填写《施工现场风险识别和隐患排查表》，并对工程项目提出风险预控措施建议，告知预警信息。其中，《施工现场风险源分级与防范措施一览表》中列明的一、二级风险源，应做到100%核查。安全生产技术服务机构在风险识别和隐患排查服务中若发现一级风险源存在安全隐患，或发现二级风险源存在可能引发安全事故的严重隐患，应当场书面开具重大风险隐患整改提示单，提出停工或局部停工建议，经投保单位项目负责人签字后，于现场检查服务当天报送至保险机构。对于上述隐患，投保单位应在重大风险隐患整改提示单开具起 10 天内整改完毕。针对服务中发现的问题，安全生产技术服务机构应追踪整改情况，并进行完整记录；整改完成后，应对整改结果进行实地回访确认。其中涉及一、二级风险源的隐患，在整改期间追踪频率应不低于每周 1 次。</w:t>
      </w:r>
    </w:p>
    <w:p w14:paraId="3FDEE25E">
      <w:pPr>
        <w:adjustRightInd w:val="0"/>
        <w:snapToGrid w:val="0"/>
        <w:spacing w:line="360" w:lineRule="auto"/>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3、安全风险评估。根据项目实施进度进行风险辨识评估及安全评价并出具《安全风险初步评估报告》、《安全风险过程评估报告》、《安全风险总体评估报告》。安全生产技术服务机构应在首次风险识别和隐患排查服务完成后 3个工作日之内向保险机构提交《安全风险初步评估报告》，《安全风险初步评估报告》应主要包括以下内容： 1.编制目的、依据； 2.工程项目基本信息； 3.安全管理制度体系完整性； 4.首次风险识别和隐患排查表、重大风险隐患整改提示单； 5.安全风险评估结果； 6.安全风险控制和隐患整改建议。在后续每次风险识别和隐患排查服务完成后 3 个工作日内提交《安全风险过程评估报告》，《安全风险过程评估报告》应主要包括以下内容： 1.工程项目形象进度； 2.周边环境状态及气象条件； 3.风险识别和隐患排查表、重大风险隐患整改提示单； 4.安全风险评估结果； 5.安全风险控制和隐患整改建议。在投保单位提交工程验收报告前 5 个工作日之内提交《安全风险总体评估报告》。</w:t>
      </w:r>
      <w:r>
        <w:rPr>
          <w:rFonts w:hint="eastAsia" w:ascii="仿宋" w:hAnsi="仿宋" w:eastAsia="仿宋" w:cs="仿宋"/>
          <w:color w:val="auto"/>
          <w:kern w:val="0"/>
          <w:sz w:val="24"/>
          <w:highlight w:val="none"/>
          <w:lang w:eastAsia="zh-CN"/>
        </w:rPr>
        <w:t>《</w:t>
      </w:r>
      <w:r>
        <w:rPr>
          <w:rFonts w:hint="eastAsia" w:ascii="仿宋" w:hAnsi="仿宋" w:eastAsia="仿宋" w:cs="仿宋"/>
          <w:color w:val="auto"/>
          <w:kern w:val="0"/>
          <w:sz w:val="24"/>
          <w:highlight w:val="none"/>
        </w:rPr>
        <w:t>安全风险总体评估报告》应主要包括以下内容： 1.历次服务中查阅的资料记录； 2.历次服务中风险识别情况汇总； 3.历次服务中隐患排查和整改情况汇总； 4.历次服务中风险控制情况汇总； 5.生产安全事故记录； 6.工程项目风险控制能力总体分析与评价； 7.对施工企业安全管理工作的意见建议。</w:t>
      </w:r>
    </w:p>
    <w:p w14:paraId="4ECE3B21">
      <w:pPr>
        <w:adjustRightInd w:val="0"/>
        <w:snapToGrid w:val="0"/>
        <w:spacing w:line="360" w:lineRule="auto"/>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4、安全生产检测检验。开展或协助被保单位定期开展安全生产相关检测检验工作。</w:t>
      </w:r>
    </w:p>
    <w:p w14:paraId="6C9B6845">
      <w:pPr>
        <w:adjustRightInd w:val="0"/>
        <w:snapToGrid w:val="0"/>
        <w:spacing w:line="360" w:lineRule="auto"/>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5、安全评价。协助被保单位开展定期的安全评价业务。</w:t>
      </w:r>
    </w:p>
    <w:p w14:paraId="162CAA5C">
      <w:pPr>
        <w:adjustRightInd w:val="0"/>
        <w:snapToGrid w:val="0"/>
        <w:spacing w:line="360" w:lineRule="auto"/>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6、安全生产标准化建设。编制安全生产标准化建设方案，制修订安全管理制度，开展安全生产标准化自评。安全生产标准化建设主要包括投保单位安全生产组织体系、规章制度、企业标准、企业信息化等内容。安全生产技术服务机构应结合工程项目的风险识别、风险评估和风险控制结果等，分析安全风险产生的原因，查找投保单位及工程项目安全生产标准化建设方面的不足，提出书面意见和建议并形成安全生产标准化建设方案。</w:t>
      </w:r>
    </w:p>
    <w:p w14:paraId="563EA97C">
      <w:pPr>
        <w:adjustRightInd w:val="0"/>
        <w:snapToGrid w:val="0"/>
        <w:spacing w:line="360" w:lineRule="auto"/>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7、生产安全事故应急预案编制和演练。主要是根据项目规模编制定制化的应急预案：项目自身特点结合地理环境及气象环境（优化建议）</w:t>
      </w:r>
    </w:p>
    <w:p w14:paraId="07A179DD">
      <w:pPr>
        <w:adjustRightInd w:val="0"/>
        <w:snapToGrid w:val="0"/>
        <w:spacing w:line="360" w:lineRule="auto"/>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（1）针对项目现有应急预案给出优化建议</w:t>
      </w:r>
    </w:p>
    <w:p w14:paraId="75FF221F">
      <w:pPr>
        <w:adjustRightInd w:val="0"/>
        <w:snapToGrid w:val="0"/>
        <w:spacing w:line="360" w:lineRule="auto"/>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2）结合项目自身风险特征，提供有针对性的应急预案，包括自然灾害类、突发事故处置类等的应急预案。安全生产技术服务机构应依据安全生产事故应急预案，协助投保单位组织应急救援演练，并对演练成效开展总结评估。</w:t>
      </w:r>
    </w:p>
    <w:p w14:paraId="5D3C5570">
      <w:pPr>
        <w:adjustRightInd w:val="0"/>
        <w:snapToGrid w:val="0"/>
        <w:spacing w:line="360" w:lineRule="auto"/>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8、安全生产科技推广应用。组织安全生产技术交流研讨，推介安全生产科技成果和先进技术装备。</w:t>
      </w:r>
    </w:p>
    <w:p w14:paraId="058F457A">
      <w:pPr>
        <w:adjustRightInd w:val="0"/>
        <w:snapToGrid w:val="0"/>
        <w:spacing w:line="360" w:lineRule="auto"/>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9、其他有关事故预防工作。根据被保单位提出的实际需求，提供相关的现场或者线上服务，鼓励保险机构创新服务形式。</w:t>
      </w:r>
    </w:p>
    <w:p w14:paraId="4A7833D8">
      <w:pPr>
        <w:adjustRightInd w:val="0"/>
        <w:snapToGrid w:val="0"/>
        <w:spacing w:line="360" w:lineRule="auto"/>
        <w:ind w:firstLine="482" w:firstLineChars="200"/>
        <w:rPr>
          <w:rFonts w:hint="eastAsia"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10、</w:t>
      </w:r>
      <w:r>
        <w:rPr>
          <w:rFonts w:hint="eastAsia" w:ascii="仿宋" w:hAnsi="仿宋" w:eastAsia="仿宋" w:cs="仿宋"/>
          <w:b/>
          <w:bCs/>
          <w:color w:val="auto"/>
          <w:kern w:val="0"/>
          <w:sz w:val="24"/>
          <w:highlight w:val="none"/>
          <w:lang w:eastAsia="zh-CN"/>
        </w:rPr>
        <w:t>重大</w:t>
      </w:r>
      <w:r>
        <w:rPr>
          <w:rFonts w:hint="eastAsia" w:ascii="仿宋" w:hAnsi="仿宋" w:eastAsia="仿宋" w:cs="仿宋"/>
          <w:b/>
          <w:bCs/>
          <w:color w:val="auto"/>
          <w:kern w:val="0"/>
          <w:sz w:val="24"/>
          <w:highlight w:val="none"/>
        </w:rPr>
        <w:t>建筑工程项目服务特殊要求：生产安全事故隐患排查</w:t>
      </w:r>
      <w:r>
        <w:rPr>
          <w:rFonts w:hint="eastAsia" w:ascii="仿宋" w:hAnsi="仿宋" w:eastAsia="仿宋" w:cs="仿宋"/>
          <w:b/>
          <w:bCs/>
          <w:color w:val="auto"/>
          <w:kern w:val="0"/>
          <w:sz w:val="24"/>
          <w:highlight w:val="none"/>
          <w:lang w:eastAsia="zh-CN"/>
        </w:rPr>
        <w:t>在</w:t>
      </w:r>
      <w:r>
        <w:rPr>
          <w:rFonts w:hint="eastAsia" w:ascii="仿宋" w:hAnsi="仿宋" w:eastAsia="仿宋" w:cs="仿宋"/>
          <w:b/>
          <w:bCs/>
          <w:color w:val="auto"/>
          <w:kern w:val="0"/>
          <w:sz w:val="24"/>
          <w:highlight w:val="none"/>
        </w:rPr>
        <w:t>每</w:t>
      </w:r>
      <w:r>
        <w:rPr>
          <w:rFonts w:hint="eastAsia" w:ascii="仿宋" w:hAnsi="仿宋" w:eastAsia="仿宋" w:cs="仿宋"/>
          <w:b/>
          <w:bCs/>
          <w:color w:val="auto"/>
          <w:kern w:val="0"/>
          <w:sz w:val="24"/>
          <w:highlight w:val="none"/>
          <w:lang w:eastAsia="zh-CN"/>
        </w:rPr>
        <w:t>个保单期间或保单年内</w:t>
      </w:r>
      <w:r>
        <w:rPr>
          <w:rFonts w:hint="eastAsia" w:ascii="仿宋" w:hAnsi="仿宋" w:eastAsia="仿宋" w:cs="仿宋"/>
          <w:b/>
          <w:bCs/>
          <w:color w:val="auto"/>
          <w:kern w:val="0"/>
          <w:sz w:val="24"/>
          <w:highlight w:val="none"/>
        </w:rPr>
        <w:t>不少于1次全覆盖，其中建筑起重机械、高大支模架、深基坑、脚手架、盾构区间等重大危险源和生活区消防安全等作为每次服务的必查项目;根据工程项目实施进度进行风险辨识评估及安全评价并出具《安全风险初步评估报告》、《安全风险过程评估报告》、《安全风险总体评估报告》</w:t>
      </w:r>
      <w:r>
        <w:rPr>
          <w:rFonts w:hint="eastAsia" w:ascii="仿宋" w:hAnsi="仿宋" w:eastAsia="仿宋" w:cs="仿宋"/>
          <w:b/>
          <w:bCs/>
          <w:color w:val="auto"/>
          <w:kern w:val="0"/>
          <w:sz w:val="24"/>
          <w:highlight w:val="none"/>
          <w:lang w:eastAsia="zh-CN"/>
        </w:rPr>
        <w:t>，</w:t>
      </w:r>
      <w:r>
        <w:rPr>
          <w:rFonts w:hint="eastAsia" w:ascii="仿宋" w:hAnsi="仿宋" w:eastAsia="仿宋" w:cs="仿宋"/>
          <w:b/>
          <w:bCs/>
          <w:color w:val="auto"/>
          <w:kern w:val="0"/>
          <w:sz w:val="24"/>
          <w:highlight w:val="none"/>
        </w:rPr>
        <w:t>在生产安全事故隐患排查的基础上每</w:t>
      </w:r>
      <w:r>
        <w:rPr>
          <w:rFonts w:hint="eastAsia" w:ascii="仿宋" w:hAnsi="仿宋" w:eastAsia="仿宋" w:cs="仿宋"/>
          <w:b/>
          <w:bCs/>
          <w:color w:val="auto"/>
          <w:kern w:val="0"/>
          <w:sz w:val="24"/>
          <w:highlight w:val="none"/>
          <w:lang w:eastAsia="zh-CN"/>
        </w:rPr>
        <w:t>保单期间或保单年</w:t>
      </w:r>
      <w:r>
        <w:rPr>
          <w:rFonts w:hint="eastAsia" w:ascii="仿宋" w:hAnsi="仿宋" w:eastAsia="仿宋" w:cs="仿宋"/>
          <w:b/>
          <w:bCs/>
          <w:color w:val="auto"/>
          <w:kern w:val="0"/>
          <w:sz w:val="24"/>
          <w:highlight w:val="none"/>
        </w:rPr>
        <w:t>不少于1次的安全生产风险分析，并出具安全风险评估报告，提出重大风险管控建议:安全培训教育或应急救援演练等每年至少举办 1 次。</w:t>
      </w:r>
    </w:p>
    <w:p w14:paraId="3E184C07">
      <w:pPr>
        <w:adjustRightInd w:val="0"/>
        <w:snapToGrid w:val="0"/>
        <w:spacing w:line="360" w:lineRule="auto"/>
        <w:ind w:firstLine="480" w:firstLineChars="200"/>
        <w:rPr>
          <w:rFonts w:hint="eastAsia" w:ascii="仿宋" w:hAnsi="仿宋" w:eastAsia="仿宋" w:cs="仿宋"/>
          <w:color w:val="auto"/>
          <w:kern w:val="0"/>
          <w:sz w:val="24"/>
          <w:highlight w:val="none"/>
          <w:lang w:val="en-US" w:eastAsia="zh-CN"/>
        </w:rPr>
      </w:pPr>
      <w:r>
        <w:rPr>
          <w:rFonts w:hint="eastAsia" w:ascii="仿宋" w:hAnsi="仿宋" w:eastAsia="仿宋" w:cs="仿宋"/>
          <w:color w:val="auto"/>
          <w:kern w:val="0"/>
          <w:sz w:val="24"/>
          <w:highlight w:val="none"/>
          <w:lang w:val="en-US" w:eastAsia="zh-CN"/>
        </w:rPr>
        <w:t>11、其他要求</w:t>
      </w:r>
    </w:p>
    <w:p w14:paraId="585C0962">
      <w:pPr>
        <w:adjustRightInd w:val="0"/>
        <w:snapToGrid w:val="0"/>
        <w:spacing w:line="360" w:lineRule="auto"/>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实施“安全风险辨识、评估、评价”“生产安全事故隐患排查”两类事故预防服务涉及的服务机构，应当具备下列条件：</w:t>
      </w:r>
    </w:p>
    <w:p w14:paraId="067513F8">
      <w:pPr>
        <w:adjustRightInd w:val="0"/>
        <w:snapToGrid w:val="0"/>
        <w:spacing w:line="360" w:lineRule="auto"/>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1.独立法人资格；</w:t>
      </w:r>
    </w:p>
    <w:p w14:paraId="4EC22EBC">
      <w:pPr>
        <w:adjustRightInd w:val="0"/>
        <w:snapToGrid w:val="0"/>
        <w:spacing w:line="360" w:lineRule="auto"/>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2.固定工作场所建筑面积不少于100平方米，具有与事故预防服务（安全生产技术服务）业务相适应的设施、设备、软件等技术支撑条件；</w:t>
      </w:r>
    </w:p>
    <w:p w14:paraId="773C4E96">
      <w:pPr>
        <w:adjustRightInd w:val="0"/>
        <w:snapToGrid w:val="0"/>
        <w:spacing w:line="360" w:lineRule="auto"/>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3.具有与其从事安全生产技术服务活动相适应的全职技术人员（与服务机构订立劳动合同并由该机构缴纳社会保险的人员），其专业能力要求不低于有关配备标准（见表1）；</w:t>
      </w:r>
    </w:p>
    <w:p w14:paraId="1AD5E81C">
      <w:pPr>
        <w:adjustRightInd w:val="0"/>
        <w:snapToGrid w:val="0"/>
        <w:spacing w:line="360" w:lineRule="auto"/>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4.承担单一行业领域服务的机构，其全职技术人员不少于6人；每增加一个行业领域服务范围，按照专业能力配备标准至少增加2人；全职技术人员中，相关专业中级及以上注册安全工程师和相关专业中级及以上职称人员比例之和不低于50%；</w:t>
      </w:r>
    </w:p>
    <w:p w14:paraId="755E5724">
      <w:pPr>
        <w:adjustRightInd w:val="0"/>
        <w:snapToGrid w:val="0"/>
        <w:spacing w:line="360" w:lineRule="auto"/>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5.健全的内部管理制度；</w:t>
      </w:r>
    </w:p>
    <w:p w14:paraId="04B86FC0">
      <w:pPr>
        <w:adjustRightInd w:val="0"/>
        <w:snapToGrid w:val="0"/>
        <w:spacing w:line="360" w:lineRule="auto"/>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6.近三年内无严重违法行为、严重失信记录。</w:t>
      </w:r>
    </w:p>
    <w:p w14:paraId="709C41A2">
      <w:pPr>
        <w:pStyle w:val="40"/>
        <w:shd w:val="clear"/>
        <w:rPr>
          <w:rFonts w:hint="eastAsia" w:ascii="仿宋" w:hAnsi="仿宋" w:eastAsia="仿宋" w:cs="仿宋"/>
          <w:b/>
          <w:bCs/>
          <w:sz w:val="24"/>
          <w:szCs w:val="24"/>
        </w:rPr>
      </w:pPr>
      <w:r>
        <w:rPr>
          <w:rFonts w:hint="eastAsia" w:ascii="仿宋" w:hAnsi="仿宋" w:eastAsia="仿宋" w:cs="仿宋"/>
          <w:b/>
          <w:bCs/>
          <w:sz w:val="24"/>
          <w:szCs w:val="24"/>
        </w:rPr>
        <w:t>表1 第三方服务机构专业能力配备标准</w:t>
      </w:r>
    </w:p>
    <w:tbl>
      <w:tblPr>
        <w:tblStyle w:val="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59"/>
        <w:gridCol w:w="6761"/>
      </w:tblGrid>
      <w:tr w14:paraId="10CD9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59" w:type="dxa"/>
            <w:vAlign w:val="center"/>
          </w:tcPr>
          <w:p w14:paraId="711CD29C">
            <w:pPr>
              <w:shd w:val="clear"/>
              <w:jc w:val="center"/>
              <w:rPr>
                <w:rFonts w:hint="eastAsia" w:ascii="仿宋" w:hAnsi="仿宋" w:eastAsia="仿宋" w:cs="仿宋"/>
                <w:b/>
                <w:bCs/>
                <w:kern w:val="0"/>
                <w:sz w:val="24"/>
                <w:szCs w:val="24"/>
              </w:rPr>
            </w:pPr>
            <w:r>
              <w:rPr>
                <w:rFonts w:hint="eastAsia" w:ascii="仿宋" w:hAnsi="仿宋" w:eastAsia="仿宋" w:cs="仿宋"/>
                <w:b/>
                <w:bCs/>
                <w:kern w:val="0"/>
                <w:sz w:val="24"/>
                <w:szCs w:val="24"/>
              </w:rPr>
              <w:t>行业领域</w:t>
            </w:r>
          </w:p>
        </w:tc>
        <w:tc>
          <w:tcPr>
            <w:tcW w:w="6761" w:type="dxa"/>
            <w:vAlign w:val="center"/>
          </w:tcPr>
          <w:p w14:paraId="75595B61">
            <w:pPr>
              <w:shd w:val="clear"/>
              <w:jc w:val="center"/>
              <w:rPr>
                <w:rFonts w:hint="eastAsia" w:ascii="仿宋" w:hAnsi="仿宋" w:eastAsia="仿宋" w:cs="仿宋"/>
                <w:b/>
                <w:bCs/>
                <w:kern w:val="0"/>
                <w:sz w:val="24"/>
                <w:szCs w:val="24"/>
              </w:rPr>
            </w:pPr>
            <w:r>
              <w:rPr>
                <w:rFonts w:hint="eastAsia" w:ascii="仿宋" w:hAnsi="仿宋" w:eastAsia="仿宋" w:cs="仿宋"/>
                <w:b/>
                <w:bCs/>
                <w:kern w:val="0"/>
                <w:sz w:val="24"/>
                <w:szCs w:val="24"/>
              </w:rPr>
              <w:t>专业能力配备标准</w:t>
            </w:r>
          </w:p>
        </w:tc>
      </w:tr>
      <w:tr w14:paraId="77E8B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59" w:type="dxa"/>
            <w:vAlign w:val="center"/>
          </w:tcPr>
          <w:p w14:paraId="28260F2E">
            <w:pPr>
              <w:widowControl/>
              <w:shd w:val="clear"/>
              <w:jc w:val="center"/>
              <w:rPr>
                <w:rFonts w:hint="eastAsia" w:ascii="仿宋" w:hAnsi="仿宋" w:eastAsia="仿宋" w:cs="仿宋"/>
                <w:sz w:val="24"/>
                <w:szCs w:val="24"/>
              </w:rPr>
            </w:pPr>
            <w:r>
              <w:rPr>
                <w:rFonts w:hint="eastAsia" w:ascii="仿宋" w:hAnsi="仿宋" w:eastAsia="仿宋" w:cs="仿宋"/>
                <w:sz w:val="24"/>
                <w:szCs w:val="24"/>
              </w:rPr>
              <w:t>矿山</w:t>
            </w:r>
          </w:p>
        </w:tc>
        <w:tc>
          <w:tcPr>
            <w:tcW w:w="6761" w:type="dxa"/>
            <w:vAlign w:val="center"/>
          </w:tcPr>
          <w:p w14:paraId="7C0565D3">
            <w:pPr>
              <w:widowControl/>
              <w:shd w:val="clear"/>
              <w:rPr>
                <w:rFonts w:hint="eastAsia" w:ascii="仿宋" w:hAnsi="仿宋" w:eastAsia="仿宋" w:cs="仿宋"/>
                <w:sz w:val="24"/>
                <w:szCs w:val="24"/>
              </w:rPr>
            </w:pPr>
            <w:r>
              <w:rPr>
                <w:rFonts w:hint="eastAsia" w:ascii="仿宋" w:hAnsi="仿宋" w:eastAsia="仿宋" w:cs="仿宋"/>
                <w:sz w:val="24"/>
                <w:szCs w:val="24"/>
                <w:lang w:eastAsia="zh-CN"/>
              </w:rPr>
              <w:t>采矿</w:t>
            </w:r>
            <w:r>
              <w:rPr>
                <w:rFonts w:hint="eastAsia" w:ascii="仿宋" w:hAnsi="仿宋" w:eastAsia="仿宋" w:cs="仿宋"/>
                <w:sz w:val="24"/>
                <w:szCs w:val="24"/>
              </w:rPr>
              <w:t>、地质各1名及以上。</w:t>
            </w:r>
          </w:p>
        </w:tc>
      </w:tr>
      <w:tr w14:paraId="38DE5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59" w:type="dxa"/>
            <w:vAlign w:val="center"/>
          </w:tcPr>
          <w:p w14:paraId="09EBEBE6">
            <w:pPr>
              <w:widowControl/>
              <w:shd w:val="clear"/>
              <w:jc w:val="center"/>
              <w:rPr>
                <w:rFonts w:hint="eastAsia" w:ascii="仿宋" w:hAnsi="仿宋" w:eastAsia="仿宋" w:cs="仿宋"/>
                <w:sz w:val="24"/>
                <w:szCs w:val="24"/>
              </w:rPr>
            </w:pPr>
            <w:r>
              <w:rPr>
                <w:rFonts w:hint="eastAsia" w:ascii="仿宋" w:hAnsi="仿宋" w:eastAsia="仿宋" w:cs="仿宋"/>
                <w:sz w:val="24"/>
                <w:szCs w:val="24"/>
              </w:rPr>
              <w:t>危险化学品</w:t>
            </w:r>
          </w:p>
        </w:tc>
        <w:tc>
          <w:tcPr>
            <w:tcW w:w="6761" w:type="dxa"/>
            <w:vAlign w:val="center"/>
          </w:tcPr>
          <w:p w14:paraId="5862BF4D">
            <w:pPr>
              <w:widowControl/>
              <w:shd w:val="clear"/>
              <w:rPr>
                <w:rFonts w:hint="eastAsia" w:ascii="仿宋" w:hAnsi="仿宋" w:eastAsia="仿宋" w:cs="仿宋"/>
                <w:sz w:val="24"/>
                <w:szCs w:val="24"/>
              </w:rPr>
            </w:pPr>
            <w:r>
              <w:rPr>
                <w:rFonts w:hint="eastAsia" w:ascii="仿宋" w:hAnsi="仿宋" w:eastAsia="仿宋" w:cs="仿宋"/>
                <w:sz w:val="24"/>
                <w:szCs w:val="24"/>
              </w:rPr>
              <w:t>化工工艺、</w:t>
            </w:r>
            <w:r>
              <w:rPr>
                <w:rFonts w:hint="eastAsia" w:ascii="仿宋" w:hAnsi="仿宋" w:eastAsia="仿宋" w:cs="仿宋"/>
                <w:sz w:val="24"/>
                <w:szCs w:val="24"/>
                <w:lang w:eastAsia="zh-CN"/>
              </w:rPr>
              <w:t>化工</w:t>
            </w:r>
            <w:r>
              <w:rPr>
                <w:rFonts w:hint="eastAsia" w:ascii="仿宋" w:hAnsi="仿宋" w:eastAsia="仿宋" w:cs="仿宋"/>
                <w:sz w:val="24"/>
                <w:szCs w:val="24"/>
              </w:rPr>
              <w:t>机械、各1名及以上。</w:t>
            </w:r>
          </w:p>
        </w:tc>
      </w:tr>
      <w:tr w14:paraId="15738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59" w:type="dxa"/>
            <w:vAlign w:val="center"/>
          </w:tcPr>
          <w:p w14:paraId="0341BFEF">
            <w:pPr>
              <w:widowControl/>
              <w:shd w:val="clear"/>
              <w:jc w:val="center"/>
              <w:rPr>
                <w:rFonts w:hint="eastAsia" w:ascii="仿宋" w:hAnsi="仿宋" w:eastAsia="仿宋" w:cs="仿宋"/>
                <w:sz w:val="24"/>
                <w:szCs w:val="24"/>
              </w:rPr>
            </w:pPr>
            <w:r>
              <w:rPr>
                <w:rFonts w:hint="eastAsia" w:ascii="仿宋" w:hAnsi="仿宋" w:eastAsia="仿宋" w:cs="仿宋"/>
                <w:sz w:val="24"/>
                <w:szCs w:val="24"/>
              </w:rPr>
              <w:t>烟花爆竹</w:t>
            </w:r>
          </w:p>
        </w:tc>
        <w:tc>
          <w:tcPr>
            <w:tcW w:w="6761" w:type="dxa"/>
            <w:vAlign w:val="center"/>
          </w:tcPr>
          <w:p w14:paraId="2C7A02B5">
            <w:pPr>
              <w:widowControl/>
              <w:shd w:val="clear"/>
              <w:rPr>
                <w:rFonts w:hint="eastAsia" w:ascii="仿宋" w:hAnsi="仿宋" w:eastAsia="仿宋" w:cs="仿宋"/>
                <w:sz w:val="24"/>
                <w:szCs w:val="24"/>
              </w:rPr>
            </w:pPr>
            <w:r>
              <w:rPr>
                <w:rFonts w:hint="eastAsia" w:ascii="仿宋" w:hAnsi="仿宋" w:eastAsia="仿宋" w:cs="仿宋"/>
                <w:sz w:val="24"/>
                <w:szCs w:val="24"/>
                <w:lang w:eastAsia="zh-CN"/>
              </w:rPr>
              <w:t>爆破工程</w:t>
            </w:r>
            <w:r>
              <w:rPr>
                <w:rFonts w:hint="eastAsia" w:ascii="仿宋" w:hAnsi="仿宋" w:eastAsia="仿宋" w:cs="仿宋"/>
                <w:sz w:val="24"/>
                <w:szCs w:val="24"/>
              </w:rPr>
              <w:t>技术、</w:t>
            </w:r>
            <w:r>
              <w:rPr>
                <w:rFonts w:hint="eastAsia" w:ascii="仿宋" w:hAnsi="仿宋" w:eastAsia="仿宋" w:cs="仿宋"/>
                <w:sz w:val="24"/>
                <w:szCs w:val="24"/>
                <w:lang w:eastAsia="zh-CN"/>
              </w:rPr>
              <w:t>安全</w:t>
            </w:r>
            <w:r>
              <w:rPr>
                <w:rFonts w:hint="eastAsia" w:ascii="仿宋" w:hAnsi="仿宋" w:eastAsia="仿宋" w:cs="仿宋"/>
                <w:sz w:val="24"/>
                <w:szCs w:val="24"/>
              </w:rPr>
              <w:t>、各1名及以上。</w:t>
            </w:r>
          </w:p>
        </w:tc>
      </w:tr>
      <w:tr w14:paraId="681B1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59" w:type="dxa"/>
            <w:vAlign w:val="center"/>
          </w:tcPr>
          <w:p w14:paraId="1410D868">
            <w:pPr>
              <w:widowControl/>
              <w:shd w:val="clear"/>
              <w:jc w:val="center"/>
              <w:rPr>
                <w:rFonts w:hint="eastAsia" w:ascii="仿宋" w:hAnsi="仿宋" w:eastAsia="仿宋" w:cs="仿宋"/>
                <w:sz w:val="24"/>
                <w:szCs w:val="24"/>
              </w:rPr>
            </w:pPr>
            <w:r>
              <w:rPr>
                <w:rFonts w:hint="eastAsia" w:ascii="仿宋" w:hAnsi="仿宋" w:eastAsia="仿宋" w:cs="仿宋"/>
                <w:sz w:val="24"/>
                <w:szCs w:val="24"/>
              </w:rPr>
              <w:t>金属冶炼</w:t>
            </w:r>
          </w:p>
        </w:tc>
        <w:tc>
          <w:tcPr>
            <w:tcW w:w="6761" w:type="dxa"/>
            <w:vAlign w:val="center"/>
          </w:tcPr>
          <w:p w14:paraId="3A1A666A">
            <w:pPr>
              <w:widowControl/>
              <w:shd w:val="clear"/>
              <w:rPr>
                <w:rFonts w:hint="eastAsia" w:ascii="仿宋" w:hAnsi="仿宋" w:eastAsia="仿宋" w:cs="仿宋"/>
                <w:sz w:val="24"/>
                <w:szCs w:val="24"/>
              </w:rPr>
            </w:pPr>
            <w:r>
              <w:rPr>
                <w:rFonts w:hint="eastAsia" w:ascii="仿宋" w:hAnsi="仿宋" w:eastAsia="仿宋" w:cs="仿宋"/>
                <w:sz w:val="24"/>
                <w:szCs w:val="24"/>
              </w:rPr>
              <w:t>安</w:t>
            </w:r>
            <w:r>
              <w:rPr>
                <w:rFonts w:hint="eastAsia" w:ascii="仿宋" w:hAnsi="仿宋" w:eastAsia="仿宋" w:cs="仿宋"/>
                <w:sz w:val="24"/>
                <w:szCs w:val="24"/>
                <w:lang w:eastAsia="zh-CN"/>
              </w:rPr>
              <w:t>全工程师</w:t>
            </w:r>
            <w:r>
              <w:rPr>
                <w:rFonts w:hint="eastAsia" w:ascii="仿宋" w:hAnsi="仿宋" w:eastAsia="仿宋" w:cs="仿宋"/>
                <w:sz w:val="24"/>
                <w:szCs w:val="24"/>
              </w:rPr>
              <w:t>、</w:t>
            </w:r>
            <w:r>
              <w:rPr>
                <w:rFonts w:hint="eastAsia" w:ascii="仿宋" w:hAnsi="仿宋" w:eastAsia="仿宋" w:cs="仿宋"/>
                <w:sz w:val="24"/>
                <w:szCs w:val="24"/>
                <w:lang w:eastAsia="zh-CN"/>
              </w:rPr>
              <w:t>湿法冶金</w:t>
            </w:r>
            <w:r>
              <w:rPr>
                <w:rFonts w:hint="eastAsia" w:ascii="仿宋" w:hAnsi="仿宋" w:eastAsia="仿宋" w:cs="仿宋"/>
                <w:sz w:val="24"/>
                <w:szCs w:val="24"/>
              </w:rPr>
              <w:t>、1名及以上。</w:t>
            </w:r>
          </w:p>
        </w:tc>
      </w:tr>
      <w:tr w14:paraId="5D05D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59" w:type="dxa"/>
            <w:vAlign w:val="center"/>
          </w:tcPr>
          <w:p w14:paraId="4E3D160E">
            <w:pPr>
              <w:widowControl/>
              <w:shd w:val="clear"/>
              <w:jc w:val="center"/>
              <w:rPr>
                <w:rFonts w:hint="eastAsia" w:ascii="仿宋" w:hAnsi="仿宋" w:eastAsia="仿宋" w:cs="仿宋"/>
                <w:sz w:val="24"/>
                <w:szCs w:val="24"/>
              </w:rPr>
            </w:pPr>
            <w:r>
              <w:rPr>
                <w:rFonts w:hint="eastAsia" w:ascii="仿宋" w:hAnsi="仿宋" w:eastAsia="仿宋" w:cs="仿宋"/>
                <w:sz w:val="24"/>
                <w:szCs w:val="24"/>
              </w:rPr>
              <w:t>民用爆炸物品</w:t>
            </w:r>
          </w:p>
        </w:tc>
        <w:tc>
          <w:tcPr>
            <w:tcW w:w="6761" w:type="dxa"/>
            <w:vAlign w:val="center"/>
          </w:tcPr>
          <w:p w14:paraId="71AFE4B3">
            <w:pPr>
              <w:widowControl/>
              <w:shd w:val="clear"/>
              <w:rPr>
                <w:rFonts w:hint="eastAsia" w:ascii="仿宋" w:hAnsi="仿宋" w:eastAsia="仿宋" w:cs="仿宋"/>
                <w:sz w:val="24"/>
                <w:szCs w:val="24"/>
              </w:rPr>
            </w:pPr>
            <w:r>
              <w:rPr>
                <w:rFonts w:hint="eastAsia" w:ascii="仿宋" w:hAnsi="仿宋" w:eastAsia="仿宋" w:cs="仿宋"/>
                <w:sz w:val="24"/>
                <w:szCs w:val="24"/>
              </w:rPr>
              <w:t>爆</w:t>
            </w:r>
            <w:r>
              <w:rPr>
                <w:rFonts w:hint="eastAsia" w:ascii="仿宋" w:hAnsi="仿宋" w:eastAsia="仿宋" w:cs="仿宋"/>
                <w:sz w:val="24"/>
                <w:szCs w:val="24"/>
                <w:lang w:eastAsia="zh-CN"/>
              </w:rPr>
              <w:t>破工程</w:t>
            </w:r>
            <w:r>
              <w:rPr>
                <w:rFonts w:hint="eastAsia" w:ascii="仿宋" w:hAnsi="仿宋" w:eastAsia="仿宋" w:cs="仿宋"/>
                <w:sz w:val="24"/>
                <w:szCs w:val="24"/>
              </w:rPr>
              <w:t>技术、安全</w:t>
            </w:r>
            <w:r>
              <w:rPr>
                <w:rFonts w:hint="eastAsia" w:ascii="仿宋" w:hAnsi="仿宋" w:eastAsia="仿宋" w:cs="仿宋"/>
                <w:sz w:val="24"/>
                <w:szCs w:val="24"/>
                <w:lang w:eastAsia="zh-CN"/>
              </w:rPr>
              <w:t>员</w:t>
            </w:r>
            <w:r>
              <w:rPr>
                <w:rFonts w:hint="eastAsia" w:ascii="仿宋" w:hAnsi="仿宋" w:eastAsia="仿宋" w:cs="仿宋"/>
                <w:sz w:val="24"/>
                <w:szCs w:val="24"/>
              </w:rPr>
              <w:t>、各1名及以上。</w:t>
            </w:r>
          </w:p>
        </w:tc>
      </w:tr>
      <w:tr w14:paraId="0AECF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59" w:type="dxa"/>
            <w:vAlign w:val="center"/>
          </w:tcPr>
          <w:p w14:paraId="54C9B8FD">
            <w:pPr>
              <w:widowControl/>
              <w:shd w:val="clear"/>
              <w:jc w:val="center"/>
              <w:rPr>
                <w:rFonts w:hint="eastAsia" w:ascii="仿宋" w:hAnsi="仿宋" w:eastAsia="仿宋" w:cs="仿宋"/>
                <w:sz w:val="24"/>
                <w:szCs w:val="24"/>
              </w:rPr>
            </w:pPr>
            <w:r>
              <w:rPr>
                <w:rFonts w:hint="eastAsia" w:ascii="仿宋" w:hAnsi="仿宋" w:eastAsia="仿宋" w:cs="仿宋"/>
                <w:sz w:val="24"/>
                <w:szCs w:val="24"/>
              </w:rPr>
              <w:t>建筑施工</w:t>
            </w:r>
          </w:p>
        </w:tc>
        <w:tc>
          <w:tcPr>
            <w:tcW w:w="6761" w:type="dxa"/>
            <w:vAlign w:val="center"/>
          </w:tcPr>
          <w:p w14:paraId="0331E907">
            <w:pPr>
              <w:widowControl/>
              <w:shd w:val="clear"/>
              <w:rPr>
                <w:rFonts w:hint="eastAsia" w:ascii="仿宋" w:hAnsi="仿宋" w:eastAsia="仿宋" w:cs="仿宋"/>
                <w:sz w:val="24"/>
                <w:szCs w:val="24"/>
              </w:rPr>
            </w:pPr>
            <w:r>
              <w:rPr>
                <w:rFonts w:hint="eastAsia" w:ascii="仿宋" w:hAnsi="仿宋" w:eastAsia="仿宋" w:cs="仿宋"/>
                <w:sz w:val="24"/>
                <w:szCs w:val="24"/>
                <w:lang w:eastAsia="zh-CN"/>
              </w:rPr>
              <w:t>城市规划</w:t>
            </w:r>
            <w:r>
              <w:rPr>
                <w:rFonts w:hint="eastAsia" w:ascii="仿宋" w:hAnsi="仿宋" w:eastAsia="仿宋" w:cs="仿宋"/>
                <w:sz w:val="24"/>
                <w:szCs w:val="24"/>
              </w:rPr>
              <w:t>、</w:t>
            </w:r>
            <w:r>
              <w:rPr>
                <w:rFonts w:hint="eastAsia" w:ascii="仿宋" w:hAnsi="仿宋" w:eastAsia="仿宋" w:cs="仿宋"/>
                <w:sz w:val="24"/>
                <w:szCs w:val="24"/>
                <w:lang w:eastAsia="zh-CN"/>
              </w:rPr>
              <w:t>建筑施工安全</w:t>
            </w:r>
            <w:r>
              <w:rPr>
                <w:rFonts w:hint="eastAsia" w:ascii="仿宋" w:hAnsi="仿宋" w:eastAsia="仿宋" w:cs="仿宋"/>
                <w:sz w:val="24"/>
                <w:szCs w:val="24"/>
              </w:rPr>
              <w:t>、</w:t>
            </w:r>
            <w:r>
              <w:rPr>
                <w:rFonts w:hint="eastAsia" w:ascii="仿宋" w:hAnsi="仿宋" w:eastAsia="仿宋" w:cs="仿宋"/>
                <w:sz w:val="24"/>
                <w:szCs w:val="24"/>
                <w:lang w:eastAsia="zh-CN"/>
              </w:rPr>
              <w:t>工业</w:t>
            </w:r>
            <w:r>
              <w:rPr>
                <w:rFonts w:hint="eastAsia" w:ascii="仿宋" w:hAnsi="仿宋" w:eastAsia="仿宋" w:cs="仿宋"/>
                <w:sz w:val="24"/>
                <w:szCs w:val="24"/>
              </w:rPr>
              <w:t>电气、</w:t>
            </w:r>
            <w:r>
              <w:rPr>
                <w:rFonts w:hint="eastAsia" w:ascii="仿宋" w:hAnsi="仿宋" w:eastAsia="仿宋" w:cs="仿宋"/>
                <w:sz w:val="24"/>
                <w:szCs w:val="24"/>
                <w:lang w:eastAsia="zh-CN"/>
              </w:rPr>
              <w:t>各</w:t>
            </w:r>
            <w:r>
              <w:rPr>
                <w:rFonts w:hint="eastAsia" w:ascii="仿宋" w:hAnsi="仿宋" w:eastAsia="仿宋" w:cs="仿宋"/>
                <w:sz w:val="24"/>
                <w:szCs w:val="24"/>
                <w:lang w:val="en-US" w:eastAsia="zh-CN"/>
              </w:rPr>
              <w:t>1</w:t>
            </w:r>
            <w:r>
              <w:rPr>
                <w:rFonts w:hint="eastAsia" w:ascii="仿宋" w:hAnsi="仿宋" w:eastAsia="仿宋" w:cs="仿宋"/>
                <w:sz w:val="24"/>
                <w:szCs w:val="24"/>
              </w:rPr>
              <w:t>名及以上。</w:t>
            </w:r>
          </w:p>
        </w:tc>
      </w:tr>
      <w:tr w14:paraId="327C8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59" w:type="dxa"/>
            <w:vAlign w:val="center"/>
          </w:tcPr>
          <w:p w14:paraId="53C4FAFA">
            <w:pPr>
              <w:widowControl/>
              <w:shd w:val="clear"/>
              <w:jc w:val="center"/>
              <w:rPr>
                <w:rFonts w:hint="eastAsia" w:ascii="仿宋" w:hAnsi="仿宋" w:eastAsia="仿宋" w:cs="仿宋"/>
                <w:sz w:val="24"/>
                <w:szCs w:val="24"/>
              </w:rPr>
            </w:pPr>
            <w:r>
              <w:rPr>
                <w:rFonts w:hint="eastAsia" w:ascii="仿宋" w:hAnsi="仿宋" w:eastAsia="仿宋" w:cs="仿宋"/>
                <w:sz w:val="24"/>
                <w:szCs w:val="24"/>
              </w:rPr>
              <w:t>交通运输</w:t>
            </w:r>
          </w:p>
        </w:tc>
        <w:tc>
          <w:tcPr>
            <w:tcW w:w="6761" w:type="dxa"/>
            <w:vAlign w:val="center"/>
          </w:tcPr>
          <w:p w14:paraId="6BF30D32">
            <w:pPr>
              <w:widowControl/>
              <w:shd w:val="clear"/>
              <w:rPr>
                <w:rFonts w:hint="eastAsia" w:ascii="仿宋" w:hAnsi="仿宋" w:eastAsia="仿宋" w:cs="仿宋"/>
                <w:sz w:val="24"/>
                <w:szCs w:val="24"/>
              </w:rPr>
            </w:pPr>
            <w:r>
              <w:rPr>
                <w:rFonts w:hint="eastAsia" w:ascii="仿宋" w:hAnsi="仿宋" w:eastAsia="仿宋" w:cs="仿宋"/>
                <w:sz w:val="24"/>
                <w:szCs w:val="24"/>
                <w:lang w:eastAsia="zh-CN"/>
              </w:rPr>
              <w:t>公路与桥梁</w:t>
            </w:r>
            <w:r>
              <w:rPr>
                <w:rFonts w:hint="eastAsia" w:ascii="仿宋" w:hAnsi="仿宋" w:eastAsia="仿宋" w:cs="仿宋"/>
                <w:sz w:val="24"/>
                <w:szCs w:val="24"/>
              </w:rPr>
              <w:t>、</w:t>
            </w:r>
            <w:r>
              <w:rPr>
                <w:rFonts w:hint="eastAsia" w:ascii="仿宋" w:hAnsi="仿宋" w:eastAsia="仿宋" w:cs="仿宋"/>
                <w:sz w:val="24"/>
                <w:szCs w:val="24"/>
                <w:lang w:eastAsia="zh-CN"/>
              </w:rPr>
              <w:t>机械设备</w:t>
            </w:r>
            <w:r>
              <w:rPr>
                <w:rFonts w:hint="eastAsia" w:ascii="仿宋" w:hAnsi="仿宋" w:eastAsia="仿宋" w:cs="仿宋"/>
                <w:sz w:val="24"/>
                <w:szCs w:val="24"/>
              </w:rPr>
              <w:t>各</w:t>
            </w:r>
            <w:r>
              <w:rPr>
                <w:rFonts w:hint="eastAsia" w:ascii="仿宋" w:hAnsi="仿宋" w:eastAsia="仿宋" w:cs="仿宋"/>
                <w:sz w:val="24"/>
                <w:szCs w:val="24"/>
                <w:lang w:val="en-US" w:eastAsia="zh-CN"/>
              </w:rPr>
              <w:t>1</w:t>
            </w:r>
            <w:r>
              <w:rPr>
                <w:rFonts w:hint="eastAsia" w:ascii="仿宋" w:hAnsi="仿宋" w:eastAsia="仿宋" w:cs="仿宋"/>
                <w:sz w:val="24"/>
                <w:szCs w:val="24"/>
              </w:rPr>
              <w:t>名及以上。</w:t>
            </w:r>
          </w:p>
        </w:tc>
      </w:tr>
      <w:tr w14:paraId="2E108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59" w:type="dxa"/>
            <w:vAlign w:val="center"/>
          </w:tcPr>
          <w:p w14:paraId="2BE108CB">
            <w:pPr>
              <w:widowControl/>
              <w:shd w:val="clear"/>
              <w:jc w:val="center"/>
              <w:rPr>
                <w:rFonts w:hint="eastAsia" w:ascii="仿宋" w:hAnsi="仿宋" w:eastAsia="仿宋" w:cs="仿宋"/>
                <w:sz w:val="24"/>
                <w:szCs w:val="24"/>
              </w:rPr>
            </w:pPr>
            <w:r>
              <w:rPr>
                <w:rFonts w:hint="eastAsia" w:ascii="仿宋" w:hAnsi="仿宋" w:eastAsia="仿宋" w:cs="仿宋"/>
                <w:sz w:val="24"/>
                <w:szCs w:val="24"/>
              </w:rPr>
              <w:t>渔业生产</w:t>
            </w:r>
          </w:p>
        </w:tc>
        <w:tc>
          <w:tcPr>
            <w:tcW w:w="6761" w:type="dxa"/>
            <w:vAlign w:val="center"/>
          </w:tcPr>
          <w:p w14:paraId="42D4E6D8">
            <w:pPr>
              <w:widowControl/>
              <w:shd w:val="clear"/>
              <w:rPr>
                <w:rFonts w:hint="eastAsia" w:ascii="仿宋" w:hAnsi="仿宋" w:eastAsia="仿宋" w:cs="仿宋"/>
                <w:sz w:val="24"/>
                <w:szCs w:val="24"/>
                <w:lang w:eastAsia="zh-CN"/>
              </w:rPr>
            </w:pPr>
            <w:r>
              <w:rPr>
                <w:rFonts w:hint="eastAsia" w:ascii="仿宋" w:hAnsi="仿宋" w:eastAsia="仿宋" w:cs="仿宋"/>
                <w:sz w:val="24"/>
                <w:szCs w:val="24"/>
                <w:lang w:eastAsia="zh-CN"/>
              </w:rPr>
              <w:t>注册安全</w:t>
            </w:r>
            <w:r>
              <w:rPr>
                <w:rFonts w:hint="eastAsia" w:ascii="仿宋" w:hAnsi="仿宋" w:eastAsia="仿宋" w:cs="仿宋"/>
                <w:sz w:val="24"/>
                <w:szCs w:val="24"/>
              </w:rPr>
              <w:t>、</w:t>
            </w:r>
            <w:r>
              <w:rPr>
                <w:rFonts w:hint="eastAsia" w:ascii="仿宋" w:hAnsi="仿宋" w:eastAsia="仿宋" w:cs="仿宋"/>
                <w:sz w:val="24"/>
                <w:szCs w:val="24"/>
                <w:lang w:eastAsia="zh-CN"/>
              </w:rPr>
              <w:t>一名。</w:t>
            </w:r>
          </w:p>
        </w:tc>
      </w:tr>
    </w:tbl>
    <w:p w14:paraId="36963E7E">
      <w:pPr>
        <w:adjustRightInd w:val="0"/>
        <w:snapToGrid w:val="0"/>
        <w:spacing w:line="360" w:lineRule="auto"/>
        <w:ind w:firstLine="480" w:firstLineChars="200"/>
        <w:rPr>
          <w:rFonts w:hint="default" w:ascii="仿宋" w:hAnsi="仿宋" w:eastAsia="仿宋" w:cs="仿宋"/>
          <w:color w:val="auto"/>
          <w:kern w:val="0"/>
          <w:sz w:val="24"/>
          <w:highlight w:val="none"/>
          <w:lang w:val="en-US" w:eastAsia="zh-CN"/>
        </w:rPr>
      </w:pPr>
      <w:r>
        <w:rPr>
          <w:rFonts w:hint="eastAsia" w:ascii="仿宋" w:hAnsi="仿宋" w:eastAsia="仿宋" w:cs="仿宋"/>
          <w:color w:val="auto"/>
          <w:kern w:val="0"/>
          <w:sz w:val="24"/>
          <w:highlight w:val="none"/>
          <w:lang w:val="en-US" w:eastAsia="zh-CN"/>
        </w:rPr>
        <w:t>国家、属地在其制定事故预防服务的细则或标准中对服务机构资质或能力要求另有规定的，或属地已建立服务三方合作机制（或服务运营中心）并对服务机构选用、管理另有规定的，从其规定。</w:t>
      </w:r>
    </w:p>
    <w:tbl>
      <w:tblPr>
        <w:tblStyle w:val="4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3"/>
        <w:gridCol w:w="776"/>
        <w:gridCol w:w="894"/>
        <w:gridCol w:w="1271"/>
        <w:gridCol w:w="2695"/>
        <w:gridCol w:w="1346"/>
        <w:gridCol w:w="989"/>
        <w:gridCol w:w="1186"/>
      </w:tblGrid>
      <w:tr w14:paraId="5AE6A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tblHeader/>
          <w:jc w:val="center"/>
        </w:trPr>
        <w:tc>
          <w:tcPr>
            <w:tcW w:w="352" w:type="pct"/>
            <w:vAlign w:val="center"/>
          </w:tcPr>
          <w:p w14:paraId="342932C8">
            <w:pPr>
              <w:keepNext w:val="0"/>
              <w:keepLines w:val="0"/>
              <w:suppressLineNumbers w:val="0"/>
              <w:adjustRightInd w:val="0"/>
              <w:snapToGrid w:val="0"/>
              <w:spacing w:before="0" w:beforeAutospacing="0" w:after="0" w:afterAutospacing="0" w:line="400" w:lineRule="exact"/>
              <w:ind w:left="0" w:right="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2861" w:type="pct"/>
            <w:gridSpan w:val="4"/>
            <w:vAlign w:val="center"/>
          </w:tcPr>
          <w:p w14:paraId="0206E688">
            <w:pPr>
              <w:keepNext w:val="0"/>
              <w:keepLines w:val="0"/>
              <w:suppressLineNumbers w:val="0"/>
              <w:adjustRightInd w:val="0"/>
              <w:snapToGrid w:val="0"/>
              <w:spacing w:before="0" w:beforeAutospacing="0" w:after="0" w:afterAutospacing="0" w:line="400" w:lineRule="exact"/>
              <w:ind w:left="0" w:right="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服务内容及专家级别</w:t>
            </w:r>
          </w:p>
        </w:tc>
        <w:tc>
          <w:tcPr>
            <w:tcW w:w="681" w:type="pct"/>
            <w:vAlign w:val="center"/>
          </w:tcPr>
          <w:p w14:paraId="6AD87AB5">
            <w:pPr>
              <w:keepNext w:val="0"/>
              <w:keepLines w:val="0"/>
              <w:suppressLineNumbers w:val="0"/>
              <w:adjustRightInd w:val="0"/>
              <w:snapToGrid w:val="0"/>
              <w:spacing w:before="0" w:beforeAutospacing="0" w:after="0" w:afterAutospacing="0" w:line="400" w:lineRule="exact"/>
              <w:ind w:left="0" w:right="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服务报价</w:t>
            </w:r>
          </w:p>
          <w:p w14:paraId="22144567">
            <w:pPr>
              <w:keepNext w:val="0"/>
              <w:keepLines w:val="0"/>
              <w:suppressLineNumbers w:val="0"/>
              <w:adjustRightInd w:val="0"/>
              <w:snapToGrid w:val="0"/>
              <w:spacing w:before="0" w:beforeAutospacing="0" w:after="0" w:afterAutospacing="0" w:line="400" w:lineRule="exact"/>
              <w:ind w:left="0" w:right="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（含税价）</w:t>
            </w:r>
          </w:p>
        </w:tc>
        <w:tc>
          <w:tcPr>
            <w:tcW w:w="502" w:type="pct"/>
            <w:vAlign w:val="center"/>
          </w:tcPr>
          <w:p w14:paraId="6F2CB546">
            <w:pPr>
              <w:keepNext w:val="0"/>
              <w:keepLines w:val="0"/>
              <w:suppressLineNumbers w:val="0"/>
              <w:adjustRightInd w:val="0"/>
              <w:snapToGrid w:val="0"/>
              <w:spacing w:before="0" w:beforeAutospacing="0" w:after="0" w:afterAutospacing="0" w:line="400" w:lineRule="exact"/>
              <w:ind w:left="0" w:right="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服务期</w:t>
            </w:r>
          </w:p>
        </w:tc>
        <w:tc>
          <w:tcPr>
            <w:tcW w:w="602" w:type="pct"/>
            <w:vAlign w:val="center"/>
          </w:tcPr>
          <w:p w14:paraId="7ADF1258">
            <w:pPr>
              <w:keepNext w:val="0"/>
              <w:keepLines w:val="0"/>
              <w:suppressLineNumbers w:val="0"/>
              <w:adjustRightInd w:val="0"/>
              <w:snapToGrid w:val="0"/>
              <w:spacing w:before="0" w:beforeAutospacing="0" w:after="0" w:afterAutospacing="0" w:line="400" w:lineRule="exact"/>
              <w:ind w:left="0" w:right="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声明</w:t>
            </w:r>
          </w:p>
        </w:tc>
      </w:tr>
      <w:tr w14:paraId="45C44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3895" w:type="pct"/>
            <w:gridSpan w:val="6"/>
            <w:vAlign w:val="center"/>
          </w:tcPr>
          <w:p w14:paraId="555745CF">
            <w:pPr>
              <w:keepNext w:val="0"/>
              <w:keepLines w:val="0"/>
              <w:suppressLineNumbers w:val="0"/>
              <w:adjustRightInd w:val="0"/>
              <w:spacing w:before="0" w:beforeAutospacing="0" w:after="0" w:afterAutospacing="0" w:line="400" w:lineRule="exact"/>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一、针对</w:t>
            </w:r>
            <w:r>
              <w:rPr>
                <w:rFonts w:hint="eastAsia" w:ascii="宋体" w:hAnsi="宋体" w:eastAsia="宋体" w:cs="宋体"/>
                <w:color w:val="auto"/>
                <w:sz w:val="24"/>
                <w:szCs w:val="24"/>
                <w:highlight w:val="none"/>
                <w:lang w:eastAsia="zh-CN"/>
              </w:rPr>
              <w:t>烟花爆竹、民用爆炸用品、一般工贸行业</w:t>
            </w:r>
            <w:r>
              <w:rPr>
                <w:rFonts w:hint="eastAsia" w:ascii="宋体" w:hAnsi="宋体" w:eastAsia="宋体" w:cs="宋体"/>
                <w:color w:val="auto"/>
                <w:sz w:val="24"/>
                <w:szCs w:val="24"/>
                <w:highlight w:val="none"/>
              </w:rPr>
              <w:t>及下表未列明的建筑工程企业项目</w:t>
            </w:r>
          </w:p>
        </w:tc>
        <w:tc>
          <w:tcPr>
            <w:tcW w:w="502" w:type="pct"/>
            <w:vMerge w:val="restart"/>
            <w:vAlign w:val="center"/>
          </w:tcPr>
          <w:p w14:paraId="117A612A">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同招标文件要求</w:t>
            </w:r>
          </w:p>
        </w:tc>
        <w:tc>
          <w:tcPr>
            <w:tcW w:w="602" w:type="pct"/>
            <w:vMerge w:val="restart"/>
            <w:vAlign w:val="center"/>
          </w:tcPr>
          <w:p w14:paraId="73CABA7A">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p>
        </w:tc>
      </w:tr>
      <w:tr w14:paraId="32A91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jc w:val="center"/>
        </w:trPr>
        <w:tc>
          <w:tcPr>
            <w:tcW w:w="352" w:type="pct"/>
            <w:vAlign w:val="center"/>
          </w:tcPr>
          <w:p w14:paraId="0C54D043">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861" w:type="pct"/>
            <w:gridSpan w:val="4"/>
            <w:vAlign w:val="center"/>
          </w:tcPr>
          <w:p w14:paraId="6D86CCDC">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初级安全工程师或三级安全评价师或监理员或初级职称等各行业同等级别</w:t>
            </w:r>
          </w:p>
        </w:tc>
        <w:tc>
          <w:tcPr>
            <w:tcW w:w="681" w:type="pct"/>
            <w:vAlign w:val="center"/>
          </w:tcPr>
          <w:p w14:paraId="19262DCD">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元/次</w:t>
            </w:r>
          </w:p>
        </w:tc>
        <w:tc>
          <w:tcPr>
            <w:tcW w:w="502" w:type="pct"/>
            <w:vMerge w:val="continue"/>
            <w:vAlign w:val="center"/>
          </w:tcPr>
          <w:p w14:paraId="040E42F5">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p>
        </w:tc>
        <w:tc>
          <w:tcPr>
            <w:tcW w:w="602" w:type="pct"/>
            <w:vMerge w:val="continue"/>
            <w:vAlign w:val="center"/>
          </w:tcPr>
          <w:p w14:paraId="38CC34E8">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p>
        </w:tc>
      </w:tr>
      <w:tr w14:paraId="74E06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352" w:type="pct"/>
            <w:vAlign w:val="center"/>
          </w:tcPr>
          <w:p w14:paraId="4A5F34B0">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2861" w:type="pct"/>
            <w:gridSpan w:val="4"/>
            <w:vAlign w:val="center"/>
          </w:tcPr>
          <w:p w14:paraId="0B1EB3FA">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中级安全工程师或工程师或二级安全评价师或</w:t>
            </w:r>
            <w:r>
              <w:rPr>
                <w:rFonts w:hint="eastAsia" w:ascii="宋体" w:hAnsi="宋体" w:cs="宋体"/>
                <w:color w:val="auto"/>
                <w:sz w:val="24"/>
                <w:szCs w:val="24"/>
                <w:highlight w:val="none"/>
                <w:lang w:val="en-US" w:eastAsia="zh-CN"/>
              </w:rPr>
              <w:t>宜春</w:t>
            </w:r>
            <w:r>
              <w:rPr>
                <w:rFonts w:hint="eastAsia" w:ascii="宋体" w:hAnsi="宋体" w:eastAsia="宋体" w:cs="宋体"/>
                <w:color w:val="auto"/>
                <w:sz w:val="24"/>
                <w:szCs w:val="24"/>
                <w:highlight w:val="none"/>
                <w:lang w:val="en-US"/>
              </w:rPr>
              <w:t>市</w:t>
            </w:r>
            <w:r>
              <w:rPr>
                <w:rFonts w:hint="eastAsia" w:ascii="宋体" w:hAnsi="宋体" w:eastAsia="宋体" w:cs="宋体"/>
                <w:color w:val="auto"/>
                <w:sz w:val="24"/>
                <w:szCs w:val="24"/>
                <w:highlight w:val="none"/>
              </w:rPr>
              <w:t>监理工程师或中级职称等各行业同等级别</w:t>
            </w:r>
          </w:p>
        </w:tc>
        <w:tc>
          <w:tcPr>
            <w:tcW w:w="681" w:type="pct"/>
            <w:vAlign w:val="center"/>
          </w:tcPr>
          <w:p w14:paraId="7C8611DF">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元/次</w:t>
            </w:r>
          </w:p>
        </w:tc>
        <w:tc>
          <w:tcPr>
            <w:tcW w:w="502" w:type="pct"/>
            <w:vMerge w:val="continue"/>
            <w:vAlign w:val="center"/>
          </w:tcPr>
          <w:p w14:paraId="41711B3D">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p>
        </w:tc>
        <w:tc>
          <w:tcPr>
            <w:tcW w:w="602" w:type="pct"/>
            <w:vMerge w:val="continue"/>
            <w:vAlign w:val="center"/>
          </w:tcPr>
          <w:p w14:paraId="65E8F93A">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p>
        </w:tc>
      </w:tr>
      <w:tr w14:paraId="0A6A5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jc w:val="center"/>
        </w:trPr>
        <w:tc>
          <w:tcPr>
            <w:tcW w:w="352" w:type="pct"/>
            <w:vAlign w:val="center"/>
          </w:tcPr>
          <w:p w14:paraId="3111AB79">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2861" w:type="pct"/>
            <w:gridSpan w:val="4"/>
            <w:vAlign w:val="center"/>
          </w:tcPr>
          <w:p w14:paraId="2A2165C5">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一级安全评价师或</w:t>
            </w:r>
            <w:r>
              <w:rPr>
                <w:rFonts w:hint="eastAsia" w:ascii="宋体" w:hAnsi="宋体" w:eastAsia="宋体" w:cs="宋体"/>
                <w:color w:val="auto"/>
                <w:sz w:val="24"/>
                <w:szCs w:val="24"/>
                <w:highlight w:val="none"/>
                <w:lang w:val="en-US"/>
              </w:rPr>
              <w:t>江西省</w:t>
            </w:r>
            <w:r>
              <w:rPr>
                <w:rFonts w:hint="eastAsia" w:ascii="宋体" w:hAnsi="宋体" w:eastAsia="宋体" w:cs="宋体"/>
                <w:color w:val="auto"/>
                <w:sz w:val="24"/>
                <w:szCs w:val="24"/>
                <w:highlight w:val="none"/>
              </w:rPr>
              <w:t>监理工程师或副高级工程师等各行业同等级别</w:t>
            </w:r>
          </w:p>
        </w:tc>
        <w:tc>
          <w:tcPr>
            <w:tcW w:w="681" w:type="pct"/>
            <w:vAlign w:val="center"/>
          </w:tcPr>
          <w:p w14:paraId="7BB26800">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元/次</w:t>
            </w:r>
          </w:p>
        </w:tc>
        <w:tc>
          <w:tcPr>
            <w:tcW w:w="502" w:type="pct"/>
            <w:vMerge w:val="continue"/>
            <w:vAlign w:val="center"/>
          </w:tcPr>
          <w:p w14:paraId="31C0F9DB">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p>
        </w:tc>
        <w:tc>
          <w:tcPr>
            <w:tcW w:w="602" w:type="pct"/>
            <w:vMerge w:val="continue"/>
            <w:vAlign w:val="center"/>
          </w:tcPr>
          <w:p w14:paraId="72C73346">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p>
        </w:tc>
      </w:tr>
      <w:tr w14:paraId="53FAE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352" w:type="pct"/>
            <w:vAlign w:val="center"/>
          </w:tcPr>
          <w:p w14:paraId="74E6C4FB">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2861" w:type="pct"/>
            <w:gridSpan w:val="4"/>
            <w:vAlign w:val="center"/>
          </w:tcPr>
          <w:p w14:paraId="6E89DE42">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高级安全评价师或国家监理工程师或教授级或正高级工程师等各行业同等级别</w:t>
            </w:r>
          </w:p>
        </w:tc>
        <w:tc>
          <w:tcPr>
            <w:tcW w:w="681" w:type="pct"/>
            <w:vAlign w:val="center"/>
          </w:tcPr>
          <w:p w14:paraId="7C42A0C7">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元/次</w:t>
            </w:r>
          </w:p>
        </w:tc>
        <w:tc>
          <w:tcPr>
            <w:tcW w:w="502" w:type="pct"/>
            <w:vMerge w:val="continue"/>
            <w:vAlign w:val="center"/>
          </w:tcPr>
          <w:p w14:paraId="55D3CC21">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p>
        </w:tc>
        <w:tc>
          <w:tcPr>
            <w:tcW w:w="602" w:type="pct"/>
            <w:vMerge w:val="continue"/>
            <w:vAlign w:val="center"/>
          </w:tcPr>
          <w:p w14:paraId="1F5D872F">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p>
        </w:tc>
      </w:tr>
      <w:tr w14:paraId="3EF6F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3895" w:type="pct"/>
            <w:gridSpan w:val="6"/>
            <w:vAlign w:val="center"/>
          </w:tcPr>
          <w:p w14:paraId="5913F165">
            <w:pPr>
              <w:keepNext w:val="0"/>
              <w:keepLines w:val="0"/>
              <w:suppressLineNumbers w:val="0"/>
              <w:adjustRightInd w:val="0"/>
              <w:spacing w:before="0" w:beforeAutospacing="0" w:after="0" w:afterAutospacing="0" w:line="400" w:lineRule="exact"/>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二、针对建筑工程企业项目</w:t>
            </w:r>
          </w:p>
        </w:tc>
        <w:tc>
          <w:tcPr>
            <w:tcW w:w="502" w:type="pct"/>
            <w:vMerge w:val="continue"/>
            <w:vAlign w:val="center"/>
          </w:tcPr>
          <w:p w14:paraId="3731BF8A">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p>
        </w:tc>
        <w:tc>
          <w:tcPr>
            <w:tcW w:w="602" w:type="pct"/>
            <w:vMerge w:val="continue"/>
            <w:vAlign w:val="center"/>
          </w:tcPr>
          <w:p w14:paraId="66F27EA8">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p>
        </w:tc>
      </w:tr>
      <w:tr w14:paraId="62EEB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352" w:type="pct"/>
            <w:vMerge w:val="restart"/>
            <w:vAlign w:val="center"/>
          </w:tcPr>
          <w:p w14:paraId="75EBB874">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394" w:type="pct"/>
            <w:vMerge w:val="restart"/>
            <w:vAlign w:val="center"/>
          </w:tcPr>
          <w:p w14:paraId="67B0188E">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生产安全事故隐患排查</w:t>
            </w:r>
          </w:p>
        </w:tc>
        <w:tc>
          <w:tcPr>
            <w:tcW w:w="1099" w:type="pct"/>
            <w:gridSpan w:val="2"/>
            <w:vAlign w:val="center"/>
          </w:tcPr>
          <w:p w14:paraId="55E68B0B">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风险</w:t>
            </w:r>
            <w:r>
              <w:rPr>
                <w:rFonts w:hint="eastAsia" w:ascii="宋体" w:hAnsi="宋体" w:eastAsia="宋体" w:cs="宋体"/>
                <w:color w:val="auto"/>
                <w:sz w:val="24"/>
                <w:szCs w:val="24"/>
                <w:highlight w:val="none"/>
              </w:rPr>
              <w:t>隐患排查</w:t>
            </w:r>
          </w:p>
        </w:tc>
        <w:tc>
          <w:tcPr>
            <w:tcW w:w="1367" w:type="pct"/>
            <w:vAlign w:val="center"/>
          </w:tcPr>
          <w:p w14:paraId="37DF7713">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1.2人及以上参与现场服务；</w:t>
            </w:r>
          </w:p>
          <w:p w14:paraId="4F71B103">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2.领队需满足中级及以上职称要求</w:t>
            </w:r>
          </w:p>
        </w:tc>
        <w:tc>
          <w:tcPr>
            <w:tcW w:w="681" w:type="pct"/>
            <w:vAlign w:val="center"/>
          </w:tcPr>
          <w:p w14:paraId="47AA8960">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元/次</w:t>
            </w:r>
          </w:p>
        </w:tc>
        <w:tc>
          <w:tcPr>
            <w:tcW w:w="502" w:type="pct"/>
            <w:vMerge w:val="continue"/>
            <w:vAlign w:val="center"/>
          </w:tcPr>
          <w:p w14:paraId="3471F43F">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p>
        </w:tc>
        <w:tc>
          <w:tcPr>
            <w:tcW w:w="602" w:type="pct"/>
            <w:vMerge w:val="continue"/>
            <w:vAlign w:val="center"/>
          </w:tcPr>
          <w:p w14:paraId="7F1C18A0">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p>
        </w:tc>
      </w:tr>
      <w:tr w14:paraId="051BC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352" w:type="pct"/>
            <w:vMerge w:val="continue"/>
            <w:vAlign w:val="center"/>
          </w:tcPr>
          <w:p w14:paraId="1BEE3DC2">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p>
        </w:tc>
        <w:tc>
          <w:tcPr>
            <w:tcW w:w="394" w:type="pct"/>
            <w:vMerge w:val="continue"/>
            <w:vAlign w:val="center"/>
          </w:tcPr>
          <w:p w14:paraId="7A05C612">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p>
        </w:tc>
        <w:tc>
          <w:tcPr>
            <w:tcW w:w="454" w:type="pct"/>
            <w:vMerge w:val="restart"/>
            <w:vAlign w:val="center"/>
          </w:tcPr>
          <w:p w14:paraId="67BCA974">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特种设备隐患排查</w:t>
            </w:r>
          </w:p>
        </w:tc>
        <w:tc>
          <w:tcPr>
            <w:tcW w:w="645" w:type="pct"/>
            <w:vAlign w:val="center"/>
          </w:tcPr>
          <w:p w14:paraId="3A868701">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塔式起重机</w:t>
            </w:r>
          </w:p>
        </w:tc>
        <w:tc>
          <w:tcPr>
            <w:tcW w:w="1367" w:type="pct"/>
            <w:vMerge w:val="restart"/>
            <w:vAlign w:val="center"/>
          </w:tcPr>
          <w:p w14:paraId="65A01AEC">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专业资质技术人员</w:t>
            </w:r>
          </w:p>
          <w:p w14:paraId="2C9D97B4">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lang w:eastAsia="zh-CN"/>
              </w:rPr>
            </w:pPr>
          </w:p>
        </w:tc>
        <w:tc>
          <w:tcPr>
            <w:tcW w:w="681" w:type="pct"/>
            <w:vAlign w:val="center"/>
          </w:tcPr>
          <w:p w14:paraId="584670FC">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元/台次</w:t>
            </w:r>
          </w:p>
        </w:tc>
        <w:tc>
          <w:tcPr>
            <w:tcW w:w="502" w:type="pct"/>
            <w:vMerge w:val="continue"/>
            <w:vAlign w:val="center"/>
          </w:tcPr>
          <w:p w14:paraId="6F0F331F">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p>
        </w:tc>
        <w:tc>
          <w:tcPr>
            <w:tcW w:w="602" w:type="pct"/>
            <w:vMerge w:val="continue"/>
            <w:vAlign w:val="center"/>
          </w:tcPr>
          <w:p w14:paraId="03249743">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p>
        </w:tc>
      </w:tr>
      <w:tr w14:paraId="0255E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352" w:type="pct"/>
            <w:vMerge w:val="continue"/>
            <w:vAlign w:val="center"/>
          </w:tcPr>
          <w:p w14:paraId="61A6DB51">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p>
        </w:tc>
        <w:tc>
          <w:tcPr>
            <w:tcW w:w="394" w:type="pct"/>
            <w:vMerge w:val="continue"/>
            <w:vAlign w:val="center"/>
          </w:tcPr>
          <w:p w14:paraId="77AD10EE">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p>
        </w:tc>
        <w:tc>
          <w:tcPr>
            <w:tcW w:w="454" w:type="pct"/>
            <w:vMerge w:val="continue"/>
            <w:vAlign w:val="center"/>
          </w:tcPr>
          <w:p w14:paraId="4AB6A696">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p>
        </w:tc>
        <w:tc>
          <w:tcPr>
            <w:tcW w:w="645" w:type="pct"/>
            <w:vAlign w:val="center"/>
          </w:tcPr>
          <w:p w14:paraId="77895D3E">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施工升降机</w:t>
            </w:r>
          </w:p>
        </w:tc>
        <w:tc>
          <w:tcPr>
            <w:tcW w:w="1367" w:type="pct"/>
            <w:vMerge w:val="continue"/>
            <w:vAlign w:val="center"/>
          </w:tcPr>
          <w:p w14:paraId="2B4922A4">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p>
        </w:tc>
        <w:tc>
          <w:tcPr>
            <w:tcW w:w="681" w:type="pct"/>
            <w:vAlign w:val="center"/>
          </w:tcPr>
          <w:p w14:paraId="302FA327">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元/台次</w:t>
            </w:r>
          </w:p>
        </w:tc>
        <w:tc>
          <w:tcPr>
            <w:tcW w:w="502" w:type="pct"/>
            <w:vMerge w:val="continue"/>
            <w:vAlign w:val="center"/>
          </w:tcPr>
          <w:p w14:paraId="6590C989">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p>
        </w:tc>
        <w:tc>
          <w:tcPr>
            <w:tcW w:w="602" w:type="pct"/>
            <w:vMerge w:val="continue"/>
            <w:vAlign w:val="center"/>
          </w:tcPr>
          <w:p w14:paraId="53FD12A2">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p>
        </w:tc>
      </w:tr>
      <w:tr w14:paraId="30F82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352" w:type="pct"/>
            <w:vMerge w:val="continue"/>
            <w:vAlign w:val="center"/>
          </w:tcPr>
          <w:p w14:paraId="140F0798">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p>
        </w:tc>
        <w:tc>
          <w:tcPr>
            <w:tcW w:w="394" w:type="pct"/>
            <w:vMerge w:val="continue"/>
            <w:vAlign w:val="center"/>
          </w:tcPr>
          <w:p w14:paraId="1CE5DF85">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p>
        </w:tc>
        <w:tc>
          <w:tcPr>
            <w:tcW w:w="454" w:type="pct"/>
            <w:vMerge w:val="continue"/>
            <w:vAlign w:val="center"/>
          </w:tcPr>
          <w:p w14:paraId="3C4F2134">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p>
        </w:tc>
        <w:tc>
          <w:tcPr>
            <w:tcW w:w="645" w:type="pct"/>
            <w:vAlign w:val="center"/>
          </w:tcPr>
          <w:p w14:paraId="68983247">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物料提升机</w:t>
            </w:r>
          </w:p>
        </w:tc>
        <w:tc>
          <w:tcPr>
            <w:tcW w:w="1367" w:type="pct"/>
            <w:vMerge w:val="continue"/>
            <w:vAlign w:val="center"/>
          </w:tcPr>
          <w:p w14:paraId="0F0B391C">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p>
        </w:tc>
        <w:tc>
          <w:tcPr>
            <w:tcW w:w="681" w:type="pct"/>
            <w:vAlign w:val="center"/>
          </w:tcPr>
          <w:p w14:paraId="5C56386E">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元/台次</w:t>
            </w:r>
          </w:p>
        </w:tc>
        <w:tc>
          <w:tcPr>
            <w:tcW w:w="502" w:type="pct"/>
            <w:vMerge w:val="continue"/>
            <w:vAlign w:val="center"/>
          </w:tcPr>
          <w:p w14:paraId="028A1951">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p>
        </w:tc>
        <w:tc>
          <w:tcPr>
            <w:tcW w:w="602" w:type="pct"/>
            <w:vMerge w:val="continue"/>
            <w:vAlign w:val="center"/>
          </w:tcPr>
          <w:p w14:paraId="20416A33">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p>
        </w:tc>
      </w:tr>
      <w:tr w14:paraId="70283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352" w:type="pct"/>
            <w:vMerge w:val="continue"/>
            <w:vAlign w:val="center"/>
          </w:tcPr>
          <w:p w14:paraId="49F60D33">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p>
        </w:tc>
        <w:tc>
          <w:tcPr>
            <w:tcW w:w="394" w:type="pct"/>
            <w:vMerge w:val="continue"/>
            <w:vAlign w:val="center"/>
          </w:tcPr>
          <w:p w14:paraId="1AC93253">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p>
        </w:tc>
        <w:tc>
          <w:tcPr>
            <w:tcW w:w="454" w:type="pct"/>
            <w:vMerge w:val="restart"/>
            <w:vAlign w:val="center"/>
          </w:tcPr>
          <w:p w14:paraId="1F553E8C">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危大工程隐患排查</w:t>
            </w:r>
          </w:p>
        </w:tc>
        <w:tc>
          <w:tcPr>
            <w:tcW w:w="645" w:type="pct"/>
            <w:vMerge w:val="restart"/>
            <w:vAlign w:val="center"/>
          </w:tcPr>
          <w:p w14:paraId="1FFB7188">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高支模、深基坑、幕墙等</w:t>
            </w:r>
          </w:p>
        </w:tc>
        <w:tc>
          <w:tcPr>
            <w:tcW w:w="1367" w:type="pct"/>
            <w:vAlign w:val="center"/>
          </w:tcPr>
          <w:p w14:paraId="4A367BBF">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中级及以上</w:t>
            </w:r>
          </w:p>
        </w:tc>
        <w:tc>
          <w:tcPr>
            <w:tcW w:w="681" w:type="pct"/>
            <w:vAlign w:val="center"/>
          </w:tcPr>
          <w:p w14:paraId="5C5F19D0">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元/项目</w:t>
            </w:r>
          </w:p>
        </w:tc>
        <w:tc>
          <w:tcPr>
            <w:tcW w:w="502" w:type="pct"/>
            <w:vMerge w:val="continue"/>
            <w:vAlign w:val="center"/>
          </w:tcPr>
          <w:p w14:paraId="3E83C442">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p>
        </w:tc>
        <w:tc>
          <w:tcPr>
            <w:tcW w:w="602" w:type="pct"/>
            <w:vMerge w:val="continue"/>
            <w:vAlign w:val="center"/>
          </w:tcPr>
          <w:p w14:paraId="7BCEE2AD">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p>
        </w:tc>
      </w:tr>
      <w:tr w14:paraId="5C179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352" w:type="pct"/>
            <w:vMerge w:val="continue"/>
            <w:vAlign w:val="center"/>
          </w:tcPr>
          <w:p w14:paraId="48F44D90">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p>
        </w:tc>
        <w:tc>
          <w:tcPr>
            <w:tcW w:w="394" w:type="pct"/>
            <w:vMerge w:val="continue"/>
            <w:vAlign w:val="center"/>
          </w:tcPr>
          <w:p w14:paraId="5AD461CE">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p>
        </w:tc>
        <w:tc>
          <w:tcPr>
            <w:tcW w:w="454" w:type="pct"/>
            <w:vMerge w:val="continue"/>
            <w:vAlign w:val="center"/>
          </w:tcPr>
          <w:p w14:paraId="25B6C8A7">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p>
        </w:tc>
        <w:tc>
          <w:tcPr>
            <w:tcW w:w="645" w:type="pct"/>
            <w:vMerge w:val="continue"/>
            <w:vAlign w:val="center"/>
          </w:tcPr>
          <w:p w14:paraId="0D467C92">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p>
        </w:tc>
        <w:tc>
          <w:tcPr>
            <w:tcW w:w="1367" w:type="pct"/>
            <w:vAlign w:val="center"/>
          </w:tcPr>
          <w:p w14:paraId="0AC5A71C">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副高及以上</w:t>
            </w:r>
          </w:p>
        </w:tc>
        <w:tc>
          <w:tcPr>
            <w:tcW w:w="681" w:type="pct"/>
            <w:vAlign w:val="center"/>
          </w:tcPr>
          <w:p w14:paraId="2CF5D847">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元/项目</w:t>
            </w:r>
          </w:p>
        </w:tc>
        <w:tc>
          <w:tcPr>
            <w:tcW w:w="502" w:type="pct"/>
            <w:vMerge w:val="continue"/>
            <w:vAlign w:val="center"/>
          </w:tcPr>
          <w:p w14:paraId="7CFD67F2">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p>
        </w:tc>
        <w:tc>
          <w:tcPr>
            <w:tcW w:w="602" w:type="pct"/>
            <w:vMerge w:val="continue"/>
            <w:vAlign w:val="center"/>
          </w:tcPr>
          <w:p w14:paraId="7C658413">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p>
        </w:tc>
      </w:tr>
      <w:tr w14:paraId="5A481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352" w:type="pct"/>
            <w:vMerge w:val="continue"/>
            <w:vAlign w:val="center"/>
          </w:tcPr>
          <w:p w14:paraId="526E5F5D">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p>
        </w:tc>
        <w:tc>
          <w:tcPr>
            <w:tcW w:w="394" w:type="pct"/>
            <w:vMerge w:val="continue"/>
            <w:vAlign w:val="center"/>
          </w:tcPr>
          <w:p w14:paraId="5B3B1F17">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p>
        </w:tc>
        <w:tc>
          <w:tcPr>
            <w:tcW w:w="454" w:type="pct"/>
            <w:vMerge w:val="continue"/>
            <w:vAlign w:val="center"/>
          </w:tcPr>
          <w:p w14:paraId="779F613C">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p>
        </w:tc>
        <w:tc>
          <w:tcPr>
            <w:tcW w:w="645" w:type="pct"/>
            <w:vMerge w:val="continue"/>
            <w:vAlign w:val="center"/>
          </w:tcPr>
          <w:p w14:paraId="046626DA">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p>
        </w:tc>
        <w:tc>
          <w:tcPr>
            <w:tcW w:w="1367" w:type="pct"/>
            <w:vAlign w:val="center"/>
          </w:tcPr>
          <w:p w14:paraId="5A87B9F8">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正高及以上</w:t>
            </w:r>
          </w:p>
        </w:tc>
        <w:tc>
          <w:tcPr>
            <w:tcW w:w="681" w:type="pct"/>
            <w:vAlign w:val="center"/>
          </w:tcPr>
          <w:p w14:paraId="6A0E155B">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元/项目</w:t>
            </w:r>
          </w:p>
        </w:tc>
        <w:tc>
          <w:tcPr>
            <w:tcW w:w="502" w:type="pct"/>
            <w:vMerge w:val="continue"/>
            <w:vAlign w:val="center"/>
          </w:tcPr>
          <w:p w14:paraId="21F262C6">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p>
        </w:tc>
        <w:tc>
          <w:tcPr>
            <w:tcW w:w="602" w:type="pct"/>
            <w:vMerge w:val="continue"/>
            <w:vAlign w:val="center"/>
          </w:tcPr>
          <w:p w14:paraId="4CB0F654">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p>
        </w:tc>
      </w:tr>
      <w:tr w14:paraId="2AFF1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352" w:type="pct"/>
            <w:vMerge w:val="restart"/>
            <w:vAlign w:val="center"/>
          </w:tcPr>
          <w:p w14:paraId="5E23E171">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394" w:type="pct"/>
            <w:vMerge w:val="restart"/>
            <w:vAlign w:val="center"/>
          </w:tcPr>
          <w:p w14:paraId="7AB914A1">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安全生产宣传教育培训</w:t>
            </w:r>
          </w:p>
        </w:tc>
        <w:tc>
          <w:tcPr>
            <w:tcW w:w="1099" w:type="pct"/>
            <w:gridSpan w:val="2"/>
            <w:vMerge w:val="restart"/>
            <w:vAlign w:val="center"/>
          </w:tcPr>
          <w:p w14:paraId="602EC5C6">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培训讲座</w:t>
            </w:r>
          </w:p>
        </w:tc>
        <w:tc>
          <w:tcPr>
            <w:tcW w:w="1367" w:type="pct"/>
            <w:vAlign w:val="center"/>
          </w:tcPr>
          <w:p w14:paraId="19841FA8">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中级及以上</w:t>
            </w:r>
          </w:p>
        </w:tc>
        <w:tc>
          <w:tcPr>
            <w:tcW w:w="681" w:type="pct"/>
            <w:vAlign w:val="center"/>
          </w:tcPr>
          <w:p w14:paraId="655D0FB2">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元/课时</w:t>
            </w:r>
          </w:p>
        </w:tc>
        <w:tc>
          <w:tcPr>
            <w:tcW w:w="502" w:type="pct"/>
            <w:vMerge w:val="continue"/>
            <w:vAlign w:val="center"/>
          </w:tcPr>
          <w:p w14:paraId="7DBAFB23">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p>
        </w:tc>
        <w:tc>
          <w:tcPr>
            <w:tcW w:w="602" w:type="pct"/>
            <w:vMerge w:val="continue"/>
            <w:vAlign w:val="center"/>
          </w:tcPr>
          <w:p w14:paraId="29ADDD8A">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p>
        </w:tc>
      </w:tr>
      <w:tr w14:paraId="1E2D1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352" w:type="pct"/>
            <w:vMerge w:val="continue"/>
            <w:vAlign w:val="center"/>
          </w:tcPr>
          <w:p w14:paraId="1CBDD59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sz w:val="24"/>
                <w:szCs w:val="24"/>
                <w:highlight w:val="none"/>
              </w:rPr>
            </w:pPr>
          </w:p>
        </w:tc>
        <w:tc>
          <w:tcPr>
            <w:tcW w:w="394" w:type="pct"/>
            <w:vMerge w:val="continue"/>
            <w:vAlign w:val="center"/>
          </w:tcPr>
          <w:p w14:paraId="2CF06BA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sz w:val="24"/>
                <w:szCs w:val="24"/>
                <w:highlight w:val="none"/>
              </w:rPr>
            </w:pPr>
          </w:p>
        </w:tc>
        <w:tc>
          <w:tcPr>
            <w:tcW w:w="1099" w:type="pct"/>
            <w:gridSpan w:val="2"/>
            <w:vMerge w:val="continue"/>
            <w:vAlign w:val="center"/>
          </w:tcPr>
          <w:p w14:paraId="2FA0DB1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sz w:val="24"/>
                <w:szCs w:val="24"/>
                <w:highlight w:val="none"/>
              </w:rPr>
            </w:pPr>
          </w:p>
        </w:tc>
        <w:tc>
          <w:tcPr>
            <w:tcW w:w="1367" w:type="pct"/>
            <w:vAlign w:val="center"/>
          </w:tcPr>
          <w:p w14:paraId="5FCB9A4A">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副高及以上</w:t>
            </w:r>
          </w:p>
        </w:tc>
        <w:tc>
          <w:tcPr>
            <w:tcW w:w="681" w:type="pct"/>
            <w:vAlign w:val="center"/>
          </w:tcPr>
          <w:p w14:paraId="27DA8E0A">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元/课时</w:t>
            </w:r>
          </w:p>
        </w:tc>
        <w:tc>
          <w:tcPr>
            <w:tcW w:w="502" w:type="pct"/>
            <w:vMerge w:val="continue"/>
            <w:vAlign w:val="center"/>
          </w:tcPr>
          <w:p w14:paraId="7982A963">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p>
        </w:tc>
        <w:tc>
          <w:tcPr>
            <w:tcW w:w="602" w:type="pct"/>
            <w:vMerge w:val="continue"/>
            <w:vAlign w:val="center"/>
          </w:tcPr>
          <w:p w14:paraId="0A6D47A3">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p>
        </w:tc>
      </w:tr>
      <w:tr w14:paraId="5C6CD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352" w:type="pct"/>
            <w:vMerge w:val="continue"/>
            <w:vAlign w:val="center"/>
          </w:tcPr>
          <w:p w14:paraId="6690A25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4"/>
                <w:szCs w:val="24"/>
                <w:highlight w:val="none"/>
              </w:rPr>
            </w:pPr>
          </w:p>
        </w:tc>
        <w:tc>
          <w:tcPr>
            <w:tcW w:w="394" w:type="pct"/>
            <w:vMerge w:val="continue"/>
            <w:vAlign w:val="center"/>
          </w:tcPr>
          <w:p w14:paraId="34B912C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4"/>
                <w:szCs w:val="24"/>
                <w:highlight w:val="none"/>
              </w:rPr>
            </w:pPr>
          </w:p>
        </w:tc>
        <w:tc>
          <w:tcPr>
            <w:tcW w:w="1099" w:type="pct"/>
            <w:gridSpan w:val="2"/>
            <w:vMerge w:val="continue"/>
            <w:vAlign w:val="center"/>
          </w:tcPr>
          <w:p w14:paraId="2F7479A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4"/>
                <w:szCs w:val="24"/>
                <w:highlight w:val="none"/>
              </w:rPr>
            </w:pPr>
          </w:p>
        </w:tc>
        <w:tc>
          <w:tcPr>
            <w:tcW w:w="1367" w:type="pct"/>
            <w:vAlign w:val="center"/>
          </w:tcPr>
          <w:p w14:paraId="7AF4F9DA">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正高及以上</w:t>
            </w:r>
          </w:p>
        </w:tc>
        <w:tc>
          <w:tcPr>
            <w:tcW w:w="681" w:type="pct"/>
            <w:vAlign w:val="center"/>
          </w:tcPr>
          <w:p w14:paraId="57E3EA62">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元/课时</w:t>
            </w:r>
          </w:p>
        </w:tc>
        <w:tc>
          <w:tcPr>
            <w:tcW w:w="502" w:type="pct"/>
            <w:vMerge w:val="continue"/>
            <w:vAlign w:val="center"/>
          </w:tcPr>
          <w:p w14:paraId="52F8300D">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p>
        </w:tc>
        <w:tc>
          <w:tcPr>
            <w:tcW w:w="602" w:type="pct"/>
            <w:vMerge w:val="continue"/>
            <w:vAlign w:val="center"/>
          </w:tcPr>
          <w:p w14:paraId="6B14C8F0">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p>
        </w:tc>
      </w:tr>
      <w:tr w14:paraId="64572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jc w:val="center"/>
        </w:trPr>
        <w:tc>
          <w:tcPr>
            <w:tcW w:w="352" w:type="pct"/>
            <w:vAlign w:val="center"/>
          </w:tcPr>
          <w:p w14:paraId="1957568F">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394" w:type="pct"/>
            <w:vAlign w:val="center"/>
          </w:tcPr>
          <w:p w14:paraId="72857956">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应急演练</w:t>
            </w:r>
          </w:p>
        </w:tc>
        <w:tc>
          <w:tcPr>
            <w:tcW w:w="1099" w:type="pct"/>
            <w:gridSpan w:val="2"/>
            <w:vAlign w:val="center"/>
          </w:tcPr>
          <w:p w14:paraId="31E89EAE">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专家脚本撰写加现场指导</w:t>
            </w:r>
          </w:p>
        </w:tc>
        <w:tc>
          <w:tcPr>
            <w:tcW w:w="1367" w:type="pct"/>
            <w:vAlign w:val="center"/>
          </w:tcPr>
          <w:p w14:paraId="15C52C94">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681" w:type="pct"/>
            <w:vAlign w:val="center"/>
          </w:tcPr>
          <w:p w14:paraId="0444AF9E">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元/次</w:t>
            </w:r>
          </w:p>
        </w:tc>
        <w:tc>
          <w:tcPr>
            <w:tcW w:w="502" w:type="pct"/>
            <w:vMerge w:val="continue"/>
            <w:vAlign w:val="center"/>
          </w:tcPr>
          <w:p w14:paraId="5D6552B4">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p>
        </w:tc>
        <w:tc>
          <w:tcPr>
            <w:tcW w:w="602" w:type="pct"/>
            <w:vMerge w:val="continue"/>
            <w:vAlign w:val="center"/>
          </w:tcPr>
          <w:p w14:paraId="6F5DB5AB">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p>
        </w:tc>
      </w:tr>
      <w:tr w14:paraId="7B0CB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3895" w:type="pct"/>
            <w:gridSpan w:val="6"/>
            <w:vAlign w:val="center"/>
          </w:tcPr>
          <w:p w14:paraId="581E909C">
            <w:pPr>
              <w:keepNext w:val="0"/>
              <w:keepLines w:val="0"/>
              <w:suppressLineNumbers w:val="0"/>
              <w:adjustRightInd w:val="0"/>
              <w:spacing w:before="0" w:beforeAutospacing="0" w:after="0" w:afterAutospacing="0" w:line="400" w:lineRule="exact"/>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三、针对交通工程企业项目</w:t>
            </w:r>
          </w:p>
        </w:tc>
        <w:tc>
          <w:tcPr>
            <w:tcW w:w="502" w:type="pct"/>
            <w:vMerge w:val="continue"/>
            <w:vAlign w:val="center"/>
          </w:tcPr>
          <w:p w14:paraId="6DC0D9C7">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p>
        </w:tc>
        <w:tc>
          <w:tcPr>
            <w:tcW w:w="602" w:type="pct"/>
            <w:vMerge w:val="continue"/>
            <w:vAlign w:val="center"/>
          </w:tcPr>
          <w:p w14:paraId="49539C09">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p>
        </w:tc>
      </w:tr>
      <w:tr w14:paraId="73AB5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9" w:hRule="atLeast"/>
          <w:jc w:val="center"/>
        </w:trPr>
        <w:tc>
          <w:tcPr>
            <w:tcW w:w="352" w:type="pct"/>
            <w:vAlign w:val="center"/>
          </w:tcPr>
          <w:p w14:paraId="2CC57D81">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493" w:type="pct"/>
            <w:gridSpan w:val="3"/>
            <w:vAlign w:val="center"/>
          </w:tcPr>
          <w:p w14:paraId="71BA053E">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交通工程事故隐患排查</w:t>
            </w:r>
          </w:p>
        </w:tc>
        <w:tc>
          <w:tcPr>
            <w:tcW w:w="1367" w:type="pct"/>
            <w:vAlign w:val="center"/>
          </w:tcPr>
          <w:p w14:paraId="3FBB7589">
            <w:pPr>
              <w:keepNext w:val="0"/>
              <w:keepLines w:val="0"/>
              <w:suppressLineNumbers w:val="0"/>
              <w:adjustRightInd w:val="0"/>
              <w:spacing w:before="0" w:beforeAutospacing="0" w:after="0" w:afterAutospacing="0" w:line="400" w:lineRule="exact"/>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1.3人以上参加现场服务</w:t>
            </w:r>
          </w:p>
          <w:p w14:paraId="410FC834">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2.领队需满足高级以上职称要求</w:t>
            </w:r>
          </w:p>
        </w:tc>
        <w:tc>
          <w:tcPr>
            <w:tcW w:w="681" w:type="pct"/>
            <w:vAlign w:val="center"/>
          </w:tcPr>
          <w:p w14:paraId="7F9D5C32">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元/次</w:t>
            </w:r>
          </w:p>
        </w:tc>
        <w:tc>
          <w:tcPr>
            <w:tcW w:w="502" w:type="pct"/>
            <w:vMerge w:val="continue"/>
            <w:vAlign w:val="center"/>
          </w:tcPr>
          <w:p w14:paraId="50C1BCEA">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p>
        </w:tc>
        <w:tc>
          <w:tcPr>
            <w:tcW w:w="602" w:type="pct"/>
            <w:vMerge w:val="continue"/>
            <w:vAlign w:val="center"/>
          </w:tcPr>
          <w:p w14:paraId="3113E68A">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宋体"/>
                <w:color w:val="auto"/>
                <w:sz w:val="24"/>
                <w:szCs w:val="24"/>
                <w:highlight w:val="none"/>
              </w:rPr>
            </w:pPr>
          </w:p>
        </w:tc>
      </w:tr>
    </w:tbl>
    <w:p w14:paraId="29FFED16">
      <w:pPr>
        <w:pStyle w:val="3"/>
        <w:spacing w:before="0" w:after="0" w:line="360" w:lineRule="auto"/>
        <w:jc w:val="center"/>
        <w:rPr>
          <w:rFonts w:hint="eastAsia" w:ascii="仿宋" w:hAnsi="仿宋" w:eastAsia="仿宋" w:cs="仿宋"/>
          <w:color w:val="000000"/>
          <w:sz w:val="28"/>
          <w:szCs w:val="28"/>
          <w:highlight w:val="none"/>
        </w:rPr>
      </w:pPr>
      <w:bookmarkStart w:id="235" w:name="_Toc3789"/>
      <w:r>
        <w:rPr>
          <w:rFonts w:hint="eastAsia" w:ascii="宋体" w:hAnsi="宋体" w:eastAsia="宋体" w:cs="宋体"/>
          <w:b/>
          <w:bCs/>
          <w:color w:val="auto"/>
          <w:sz w:val="24"/>
          <w:szCs w:val="24"/>
          <w:highlight w:val="none"/>
          <w:lang w:eastAsia="zh-CN"/>
        </w:rPr>
        <w:t>备注：以上为</w:t>
      </w:r>
      <w:r>
        <w:rPr>
          <w:rFonts w:hint="eastAsia" w:ascii="宋体" w:hAnsi="宋体" w:eastAsia="宋体" w:cs="宋体"/>
          <w:b/>
          <w:bCs/>
          <w:color w:val="auto"/>
          <w:sz w:val="24"/>
          <w:szCs w:val="24"/>
          <w:highlight w:val="none"/>
        </w:rPr>
        <w:t>完成本项目规定工作所需的全部费用，包括但不限于产品费用、提供技术服务人员、必要工具设备的所有费用及税金等</w:t>
      </w:r>
      <w:r>
        <w:rPr>
          <w:rFonts w:hint="eastAsia" w:ascii="宋体" w:hAnsi="宋体" w:eastAsia="宋体" w:cs="宋体"/>
          <w:b/>
          <w:bCs/>
          <w:color w:val="auto"/>
          <w:sz w:val="24"/>
          <w:szCs w:val="24"/>
          <w:highlight w:val="none"/>
          <w:lang w:eastAsia="zh-CN"/>
        </w:rPr>
        <w:t>。</w:t>
      </w:r>
      <w:r>
        <w:rPr>
          <w:rFonts w:hint="eastAsia" w:ascii="仿宋" w:hAnsi="仿宋" w:eastAsia="仿宋" w:cs="仿宋"/>
          <w:color w:val="000000"/>
          <w:sz w:val="28"/>
          <w:szCs w:val="28"/>
          <w:highlight w:val="none"/>
        </w:rPr>
        <w:br w:type="page"/>
      </w:r>
      <w:r>
        <w:rPr>
          <w:rFonts w:hint="eastAsia" w:ascii="仿宋" w:hAnsi="仿宋" w:eastAsia="仿宋" w:cs="仿宋"/>
          <w:color w:val="000000"/>
          <w:sz w:val="28"/>
          <w:szCs w:val="28"/>
          <w:highlight w:val="none"/>
        </w:rPr>
        <w:t>第六章 响应文件格式</w:t>
      </w:r>
      <w:bookmarkEnd w:id="228"/>
      <w:bookmarkEnd w:id="229"/>
      <w:bookmarkEnd w:id="230"/>
      <w:bookmarkEnd w:id="231"/>
      <w:bookmarkEnd w:id="232"/>
      <w:bookmarkEnd w:id="233"/>
      <w:bookmarkEnd w:id="234"/>
      <w:bookmarkEnd w:id="235"/>
    </w:p>
    <w:p w14:paraId="59F4CB1E">
      <w:pPr>
        <w:spacing w:line="360" w:lineRule="auto"/>
        <w:rPr>
          <w:rFonts w:hint="eastAsia" w:ascii="仿宋" w:hAnsi="仿宋" w:eastAsia="仿宋" w:cs="仿宋"/>
          <w:b/>
          <w:color w:val="000000"/>
          <w:highlight w:val="none"/>
        </w:rPr>
      </w:pPr>
      <w:r>
        <w:rPr>
          <w:rFonts w:hint="eastAsia" w:ascii="仿宋" w:hAnsi="仿宋" w:eastAsia="仿宋" w:cs="宋体"/>
          <w:b/>
          <w:color w:val="000000"/>
          <w:sz w:val="24"/>
          <w:highlight w:val="none"/>
        </w:rPr>
        <w:t>封面格式</w:t>
      </w:r>
    </w:p>
    <w:tbl>
      <w:tblPr>
        <w:tblStyle w:val="41"/>
        <w:tblW w:w="5000" w:type="pct"/>
        <w:jc w:val="center"/>
        <w:tblLayout w:type="autofit"/>
        <w:tblCellMar>
          <w:top w:w="0" w:type="dxa"/>
          <w:left w:w="108" w:type="dxa"/>
          <w:bottom w:w="0" w:type="dxa"/>
          <w:right w:w="108" w:type="dxa"/>
        </w:tblCellMar>
      </w:tblPr>
      <w:tblGrid>
        <w:gridCol w:w="9854"/>
      </w:tblGrid>
      <w:tr w14:paraId="05BE55E1">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noWrap w:val="0"/>
            <w:vAlign w:val="top"/>
          </w:tcPr>
          <w:p w14:paraId="24E73E9E">
            <w:pPr>
              <w:pStyle w:val="157"/>
              <w:spacing w:before="156" w:after="312"/>
              <w:ind w:right="508"/>
              <w:jc w:val="right"/>
              <w:rPr>
                <w:rFonts w:hint="eastAsia" w:ascii="仿宋" w:hAnsi="仿宋" w:eastAsia="仿宋" w:cs="仿宋"/>
                <w:color w:val="000000"/>
                <w:sz w:val="32"/>
                <w:highlight w:val="none"/>
              </w:rPr>
            </w:pPr>
            <w:r>
              <w:rPr>
                <w:rFonts w:hint="eastAsia" w:ascii="仿宋" w:hAnsi="仿宋" w:eastAsia="仿宋" w:cs="仿宋"/>
                <w:color w:val="000000"/>
                <w:sz w:val="32"/>
                <w:highlight w:val="none"/>
              </w:rPr>
              <w:t>正本/副本</w:t>
            </w:r>
          </w:p>
          <w:p w14:paraId="0D64B6BD">
            <w:pPr>
              <w:pStyle w:val="157"/>
              <w:spacing w:before="156" w:after="312"/>
              <w:ind w:right="-284"/>
              <w:jc w:val="center"/>
              <w:rPr>
                <w:rFonts w:hint="eastAsia" w:ascii="仿宋" w:hAnsi="仿宋" w:eastAsia="仿宋" w:cs="仿宋"/>
                <w:color w:val="000000"/>
                <w:sz w:val="32"/>
                <w:highlight w:val="none"/>
              </w:rPr>
            </w:pPr>
            <w:r>
              <w:rPr>
                <w:rFonts w:hint="eastAsia" w:ascii="仿宋" w:hAnsi="仿宋" w:eastAsia="仿宋" w:cs="仿宋"/>
                <w:color w:val="000000"/>
                <w:sz w:val="32"/>
                <w:highlight w:val="none"/>
              </w:rPr>
              <w:t>（项目名称）项目</w:t>
            </w:r>
          </w:p>
          <w:p w14:paraId="53371C0B">
            <w:pPr>
              <w:pStyle w:val="157"/>
              <w:ind w:right="-284" w:firstLine="2240"/>
              <w:rPr>
                <w:rFonts w:hint="eastAsia" w:ascii="仿宋" w:hAnsi="仿宋" w:eastAsia="仿宋" w:cs="仿宋"/>
                <w:color w:val="000000"/>
                <w:sz w:val="28"/>
                <w:highlight w:val="none"/>
                <w:u w:val="single"/>
              </w:rPr>
            </w:pPr>
          </w:p>
          <w:p w14:paraId="11ECAF42">
            <w:pPr>
              <w:pStyle w:val="157"/>
              <w:spacing w:before="624" w:after="156" w:line="160" w:lineRule="atLeast"/>
              <w:ind w:right="-284"/>
              <w:jc w:val="center"/>
              <w:rPr>
                <w:rFonts w:hint="eastAsia" w:ascii="仿宋" w:hAnsi="仿宋" w:eastAsia="仿宋" w:cs="仿宋"/>
                <w:color w:val="000000"/>
                <w:sz w:val="52"/>
                <w:highlight w:val="none"/>
              </w:rPr>
            </w:pPr>
            <w:r>
              <w:rPr>
                <w:rFonts w:hint="eastAsia" w:ascii="仿宋" w:hAnsi="仿宋" w:eastAsia="仿宋" w:cs="仿宋"/>
                <w:color w:val="000000"/>
                <w:sz w:val="52"/>
                <w:highlight w:val="none"/>
              </w:rPr>
              <w:t>磋商响应文件</w:t>
            </w:r>
          </w:p>
          <w:p w14:paraId="76FC91D9">
            <w:pPr>
              <w:pStyle w:val="157"/>
              <w:spacing w:before="624" w:after="156" w:line="160" w:lineRule="atLeast"/>
              <w:ind w:right="-284"/>
              <w:jc w:val="center"/>
              <w:rPr>
                <w:rFonts w:hint="eastAsia" w:ascii="仿宋" w:hAnsi="仿宋" w:eastAsia="仿宋" w:cs="仿宋"/>
                <w:color w:val="000000"/>
                <w:sz w:val="52"/>
                <w:highlight w:val="none"/>
              </w:rPr>
            </w:pPr>
          </w:p>
          <w:p w14:paraId="6BB5BC34">
            <w:pPr>
              <w:pStyle w:val="157"/>
              <w:spacing w:before="624" w:after="156" w:line="240" w:lineRule="atLeast"/>
              <w:jc w:val="center"/>
              <w:rPr>
                <w:rFonts w:hint="eastAsia" w:ascii="仿宋" w:hAnsi="仿宋" w:eastAsia="仿宋" w:cs="仿宋"/>
                <w:color w:val="000000"/>
                <w:sz w:val="40"/>
                <w:highlight w:val="none"/>
              </w:rPr>
            </w:pPr>
            <w:r>
              <w:rPr>
                <w:rFonts w:hint="eastAsia" w:ascii="仿宋" w:hAnsi="仿宋" w:eastAsia="仿宋" w:cs="仿宋"/>
                <w:color w:val="000000"/>
                <w:sz w:val="40"/>
                <w:highlight w:val="none"/>
              </w:rPr>
              <w:t>（商务文件/技术文件/报价文件）</w:t>
            </w:r>
          </w:p>
          <w:p w14:paraId="353BB7F3">
            <w:pPr>
              <w:pStyle w:val="157"/>
              <w:spacing w:before="1560" w:line="400" w:lineRule="atLeast"/>
              <w:ind w:right="-284" w:firstLine="2520" w:firstLineChars="1050"/>
              <w:rPr>
                <w:rFonts w:hint="eastAsia" w:ascii="仿宋" w:hAnsi="仿宋" w:eastAsia="仿宋" w:cs="仿宋"/>
                <w:color w:val="000000"/>
                <w:sz w:val="24"/>
                <w:highlight w:val="none"/>
              </w:rPr>
            </w:pPr>
            <w:r>
              <w:rPr>
                <w:rFonts w:hint="eastAsia" w:ascii="仿宋" w:hAnsi="仿宋" w:eastAsia="仿宋" w:cs="仿宋"/>
                <w:color w:val="000000"/>
                <w:sz w:val="24"/>
                <w:highlight w:val="none"/>
              </w:rPr>
              <w:t>供应商：</w:t>
            </w:r>
            <w:r>
              <w:rPr>
                <w:rFonts w:hint="eastAsia" w:ascii="仿宋" w:hAnsi="仿宋" w:eastAsia="仿宋" w:cs="仿宋"/>
                <w:color w:val="000000"/>
                <w:sz w:val="24"/>
                <w:highlight w:val="none"/>
                <w:u w:val="single"/>
              </w:rPr>
              <w:t>（盖章）</w:t>
            </w:r>
          </w:p>
          <w:p w14:paraId="2E13B3F5">
            <w:pPr>
              <w:pStyle w:val="157"/>
              <w:spacing w:after="156" w:line="400" w:lineRule="atLeast"/>
              <w:ind w:right="-284"/>
              <w:jc w:val="center"/>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法定代表人或其委托的代理人：（签字或盖章）</w:t>
            </w:r>
          </w:p>
          <w:p w14:paraId="77E092E4">
            <w:pPr>
              <w:pStyle w:val="157"/>
              <w:spacing w:after="624"/>
              <w:ind w:right="-284"/>
              <w:jc w:val="center"/>
              <w:rPr>
                <w:rFonts w:hint="eastAsia" w:ascii="仿宋" w:hAnsi="仿宋" w:eastAsia="仿宋" w:cs="仿宋"/>
                <w:color w:val="000000"/>
                <w:sz w:val="24"/>
                <w:highlight w:val="none"/>
              </w:rPr>
            </w:pPr>
          </w:p>
          <w:p w14:paraId="5DF6A49F">
            <w:pPr>
              <w:pStyle w:val="157"/>
              <w:spacing w:after="624"/>
              <w:ind w:right="-284"/>
              <w:jc w:val="center"/>
              <w:rPr>
                <w:rFonts w:hint="eastAsia" w:ascii="仿宋" w:hAnsi="仿宋" w:eastAsia="仿宋" w:cs="仿宋"/>
                <w:color w:val="000000"/>
                <w:highlight w:val="none"/>
              </w:rPr>
            </w:pPr>
            <w:r>
              <w:rPr>
                <w:rFonts w:hint="eastAsia" w:ascii="仿宋" w:hAnsi="仿宋" w:eastAsia="仿宋" w:cs="仿宋"/>
                <w:color w:val="000000"/>
                <w:sz w:val="24"/>
                <w:highlight w:val="none"/>
              </w:rPr>
              <w:t>年     月      日</w:t>
            </w:r>
          </w:p>
        </w:tc>
      </w:tr>
    </w:tbl>
    <w:p w14:paraId="7CC8FFEB">
      <w:pPr>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格式：封口</w:t>
      </w:r>
    </w:p>
    <w:tbl>
      <w:tblPr>
        <w:tblStyle w:val="41"/>
        <w:tblW w:w="5000" w:type="pct"/>
        <w:tblInd w:w="0" w:type="dxa"/>
        <w:tblLayout w:type="autofit"/>
        <w:tblCellMar>
          <w:top w:w="0" w:type="dxa"/>
          <w:left w:w="108" w:type="dxa"/>
          <w:bottom w:w="0" w:type="dxa"/>
          <w:right w:w="108" w:type="dxa"/>
        </w:tblCellMar>
      </w:tblPr>
      <w:tblGrid>
        <w:gridCol w:w="9854"/>
      </w:tblGrid>
      <w:tr w14:paraId="61FA0606">
        <w:tblPrEx>
          <w:tblCellMar>
            <w:top w:w="0" w:type="dxa"/>
            <w:left w:w="108" w:type="dxa"/>
            <w:bottom w:w="0" w:type="dxa"/>
            <w:right w:w="108" w:type="dxa"/>
          </w:tblCellMar>
        </w:tblPrEx>
        <w:trPr>
          <w:trHeight w:val="1503" w:hRule="atLeast"/>
        </w:trPr>
        <w:tc>
          <w:tcPr>
            <w:tcW w:w="5000" w:type="pct"/>
            <w:tcBorders>
              <w:top w:val="single" w:color="000000" w:sz="4" w:space="0"/>
              <w:left w:val="single" w:color="000000" w:sz="4" w:space="0"/>
              <w:bottom w:val="single" w:color="000000" w:sz="4" w:space="0"/>
              <w:right w:val="single" w:color="000000" w:sz="4" w:space="0"/>
            </w:tcBorders>
            <w:noWrap w:val="0"/>
            <w:vAlign w:val="center"/>
          </w:tcPr>
          <w:p w14:paraId="0231EFFA">
            <w:pPr>
              <w:pStyle w:val="157"/>
              <w:ind w:right="-284"/>
              <w:jc w:val="center"/>
              <w:rPr>
                <w:rFonts w:hint="eastAsia" w:ascii="仿宋" w:hAnsi="仿宋" w:eastAsia="仿宋" w:cs="仿宋"/>
                <w:b/>
                <w:color w:val="000000"/>
                <w:highlight w:val="none"/>
              </w:rPr>
            </w:pPr>
            <w:r>
              <w:rPr>
                <w:rFonts w:hint="eastAsia" w:ascii="仿宋" w:hAnsi="仿宋" w:eastAsia="仿宋" w:cs="仿宋"/>
                <w:b/>
                <w:color w:val="000000"/>
                <w:highlight w:val="none"/>
              </w:rPr>
              <w:t>-------------于年月日时分之前不准启封（公章）------------</w:t>
            </w:r>
          </w:p>
        </w:tc>
      </w:tr>
    </w:tbl>
    <w:p w14:paraId="5876C8D3">
      <w:pPr>
        <w:rPr>
          <w:rFonts w:hint="eastAsia" w:ascii="仿宋" w:hAnsi="仿宋" w:eastAsia="仿宋" w:cs="仿宋"/>
          <w:color w:val="000000"/>
          <w:kern w:val="0"/>
          <w:szCs w:val="21"/>
          <w:highlight w:val="none"/>
        </w:rPr>
      </w:pPr>
    </w:p>
    <w:p w14:paraId="77CC8FB6">
      <w:pPr>
        <w:pStyle w:val="4"/>
        <w:numPr>
          <w:ilvl w:val="0"/>
          <w:numId w:val="0"/>
        </w:numPr>
        <w:ind w:leftChars="0"/>
        <w:jc w:val="both"/>
        <w:rPr>
          <w:rFonts w:ascii="仿宋" w:hAnsi="仿宋" w:eastAsia="仿宋" w:cs="仿宋"/>
          <w:color w:val="000000"/>
          <w:sz w:val="24"/>
          <w:szCs w:val="24"/>
          <w:highlight w:val="none"/>
        </w:rPr>
      </w:pPr>
      <w:bookmarkStart w:id="236" w:name="_Toc3936"/>
      <w:bookmarkStart w:id="237" w:name="_Toc19910"/>
      <w:bookmarkStart w:id="238" w:name="_Toc25957"/>
      <w:bookmarkStart w:id="239" w:name="_Toc19783362"/>
      <w:bookmarkStart w:id="240" w:name="_Toc517281836"/>
      <w:bookmarkStart w:id="241" w:name="_Toc287600131"/>
      <w:bookmarkStart w:id="242" w:name="_Toc444891353"/>
      <w:bookmarkStart w:id="243" w:name="_Toc21280"/>
      <w:bookmarkStart w:id="244" w:name="_Toc11783"/>
      <w:bookmarkStart w:id="245" w:name="_Toc287600129"/>
      <w:bookmarkStart w:id="246" w:name="_Toc19783360"/>
      <w:r>
        <w:rPr>
          <w:rFonts w:ascii="仿宋" w:hAnsi="仿宋" w:eastAsia="仿宋" w:cs="仿宋"/>
          <w:color w:val="000000"/>
          <w:sz w:val="24"/>
          <w:szCs w:val="24"/>
          <w:highlight w:val="none"/>
        </w:rPr>
        <w:br w:type="page"/>
      </w:r>
      <w:bookmarkStart w:id="247" w:name="_Toc28214"/>
      <w:r>
        <w:rPr>
          <w:rFonts w:hint="eastAsia" w:ascii="仿宋" w:hAnsi="仿宋" w:eastAsia="仿宋" w:cs="仿宋"/>
          <w:color w:val="000000"/>
          <w:sz w:val="24"/>
          <w:szCs w:val="24"/>
          <w:highlight w:val="none"/>
          <w:lang w:val="en-US" w:eastAsia="zh-CN"/>
        </w:rPr>
        <w:t>一、</w:t>
      </w:r>
      <w:r>
        <w:rPr>
          <w:rFonts w:hint="eastAsia" w:ascii="仿宋" w:hAnsi="仿宋" w:eastAsia="仿宋" w:cs="仿宋"/>
          <w:color w:val="000000"/>
          <w:sz w:val="24"/>
          <w:szCs w:val="24"/>
          <w:highlight w:val="none"/>
        </w:rPr>
        <w:t>商务文件</w:t>
      </w:r>
      <w:bookmarkEnd w:id="236"/>
      <w:bookmarkEnd w:id="247"/>
    </w:p>
    <w:p w14:paraId="7717BD5B">
      <w:pPr>
        <w:bidi w:val="0"/>
        <w:jc w:val="center"/>
        <w:rPr>
          <w:rFonts w:hint="eastAsia"/>
        </w:rPr>
      </w:pPr>
      <w:bookmarkStart w:id="248" w:name="_Toc26744"/>
      <w:r>
        <w:rPr>
          <w:rFonts w:hint="eastAsia" w:ascii="仿宋" w:hAnsi="仿宋" w:eastAsia="仿宋" w:cs="仿宋"/>
          <w:b/>
          <w:bCs/>
          <w:sz w:val="24"/>
          <w:szCs w:val="24"/>
        </w:rPr>
        <w:t>初步评审索引表</w:t>
      </w:r>
      <w:bookmarkEnd w:id="248"/>
      <w:r>
        <w:rPr>
          <w:rFonts w:hint="eastAsia" w:ascii="仿宋" w:hAnsi="仿宋" w:eastAsia="仿宋" w:cs="仿宋"/>
          <w:b w:val="0"/>
          <w:bCs w:val="0"/>
          <w:color w:val="FF0000"/>
          <w:sz w:val="24"/>
          <w:szCs w:val="24"/>
          <w:highlight w:val="none"/>
        </w:rPr>
        <w:t>（可以根据项目实际情况选择是否设置）</w:t>
      </w:r>
    </w:p>
    <w:tbl>
      <w:tblPr>
        <w:tblStyle w:val="41"/>
        <w:tblW w:w="5092"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815"/>
        <w:gridCol w:w="1701"/>
        <w:gridCol w:w="3301"/>
        <w:gridCol w:w="4218"/>
      </w:tblGrid>
      <w:tr w14:paraId="4E3B0BED">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noWrap w:val="0"/>
            <w:vAlign w:val="center"/>
          </w:tcPr>
          <w:p w14:paraId="064281FF">
            <w:pPr>
              <w:widowControl/>
              <w:spacing w:line="360" w:lineRule="auto"/>
              <w:jc w:val="center"/>
              <w:rPr>
                <w:rFonts w:hint="eastAsia" w:ascii="仿宋" w:hAnsi="仿宋" w:eastAsia="仿宋" w:cs="仿宋"/>
                <w:color w:val="000000"/>
                <w:kern w:val="0"/>
                <w:szCs w:val="21"/>
                <w:highlight w:val="none"/>
              </w:rPr>
            </w:pPr>
            <w:r>
              <w:rPr>
                <w:rFonts w:hint="eastAsia" w:ascii="仿宋" w:hAnsi="仿宋" w:eastAsia="仿宋" w:cs="仿宋"/>
                <w:b/>
                <w:color w:val="000000"/>
                <w:kern w:val="0"/>
                <w:szCs w:val="21"/>
                <w:highlight w:val="none"/>
              </w:rPr>
              <w:t>序号</w:t>
            </w:r>
          </w:p>
        </w:tc>
        <w:tc>
          <w:tcPr>
            <w:tcW w:w="1701" w:type="dxa"/>
            <w:noWrap w:val="0"/>
            <w:vAlign w:val="top"/>
          </w:tcPr>
          <w:p w14:paraId="204E8F8A">
            <w:pPr>
              <w:widowControl/>
              <w:spacing w:before="24" w:after="24" w:line="360" w:lineRule="auto"/>
              <w:jc w:val="center"/>
              <w:rPr>
                <w:rFonts w:hint="eastAsia" w:ascii="仿宋" w:hAnsi="仿宋" w:eastAsia="仿宋" w:cs="仿宋"/>
                <w:color w:val="000000"/>
                <w:szCs w:val="21"/>
                <w:highlight w:val="none"/>
              </w:rPr>
            </w:pPr>
            <w:r>
              <w:rPr>
                <w:rFonts w:hint="eastAsia" w:ascii="仿宋" w:hAnsi="仿宋" w:eastAsia="仿宋" w:cs="仿宋"/>
                <w:b/>
                <w:color w:val="000000"/>
                <w:kern w:val="0"/>
                <w:szCs w:val="21"/>
                <w:highlight w:val="none"/>
              </w:rPr>
              <w:t>评审环节</w:t>
            </w:r>
          </w:p>
        </w:tc>
        <w:tc>
          <w:tcPr>
            <w:tcW w:w="3302" w:type="dxa"/>
            <w:noWrap w:val="0"/>
            <w:vAlign w:val="center"/>
          </w:tcPr>
          <w:p w14:paraId="523FDEFF">
            <w:pPr>
              <w:widowControl/>
              <w:spacing w:before="24" w:after="24" w:line="360" w:lineRule="auto"/>
              <w:jc w:val="center"/>
              <w:rPr>
                <w:rFonts w:hint="eastAsia" w:ascii="仿宋" w:hAnsi="仿宋" w:eastAsia="仿宋" w:cs="仿宋"/>
                <w:color w:val="000000"/>
                <w:kern w:val="0"/>
                <w:szCs w:val="21"/>
                <w:highlight w:val="none"/>
              </w:rPr>
            </w:pPr>
            <w:r>
              <w:rPr>
                <w:rFonts w:hint="eastAsia" w:ascii="仿宋" w:hAnsi="仿宋" w:eastAsia="仿宋" w:cs="仿宋"/>
                <w:b/>
                <w:color w:val="000000"/>
                <w:kern w:val="0"/>
                <w:szCs w:val="21"/>
                <w:highlight w:val="none"/>
              </w:rPr>
              <w:t>评审因素</w:t>
            </w:r>
          </w:p>
        </w:tc>
        <w:tc>
          <w:tcPr>
            <w:tcW w:w="4219" w:type="dxa"/>
            <w:noWrap w:val="0"/>
            <w:vAlign w:val="center"/>
          </w:tcPr>
          <w:p w14:paraId="6AC3BE37">
            <w:pPr>
              <w:widowControl/>
              <w:spacing w:line="360" w:lineRule="auto"/>
              <w:jc w:val="center"/>
              <w:rPr>
                <w:rFonts w:hint="eastAsia" w:ascii="仿宋" w:hAnsi="仿宋" w:eastAsia="仿宋" w:cs="仿宋"/>
                <w:color w:val="000000"/>
                <w:kern w:val="0"/>
                <w:szCs w:val="21"/>
                <w:highlight w:val="none"/>
              </w:rPr>
            </w:pPr>
            <w:r>
              <w:rPr>
                <w:rFonts w:hint="eastAsia" w:ascii="仿宋" w:hAnsi="仿宋" w:eastAsia="仿宋" w:cs="仿宋"/>
                <w:b/>
                <w:color w:val="000000"/>
                <w:kern w:val="0"/>
                <w:szCs w:val="21"/>
                <w:highlight w:val="none"/>
              </w:rPr>
              <w:t>页码范围及说明</w:t>
            </w:r>
          </w:p>
        </w:tc>
      </w:tr>
      <w:tr w14:paraId="4586588C">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noWrap w:val="0"/>
            <w:vAlign w:val="center"/>
          </w:tcPr>
          <w:p w14:paraId="048DBC4B">
            <w:pPr>
              <w:widowControl/>
              <w:spacing w:line="360"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w:t>
            </w:r>
          </w:p>
        </w:tc>
        <w:tc>
          <w:tcPr>
            <w:tcW w:w="1701" w:type="dxa"/>
            <w:vMerge w:val="restart"/>
            <w:noWrap w:val="0"/>
            <w:vAlign w:val="center"/>
          </w:tcPr>
          <w:p w14:paraId="3BFF6A0C">
            <w:pPr>
              <w:spacing w:before="24" w:after="24"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形式评审标准</w:t>
            </w:r>
          </w:p>
        </w:tc>
        <w:tc>
          <w:tcPr>
            <w:tcW w:w="3302" w:type="dxa"/>
            <w:noWrap w:val="0"/>
            <w:vAlign w:val="center"/>
          </w:tcPr>
          <w:p w14:paraId="14644B27">
            <w:pPr>
              <w:spacing w:before="24" w:after="24" w:line="276"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供应商名称</w:t>
            </w:r>
          </w:p>
        </w:tc>
        <w:tc>
          <w:tcPr>
            <w:tcW w:w="4219" w:type="dxa"/>
            <w:noWrap w:val="0"/>
            <w:vAlign w:val="center"/>
          </w:tcPr>
          <w:p w14:paraId="7427093B">
            <w:pPr>
              <w:spacing w:before="24" w:after="24" w:line="276" w:lineRule="auto"/>
              <w:jc w:val="left"/>
              <w:rPr>
                <w:rFonts w:ascii="仿宋" w:hAnsi="仿宋" w:eastAsia="仿宋" w:cs="仿宋"/>
                <w:color w:val="000000"/>
                <w:szCs w:val="21"/>
                <w:highlight w:val="none"/>
              </w:rPr>
            </w:pPr>
            <w:r>
              <w:rPr>
                <w:rFonts w:hint="eastAsia" w:ascii="仿宋" w:hAnsi="仿宋" w:eastAsia="仿宋" w:cs="仿宋"/>
                <w:color w:val="000000"/>
                <w:szCs w:val="21"/>
                <w:highlight w:val="none"/>
              </w:rPr>
              <w:t>详见N-M页，补充说明（如有）</w:t>
            </w:r>
          </w:p>
        </w:tc>
      </w:tr>
      <w:tr w14:paraId="22FDEBF3">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14:paraId="70EA42D5">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top"/>
          </w:tcPr>
          <w:p w14:paraId="2D08CEAB">
            <w:pPr>
              <w:spacing w:before="24" w:after="24" w:line="360" w:lineRule="auto"/>
              <w:jc w:val="center"/>
              <w:rPr>
                <w:rFonts w:hint="eastAsia" w:ascii="仿宋" w:hAnsi="仿宋" w:eastAsia="仿宋" w:cs="仿宋"/>
                <w:color w:val="000000"/>
                <w:szCs w:val="21"/>
                <w:highlight w:val="none"/>
              </w:rPr>
            </w:pPr>
          </w:p>
        </w:tc>
        <w:tc>
          <w:tcPr>
            <w:tcW w:w="3302" w:type="dxa"/>
            <w:noWrap w:val="0"/>
            <w:vAlign w:val="center"/>
          </w:tcPr>
          <w:p w14:paraId="7DC5C8FA">
            <w:pPr>
              <w:spacing w:before="24" w:after="24" w:line="276" w:lineRule="auto"/>
              <w:jc w:val="center"/>
              <w:rPr>
                <w:rFonts w:hint="eastAsia" w:ascii="仿宋" w:hAnsi="仿宋" w:eastAsia="仿宋" w:cs="宋体"/>
                <w:color w:val="000000"/>
                <w:kern w:val="0"/>
                <w:szCs w:val="21"/>
                <w:highlight w:val="none"/>
              </w:rPr>
            </w:pPr>
            <w:r>
              <w:rPr>
                <w:rFonts w:hint="eastAsia" w:ascii="仿宋" w:hAnsi="仿宋" w:eastAsia="仿宋" w:cs="仿宋"/>
                <w:color w:val="000000"/>
                <w:szCs w:val="21"/>
                <w:highlight w:val="none"/>
              </w:rPr>
              <w:t>法定代表人（负责人）身份证明</w:t>
            </w:r>
          </w:p>
        </w:tc>
        <w:tc>
          <w:tcPr>
            <w:tcW w:w="4219" w:type="dxa"/>
            <w:noWrap w:val="0"/>
            <w:vAlign w:val="center"/>
          </w:tcPr>
          <w:p w14:paraId="7234345A">
            <w:pPr>
              <w:pStyle w:val="138"/>
              <w:tabs>
                <w:tab w:val="left" w:pos="630"/>
              </w:tabs>
              <w:topLinePunct/>
              <w:spacing w:before="48" w:beforeLines="20" w:after="48" w:afterLines="20" w:line="276" w:lineRule="auto"/>
              <w:rPr>
                <w:rFonts w:hint="eastAsia" w:ascii="仿宋" w:hAnsi="仿宋" w:eastAsia="仿宋" w:cs="仿宋"/>
                <w:color w:val="000000"/>
                <w:szCs w:val="21"/>
                <w:highlight w:val="none"/>
              </w:rPr>
            </w:pPr>
          </w:p>
        </w:tc>
      </w:tr>
      <w:tr w14:paraId="6A214C8E">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14:paraId="210409DE">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top"/>
          </w:tcPr>
          <w:p w14:paraId="13744961">
            <w:pPr>
              <w:spacing w:before="24" w:after="24" w:line="360" w:lineRule="auto"/>
              <w:jc w:val="center"/>
              <w:rPr>
                <w:rFonts w:hint="eastAsia" w:ascii="仿宋" w:hAnsi="仿宋" w:eastAsia="仿宋" w:cs="仿宋"/>
                <w:color w:val="000000"/>
                <w:szCs w:val="21"/>
                <w:highlight w:val="none"/>
              </w:rPr>
            </w:pPr>
          </w:p>
        </w:tc>
        <w:tc>
          <w:tcPr>
            <w:tcW w:w="3302" w:type="dxa"/>
            <w:noWrap w:val="0"/>
            <w:vAlign w:val="center"/>
          </w:tcPr>
          <w:p w14:paraId="6355B483">
            <w:pPr>
              <w:spacing w:before="24" w:after="24" w:line="276"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法定代表人（负责人）授权委托书</w:t>
            </w:r>
          </w:p>
        </w:tc>
        <w:tc>
          <w:tcPr>
            <w:tcW w:w="4219" w:type="dxa"/>
            <w:noWrap w:val="0"/>
            <w:vAlign w:val="center"/>
          </w:tcPr>
          <w:p w14:paraId="0F1B63BA">
            <w:pPr>
              <w:pStyle w:val="138"/>
              <w:tabs>
                <w:tab w:val="left" w:pos="630"/>
              </w:tabs>
              <w:topLinePunct/>
              <w:spacing w:before="48" w:beforeLines="20" w:after="48" w:afterLines="20" w:line="276" w:lineRule="auto"/>
              <w:rPr>
                <w:rFonts w:hint="eastAsia" w:ascii="仿宋" w:hAnsi="仿宋" w:eastAsia="仿宋" w:cs="仿宋"/>
                <w:color w:val="000000"/>
                <w:szCs w:val="21"/>
                <w:highlight w:val="none"/>
              </w:rPr>
            </w:pPr>
          </w:p>
        </w:tc>
      </w:tr>
      <w:tr w14:paraId="567186FA">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14:paraId="3BCB6113">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top"/>
          </w:tcPr>
          <w:p w14:paraId="5225C0D5">
            <w:pPr>
              <w:spacing w:before="24" w:after="24" w:line="360" w:lineRule="auto"/>
              <w:jc w:val="center"/>
              <w:rPr>
                <w:rFonts w:hint="eastAsia" w:ascii="仿宋" w:hAnsi="仿宋" w:eastAsia="仿宋" w:cs="仿宋"/>
                <w:color w:val="000000"/>
                <w:szCs w:val="21"/>
                <w:highlight w:val="none"/>
              </w:rPr>
            </w:pPr>
          </w:p>
        </w:tc>
        <w:tc>
          <w:tcPr>
            <w:tcW w:w="3302" w:type="dxa"/>
            <w:noWrap w:val="0"/>
            <w:vAlign w:val="center"/>
          </w:tcPr>
          <w:p w14:paraId="5ED80892">
            <w:pPr>
              <w:spacing w:before="24" w:after="24" w:line="276" w:lineRule="auto"/>
              <w:jc w:val="center"/>
              <w:rPr>
                <w:rFonts w:hint="eastAsia" w:ascii="仿宋" w:hAnsi="仿宋" w:eastAsia="仿宋" w:cs="宋体"/>
                <w:color w:val="000000"/>
                <w:spacing w:val="-4"/>
                <w:kern w:val="0"/>
                <w:szCs w:val="21"/>
                <w:highlight w:val="none"/>
              </w:rPr>
            </w:pPr>
            <w:r>
              <w:rPr>
                <w:rFonts w:hint="eastAsia" w:ascii="仿宋" w:hAnsi="仿宋" w:eastAsia="仿宋" w:cs="仿宋"/>
                <w:color w:val="000000"/>
                <w:szCs w:val="21"/>
                <w:highlight w:val="none"/>
              </w:rPr>
              <w:t>响应文件签字或盖章</w:t>
            </w:r>
          </w:p>
        </w:tc>
        <w:tc>
          <w:tcPr>
            <w:tcW w:w="4219" w:type="dxa"/>
            <w:noWrap w:val="0"/>
            <w:vAlign w:val="center"/>
          </w:tcPr>
          <w:p w14:paraId="2FEA9A6C">
            <w:pPr>
              <w:pStyle w:val="157"/>
              <w:spacing w:before="48" w:beforeLines="20" w:after="48" w:afterLines="20" w:line="276" w:lineRule="auto"/>
              <w:rPr>
                <w:rFonts w:hint="eastAsia" w:ascii="仿宋" w:hAnsi="仿宋" w:eastAsia="仿宋" w:cs="仿宋"/>
                <w:color w:val="000000"/>
                <w:highlight w:val="none"/>
              </w:rPr>
            </w:pPr>
          </w:p>
        </w:tc>
      </w:tr>
      <w:tr w14:paraId="55C417F1">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noWrap w:val="0"/>
            <w:vAlign w:val="center"/>
          </w:tcPr>
          <w:p w14:paraId="7A256D89">
            <w:pPr>
              <w:widowControl/>
              <w:spacing w:line="360"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2</w:t>
            </w:r>
          </w:p>
        </w:tc>
        <w:tc>
          <w:tcPr>
            <w:tcW w:w="1701" w:type="dxa"/>
            <w:vMerge w:val="restart"/>
            <w:noWrap w:val="0"/>
            <w:vAlign w:val="center"/>
          </w:tcPr>
          <w:p w14:paraId="1D98D509">
            <w:pPr>
              <w:spacing w:before="24" w:after="24"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资格评审标准</w:t>
            </w:r>
          </w:p>
        </w:tc>
        <w:tc>
          <w:tcPr>
            <w:tcW w:w="3302" w:type="dxa"/>
            <w:noWrap w:val="0"/>
            <w:vAlign w:val="center"/>
          </w:tcPr>
          <w:p w14:paraId="7A293454">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000000"/>
                <w:szCs w:val="21"/>
                <w:highlight w:val="none"/>
              </w:rPr>
            </w:pPr>
            <w:r>
              <w:rPr>
                <w:rFonts w:hint="eastAsia" w:ascii="仿宋" w:hAnsi="仿宋" w:eastAsia="仿宋" w:cs="宋体"/>
                <w:color w:val="000000"/>
                <w:szCs w:val="21"/>
                <w:highlight w:val="none"/>
              </w:rPr>
              <w:t>营业执照</w:t>
            </w:r>
          </w:p>
        </w:tc>
        <w:tc>
          <w:tcPr>
            <w:tcW w:w="4219" w:type="dxa"/>
            <w:noWrap w:val="0"/>
            <w:vAlign w:val="center"/>
          </w:tcPr>
          <w:p w14:paraId="1305C140">
            <w:pPr>
              <w:spacing w:before="24" w:after="24" w:line="276" w:lineRule="auto"/>
              <w:jc w:val="left"/>
              <w:rPr>
                <w:rFonts w:hint="eastAsia" w:ascii="仿宋" w:hAnsi="仿宋" w:eastAsia="仿宋" w:cs="仿宋"/>
                <w:color w:val="000000"/>
                <w:szCs w:val="21"/>
                <w:highlight w:val="none"/>
              </w:rPr>
            </w:pPr>
          </w:p>
        </w:tc>
      </w:tr>
      <w:tr w14:paraId="489FF90E">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14:paraId="63B02BD0">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center"/>
          </w:tcPr>
          <w:p w14:paraId="3913E512">
            <w:pPr>
              <w:spacing w:before="24" w:after="24" w:line="360" w:lineRule="auto"/>
              <w:jc w:val="center"/>
              <w:rPr>
                <w:rFonts w:hint="eastAsia" w:ascii="仿宋" w:hAnsi="仿宋" w:eastAsia="仿宋" w:cs="仿宋"/>
                <w:color w:val="000000"/>
                <w:szCs w:val="21"/>
                <w:highlight w:val="none"/>
              </w:rPr>
            </w:pPr>
          </w:p>
        </w:tc>
        <w:tc>
          <w:tcPr>
            <w:tcW w:w="3302" w:type="dxa"/>
            <w:noWrap w:val="0"/>
            <w:vAlign w:val="center"/>
          </w:tcPr>
          <w:p w14:paraId="55935479">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无违法违规记录</w:t>
            </w:r>
          </w:p>
        </w:tc>
        <w:tc>
          <w:tcPr>
            <w:tcW w:w="4219" w:type="dxa"/>
            <w:noWrap w:val="0"/>
            <w:vAlign w:val="center"/>
          </w:tcPr>
          <w:p w14:paraId="1E8D1C45">
            <w:pPr>
              <w:spacing w:before="24" w:after="24" w:line="276" w:lineRule="auto"/>
              <w:jc w:val="left"/>
              <w:rPr>
                <w:rFonts w:hint="eastAsia" w:ascii="仿宋" w:hAnsi="仿宋" w:eastAsia="仿宋" w:cs="仿宋"/>
                <w:color w:val="000000"/>
                <w:szCs w:val="21"/>
                <w:highlight w:val="none"/>
              </w:rPr>
            </w:pPr>
          </w:p>
        </w:tc>
      </w:tr>
      <w:tr w14:paraId="64C72CA5">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14:paraId="73149735">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center"/>
          </w:tcPr>
          <w:p w14:paraId="00831FF3">
            <w:pPr>
              <w:spacing w:before="24" w:after="24" w:line="360" w:lineRule="auto"/>
              <w:jc w:val="center"/>
              <w:rPr>
                <w:rFonts w:hint="eastAsia" w:ascii="仿宋" w:hAnsi="仿宋" w:eastAsia="仿宋" w:cs="仿宋"/>
                <w:color w:val="000000"/>
                <w:kern w:val="0"/>
                <w:szCs w:val="21"/>
                <w:highlight w:val="none"/>
              </w:rPr>
            </w:pPr>
          </w:p>
        </w:tc>
        <w:tc>
          <w:tcPr>
            <w:tcW w:w="3302" w:type="dxa"/>
            <w:noWrap w:val="0"/>
            <w:vAlign w:val="center"/>
          </w:tcPr>
          <w:p w14:paraId="61E31E8F">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000000"/>
                <w:kern w:val="0"/>
                <w:szCs w:val="21"/>
                <w:highlight w:val="none"/>
              </w:rPr>
            </w:pPr>
            <w:r>
              <w:rPr>
                <w:rFonts w:hint="eastAsia" w:ascii="仿宋" w:hAnsi="仿宋" w:eastAsia="仿宋" w:cs="Monaco"/>
                <w:color w:val="000000"/>
                <w:szCs w:val="21"/>
                <w:highlight w:val="none"/>
              </w:rPr>
              <w:t>未被列入黑名单</w:t>
            </w:r>
          </w:p>
        </w:tc>
        <w:tc>
          <w:tcPr>
            <w:tcW w:w="4219" w:type="dxa"/>
            <w:noWrap w:val="0"/>
            <w:vAlign w:val="center"/>
          </w:tcPr>
          <w:p w14:paraId="1487AEE7">
            <w:pPr>
              <w:spacing w:before="24" w:after="24" w:line="276" w:lineRule="auto"/>
              <w:jc w:val="left"/>
              <w:rPr>
                <w:rFonts w:hint="eastAsia" w:ascii="仿宋" w:hAnsi="仿宋" w:eastAsia="仿宋" w:cs="仿宋"/>
                <w:color w:val="000000"/>
                <w:szCs w:val="21"/>
                <w:highlight w:val="none"/>
              </w:rPr>
            </w:pPr>
          </w:p>
        </w:tc>
      </w:tr>
      <w:tr w14:paraId="04ABA280">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14:paraId="10A075E7">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top"/>
          </w:tcPr>
          <w:p w14:paraId="5D0BADC9">
            <w:pPr>
              <w:spacing w:before="24" w:after="24" w:line="360" w:lineRule="auto"/>
              <w:jc w:val="center"/>
              <w:rPr>
                <w:rFonts w:hint="eastAsia" w:ascii="仿宋" w:hAnsi="仿宋" w:eastAsia="仿宋" w:cs="仿宋"/>
                <w:color w:val="000000"/>
                <w:kern w:val="0"/>
                <w:szCs w:val="21"/>
                <w:highlight w:val="none"/>
              </w:rPr>
            </w:pPr>
          </w:p>
        </w:tc>
        <w:tc>
          <w:tcPr>
            <w:tcW w:w="3302" w:type="dxa"/>
            <w:noWrap w:val="0"/>
            <w:vAlign w:val="center"/>
          </w:tcPr>
          <w:p w14:paraId="30A7C38C">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000000"/>
                <w:kern w:val="0"/>
                <w:szCs w:val="21"/>
                <w:highlight w:val="none"/>
              </w:rPr>
            </w:pPr>
            <w:r>
              <w:rPr>
                <w:rFonts w:hint="eastAsia" w:ascii="仿宋" w:hAnsi="仿宋" w:eastAsia="仿宋" w:cs="Cambria Math"/>
                <w:color w:val="000000"/>
                <w:szCs w:val="21"/>
                <w:highlight w:val="none"/>
              </w:rPr>
              <w:t>控股及管理关系</w:t>
            </w:r>
          </w:p>
        </w:tc>
        <w:tc>
          <w:tcPr>
            <w:tcW w:w="4219" w:type="dxa"/>
            <w:noWrap w:val="0"/>
            <w:vAlign w:val="center"/>
          </w:tcPr>
          <w:p w14:paraId="2C2F021E">
            <w:pPr>
              <w:spacing w:before="24" w:after="24" w:line="276" w:lineRule="auto"/>
              <w:jc w:val="left"/>
              <w:rPr>
                <w:rFonts w:hint="eastAsia" w:ascii="仿宋" w:hAnsi="仿宋" w:eastAsia="仿宋" w:cs="仿宋"/>
                <w:color w:val="000000"/>
                <w:szCs w:val="21"/>
                <w:highlight w:val="none"/>
              </w:rPr>
            </w:pPr>
          </w:p>
        </w:tc>
      </w:tr>
      <w:tr w14:paraId="40FF5573">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14:paraId="1B5C8438">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top"/>
          </w:tcPr>
          <w:p w14:paraId="6AC2C881">
            <w:pPr>
              <w:spacing w:before="24" w:after="24" w:line="360" w:lineRule="auto"/>
              <w:jc w:val="center"/>
              <w:rPr>
                <w:rFonts w:hint="eastAsia" w:ascii="仿宋" w:hAnsi="仿宋" w:eastAsia="仿宋" w:cs="仿宋"/>
                <w:color w:val="000000"/>
                <w:kern w:val="0"/>
                <w:szCs w:val="21"/>
                <w:highlight w:val="none"/>
              </w:rPr>
            </w:pPr>
          </w:p>
        </w:tc>
        <w:tc>
          <w:tcPr>
            <w:tcW w:w="3302" w:type="dxa"/>
            <w:noWrap w:val="0"/>
            <w:vAlign w:val="center"/>
          </w:tcPr>
          <w:p w14:paraId="2A3E7EF8">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FF0000"/>
                <w:kern w:val="0"/>
                <w:szCs w:val="21"/>
                <w:highlight w:val="none"/>
              </w:rPr>
            </w:pPr>
            <w:r>
              <w:rPr>
                <w:rFonts w:hint="eastAsia" w:ascii="仿宋" w:hAnsi="仿宋" w:eastAsia="仿宋" w:cs="仿宋"/>
                <w:color w:val="FF0000"/>
                <w:szCs w:val="21"/>
                <w:highlight w:val="none"/>
                <w:lang w:val="en-US" w:eastAsia="zh-CN"/>
              </w:rPr>
              <w:t>XXXX</w:t>
            </w:r>
          </w:p>
        </w:tc>
        <w:tc>
          <w:tcPr>
            <w:tcW w:w="4219" w:type="dxa"/>
            <w:noWrap w:val="0"/>
            <w:vAlign w:val="center"/>
          </w:tcPr>
          <w:p w14:paraId="5C18F675">
            <w:pPr>
              <w:spacing w:before="24" w:after="24" w:line="276" w:lineRule="auto"/>
              <w:jc w:val="left"/>
              <w:rPr>
                <w:rFonts w:hint="eastAsia" w:ascii="仿宋" w:hAnsi="仿宋" w:eastAsia="仿宋" w:cs="仿宋"/>
                <w:color w:val="000000"/>
                <w:szCs w:val="21"/>
                <w:highlight w:val="none"/>
              </w:rPr>
            </w:pPr>
          </w:p>
        </w:tc>
      </w:tr>
      <w:tr w14:paraId="75820820">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14:paraId="1D69D0E1">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top"/>
          </w:tcPr>
          <w:p w14:paraId="12A54CAC">
            <w:pPr>
              <w:spacing w:before="24" w:after="24" w:line="360" w:lineRule="auto"/>
              <w:jc w:val="center"/>
              <w:rPr>
                <w:rFonts w:hint="eastAsia" w:ascii="仿宋" w:hAnsi="仿宋" w:eastAsia="仿宋" w:cs="仿宋"/>
                <w:color w:val="000000"/>
                <w:kern w:val="0"/>
                <w:szCs w:val="21"/>
                <w:highlight w:val="none"/>
              </w:rPr>
            </w:pPr>
          </w:p>
        </w:tc>
        <w:tc>
          <w:tcPr>
            <w:tcW w:w="3302" w:type="dxa"/>
            <w:noWrap w:val="0"/>
            <w:vAlign w:val="center"/>
          </w:tcPr>
          <w:p w14:paraId="4DBEC7A3">
            <w:pPr>
              <w:keepNext w:val="0"/>
              <w:keepLines w:val="0"/>
              <w:suppressLineNumbers w:val="0"/>
              <w:spacing w:before="24" w:beforeAutospacing="0" w:after="24" w:afterAutospacing="0"/>
              <w:ind w:left="0" w:leftChars="0" w:right="0" w:rightChars="0"/>
              <w:jc w:val="center"/>
              <w:rPr>
                <w:rFonts w:ascii="仿宋" w:hAnsi="仿宋" w:eastAsia="仿宋" w:cs="仿宋"/>
                <w:color w:val="FF0000"/>
                <w:kern w:val="0"/>
                <w:szCs w:val="21"/>
                <w:highlight w:val="none"/>
              </w:rPr>
            </w:pPr>
            <w:r>
              <w:rPr>
                <w:rFonts w:hint="eastAsia" w:ascii="仿宋" w:hAnsi="仿宋" w:eastAsia="仿宋" w:cs="Monaco"/>
                <w:color w:val="FF0000"/>
                <w:szCs w:val="21"/>
                <w:highlight w:val="none"/>
                <w:lang w:val="en-US" w:eastAsia="zh-CN"/>
              </w:rPr>
              <w:t>XXXX</w:t>
            </w:r>
          </w:p>
        </w:tc>
        <w:tc>
          <w:tcPr>
            <w:tcW w:w="4219" w:type="dxa"/>
            <w:noWrap w:val="0"/>
            <w:vAlign w:val="center"/>
          </w:tcPr>
          <w:p w14:paraId="779396D5">
            <w:pPr>
              <w:spacing w:before="24" w:after="24" w:line="276" w:lineRule="auto"/>
              <w:jc w:val="left"/>
              <w:rPr>
                <w:rFonts w:hint="eastAsia" w:ascii="仿宋" w:hAnsi="仿宋" w:eastAsia="仿宋" w:cs="仿宋"/>
                <w:color w:val="000000"/>
                <w:szCs w:val="21"/>
                <w:highlight w:val="none"/>
              </w:rPr>
            </w:pPr>
          </w:p>
        </w:tc>
      </w:tr>
      <w:tr w14:paraId="1E5301E6">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14:paraId="10D9F9DB">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top"/>
          </w:tcPr>
          <w:p w14:paraId="42410CCE">
            <w:pPr>
              <w:spacing w:before="24" w:after="24" w:line="360" w:lineRule="auto"/>
              <w:jc w:val="center"/>
              <w:rPr>
                <w:rFonts w:hint="eastAsia" w:ascii="仿宋" w:hAnsi="仿宋" w:eastAsia="仿宋" w:cs="仿宋"/>
                <w:color w:val="000000"/>
                <w:kern w:val="0"/>
                <w:szCs w:val="21"/>
                <w:highlight w:val="none"/>
              </w:rPr>
            </w:pPr>
          </w:p>
        </w:tc>
        <w:tc>
          <w:tcPr>
            <w:tcW w:w="3302" w:type="dxa"/>
            <w:noWrap w:val="0"/>
            <w:vAlign w:val="center"/>
          </w:tcPr>
          <w:p w14:paraId="1ED3C2E9">
            <w:pPr>
              <w:keepNext w:val="0"/>
              <w:keepLines w:val="0"/>
              <w:suppressLineNumbers w:val="0"/>
              <w:spacing w:before="24" w:beforeAutospacing="0" w:after="24" w:afterAutospacing="0"/>
              <w:ind w:left="0" w:leftChars="0" w:right="0" w:rightChars="0"/>
              <w:jc w:val="center"/>
              <w:rPr>
                <w:rFonts w:ascii="仿宋" w:hAnsi="仿宋" w:eastAsia="仿宋" w:cs="仿宋"/>
                <w:color w:val="FF0000"/>
                <w:szCs w:val="21"/>
                <w:highlight w:val="none"/>
              </w:rPr>
            </w:pPr>
            <w:r>
              <w:rPr>
                <w:rFonts w:hint="eastAsia" w:ascii="仿宋" w:hAnsi="仿宋" w:eastAsia="仿宋" w:cs="Cambria Math"/>
                <w:color w:val="FF0000"/>
                <w:szCs w:val="21"/>
                <w:highlight w:val="none"/>
                <w:lang w:val="en-US" w:eastAsia="zh-CN"/>
              </w:rPr>
              <w:t>XXXX</w:t>
            </w:r>
          </w:p>
        </w:tc>
        <w:tc>
          <w:tcPr>
            <w:tcW w:w="4219" w:type="dxa"/>
            <w:noWrap w:val="0"/>
            <w:vAlign w:val="center"/>
          </w:tcPr>
          <w:p w14:paraId="2BCBA7C7">
            <w:pPr>
              <w:spacing w:before="24" w:after="24" w:line="276" w:lineRule="auto"/>
              <w:rPr>
                <w:rFonts w:hint="eastAsia" w:ascii="仿宋" w:hAnsi="仿宋" w:eastAsia="仿宋" w:cs="仿宋"/>
                <w:color w:val="000000"/>
                <w:szCs w:val="21"/>
                <w:highlight w:val="none"/>
              </w:rPr>
            </w:pPr>
          </w:p>
        </w:tc>
      </w:tr>
      <w:tr w14:paraId="45916B2D">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14:paraId="5E3B06EF">
            <w:pPr>
              <w:widowControl/>
              <w:spacing w:line="360" w:lineRule="auto"/>
              <w:jc w:val="center"/>
              <w:rPr>
                <w:rFonts w:ascii="仿宋" w:hAnsi="仿宋" w:eastAsia="仿宋" w:cs="仿宋"/>
                <w:color w:val="000000"/>
                <w:kern w:val="0"/>
                <w:szCs w:val="21"/>
                <w:highlight w:val="none"/>
              </w:rPr>
            </w:pPr>
          </w:p>
        </w:tc>
        <w:tc>
          <w:tcPr>
            <w:tcW w:w="1701" w:type="dxa"/>
            <w:vMerge w:val="continue"/>
            <w:noWrap w:val="0"/>
            <w:vAlign w:val="top"/>
          </w:tcPr>
          <w:p w14:paraId="029B0C32">
            <w:pPr>
              <w:spacing w:before="24" w:after="24" w:line="360" w:lineRule="auto"/>
              <w:jc w:val="center"/>
              <w:rPr>
                <w:rFonts w:hint="eastAsia" w:ascii="仿宋" w:hAnsi="仿宋" w:eastAsia="仿宋" w:cs="仿宋"/>
                <w:color w:val="000000"/>
                <w:kern w:val="0"/>
                <w:szCs w:val="21"/>
                <w:highlight w:val="none"/>
              </w:rPr>
            </w:pPr>
          </w:p>
        </w:tc>
        <w:tc>
          <w:tcPr>
            <w:tcW w:w="3302" w:type="dxa"/>
            <w:noWrap w:val="0"/>
            <w:vAlign w:val="center"/>
          </w:tcPr>
          <w:p w14:paraId="5906973F">
            <w:pPr>
              <w:keepNext w:val="0"/>
              <w:keepLines w:val="0"/>
              <w:suppressLineNumbers w:val="0"/>
              <w:spacing w:before="24" w:beforeAutospacing="0" w:after="24" w:afterAutospacing="0"/>
              <w:ind w:left="0" w:leftChars="0" w:right="0" w:rightChars="0"/>
              <w:jc w:val="center"/>
              <w:rPr>
                <w:rFonts w:ascii="仿宋" w:hAnsi="仿宋" w:eastAsia="仿宋" w:cs="仿宋"/>
                <w:color w:val="FF0000"/>
                <w:kern w:val="0"/>
                <w:szCs w:val="21"/>
                <w:highlight w:val="none"/>
              </w:rPr>
            </w:pPr>
            <w:r>
              <w:rPr>
                <w:rFonts w:hint="eastAsia" w:ascii="仿宋" w:hAnsi="仿宋" w:eastAsia="仿宋" w:cs="仿宋"/>
                <w:color w:val="FF0000"/>
                <w:szCs w:val="21"/>
                <w:highlight w:val="none"/>
                <w:lang w:val="en-US" w:eastAsia="zh-CN"/>
              </w:rPr>
              <w:t>XXXX</w:t>
            </w:r>
          </w:p>
        </w:tc>
        <w:tc>
          <w:tcPr>
            <w:tcW w:w="4219" w:type="dxa"/>
            <w:noWrap w:val="0"/>
            <w:vAlign w:val="center"/>
          </w:tcPr>
          <w:p w14:paraId="1B5A8563">
            <w:pPr>
              <w:spacing w:before="24" w:after="24" w:line="276" w:lineRule="auto"/>
              <w:jc w:val="left"/>
              <w:rPr>
                <w:rFonts w:hint="eastAsia" w:ascii="仿宋" w:hAnsi="仿宋" w:eastAsia="仿宋" w:cs="仿宋"/>
                <w:color w:val="000000"/>
                <w:szCs w:val="21"/>
                <w:highlight w:val="none"/>
              </w:rPr>
            </w:pPr>
          </w:p>
        </w:tc>
      </w:tr>
      <w:tr w14:paraId="18C4FC3D">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noWrap w:val="0"/>
            <w:vAlign w:val="center"/>
          </w:tcPr>
          <w:p w14:paraId="7EF0362C">
            <w:pPr>
              <w:widowControl/>
              <w:spacing w:line="360" w:lineRule="auto"/>
              <w:jc w:val="center"/>
              <w:rPr>
                <w:rFonts w:hint="eastAsia" w:ascii="仿宋" w:hAnsi="仿宋" w:eastAsia="仿宋" w:cs="仿宋"/>
                <w:color w:val="000000"/>
                <w:kern w:val="0"/>
                <w:szCs w:val="21"/>
                <w:highlight w:val="none"/>
              </w:rPr>
            </w:pPr>
            <w:r>
              <w:rPr>
                <w:rFonts w:ascii="仿宋" w:hAnsi="仿宋" w:eastAsia="仿宋" w:cs="仿宋"/>
                <w:color w:val="000000"/>
                <w:kern w:val="0"/>
                <w:szCs w:val="21"/>
                <w:highlight w:val="none"/>
              </w:rPr>
              <w:t>3</w:t>
            </w:r>
          </w:p>
        </w:tc>
        <w:tc>
          <w:tcPr>
            <w:tcW w:w="1701" w:type="dxa"/>
            <w:vMerge w:val="restart"/>
            <w:noWrap w:val="0"/>
            <w:vAlign w:val="center"/>
          </w:tcPr>
          <w:p w14:paraId="1A24E000">
            <w:pPr>
              <w:spacing w:before="24" w:after="24" w:line="360"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响应性评审标准</w:t>
            </w:r>
          </w:p>
        </w:tc>
        <w:tc>
          <w:tcPr>
            <w:tcW w:w="3302" w:type="dxa"/>
            <w:noWrap w:val="0"/>
            <w:vAlign w:val="center"/>
          </w:tcPr>
          <w:p w14:paraId="1BF6D0E7">
            <w:pPr>
              <w:spacing w:before="24" w:after="24" w:line="276"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szCs w:val="21"/>
                <w:highlight w:val="none"/>
              </w:rPr>
              <w:t>响应函</w:t>
            </w:r>
          </w:p>
        </w:tc>
        <w:tc>
          <w:tcPr>
            <w:tcW w:w="4219" w:type="dxa"/>
            <w:noWrap w:val="0"/>
            <w:vAlign w:val="center"/>
          </w:tcPr>
          <w:p w14:paraId="1CCFA7FF">
            <w:pPr>
              <w:spacing w:before="24" w:after="24" w:line="276" w:lineRule="auto"/>
              <w:jc w:val="left"/>
              <w:rPr>
                <w:rFonts w:hint="eastAsia" w:ascii="仿宋" w:hAnsi="仿宋" w:eastAsia="仿宋" w:cs="仿宋"/>
                <w:color w:val="000000"/>
                <w:szCs w:val="21"/>
                <w:highlight w:val="none"/>
              </w:rPr>
            </w:pPr>
          </w:p>
        </w:tc>
      </w:tr>
      <w:tr w14:paraId="181F8D6F">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14:paraId="36AA1EA2">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center"/>
          </w:tcPr>
          <w:p w14:paraId="24500762">
            <w:pPr>
              <w:spacing w:before="24" w:after="24" w:line="360" w:lineRule="auto"/>
              <w:jc w:val="center"/>
              <w:rPr>
                <w:rFonts w:hint="eastAsia" w:ascii="仿宋" w:hAnsi="仿宋" w:eastAsia="仿宋" w:cs="仿宋"/>
                <w:color w:val="000000"/>
                <w:kern w:val="0"/>
                <w:szCs w:val="21"/>
                <w:highlight w:val="none"/>
              </w:rPr>
            </w:pPr>
          </w:p>
        </w:tc>
        <w:tc>
          <w:tcPr>
            <w:tcW w:w="3302" w:type="dxa"/>
            <w:noWrap w:val="0"/>
            <w:vAlign w:val="center"/>
          </w:tcPr>
          <w:p w14:paraId="0A4E0827">
            <w:pPr>
              <w:spacing w:before="24" w:after="24" w:line="276" w:lineRule="auto"/>
              <w:jc w:val="center"/>
              <w:rPr>
                <w:rFonts w:hint="eastAsia" w:ascii="仿宋" w:hAnsi="仿宋" w:eastAsia="仿宋" w:cs="仿宋"/>
                <w:color w:val="000000"/>
                <w:kern w:val="0"/>
                <w:szCs w:val="21"/>
                <w:highlight w:val="none"/>
                <w:lang w:eastAsia="zh-CN"/>
              </w:rPr>
            </w:pPr>
            <w:r>
              <w:rPr>
                <w:rFonts w:hint="eastAsia" w:ascii="仿宋" w:hAnsi="仿宋" w:eastAsia="仿宋" w:cs="Cambria Math"/>
                <w:color w:val="FF0000"/>
                <w:szCs w:val="21"/>
                <w:highlight w:val="none"/>
              </w:rPr>
              <w:t>磋商保证</w:t>
            </w:r>
            <w:r>
              <w:rPr>
                <w:rFonts w:hint="eastAsia" w:ascii="仿宋" w:hAnsi="仿宋" w:eastAsia="仿宋" w:cs="Cambria Math"/>
                <w:color w:val="FF0000"/>
                <w:szCs w:val="21"/>
                <w:highlight w:val="none"/>
                <w:lang w:val="en-US" w:eastAsia="zh-CN"/>
              </w:rPr>
              <w:t>金</w:t>
            </w:r>
          </w:p>
        </w:tc>
        <w:tc>
          <w:tcPr>
            <w:tcW w:w="4219" w:type="dxa"/>
            <w:noWrap w:val="0"/>
            <w:vAlign w:val="center"/>
          </w:tcPr>
          <w:p w14:paraId="0B965B03">
            <w:pPr>
              <w:spacing w:before="24" w:after="24" w:line="276" w:lineRule="auto"/>
              <w:jc w:val="left"/>
              <w:rPr>
                <w:rFonts w:hint="eastAsia" w:ascii="仿宋" w:hAnsi="仿宋" w:eastAsia="仿宋" w:cs="仿宋"/>
                <w:color w:val="000000"/>
                <w:szCs w:val="21"/>
                <w:highlight w:val="none"/>
              </w:rPr>
            </w:pPr>
          </w:p>
        </w:tc>
      </w:tr>
      <w:tr w14:paraId="53E438F7">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14:paraId="3C4D7598">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center"/>
          </w:tcPr>
          <w:p w14:paraId="0CD6FFC9">
            <w:pPr>
              <w:spacing w:before="24" w:after="24" w:line="360" w:lineRule="auto"/>
              <w:jc w:val="center"/>
              <w:rPr>
                <w:rFonts w:hint="eastAsia" w:ascii="仿宋" w:hAnsi="仿宋" w:eastAsia="仿宋" w:cs="仿宋"/>
                <w:color w:val="000000"/>
                <w:kern w:val="0"/>
                <w:szCs w:val="21"/>
                <w:highlight w:val="none"/>
              </w:rPr>
            </w:pPr>
          </w:p>
        </w:tc>
        <w:tc>
          <w:tcPr>
            <w:tcW w:w="3302" w:type="dxa"/>
            <w:noWrap w:val="0"/>
            <w:vAlign w:val="center"/>
          </w:tcPr>
          <w:p w14:paraId="636A0412">
            <w:pPr>
              <w:spacing w:before="24" w:after="24" w:line="276" w:lineRule="auto"/>
              <w:jc w:val="center"/>
              <w:rPr>
                <w:rFonts w:hint="eastAsia" w:ascii="仿宋" w:hAnsi="仿宋" w:eastAsia="仿宋" w:cs="Cambria Math"/>
                <w:color w:val="000000"/>
                <w:szCs w:val="21"/>
                <w:highlight w:val="none"/>
              </w:rPr>
            </w:pPr>
            <w:r>
              <w:rPr>
                <w:rFonts w:hint="eastAsia" w:ascii="仿宋" w:hAnsi="仿宋" w:eastAsia="仿宋" w:cs="宋体"/>
                <w:color w:val="000000"/>
                <w:szCs w:val="21"/>
                <w:highlight w:val="none"/>
              </w:rPr>
              <w:t>供应商行为准则承诺书</w:t>
            </w:r>
          </w:p>
        </w:tc>
        <w:tc>
          <w:tcPr>
            <w:tcW w:w="4219" w:type="dxa"/>
            <w:noWrap w:val="0"/>
            <w:vAlign w:val="center"/>
          </w:tcPr>
          <w:p w14:paraId="18312520">
            <w:pPr>
              <w:spacing w:before="24" w:after="24" w:line="276" w:lineRule="auto"/>
              <w:jc w:val="left"/>
              <w:rPr>
                <w:rFonts w:hint="eastAsia" w:ascii="仿宋" w:hAnsi="仿宋" w:eastAsia="仿宋" w:cs="仿宋"/>
                <w:color w:val="000000"/>
                <w:szCs w:val="21"/>
                <w:highlight w:val="none"/>
              </w:rPr>
            </w:pPr>
          </w:p>
        </w:tc>
      </w:tr>
      <w:tr w14:paraId="3581EE1B">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14:paraId="28F1EE91">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center"/>
          </w:tcPr>
          <w:p w14:paraId="133F2CD4">
            <w:pPr>
              <w:spacing w:before="24" w:after="24" w:line="360" w:lineRule="auto"/>
              <w:jc w:val="center"/>
              <w:rPr>
                <w:rFonts w:hint="eastAsia" w:ascii="仿宋" w:hAnsi="仿宋" w:eastAsia="仿宋" w:cs="仿宋"/>
                <w:color w:val="000000"/>
                <w:kern w:val="0"/>
                <w:szCs w:val="21"/>
                <w:highlight w:val="none"/>
              </w:rPr>
            </w:pPr>
          </w:p>
        </w:tc>
        <w:tc>
          <w:tcPr>
            <w:tcW w:w="3302" w:type="dxa"/>
            <w:noWrap w:val="0"/>
            <w:vAlign w:val="center"/>
          </w:tcPr>
          <w:p w14:paraId="1355DD09">
            <w:pPr>
              <w:spacing w:before="24" w:after="24" w:line="276" w:lineRule="auto"/>
              <w:jc w:val="center"/>
              <w:rPr>
                <w:rFonts w:hint="eastAsia" w:ascii="仿宋" w:hAnsi="仿宋" w:eastAsia="仿宋" w:cs="Cambria Math"/>
                <w:color w:val="000000"/>
                <w:szCs w:val="21"/>
                <w:highlight w:val="none"/>
              </w:rPr>
            </w:pPr>
            <w:r>
              <w:rPr>
                <w:rFonts w:hint="eastAsia" w:ascii="仿宋" w:hAnsi="仿宋" w:eastAsia="仿宋" w:cs="宋体"/>
                <w:color w:val="000000"/>
                <w:szCs w:val="21"/>
                <w:highlight w:val="none"/>
              </w:rPr>
              <w:t>供应商廉洁诚信承诺书</w:t>
            </w:r>
          </w:p>
        </w:tc>
        <w:tc>
          <w:tcPr>
            <w:tcW w:w="4219" w:type="dxa"/>
            <w:noWrap w:val="0"/>
            <w:vAlign w:val="center"/>
          </w:tcPr>
          <w:p w14:paraId="5C07CEE3">
            <w:pPr>
              <w:spacing w:before="24" w:after="24" w:line="276" w:lineRule="auto"/>
              <w:jc w:val="left"/>
              <w:rPr>
                <w:rFonts w:hint="eastAsia" w:ascii="仿宋" w:hAnsi="仿宋" w:eastAsia="仿宋" w:cs="仿宋"/>
                <w:color w:val="000000"/>
                <w:szCs w:val="21"/>
                <w:highlight w:val="none"/>
              </w:rPr>
            </w:pPr>
          </w:p>
        </w:tc>
      </w:tr>
      <w:tr w14:paraId="6F78FE54">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14:paraId="035DE249">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center"/>
          </w:tcPr>
          <w:p w14:paraId="1862C5DF">
            <w:pPr>
              <w:spacing w:before="24" w:after="24" w:line="360" w:lineRule="auto"/>
              <w:jc w:val="center"/>
              <w:rPr>
                <w:rFonts w:hint="eastAsia" w:ascii="仿宋" w:hAnsi="仿宋" w:eastAsia="仿宋" w:cs="仿宋"/>
                <w:color w:val="000000"/>
                <w:kern w:val="0"/>
                <w:szCs w:val="21"/>
                <w:highlight w:val="none"/>
              </w:rPr>
            </w:pPr>
          </w:p>
        </w:tc>
        <w:tc>
          <w:tcPr>
            <w:tcW w:w="3302" w:type="dxa"/>
            <w:noWrap w:val="0"/>
            <w:vAlign w:val="center"/>
          </w:tcPr>
          <w:p w14:paraId="3F89973B">
            <w:pPr>
              <w:spacing w:before="24" w:after="24" w:line="276" w:lineRule="auto"/>
              <w:jc w:val="center"/>
              <w:rPr>
                <w:rFonts w:hint="eastAsia" w:ascii="仿宋" w:hAnsi="仿宋" w:eastAsia="仿宋" w:cs="仿宋"/>
                <w:color w:val="000000"/>
                <w:kern w:val="0"/>
                <w:szCs w:val="21"/>
                <w:highlight w:val="none"/>
              </w:rPr>
            </w:pPr>
            <w:r>
              <w:rPr>
                <w:rFonts w:hint="eastAsia" w:ascii="仿宋" w:hAnsi="仿宋" w:eastAsia="仿宋" w:cs="Cambria Math"/>
                <w:color w:val="FF0000"/>
                <w:szCs w:val="21"/>
                <w:highlight w:val="none"/>
              </w:rPr>
              <w:t>供应商偏离应答</w:t>
            </w:r>
          </w:p>
        </w:tc>
        <w:tc>
          <w:tcPr>
            <w:tcW w:w="4219" w:type="dxa"/>
            <w:noWrap w:val="0"/>
            <w:vAlign w:val="center"/>
          </w:tcPr>
          <w:p w14:paraId="22811E55">
            <w:pPr>
              <w:spacing w:before="24" w:after="24" w:line="276" w:lineRule="auto"/>
              <w:jc w:val="left"/>
              <w:rPr>
                <w:rFonts w:hint="eastAsia" w:ascii="仿宋" w:hAnsi="仿宋" w:eastAsia="仿宋" w:cs="仿宋"/>
                <w:color w:val="000000"/>
                <w:szCs w:val="21"/>
                <w:highlight w:val="none"/>
              </w:rPr>
            </w:pPr>
          </w:p>
        </w:tc>
      </w:tr>
    </w:tbl>
    <w:p w14:paraId="29FFB1D0">
      <w:pPr>
        <w:rPr>
          <w:rFonts w:hint="eastAsia" w:ascii="宋体" w:hAnsi="宋体"/>
          <w:kern w:val="0"/>
          <w:szCs w:val="21"/>
          <w:highlight w:val="none"/>
        </w:rPr>
        <w:sectPr>
          <w:footerReference r:id="rId14" w:type="default"/>
          <w:pgSz w:w="11906" w:h="16838"/>
          <w:pgMar w:top="1417" w:right="1134" w:bottom="1134" w:left="1134" w:header="964" w:footer="964" w:gutter="0"/>
          <w:cols w:space="720" w:num="1"/>
          <w:docGrid w:linePitch="312" w:charSpace="0"/>
        </w:sectPr>
      </w:pPr>
    </w:p>
    <w:bookmarkEnd w:id="237"/>
    <w:bookmarkEnd w:id="238"/>
    <w:bookmarkEnd w:id="239"/>
    <w:bookmarkEnd w:id="240"/>
    <w:bookmarkEnd w:id="241"/>
    <w:bookmarkEnd w:id="242"/>
    <w:bookmarkEnd w:id="243"/>
    <w:bookmarkEnd w:id="244"/>
    <w:p w14:paraId="5013A9BF">
      <w:pPr>
        <w:bidi w:val="0"/>
        <w:jc w:val="center"/>
        <w:rPr>
          <w:rFonts w:hint="eastAsia" w:ascii="仿宋" w:hAnsi="仿宋" w:eastAsia="仿宋" w:cs="仿宋"/>
          <w:b/>
          <w:bCs/>
          <w:sz w:val="24"/>
          <w:szCs w:val="24"/>
        </w:rPr>
      </w:pPr>
      <w:bookmarkStart w:id="249" w:name="_Toc12140"/>
      <w:bookmarkStart w:id="250" w:name="_Toc7202"/>
      <w:bookmarkStart w:id="251" w:name="_Toc444891354"/>
      <w:bookmarkStart w:id="252" w:name="_Toc25121"/>
      <w:bookmarkStart w:id="253" w:name="_Toc517281837"/>
      <w:bookmarkStart w:id="254" w:name="_Toc27799"/>
      <w:r>
        <w:rPr>
          <w:rFonts w:hint="eastAsia" w:ascii="仿宋" w:hAnsi="仿宋" w:eastAsia="仿宋" w:cs="仿宋"/>
          <w:b/>
          <w:bCs/>
          <w:sz w:val="24"/>
          <w:szCs w:val="24"/>
        </w:rPr>
        <w:t>详细评审索引表</w:t>
      </w:r>
      <w:r>
        <w:rPr>
          <w:rFonts w:hint="eastAsia" w:ascii="仿宋" w:hAnsi="仿宋" w:eastAsia="仿宋" w:cs="仿宋"/>
          <w:b w:val="0"/>
          <w:bCs w:val="0"/>
          <w:color w:val="FF0000"/>
          <w:sz w:val="24"/>
          <w:szCs w:val="24"/>
          <w:highlight w:val="none"/>
        </w:rPr>
        <w:t>（可以根据项目实际情况选择是否设置）</w:t>
      </w:r>
    </w:p>
    <w:tbl>
      <w:tblPr>
        <w:tblStyle w:val="41"/>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9"/>
        <w:gridCol w:w="1696"/>
        <w:gridCol w:w="2268"/>
        <w:gridCol w:w="4820"/>
      </w:tblGrid>
      <w:tr w14:paraId="7DAE8D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729" w:type="dxa"/>
            <w:noWrap w:val="0"/>
            <w:tcMar>
              <w:top w:w="15" w:type="dxa"/>
              <w:left w:w="15" w:type="dxa"/>
              <w:right w:w="15" w:type="dxa"/>
            </w:tcMar>
            <w:vAlign w:val="center"/>
          </w:tcPr>
          <w:p w14:paraId="0F6AF2FC">
            <w:pPr>
              <w:widowControl/>
              <w:jc w:val="center"/>
              <w:textAlignment w:val="center"/>
              <w:rPr>
                <w:rFonts w:hint="eastAsia" w:ascii="仿宋" w:hAnsi="仿宋" w:eastAsia="仿宋" w:cs="宋体"/>
                <w:b/>
                <w:color w:val="000000"/>
                <w:szCs w:val="21"/>
                <w:highlight w:val="none"/>
              </w:rPr>
            </w:pPr>
            <w:r>
              <w:rPr>
                <w:rFonts w:hint="eastAsia" w:ascii="仿宋" w:hAnsi="仿宋" w:eastAsia="仿宋" w:cs="宋体"/>
                <w:b/>
                <w:color w:val="000000"/>
                <w:kern w:val="0"/>
                <w:szCs w:val="21"/>
                <w:highlight w:val="none"/>
                <w:lang w:bidi="ar"/>
              </w:rPr>
              <w:t>序号</w:t>
            </w:r>
          </w:p>
        </w:tc>
        <w:tc>
          <w:tcPr>
            <w:tcW w:w="1696" w:type="dxa"/>
            <w:noWrap w:val="0"/>
            <w:tcMar>
              <w:top w:w="15" w:type="dxa"/>
              <w:left w:w="15" w:type="dxa"/>
              <w:right w:w="15" w:type="dxa"/>
            </w:tcMar>
            <w:vAlign w:val="center"/>
          </w:tcPr>
          <w:p w14:paraId="61855F1C">
            <w:pPr>
              <w:jc w:val="center"/>
              <w:rPr>
                <w:rFonts w:hint="eastAsia" w:ascii="仿宋" w:hAnsi="仿宋" w:eastAsia="仿宋" w:cs="宋体"/>
                <w:b/>
                <w:color w:val="000000"/>
                <w:kern w:val="0"/>
                <w:szCs w:val="21"/>
                <w:highlight w:val="none"/>
                <w:lang w:bidi="ar"/>
              </w:rPr>
            </w:pPr>
            <w:r>
              <w:rPr>
                <w:rFonts w:hint="eastAsia" w:ascii="仿宋" w:hAnsi="仿宋" w:eastAsia="仿宋" w:cs="宋体"/>
                <w:b/>
                <w:bCs/>
                <w:color w:val="000000"/>
                <w:szCs w:val="21"/>
                <w:highlight w:val="none"/>
              </w:rPr>
              <w:t>评审项</w:t>
            </w:r>
          </w:p>
        </w:tc>
        <w:tc>
          <w:tcPr>
            <w:tcW w:w="2268" w:type="dxa"/>
            <w:noWrap w:val="0"/>
            <w:vAlign w:val="top"/>
          </w:tcPr>
          <w:p w14:paraId="0C49D598">
            <w:pPr>
              <w:widowControl/>
              <w:jc w:val="center"/>
              <w:rPr>
                <w:rFonts w:hint="eastAsia" w:ascii="仿宋" w:hAnsi="仿宋" w:eastAsia="仿宋" w:cs="宋体"/>
                <w:b/>
                <w:color w:val="000000"/>
                <w:kern w:val="0"/>
                <w:szCs w:val="21"/>
                <w:highlight w:val="none"/>
              </w:rPr>
            </w:pPr>
            <w:r>
              <w:rPr>
                <w:rFonts w:hint="eastAsia" w:ascii="仿宋" w:hAnsi="仿宋" w:eastAsia="仿宋" w:cs="宋体"/>
                <w:b/>
                <w:color w:val="000000"/>
                <w:kern w:val="0"/>
                <w:szCs w:val="21"/>
                <w:highlight w:val="none"/>
                <w:lang w:bidi="ar"/>
              </w:rPr>
              <w:t>评审因素</w:t>
            </w:r>
          </w:p>
        </w:tc>
        <w:tc>
          <w:tcPr>
            <w:tcW w:w="4820" w:type="dxa"/>
            <w:noWrap w:val="0"/>
            <w:tcMar>
              <w:top w:w="15" w:type="dxa"/>
              <w:left w:w="15" w:type="dxa"/>
              <w:right w:w="15" w:type="dxa"/>
            </w:tcMar>
            <w:vAlign w:val="center"/>
          </w:tcPr>
          <w:p w14:paraId="60B8E56D">
            <w:pPr>
              <w:widowControl/>
              <w:jc w:val="center"/>
              <w:rPr>
                <w:rFonts w:hint="eastAsia" w:ascii="仿宋" w:hAnsi="仿宋" w:eastAsia="仿宋" w:cs="宋体"/>
                <w:b/>
                <w:color w:val="000000"/>
                <w:kern w:val="0"/>
                <w:szCs w:val="21"/>
                <w:highlight w:val="none"/>
              </w:rPr>
            </w:pPr>
            <w:r>
              <w:rPr>
                <w:rFonts w:hint="eastAsia" w:ascii="仿宋" w:hAnsi="仿宋" w:eastAsia="仿宋" w:cs="宋体"/>
                <w:b/>
                <w:color w:val="000000"/>
                <w:kern w:val="0"/>
                <w:szCs w:val="21"/>
                <w:highlight w:val="none"/>
              </w:rPr>
              <w:t>页码范围及说明</w:t>
            </w:r>
          </w:p>
        </w:tc>
      </w:tr>
      <w:tr w14:paraId="74C36D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1" w:hRule="atLeast"/>
          <w:jc w:val="center"/>
        </w:trPr>
        <w:tc>
          <w:tcPr>
            <w:tcW w:w="729" w:type="dxa"/>
            <w:noWrap w:val="0"/>
            <w:tcMar>
              <w:top w:w="15" w:type="dxa"/>
              <w:left w:w="15" w:type="dxa"/>
              <w:right w:w="15" w:type="dxa"/>
            </w:tcMar>
            <w:vAlign w:val="center"/>
          </w:tcPr>
          <w:p w14:paraId="7589F915">
            <w:pPr>
              <w:widowControl/>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kern w:val="0"/>
                <w:szCs w:val="21"/>
                <w:highlight w:val="none"/>
                <w:lang w:bidi="ar"/>
              </w:rPr>
              <w:t>1</w:t>
            </w:r>
          </w:p>
        </w:tc>
        <w:tc>
          <w:tcPr>
            <w:tcW w:w="1696" w:type="dxa"/>
            <w:vMerge w:val="restart"/>
            <w:noWrap w:val="0"/>
            <w:tcMar>
              <w:top w:w="15" w:type="dxa"/>
              <w:left w:w="15" w:type="dxa"/>
              <w:right w:w="15" w:type="dxa"/>
            </w:tcMar>
            <w:vAlign w:val="center"/>
          </w:tcPr>
          <w:p w14:paraId="58852582">
            <w:pPr>
              <w:widowControl/>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kern w:val="0"/>
                <w:szCs w:val="21"/>
                <w:highlight w:val="none"/>
                <w:lang w:bidi="ar"/>
              </w:rPr>
              <w:t>商务得分</w:t>
            </w:r>
          </w:p>
          <w:p w14:paraId="7EE81786">
            <w:pPr>
              <w:widowControl/>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kern w:val="0"/>
                <w:szCs w:val="21"/>
                <w:highlight w:val="none"/>
                <w:lang w:bidi="ar"/>
              </w:rPr>
              <w:t>（XX分）</w:t>
            </w:r>
          </w:p>
        </w:tc>
        <w:tc>
          <w:tcPr>
            <w:tcW w:w="2268" w:type="dxa"/>
            <w:noWrap w:val="0"/>
            <w:vAlign w:val="center"/>
          </w:tcPr>
          <w:p w14:paraId="1D484440">
            <w:pPr>
              <w:widowControl/>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kern w:val="0"/>
                <w:szCs w:val="21"/>
                <w:highlight w:val="none"/>
                <w:lang w:bidi="ar"/>
              </w:rPr>
              <w:t>综合实力</w:t>
            </w:r>
          </w:p>
          <w:p w14:paraId="3FA1ED0B">
            <w:pPr>
              <w:widowControl/>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kern w:val="0"/>
                <w:szCs w:val="21"/>
                <w:highlight w:val="none"/>
                <w:lang w:bidi="ar"/>
              </w:rPr>
              <w:t>（XX分）</w:t>
            </w:r>
          </w:p>
        </w:tc>
        <w:tc>
          <w:tcPr>
            <w:tcW w:w="4820" w:type="dxa"/>
            <w:noWrap w:val="0"/>
            <w:tcMar>
              <w:top w:w="15" w:type="dxa"/>
              <w:left w:w="15" w:type="dxa"/>
              <w:right w:w="15" w:type="dxa"/>
            </w:tcMar>
            <w:vAlign w:val="center"/>
          </w:tcPr>
          <w:p w14:paraId="6934717F">
            <w:pPr>
              <w:widowControl/>
              <w:adjustRightInd w:val="0"/>
              <w:snapToGrid w:val="0"/>
              <w:rPr>
                <w:rFonts w:hint="eastAsia" w:ascii="仿宋" w:hAnsi="仿宋" w:eastAsia="仿宋" w:cs="宋体"/>
                <w:color w:val="000000"/>
                <w:kern w:val="0"/>
                <w:szCs w:val="21"/>
                <w:highlight w:val="none"/>
              </w:rPr>
            </w:pPr>
            <w:r>
              <w:rPr>
                <w:rFonts w:hint="eastAsia" w:ascii="仿宋" w:hAnsi="仿宋" w:eastAsia="仿宋" w:cs="宋体"/>
                <w:color w:val="000000"/>
                <w:kern w:val="0"/>
                <w:szCs w:val="21"/>
                <w:highlight w:val="none"/>
              </w:rPr>
              <w:t>说明：XX</w:t>
            </w:r>
          </w:p>
          <w:p w14:paraId="765C60AC">
            <w:pPr>
              <w:rPr>
                <w:rStyle w:val="118"/>
                <w:rFonts w:hint="default" w:cs="宋体"/>
                <w:color w:val="000000"/>
                <w:highlight w:val="none"/>
                <w:lang w:bidi="ar"/>
              </w:rPr>
            </w:pPr>
            <w:r>
              <w:rPr>
                <w:rFonts w:hint="eastAsia" w:ascii="仿宋" w:hAnsi="仿宋" w:eastAsia="仿宋" w:cs="宋体"/>
                <w:color w:val="000000"/>
                <w:kern w:val="0"/>
                <w:szCs w:val="21"/>
                <w:highlight w:val="none"/>
              </w:rPr>
              <w:t>详见N-M页</w:t>
            </w:r>
          </w:p>
        </w:tc>
      </w:tr>
      <w:tr w14:paraId="2F5A13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0" w:hRule="atLeast"/>
          <w:jc w:val="center"/>
        </w:trPr>
        <w:tc>
          <w:tcPr>
            <w:tcW w:w="729" w:type="dxa"/>
            <w:noWrap w:val="0"/>
            <w:tcMar>
              <w:top w:w="15" w:type="dxa"/>
              <w:left w:w="15" w:type="dxa"/>
              <w:right w:w="15" w:type="dxa"/>
            </w:tcMar>
            <w:vAlign w:val="center"/>
          </w:tcPr>
          <w:p w14:paraId="4DF69AA8">
            <w:pPr>
              <w:widowControl/>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kern w:val="0"/>
                <w:szCs w:val="21"/>
                <w:highlight w:val="none"/>
                <w:lang w:bidi="ar"/>
              </w:rPr>
              <w:t>2</w:t>
            </w:r>
          </w:p>
        </w:tc>
        <w:tc>
          <w:tcPr>
            <w:tcW w:w="1696" w:type="dxa"/>
            <w:vMerge w:val="continue"/>
            <w:noWrap w:val="0"/>
            <w:tcMar>
              <w:top w:w="15" w:type="dxa"/>
              <w:left w:w="15" w:type="dxa"/>
              <w:right w:w="15" w:type="dxa"/>
            </w:tcMar>
            <w:vAlign w:val="center"/>
          </w:tcPr>
          <w:p w14:paraId="68C6671F">
            <w:pPr>
              <w:widowControl/>
              <w:jc w:val="center"/>
              <w:textAlignment w:val="center"/>
              <w:rPr>
                <w:rFonts w:hint="eastAsia" w:ascii="仿宋" w:hAnsi="仿宋" w:eastAsia="仿宋" w:cs="宋体"/>
                <w:color w:val="000000"/>
                <w:kern w:val="0"/>
                <w:szCs w:val="21"/>
                <w:highlight w:val="none"/>
                <w:lang w:bidi="ar"/>
              </w:rPr>
            </w:pPr>
          </w:p>
        </w:tc>
        <w:tc>
          <w:tcPr>
            <w:tcW w:w="2268" w:type="dxa"/>
            <w:noWrap w:val="0"/>
            <w:vAlign w:val="center"/>
          </w:tcPr>
          <w:p w14:paraId="021DF2EB">
            <w:pPr>
              <w:widowControl/>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kern w:val="0"/>
                <w:szCs w:val="21"/>
                <w:highlight w:val="none"/>
                <w:lang w:bidi="ar"/>
              </w:rPr>
              <w:t>同类业绩</w:t>
            </w:r>
          </w:p>
          <w:p w14:paraId="7CE2F36A">
            <w:pPr>
              <w:widowControl/>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kern w:val="0"/>
                <w:szCs w:val="21"/>
                <w:highlight w:val="none"/>
                <w:lang w:bidi="ar"/>
              </w:rPr>
              <w:t>（XX分）</w:t>
            </w:r>
          </w:p>
        </w:tc>
        <w:tc>
          <w:tcPr>
            <w:tcW w:w="4820" w:type="dxa"/>
            <w:noWrap w:val="0"/>
            <w:tcMar>
              <w:top w:w="15" w:type="dxa"/>
              <w:left w:w="15" w:type="dxa"/>
              <w:right w:w="15" w:type="dxa"/>
            </w:tcMar>
            <w:vAlign w:val="center"/>
          </w:tcPr>
          <w:p w14:paraId="6F2DCC38">
            <w:pPr>
              <w:rPr>
                <w:rStyle w:val="118"/>
                <w:rFonts w:hint="default" w:cs="宋体"/>
                <w:color w:val="000000"/>
                <w:highlight w:val="none"/>
                <w:lang w:bidi="ar"/>
              </w:rPr>
            </w:pPr>
          </w:p>
        </w:tc>
      </w:tr>
    </w:tbl>
    <w:p w14:paraId="25AFBAFD">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br w:type="page"/>
      </w:r>
    </w:p>
    <w:p w14:paraId="2F5FB38D">
      <w:pPr>
        <w:pStyle w:val="5"/>
        <w:numPr>
          <w:ilvl w:val="0"/>
          <w:numId w:val="0"/>
        </w:numPr>
        <w:spacing w:before="0" w:line="440" w:lineRule="exact"/>
        <w:rPr>
          <w:rFonts w:hint="eastAsia" w:ascii="仿宋" w:hAnsi="仿宋" w:eastAsia="仿宋" w:cs="仿宋"/>
          <w:color w:val="000000"/>
          <w:sz w:val="24"/>
          <w:szCs w:val="24"/>
          <w:highlight w:val="none"/>
        </w:rPr>
      </w:pPr>
      <w:bookmarkStart w:id="255" w:name="_Toc24401"/>
      <w:r>
        <w:rPr>
          <w:rFonts w:hint="eastAsia" w:ascii="仿宋" w:hAnsi="仿宋" w:eastAsia="仿宋" w:cs="仿宋"/>
          <w:color w:val="000000"/>
          <w:sz w:val="24"/>
          <w:szCs w:val="24"/>
          <w:highlight w:val="none"/>
        </w:rPr>
        <w:t>（一）响应函</w:t>
      </w:r>
      <w:bookmarkEnd w:id="255"/>
    </w:p>
    <w:p w14:paraId="0DDCAA59">
      <w:pPr>
        <w:pStyle w:val="157"/>
        <w:spacing w:line="440" w:lineRule="exact"/>
        <w:rPr>
          <w:rFonts w:hint="eastAsia" w:ascii="仿宋" w:hAnsi="仿宋" w:eastAsia="仿宋" w:cs="Cambria Math"/>
          <w:color w:val="000000"/>
          <w:sz w:val="24"/>
          <w:szCs w:val="24"/>
          <w:highlight w:val="none"/>
          <w:u w:val="single"/>
        </w:rPr>
      </w:pPr>
      <w:r>
        <w:rPr>
          <w:rFonts w:hint="eastAsia" w:ascii="仿宋" w:hAnsi="仿宋" w:eastAsia="仿宋" w:cs="Cambria Math"/>
          <w:color w:val="000000"/>
          <w:sz w:val="24"/>
          <w:szCs w:val="24"/>
          <w:highlight w:val="none"/>
          <w:u w:val="single"/>
        </w:rPr>
        <w:t>致：</w:t>
      </w:r>
      <w:r>
        <w:rPr>
          <w:rFonts w:hint="eastAsia" w:ascii="仿宋" w:hAnsi="仿宋" w:eastAsia="仿宋" w:cs="Cambria Math"/>
          <w:color w:val="000000"/>
          <w:sz w:val="24"/>
          <w:szCs w:val="24"/>
          <w:highlight w:val="none"/>
          <w:u w:val="single"/>
          <w:lang w:eastAsia="zh-CN"/>
        </w:rPr>
        <w:t>（</w:t>
      </w:r>
      <w:r>
        <w:rPr>
          <w:rFonts w:hint="eastAsia" w:ascii="仿宋" w:hAnsi="仿宋" w:eastAsia="仿宋" w:cs="Cambria Math"/>
          <w:color w:val="000000"/>
          <w:sz w:val="24"/>
          <w:szCs w:val="24"/>
          <w:highlight w:val="none"/>
          <w:u w:val="single"/>
          <w:lang w:val="en-US" w:eastAsia="zh-CN"/>
        </w:rPr>
        <w:t>采购人名称</w:t>
      </w:r>
      <w:r>
        <w:rPr>
          <w:rFonts w:hint="eastAsia" w:ascii="仿宋" w:hAnsi="仿宋" w:eastAsia="仿宋" w:cs="Cambria Math"/>
          <w:color w:val="000000"/>
          <w:sz w:val="24"/>
          <w:szCs w:val="24"/>
          <w:highlight w:val="none"/>
          <w:u w:val="single"/>
          <w:lang w:eastAsia="zh-CN"/>
        </w:rPr>
        <w:t>）</w:t>
      </w:r>
      <w:r>
        <w:rPr>
          <w:rFonts w:hint="eastAsia" w:ascii="仿宋" w:hAnsi="仿宋" w:eastAsia="仿宋" w:cs="Cambria Math"/>
          <w:color w:val="000000"/>
          <w:sz w:val="24"/>
          <w:szCs w:val="24"/>
          <w:highlight w:val="none"/>
          <w:u w:val="single"/>
        </w:rPr>
        <w:t xml:space="preserve">     </w:t>
      </w:r>
    </w:p>
    <w:p w14:paraId="0E176BC0">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u w:val="single"/>
        </w:rPr>
        <w:t xml:space="preserve">   （供应商名称）   </w:t>
      </w:r>
      <w:r>
        <w:rPr>
          <w:rFonts w:hint="eastAsia" w:ascii="仿宋" w:hAnsi="仿宋" w:eastAsia="仿宋" w:cs="Cambria Math"/>
          <w:color w:val="000000"/>
          <w:kern w:val="0"/>
          <w:sz w:val="24"/>
          <w:highlight w:val="none"/>
        </w:rPr>
        <w:t>（以下称“我方”）已仔细研究了</w:t>
      </w:r>
      <w:r>
        <w:rPr>
          <w:rFonts w:hint="eastAsia" w:ascii="仿宋" w:hAnsi="仿宋" w:eastAsia="仿宋" w:cs="Cambria Math"/>
          <w:color w:val="000000"/>
          <w:kern w:val="0"/>
          <w:sz w:val="24"/>
          <w:highlight w:val="none"/>
          <w:u w:val="single"/>
        </w:rPr>
        <w:t xml:space="preserve"> </w:t>
      </w:r>
      <w:r>
        <w:rPr>
          <w:rFonts w:ascii="仿宋" w:hAnsi="仿宋" w:eastAsia="仿宋" w:cs="Cambria Math"/>
          <w:color w:val="000000"/>
          <w:kern w:val="0"/>
          <w:sz w:val="24"/>
          <w:highlight w:val="none"/>
          <w:u w:val="single"/>
        </w:rPr>
        <w:t xml:space="preserve"> </w:t>
      </w:r>
      <w:r>
        <w:rPr>
          <w:rFonts w:hint="eastAsia" w:ascii="仿宋" w:hAnsi="仿宋" w:eastAsia="仿宋" w:cs="Cambria Math"/>
          <w:color w:val="000000"/>
          <w:kern w:val="0"/>
          <w:sz w:val="24"/>
          <w:highlight w:val="none"/>
          <w:u w:val="single"/>
        </w:rPr>
        <w:t xml:space="preserve">（项目名称）    </w:t>
      </w:r>
      <w:r>
        <w:rPr>
          <w:rFonts w:hint="eastAsia" w:ascii="仿宋" w:hAnsi="仿宋" w:eastAsia="仿宋" w:cs="Cambria Math"/>
          <w:color w:val="000000"/>
          <w:kern w:val="0"/>
          <w:sz w:val="24"/>
          <w:highlight w:val="none"/>
        </w:rPr>
        <w:t>竞争性磋商文件的全部内容，包括澄清或者修改文件以及有关附件，我方将严格按照竞争性磋商文件要求递交符合要求的全部磋商响应文件。</w:t>
      </w:r>
    </w:p>
    <w:p w14:paraId="1D924E0D">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rPr>
        <w:t>现我方承诺如下内容：</w:t>
      </w:r>
    </w:p>
    <w:p w14:paraId="4CA82F0C">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rPr>
        <w:t>1. 本响应函及磋商响应文件自磋商响应文件提交截止日起有效期为</w:t>
      </w:r>
      <w:r>
        <w:rPr>
          <w:rFonts w:hint="eastAsia" w:ascii="仿宋" w:hAnsi="仿宋" w:eastAsia="仿宋" w:cs="Cambria Math"/>
          <w:color w:val="000000"/>
          <w:kern w:val="0"/>
          <w:sz w:val="24"/>
          <w:highlight w:val="none"/>
          <w:u w:val="single"/>
          <w:lang w:val="en-US" w:eastAsia="zh-CN"/>
        </w:rPr>
        <w:t>XX</w:t>
      </w:r>
      <w:r>
        <w:rPr>
          <w:rFonts w:hint="eastAsia" w:ascii="仿宋" w:hAnsi="仿宋" w:eastAsia="仿宋" w:cs="Cambria Math"/>
          <w:color w:val="000000"/>
          <w:kern w:val="0"/>
          <w:sz w:val="24"/>
          <w:highlight w:val="none"/>
          <w:u w:val="single"/>
        </w:rPr>
        <w:t>天</w:t>
      </w:r>
      <w:r>
        <w:rPr>
          <w:rFonts w:hint="eastAsia" w:ascii="仿宋" w:hAnsi="仿宋" w:eastAsia="仿宋" w:cs="Cambria Math"/>
          <w:color w:val="000000"/>
          <w:kern w:val="0"/>
          <w:sz w:val="24"/>
          <w:highlight w:val="none"/>
        </w:rPr>
        <w:t>，我方承诺在响应有效期内不修改、撤销磋商响应文件。</w:t>
      </w:r>
    </w:p>
    <w:p w14:paraId="44F77E41">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rPr>
        <w:t>2. 随同本响应函提交磋商保证</w:t>
      </w:r>
      <w:r>
        <w:rPr>
          <w:rFonts w:hint="eastAsia" w:ascii="仿宋" w:hAnsi="仿宋" w:eastAsia="仿宋" w:cs="Cambria Math"/>
          <w:color w:val="000000"/>
          <w:kern w:val="0"/>
          <w:sz w:val="24"/>
          <w:highlight w:val="none"/>
          <w:lang w:val="en-US" w:eastAsia="zh-CN"/>
        </w:rPr>
        <w:t>金</w:t>
      </w:r>
      <w:r>
        <w:rPr>
          <w:rFonts w:hint="eastAsia" w:ascii="仿宋" w:hAnsi="仿宋" w:eastAsia="仿宋" w:cs="Cambria Math"/>
          <w:color w:val="000000"/>
          <w:kern w:val="0"/>
          <w:sz w:val="24"/>
          <w:highlight w:val="none"/>
        </w:rPr>
        <w:t>一份。</w:t>
      </w:r>
      <w:r>
        <w:rPr>
          <w:rFonts w:hint="eastAsia" w:ascii="仿宋" w:hAnsi="仿宋" w:eastAsia="仿宋" w:cs="仿宋"/>
          <w:b w:val="0"/>
          <w:bCs w:val="0"/>
          <w:color w:val="FF0000"/>
          <w:sz w:val="24"/>
          <w:szCs w:val="24"/>
          <w:highlight w:val="none"/>
        </w:rPr>
        <w:t>（可以根据项目实际情况选择是否设置）</w:t>
      </w:r>
    </w:p>
    <w:p w14:paraId="2553E15F">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rPr>
        <w:t>3. 我方承诺提供磋商过程中可能要求的澄清、说明、补正或者算术性错误修正确认，并同意我方提供的以上材料构成我方响应文件的组成部分。</w:t>
      </w:r>
    </w:p>
    <w:p w14:paraId="326DA6DD">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rPr>
        <w:t>4. 我方同意提供贵方可能要求的与我方响应文件有关的一切数据、资料、证明原件、证件原件，并完全理解贵方不一定接受最低价的响应。</w:t>
      </w:r>
    </w:p>
    <w:p w14:paraId="58A6416A">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rPr>
        <w:t>5．我方承诺对在本次采购活动过程中所获知贵方一切商业秘密保密，不会向任何第三方泄露，不会用于本次采购活动之外的任何其他目的。</w:t>
      </w:r>
    </w:p>
    <w:p w14:paraId="4D22E50B">
      <w:pPr>
        <w:widowControl/>
        <w:spacing w:line="440" w:lineRule="exact"/>
        <w:ind w:firstLine="420"/>
        <w:rPr>
          <w:rFonts w:hint="eastAsia" w:ascii="仿宋" w:hAnsi="仿宋" w:eastAsia="仿宋" w:cs="Cambria Math"/>
          <w:color w:val="000000"/>
          <w:kern w:val="0"/>
          <w:sz w:val="24"/>
          <w:highlight w:val="none"/>
        </w:rPr>
      </w:pPr>
      <w:r>
        <w:rPr>
          <w:rFonts w:ascii="仿宋" w:hAnsi="仿宋" w:eastAsia="仿宋" w:cs="宋体"/>
          <w:color w:val="000000"/>
          <w:kern w:val="0"/>
          <w:sz w:val="24"/>
          <w:highlight w:val="none"/>
        </w:rPr>
        <w:t>6</w:t>
      </w:r>
      <w:r>
        <w:rPr>
          <w:rFonts w:hint="eastAsia" w:ascii="仿宋" w:hAnsi="仿宋" w:eastAsia="仿宋" w:cs="宋体"/>
          <w:color w:val="000000"/>
          <w:kern w:val="0"/>
          <w:sz w:val="24"/>
          <w:highlight w:val="none"/>
        </w:rPr>
        <w:t>．我方承诺对所递交的响应文件及有关材料的真实性、合法性、完整性、准确性承担法律责任。如有弄虚作假、串通投标、行贿等违法违规行为，将承担相应的法律责任，并赔偿由此给贵方造成的一切损失。</w:t>
      </w:r>
    </w:p>
    <w:p w14:paraId="704645B5">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rPr>
        <w:t>7. 如我方成交：</w:t>
      </w:r>
    </w:p>
    <w:p w14:paraId="4A6C410B">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rPr>
        <w:t>（1）我方承诺在收到成交通知书后，在成交通知书规定的期限内与贵方签订合同。</w:t>
      </w:r>
    </w:p>
    <w:p w14:paraId="37EEA895">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rPr>
        <w:t>（2）我方承诺按照竞争性磋商文件规定递交履约保证金、支付采购代理服务费。</w:t>
      </w:r>
    </w:p>
    <w:p w14:paraId="22FF5C77">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rPr>
        <w:t>（3）我方承诺按照竞争性磋商文件的规定及合同约定履行相关责任和义务。</w:t>
      </w:r>
    </w:p>
    <w:p w14:paraId="0E9E8780">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rPr>
        <w:t>（4）我方在此承诺，双方合作后可开具增值税专用发票。</w:t>
      </w:r>
    </w:p>
    <w:p w14:paraId="42D230C4">
      <w:pPr>
        <w:spacing w:line="440" w:lineRule="exact"/>
        <w:ind w:firstLine="4080" w:firstLineChars="1700"/>
        <w:jc w:val="right"/>
        <w:rPr>
          <w:rFonts w:ascii="仿宋" w:hAnsi="仿宋" w:eastAsia="仿宋" w:cs="仿宋"/>
          <w:color w:val="000000"/>
          <w:sz w:val="24"/>
          <w:highlight w:val="none"/>
        </w:rPr>
      </w:pPr>
    </w:p>
    <w:p w14:paraId="681DABA6">
      <w:pPr>
        <w:spacing w:line="440" w:lineRule="exact"/>
        <w:ind w:firstLine="4080" w:firstLineChars="1700"/>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（盖章）</w:t>
      </w:r>
    </w:p>
    <w:p w14:paraId="70582520">
      <w:pPr>
        <w:spacing w:line="440" w:lineRule="exact"/>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日期：</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年</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月</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日</w:t>
      </w:r>
    </w:p>
    <w:p w14:paraId="0DE3F682">
      <w:pPr>
        <w:pStyle w:val="5"/>
        <w:numPr>
          <w:ilvl w:val="0"/>
          <w:numId w:val="0"/>
        </w:numPr>
        <w:spacing w:before="0" w:after="0" w:line="360" w:lineRule="auto"/>
        <w:rPr>
          <w:rFonts w:hint="eastAsia" w:ascii="仿宋" w:hAnsi="仿宋" w:eastAsia="仿宋" w:cs="仿宋"/>
          <w:color w:val="000000"/>
          <w:sz w:val="24"/>
          <w:szCs w:val="24"/>
          <w:highlight w:val="none"/>
        </w:rPr>
      </w:pPr>
      <w:r>
        <w:rPr>
          <w:rFonts w:ascii="仿宋" w:hAnsi="仿宋" w:eastAsia="仿宋" w:cs="仿宋"/>
          <w:color w:val="000000"/>
          <w:sz w:val="24"/>
          <w:szCs w:val="24"/>
          <w:highlight w:val="none"/>
        </w:rPr>
        <w:br w:type="page"/>
      </w:r>
      <w:bookmarkEnd w:id="245"/>
      <w:bookmarkEnd w:id="246"/>
      <w:bookmarkEnd w:id="249"/>
      <w:bookmarkEnd w:id="250"/>
      <w:bookmarkEnd w:id="251"/>
      <w:bookmarkEnd w:id="252"/>
      <w:bookmarkEnd w:id="253"/>
      <w:bookmarkEnd w:id="254"/>
      <w:bookmarkStart w:id="256" w:name="_Toc23853"/>
      <w:r>
        <w:rPr>
          <w:rFonts w:hint="eastAsia" w:ascii="仿宋" w:hAnsi="仿宋" w:eastAsia="仿宋" w:cs="仿宋"/>
          <w:color w:val="000000"/>
          <w:sz w:val="24"/>
          <w:szCs w:val="24"/>
          <w:highlight w:val="none"/>
        </w:rPr>
        <w:t>（二）法定代表人（负责人）身份证明书</w:t>
      </w:r>
      <w:bookmarkEnd w:id="256"/>
      <w:r>
        <w:rPr>
          <w:rFonts w:hint="eastAsia" w:ascii="仿宋" w:hAnsi="仿宋" w:eastAsia="仿宋" w:cs="仿宋"/>
          <w:color w:val="000000"/>
          <w:sz w:val="24"/>
          <w:szCs w:val="24"/>
          <w:highlight w:val="none"/>
        </w:rPr>
        <w:tab/>
      </w:r>
    </w:p>
    <w:p w14:paraId="204BF4F6">
      <w:pPr>
        <w:spacing w:line="360" w:lineRule="auto"/>
        <w:jc w:val="cente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法定代表人（负责人）身份证明书</w:t>
      </w:r>
      <w:r>
        <w:rPr>
          <w:rFonts w:hint="eastAsia" w:ascii="仿宋" w:hAnsi="仿宋" w:eastAsia="仿宋" w:cs="仿宋"/>
          <w:b/>
          <w:color w:val="000000"/>
          <w:sz w:val="24"/>
          <w:highlight w:val="none"/>
        </w:rPr>
        <w:tab/>
      </w:r>
    </w:p>
    <w:p w14:paraId="5C228B4B">
      <w:pPr>
        <w:spacing w:line="360" w:lineRule="auto"/>
        <w:rPr>
          <w:rFonts w:hint="eastAsia" w:ascii="仿宋" w:hAnsi="仿宋" w:eastAsia="仿宋" w:cs="仿宋"/>
          <w:b/>
          <w:color w:val="000000"/>
          <w:sz w:val="24"/>
          <w:highlight w:val="none"/>
        </w:rPr>
      </w:pPr>
    </w:p>
    <w:p w14:paraId="6A42F941">
      <w:pPr>
        <w:widowControl/>
        <w:topLinePunct/>
        <w:spacing w:line="360" w:lineRule="auto"/>
        <w:rPr>
          <w:rFonts w:hint="eastAsia" w:ascii="仿宋" w:hAnsi="仿宋" w:eastAsia="仿宋" w:cs="仿宋"/>
          <w:color w:val="000000"/>
          <w:kern w:val="0"/>
          <w:sz w:val="24"/>
          <w:highlight w:val="none"/>
          <w:u w:val="single"/>
        </w:rPr>
      </w:pPr>
      <w:r>
        <w:rPr>
          <w:rFonts w:hint="eastAsia" w:ascii="仿宋" w:hAnsi="仿宋" w:eastAsia="仿宋" w:cs="仿宋"/>
          <w:color w:val="000000"/>
          <w:kern w:val="0"/>
          <w:sz w:val="24"/>
          <w:highlight w:val="none"/>
        </w:rPr>
        <w:t>供应商名称：</w:t>
      </w:r>
      <w:r>
        <w:rPr>
          <w:rFonts w:hint="eastAsia" w:ascii="仿宋" w:hAnsi="仿宋" w:eastAsia="仿宋" w:cs="仿宋"/>
          <w:color w:val="000000"/>
          <w:kern w:val="0"/>
          <w:sz w:val="24"/>
          <w:highlight w:val="none"/>
          <w:u w:val="single"/>
        </w:rPr>
        <w:t xml:space="preserve">                         </w:t>
      </w:r>
    </w:p>
    <w:p w14:paraId="09AAEEC8">
      <w:pPr>
        <w:widowControl/>
        <w:topLinePunct/>
        <w:spacing w:line="360" w:lineRule="auto"/>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rPr>
        <w:t>成立时间：</w:t>
      </w:r>
      <w:r>
        <w:rPr>
          <w:rFonts w:hint="eastAsia" w:ascii="仿宋" w:hAnsi="仿宋" w:eastAsia="仿宋" w:cs="仿宋"/>
          <w:color w:val="000000"/>
          <w:kern w:val="0"/>
          <w:sz w:val="24"/>
          <w:highlight w:val="none"/>
          <w:u w:val="single"/>
        </w:rPr>
        <w:t xml:space="preserve"> </w:t>
      </w:r>
      <w:r>
        <w:rPr>
          <w:rFonts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rPr>
        <w:t>年</w:t>
      </w:r>
      <w:r>
        <w:rPr>
          <w:rFonts w:hint="eastAsia"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rPr>
        <w:t>月</w:t>
      </w:r>
      <w:r>
        <w:rPr>
          <w:rFonts w:hint="eastAsia"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rPr>
        <w:t>日</w:t>
      </w:r>
    </w:p>
    <w:p w14:paraId="0E72AAC7">
      <w:pPr>
        <w:widowControl/>
        <w:topLinePunct/>
        <w:spacing w:line="360" w:lineRule="auto"/>
        <w:rPr>
          <w:rFonts w:hint="eastAsia" w:ascii="仿宋" w:hAnsi="仿宋" w:eastAsia="仿宋" w:cs="仿宋"/>
          <w:color w:val="000000"/>
          <w:kern w:val="0"/>
          <w:sz w:val="24"/>
          <w:highlight w:val="none"/>
          <w:u w:val="single"/>
        </w:rPr>
      </w:pPr>
      <w:r>
        <w:rPr>
          <w:rFonts w:hint="eastAsia" w:ascii="仿宋" w:hAnsi="仿宋" w:eastAsia="仿宋" w:cs="仿宋"/>
          <w:color w:val="000000"/>
          <w:kern w:val="0"/>
          <w:sz w:val="24"/>
          <w:highlight w:val="none"/>
        </w:rPr>
        <w:t>姓名：</w:t>
      </w:r>
      <w:r>
        <w:rPr>
          <w:rFonts w:hint="eastAsia"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rPr>
        <w:t>性别：</w:t>
      </w:r>
      <w:r>
        <w:rPr>
          <w:rFonts w:hint="eastAsia"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rPr>
        <w:t>年龄：</w:t>
      </w:r>
      <w:r>
        <w:rPr>
          <w:rFonts w:hint="eastAsia"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rPr>
        <w:t>职务：</w:t>
      </w:r>
      <w:r>
        <w:rPr>
          <w:rFonts w:hint="eastAsia" w:ascii="仿宋" w:hAnsi="仿宋" w:eastAsia="仿宋" w:cs="仿宋"/>
          <w:color w:val="000000"/>
          <w:kern w:val="0"/>
          <w:sz w:val="24"/>
          <w:highlight w:val="none"/>
          <w:u w:val="single"/>
        </w:rPr>
        <w:t xml:space="preserve">         </w:t>
      </w:r>
    </w:p>
    <w:p w14:paraId="6F0F08EC">
      <w:pPr>
        <w:widowControl/>
        <w:topLinePunct/>
        <w:spacing w:line="360" w:lineRule="auto"/>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rPr>
        <w:t>系</w:t>
      </w:r>
      <w:r>
        <w:rPr>
          <w:rFonts w:hint="eastAsia"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rPr>
        <w:t>（供应商名称）的法定代表人</w:t>
      </w:r>
      <w:r>
        <w:rPr>
          <w:rFonts w:hint="eastAsia" w:ascii="仿宋" w:hAnsi="仿宋" w:eastAsia="仿宋" w:cs="仿宋"/>
          <w:color w:val="000000"/>
          <w:sz w:val="24"/>
          <w:highlight w:val="none"/>
        </w:rPr>
        <w:t>（负责人）</w:t>
      </w:r>
      <w:r>
        <w:rPr>
          <w:rFonts w:hint="eastAsia" w:ascii="仿宋" w:hAnsi="仿宋" w:eastAsia="仿宋" w:cs="仿宋"/>
          <w:color w:val="000000"/>
          <w:kern w:val="0"/>
          <w:sz w:val="24"/>
          <w:highlight w:val="none"/>
        </w:rPr>
        <w:t>。</w:t>
      </w:r>
    </w:p>
    <w:p w14:paraId="7A467EDF">
      <w:pPr>
        <w:widowControl/>
        <w:topLinePunct/>
        <w:spacing w:line="360" w:lineRule="auto"/>
        <w:rPr>
          <w:rFonts w:ascii="仿宋" w:hAnsi="仿宋" w:eastAsia="仿宋" w:cs="仿宋"/>
          <w:color w:val="000000"/>
          <w:kern w:val="0"/>
          <w:sz w:val="24"/>
          <w:highlight w:val="none"/>
        </w:rPr>
      </w:pPr>
      <w:r>
        <w:rPr>
          <w:rFonts w:hint="eastAsia" w:ascii="仿宋" w:hAnsi="仿宋" w:eastAsia="仿宋" w:cs="仿宋"/>
          <w:color w:val="000000"/>
          <w:kern w:val="0"/>
          <w:sz w:val="24"/>
          <w:highlight w:val="none"/>
        </w:rPr>
        <w:t>特此证明。</w:t>
      </w:r>
    </w:p>
    <w:p w14:paraId="27E8992C">
      <w:pPr>
        <w:widowControl/>
        <w:topLinePunct/>
        <w:spacing w:line="360" w:lineRule="auto"/>
        <w:rPr>
          <w:rFonts w:ascii="仿宋" w:hAnsi="仿宋" w:eastAsia="仿宋" w:cs="仿宋"/>
          <w:color w:val="000000"/>
          <w:kern w:val="0"/>
          <w:sz w:val="24"/>
          <w:highlight w:val="none"/>
        </w:rPr>
      </w:pPr>
    </w:p>
    <w:p w14:paraId="7558095D">
      <w:pPr>
        <w:widowControl/>
        <w:spacing w:line="360" w:lineRule="auto"/>
        <w:rPr>
          <w:rFonts w:hint="eastAsia" w:ascii="仿宋" w:hAnsi="仿宋" w:eastAsia="仿宋" w:cs="仿宋"/>
          <w:b/>
          <w:bCs/>
          <w:color w:val="000000"/>
          <w:kern w:val="0"/>
          <w:sz w:val="24"/>
          <w:highlight w:val="none"/>
        </w:rPr>
      </w:pPr>
      <w:r>
        <w:rPr>
          <w:rFonts w:hint="eastAsia" w:ascii="仿宋" w:hAnsi="仿宋" w:eastAsia="仿宋" w:cs="仿宋"/>
          <w:b/>
          <w:bCs/>
          <w:color w:val="000000"/>
          <w:kern w:val="0"/>
          <w:sz w:val="24"/>
          <w:highlight w:val="none"/>
        </w:rPr>
        <w:t>附：法定代表人（负责人）身份证复印件（需同时提供正面及背面）。</w:t>
      </w:r>
    </w:p>
    <w:p w14:paraId="1DD319E6">
      <w:pPr>
        <w:widowControl/>
        <w:spacing w:line="360" w:lineRule="auto"/>
        <w:rPr>
          <w:rFonts w:hint="eastAsia" w:ascii="仿宋" w:hAnsi="仿宋" w:eastAsia="仿宋" w:cs="仿宋"/>
          <w:color w:val="000000"/>
          <w:kern w:val="0"/>
          <w:highlight w:val="none"/>
        </w:rPr>
      </w:pPr>
      <w:r>
        <w:rPr>
          <w:rFonts w:hint="eastAsia" w:ascii="仿宋" w:hAnsi="仿宋" w:eastAsia="仿宋" w:cs="仿宋"/>
          <w:color w:val="000000"/>
          <w:kern w:val="0"/>
          <w:highlight w:val="none"/>
        </w:rPr>
        <mc:AlternateContent>
          <mc:Choice Requires="wps">
            <w:drawing>
              <wp:anchor distT="0" distB="0" distL="114300" distR="114300" simplePos="0" relativeHeight="251661312"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2" name="矩形 37"/>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7" o:spid="_x0000_s1026" o:spt="1" style="position:absolute;left:0pt;margin-left:13.75pt;margin-top:8.65pt;height:168pt;width:220.7pt;z-index:251661312;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LzCffdkAAAAJAQAADwAAAAAAAAAB&#10;ACAAAAAiAAAAZHJzL2Rvd25yZXYueG1sUEsBAhQAFAAAAAgAh07iQNHpmKgPAgAALwQAAA4AAAAA&#10;AAAAAQAgAAAAKAEAAGRycy9lMm9Eb2MueG1sUEsFBgAAAAAGAAYAWQEAAKkFAAAAAA==&#10;">
                <v:fill on="t" focussize="0,0"/>
                <v:stroke weight="1.25pt" color="#739CC3" joinstyle="miter"/>
                <v:imagedata o:title=""/>
                <o:lock v:ext="edit" aspectratio="f"/>
              </v:rect>
            </w:pict>
          </mc:Fallback>
        </mc:AlternateContent>
      </w:r>
      <w:r>
        <w:rPr>
          <w:rFonts w:hint="eastAsia" w:ascii="仿宋" w:hAnsi="仿宋" w:eastAsia="仿宋" w:cs="仿宋"/>
          <w:color w:val="000000"/>
          <w:highlight w:val="none"/>
        </w:rPr>
        <mc:AlternateContent>
          <mc:Choice Requires="wps">
            <w:drawing>
              <wp:anchor distT="0" distB="0" distL="114300" distR="114300" simplePos="0" relativeHeight="251662336"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3" name="矩形 38"/>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8" o:spid="_x0000_s1026" o:spt="1" style="position:absolute;left:0pt;margin-left:234.45pt;margin-top:8.65pt;height:168pt;width:220.7pt;z-index:251662336;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vELUltkAAAAKAQAADwAAAAAAAAAB&#10;ACAAAAAiAAAAZHJzL2Rvd25yZXYueG1sUEsBAhQAFAAAAAgAh07iQIlvdOQPAgAALwQAAA4AAAAA&#10;AAAAAQAgAAAAKAEAAGRycy9lMm9Eb2MueG1sUEsFBgAAAAAGAAYAWQEAAKkFAAAAAA==&#10;">
                <v:fill on="t" focussize="0,0"/>
                <v:stroke weight="1.25pt" color="#739CC3" joinstyle="miter"/>
                <v:imagedata o:title=""/>
                <o:lock v:ext="edit" aspectratio="f"/>
              </v:rect>
            </w:pict>
          </mc:Fallback>
        </mc:AlternateContent>
      </w:r>
    </w:p>
    <w:p w14:paraId="00407AE2">
      <w:pPr>
        <w:pStyle w:val="157"/>
        <w:spacing w:line="440" w:lineRule="atLeast"/>
        <w:ind w:firstLine="480"/>
        <w:jc w:val="left"/>
        <w:rPr>
          <w:rFonts w:hint="eastAsia" w:ascii="仿宋" w:hAnsi="仿宋" w:eastAsia="仿宋" w:cs="仿宋"/>
          <w:color w:val="000000"/>
          <w:highlight w:val="none"/>
        </w:rPr>
      </w:pPr>
    </w:p>
    <w:p w14:paraId="69885219">
      <w:pPr>
        <w:pStyle w:val="157"/>
        <w:spacing w:line="440" w:lineRule="atLeast"/>
        <w:ind w:firstLine="480"/>
        <w:jc w:val="left"/>
        <w:rPr>
          <w:rFonts w:hint="eastAsia" w:ascii="仿宋" w:hAnsi="仿宋" w:eastAsia="仿宋" w:cs="仿宋"/>
          <w:color w:val="000000"/>
          <w:highlight w:val="none"/>
        </w:rPr>
      </w:pPr>
    </w:p>
    <w:p w14:paraId="6D5E7E87">
      <w:pPr>
        <w:pStyle w:val="157"/>
        <w:spacing w:line="440" w:lineRule="atLeast"/>
        <w:ind w:firstLine="480"/>
        <w:jc w:val="left"/>
        <w:rPr>
          <w:rFonts w:hint="eastAsia" w:ascii="仿宋" w:hAnsi="仿宋" w:eastAsia="仿宋" w:cs="仿宋"/>
          <w:color w:val="000000"/>
          <w:highlight w:val="none"/>
        </w:rPr>
      </w:pPr>
    </w:p>
    <w:p w14:paraId="211378EB">
      <w:pPr>
        <w:spacing w:line="360" w:lineRule="auto"/>
        <w:ind w:firstLine="610"/>
        <w:rPr>
          <w:rFonts w:hint="eastAsia" w:ascii="仿宋" w:hAnsi="仿宋" w:eastAsia="仿宋" w:cs="仿宋"/>
          <w:color w:val="000000"/>
          <w:sz w:val="24"/>
          <w:highlight w:val="none"/>
        </w:rPr>
      </w:pPr>
    </w:p>
    <w:p w14:paraId="37CDA7A6">
      <w:pPr>
        <w:tabs>
          <w:tab w:val="left" w:pos="720"/>
          <w:tab w:val="left" w:pos="900"/>
        </w:tabs>
        <w:spacing w:line="360" w:lineRule="auto"/>
        <w:rPr>
          <w:rFonts w:hint="eastAsia" w:ascii="仿宋" w:hAnsi="仿宋" w:eastAsia="仿宋" w:cs="仿宋"/>
          <w:color w:val="000000"/>
          <w:sz w:val="24"/>
          <w:highlight w:val="none"/>
        </w:rPr>
      </w:pPr>
    </w:p>
    <w:p w14:paraId="2DDA2845">
      <w:pPr>
        <w:spacing w:line="440" w:lineRule="exact"/>
        <w:ind w:firstLine="4080" w:firstLineChars="1700"/>
        <w:jc w:val="right"/>
        <w:rPr>
          <w:rFonts w:hint="eastAsia" w:ascii="仿宋" w:hAnsi="仿宋" w:eastAsia="仿宋" w:cs="仿宋"/>
          <w:color w:val="000000"/>
          <w:sz w:val="24"/>
          <w:highlight w:val="none"/>
        </w:rPr>
      </w:pPr>
    </w:p>
    <w:p w14:paraId="3569990F">
      <w:pPr>
        <w:wordWrap w:val="0"/>
        <w:spacing w:line="440" w:lineRule="exact"/>
        <w:ind w:firstLine="4080" w:firstLineChars="1700"/>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sz w:val="24"/>
          <w:highlight w:val="none"/>
        </w:rPr>
        <w:t xml:space="preserve">  </w:t>
      </w:r>
    </w:p>
    <w:p w14:paraId="76D738C7">
      <w:pPr>
        <w:spacing w:line="440" w:lineRule="exact"/>
        <w:ind w:firstLine="4080" w:firstLineChars="1700"/>
        <w:jc w:val="right"/>
        <w:rPr>
          <w:rFonts w:ascii="仿宋" w:hAnsi="仿宋" w:eastAsia="仿宋" w:cs="仿宋"/>
          <w:color w:val="000000"/>
          <w:sz w:val="24"/>
          <w:highlight w:val="none"/>
        </w:rPr>
      </w:pPr>
      <w:r>
        <w:rPr>
          <w:rFonts w:ascii="仿宋" w:hAnsi="仿宋" w:eastAsia="仿宋" w:cs="仿宋"/>
          <w:color w:val="000000"/>
          <w:sz w:val="24"/>
          <w:highlight w:val="none"/>
        </w:rPr>
        <w:t xml:space="preserve">    </w:t>
      </w:r>
    </w:p>
    <w:p w14:paraId="3D380790">
      <w:pPr>
        <w:spacing w:line="440" w:lineRule="exact"/>
        <w:ind w:firstLine="4080" w:firstLineChars="1700"/>
        <w:jc w:val="right"/>
        <w:rPr>
          <w:rFonts w:ascii="仿宋" w:hAnsi="仿宋" w:eastAsia="仿宋" w:cs="仿宋"/>
          <w:color w:val="000000"/>
          <w:sz w:val="24"/>
          <w:highlight w:val="none"/>
        </w:rPr>
      </w:pPr>
      <w:r>
        <w:rPr>
          <w:rFonts w:ascii="仿宋" w:hAnsi="仿宋" w:eastAsia="仿宋" w:cs="仿宋"/>
          <w:color w:val="000000"/>
          <w:sz w:val="24"/>
          <w:highlight w:val="none"/>
        </w:rPr>
        <w:t xml:space="preserve"> </w:t>
      </w:r>
      <w:r>
        <w:rPr>
          <w:rFonts w:hint="eastAsia" w:ascii="仿宋" w:hAnsi="仿宋" w:eastAsia="仿宋" w:cs="仿宋"/>
          <w:color w:val="000000"/>
          <w:sz w:val="24"/>
          <w:highlight w:val="none"/>
        </w:rPr>
        <w:t xml:space="preserve"> </w:t>
      </w:r>
      <w:r>
        <w:rPr>
          <w:rFonts w:ascii="仿宋" w:hAnsi="仿宋" w:eastAsia="仿宋" w:cs="仿宋"/>
          <w:color w:val="000000"/>
          <w:sz w:val="24"/>
          <w:highlight w:val="none"/>
        </w:rPr>
        <w:t xml:space="preserve">   </w:t>
      </w:r>
    </w:p>
    <w:p w14:paraId="14DF8274">
      <w:pPr>
        <w:spacing w:line="440" w:lineRule="exact"/>
        <w:ind w:firstLine="4080" w:firstLineChars="1700"/>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（盖章）</w:t>
      </w:r>
    </w:p>
    <w:p w14:paraId="1891ECF5">
      <w:pPr>
        <w:spacing w:line="440" w:lineRule="exact"/>
        <w:jc w:val="right"/>
        <w:rPr>
          <w:rFonts w:hint="eastAsia" w:ascii="仿宋" w:hAnsi="仿宋" w:eastAsia="仿宋" w:cs="仿宋"/>
          <w:b/>
          <w:bCs/>
          <w:color w:val="000000"/>
          <w:sz w:val="24"/>
          <w:highlight w:val="none"/>
        </w:rPr>
      </w:pPr>
      <w:r>
        <w:rPr>
          <w:rFonts w:hint="eastAsia" w:ascii="仿宋" w:hAnsi="仿宋" w:eastAsia="仿宋" w:cs="仿宋"/>
          <w:color w:val="000000"/>
          <w:sz w:val="24"/>
          <w:highlight w:val="none"/>
        </w:rPr>
        <w:t>日期：</w:t>
      </w:r>
      <w:r>
        <w:rPr>
          <w:rFonts w:hint="eastAsia" w:ascii="仿宋" w:hAnsi="仿宋" w:eastAsia="仿宋" w:cs="仿宋"/>
          <w:color w:val="000000"/>
          <w:sz w:val="24"/>
          <w:highlight w:val="none"/>
          <w:u w:val="single"/>
        </w:rPr>
        <w:t xml:space="preserve"> </w:t>
      </w:r>
      <w:r>
        <w:rPr>
          <w:rFonts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年</w:t>
      </w:r>
      <w:r>
        <w:rPr>
          <w:rFonts w:hint="eastAsia" w:ascii="仿宋" w:hAnsi="仿宋" w:eastAsia="仿宋" w:cs="仿宋"/>
          <w:color w:val="000000"/>
          <w:sz w:val="24"/>
          <w:highlight w:val="none"/>
          <w:u w:val="single"/>
        </w:rPr>
        <w:t xml:space="preserve">   </w:t>
      </w:r>
      <w:r>
        <w:rPr>
          <w:rFonts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月</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日</w:t>
      </w:r>
    </w:p>
    <w:p w14:paraId="25EF2462">
      <w:pPr>
        <w:tabs>
          <w:tab w:val="left" w:pos="720"/>
          <w:tab w:val="left" w:pos="900"/>
        </w:tabs>
        <w:spacing w:line="360" w:lineRule="auto"/>
        <w:ind w:left="1078"/>
        <w:rPr>
          <w:rFonts w:hint="eastAsia" w:ascii="仿宋" w:hAnsi="仿宋" w:eastAsia="仿宋" w:cs="仿宋"/>
          <w:color w:val="000000"/>
          <w:sz w:val="24"/>
          <w:highlight w:val="none"/>
        </w:rPr>
      </w:pPr>
    </w:p>
    <w:p w14:paraId="5C350FD8">
      <w:pPr>
        <w:tabs>
          <w:tab w:val="left" w:pos="720"/>
          <w:tab w:val="left" w:pos="900"/>
        </w:tabs>
        <w:spacing w:line="360" w:lineRule="auto"/>
        <w:ind w:left="1078"/>
        <w:rPr>
          <w:rFonts w:hint="eastAsia" w:ascii="仿宋" w:hAnsi="仿宋" w:eastAsia="仿宋" w:cs="仿宋"/>
          <w:color w:val="000000"/>
          <w:sz w:val="24"/>
          <w:highlight w:val="none"/>
        </w:rPr>
      </w:pPr>
    </w:p>
    <w:p w14:paraId="4674C580">
      <w:pPr>
        <w:pStyle w:val="5"/>
        <w:numPr>
          <w:ilvl w:val="0"/>
          <w:numId w:val="0"/>
        </w:numPr>
        <w:spacing w:before="0"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highlight w:val="none"/>
        </w:rPr>
        <w:br w:type="page"/>
      </w:r>
      <w:bookmarkStart w:id="257" w:name="_Toc26267"/>
      <w:bookmarkStart w:id="258" w:name="_Toc444891355"/>
      <w:bookmarkStart w:id="259" w:name="_Toc287600130"/>
      <w:bookmarkStart w:id="260" w:name="_Toc20707"/>
      <w:bookmarkStart w:id="261" w:name="_Toc19783361"/>
      <w:bookmarkStart w:id="262" w:name="_Toc517281838"/>
      <w:bookmarkStart w:id="263" w:name="_Toc4426"/>
      <w:bookmarkStart w:id="264" w:name="_Toc5582"/>
      <w:bookmarkStart w:id="265" w:name="_Toc12928"/>
      <w:r>
        <w:rPr>
          <w:rFonts w:hint="eastAsia" w:ascii="仿宋" w:hAnsi="仿宋" w:eastAsia="仿宋" w:cs="仿宋"/>
          <w:color w:val="000000"/>
          <w:sz w:val="24"/>
          <w:szCs w:val="24"/>
          <w:highlight w:val="none"/>
        </w:rPr>
        <w:t>（三）法定代表人（负责人）授权委托书</w:t>
      </w:r>
      <w:bookmarkEnd w:id="257"/>
      <w:bookmarkEnd w:id="258"/>
      <w:bookmarkEnd w:id="259"/>
      <w:bookmarkEnd w:id="260"/>
      <w:bookmarkEnd w:id="261"/>
      <w:bookmarkEnd w:id="262"/>
      <w:bookmarkEnd w:id="263"/>
      <w:bookmarkEnd w:id="264"/>
      <w:bookmarkEnd w:id="265"/>
    </w:p>
    <w:p w14:paraId="6AD9E659">
      <w:pPr>
        <w:pStyle w:val="157"/>
        <w:spacing w:before="240" w:after="240" w:line="360" w:lineRule="auto"/>
        <w:jc w:val="center"/>
        <w:rPr>
          <w:rFonts w:hint="eastAsia" w:ascii="仿宋" w:hAnsi="仿宋" w:eastAsia="仿宋" w:cs="Cambria Math"/>
          <w:b/>
          <w:color w:val="000000"/>
          <w:sz w:val="24"/>
          <w:szCs w:val="24"/>
          <w:highlight w:val="none"/>
        </w:rPr>
      </w:pPr>
      <w:r>
        <w:rPr>
          <w:rFonts w:hint="eastAsia" w:ascii="仿宋" w:hAnsi="仿宋" w:eastAsia="仿宋" w:cs="Cambria Math"/>
          <w:b/>
          <w:color w:val="000000"/>
          <w:sz w:val="24"/>
          <w:szCs w:val="24"/>
          <w:highlight w:val="none"/>
        </w:rPr>
        <w:t>法定代表人（负责人）授权委托书</w:t>
      </w:r>
    </w:p>
    <w:p w14:paraId="68D9EA20">
      <w:pPr>
        <w:pStyle w:val="157"/>
        <w:topLinePunct/>
        <w:spacing w:line="360" w:lineRule="auto"/>
        <w:ind w:firstLine="480" w:firstLineChars="200"/>
        <w:rPr>
          <w:rFonts w:hint="eastAsia" w:ascii="仿宋" w:hAnsi="仿宋" w:eastAsia="仿宋" w:cs="Cambria Math"/>
          <w:color w:val="000000"/>
          <w:sz w:val="24"/>
          <w:szCs w:val="24"/>
          <w:highlight w:val="none"/>
        </w:rPr>
      </w:pPr>
      <w:r>
        <w:rPr>
          <w:rFonts w:hint="eastAsia" w:ascii="仿宋" w:hAnsi="仿宋" w:eastAsia="仿宋" w:cs="仿宋"/>
          <w:color w:val="000000"/>
          <w:sz w:val="24"/>
          <w:highlight w:val="none"/>
        </w:rPr>
        <w:t>本人</w:t>
      </w:r>
      <w:r>
        <w:rPr>
          <w:rFonts w:hint="eastAsia" w:ascii="仿宋" w:hAnsi="仿宋" w:eastAsia="仿宋" w:cs="仿宋"/>
          <w:color w:val="000000"/>
          <w:sz w:val="24"/>
          <w:highlight w:val="none"/>
          <w:u w:val="single"/>
        </w:rPr>
        <w:t xml:space="preserve"> （姓名）</w:t>
      </w:r>
      <w:r>
        <w:rPr>
          <w:rFonts w:hint="eastAsia" w:ascii="仿宋" w:hAnsi="仿宋" w:eastAsia="仿宋" w:cs="仿宋"/>
          <w:color w:val="000000"/>
          <w:sz w:val="24"/>
          <w:highlight w:val="none"/>
        </w:rPr>
        <w:t>系</w:t>
      </w:r>
      <w:r>
        <w:rPr>
          <w:rFonts w:hint="eastAsia" w:ascii="仿宋" w:hAnsi="仿宋" w:eastAsia="仿宋" w:cs="仿宋"/>
          <w:color w:val="000000"/>
          <w:sz w:val="24"/>
          <w:highlight w:val="none"/>
          <w:u w:val="single"/>
        </w:rPr>
        <w:t>（供应商名称）</w:t>
      </w:r>
      <w:r>
        <w:rPr>
          <w:rFonts w:hint="eastAsia" w:ascii="仿宋" w:hAnsi="仿宋" w:eastAsia="仿宋" w:cs="仿宋"/>
          <w:color w:val="000000"/>
          <w:sz w:val="24"/>
          <w:highlight w:val="none"/>
        </w:rPr>
        <w:t>的法定代表人</w:t>
      </w:r>
      <w:r>
        <w:rPr>
          <w:rFonts w:hint="eastAsia" w:ascii="仿宋" w:hAnsi="仿宋" w:eastAsia="仿宋" w:cs="仿宋"/>
          <w:color w:val="000000"/>
          <w:sz w:val="24"/>
          <w:szCs w:val="24"/>
          <w:highlight w:val="none"/>
        </w:rPr>
        <w:t>（负责人）</w:t>
      </w:r>
      <w:r>
        <w:rPr>
          <w:rFonts w:hint="eastAsia" w:ascii="仿宋" w:hAnsi="仿宋" w:eastAsia="仿宋" w:cs="仿宋"/>
          <w:color w:val="000000"/>
          <w:sz w:val="24"/>
          <w:highlight w:val="none"/>
        </w:rPr>
        <w:t>，现授权委托</w:t>
      </w:r>
      <w:r>
        <w:rPr>
          <w:rFonts w:hint="eastAsia" w:ascii="仿宋" w:hAnsi="仿宋" w:eastAsia="仿宋" w:cs="仿宋"/>
          <w:color w:val="000000"/>
          <w:sz w:val="24"/>
          <w:highlight w:val="none"/>
          <w:u w:val="single"/>
        </w:rPr>
        <w:t xml:space="preserve"> （姓名）</w:t>
      </w:r>
      <w:r>
        <w:rPr>
          <w:rFonts w:hint="eastAsia" w:ascii="仿宋" w:hAnsi="仿宋" w:eastAsia="仿宋" w:cs="仿宋"/>
          <w:color w:val="000000"/>
          <w:sz w:val="24"/>
          <w:highlight w:val="none"/>
        </w:rPr>
        <w:t>为我方代理人。</w:t>
      </w:r>
      <w:r>
        <w:rPr>
          <w:rFonts w:hint="eastAsia" w:ascii="仿宋" w:hAnsi="仿宋" w:eastAsia="仿宋" w:cs="Cambria Math"/>
          <w:color w:val="000000"/>
          <w:sz w:val="24"/>
          <w:szCs w:val="24"/>
          <w:highlight w:val="none"/>
        </w:rPr>
        <w:t>代理人根据授权，以我方名义签署、澄清、说明、补正、递交、撤回、修改</w:t>
      </w:r>
      <w:r>
        <w:rPr>
          <w:rFonts w:hint="eastAsia" w:ascii="仿宋" w:hAnsi="仿宋" w:eastAsia="仿宋" w:cs="Cambria Math"/>
          <w:color w:val="000000"/>
          <w:sz w:val="24"/>
          <w:szCs w:val="24"/>
          <w:highlight w:val="none"/>
          <w:u w:val="single"/>
        </w:rPr>
        <w:t>（项目名称）</w:t>
      </w:r>
      <w:r>
        <w:rPr>
          <w:rFonts w:hint="eastAsia" w:ascii="仿宋" w:hAnsi="仿宋" w:eastAsia="仿宋" w:cs="Cambria Math"/>
          <w:color w:val="000000"/>
          <w:sz w:val="24"/>
          <w:szCs w:val="24"/>
          <w:highlight w:val="none"/>
        </w:rPr>
        <w:t>磋商响应文件、签订合同和处理有关事宜，其法律后果由我方承担。</w:t>
      </w:r>
    </w:p>
    <w:p w14:paraId="0A393B7A">
      <w:pPr>
        <w:widowControl/>
        <w:spacing w:line="360" w:lineRule="auto"/>
        <w:ind w:firstLine="480" w:firstLineChars="200"/>
        <w:jc w:val="left"/>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rPr>
        <w:t>委托期限：</w:t>
      </w:r>
      <w:r>
        <w:rPr>
          <w:rFonts w:hint="eastAsia" w:ascii="仿宋" w:hAnsi="仿宋" w:eastAsia="仿宋" w:cs="Cambria Math"/>
          <w:color w:val="000000"/>
          <w:kern w:val="0"/>
          <w:sz w:val="24"/>
          <w:highlight w:val="none"/>
          <w:u w:val="single"/>
        </w:rPr>
        <w:t xml:space="preserve"> 自</w:t>
      </w:r>
      <w:r>
        <w:rPr>
          <w:rFonts w:hint="eastAsia" w:ascii="仿宋" w:hAnsi="仿宋" w:eastAsia="仿宋" w:cs="微软雅黑"/>
          <w:color w:val="000000"/>
          <w:kern w:val="0"/>
          <w:sz w:val="24"/>
          <w:highlight w:val="none"/>
          <w:u w:val="single"/>
        </w:rPr>
        <w:t>本委托书签字盖章生效</w:t>
      </w:r>
      <w:r>
        <w:rPr>
          <w:rFonts w:hint="eastAsia" w:ascii="仿宋" w:hAnsi="仿宋" w:eastAsia="仿宋" w:cs="Cambria Math"/>
          <w:color w:val="000000"/>
          <w:kern w:val="0"/>
          <w:sz w:val="24"/>
          <w:highlight w:val="none"/>
          <w:u w:val="single"/>
        </w:rPr>
        <w:t xml:space="preserve">之日起至磋商响应有效期到期之日为止 </w:t>
      </w:r>
      <w:r>
        <w:rPr>
          <w:rFonts w:hint="eastAsia" w:ascii="仿宋" w:hAnsi="仿宋" w:eastAsia="仿宋" w:cs="Cambria Math"/>
          <w:color w:val="000000"/>
          <w:kern w:val="0"/>
          <w:sz w:val="24"/>
          <w:highlight w:val="none"/>
        </w:rPr>
        <w:t>。</w:t>
      </w:r>
    </w:p>
    <w:p w14:paraId="30F18CE7">
      <w:pPr>
        <w:pStyle w:val="157"/>
        <w:spacing w:line="360" w:lineRule="auto"/>
        <w:ind w:firstLine="480" w:firstLineChars="200"/>
        <w:rPr>
          <w:rFonts w:hint="eastAsia" w:ascii="仿宋" w:hAnsi="仿宋" w:eastAsia="仿宋" w:cs="Cambria Math"/>
          <w:color w:val="000000"/>
          <w:sz w:val="24"/>
          <w:szCs w:val="24"/>
          <w:highlight w:val="none"/>
        </w:rPr>
      </w:pPr>
      <w:r>
        <w:rPr>
          <w:rFonts w:hint="eastAsia" w:ascii="仿宋" w:hAnsi="仿宋" w:eastAsia="仿宋" w:cs="Cambria Math"/>
          <w:color w:val="000000"/>
          <w:sz w:val="24"/>
          <w:szCs w:val="24"/>
          <w:highlight w:val="none"/>
        </w:rPr>
        <w:t>代理人无转委托权。</w:t>
      </w:r>
    </w:p>
    <w:p w14:paraId="47EA0F57">
      <w:pPr>
        <w:pStyle w:val="157"/>
        <w:spacing w:line="360" w:lineRule="auto"/>
        <w:ind w:firstLine="482" w:firstLineChars="200"/>
        <w:rPr>
          <w:rFonts w:ascii="仿宋" w:hAnsi="仿宋" w:eastAsia="仿宋" w:cs="Cambria Math"/>
          <w:b/>
          <w:bCs/>
          <w:color w:val="000000"/>
          <w:sz w:val="24"/>
          <w:szCs w:val="24"/>
          <w:highlight w:val="none"/>
        </w:rPr>
      </w:pPr>
    </w:p>
    <w:p w14:paraId="60CE48CA">
      <w:pPr>
        <w:pStyle w:val="157"/>
        <w:spacing w:line="360" w:lineRule="auto"/>
        <w:ind w:firstLine="482" w:firstLineChars="200"/>
        <w:rPr>
          <w:rFonts w:ascii="仿宋" w:hAnsi="仿宋" w:eastAsia="仿宋" w:cs="Cambria Math"/>
          <w:color w:val="000000"/>
          <w:sz w:val="24"/>
          <w:szCs w:val="24"/>
          <w:highlight w:val="none"/>
        </w:rPr>
      </w:pPr>
      <w:r>
        <w:rPr>
          <w:rFonts w:hint="eastAsia" w:ascii="仿宋" w:hAnsi="仿宋" w:eastAsia="仿宋" w:cs="Cambria Math"/>
          <w:b/>
          <w:bCs/>
          <w:color w:val="000000"/>
          <w:sz w:val="24"/>
          <w:szCs w:val="24"/>
          <w:highlight w:val="none"/>
        </w:rPr>
        <w:t>附：委托代理人身份证复印件（需同时提供正面及背面）</w:t>
      </w:r>
      <w:r>
        <w:rPr>
          <w:rFonts w:hint="eastAsia" w:ascii="仿宋" w:hAnsi="仿宋" w:eastAsia="仿宋" w:cs="Cambria Math"/>
          <w:color w:val="000000"/>
          <w:sz w:val="24"/>
          <w:szCs w:val="24"/>
          <w:highlight w:val="none"/>
        </w:rPr>
        <w:t>。</w:t>
      </w:r>
    </w:p>
    <w:p w14:paraId="65B0B5BF">
      <w:pPr>
        <w:pStyle w:val="157"/>
        <w:spacing w:line="440" w:lineRule="atLeast"/>
        <w:ind w:firstLine="480"/>
        <w:jc w:val="left"/>
        <w:rPr>
          <w:rFonts w:hint="eastAsia" w:ascii="仿宋" w:hAnsi="仿宋" w:eastAsia="仿宋" w:cs="仿宋"/>
          <w:color w:val="000000"/>
          <w:highlight w:val="none"/>
        </w:rPr>
      </w:pPr>
      <w:r>
        <w:rPr>
          <w:rFonts w:hint="eastAsia" w:ascii="仿宋" w:hAnsi="仿宋" w:eastAsia="仿宋" w:cs="仿宋"/>
          <w:color w:val="000000"/>
          <w:highlight w:val="none"/>
        </w:rPr>
        <mc:AlternateContent>
          <mc:Choice Requires="wps">
            <w:drawing>
              <wp:anchor distT="0" distB="0" distL="114300" distR="114300" simplePos="0" relativeHeight="251663360" behindDoc="0" locked="0" layoutInCell="1" allowOverlap="1">
                <wp:simplePos x="0" y="0"/>
                <wp:positionH relativeFrom="column">
                  <wp:posOffset>174625</wp:posOffset>
                </wp:positionH>
                <wp:positionV relativeFrom="paragraph">
                  <wp:posOffset>56515</wp:posOffset>
                </wp:positionV>
                <wp:extent cx="2802890" cy="1934845"/>
                <wp:effectExtent l="7620" t="7620" r="8890" b="13335"/>
                <wp:wrapNone/>
                <wp:docPr id="4" name="矩形 39"/>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9" o:spid="_x0000_s1026" o:spt="1" style="position:absolute;left:0pt;margin-left:13.75pt;margin-top:4.45pt;height:152.35pt;width:220.7pt;z-index:251663360;mso-width-relative:page;mso-height-relative:page;" fillcolor="#C5E0B3" filled="t" stroked="t" coordsize="21600,21600" o:gfxdata="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MiCzsvYAAAACAEAAA8AAAAAAAAAAQAg&#10;AAAAIgAAAGRycy9kb3ducmV2LnhtbFBLAQIUABQAAAAIAIdO4kBekOb5DgIAAC8EAAAOAAAAAAAA&#10;AAEAIAAAACcBAABkcnMvZTJvRG9jLnhtbFBLBQYAAAAABgAGAFkBAACnBQAAAAA=&#10;">
                <v:fill on="t" focussize="0,0"/>
                <v:stroke weight="1.25pt" color="#739CC3" joinstyle="miter"/>
                <v:imagedata o:title=""/>
                <o:lock v:ext="edit" aspectratio="f"/>
              </v:rect>
            </w:pict>
          </mc:Fallback>
        </mc:AlternateContent>
      </w:r>
      <w:r>
        <w:rPr>
          <w:rFonts w:hint="eastAsia" w:ascii="仿宋" w:hAnsi="仿宋" w:eastAsia="仿宋" w:cs="仿宋"/>
          <w:color w:val="000000"/>
          <w:highlight w:val="none"/>
        </w:rPr>
        <mc:AlternateContent>
          <mc:Choice Requires="wps">
            <w:drawing>
              <wp:anchor distT="0" distB="0" distL="114300" distR="114300" simplePos="0" relativeHeight="251664384" behindDoc="0" locked="0" layoutInCell="1" allowOverlap="1">
                <wp:simplePos x="0" y="0"/>
                <wp:positionH relativeFrom="column">
                  <wp:posOffset>2977515</wp:posOffset>
                </wp:positionH>
                <wp:positionV relativeFrom="paragraph">
                  <wp:posOffset>56515</wp:posOffset>
                </wp:positionV>
                <wp:extent cx="2802890" cy="1934845"/>
                <wp:effectExtent l="7620" t="7620" r="8890" b="13335"/>
                <wp:wrapNone/>
                <wp:docPr id="5" name="矩形 40"/>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40" o:spid="_x0000_s1026" o:spt="1" style="position:absolute;left:0pt;margin-left:234.45pt;margin-top:4.45pt;height:152.35pt;width:220.7pt;z-index:251664384;mso-width-relative:page;mso-height-relative:page;" fillcolor="#C5E0B3" filled="t" stroked="t" coordsize="21600,21600" o:gfxdata="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AsLTHM2AAAAAkBAAAPAAAAAAAAAAEAIAAA&#10;ACIAAABkcnMvZG93bnJldi54bWxQSwECFAAUAAAACACHTuJAJSsH7QwCAAAvBAAADgAAAAAAAAAB&#10;ACAAAAAnAQAAZHJzL2Uyb0RvYy54bWxQSwUGAAAAAAYABgBZAQAApQUAAAAA&#10;">
                <v:fill on="t" focussize="0,0"/>
                <v:stroke weight="1.25pt" color="#739CC3" joinstyle="miter"/>
                <v:imagedata o:title=""/>
                <o:lock v:ext="edit" aspectratio="f"/>
              </v:rect>
            </w:pict>
          </mc:Fallback>
        </mc:AlternateContent>
      </w:r>
    </w:p>
    <w:p w14:paraId="07AF9388">
      <w:pPr>
        <w:pStyle w:val="157"/>
        <w:spacing w:line="440" w:lineRule="atLeast"/>
        <w:ind w:firstLine="480"/>
        <w:jc w:val="left"/>
        <w:rPr>
          <w:rFonts w:hint="eastAsia" w:ascii="仿宋" w:hAnsi="仿宋" w:eastAsia="仿宋" w:cs="仿宋"/>
          <w:color w:val="000000"/>
          <w:highlight w:val="none"/>
        </w:rPr>
      </w:pPr>
    </w:p>
    <w:p w14:paraId="1767EE3E">
      <w:pPr>
        <w:spacing w:line="360" w:lineRule="auto"/>
        <w:ind w:left="720"/>
        <w:rPr>
          <w:rFonts w:hint="eastAsia" w:ascii="仿宋" w:hAnsi="仿宋" w:eastAsia="仿宋" w:cs="仿宋"/>
          <w:b/>
          <w:color w:val="000000"/>
          <w:sz w:val="24"/>
          <w:highlight w:val="none"/>
        </w:rPr>
      </w:pPr>
    </w:p>
    <w:p w14:paraId="002ACA41">
      <w:pPr>
        <w:tabs>
          <w:tab w:val="left" w:pos="540"/>
        </w:tabs>
        <w:rPr>
          <w:rFonts w:ascii="仿宋" w:hAnsi="仿宋" w:eastAsia="仿宋" w:cs="仿宋"/>
          <w:color w:val="000000"/>
          <w:kern w:val="0"/>
          <w:szCs w:val="21"/>
          <w:highlight w:val="none"/>
        </w:rPr>
      </w:pPr>
      <w:r>
        <w:rPr>
          <w:rFonts w:hint="eastAsia" w:ascii="仿宋" w:hAnsi="仿宋" w:eastAsia="仿宋" w:cs="仿宋"/>
          <w:color w:val="000000"/>
          <w:kern w:val="0"/>
          <w:szCs w:val="21"/>
          <w:highlight w:val="none"/>
        </w:rPr>
        <w:tab/>
      </w:r>
    </w:p>
    <w:p w14:paraId="45D8A65F">
      <w:pPr>
        <w:pStyle w:val="2"/>
        <w:rPr>
          <w:rFonts w:ascii="宋体" w:hAnsi="宋体"/>
          <w:kern w:val="0"/>
          <w:szCs w:val="21"/>
          <w:highlight w:val="none"/>
        </w:rPr>
      </w:pPr>
    </w:p>
    <w:p w14:paraId="5C901D52">
      <w:pPr>
        <w:pStyle w:val="2"/>
        <w:rPr>
          <w:rFonts w:ascii="宋体" w:hAnsi="宋体"/>
          <w:kern w:val="0"/>
          <w:szCs w:val="21"/>
          <w:highlight w:val="none"/>
        </w:rPr>
      </w:pPr>
    </w:p>
    <w:p w14:paraId="648BA73F">
      <w:pPr>
        <w:pStyle w:val="2"/>
        <w:rPr>
          <w:rFonts w:ascii="宋体" w:hAnsi="宋体"/>
          <w:kern w:val="0"/>
          <w:szCs w:val="21"/>
          <w:highlight w:val="none"/>
        </w:rPr>
      </w:pPr>
    </w:p>
    <w:p w14:paraId="416725AE">
      <w:pPr>
        <w:spacing w:line="360" w:lineRule="auto"/>
        <w:ind w:right="420" w:firstLine="4200" w:firstLineChars="1750"/>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供应商名称：</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（盖章）</w:t>
      </w:r>
    </w:p>
    <w:p w14:paraId="1FC0B40C">
      <w:pPr>
        <w:spacing w:line="360" w:lineRule="auto"/>
        <w:ind w:right="420" w:firstLine="3120" w:firstLineChars="1300"/>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法定代表人（负责人）：</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（签字或盖章）</w:t>
      </w:r>
    </w:p>
    <w:p w14:paraId="16B922F4">
      <w:pPr>
        <w:pStyle w:val="157"/>
        <w:wordWrap w:val="0"/>
        <w:spacing w:line="360" w:lineRule="auto"/>
        <w:ind w:right="105" w:firstLine="4200" w:firstLineChars="1750"/>
        <w:rPr>
          <w:rFonts w:hint="eastAsia" w:ascii="仿宋" w:hAnsi="仿宋" w:eastAsia="仿宋" w:cs="Cambria Math"/>
          <w:color w:val="000000"/>
          <w:sz w:val="24"/>
          <w:szCs w:val="24"/>
          <w:highlight w:val="none"/>
        </w:rPr>
      </w:pPr>
      <w:r>
        <w:rPr>
          <w:rFonts w:hint="eastAsia" w:ascii="仿宋" w:hAnsi="仿宋" w:eastAsia="仿宋" w:cs="Cambria Math"/>
          <w:color w:val="000000"/>
          <w:sz w:val="24"/>
          <w:szCs w:val="24"/>
          <w:highlight w:val="none"/>
        </w:rPr>
        <w:t>委托代理人：</w:t>
      </w:r>
      <w:r>
        <w:rPr>
          <w:rFonts w:hint="eastAsia" w:ascii="仿宋" w:hAnsi="仿宋" w:eastAsia="仿宋" w:cs="Cambria Math"/>
          <w:color w:val="000000"/>
          <w:sz w:val="24"/>
          <w:szCs w:val="24"/>
          <w:highlight w:val="none"/>
          <w:u w:val="single"/>
        </w:rPr>
        <w:t xml:space="preserve">               </w:t>
      </w:r>
      <w:r>
        <w:rPr>
          <w:rFonts w:hint="eastAsia" w:ascii="仿宋" w:hAnsi="仿宋" w:eastAsia="仿宋" w:cs="Cambria Math"/>
          <w:color w:val="000000"/>
          <w:sz w:val="24"/>
          <w:szCs w:val="24"/>
          <w:highlight w:val="none"/>
        </w:rPr>
        <w:t>（签字</w:t>
      </w:r>
      <w:r>
        <w:rPr>
          <w:rFonts w:hint="eastAsia" w:ascii="仿宋" w:hAnsi="仿宋" w:eastAsia="仿宋" w:cs="Cambria Math"/>
          <w:color w:val="000000"/>
          <w:sz w:val="24"/>
          <w:highlight w:val="none"/>
        </w:rPr>
        <w:t>或盖章</w:t>
      </w:r>
      <w:r>
        <w:rPr>
          <w:rFonts w:hint="eastAsia" w:ascii="仿宋" w:hAnsi="仿宋" w:eastAsia="仿宋" w:cs="Cambria Math"/>
          <w:color w:val="000000"/>
          <w:sz w:val="24"/>
          <w:szCs w:val="24"/>
          <w:highlight w:val="none"/>
        </w:rPr>
        <w:t xml:space="preserve">） </w:t>
      </w:r>
    </w:p>
    <w:p w14:paraId="0B071198">
      <w:pPr>
        <w:wordWrap w:val="0"/>
        <w:spacing w:line="360" w:lineRule="auto"/>
        <w:ind w:firstLine="4200" w:firstLineChars="1750"/>
        <w:rPr>
          <w:rFonts w:hint="eastAsia" w:ascii="仿宋" w:hAnsi="仿宋" w:eastAsia="仿宋" w:cs="Cambria Math"/>
          <w:b/>
          <w:bCs/>
          <w:color w:val="000000"/>
          <w:sz w:val="24"/>
          <w:highlight w:val="none"/>
        </w:rPr>
      </w:pPr>
      <w:r>
        <w:rPr>
          <w:rFonts w:hint="eastAsia" w:ascii="仿宋" w:hAnsi="仿宋" w:eastAsia="仿宋" w:cs="Cambria Math"/>
          <w:color w:val="000000"/>
          <w:sz w:val="24"/>
          <w:highlight w:val="none"/>
        </w:rPr>
        <w:t>日期：</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年</w:t>
      </w:r>
      <w:r>
        <w:rPr>
          <w:rFonts w:hint="eastAsia" w:ascii="仿宋" w:hAnsi="仿宋" w:eastAsia="仿宋" w:cs="Cambria Math"/>
          <w:color w:val="000000"/>
          <w:sz w:val="24"/>
          <w:highlight w:val="none"/>
          <w:u w:val="single"/>
        </w:rPr>
        <w:t xml:space="preserve">  </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月</w:t>
      </w:r>
      <w:r>
        <w:rPr>
          <w:rFonts w:hint="eastAsia" w:ascii="仿宋" w:hAnsi="仿宋" w:eastAsia="仿宋" w:cs="Cambria Math"/>
          <w:color w:val="000000"/>
          <w:sz w:val="24"/>
          <w:highlight w:val="none"/>
          <w:u w:val="single"/>
        </w:rPr>
        <w:t xml:space="preserve">  </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日</w:t>
      </w:r>
    </w:p>
    <w:p w14:paraId="50B816AF">
      <w:pPr>
        <w:tabs>
          <w:tab w:val="left" w:pos="540"/>
        </w:tabs>
        <w:rPr>
          <w:rFonts w:hint="eastAsia" w:ascii="仿宋" w:hAnsi="仿宋" w:eastAsia="仿宋" w:cs="仿宋"/>
          <w:color w:val="000000"/>
          <w:kern w:val="0"/>
          <w:szCs w:val="21"/>
          <w:highlight w:val="none"/>
        </w:rPr>
        <w:sectPr>
          <w:pgSz w:w="11906" w:h="16838"/>
          <w:pgMar w:top="1417" w:right="1134" w:bottom="1134" w:left="1134" w:header="851" w:footer="992" w:gutter="0"/>
          <w:cols w:space="720" w:num="1"/>
          <w:titlePg/>
          <w:docGrid w:type="lines" w:linePitch="312" w:charSpace="0"/>
        </w:sectPr>
      </w:pPr>
    </w:p>
    <w:p w14:paraId="0300D268">
      <w:pPr>
        <w:pStyle w:val="5"/>
        <w:numPr>
          <w:ilvl w:val="0"/>
          <w:numId w:val="0"/>
        </w:numPr>
        <w:spacing w:before="0" w:after="0" w:line="360" w:lineRule="auto"/>
        <w:rPr>
          <w:rFonts w:hint="eastAsia" w:ascii="仿宋" w:hAnsi="仿宋" w:eastAsia="仿宋" w:cs="仿宋"/>
          <w:color w:val="000000"/>
          <w:sz w:val="24"/>
          <w:szCs w:val="24"/>
          <w:highlight w:val="none"/>
        </w:rPr>
      </w:pPr>
      <w:bookmarkStart w:id="266" w:name="_Toc16004"/>
      <w:bookmarkStart w:id="267" w:name="_Toc517281841"/>
      <w:bookmarkStart w:id="268" w:name="_Toc27026"/>
      <w:bookmarkStart w:id="269" w:name="_Toc16561"/>
      <w:bookmarkStart w:id="270" w:name="_Toc287600132"/>
      <w:bookmarkStart w:id="271" w:name="_Toc444891357"/>
      <w:bookmarkStart w:id="272" w:name="_Toc5406"/>
      <w:bookmarkStart w:id="273" w:name="_Toc11396"/>
      <w:bookmarkStart w:id="274" w:name="_Toc34779170"/>
      <w:bookmarkStart w:id="275" w:name="_Toc34779216"/>
      <w:bookmarkStart w:id="276" w:name="_Toc287600135"/>
      <w:bookmarkStart w:id="277" w:name="_Toc35957216"/>
      <w:bookmarkStart w:id="278" w:name="_Toc34779120"/>
      <w:bookmarkStart w:id="279" w:name="_Toc34822258"/>
      <w:r>
        <w:rPr>
          <w:rFonts w:hint="eastAsia" w:ascii="仿宋" w:hAnsi="仿宋" w:eastAsia="仿宋" w:cs="仿宋"/>
          <w:color w:val="000000"/>
          <w:sz w:val="24"/>
          <w:szCs w:val="24"/>
          <w:highlight w:val="none"/>
        </w:rPr>
        <w:t>（四）资格证明文件</w:t>
      </w:r>
      <w:bookmarkEnd w:id="266"/>
    </w:p>
    <w:p w14:paraId="5C9AE4DF">
      <w:pPr>
        <w:pStyle w:val="6"/>
        <w:spacing w:before="0"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1、供应商基本情况信息表</w:t>
      </w:r>
    </w:p>
    <w:p w14:paraId="4B4D2B2B">
      <w:pPr>
        <w:pStyle w:val="157"/>
        <w:spacing w:line="360" w:lineRule="auto"/>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供应商基本情况信息表</w:t>
      </w:r>
    </w:p>
    <w:tbl>
      <w:tblPr>
        <w:tblStyle w:val="41"/>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14:paraId="2D3D5AEF">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noWrap w:val="0"/>
            <w:vAlign w:val="center"/>
          </w:tcPr>
          <w:p w14:paraId="7C2A1FD5">
            <w:pPr>
              <w:pStyle w:val="157"/>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供应商名称</w:t>
            </w:r>
          </w:p>
        </w:tc>
        <w:tc>
          <w:tcPr>
            <w:tcW w:w="7609" w:type="dxa"/>
            <w:gridSpan w:val="9"/>
            <w:tcBorders>
              <w:top w:val="single" w:color="000000" w:sz="4" w:space="0"/>
              <w:left w:val="nil"/>
              <w:bottom w:val="single" w:color="000000" w:sz="4" w:space="0"/>
              <w:right w:val="single" w:color="000000" w:sz="4" w:space="0"/>
            </w:tcBorders>
            <w:noWrap w:val="0"/>
            <w:vAlign w:val="center"/>
          </w:tcPr>
          <w:p w14:paraId="7AF6CE19">
            <w:pPr>
              <w:pStyle w:val="157"/>
              <w:topLinePunct/>
              <w:jc w:val="center"/>
              <w:rPr>
                <w:rFonts w:hint="eastAsia" w:ascii="仿宋" w:hAnsi="仿宋" w:eastAsia="仿宋" w:cs="仿宋"/>
                <w:color w:val="000000"/>
                <w:highlight w:val="none"/>
              </w:rPr>
            </w:pPr>
          </w:p>
        </w:tc>
      </w:tr>
      <w:tr w14:paraId="4E4224E6">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4752CF7F">
            <w:pPr>
              <w:pStyle w:val="157"/>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注册地址</w:t>
            </w:r>
          </w:p>
        </w:tc>
        <w:tc>
          <w:tcPr>
            <w:tcW w:w="3588" w:type="dxa"/>
            <w:gridSpan w:val="5"/>
            <w:tcBorders>
              <w:top w:val="nil"/>
              <w:left w:val="nil"/>
              <w:bottom w:val="single" w:color="000000" w:sz="4" w:space="0"/>
              <w:right w:val="single" w:color="000000" w:sz="4" w:space="0"/>
            </w:tcBorders>
            <w:noWrap w:val="0"/>
            <w:vAlign w:val="center"/>
          </w:tcPr>
          <w:p w14:paraId="03CA3D0E">
            <w:pPr>
              <w:pStyle w:val="157"/>
              <w:topLinePunct/>
              <w:jc w:val="center"/>
              <w:rPr>
                <w:rFonts w:hint="eastAsia" w:ascii="仿宋" w:hAnsi="仿宋" w:eastAsia="仿宋" w:cs="仿宋"/>
                <w:color w:val="000000"/>
                <w:highlight w:val="none"/>
              </w:rPr>
            </w:pPr>
          </w:p>
        </w:tc>
        <w:tc>
          <w:tcPr>
            <w:tcW w:w="1789" w:type="dxa"/>
            <w:tcBorders>
              <w:top w:val="single" w:color="000000" w:sz="4" w:space="0"/>
              <w:left w:val="nil"/>
              <w:bottom w:val="single" w:color="000000" w:sz="4" w:space="0"/>
              <w:right w:val="single" w:color="000000" w:sz="4" w:space="0"/>
            </w:tcBorders>
            <w:noWrap w:val="0"/>
            <w:vAlign w:val="center"/>
          </w:tcPr>
          <w:p w14:paraId="4C5823BF">
            <w:pPr>
              <w:pStyle w:val="157"/>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邮政编码</w:t>
            </w:r>
          </w:p>
        </w:tc>
        <w:tc>
          <w:tcPr>
            <w:tcW w:w="2232" w:type="dxa"/>
            <w:gridSpan w:val="3"/>
            <w:tcBorders>
              <w:top w:val="single" w:color="000000" w:sz="4" w:space="0"/>
              <w:left w:val="nil"/>
              <w:bottom w:val="single" w:color="000000" w:sz="4" w:space="0"/>
              <w:right w:val="single" w:color="000000" w:sz="4" w:space="0"/>
            </w:tcBorders>
            <w:noWrap w:val="0"/>
            <w:vAlign w:val="center"/>
          </w:tcPr>
          <w:p w14:paraId="17A12476">
            <w:pPr>
              <w:pStyle w:val="157"/>
              <w:topLinePunct/>
              <w:jc w:val="center"/>
              <w:rPr>
                <w:rFonts w:hint="eastAsia" w:ascii="仿宋" w:hAnsi="仿宋" w:eastAsia="仿宋" w:cs="仿宋"/>
                <w:color w:val="000000"/>
                <w:highlight w:val="none"/>
              </w:rPr>
            </w:pPr>
          </w:p>
        </w:tc>
      </w:tr>
      <w:tr w14:paraId="61472AD6">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55A8C11A">
            <w:pPr>
              <w:pStyle w:val="157"/>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公司办公场所面职</w:t>
            </w:r>
          </w:p>
        </w:tc>
        <w:tc>
          <w:tcPr>
            <w:tcW w:w="3588" w:type="dxa"/>
            <w:gridSpan w:val="5"/>
            <w:tcBorders>
              <w:top w:val="nil"/>
              <w:left w:val="nil"/>
              <w:bottom w:val="single" w:color="000000" w:sz="4" w:space="0"/>
              <w:right w:val="single" w:color="000000" w:sz="4" w:space="0"/>
            </w:tcBorders>
            <w:noWrap w:val="0"/>
            <w:vAlign w:val="center"/>
          </w:tcPr>
          <w:p w14:paraId="5D9D6752">
            <w:pPr>
              <w:pStyle w:val="157"/>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平米</w:t>
            </w:r>
          </w:p>
        </w:tc>
        <w:tc>
          <w:tcPr>
            <w:tcW w:w="1789" w:type="dxa"/>
            <w:tcBorders>
              <w:top w:val="nil"/>
              <w:left w:val="nil"/>
              <w:bottom w:val="single" w:color="000000" w:sz="4" w:space="0"/>
              <w:right w:val="single" w:color="000000" w:sz="4" w:space="0"/>
            </w:tcBorders>
            <w:noWrap w:val="0"/>
            <w:vAlign w:val="center"/>
          </w:tcPr>
          <w:p w14:paraId="419562E8">
            <w:pPr>
              <w:pStyle w:val="157"/>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办事处地址</w:t>
            </w:r>
          </w:p>
        </w:tc>
        <w:tc>
          <w:tcPr>
            <w:tcW w:w="2232" w:type="dxa"/>
            <w:gridSpan w:val="3"/>
            <w:tcBorders>
              <w:top w:val="nil"/>
              <w:left w:val="nil"/>
              <w:bottom w:val="single" w:color="000000" w:sz="4" w:space="0"/>
              <w:right w:val="single" w:color="000000" w:sz="4" w:space="0"/>
            </w:tcBorders>
            <w:noWrap w:val="0"/>
            <w:vAlign w:val="center"/>
          </w:tcPr>
          <w:p w14:paraId="38A625BA">
            <w:pPr>
              <w:pStyle w:val="157"/>
              <w:topLinePunct/>
              <w:jc w:val="center"/>
              <w:rPr>
                <w:rFonts w:hint="eastAsia" w:ascii="仿宋" w:hAnsi="仿宋" w:eastAsia="仿宋" w:cs="仿宋"/>
                <w:color w:val="000000"/>
                <w:highlight w:val="none"/>
              </w:rPr>
            </w:pPr>
          </w:p>
        </w:tc>
      </w:tr>
      <w:tr w14:paraId="3438E612">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noWrap w:val="0"/>
            <w:vAlign w:val="center"/>
          </w:tcPr>
          <w:p w14:paraId="0D3CD7B9">
            <w:pPr>
              <w:pStyle w:val="157"/>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联系方式</w:t>
            </w:r>
          </w:p>
        </w:tc>
        <w:tc>
          <w:tcPr>
            <w:tcW w:w="1141" w:type="dxa"/>
            <w:gridSpan w:val="2"/>
            <w:tcBorders>
              <w:top w:val="nil"/>
              <w:left w:val="nil"/>
              <w:bottom w:val="single" w:color="000000" w:sz="4" w:space="0"/>
              <w:right w:val="single" w:color="000000" w:sz="4" w:space="0"/>
            </w:tcBorders>
            <w:noWrap w:val="0"/>
            <w:vAlign w:val="center"/>
          </w:tcPr>
          <w:p w14:paraId="13E7D794">
            <w:pPr>
              <w:pStyle w:val="157"/>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联系人</w:t>
            </w:r>
          </w:p>
        </w:tc>
        <w:tc>
          <w:tcPr>
            <w:tcW w:w="2447" w:type="dxa"/>
            <w:gridSpan w:val="3"/>
            <w:tcBorders>
              <w:top w:val="nil"/>
              <w:left w:val="nil"/>
              <w:bottom w:val="single" w:color="000000" w:sz="4" w:space="0"/>
              <w:right w:val="single" w:color="000000" w:sz="4" w:space="0"/>
            </w:tcBorders>
            <w:noWrap w:val="0"/>
            <w:vAlign w:val="center"/>
          </w:tcPr>
          <w:p w14:paraId="682B102E">
            <w:pPr>
              <w:pStyle w:val="157"/>
              <w:topLinePunct/>
              <w:jc w:val="center"/>
              <w:rPr>
                <w:rFonts w:hint="eastAsia" w:ascii="仿宋" w:hAnsi="仿宋" w:eastAsia="仿宋" w:cs="仿宋"/>
                <w:color w:val="000000"/>
                <w:highlight w:val="none"/>
              </w:rPr>
            </w:pPr>
          </w:p>
        </w:tc>
        <w:tc>
          <w:tcPr>
            <w:tcW w:w="1789" w:type="dxa"/>
            <w:tcBorders>
              <w:top w:val="nil"/>
              <w:left w:val="nil"/>
              <w:bottom w:val="single" w:color="000000" w:sz="4" w:space="0"/>
              <w:right w:val="single" w:color="000000" w:sz="4" w:space="0"/>
            </w:tcBorders>
            <w:noWrap w:val="0"/>
            <w:vAlign w:val="center"/>
          </w:tcPr>
          <w:p w14:paraId="0C1D11F7">
            <w:pPr>
              <w:pStyle w:val="157"/>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电话</w:t>
            </w:r>
          </w:p>
        </w:tc>
        <w:tc>
          <w:tcPr>
            <w:tcW w:w="2232" w:type="dxa"/>
            <w:gridSpan w:val="3"/>
            <w:tcBorders>
              <w:top w:val="single" w:color="000000" w:sz="4" w:space="0"/>
              <w:left w:val="nil"/>
              <w:bottom w:val="single" w:color="000000" w:sz="4" w:space="0"/>
              <w:right w:val="single" w:color="000000" w:sz="4" w:space="0"/>
            </w:tcBorders>
            <w:noWrap w:val="0"/>
            <w:vAlign w:val="center"/>
          </w:tcPr>
          <w:p w14:paraId="3851E98B">
            <w:pPr>
              <w:pStyle w:val="157"/>
              <w:topLinePunct/>
              <w:jc w:val="center"/>
              <w:rPr>
                <w:rFonts w:hint="eastAsia" w:ascii="仿宋" w:hAnsi="仿宋" w:eastAsia="仿宋" w:cs="仿宋"/>
                <w:color w:val="000000"/>
                <w:highlight w:val="none"/>
              </w:rPr>
            </w:pPr>
          </w:p>
        </w:tc>
      </w:tr>
      <w:tr w14:paraId="1419C9A8">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noWrap w:val="0"/>
            <w:vAlign w:val="center"/>
          </w:tcPr>
          <w:p w14:paraId="55D4F3A2">
            <w:pPr>
              <w:rPr>
                <w:rFonts w:hint="eastAsia" w:ascii="仿宋" w:hAnsi="仿宋" w:eastAsia="仿宋" w:cs="仿宋"/>
                <w:color w:val="000000"/>
                <w:szCs w:val="21"/>
                <w:highlight w:val="none"/>
              </w:rPr>
            </w:pPr>
          </w:p>
        </w:tc>
        <w:tc>
          <w:tcPr>
            <w:tcW w:w="1141" w:type="dxa"/>
            <w:gridSpan w:val="2"/>
            <w:tcBorders>
              <w:top w:val="nil"/>
              <w:left w:val="nil"/>
              <w:bottom w:val="single" w:color="000000" w:sz="4" w:space="0"/>
              <w:right w:val="single" w:color="000000" w:sz="4" w:space="0"/>
            </w:tcBorders>
            <w:noWrap w:val="0"/>
            <w:vAlign w:val="center"/>
          </w:tcPr>
          <w:p w14:paraId="38A42E1F">
            <w:pPr>
              <w:pStyle w:val="157"/>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传真</w:t>
            </w:r>
          </w:p>
        </w:tc>
        <w:tc>
          <w:tcPr>
            <w:tcW w:w="2447" w:type="dxa"/>
            <w:gridSpan w:val="3"/>
            <w:tcBorders>
              <w:top w:val="nil"/>
              <w:left w:val="nil"/>
              <w:bottom w:val="single" w:color="000000" w:sz="4" w:space="0"/>
              <w:right w:val="single" w:color="000000" w:sz="4" w:space="0"/>
            </w:tcBorders>
            <w:noWrap w:val="0"/>
            <w:vAlign w:val="center"/>
          </w:tcPr>
          <w:p w14:paraId="3CCBFB64">
            <w:pPr>
              <w:pStyle w:val="157"/>
              <w:topLinePunct/>
              <w:jc w:val="center"/>
              <w:rPr>
                <w:rFonts w:hint="eastAsia" w:ascii="仿宋" w:hAnsi="仿宋" w:eastAsia="仿宋" w:cs="仿宋"/>
                <w:color w:val="000000"/>
                <w:highlight w:val="none"/>
              </w:rPr>
            </w:pPr>
          </w:p>
        </w:tc>
        <w:tc>
          <w:tcPr>
            <w:tcW w:w="1789" w:type="dxa"/>
            <w:tcBorders>
              <w:top w:val="nil"/>
              <w:left w:val="nil"/>
              <w:bottom w:val="single" w:color="000000" w:sz="4" w:space="0"/>
              <w:right w:val="single" w:color="000000" w:sz="4" w:space="0"/>
            </w:tcBorders>
            <w:noWrap w:val="0"/>
            <w:vAlign w:val="center"/>
          </w:tcPr>
          <w:p w14:paraId="27EEBE30">
            <w:pPr>
              <w:pStyle w:val="157"/>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网址</w:t>
            </w:r>
          </w:p>
        </w:tc>
        <w:tc>
          <w:tcPr>
            <w:tcW w:w="2232" w:type="dxa"/>
            <w:gridSpan w:val="3"/>
            <w:tcBorders>
              <w:top w:val="nil"/>
              <w:left w:val="nil"/>
              <w:bottom w:val="single" w:color="000000" w:sz="4" w:space="0"/>
              <w:right w:val="single" w:color="000000" w:sz="4" w:space="0"/>
            </w:tcBorders>
            <w:noWrap w:val="0"/>
            <w:vAlign w:val="center"/>
          </w:tcPr>
          <w:p w14:paraId="61A195C4">
            <w:pPr>
              <w:pStyle w:val="157"/>
              <w:topLinePunct/>
              <w:jc w:val="center"/>
              <w:rPr>
                <w:rFonts w:hint="eastAsia" w:ascii="仿宋" w:hAnsi="仿宋" w:eastAsia="仿宋" w:cs="仿宋"/>
                <w:color w:val="000000"/>
                <w:highlight w:val="none"/>
              </w:rPr>
            </w:pPr>
          </w:p>
        </w:tc>
      </w:tr>
      <w:tr w14:paraId="364DCA0D">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5A788338">
            <w:pPr>
              <w:pStyle w:val="157"/>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组织结构</w:t>
            </w:r>
          </w:p>
        </w:tc>
        <w:tc>
          <w:tcPr>
            <w:tcW w:w="7609" w:type="dxa"/>
            <w:gridSpan w:val="9"/>
            <w:tcBorders>
              <w:top w:val="nil"/>
              <w:left w:val="nil"/>
              <w:bottom w:val="single" w:color="000000" w:sz="4" w:space="0"/>
              <w:right w:val="single" w:color="000000" w:sz="4" w:space="0"/>
            </w:tcBorders>
            <w:noWrap w:val="0"/>
            <w:vAlign w:val="center"/>
          </w:tcPr>
          <w:p w14:paraId="6649F233">
            <w:pPr>
              <w:pStyle w:val="157"/>
              <w:topLinePunct/>
              <w:jc w:val="center"/>
              <w:rPr>
                <w:rFonts w:hint="eastAsia" w:ascii="仿宋" w:hAnsi="仿宋" w:eastAsia="仿宋" w:cs="仿宋"/>
                <w:color w:val="000000"/>
                <w:highlight w:val="none"/>
              </w:rPr>
            </w:pPr>
          </w:p>
        </w:tc>
      </w:tr>
      <w:tr w14:paraId="47616D1E">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51CFC5BA">
            <w:pPr>
              <w:pStyle w:val="157"/>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法定代表人</w:t>
            </w:r>
          </w:p>
        </w:tc>
        <w:tc>
          <w:tcPr>
            <w:tcW w:w="775" w:type="dxa"/>
            <w:tcBorders>
              <w:top w:val="nil"/>
              <w:left w:val="nil"/>
              <w:bottom w:val="single" w:color="000000" w:sz="4" w:space="0"/>
              <w:right w:val="single" w:color="000000" w:sz="4" w:space="0"/>
            </w:tcBorders>
            <w:noWrap w:val="0"/>
            <w:vAlign w:val="center"/>
          </w:tcPr>
          <w:p w14:paraId="45BEFE8F">
            <w:pPr>
              <w:pStyle w:val="157"/>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姓名</w:t>
            </w:r>
          </w:p>
        </w:tc>
        <w:tc>
          <w:tcPr>
            <w:tcW w:w="1345" w:type="dxa"/>
            <w:gridSpan w:val="2"/>
            <w:tcBorders>
              <w:top w:val="single" w:color="000000" w:sz="4" w:space="0"/>
              <w:left w:val="nil"/>
              <w:bottom w:val="single" w:color="000000" w:sz="4" w:space="0"/>
              <w:right w:val="single" w:color="000000" w:sz="4" w:space="0"/>
            </w:tcBorders>
            <w:noWrap w:val="0"/>
            <w:vAlign w:val="center"/>
          </w:tcPr>
          <w:p w14:paraId="41B30998">
            <w:pPr>
              <w:pStyle w:val="157"/>
              <w:topLinePunct/>
              <w:jc w:val="center"/>
              <w:rPr>
                <w:rFonts w:hint="eastAsia" w:ascii="仿宋" w:hAnsi="仿宋" w:eastAsia="仿宋" w:cs="仿宋"/>
                <w:color w:val="000000"/>
                <w:highlight w:val="none"/>
              </w:rPr>
            </w:pPr>
          </w:p>
        </w:tc>
        <w:tc>
          <w:tcPr>
            <w:tcW w:w="1468" w:type="dxa"/>
            <w:gridSpan w:val="2"/>
            <w:tcBorders>
              <w:top w:val="single" w:color="000000" w:sz="4" w:space="0"/>
              <w:left w:val="nil"/>
              <w:bottom w:val="single" w:color="000000" w:sz="4" w:space="0"/>
              <w:right w:val="single" w:color="000000" w:sz="4" w:space="0"/>
            </w:tcBorders>
            <w:noWrap w:val="0"/>
            <w:vAlign w:val="center"/>
          </w:tcPr>
          <w:p w14:paraId="6901FBE1">
            <w:pPr>
              <w:pStyle w:val="157"/>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职称</w:t>
            </w:r>
          </w:p>
        </w:tc>
        <w:tc>
          <w:tcPr>
            <w:tcW w:w="1891" w:type="dxa"/>
            <w:gridSpan w:val="2"/>
            <w:tcBorders>
              <w:top w:val="single" w:color="000000" w:sz="4" w:space="0"/>
              <w:left w:val="nil"/>
              <w:bottom w:val="single" w:color="000000" w:sz="4" w:space="0"/>
              <w:right w:val="single" w:color="000000" w:sz="4" w:space="0"/>
            </w:tcBorders>
            <w:noWrap w:val="0"/>
            <w:vAlign w:val="center"/>
          </w:tcPr>
          <w:p w14:paraId="1A7FA71A">
            <w:pPr>
              <w:pStyle w:val="157"/>
              <w:topLinePunct/>
              <w:jc w:val="center"/>
              <w:rPr>
                <w:rFonts w:hint="eastAsia" w:ascii="仿宋" w:hAnsi="仿宋" w:eastAsia="仿宋" w:cs="仿宋"/>
                <w:color w:val="000000"/>
                <w:highlight w:val="none"/>
              </w:rPr>
            </w:pPr>
          </w:p>
        </w:tc>
        <w:tc>
          <w:tcPr>
            <w:tcW w:w="985" w:type="dxa"/>
            <w:tcBorders>
              <w:top w:val="single" w:color="000000" w:sz="4" w:space="0"/>
              <w:left w:val="nil"/>
              <w:bottom w:val="single" w:color="000000" w:sz="4" w:space="0"/>
              <w:right w:val="single" w:color="000000" w:sz="4" w:space="0"/>
            </w:tcBorders>
            <w:noWrap w:val="0"/>
            <w:vAlign w:val="center"/>
          </w:tcPr>
          <w:p w14:paraId="11637B8A">
            <w:pPr>
              <w:pStyle w:val="157"/>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电话</w:t>
            </w:r>
          </w:p>
        </w:tc>
        <w:tc>
          <w:tcPr>
            <w:tcW w:w="1145" w:type="dxa"/>
            <w:tcBorders>
              <w:top w:val="single" w:color="000000" w:sz="4" w:space="0"/>
              <w:left w:val="nil"/>
              <w:bottom w:val="single" w:color="000000" w:sz="4" w:space="0"/>
              <w:right w:val="single" w:color="000000" w:sz="4" w:space="0"/>
            </w:tcBorders>
            <w:noWrap w:val="0"/>
            <w:vAlign w:val="center"/>
          </w:tcPr>
          <w:p w14:paraId="173D0D32">
            <w:pPr>
              <w:pStyle w:val="157"/>
              <w:topLinePunct/>
              <w:jc w:val="center"/>
              <w:rPr>
                <w:rFonts w:hint="eastAsia" w:ascii="仿宋" w:hAnsi="仿宋" w:eastAsia="仿宋" w:cs="仿宋"/>
                <w:color w:val="000000"/>
                <w:highlight w:val="none"/>
              </w:rPr>
            </w:pPr>
          </w:p>
        </w:tc>
      </w:tr>
      <w:tr w14:paraId="72CB44FB">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0B7E0BC1">
            <w:pPr>
              <w:pStyle w:val="157"/>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技术负责人</w:t>
            </w:r>
          </w:p>
        </w:tc>
        <w:tc>
          <w:tcPr>
            <w:tcW w:w="775" w:type="dxa"/>
            <w:tcBorders>
              <w:top w:val="nil"/>
              <w:left w:val="nil"/>
              <w:bottom w:val="single" w:color="000000" w:sz="4" w:space="0"/>
              <w:right w:val="single" w:color="000000" w:sz="4" w:space="0"/>
            </w:tcBorders>
            <w:noWrap w:val="0"/>
            <w:vAlign w:val="center"/>
          </w:tcPr>
          <w:p w14:paraId="72C21C86">
            <w:pPr>
              <w:pStyle w:val="157"/>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姓名</w:t>
            </w:r>
          </w:p>
        </w:tc>
        <w:tc>
          <w:tcPr>
            <w:tcW w:w="1345" w:type="dxa"/>
            <w:gridSpan w:val="2"/>
            <w:tcBorders>
              <w:top w:val="nil"/>
              <w:left w:val="nil"/>
              <w:bottom w:val="single" w:color="000000" w:sz="4" w:space="0"/>
              <w:right w:val="single" w:color="000000" w:sz="4" w:space="0"/>
            </w:tcBorders>
            <w:noWrap w:val="0"/>
            <w:vAlign w:val="center"/>
          </w:tcPr>
          <w:p w14:paraId="328E04CB">
            <w:pPr>
              <w:pStyle w:val="157"/>
              <w:topLinePunct/>
              <w:jc w:val="center"/>
              <w:rPr>
                <w:rFonts w:hint="eastAsia" w:ascii="仿宋" w:hAnsi="仿宋" w:eastAsia="仿宋" w:cs="仿宋"/>
                <w:color w:val="000000"/>
                <w:highlight w:val="none"/>
              </w:rPr>
            </w:pPr>
          </w:p>
        </w:tc>
        <w:tc>
          <w:tcPr>
            <w:tcW w:w="1468" w:type="dxa"/>
            <w:gridSpan w:val="2"/>
            <w:tcBorders>
              <w:top w:val="nil"/>
              <w:left w:val="nil"/>
              <w:bottom w:val="single" w:color="000000" w:sz="4" w:space="0"/>
              <w:right w:val="single" w:color="000000" w:sz="4" w:space="0"/>
            </w:tcBorders>
            <w:noWrap w:val="0"/>
            <w:vAlign w:val="center"/>
          </w:tcPr>
          <w:p w14:paraId="087E576C">
            <w:pPr>
              <w:pStyle w:val="157"/>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职称</w:t>
            </w:r>
          </w:p>
        </w:tc>
        <w:tc>
          <w:tcPr>
            <w:tcW w:w="1891" w:type="dxa"/>
            <w:gridSpan w:val="2"/>
            <w:tcBorders>
              <w:top w:val="nil"/>
              <w:left w:val="nil"/>
              <w:bottom w:val="single" w:color="000000" w:sz="4" w:space="0"/>
              <w:right w:val="single" w:color="000000" w:sz="4" w:space="0"/>
            </w:tcBorders>
            <w:noWrap w:val="0"/>
            <w:vAlign w:val="center"/>
          </w:tcPr>
          <w:p w14:paraId="317711EA">
            <w:pPr>
              <w:pStyle w:val="157"/>
              <w:topLinePunct/>
              <w:jc w:val="center"/>
              <w:rPr>
                <w:rFonts w:hint="eastAsia" w:ascii="仿宋" w:hAnsi="仿宋" w:eastAsia="仿宋" w:cs="仿宋"/>
                <w:color w:val="000000"/>
                <w:highlight w:val="none"/>
              </w:rPr>
            </w:pPr>
          </w:p>
        </w:tc>
        <w:tc>
          <w:tcPr>
            <w:tcW w:w="985" w:type="dxa"/>
            <w:tcBorders>
              <w:top w:val="nil"/>
              <w:left w:val="nil"/>
              <w:bottom w:val="single" w:color="000000" w:sz="4" w:space="0"/>
              <w:right w:val="single" w:color="000000" w:sz="4" w:space="0"/>
            </w:tcBorders>
            <w:noWrap w:val="0"/>
            <w:vAlign w:val="center"/>
          </w:tcPr>
          <w:p w14:paraId="0D0DDBD1">
            <w:pPr>
              <w:pStyle w:val="157"/>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电话</w:t>
            </w:r>
          </w:p>
        </w:tc>
        <w:tc>
          <w:tcPr>
            <w:tcW w:w="1145" w:type="dxa"/>
            <w:tcBorders>
              <w:top w:val="nil"/>
              <w:left w:val="nil"/>
              <w:bottom w:val="single" w:color="000000" w:sz="4" w:space="0"/>
              <w:right w:val="single" w:color="000000" w:sz="4" w:space="0"/>
            </w:tcBorders>
            <w:noWrap w:val="0"/>
            <w:vAlign w:val="center"/>
          </w:tcPr>
          <w:p w14:paraId="5531659F">
            <w:pPr>
              <w:pStyle w:val="157"/>
              <w:topLinePunct/>
              <w:jc w:val="center"/>
              <w:rPr>
                <w:rFonts w:hint="eastAsia" w:ascii="仿宋" w:hAnsi="仿宋" w:eastAsia="仿宋" w:cs="仿宋"/>
                <w:color w:val="000000"/>
                <w:highlight w:val="none"/>
              </w:rPr>
            </w:pPr>
          </w:p>
        </w:tc>
      </w:tr>
      <w:tr w14:paraId="220672D5">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70BDF627">
            <w:pPr>
              <w:pStyle w:val="157"/>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成立时间</w:t>
            </w:r>
          </w:p>
        </w:tc>
        <w:tc>
          <w:tcPr>
            <w:tcW w:w="2120" w:type="dxa"/>
            <w:gridSpan w:val="3"/>
            <w:tcBorders>
              <w:top w:val="nil"/>
              <w:left w:val="nil"/>
              <w:bottom w:val="single" w:color="000000" w:sz="4" w:space="0"/>
              <w:right w:val="single" w:color="000000" w:sz="4" w:space="0"/>
            </w:tcBorders>
            <w:noWrap w:val="0"/>
            <w:vAlign w:val="center"/>
          </w:tcPr>
          <w:p w14:paraId="3E543E43">
            <w:pPr>
              <w:pStyle w:val="157"/>
              <w:topLinePunct/>
              <w:jc w:val="center"/>
              <w:rPr>
                <w:rFonts w:hint="eastAsia" w:ascii="仿宋" w:hAnsi="仿宋" w:eastAsia="仿宋" w:cs="仿宋"/>
                <w:color w:val="000000"/>
                <w:highlight w:val="none"/>
              </w:rPr>
            </w:pPr>
          </w:p>
        </w:tc>
        <w:tc>
          <w:tcPr>
            <w:tcW w:w="5489" w:type="dxa"/>
            <w:gridSpan w:val="6"/>
            <w:tcBorders>
              <w:top w:val="nil"/>
              <w:left w:val="nil"/>
              <w:bottom w:val="single" w:color="000000" w:sz="4" w:space="0"/>
              <w:right w:val="single" w:color="000000" w:sz="4" w:space="0"/>
            </w:tcBorders>
            <w:noWrap w:val="0"/>
            <w:vAlign w:val="center"/>
          </w:tcPr>
          <w:p w14:paraId="1D22419D">
            <w:pPr>
              <w:pStyle w:val="157"/>
              <w:topLinePunct/>
              <w:ind w:firstLine="105"/>
              <w:jc w:val="center"/>
              <w:rPr>
                <w:rFonts w:hint="eastAsia" w:ascii="仿宋" w:hAnsi="仿宋" w:eastAsia="仿宋" w:cs="仿宋"/>
                <w:color w:val="000000"/>
                <w:highlight w:val="none"/>
              </w:rPr>
            </w:pPr>
            <w:r>
              <w:rPr>
                <w:rFonts w:hint="eastAsia" w:ascii="仿宋" w:hAnsi="仿宋" w:eastAsia="仿宋" w:cs="仿宋"/>
                <w:color w:val="000000"/>
                <w:highlight w:val="none"/>
              </w:rPr>
              <w:t>员工总人数：</w:t>
            </w:r>
          </w:p>
        </w:tc>
      </w:tr>
      <w:tr w14:paraId="437FC4B4">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61F570F0">
            <w:pPr>
              <w:pStyle w:val="157"/>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企业资质等级</w:t>
            </w:r>
          </w:p>
        </w:tc>
        <w:tc>
          <w:tcPr>
            <w:tcW w:w="2120" w:type="dxa"/>
            <w:gridSpan w:val="3"/>
            <w:tcBorders>
              <w:top w:val="nil"/>
              <w:left w:val="nil"/>
              <w:bottom w:val="single" w:color="000000" w:sz="4" w:space="0"/>
              <w:right w:val="single" w:color="000000" w:sz="4" w:space="0"/>
            </w:tcBorders>
            <w:noWrap w:val="0"/>
            <w:vAlign w:val="center"/>
          </w:tcPr>
          <w:p w14:paraId="47B46F5F">
            <w:pPr>
              <w:pStyle w:val="157"/>
              <w:topLinePunct/>
              <w:jc w:val="center"/>
              <w:rPr>
                <w:rFonts w:hint="eastAsia" w:ascii="仿宋" w:hAnsi="仿宋" w:eastAsia="仿宋" w:cs="仿宋"/>
                <w:color w:val="000000"/>
                <w:highlight w:val="none"/>
              </w:rPr>
            </w:pPr>
          </w:p>
        </w:tc>
        <w:tc>
          <w:tcPr>
            <w:tcW w:w="713" w:type="dxa"/>
            <w:vMerge w:val="restart"/>
            <w:tcBorders>
              <w:top w:val="nil"/>
              <w:left w:val="nil"/>
              <w:bottom w:val="single" w:color="000000" w:sz="4" w:space="0"/>
              <w:right w:val="single" w:color="000000" w:sz="4" w:space="0"/>
            </w:tcBorders>
            <w:noWrap w:val="0"/>
            <w:vAlign w:val="center"/>
          </w:tcPr>
          <w:p w14:paraId="3FA3D3BA">
            <w:pPr>
              <w:pStyle w:val="157"/>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其中</w:t>
            </w:r>
          </w:p>
        </w:tc>
        <w:tc>
          <w:tcPr>
            <w:tcW w:w="2646" w:type="dxa"/>
            <w:gridSpan w:val="3"/>
            <w:tcBorders>
              <w:top w:val="single" w:color="000000" w:sz="4" w:space="0"/>
              <w:left w:val="nil"/>
              <w:bottom w:val="single" w:color="000000" w:sz="4" w:space="0"/>
              <w:right w:val="single" w:color="000000" w:sz="4" w:space="0"/>
            </w:tcBorders>
            <w:noWrap w:val="0"/>
            <w:vAlign w:val="center"/>
          </w:tcPr>
          <w:p w14:paraId="255B26B2">
            <w:pPr>
              <w:pStyle w:val="157"/>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项目负责人</w:t>
            </w:r>
          </w:p>
        </w:tc>
        <w:tc>
          <w:tcPr>
            <w:tcW w:w="2130" w:type="dxa"/>
            <w:gridSpan w:val="2"/>
            <w:tcBorders>
              <w:top w:val="single" w:color="000000" w:sz="4" w:space="0"/>
              <w:left w:val="nil"/>
              <w:bottom w:val="single" w:color="000000" w:sz="4" w:space="0"/>
              <w:right w:val="single" w:color="000000" w:sz="4" w:space="0"/>
            </w:tcBorders>
            <w:noWrap w:val="0"/>
            <w:vAlign w:val="center"/>
          </w:tcPr>
          <w:p w14:paraId="011716F1">
            <w:pPr>
              <w:pStyle w:val="157"/>
              <w:topLinePunct/>
              <w:jc w:val="center"/>
              <w:rPr>
                <w:rFonts w:hint="eastAsia" w:ascii="仿宋" w:hAnsi="仿宋" w:eastAsia="仿宋" w:cs="仿宋"/>
                <w:color w:val="000000"/>
                <w:highlight w:val="none"/>
              </w:rPr>
            </w:pPr>
          </w:p>
        </w:tc>
      </w:tr>
      <w:tr w14:paraId="24F6F84C">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3C5983A4">
            <w:pPr>
              <w:pStyle w:val="157"/>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营业执照号</w:t>
            </w:r>
          </w:p>
        </w:tc>
        <w:tc>
          <w:tcPr>
            <w:tcW w:w="2120" w:type="dxa"/>
            <w:gridSpan w:val="3"/>
            <w:tcBorders>
              <w:top w:val="nil"/>
              <w:left w:val="nil"/>
              <w:bottom w:val="single" w:color="000000" w:sz="4" w:space="0"/>
              <w:right w:val="single" w:color="000000" w:sz="4" w:space="0"/>
            </w:tcBorders>
            <w:noWrap w:val="0"/>
            <w:vAlign w:val="center"/>
          </w:tcPr>
          <w:p w14:paraId="67B1ABB1">
            <w:pPr>
              <w:pStyle w:val="157"/>
              <w:topLinePunct/>
              <w:jc w:val="center"/>
              <w:rPr>
                <w:rFonts w:hint="eastAsia" w:ascii="仿宋" w:hAnsi="仿宋" w:eastAsia="仿宋" w:cs="仿宋"/>
                <w:color w:val="000000"/>
                <w:highlight w:val="none"/>
              </w:rPr>
            </w:pPr>
          </w:p>
        </w:tc>
        <w:tc>
          <w:tcPr>
            <w:tcW w:w="713" w:type="dxa"/>
            <w:vMerge w:val="continue"/>
            <w:tcBorders>
              <w:top w:val="nil"/>
              <w:left w:val="nil"/>
              <w:bottom w:val="single" w:color="000000" w:sz="4" w:space="0"/>
              <w:right w:val="single" w:color="000000" w:sz="4" w:space="0"/>
            </w:tcBorders>
            <w:noWrap w:val="0"/>
            <w:vAlign w:val="center"/>
          </w:tcPr>
          <w:p w14:paraId="1D597AD7">
            <w:pPr>
              <w:rPr>
                <w:rFonts w:hint="eastAsia" w:ascii="仿宋" w:hAnsi="仿宋" w:eastAsia="仿宋" w:cs="仿宋"/>
                <w:color w:val="000000"/>
                <w:szCs w:val="21"/>
                <w:highlight w:val="none"/>
              </w:rPr>
            </w:pPr>
          </w:p>
        </w:tc>
        <w:tc>
          <w:tcPr>
            <w:tcW w:w="2646" w:type="dxa"/>
            <w:gridSpan w:val="3"/>
            <w:tcBorders>
              <w:top w:val="nil"/>
              <w:left w:val="nil"/>
              <w:bottom w:val="single" w:color="000000" w:sz="4" w:space="0"/>
              <w:right w:val="single" w:color="000000" w:sz="4" w:space="0"/>
            </w:tcBorders>
            <w:noWrap w:val="0"/>
            <w:vAlign w:val="center"/>
          </w:tcPr>
          <w:p w14:paraId="5FC25C35">
            <w:pPr>
              <w:pStyle w:val="157"/>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高级职称人员</w:t>
            </w:r>
          </w:p>
        </w:tc>
        <w:tc>
          <w:tcPr>
            <w:tcW w:w="2130" w:type="dxa"/>
            <w:gridSpan w:val="2"/>
            <w:tcBorders>
              <w:top w:val="nil"/>
              <w:left w:val="nil"/>
              <w:bottom w:val="single" w:color="000000" w:sz="4" w:space="0"/>
              <w:right w:val="single" w:color="000000" w:sz="4" w:space="0"/>
            </w:tcBorders>
            <w:noWrap w:val="0"/>
            <w:vAlign w:val="center"/>
          </w:tcPr>
          <w:p w14:paraId="114A9F24">
            <w:pPr>
              <w:pStyle w:val="157"/>
              <w:topLinePunct/>
              <w:jc w:val="center"/>
              <w:rPr>
                <w:rFonts w:hint="eastAsia" w:ascii="仿宋" w:hAnsi="仿宋" w:eastAsia="仿宋" w:cs="仿宋"/>
                <w:color w:val="000000"/>
                <w:highlight w:val="none"/>
              </w:rPr>
            </w:pPr>
          </w:p>
        </w:tc>
      </w:tr>
      <w:tr w14:paraId="60F510A5">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739C9387">
            <w:pPr>
              <w:pStyle w:val="157"/>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注册资金</w:t>
            </w:r>
          </w:p>
        </w:tc>
        <w:tc>
          <w:tcPr>
            <w:tcW w:w="2120" w:type="dxa"/>
            <w:gridSpan w:val="3"/>
            <w:tcBorders>
              <w:top w:val="nil"/>
              <w:left w:val="nil"/>
              <w:bottom w:val="single" w:color="000000" w:sz="4" w:space="0"/>
              <w:right w:val="single" w:color="000000" w:sz="4" w:space="0"/>
            </w:tcBorders>
            <w:noWrap w:val="0"/>
            <w:vAlign w:val="center"/>
          </w:tcPr>
          <w:p w14:paraId="726B7A04">
            <w:pPr>
              <w:pStyle w:val="157"/>
              <w:topLinePunct/>
              <w:jc w:val="center"/>
              <w:rPr>
                <w:rFonts w:hint="eastAsia" w:ascii="仿宋" w:hAnsi="仿宋" w:eastAsia="仿宋" w:cs="仿宋"/>
                <w:color w:val="000000"/>
                <w:highlight w:val="none"/>
              </w:rPr>
            </w:pPr>
          </w:p>
        </w:tc>
        <w:tc>
          <w:tcPr>
            <w:tcW w:w="713" w:type="dxa"/>
            <w:vMerge w:val="continue"/>
            <w:tcBorders>
              <w:top w:val="nil"/>
              <w:left w:val="nil"/>
              <w:bottom w:val="single" w:color="000000" w:sz="4" w:space="0"/>
              <w:right w:val="single" w:color="000000" w:sz="4" w:space="0"/>
            </w:tcBorders>
            <w:noWrap w:val="0"/>
            <w:vAlign w:val="center"/>
          </w:tcPr>
          <w:p w14:paraId="03967416">
            <w:pPr>
              <w:rPr>
                <w:rFonts w:hint="eastAsia" w:ascii="仿宋" w:hAnsi="仿宋" w:eastAsia="仿宋" w:cs="仿宋"/>
                <w:color w:val="000000"/>
                <w:szCs w:val="21"/>
                <w:highlight w:val="none"/>
              </w:rPr>
            </w:pPr>
          </w:p>
        </w:tc>
        <w:tc>
          <w:tcPr>
            <w:tcW w:w="2646" w:type="dxa"/>
            <w:gridSpan w:val="3"/>
            <w:tcBorders>
              <w:top w:val="nil"/>
              <w:left w:val="nil"/>
              <w:bottom w:val="single" w:color="000000" w:sz="4" w:space="0"/>
              <w:right w:val="single" w:color="000000" w:sz="4" w:space="0"/>
            </w:tcBorders>
            <w:noWrap w:val="0"/>
            <w:vAlign w:val="center"/>
          </w:tcPr>
          <w:p w14:paraId="0E3F9E6A">
            <w:pPr>
              <w:pStyle w:val="157"/>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中级职称人员</w:t>
            </w:r>
          </w:p>
        </w:tc>
        <w:tc>
          <w:tcPr>
            <w:tcW w:w="2130" w:type="dxa"/>
            <w:gridSpan w:val="2"/>
            <w:tcBorders>
              <w:top w:val="nil"/>
              <w:left w:val="nil"/>
              <w:bottom w:val="single" w:color="000000" w:sz="4" w:space="0"/>
              <w:right w:val="single" w:color="000000" w:sz="4" w:space="0"/>
            </w:tcBorders>
            <w:noWrap w:val="0"/>
            <w:vAlign w:val="center"/>
          </w:tcPr>
          <w:p w14:paraId="72F2BBD9">
            <w:pPr>
              <w:pStyle w:val="157"/>
              <w:topLinePunct/>
              <w:jc w:val="center"/>
              <w:rPr>
                <w:rFonts w:hint="eastAsia" w:ascii="仿宋" w:hAnsi="仿宋" w:eastAsia="仿宋" w:cs="仿宋"/>
                <w:color w:val="000000"/>
                <w:highlight w:val="none"/>
              </w:rPr>
            </w:pPr>
          </w:p>
        </w:tc>
      </w:tr>
      <w:tr w14:paraId="51FC8A3B">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52843975">
            <w:pPr>
              <w:pStyle w:val="157"/>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开户银行</w:t>
            </w:r>
          </w:p>
        </w:tc>
        <w:tc>
          <w:tcPr>
            <w:tcW w:w="2120" w:type="dxa"/>
            <w:gridSpan w:val="3"/>
            <w:tcBorders>
              <w:top w:val="nil"/>
              <w:left w:val="nil"/>
              <w:bottom w:val="single" w:color="000000" w:sz="4" w:space="0"/>
              <w:right w:val="single" w:color="000000" w:sz="4" w:space="0"/>
            </w:tcBorders>
            <w:noWrap w:val="0"/>
            <w:vAlign w:val="center"/>
          </w:tcPr>
          <w:p w14:paraId="34B8C2ED">
            <w:pPr>
              <w:pStyle w:val="157"/>
              <w:topLinePunct/>
              <w:jc w:val="center"/>
              <w:rPr>
                <w:rFonts w:hint="eastAsia" w:ascii="仿宋" w:hAnsi="仿宋" w:eastAsia="仿宋" w:cs="仿宋"/>
                <w:color w:val="000000"/>
                <w:highlight w:val="none"/>
              </w:rPr>
            </w:pPr>
          </w:p>
        </w:tc>
        <w:tc>
          <w:tcPr>
            <w:tcW w:w="713" w:type="dxa"/>
            <w:vMerge w:val="continue"/>
            <w:tcBorders>
              <w:top w:val="nil"/>
              <w:left w:val="nil"/>
              <w:bottom w:val="single" w:color="000000" w:sz="4" w:space="0"/>
              <w:right w:val="single" w:color="000000" w:sz="4" w:space="0"/>
            </w:tcBorders>
            <w:noWrap w:val="0"/>
            <w:vAlign w:val="center"/>
          </w:tcPr>
          <w:p w14:paraId="19EDA445">
            <w:pPr>
              <w:rPr>
                <w:rFonts w:hint="eastAsia" w:ascii="仿宋" w:hAnsi="仿宋" w:eastAsia="仿宋" w:cs="仿宋"/>
                <w:color w:val="000000"/>
                <w:szCs w:val="21"/>
                <w:highlight w:val="none"/>
              </w:rPr>
            </w:pPr>
          </w:p>
        </w:tc>
        <w:tc>
          <w:tcPr>
            <w:tcW w:w="2646" w:type="dxa"/>
            <w:gridSpan w:val="3"/>
            <w:vMerge w:val="restart"/>
            <w:tcBorders>
              <w:top w:val="nil"/>
              <w:left w:val="nil"/>
              <w:right w:val="single" w:color="000000" w:sz="4" w:space="0"/>
            </w:tcBorders>
            <w:noWrap w:val="0"/>
            <w:vAlign w:val="center"/>
          </w:tcPr>
          <w:p w14:paraId="6B904C1D">
            <w:pPr>
              <w:pStyle w:val="157"/>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初级职称人员</w:t>
            </w:r>
          </w:p>
        </w:tc>
        <w:tc>
          <w:tcPr>
            <w:tcW w:w="2130" w:type="dxa"/>
            <w:gridSpan w:val="2"/>
            <w:vMerge w:val="restart"/>
            <w:tcBorders>
              <w:top w:val="nil"/>
              <w:left w:val="nil"/>
              <w:right w:val="single" w:color="000000" w:sz="4" w:space="0"/>
            </w:tcBorders>
            <w:noWrap w:val="0"/>
            <w:vAlign w:val="center"/>
          </w:tcPr>
          <w:p w14:paraId="65E65108">
            <w:pPr>
              <w:pStyle w:val="157"/>
              <w:topLinePunct/>
              <w:jc w:val="center"/>
              <w:rPr>
                <w:rFonts w:hint="eastAsia" w:ascii="仿宋" w:hAnsi="仿宋" w:eastAsia="仿宋" w:cs="仿宋"/>
                <w:color w:val="000000"/>
                <w:highlight w:val="none"/>
              </w:rPr>
            </w:pPr>
          </w:p>
        </w:tc>
      </w:tr>
      <w:tr w14:paraId="3A077067">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69F14E39">
            <w:pPr>
              <w:pStyle w:val="157"/>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账号</w:t>
            </w:r>
          </w:p>
        </w:tc>
        <w:tc>
          <w:tcPr>
            <w:tcW w:w="2120" w:type="dxa"/>
            <w:gridSpan w:val="3"/>
            <w:tcBorders>
              <w:top w:val="nil"/>
              <w:left w:val="nil"/>
              <w:bottom w:val="single" w:color="000000" w:sz="4" w:space="0"/>
              <w:right w:val="single" w:color="000000" w:sz="4" w:space="0"/>
            </w:tcBorders>
            <w:noWrap w:val="0"/>
            <w:vAlign w:val="center"/>
          </w:tcPr>
          <w:p w14:paraId="1D083C09">
            <w:pPr>
              <w:pStyle w:val="157"/>
              <w:topLinePunct/>
              <w:jc w:val="center"/>
              <w:rPr>
                <w:rFonts w:hint="eastAsia" w:ascii="仿宋" w:hAnsi="仿宋" w:eastAsia="仿宋" w:cs="仿宋"/>
                <w:color w:val="000000"/>
                <w:highlight w:val="none"/>
              </w:rPr>
            </w:pPr>
          </w:p>
        </w:tc>
        <w:tc>
          <w:tcPr>
            <w:tcW w:w="713" w:type="dxa"/>
            <w:vMerge w:val="continue"/>
            <w:tcBorders>
              <w:top w:val="nil"/>
              <w:left w:val="nil"/>
              <w:bottom w:val="single" w:color="000000" w:sz="4" w:space="0"/>
              <w:right w:val="single" w:color="000000" w:sz="4" w:space="0"/>
            </w:tcBorders>
            <w:noWrap w:val="0"/>
            <w:vAlign w:val="center"/>
          </w:tcPr>
          <w:p w14:paraId="3225DDCE">
            <w:pPr>
              <w:rPr>
                <w:rFonts w:hint="eastAsia" w:ascii="仿宋" w:hAnsi="仿宋" w:eastAsia="仿宋" w:cs="仿宋"/>
                <w:color w:val="000000"/>
                <w:szCs w:val="21"/>
                <w:highlight w:val="none"/>
              </w:rPr>
            </w:pPr>
          </w:p>
        </w:tc>
        <w:tc>
          <w:tcPr>
            <w:tcW w:w="2646" w:type="dxa"/>
            <w:gridSpan w:val="3"/>
            <w:vMerge w:val="continue"/>
            <w:tcBorders>
              <w:left w:val="nil"/>
              <w:bottom w:val="single" w:color="000000" w:sz="4" w:space="0"/>
              <w:right w:val="single" w:color="000000" w:sz="4" w:space="0"/>
            </w:tcBorders>
            <w:noWrap w:val="0"/>
            <w:vAlign w:val="center"/>
          </w:tcPr>
          <w:p w14:paraId="0DFED0B8">
            <w:pPr>
              <w:pStyle w:val="157"/>
              <w:topLinePunct/>
              <w:jc w:val="center"/>
              <w:rPr>
                <w:rFonts w:hint="eastAsia" w:ascii="仿宋" w:hAnsi="仿宋" w:eastAsia="仿宋" w:cs="仿宋"/>
                <w:color w:val="000000"/>
                <w:highlight w:val="none"/>
              </w:rPr>
            </w:pPr>
          </w:p>
        </w:tc>
        <w:tc>
          <w:tcPr>
            <w:tcW w:w="2130" w:type="dxa"/>
            <w:gridSpan w:val="2"/>
            <w:vMerge w:val="continue"/>
            <w:tcBorders>
              <w:left w:val="nil"/>
              <w:bottom w:val="single" w:color="000000" w:sz="4" w:space="0"/>
              <w:right w:val="single" w:color="000000" w:sz="4" w:space="0"/>
            </w:tcBorders>
            <w:noWrap w:val="0"/>
            <w:vAlign w:val="center"/>
          </w:tcPr>
          <w:p w14:paraId="58AACA6B">
            <w:pPr>
              <w:pStyle w:val="157"/>
              <w:topLinePunct/>
              <w:jc w:val="center"/>
              <w:rPr>
                <w:rFonts w:hint="eastAsia" w:ascii="仿宋" w:hAnsi="仿宋" w:eastAsia="仿宋" w:cs="仿宋"/>
                <w:color w:val="000000"/>
                <w:highlight w:val="none"/>
              </w:rPr>
            </w:pPr>
          </w:p>
        </w:tc>
      </w:tr>
      <w:tr w14:paraId="69781F90">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08ECA3D9">
            <w:pPr>
              <w:pStyle w:val="157"/>
              <w:topLinePunct/>
              <w:ind w:firstLine="210"/>
              <w:jc w:val="center"/>
              <w:rPr>
                <w:rFonts w:hint="eastAsia" w:ascii="仿宋" w:hAnsi="仿宋" w:eastAsia="仿宋" w:cs="仿宋"/>
                <w:color w:val="000000"/>
                <w:highlight w:val="none"/>
              </w:rPr>
            </w:pPr>
            <w:r>
              <w:rPr>
                <w:rFonts w:hint="eastAsia" w:ascii="仿宋" w:hAnsi="仿宋" w:eastAsia="仿宋" w:cs="仿宋"/>
                <w:color w:val="000000"/>
                <w:highlight w:val="none"/>
              </w:rPr>
              <w:t>经营范围</w:t>
            </w:r>
          </w:p>
        </w:tc>
        <w:tc>
          <w:tcPr>
            <w:tcW w:w="7609" w:type="dxa"/>
            <w:gridSpan w:val="9"/>
            <w:tcBorders>
              <w:top w:val="nil"/>
              <w:left w:val="nil"/>
              <w:bottom w:val="single" w:color="000000" w:sz="4" w:space="0"/>
              <w:right w:val="single" w:color="000000" w:sz="4" w:space="0"/>
            </w:tcBorders>
            <w:noWrap w:val="0"/>
            <w:vAlign w:val="center"/>
          </w:tcPr>
          <w:p w14:paraId="73FEF424">
            <w:pPr>
              <w:pStyle w:val="157"/>
              <w:topLinePunct/>
              <w:rPr>
                <w:rFonts w:hint="eastAsia" w:ascii="仿宋" w:hAnsi="仿宋" w:eastAsia="仿宋" w:cs="仿宋"/>
                <w:color w:val="000000"/>
                <w:highlight w:val="none"/>
              </w:rPr>
            </w:pPr>
          </w:p>
        </w:tc>
      </w:tr>
      <w:tr w14:paraId="64880665">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6300EE3C">
            <w:pPr>
              <w:pStyle w:val="157"/>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备注</w:t>
            </w:r>
          </w:p>
        </w:tc>
        <w:tc>
          <w:tcPr>
            <w:tcW w:w="7609" w:type="dxa"/>
            <w:gridSpan w:val="9"/>
            <w:tcBorders>
              <w:top w:val="nil"/>
              <w:left w:val="nil"/>
              <w:bottom w:val="single" w:color="000000" w:sz="4" w:space="0"/>
              <w:right w:val="single" w:color="000000" w:sz="4" w:space="0"/>
            </w:tcBorders>
            <w:noWrap w:val="0"/>
            <w:vAlign w:val="center"/>
          </w:tcPr>
          <w:p w14:paraId="57159967">
            <w:pPr>
              <w:pStyle w:val="157"/>
              <w:topLinePunct/>
              <w:jc w:val="center"/>
              <w:rPr>
                <w:rFonts w:hint="eastAsia" w:ascii="仿宋" w:hAnsi="仿宋" w:eastAsia="仿宋" w:cs="仿宋"/>
                <w:color w:val="000000"/>
                <w:highlight w:val="none"/>
              </w:rPr>
            </w:pPr>
          </w:p>
        </w:tc>
      </w:tr>
    </w:tbl>
    <w:p w14:paraId="1B4156F1">
      <w:pPr>
        <w:pStyle w:val="157"/>
        <w:jc w:val="left"/>
        <w:rPr>
          <w:rFonts w:hint="eastAsia" w:ascii="仿宋" w:hAnsi="仿宋" w:eastAsia="仿宋" w:cs="仿宋"/>
          <w:b/>
          <w:color w:val="000000"/>
          <w:sz w:val="24"/>
          <w:szCs w:val="24"/>
          <w:highlight w:val="none"/>
        </w:rPr>
      </w:pPr>
      <w:r>
        <w:rPr>
          <w:rFonts w:hint="eastAsia" w:ascii="仿宋" w:hAnsi="仿宋" w:eastAsia="仿宋" w:cs="宋体"/>
          <w:b/>
          <w:color w:val="000000"/>
          <w:sz w:val="24"/>
          <w:szCs w:val="24"/>
          <w:highlight w:val="none"/>
        </w:rPr>
        <w:t>注：</w:t>
      </w:r>
      <w:r>
        <w:rPr>
          <w:rFonts w:hint="eastAsia" w:ascii="仿宋" w:hAnsi="仿宋" w:eastAsia="仿宋" w:cs="宋体"/>
          <w:b/>
          <w:color w:val="000000"/>
          <w:sz w:val="24"/>
          <w:szCs w:val="24"/>
        </w:rPr>
        <w:t>提供由工商部门核发的最新营业执照（正副本皆可）。</w:t>
      </w:r>
    </w:p>
    <w:p w14:paraId="767D1B9F">
      <w:pPr>
        <w:pStyle w:val="157"/>
        <w:jc w:val="left"/>
        <w:rPr>
          <w:rFonts w:hint="eastAsia" w:ascii="仿宋" w:hAnsi="仿宋" w:eastAsia="仿宋" w:cs="仿宋"/>
          <w:b/>
          <w:color w:val="000000"/>
          <w:highlight w:val="none"/>
        </w:rPr>
      </w:pPr>
    </w:p>
    <w:p w14:paraId="2CD09697">
      <w:pPr>
        <w:pStyle w:val="157"/>
        <w:jc w:val="left"/>
        <w:rPr>
          <w:rFonts w:hint="eastAsia" w:ascii="仿宋" w:hAnsi="仿宋" w:eastAsia="仿宋" w:cs="仿宋"/>
          <w:b/>
          <w:color w:val="000000"/>
          <w:highlight w:val="none"/>
          <w:lang w:eastAsia="zh-CN"/>
        </w:rPr>
      </w:pPr>
    </w:p>
    <w:p w14:paraId="33CE0840">
      <w:pPr>
        <w:pStyle w:val="157"/>
        <w:jc w:val="left"/>
        <w:rPr>
          <w:rFonts w:hint="eastAsia" w:ascii="仿宋" w:hAnsi="仿宋" w:eastAsia="仿宋" w:cs="仿宋"/>
          <w:b/>
          <w:color w:val="000000"/>
          <w:highlight w:val="none"/>
          <w:lang w:eastAsia="zh-CN"/>
        </w:rPr>
      </w:pPr>
    </w:p>
    <w:p w14:paraId="7058D389">
      <w:pPr>
        <w:spacing w:line="360" w:lineRule="auto"/>
        <w:ind w:firstLine="4080" w:firstLineChars="1700"/>
        <w:jc w:val="right"/>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lang w:val="en-US" w:eastAsia="zh-CN"/>
        </w:rPr>
        <w:t>供应商</w:t>
      </w:r>
      <w:r>
        <w:rPr>
          <w:rFonts w:hint="eastAsia" w:ascii="仿宋" w:hAnsi="仿宋" w:eastAsia="仿宋" w:cs="Cambria Math"/>
          <w:color w:val="000000"/>
          <w:sz w:val="24"/>
          <w:highlight w:val="none"/>
        </w:rPr>
        <w:t>名称：</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（盖章）</w:t>
      </w:r>
    </w:p>
    <w:p w14:paraId="12EC3C87">
      <w:pPr>
        <w:spacing w:line="360" w:lineRule="auto"/>
        <w:jc w:val="right"/>
        <w:rPr>
          <w:rFonts w:hint="eastAsia" w:ascii="仿宋" w:hAnsi="仿宋" w:eastAsia="仿宋" w:cs="Cambria Math"/>
          <w:b/>
          <w:bCs/>
          <w:color w:val="000000"/>
          <w:sz w:val="24"/>
          <w:highlight w:val="none"/>
        </w:rPr>
      </w:pPr>
      <w:r>
        <w:rPr>
          <w:rFonts w:hint="eastAsia" w:ascii="仿宋" w:hAnsi="仿宋" w:eastAsia="仿宋" w:cs="Cambria Math"/>
          <w:color w:val="000000"/>
          <w:sz w:val="24"/>
          <w:highlight w:val="none"/>
        </w:rPr>
        <w:t>日期：</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年</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月</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日</w:t>
      </w:r>
    </w:p>
    <w:p w14:paraId="7F1BC4B2">
      <w:pPr>
        <w:pStyle w:val="6"/>
        <w:numPr>
          <w:ilvl w:val="0"/>
          <w:numId w:val="0"/>
        </w:numPr>
        <w:spacing w:before="0" w:after="0" w:line="360" w:lineRule="auto"/>
        <w:rPr>
          <w:rFonts w:hint="eastAsia" w:ascii="仿宋" w:hAnsi="仿宋" w:eastAsia="仿宋" w:cs="仿宋"/>
          <w:color w:val="000000"/>
          <w:sz w:val="24"/>
          <w:szCs w:val="24"/>
          <w:highlight w:val="none"/>
        </w:rPr>
      </w:pPr>
      <w:r>
        <w:rPr>
          <w:rFonts w:hint="eastAsia" w:ascii="仿宋" w:hAnsi="仿宋" w:cs="仿宋"/>
          <w:color w:val="000000"/>
          <w:highlight w:val="none"/>
        </w:rPr>
        <w:br w:type="page"/>
      </w:r>
      <w:r>
        <w:rPr>
          <w:rFonts w:hint="eastAsia" w:ascii="仿宋" w:hAnsi="仿宋" w:eastAsia="仿宋" w:cs="仿宋"/>
          <w:color w:val="000000"/>
          <w:sz w:val="24"/>
          <w:szCs w:val="24"/>
          <w:highlight w:val="none"/>
          <w:lang w:val="en-US" w:eastAsia="zh-CN"/>
        </w:rPr>
        <w:t>2、</w:t>
      </w:r>
      <w:r>
        <w:rPr>
          <w:rFonts w:hint="eastAsia" w:ascii="仿宋" w:hAnsi="仿宋" w:eastAsia="仿宋" w:cs="仿宋"/>
          <w:color w:val="000000"/>
          <w:sz w:val="24"/>
          <w:szCs w:val="24"/>
          <w:highlight w:val="none"/>
        </w:rPr>
        <w:t>财务审计报告或银行资信证明</w:t>
      </w:r>
    </w:p>
    <w:p w14:paraId="41BE6381">
      <w:pPr>
        <w:spacing w:line="360" w:lineRule="auto"/>
        <w:ind w:firstLine="480" w:firstLineChars="200"/>
        <w:textAlignment w:val="baseline"/>
        <w:rPr>
          <w:rFonts w:hint="eastAsia" w:ascii="仿宋" w:hAnsi="仿宋" w:eastAsia="仿宋" w:cs="仿宋"/>
          <w:b w:val="0"/>
          <w:bCs w:val="0"/>
          <w:color w:val="FF0000"/>
          <w:sz w:val="24"/>
          <w:szCs w:val="24"/>
          <w:highlight w:val="none"/>
        </w:rPr>
      </w:pPr>
      <w:r>
        <w:rPr>
          <w:rFonts w:hint="eastAsia" w:ascii="仿宋" w:hAnsi="仿宋" w:eastAsia="仿宋" w:cs="仿宋"/>
          <w:b w:val="0"/>
          <w:bCs w:val="0"/>
          <w:color w:val="FF0000"/>
          <w:sz w:val="24"/>
          <w:szCs w:val="24"/>
          <w:highlight w:val="none"/>
        </w:rPr>
        <w:t>（可以根据项目实际情况选择是否设置）</w:t>
      </w:r>
    </w:p>
    <w:p w14:paraId="29A0CF23">
      <w:pPr>
        <w:spacing w:line="360" w:lineRule="auto"/>
        <w:ind w:firstLine="480" w:firstLineChars="200"/>
        <w:textAlignment w:val="baseline"/>
        <w:rPr>
          <w:rFonts w:ascii="仿宋" w:hAnsi="仿宋" w:eastAsia="仿宋" w:cs="仿宋"/>
          <w:color w:val="000000"/>
          <w:sz w:val="24"/>
          <w:highlight w:val="none"/>
        </w:rPr>
      </w:pPr>
      <w:r>
        <w:rPr>
          <w:rFonts w:hint="eastAsia" w:ascii="仿宋" w:hAnsi="仿宋" w:eastAsia="仿宋" w:cs="仿宋"/>
          <w:color w:val="000000"/>
          <w:sz w:val="24"/>
          <w:highlight w:val="none"/>
        </w:rPr>
        <w:t>提供</w:t>
      </w:r>
      <w:r>
        <w:rPr>
          <w:rFonts w:ascii="仿宋" w:hAnsi="仿宋" w:eastAsia="仿宋" w:cs="仿宋"/>
          <w:color w:val="FF0000"/>
          <w:sz w:val="24"/>
          <w:highlight w:val="none"/>
        </w:rPr>
        <w:t>20</w:t>
      </w:r>
      <w:r>
        <w:rPr>
          <w:rFonts w:hint="eastAsia" w:ascii="仿宋" w:hAnsi="仿宋" w:eastAsia="仿宋" w:cs="仿宋"/>
          <w:color w:val="FF0000"/>
          <w:sz w:val="24"/>
          <w:highlight w:val="none"/>
        </w:rPr>
        <w:t>XX</w:t>
      </w:r>
      <w:r>
        <w:rPr>
          <w:rFonts w:hint="eastAsia" w:ascii="仿宋" w:hAnsi="仿宋" w:eastAsia="仿宋" w:cs="仿宋"/>
          <w:color w:val="000000"/>
          <w:sz w:val="24"/>
          <w:highlight w:val="none"/>
        </w:rPr>
        <w:t>年度经会计师事务所或审计机构审计的财务审计报告及财务报表（至少包含会计师事务所或审计机构签章页、资产负债表、现金流量表、损益表/利润表）或</w:t>
      </w:r>
      <w:r>
        <w:rPr>
          <w:rFonts w:hint="eastAsia" w:ascii="仿宋" w:hAnsi="仿宋" w:eastAsia="仿宋" w:cs="Cambria Math"/>
          <w:color w:val="000000"/>
          <w:sz w:val="24"/>
          <w:highlight w:val="none"/>
        </w:rPr>
        <w:t>响应文件递交截止日前</w:t>
      </w:r>
      <w:r>
        <w:rPr>
          <w:rFonts w:ascii="仿宋" w:hAnsi="仿宋" w:eastAsia="仿宋" w:cs="仿宋"/>
          <w:color w:val="000000"/>
          <w:sz w:val="24"/>
          <w:highlight w:val="none"/>
        </w:rPr>
        <w:t>6</w:t>
      </w:r>
      <w:r>
        <w:rPr>
          <w:rFonts w:hint="eastAsia" w:ascii="仿宋" w:hAnsi="仿宋" w:eastAsia="仿宋" w:cs="仿宋"/>
          <w:color w:val="000000"/>
          <w:sz w:val="24"/>
          <w:highlight w:val="none"/>
        </w:rPr>
        <w:t>个月内开具的银行资信证明。</w:t>
      </w:r>
      <w:r>
        <w:rPr>
          <w:rFonts w:ascii="仿宋" w:hAnsi="仿宋" w:eastAsia="仿宋" w:cs="仿宋"/>
          <w:color w:val="000000"/>
          <w:sz w:val="24"/>
          <w:highlight w:val="none"/>
        </w:rPr>
        <w:br w:type="page"/>
      </w:r>
    </w:p>
    <w:p w14:paraId="0EE43D85">
      <w:pPr>
        <w:pStyle w:val="6"/>
        <w:numPr>
          <w:ilvl w:val="0"/>
          <w:numId w:val="0"/>
        </w:numPr>
        <w:spacing w:before="0" w:after="0" w:line="360" w:lineRule="auto"/>
        <w:rPr>
          <w:rFonts w:hint="eastAsia" w:ascii="仿宋" w:hAnsi="仿宋" w:eastAsia="仿宋" w:cs="仿宋"/>
          <w:b w:val="0"/>
          <w:bCs w:val="0"/>
          <w:color w:val="000000"/>
          <w:sz w:val="24"/>
          <w:szCs w:val="24"/>
          <w:highlight w:val="none"/>
        </w:rPr>
      </w:pPr>
      <w:r>
        <w:rPr>
          <w:rFonts w:hint="eastAsia" w:ascii="仿宋" w:hAnsi="仿宋" w:eastAsia="仿宋" w:cs="仿宋"/>
          <w:color w:val="000000"/>
          <w:sz w:val="24"/>
          <w:szCs w:val="24"/>
          <w:highlight w:val="none"/>
          <w:lang w:val="en-US" w:eastAsia="zh-CN"/>
        </w:rPr>
        <w:t>3、</w:t>
      </w:r>
      <w:r>
        <w:rPr>
          <w:rFonts w:hint="eastAsia" w:ascii="仿宋" w:hAnsi="仿宋" w:eastAsia="仿宋" w:cs="仿宋"/>
          <w:color w:val="000000"/>
          <w:sz w:val="24"/>
          <w:szCs w:val="24"/>
          <w:highlight w:val="none"/>
        </w:rPr>
        <w:t>同类项目实施经验</w:t>
      </w:r>
      <w:r>
        <w:rPr>
          <w:rFonts w:hint="eastAsia" w:ascii="仿宋" w:hAnsi="仿宋" w:eastAsia="仿宋" w:cs="仿宋"/>
          <w:b w:val="0"/>
          <w:bCs w:val="0"/>
          <w:color w:val="000000"/>
          <w:sz w:val="24"/>
          <w:szCs w:val="24"/>
          <w:highlight w:val="none"/>
        </w:rPr>
        <w:t xml:space="preserve"> </w:t>
      </w:r>
    </w:p>
    <w:p w14:paraId="0E0411A7">
      <w:pPr>
        <w:bidi w:val="0"/>
        <w:rPr>
          <w:rFonts w:hint="eastAsia"/>
        </w:rPr>
      </w:pPr>
      <w:r>
        <w:rPr>
          <w:rFonts w:hint="eastAsia" w:ascii="仿宋" w:hAnsi="仿宋" w:eastAsia="仿宋" w:cs="仿宋"/>
          <w:b w:val="0"/>
          <w:bCs w:val="0"/>
          <w:color w:val="FF0000"/>
          <w:sz w:val="24"/>
          <w:szCs w:val="24"/>
          <w:highlight w:val="none"/>
        </w:rPr>
        <w:t>（可以根据项目实际情况选择是否设置）</w:t>
      </w:r>
    </w:p>
    <w:tbl>
      <w:tblPr>
        <w:tblStyle w:val="41"/>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928"/>
        <w:gridCol w:w="1336"/>
        <w:gridCol w:w="1271"/>
        <w:gridCol w:w="1263"/>
        <w:gridCol w:w="1114"/>
        <w:gridCol w:w="1618"/>
        <w:gridCol w:w="1398"/>
      </w:tblGrid>
      <w:tr w14:paraId="09772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467" w:type="pct"/>
            <w:noWrap w:val="0"/>
            <w:vAlign w:val="center"/>
          </w:tcPr>
          <w:p w14:paraId="5DCCADFB">
            <w:pPr>
              <w:jc w:val="center"/>
              <w:rPr>
                <w:rFonts w:hint="eastAsia" w:ascii="仿宋" w:hAnsi="仿宋" w:eastAsia="仿宋" w:cs="仿宋"/>
                <w:b/>
                <w:szCs w:val="21"/>
                <w:highlight w:val="none"/>
              </w:rPr>
            </w:pPr>
            <w:r>
              <w:rPr>
                <w:rFonts w:hint="eastAsia" w:ascii="仿宋" w:hAnsi="仿宋" w:eastAsia="仿宋" w:cs="仿宋"/>
                <w:b/>
                <w:szCs w:val="21"/>
                <w:highlight w:val="none"/>
              </w:rPr>
              <w:t>序号</w:t>
            </w:r>
          </w:p>
        </w:tc>
        <w:tc>
          <w:tcPr>
            <w:tcW w:w="471" w:type="pct"/>
            <w:noWrap w:val="0"/>
            <w:vAlign w:val="center"/>
          </w:tcPr>
          <w:p w14:paraId="74074602">
            <w:pPr>
              <w:jc w:val="center"/>
              <w:rPr>
                <w:rFonts w:hint="eastAsia" w:ascii="仿宋" w:hAnsi="仿宋" w:eastAsia="仿宋" w:cs="仿宋"/>
                <w:b/>
                <w:szCs w:val="21"/>
                <w:highlight w:val="none"/>
              </w:rPr>
            </w:pPr>
            <w:r>
              <w:rPr>
                <w:rFonts w:hint="eastAsia" w:ascii="仿宋" w:hAnsi="仿宋" w:eastAsia="仿宋" w:cs="仿宋"/>
                <w:b/>
                <w:szCs w:val="21"/>
                <w:highlight w:val="none"/>
              </w:rPr>
              <w:t>合同名称</w:t>
            </w:r>
          </w:p>
        </w:tc>
        <w:tc>
          <w:tcPr>
            <w:tcW w:w="678" w:type="pct"/>
            <w:noWrap w:val="0"/>
            <w:vAlign w:val="center"/>
          </w:tcPr>
          <w:p w14:paraId="17DEFAE5">
            <w:pPr>
              <w:jc w:val="center"/>
              <w:rPr>
                <w:rFonts w:hint="eastAsia" w:ascii="仿宋" w:hAnsi="仿宋" w:eastAsia="仿宋" w:cs="仿宋"/>
                <w:b/>
                <w:szCs w:val="21"/>
                <w:highlight w:val="none"/>
              </w:rPr>
            </w:pPr>
            <w:r>
              <w:rPr>
                <w:rFonts w:hint="eastAsia" w:ascii="仿宋" w:hAnsi="仿宋" w:eastAsia="仿宋" w:cs="仿宋"/>
                <w:b/>
                <w:szCs w:val="21"/>
                <w:highlight w:val="none"/>
              </w:rPr>
              <w:t>合同签订时间</w:t>
            </w:r>
          </w:p>
        </w:tc>
        <w:tc>
          <w:tcPr>
            <w:tcW w:w="645" w:type="pct"/>
            <w:noWrap w:val="0"/>
            <w:vAlign w:val="center"/>
          </w:tcPr>
          <w:p w14:paraId="48EC3207">
            <w:pPr>
              <w:jc w:val="center"/>
              <w:rPr>
                <w:rFonts w:hint="eastAsia" w:ascii="仿宋" w:hAnsi="仿宋" w:eastAsia="仿宋" w:cs="仿宋"/>
                <w:b/>
                <w:szCs w:val="21"/>
                <w:highlight w:val="none"/>
              </w:rPr>
            </w:pPr>
            <w:r>
              <w:rPr>
                <w:rFonts w:hint="eastAsia" w:ascii="仿宋" w:hAnsi="仿宋" w:eastAsia="仿宋" w:cs="仿宋"/>
                <w:b/>
                <w:szCs w:val="21"/>
                <w:highlight w:val="none"/>
              </w:rPr>
              <w:t>采购内容</w:t>
            </w:r>
          </w:p>
        </w:tc>
        <w:tc>
          <w:tcPr>
            <w:tcW w:w="641" w:type="pct"/>
            <w:noWrap w:val="0"/>
            <w:vAlign w:val="center"/>
          </w:tcPr>
          <w:p w14:paraId="205D7D60">
            <w:pPr>
              <w:jc w:val="center"/>
              <w:rPr>
                <w:rFonts w:hint="eastAsia" w:ascii="仿宋" w:hAnsi="仿宋" w:eastAsia="仿宋" w:cs="仿宋"/>
                <w:b/>
                <w:szCs w:val="21"/>
                <w:highlight w:val="none"/>
              </w:rPr>
            </w:pPr>
            <w:r>
              <w:rPr>
                <w:rFonts w:hint="eastAsia" w:ascii="仿宋" w:hAnsi="仿宋" w:eastAsia="仿宋" w:cs="仿宋"/>
                <w:b/>
                <w:szCs w:val="21"/>
                <w:highlight w:val="none"/>
              </w:rPr>
              <w:t>合同金额（万元）</w:t>
            </w:r>
          </w:p>
        </w:tc>
        <w:tc>
          <w:tcPr>
            <w:tcW w:w="565" w:type="pct"/>
            <w:noWrap w:val="0"/>
            <w:vAlign w:val="center"/>
          </w:tcPr>
          <w:p w14:paraId="35173F11">
            <w:pPr>
              <w:jc w:val="center"/>
              <w:rPr>
                <w:rFonts w:hint="eastAsia" w:ascii="仿宋" w:hAnsi="仿宋" w:eastAsia="仿宋" w:cs="仿宋"/>
                <w:b/>
                <w:szCs w:val="21"/>
                <w:highlight w:val="none"/>
              </w:rPr>
            </w:pPr>
            <w:r>
              <w:rPr>
                <w:rFonts w:hint="eastAsia" w:ascii="仿宋" w:hAnsi="仿宋" w:eastAsia="仿宋" w:cs="仿宋"/>
                <w:b/>
                <w:szCs w:val="21"/>
                <w:highlight w:val="none"/>
              </w:rPr>
              <w:t>合同甲方</w:t>
            </w:r>
          </w:p>
        </w:tc>
        <w:tc>
          <w:tcPr>
            <w:tcW w:w="821" w:type="pct"/>
            <w:noWrap w:val="0"/>
            <w:vAlign w:val="center"/>
          </w:tcPr>
          <w:p w14:paraId="0023BDDE">
            <w:pPr>
              <w:jc w:val="center"/>
              <w:rPr>
                <w:rFonts w:hint="eastAsia" w:ascii="仿宋" w:hAnsi="仿宋" w:eastAsia="仿宋" w:cs="仿宋"/>
                <w:b/>
                <w:szCs w:val="21"/>
                <w:highlight w:val="none"/>
              </w:rPr>
            </w:pPr>
            <w:r>
              <w:rPr>
                <w:rFonts w:hint="eastAsia" w:ascii="仿宋" w:hAnsi="仿宋" w:eastAsia="仿宋" w:cs="仿宋"/>
                <w:b/>
                <w:szCs w:val="21"/>
                <w:highlight w:val="none"/>
              </w:rPr>
              <w:t>合同甲方联系人及电话</w:t>
            </w:r>
          </w:p>
        </w:tc>
        <w:tc>
          <w:tcPr>
            <w:tcW w:w="709" w:type="pct"/>
            <w:noWrap w:val="0"/>
            <w:vAlign w:val="center"/>
          </w:tcPr>
          <w:p w14:paraId="6C560CE3">
            <w:pPr>
              <w:jc w:val="center"/>
              <w:rPr>
                <w:rFonts w:hint="eastAsia" w:ascii="仿宋" w:hAnsi="仿宋" w:eastAsia="仿宋" w:cs="仿宋"/>
                <w:b/>
                <w:szCs w:val="21"/>
                <w:highlight w:val="none"/>
              </w:rPr>
            </w:pPr>
            <w:r>
              <w:rPr>
                <w:rFonts w:hint="eastAsia" w:ascii="仿宋" w:hAnsi="仿宋" w:eastAsia="仿宋" w:cs="仿宋"/>
                <w:b/>
                <w:szCs w:val="21"/>
                <w:highlight w:val="none"/>
              </w:rPr>
              <w:t>备注</w:t>
            </w:r>
          </w:p>
        </w:tc>
      </w:tr>
      <w:tr w14:paraId="20D08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67" w:type="pct"/>
            <w:noWrap w:val="0"/>
            <w:vAlign w:val="center"/>
          </w:tcPr>
          <w:p w14:paraId="20483525">
            <w:pPr>
              <w:jc w:val="center"/>
              <w:rPr>
                <w:rFonts w:hint="eastAsia" w:ascii="仿宋" w:hAnsi="仿宋" w:eastAsia="仿宋" w:cs="仿宋"/>
                <w:szCs w:val="21"/>
                <w:highlight w:val="none"/>
              </w:rPr>
            </w:pPr>
          </w:p>
        </w:tc>
        <w:tc>
          <w:tcPr>
            <w:tcW w:w="471" w:type="pct"/>
            <w:noWrap w:val="0"/>
            <w:vAlign w:val="center"/>
          </w:tcPr>
          <w:p w14:paraId="799B6332">
            <w:pPr>
              <w:jc w:val="center"/>
              <w:rPr>
                <w:rFonts w:hint="eastAsia" w:ascii="仿宋" w:hAnsi="仿宋" w:eastAsia="仿宋" w:cs="仿宋"/>
                <w:szCs w:val="21"/>
                <w:highlight w:val="none"/>
              </w:rPr>
            </w:pPr>
          </w:p>
        </w:tc>
        <w:tc>
          <w:tcPr>
            <w:tcW w:w="678" w:type="pct"/>
            <w:noWrap w:val="0"/>
            <w:vAlign w:val="center"/>
          </w:tcPr>
          <w:p w14:paraId="6B8AEE69">
            <w:pPr>
              <w:jc w:val="center"/>
              <w:rPr>
                <w:rFonts w:hint="eastAsia" w:ascii="仿宋" w:hAnsi="仿宋" w:eastAsia="仿宋" w:cs="仿宋"/>
                <w:szCs w:val="21"/>
                <w:highlight w:val="none"/>
              </w:rPr>
            </w:pPr>
          </w:p>
        </w:tc>
        <w:tc>
          <w:tcPr>
            <w:tcW w:w="645" w:type="pct"/>
            <w:noWrap w:val="0"/>
            <w:vAlign w:val="center"/>
          </w:tcPr>
          <w:p w14:paraId="29005C29">
            <w:pPr>
              <w:jc w:val="center"/>
              <w:rPr>
                <w:rFonts w:hint="eastAsia" w:ascii="仿宋" w:hAnsi="仿宋" w:eastAsia="仿宋" w:cs="仿宋"/>
                <w:szCs w:val="21"/>
                <w:highlight w:val="none"/>
              </w:rPr>
            </w:pPr>
          </w:p>
        </w:tc>
        <w:tc>
          <w:tcPr>
            <w:tcW w:w="641" w:type="pct"/>
            <w:noWrap w:val="0"/>
            <w:vAlign w:val="center"/>
          </w:tcPr>
          <w:p w14:paraId="3DFB7D8C">
            <w:pPr>
              <w:jc w:val="center"/>
              <w:rPr>
                <w:rFonts w:hint="eastAsia" w:ascii="仿宋" w:hAnsi="仿宋" w:eastAsia="仿宋" w:cs="仿宋"/>
                <w:szCs w:val="21"/>
                <w:highlight w:val="none"/>
              </w:rPr>
            </w:pPr>
          </w:p>
        </w:tc>
        <w:tc>
          <w:tcPr>
            <w:tcW w:w="565" w:type="pct"/>
            <w:noWrap w:val="0"/>
            <w:vAlign w:val="center"/>
          </w:tcPr>
          <w:p w14:paraId="7B2D8331">
            <w:pPr>
              <w:jc w:val="center"/>
              <w:rPr>
                <w:rFonts w:hint="eastAsia" w:ascii="仿宋" w:hAnsi="仿宋" w:eastAsia="仿宋" w:cs="仿宋"/>
                <w:szCs w:val="21"/>
                <w:highlight w:val="none"/>
              </w:rPr>
            </w:pPr>
          </w:p>
        </w:tc>
        <w:tc>
          <w:tcPr>
            <w:tcW w:w="821" w:type="pct"/>
            <w:noWrap w:val="0"/>
            <w:vAlign w:val="center"/>
          </w:tcPr>
          <w:p w14:paraId="633D5405">
            <w:pPr>
              <w:jc w:val="center"/>
              <w:rPr>
                <w:rFonts w:hint="eastAsia" w:ascii="仿宋" w:hAnsi="仿宋" w:eastAsia="仿宋" w:cs="仿宋"/>
                <w:szCs w:val="21"/>
                <w:highlight w:val="none"/>
              </w:rPr>
            </w:pPr>
          </w:p>
        </w:tc>
        <w:tc>
          <w:tcPr>
            <w:tcW w:w="709" w:type="pct"/>
            <w:noWrap w:val="0"/>
            <w:vAlign w:val="center"/>
          </w:tcPr>
          <w:p w14:paraId="351C1B8A">
            <w:pPr>
              <w:jc w:val="center"/>
              <w:rPr>
                <w:rFonts w:hint="eastAsia" w:ascii="仿宋" w:hAnsi="仿宋" w:eastAsia="仿宋" w:cs="仿宋"/>
                <w:szCs w:val="21"/>
                <w:highlight w:val="none"/>
              </w:rPr>
            </w:pPr>
          </w:p>
        </w:tc>
      </w:tr>
      <w:tr w14:paraId="6734C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14:paraId="3B7DDB79">
            <w:pPr>
              <w:jc w:val="center"/>
              <w:rPr>
                <w:rFonts w:hint="eastAsia" w:ascii="仿宋" w:hAnsi="仿宋" w:eastAsia="仿宋" w:cs="仿宋"/>
                <w:szCs w:val="21"/>
                <w:highlight w:val="none"/>
              </w:rPr>
            </w:pPr>
          </w:p>
          <w:p w14:paraId="2205AFBC">
            <w:pPr>
              <w:jc w:val="center"/>
              <w:rPr>
                <w:rFonts w:hint="eastAsia" w:ascii="仿宋" w:hAnsi="仿宋" w:eastAsia="仿宋" w:cs="仿宋"/>
                <w:szCs w:val="21"/>
                <w:highlight w:val="none"/>
              </w:rPr>
            </w:pPr>
          </w:p>
        </w:tc>
        <w:tc>
          <w:tcPr>
            <w:tcW w:w="471" w:type="pct"/>
            <w:noWrap w:val="0"/>
            <w:vAlign w:val="center"/>
          </w:tcPr>
          <w:p w14:paraId="5D75C8E9">
            <w:pPr>
              <w:jc w:val="center"/>
              <w:rPr>
                <w:rFonts w:hint="eastAsia" w:ascii="仿宋" w:hAnsi="仿宋" w:eastAsia="仿宋" w:cs="仿宋"/>
                <w:szCs w:val="21"/>
                <w:highlight w:val="none"/>
              </w:rPr>
            </w:pPr>
          </w:p>
        </w:tc>
        <w:tc>
          <w:tcPr>
            <w:tcW w:w="678" w:type="pct"/>
            <w:noWrap w:val="0"/>
            <w:vAlign w:val="center"/>
          </w:tcPr>
          <w:p w14:paraId="469FF99A">
            <w:pPr>
              <w:jc w:val="center"/>
              <w:rPr>
                <w:rFonts w:hint="eastAsia" w:ascii="仿宋" w:hAnsi="仿宋" w:eastAsia="仿宋" w:cs="仿宋"/>
                <w:szCs w:val="21"/>
                <w:highlight w:val="none"/>
              </w:rPr>
            </w:pPr>
          </w:p>
        </w:tc>
        <w:tc>
          <w:tcPr>
            <w:tcW w:w="645" w:type="pct"/>
            <w:noWrap w:val="0"/>
            <w:vAlign w:val="center"/>
          </w:tcPr>
          <w:p w14:paraId="273EC0B5">
            <w:pPr>
              <w:jc w:val="center"/>
              <w:rPr>
                <w:rFonts w:hint="eastAsia" w:ascii="仿宋" w:hAnsi="仿宋" w:eastAsia="仿宋" w:cs="仿宋"/>
                <w:szCs w:val="21"/>
                <w:highlight w:val="none"/>
              </w:rPr>
            </w:pPr>
          </w:p>
        </w:tc>
        <w:tc>
          <w:tcPr>
            <w:tcW w:w="641" w:type="pct"/>
            <w:noWrap w:val="0"/>
            <w:vAlign w:val="center"/>
          </w:tcPr>
          <w:p w14:paraId="3BA8922C">
            <w:pPr>
              <w:jc w:val="center"/>
              <w:rPr>
                <w:rFonts w:hint="eastAsia" w:ascii="仿宋" w:hAnsi="仿宋" w:eastAsia="仿宋" w:cs="仿宋"/>
                <w:szCs w:val="21"/>
                <w:highlight w:val="none"/>
              </w:rPr>
            </w:pPr>
          </w:p>
        </w:tc>
        <w:tc>
          <w:tcPr>
            <w:tcW w:w="565" w:type="pct"/>
            <w:noWrap w:val="0"/>
            <w:vAlign w:val="center"/>
          </w:tcPr>
          <w:p w14:paraId="1A816E8D">
            <w:pPr>
              <w:jc w:val="center"/>
              <w:rPr>
                <w:rFonts w:hint="eastAsia" w:ascii="仿宋" w:hAnsi="仿宋" w:eastAsia="仿宋" w:cs="仿宋"/>
                <w:szCs w:val="21"/>
                <w:highlight w:val="none"/>
              </w:rPr>
            </w:pPr>
          </w:p>
        </w:tc>
        <w:tc>
          <w:tcPr>
            <w:tcW w:w="821" w:type="pct"/>
            <w:noWrap w:val="0"/>
            <w:vAlign w:val="center"/>
          </w:tcPr>
          <w:p w14:paraId="35ED47AC">
            <w:pPr>
              <w:jc w:val="center"/>
              <w:rPr>
                <w:rFonts w:hint="eastAsia" w:ascii="仿宋" w:hAnsi="仿宋" w:eastAsia="仿宋" w:cs="仿宋"/>
                <w:szCs w:val="21"/>
                <w:highlight w:val="none"/>
              </w:rPr>
            </w:pPr>
          </w:p>
        </w:tc>
        <w:tc>
          <w:tcPr>
            <w:tcW w:w="709" w:type="pct"/>
            <w:noWrap w:val="0"/>
            <w:vAlign w:val="center"/>
          </w:tcPr>
          <w:p w14:paraId="5AF8063D">
            <w:pPr>
              <w:jc w:val="center"/>
              <w:rPr>
                <w:rFonts w:hint="eastAsia" w:ascii="仿宋" w:hAnsi="仿宋" w:eastAsia="仿宋" w:cs="仿宋"/>
                <w:szCs w:val="21"/>
                <w:highlight w:val="none"/>
              </w:rPr>
            </w:pPr>
          </w:p>
        </w:tc>
      </w:tr>
      <w:tr w14:paraId="046B3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14:paraId="535A436E">
            <w:pPr>
              <w:jc w:val="center"/>
              <w:rPr>
                <w:rFonts w:hint="eastAsia" w:ascii="仿宋" w:hAnsi="仿宋" w:eastAsia="仿宋" w:cs="仿宋"/>
                <w:szCs w:val="21"/>
                <w:highlight w:val="none"/>
              </w:rPr>
            </w:pPr>
          </w:p>
        </w:tc>
        <w:tc>
          <w:tcPr>
            <w:tcW w:w="471" w:type="pct"/>
            <w:noWrap w:val="0"/>
            <w:vAlign w:val="center"/>
          </w:tcPr>
          <w:p w14:paraId="395AEBF4">
            <w:pPr>
              <w:jc w:val="center"/>
              <w:rPr>
                <w:rFonts w:hint="eastAsia" w:ascii="仿宋" w:hAnsi="仿宋" w:eastAsia="仿宋" w:cs="仿宋"/>
                <w:szCs w:val="21"/>
                <w:highlight w:val="none"/>
              </w:rPr>
            </w:pPr>
          </w:p>
        </w:tc>
        <w:tc>
          <w:tcPr>
            <w:tcW w:w="678" w:type="pct"/>
            <w:noWrap w:val="0"/>
            <w:vAlign w:val="center"/>
          </w:tcPr>
          <w:p w14:paraId="71DA8F69">
            <w:pPr>
              <w:jc w:val="center"/>
              <w:rPr>
                <w:rFonts w:hint="eastAsia" w:ascii="仿宋" w:hAnsi="仿宋" w:eastAsia="仿宋" w:cs="仿宋"/>
                <w:szCs w:val="21"/>
                <w:highlight w:val="none"/>
              </w:rPr>
            </w:pPr>
          </w:p>
        </w:tc>
        <w:tc>
          <w:tcPr>
            <w:tcW w:w="645" w:type="pct"/>
            <w:noWrap w:val="0"/>
            <w:vAlign w:val="center"/>
          </w:tcPr>
          <w:p w14:paraId="691558DB">
            <w:pPr>
              <w:jc w:val="center"/>
              <w:rPr>
                <w:rFonts w:hint="eastAsia" w:ascii="仿宋" w:hAnsi="仿宋" w:eastAsia="仿宋" w:cs="仿宋"/>
                <w:szCs w:val="21"/>
                <w:highlight w:val="none"/>
              </w:rPr>
            </w:pPr>
          </w:p>
        </w:tc>
        <w:tc>
          <w:tcPr>
            <w:tcW w:w="641" w:type="pct"/>
            <w:noWrap w:val="0"/>
            <w:vAlign w:val="center"/>
          </w:tcPr>
          <w:p w14:paraId="7BF228B3">
            <w:pPr>
              <w:jc w:val="center"/>
              <w:rPr>
                <w:rFonts w:hint="eastAsia" w:ascii="仿宋" w:hAnsi="仿宋" w:eastAsia="仿宋" w:cs="仿宋"/>
                <w:szCs w:val="21"/>
                <w:highlight w:val="none"/>
              </w:rPr>
            </w:pPr>
          </w:p>
        </w:tc>
        <w:tc>
          <w:tcPr>
            <w:tcW w:w="565" w:type="pct"/>
            <w:noWrap w:val="0"/>
            <w:vAlign w:val="center"/>
          </w:tcPr>
          <w:p w14:paraId="6EADD542">
            <w:pPr>
              <w:jc w:val="center"/>
              <w:rPr>
                <w:rFonts w:hint="eastAsia" w:ascii="仿宋" w:hAnsi="仿宋" w:eastAsia="仿宋" w:cs="仿宋"/>
                <w:szCs w:val="21"/>
                <w:highlight w:val="none"/>
              </w:rPr>
            </w:pPr>
          </w:p>
        </w:tc>
        <w:tc>
          <w:tcPr>
            <w:tcW w:w="821" w:type="pct"/>
            <w:noWrap w:val="0"/>
            <w:vAlign w:val="center"/>
          </w:tcPr>
          <w:p w14:paraId="5554F941">
            <w:pPr>
              <w:jc w:val="center"/>
              <w:rPr>
                <w:rFonts w:hint="eastAsia" w:ascii="仿宋" w:hAnsi="仿宋" w:eastAsia="仿宋" w:cs="仿宋"/>
                <w:szCs w:val="21"/>
                <w:highlight w:val="none"/>
              </w:rPr>
            </w:pPr>
          </w:p>
        </w:tc>
        <w:tc>
          <w:tcPr>
            <w:tcW w:w="709" w:type="pct"/>
            <w:noWrap w:val="0"/>
            <w:vAlign w:val="center"/>
          </w:tcPr>
          <w:p w14:paraId="1D40F47E">
            <w:pPr>
              <w:jc w:val="center"/>
              <w:rPr>
                <w:rFonts w:hint="eastAsia" w:ascii="仿宋" w:hAnsi="仿宋" w:eastAsia="仿宋" w:cs="仿宋"/>
                <w:szCs w:val="21"/>
                <w:highlight w:val="none"/>
              </w:rPr>
            </w:pPr>
          </w:p>
        </w:tc>
      </w:tr>
      <w:tr w14:paraId="19633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14:paraId="5E87AD5B">
            <w:pPr>
              <w:jc w:val="center"/>
              <w:rPr>
                <w:rFonts w:hint="eastAsia" w:ascii="仿宋" w:hAnsi="仿宋" w:eastAsia="仿宋" w:cs="仿宋"/>
                <w:szCs w:val="21"/>
                <w:highlight w:val="none"/>
              </w:rPr>
            </w:pPr>
          </w:p>
        </w:tc>
        <w:tc>
          <w:tcPr>
            <w:tcW w:w="471" w:type="pct"/>
            <w:noWrap w:val="0"/>
            <w:vAlign w:val="center"/>
          </w:tcPr>
          <w:p w14:paraId="7091AAB1">
            <w:pPr>
              <w:jc w:val="center"/>
              <w:rPr>
                <w:rFonts w:hint="eastAsia" w:ascii="仿宋" w:hAnsi="仿宋" w:eastAsia="仿宋" w:cs="仿宋"/>
                <w:szCs w:val="21"/>
                <w:highlight w:val="none"/>
              </w:rPr>
            </w:pPr>
          </w:p>
        </w:tc>
        <w:tc>
          <w:tcPr>
            <w:tcW w:w="678" w:type="pct"/>
            <w:noWrap w:val="0"/>
            <w:vAlign w:val="center"/>
          </w:tcPr>
          <w:p w14:paraId="0E305010">
            <w:pPr>
              <w:jc w:val="center"/>
              <w:rPr>
                <w:rFonts w:hint="eastAsia" w:ascii="仿宋" w:hAnsi="仿宋" w:eastAsia="仿宋" w:cs="仿宋"/>
                <w:szCs w:val="21"/>
                <w:highlight w:val="none"/>
              </w:rPr>
            </w:pPr>
          </w:p>
        </w:tc>
        <w:tc>
          <w:tcPr>
            <w:tcW w:w="645" w:type="pct"/>
            <w:noWrap w:val="0"/>
            <w:vAlign w:val="center"/>
          </w:tcPr>
          <w:p w14:paraId="15767149">
            <w:pPr>
              <w:jc w:val="center"/>
              <w:rPr>
                <w:rFonts w:hint="eastAsia" w:ascii="仿宋" w:hAnsi="仿宋" w:eastAsia="仿宋" w:cs="仿宋"/>
                <w:szCs w:val="21"/>
                <w:highlight w:val="none"/>
              </w:rPr>
            </w:pPr>
          </w:p>
        </w:tc>
        <w:tc>
          <w:tcPr>
            <w:tcW w:w="641" w:type="pct"/>
            <w:noWrap w:val="0"/>
            <w:vAlign w:val="center"/>
          </w:tcPr>
          <w:p w14:paraId="41EAC34F">
            <w:pPr>
              <w:jc w:val="center"/>
              <w:rPr>
                <w:rFonts w:hint="eastAsia" w:ascii="仿宋" w:hAnsi="仿宋" w:eastAsia="仿宋" w:cs="仿宋"/>
                <w:szCs w:val="21"/>
                <w:highlight w:val="none"/>
              </w:rPr>
            </w:pPr>
          </w:p>
        </w:tc>
        <w:tc>
          <w:tcPr>
            <w:tcW w:w="565" w:type="pct"/>
            <w:noWrap w:val="0"/>
            <w:vAlign w:val="center"/>
          </w:tcPr>
          <w:p w14:paraId="3FF71C07">
            <w:pPr>
              <w:jc w:val="center"/>
              <w:rPr>
                <w:rFonts w:hint="eastAsia" w:ascii="仿宋" w:hAnsi="仿宋" w:eastAsia="仿宋" w:cs="仿宋"/>
                <w:szCs w:val="21"/>
                <w:highlight w:val="none"/>
              </w:rPr>
            </w:pPr>
          </w:p>
        </w:tc>
        <w:tc>
          <w:tcPr>
            <w:tcW w:w="821" w:type="pct"/>
            <w:noWrap w:val="0"/>
            <w:vAlign w:val="center"/>
          </w:tcPr>
          <w:p w14:paraId="4E49CC68">
            <w:pPr>
              <w:jc w:val="center"/>
              <w:rPr>
                <w:rFonts w:hint="eastAsia" w:ascii="仿宋" w:hAnsi="仿宋" w:eastAsia="仿宋" w:cs="仿宋"/>
                <w:szCs w:val="21"/>
                <w:highlight w:val="none"/>
              </w:rPr>
            </w:pPr>
          </w:p>
        </w:tc>
        <w:tc>
          <w:tcPr>
            <w:tcW w:w="709" w:type="pct"/>
            <w:noWrap w:val="0"/>
            <w:vAlign w:val="center"/>
          </w:tcPr>
          <w:p w14:paraId="37EF756E">
            <w:pPr>
              <w:jc w:val="center"/>
              <w:rPr>
                <w:rFonts w:hint="eastAsia" w:ascii="仿宋" w:hAnsi="仿宋" w:eastAsia="仿宋" w:cs="仿宋"/>
                <w:szCs w:val="21"/>
                <w:highlight w:val="none"/>
              </w:rPr>
            </w:pPr>
          </w:p>
        </w:tc>
      </w:tr>
      <w:tr w14:paraId="710EE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14:paraId="0BC56A97">
            <w:pPr>
              <w:jc w:val="center"/>
              <w:rPr>
                <w:rFonts w:hint="eastAsia" w:ascii="仿宋" w:hAnsi="仿宋" w:eastAsia="仿宋" w:cs="仿宋"/>
                <w:szCs w:val="21"/>
                <w:highlight w:val="none"/>
              </w:rPr>
            </w:pPr>
          </w:p>
        </w:tc>
        <w:tc>
          <w:tcPr>
            <w:tcW w:w="471" w:type="pct"/>
            <w:noWrap w:val="0"/>
            <w:vAlign w:val="center"/>
          </w:tcPr>
          <w:p w14:paraId="0665FBEF">
            <w:pPr>
              <w:jc w:val="center"/>
              <w:rPr>
                <w:rFonts w:hint="eastAsia" w:ascii="仿宋" w:hAnsi="仿宋" w:eastAsia="仿宋" w:cs="仿宋"/>
                <w:szCs w:val="21"/>
                <w:highlight w:val="none"/>
              </w:rPr>
            </w:pPr>
          </w:p>
        </w:tc>
        <w:tc>
          <w:tcPr>
            <w:tcW w:w="678" w:type="pct"/>
            <w:noWrap w:val="0"/>
            <w:vAlign w:val="center"/>
          </w:tcPr>
          <w:p w14:paraId="0B605623">
            <w:pPr>
              <w:jc w:val="center"/>
              <w:rPr>
                <w:rFonts w:hint="eastAsia" w:ascii="仿宋" w:hAnsi="仿宋" w:eastAsia="仿宋" w:cs="仿宋"/>
                <w:szCs w:val="21"/>
                <w:highlight w:val="none"/>
              </w:rPr>
            </w:pPr>
          </w:p>
        </w:tc>
        <w:tc>
          <w:tcPr>
            <w:tcW w:w="645" w:type="pct"/>
            <w:noWrap w:val="0"/>
            <w:vAlign w:val="center"/>
          </w:tcPr>
          <w:p w14:paraId="36B8E48F">
            <w:pPr>
              <w:jc w:val="center"/>
              <w:rPr>
                <w:rFonts w:hint="eastAsia" w:ascii="仿宋" w:hAnsi="仿宋" w:eastAsia="仿宋" w:cs="仿宋"/>
                <w:szCs w:val="21"/>
                <w:highlight w:val="none"/>
              </w:rPr>
            </w:pPr>
          </w:p>
        </w:tc>
        <w:tc>
          <w:tcPr>
            <w:tcW w:w="641" w:type="pct"/>
            <w:noWrap w:val="0"/>
            <w:vAlign w:val="center"/>
          </w:tcPr>
          <w:p w14:paraId="75A16688">
            <w:pPr>
              <w:jc w:val="center"/>
              <w:rPr>
                <w:rFonts w:hint="eastAsia" w:ascii="仿宋" w:hAnsi="仿宋" w:eastAsia="仿宋" w:cs="仿宋"/>
                <w:szCs w:val="21"/>
                <w:highlight w:val="none"/>
              </w:rPr>
            </w:pPr>
          </w:p>
        </w:tc>
        <w:tc>
          <w:tcPr>
            <w:tcW w:w="565" w:type="pct"/>
            <w:noWrap w:val="0"/>
            <w:vAlign w:val="center"/>
          </w:tcPr>
          <w:p w14:paraId="587E903A">
            <w:pPr>
              <w:jc w:val="center"/>
              <w:rPr>
                <w:rFonts w:hint="eastAsia" w:ascii="仿宋" w:hAnsi="仿宋" w:eastAsia="仿宋" w:cs="仿宋"/>
                <w:szCs w:val="21"/>
                <w:highlight w:val="none"/>
              </w:rPr>
            </w:pPr>
          </w:p>
        </w:tc>
        <w:tc>
          <w:tcPr>
            <w:tcW w:w="821" w:type="pct"/>
            <w:noWrap w:val="0"/>
            <w:vAlign w:val="center"/>
          </w:tcPr>
          <w:p w14:paraId="688F9E52">
            <w:pPr>
              <w:jc w:val="center"/>
              <w:rPr>
                <w:rFonts w:hint="eastAsia" w:ascii="仿宋" w:hAnsi="仿宋" w:eastAsia="仿宋" w:cs="仿宋"/>
                <w:szCs w:val="21"/>
                <w:highlight w:val="none"/>
              </w:rPr>
            </w:pPr>
          </w:p>
        </w:tc>
        <w:tc>
          <w:tcPr>
            <w:tcW w:w="709" w:type="pct"/>
            <w:noWrap w:val="0"/>
            <w:vAlign w:val="center"/>
          </w:tcPr>
          <w:p w14:paraId="3F821547">
            <w:pPr>
              <w:jc w:val="center"/>
              <w:rPr>
                <w:rFonts w:hint="eastAsia" w:ascii="仿宋" w:hAnsi="仿宋" w:eastAsia="仿宋" w:cs="仿宋"/>
                <w:szCs w:val="21"/>
                <w:highlight w:val="none"/>
              </w:rPr>
            </w:pPr>
          </w:p>
        </w:tc>
      </w:tr>
      <w:tr w14:paraId="517AA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14:paraId="5BC7D47D">
            <w:pPr>
              <w:jc w:val="center"/>
              <w:rPr>
                <w:rFonts w:hint="eastAsia" w:ascii="仿宋" w:hAnsi="仿宋" w:eastAsia="仿宋" w:cs="仿宋"/>
                <w:szCs w:val="21"/>
                <w:highlight w:val="none"/>
              </w:rPr>
            </w:pPr>
          </w:p>
        </w:tc>
        <w:tc>
          <w:tcPr>
            <w:tcW w:w="471" w:type="pct"/>
            <w:noWrap w:val="0"/>
            <w:vAlign w:val="center"/>
          </w:tcPr>
          <w:p w14:paraId="002D7935">
            <w:pPr>
              <w:jc w:val="center"/>
              <w:rPr>
                <w:rFonts w:hint="eastAsia" w:ascii="仿宋" w:hAnsi="仿宋" w:eastAsia="仿宋" w:cs="仿宋"/>
                <w:szCs w:val="21"/>
                <w:highlight w:val="none"/>
              </w:rPr>
            </w:pPr>
          </w:p>
        </w:tc>
        <w:tc>
          <w:tcPr>
            <w:tcW w:w="678" w:type="pct"/>
            <w:noWrap w:val="0"/>
            <w:vAlign w:val="center"/>
          </w:tcPr>
          <w:p w14:paraId="1BCF7712">
            <w:pPr>
              <w:jc w:val="center"/>
              <w:rPr>
                <w:rFonts w:hint="eastAsia" w:ascii="仿宋" w:hAnsi="仿宋" w:eastAsia="仿宋" w:cs="仿宋"/>
                <w:szCs w:val="21"/>
                <w:highlight w:val="none"/>
              </w:rPr>
            </w:pPr>
          </w:p>
        </w:tc>
        <w:tc>
          <w:tcPr>
            <w:tcW w:w="645" w:type="pct"/>
            <w:noWrap w:val="0"/>
            <w:vAlign w:val="center"/>
          </w:tcPr>
          <w:p w14:paraId="6044DA46">
            <w:pPr>
              <w:jc w:val="center"/>
              <w:rPr>
                <w:rFonts w:hint="eastAsia" w:ascii="仿宋" w:hAnsi="仿宋" w:eastAsia="仿宋" w:cs="仿宋"/>
                <w:szCs w:val="21"/>
                <w:highlight w:val="none"/>
              </w:rPr>
            </w:pPr>
          </w:p>
        </w:tc>
        <w:tc>
          <w:tcPr>
            <w:tcW w:w="641" w:type="pct"/>
            <w:noWrap w:val="0"/>
            <w:vAlign w:val="center"/>
          </w:tcPr>
          <w:p w14:paraId="56FA0FD5">
            <w:pPr>
              <w:jc w:val="center"/>
              <w:rPr>
                <w:rFonts w:hint="eastAsia" w:ascii="仿宋" w:hAnsi="仿宋" w:eastAsia="仿宋" w:cs="仿宋"/>
                <w:szCs w:val="21"/>
                <w:highlight w:val="none"/>
              </w:rPr>
            </w:pPr>
          </w:p>
        </w:tc>
        <w:tc>
          <w:tcPr>
            <w:tcW w:w="565" w:type="pct"/>
            <w:noWrap w:val="0"/>
            <w:vAlign w:val="center"/>
          </w:tcPr>
          <w:p w14:paraId="75786F8A">
            <w:pPr>
              <w:jc w:val="center"/>
              <w:rPr>
                <w:rFonts w:hint="eastAsia" w:ascii="仿宋" w:hAnsi="仿宋" w:eastAsia="仿宋" w:cs="仿宋"/>
                <w:szCs w:val="21"/>
                <w:highlight w:val="none"/>
              </w:rPr>
            </w:pPr>
          </w:p>
        </w:tc>
        <w:tc>
          <w:tcPr>
            <w:tcW w:w="821" w:type="pct"/>
            <w:noWrap w:val="0"/>
            <w:vAlign w:val="center"/>
          </w:tcPr>
          <w:p w14:paraId="09A243B6">
            <w:pPr>
              <w:jc w:val="center"/>
              <w:rPr>
                <w:rFonts w:hint="eastAsia" w:ascii="仿宋" w:hAnsi="仿宋" w:eastAsia="仿宋" w:cs="仿宋"/>
                <w:szCs w:val="21"/>
                <w:highlight w:val="none"/>
              </w:rPr>
            </w:pPr>
          </w:p>
        </w:tc>
        <w:tc>
          <w:tcPr>
            <w:tcW w:w="709" w:type="pct"/>
            <w:noWrap w:val="0"/>
            <w:vAlign w:val="center"/>
          </w:tcPr>
          <w:p w14:paraId="62DC0048">
            <w:pPr>
              <w:jc w:val="center"/>
              <w:rPr>
                <w:rFonts w:hint="eastAsia" w:ascii="仿宋" w:hAnsi="仿宋" w:eastAsia="仿宋" w:cs="仿宋"/>
                <w:szCs w:val="21"/>
                <w:highlight w:val="none"/>
              </w:rPr>
            </w:pPr>
          </w:p>
        </w:tc>
      </w:tr>
      <w:tr w14:paraId="37F44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14:paraId="52F92716">
            <w:pPr>
              <w:jc w:val="center"/>
              <w:rPr>
                <w:rFonts w:hint="eastAsia" w:ascii="仿宋" w:hAnsi="仿宋" w:eastAsia="仿宋" w:cs="仿宋"/>
                <w:szCs w:val="21"/>
                <w:highlight w:val="none"/>
              </w:rPr>
            </w:pPr>
          </w:p>
        </w:tc>
        <w:tc>
          <w:tcPr>
            <w:tcW w:w="471" w:type="pct"/>
            <w:noWrap w:val="0"/>
            <w:vAlign w:val="center"/>
          </w:tcPr>
          <w:p w14:paraId="1994764E">
            <w:pPr>
              <w:jc w:val="center"/>
              <w:rPr>
                <w:rFonts w:hint="eastAsia" w:ascii="仿宋" w:hAnsi="仿宋" w:eastAsia="仿宋" w:cs="仿宋"/>
                <w:szCs w:val="21"/>
                <w:highlight w:val="none"/>
              </w:rPr>
            </w:pPr>
          </w:p>
        </w:tc>
        <w:tc>
          <w:tcPr>
            <w:tcW w:w="678" w:type="pct"/>
            <w:noWrap w:val="0"/>
            <w:vAlign w:val="center"/>
          </w:tcPr>
          <w:p w14:paraId="70F38634">
            <w:pPr>
              <w:jc w:val="center"/>
              <w:rPr>
                <w:rFonts w:hint="eastAsia" w:ascii="仿宋" w:hAnsi="仿宋" w:eastAsia="仿宋" w:cs="仿宋"/>
                <w:szCs w:val="21"/>
                <w:highlight w:val="none"/>
              </w:rPr>
            </w:pPr>
          </w:p>
        </w:tc>
        <w:tc>
          <w:tcPr>
            <w:tcW w:w="645" w:type="pct"/>
            <w:noWrap w:val="0"/>
            <w:vAlign w:val="center"/>
          </w:tcPr>
          <w:p w14:paraId="598273F1">
            <w:pPr>
              <w:jc w:val="center"/>
              <w:rPr>
                <w:rFonts w:hint="eastAsia" w:ascii="仿宋" w:hAnsi="仿宋" w:eastAsia="仿宋" w:cs="仿宋"/>
                <w:szCs w:val="21"/>
                <w:highlight w:val="none"/>
              </w:rPr>
            </w:pPr>
          </w:p>
        </w:tc>
        <w:tc>
          <w:tcPr>
            <w:tcW w:w="641" w:type="pct"/>
            <w:noWrap w:val="0"/>
            <w:vAlign w:val="center"/>
          </w:tcPr>
          <w:p w14:paraId="4280D55A">
            <w:pPr>
              <w:jc w:val="center"/>
              <w:rPr>
                <w:rFonts w:hint="eastAsia" w:ascii="仿宋" w:hAnsi="仿宋" w:eastAsia="仿宋" w:cs="仿宋"/>
                <w:szCs w:val="21"/>
                <w:highlight w:val="none"/>
              </w:rPr>
            </w:pPr>
          </w:p>
        </w:tc>
        <w:tc>
          <w:tcPr>
            <w:tcW w:w="565" w:type="pct"/>
            <w:noWrap w:val="0"/>
            <w:vAlign w:val="center"/>
          </w:tcPr>
          <w:p w14:paraId="12017804">
            <w:pPr>
              <w:jc w:val="center"/>
              <w:rPr>
                <w:rFonts w:hint="eastAsia" w:ascii="仿宋" w:hAnsi="仿宋" w:eastAsia="仿宋" w:cs="仿宋"/>
                <w:szCs w:val="21"/>
                <w:highlight w:val="none"/>
              </w:rPr>
            </w:pPr>
          </w:p>
        </w:tc>
        <w:tc>
          <w:tcPr>
            <w:tcW w:w="821" w:type="pct"/>
            <w:noWrap w:val="0"/>
            <w:vAlign w:val="center"/>
          </w:tcPr>
          <w:p w14:paraId="25ED09E6">
            <w:pPr>
              <w:jc w:val="center"/>
              <w:rPr>
                <w:rFonts w:hint="eastAsia" w:ascii="仿宋" w:hAnsi="仿宋" w:eastAsia="仿宋" w:cs="仿宋"/>
                <w:szCs w:val="21"/>
                <w:highlight w:val="none"/>
              </w:rPr>
            </w:pPr>
          </w:p>
        </w:tc>
        <w:tc>
          <w:tcPr>
            <w:tcW w:w="709" w:type="pct"/>
            <w:noWrap w:val="0"/>
            <w:vAlign w:val="center"/>
          </w:tcPr>
          <w:p w14:paraId="6DFCA25C">
            <w:pPr>
              <w:jc w:val="center"/>
              <w:rPr>
                <w:rFonts w:hint="eastAsia" w:ascii="仿宋" w:hAnsi="仿宋" w:eastAsia="仿宋" w:cs="仿宋"/>
                <w:szCs w:val="21"/>
                <w:highlight w:val="none"/>
              </w:rPr>
            </w:pPr>
          </w:p>
        </w:tc>
      </w:tr>
      <w:tr w14:paraId="3AFBB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14:paraId="37DCD405">
            <w:pPr>
              <w:jc w:val="center"/>
              <w:rPr>
                <w:rFonts w:hint="eastAsia" w:ascii="仿宋" w:hAnsi="仿宋" w:eastAsia="仿宋" w:cs="仿宋"/>
                <w:szCs w:val="21"/>
                <w:highlight w:val="none"/>
              </w:rPr>
            </w:pPr>
          </w:p>
        </w:tc>
        <w:tc>
          <w:tcPr>
            <w:tcW w:w="471" w:type="pct"/>
            <w:noWrap w:val="0"/>
            <w:vAlign w:val="center"/>
          </w:tcPr>
          <w:p w14:paraId="30103F6E">
            <w:pPr>
              <w:jc w:val="center"/>
              <w:rPr>
                <w:rFonts w:hint="eastAsia" w:ascii="仿宋" w:hAnsi="仿宋" w:eastAsia="仿宋" w:cs="仿宋"/>
                <w:szCs w:val="21"/>
                <w:highlight w:val="none"/>
              </w:rPr>
            </w:pPr>
          </w:p>
        </w:tc>
        <w:tc>
          <w:tcPr>
            <w:tcW w:w="678" w:type="pct"/>
            <w:noWrap w:val="0"/>
            <w:vAlign w:val="center"/>
          </w:tcPr>
          <w:p w14:paraId="76CC5EDC">
            <w:pPr>
              <w:jc w:val="center"/>
              <w:rPr>
                <w:rFonts w:hint="eastAsia" w:ascii="仿宋" w:hAnsi="仿宋" w:eastAsia="仿宋" w:cs="仿宋"/>
                <w:szCs w:val="21"/>
                <w:highlight w:val="none"/>
              </w:rPr>
            </w:pPr>
          </w:p>
        </w:tc>
        <w:tc>
          <w:tcPr>
            <w:tcW w:w="645" w:type="pct"/>
            <w:noWrap w:val="0"/>
            <w:vAlign w:val="center"/>
          </w:tcPr>
          <w:p w14:paraId="00E62129">
            <w:pPr>
              <w:jc w:val="center"/>
              <w:rPr>
                <w:rFonts w:hint="eastAsia" w:ascii="仿宋" w:hAnsi="仿宋" w:eastAsia="仿宋" w:cs="仿宋"/>
                <w:szCs w:val="21"/>
                <w:highlight w:val="none"/>
              </w:rPr>
            </w:pPr>
          </w:p>
        </w:tc>
        <w:tc>
          <w:tcPr>
            <w:tcW w:w="641" w:type="pct"/>
            <w:noWrap w:val="0"/>
            <w:vAlign w:val="center"/>
          </w:tcPr>
          <w:p w14:paraId="6650B0EE">
            <w:pPr>
              <w:jc w:val="center"/>
              <w:rPr>
                <w:rFonts w:hint="eastAsia" w:ascii="仿宋" w:hAnsi="仿宋" w:eastAsia="仿宋" w:cs="仿宋"/>
                <w:szCs w:val="21"/>
                <w:highlight w:val="none"/>
              </w:rPr>
            </w:pPr>
          </w:p>
        </w:tc>
        <w:tc>
          <w:tcPr>
            <w:tcW w:w="565" w:type="pct"/>
            <w:noWrap w:val="0"/>
            <w:vAlign w:val="center"/>
          </w:tcPr>
          <w:p w14:paraId="05738802">
            <w:pPr>
              <w:jc w:val="center"/>
              <w:rPr>
                <w:rFonts w:hint="eastAsia" w:ascii="仿宋" w:hAnsi="仿宋" w:eastAsia="仿宋" w:cs="仿宋"/>
                <w:szCs w:val="21"/>
                <w:highlight w:val="none"/>
              </w:rPr>
            </w:pPr>
          </w:p>
        </w:tc>
        <w:tc>
          <w:tcPr>
            <w:tcW w:w="821" w:type="pct"/>
            <w:noWrap w:val="0"/>
            <w:vAlign w:val="center"/>
          </w:tcPr>
          <w:p w14:paraId="010226D8">
            <w:pPr>
              <w:jc w:val="center"/>
              <w:rPr>
                <w:rFonts w:hint="eastAsia" w:ascii="仿宋" w:hAnsi="仿宋" w:eastAsia="仿宋" w:cs="仿宋"/>
                <w:szCs w:val="21"/>
                <w:highlight w:val="none"/>
              </w:rPr>
            </w:pPr>
          </w:p>
        </w:tc>
        <w:tc>
          <w:tcPr>
            <w:tcW w:w="709" w:type="pct"/>
            <w:noWrap w:val="0"/>
            <w:vAlign w:val="center"/>
          </w:tcPr>
          <w:p w14:paraId="30655E64">
            <w:pPr>
              <w:jc w:val="center"/>
              <w:rPr>
                <w:rFonts w:hint="eastAsia" w:ascii="仿宋" w:hAnsi="仿宋" w:eastAsia="仿宋" w:cs="仿宋"/>
                <w:szCs w:val="21"/>
                <w:highlight w:val="none"/>
              </w:rPr>
            </w:pPr>
          </w:p>
        </w:tc>
      </w:tr>
    </w:tbl>
    <w:p w14:paraId="28C796D2">
      <w:pPr>
        <w:spacing w:line="360" w:lineRule="auto"/>
        <w:jc w:val="lef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备注：</w:t>
      </w:r>
    </w:p>
    <w:p w14:paraId="396D8212">
      <w:pPr>
        <w:spacing w:line="360" w:lineRule="auto"/>
        <w:textAlignment w:val="baseline"/>
        <w:rPr>
          <w:rFonts w:hint="eastAsia" w:ascii="仿宋" w:hAnsi="仿宋" w:eastAsia="仿宋"/>
          <w:b/>
          <w:color w:val="000000"/>
          <w:sz w:val="24"/>
          <w:highlight w:val="none"/>
        </w:rPr>
      </w:pPr>
      <w:r>
        <w:rPr>
          <w:rFonts w:hint="eastAsia" w:ascii="仿宋" w:hAnsi="仿宋" w:eastAsia="仿宋"/>
          <w:b/>
          <w:color w:val="000000"/>
          <w:sz w:val="24"/>
          <w:highlight w:val="none"/>
        </w:rPr>
        <w:t>1）有效的业绩证明材料包含但不限于合同关键页复印件（合同首页、合同标的页、签署日期页及盖章页等），按照业绩表的项目名称，顺序排放每个项目的证明材料。</w:t>
      </w:r>
    </w:p>
    <w:p w14:paraId="0E436D38">
      <w:pPr>
        <w:spacing w:line="360" w:lineRule="auto"/>
        <w:textAlignment w:val="baseline"/>
        <w:rPr>
          <w:rFonts w:hint="eastAsia" w:ascii="仿宋" w:hAnsi="仿宋" w:eastAsia="仿宋"/>
          <w:b/>
          <w:color w:val="000000"/>
          <w:sz w:val="24"/>
          <w:highlight w:val="none"/>
        </w:rPr>
      </w:pPr>
      <w:r>
        <w:rPr>
          <w:rFonts w:hint="eastAsia" w:ascii="仿宋" w:hAnsi="仿宋" w:eastAsia="仿宋"/>
          <w:b/>
          <w:color w:val="000000"/>
          <w:sz w:val="24"/>
          <w:highlight w:val="none"/>
        </w:rPr>
        <w:t>2）按照磋商公告的资格要求提供有效的实施经验证明材料，作为资格后审的评审依据。</w:t>
      </w:r>
    </w:p>
    <w:p w14:paraId="009EA0DD">
      <w:pPr>
        <w:spacing w:line="360" w:lineRule="auto"/>
        <w:textAlignment w:val="baseline"/>
        <w:rPr>
          <w:rFonts w:hint="eastAsia" w:ascii="仿宋" w:hAnsi="仿宋" w:eastAsia="仿宋"/>
          <w:b/>
          <w:color w:val="000000"/>
          <w:sz w:val="24"/>
          <w:highlight w:val="none"/>
        </w:rPr>
      </w:pPr>
      <w:r>
        <w:rPr>
          <w:rFonts w:hint="eastAsia" w:ascii="仿宋" w:hAnsi="仿宋" w:eastAsia="仿宋"/>
          <w:b/>
          <w:color w:val="000000"/>
          <w:sz w:val="24"/>
          <w:highlight w:val="none"/>
        </w:rPr>
        <w:t>3）本业绩表及证明材料也作为详细评审中对供应商同类项目实施经验的评审及打分依据，供应商需根据详细评审标准的要求，提供符合要求的业绩证明材料。</w:t>
      </w:r>
    </w:p>
    <w:p w14:paraId="26B6D655">
      <w:pPr>
        <w:spacing w:line="360" w:lineRule="auto"/>
        <w:jc w:val="left"/>
        <w:rPr>
          <w:rFonts w:hint="eastAsia" w:ascii="仿宋" w:hAnsi="仿宋" w:eastAsia="仿宋" w:cs="仿宋"/>
          <w:color w:val="000000"/>
          <w:sz w:val="24"/>
          <w:highlight w:val="none"/>
        </w:rPr>
      </w:pPr>
    </w:p>
    <w:p w14:paraId="6A356A57">
      <w:pPr>
        <w:spacing w:line="360" w:lineRule="auto"/>
        <w:ind w:firstLine="480" w:firstLineChars="200"/>
        <w:jc w:val="left"/>
        <w:rPr>
          <w:rFonts w:hint="eastAsia" w:ascii="仿宋" w:hAnsi="仿宋" w:eastAsia="仿宋" w:cs="仿宋"/>
          <w:bCs/>
          <w:color w:val="000000"/>
          <w:sz w:val="24"/>
          <w:highlight w:val="none"/>
        </w:rPr>
      </w:pPr>
    </w:p>
    <w:p w14:paraId="551594CD">
      <w:pPr>
        <w:pStyle w:val="108"/>
        <w:topLinePunct/>
        <w:adjustRightInd w:val="0"/>
        <w:snapToGrid w:val="0"/>
        <w:spacing w:line="360" w:lineRule="auto"/>
        <w:ind w:left="1575" w:firstLine="0" w:firstLineChars="0"/>
        <w:rPr>
          <w:rFonts w:hint="eastAsia" w:ascii="仿宋" w:hAnsi="仿宋" w:eastAsia="仿宋" w:cs="仿宋"/>
          <w:bCs/>
          <w:color w:val="000000"/>
          <w:sz w:val="24"/>
          <w:highlight w:val="none"/>
        </w:rPr>
      </w:pPr>
    </w:p>
    <w:p w14:paraId="0FB50194">
      <w:pPr>
        <w:pStyle w:val="108"/>
        <w:topLinePunct/>
        <w:adjustRightInd w:val="0"/>
        <w:snapToGrid w:val="0"/>
        <w:spacing w:line="360" w:lineRule="auto"/>
        <w:ind w:left="1575" w:firstLine="0" w:firstLineChars="0"/>
        <w:rPr>
          <w:rFonts w:hint="eastAsia" w:ascii="仿宋" w:hAnsi="仿宋" w:eastAsia="仿宋" w:cs="仿宋"/>
          <w:bCs/>
          <w:color w:val="000000"/>
          <w:sz w:val="24"/>
          <w:highlight w:val="none"/>
        </w:rPr>
      </w:pPr>
    </w:p>
    <w:p w14:paraId="7BA00B47">
      <w:pPr>
        <w:spacing w:line="360" w:lineRule="auto"/>
        <w:ind w:firstLine="4080" w:firstLineChars="1700"/>
        <w:jc w:val="right"/>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lang w:val="en-US" w:eastAsia="zh-CN"/>
        </w:rPr>
        <w:t>供应商</w:t>
      </w:r>
      <w:r>
        <w:rPr>
          <w:rFonts w:hint="eastAsia" w:ascii="仿宋" w:hAnsi="仿宋" w:eastAsia="仿宋" w:cs="Cambria Math"/>
          <w:color w:val="000000"/>
          <w:sz w:val="24"/>
          <w:highlight w:val="none"/>
        </w:rPr>
        <w:t>名称：</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（盖章）</w:t>
      </w:r>
    </w:p>
    <w:p w14:paraId="4F56C227">
      <w:pPr>
        <w:spacing w:line="360" w:lineRule="auto"/>
        <w:jc w:val="right"/>
        <w:rPr>
          <w:rFonts w:hint="eastAsia" w:ascii="仿宋" w:hAnsi="仿宋" w:eastAsia="仿宋" w:cs="Cambria Math"/>
          <w:b/>
          <w:bCs/>
          <w:color w:val="000000"/>
          <w:sz w:val="24"/>
          <w:highlight w:val="none"/>
        </w:rPr>
      </w:pPr>
      <w:r>
        <w:rPr>
          <w:rFonts w:hint="eastAsia" w:ascii="仿宋" w:hAnsi="仿宋" w:eastAsia="仿宋" w:cs="Cambria Math"/>
          <w:color w:val="000000"/>
          <w:sz w:val="24"/>
          <w:highlight w:val="none"/>
        </w:rPr>
        <w:t>日期：</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年</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月</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日</w:t>
      </w:r>
    </w:p>
    <w:p w14:paraId="40E9348A">
      <w:pPr>
        <w:pStyle w:val="6"/>
        <w:numPr>
          <w:ilvl w:val="0"/>
          <w:numId w:val="0"/>
        </w:numPr>
        <w:spacing w:before="0" w:after="0" w:line="360" w:lineRule="auto"/>
        <w:rPr>
          <w:rFonts w:hint="eastAsia" w:ascii="仿宋" w:hAnsi="仿宋" w:eastAsia="仿宋" w:cs="仿宋"/>
          <w:color w:val="000000"/>
          <w:sz w:val="24"/>
          <w:szCs w:val="24"/>
          <w:highlight w:val="none"/>
        </w:rPr>
      </w:pPr>
      <w:r>
        <w:rPr>
          <w:highlight w:val="none"/>
        </w:rPr>
        <w:br w:type="page"/>
      </w:r>
      <w:r>
        <w:rPr>
          <w:rFonts w:hint="eastAsia" w:ascii="仿宋" w:hAnsi="仿宋" w:eastAsia="仿宋" w:cs="仿宋"/>
          <w:sz w:val="24"/>
          <w:szCs w:val="24"/>
          <w:highlight w:val="none"/>
          <w:lang w:val="en-US" w:eastAsia="zh-CN"/>
        </w:rPr>
        <w:t>4、</w:t>
      </w:r>
      <w:r>
        <w:rPr>
          <w:rFonts w:hint="eastAsia" w:ascii="仿宋" w:hAnsi="仿宋" w:eastAsia="仿宋" w:cs="仿宋"/>
          <w:color w:val="000000"/>
          <w:sz w:val="24"/>
          <w:szCs w:val="24"/>
          <w:highlight w:val="none"/>
        </w:rPr>
        <w:t>税收和社保证明材料</w:t>
      </w:r>
    </w:p>
    <w:p w14:paraId="2E222E0E">
      <w:pPr>
        <w:bidi w:val="0"/>
        <w:rPr>
          <w:rFonts w:hint="eastAsia"/>
        </w:rPr>
      </w:pPr>
      <w:r>
        <w:rPr>
          <w:rFonts w:hint="eastAsia" w:ascii="仿宋" w:hAnsi="仿宋" w:eastAsia="仿宋" w:cs="仿宋"/>
          <w:b w:val="0"/>
          <w:bCs w:val="0"/>
          <w:color w:val="FF0000"/>
          <w:sz w:val="24"/>
          <w:szCs w:val="24"/>
          <w:highlight w:val="none"/>
        </w:rPr>
        <w:t>（可以根据项目实际情况选择是否设置）</w:t>
      </w:r>
    </w:p>
    <w:p w14:paraId="6CD4B374">
      <w:pPr>
        <w:spacing w:line="360" w:lineRule="auto"/>
        <w:textAlignment w:val="baseline"/>
        <w:rPr>
          <w:rFonts w:hint="eastAsia" w:ascii="仿宋" w:hAnsi="仿宋" w:eastAsia="仿宋" w:cs="宋体"/>
          <w:color w:val="000000"/>
          <w:sz w:val="24"/>
          <w:highlight w:val="none"/>
        </w:rPr>
      </w:pPr>
      <w:r>
        <w:rPr>
          <w:rFonts w:hint="eastAsia" w:ascii="仿宋" w:hAnsi="仿宋" w:eastAsia="仿宋" w:cs="宋体"/>
          <w:color w:val="000000"/>
          <w:sz w:val="24"/>
          <w:highlight w:val="none"/>
        </w:rPr>
        <w:t>提供6个月任意一个月的企业税收和社会保障资金缴纳凭证。</w:t>
      </w:r>
    </w:p>
    <w:p w14:paraId="2A0C0023">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r>
    </w:p>
    <w:p w14:paraId="730A156B">
      <w:pPr>
        <w:pStyle w:val="6"/>
        <w:spacing w:before="0"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5、无违法违规记录查询截图</w:t>
      </w:r>
    </w:p>
    <w:p w14:paraId="56E21940">
      <w:pPr>
        <w:spacing w:line="360" w:lineRule="auto"/>
        <w:ind w:firstLine="480" w:firstLineChars="200"/>
        <w:textAlignment w:val="baseline"/>
        <w:rPr>
          <w:rStyle w:val="50"/>
        </w:rPr>
      </w:pPr>
      <w:r>
        <w:rPr>
          <w:rFonts w:hint="eastAsia" w:ascii="仿宋" w:hAnsi="仿宋" w:eastAsia="仿宋" w:cs="Cambria Math"/>
          <w:color w:val="000000"/>
          <w:sz w:val="24"/>
          <w:lang w:val="en-US" w:eastAsia="zh-CN"/>
        </w:rPr>
        <w:t>信用中国</w:t>
      </w:r>
      <w:r>
        <w:rPr>
          <w:rFonts w:hint="eastAsia" w:ascii="仿宋" w:hAnsi="仿宋" w:eastAsia="仿宋" w:cs="Cambria Math"/>
          <w:color w:val="000000"/>
          <w:sz w:val="24"/>
        </w:rPr>
        <w:t>查询网址：</w:t>
      </w:r>
      <w:r>
        <w:fldChar w:fldCharType="begin"/>
      </w:r>
      <w:r>
        <w:rPr>
          <w:rStyle w:val="50"/>
        </w:rPr>
        <w:instrText xml:space="preserve"> </w:instrText>
      </w:r>
      <w:r>
        <w:rPr>
          <w:rStyle w:val="50"/>
          <w:rFonts w:hint="eastAsia"/>
        </w:rPr>
        <w:instrText xml:space="preserve">HYPERLINK "https://www.creditchina.gov.cn/xinyongfuwu/?navPage=5"</w:instrText>
      </w:r>
      <w:r>
        <w:rPr>
          <w:rStyle w:val="50"/>
        </w:rPr>
        <w:instrText xml:space="preserve"> </w:instrText>
      </w:r>
      <w:r>
        <w:fldChar w:fldCharType="separate"/>
      </w:r>
      <w:r>
        <w:rPr>
          <w:rStyle w:val="50"/>
          <w:rFonts w:hint="eastAsia"/>
        </w:rPr>
        <w:t>https://www.creditchina.gov.cn/xinyongfuwu/?navPage=5</w:t>
      </w:r>
      <w:r>
        <w:fldChar w:fldCharType="end"/>
      </w:r>
    </w:p>
    <w:p w14:paraId="4762987D">
      <w:pPr>
        <w:spacing w:line="360" w:lineRule="auto"/>
        <w:textAlignment w:val="baseline"/>
        <w:rPr>
          <w:color w:val="333333"/>
          <w:highlight w:val="none"/>
        </w:rPr>
      </w:pPr>
      <w:r>
        <w:rPr>
          <w:rFonts w:hint="eastAsia" w:ascii="仿宋" w:hAnsi="仿宋" w:eastAsia="仿宋" w:cs="Cambria Math"/>
          <w:sz w:val="24"/>
          <w:highlight w:val="none"/>
        </w:rPr>
        <w:t>（1）失信被执行人查询截图范例：</w:t>
      </w:r>
    </w:p>
    <w:p w14:paraId="635EABF5">
      <w:pPr>
        <w:ind w:firstLine="210" w:firstLineChars="100"/>
        <w:rPr>
          <w:highlight w:val="none"/>
        </w:rPr>
      </w:pPr>
      <w:r>
        <w:rPr>
          <w:highlight w:val="none"/>
        </w:rPr>
        <w:drawing>
          <wp:inline distT="0" distB="0" distL="114300" distR="114300">
            <wp:extent cx="5909310" cy="3769360"/>
            <wp:effectExtent l="0" t="0" r="8890" b="2540"/>
            <wp:docPr id="6" name="图片 7" descr="cca28b419ce15d5afdeea5a744e8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7" descr="cca28b419ce15d5afdeea5a744e8556"/>
                    <pic:cNvPicPr>
                      <a:picLocks noChangeAspect="1"/>
                    </pic:cNvPicPr>
                  </pic:nvPicPr>
                  <pic:blipFill>
                    <a:blip r:embed="rId20"/>
                    <a:srcRect b="11951"/>
                    <a:stretch>
                      <a:fillRect/>
                    </a:stretch>
                  </pic:blipFill>
                  <pic:spPr>
                    <a:xfrm>
                      <a:off x="0" y="0"/>
                      <a:ext cx="5909310" cy="3769360"/>
                    </a:xfrm>
                    <a:prstGeom prst="rect">
                      <a:avLst/>
                    </a:prstGeom>
                    <a:noFill/>
                    <a:ln>
                      <a:noFill/>
                    </a:ln>
                  </pic:spPr>
                </pic:pic>
              </a:graphicData>
            </a:graphic>
          </wp:inline>
        </w:drawing>
      </w:r>
    </w:p>
    <w:p w14:paraId="63E65DAA">
      <w:pPr>
        <w:rPr>
          <w:rFonts w:hint="eastAsia" w:ascii="仿宋" w:hAnsi="仿宋" w:eastAsia="仿宋"/>
          <w:color w:val="000000"/>
          <w:szCs w:val="21"/>
          <w:highlight w:val="none"/>
        </w:rPr>
      </w:pPr>
      <w:r>
        <w:rPr>
          <w:rFonts w:hint="eastAsia" w:ascii="仿宋" w:hAnsi="仿宋" w:eastAsia="仿宋" w:cs="Cambria Math"/>
          <w:sz w:val="24"/>
          <w:highlight w:val="none"/>
        </w:rPr>
        <w:t>（2）</w:t>
      </w:r>
      <w:r>
        <w:rPr>
          <w:rFonts w:hint="eastAsia" w:ascii="仿宋" w:hAnsi="仿宋" w:eastAsia="仿宋" w:cs="微软雅黑"/>
          <w:color w:val="000000"/>
          <w:sz w:val="24"/>
          <w:highlight w:val="none"/>
        </w:rPr>
        <w:t>重大</w:t>
      </w:r>
      <w:r>
        <w:rPr>
          <w:rFonts w:hint="eastAsia" w:ascii="仿宋" w:hAnsi="仿宋" w:eastAsia="仿宋" w:cs="仿宋"/>
          <w:color w:val="000000"/>
          <w:sz w:val="24"/>
          <w:highlight w:val="none"/>
        </w:rPr>
        <w:t>税收违法失信主体</w:t>
      </w:r>
      <w:r>
        <w:rPr>
          <w:rFonts w:hint="eastAsia" w:ascii="仿宋" w:hAnsi="仿宋" w:eastAsia="仿宋" w:cs="微软雅黑"/>
          <w:color w:val="000000"/>
          <w:sz w:val="24"/>
          <w:highlight w:val="none"/>
        </w:rPr>
        <w:t>查询截图范例：</w:t>
      </w:r>
    </w:p>
    <w:p w14:paraId="5486C20F">
      <w:pPr>
        <w:rPr>
          <w:rFonts w:hint="eastAsia" w:ascii="仿宋" w:hAnsi="仿宋" w:eastAsia="仿宋" w:cs="Cambria Math"/>
          <w:sz w:val="24"/>
          <w:highlight w:val="none"/>
        </w:rPr>
      </w:pPr>
      <w:r>
        <w:rPr>
          <w:rFonts w:ascii="仿宋" w:hAnsi="仿宋" w:eastAsia="仿宋"/>
          <w:color w:val="000000"/>
          <w:szCs w:val="21"/>
          <w:highlight w:val="none"/>
        </w:rPr>
        <w:drawing>
          <wp:inline distT="0" distB="0" distL="114300" distR="114300">
            <wp:extent cx="6119495" cy="3312795"/>
            <wp:effectExtent l="0" t="0" r="1905" b="1905"/>
            <wp:docPr id="7" name="图片 2" descr="微信图片_20220713154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descr="微信图片_20220713154746"/>
                    <pic:cNvPicPr>
                      <a:picLocks noChangeAspect="1"/>
                    </pic:cNvPicPr>
                  </pic:nvPicPr>
                  <pic:blipFill>
                    <a:blip r:embed="rId21"/>
                    <a:stretch>
                      <a:fillRect/>
                    </a:stretch>
                  </pic:blipFill>
                  <pic:spPr>
                    <a:xfrm>
                      <a:off x="0" y="0"/>
                      <a:ext cx="6119495" cy="3312795"/>
                    </a:xfrm>
                    <a:prstGeom prst="rect">
                      <a:avLst/>
                    </a:prstGeom>
                    <a:noFill/>
                    <a:ln>
                      <a:noFill/>
                    </a:ln>
                  </pic:spPr>
                </pic:pic>
              </a:graphicData>
            </a:graphic>
          </wp:inline>
        </w:drawing>
      </w:r>
    </w:p>
    <w:p w14:paraId="64C79D29">
      <w:pPr>
        <w:ind w:firstLine="240" w:firstLineChars="100"/>
        <w:rPr>
          <w:rFonts w:ascii="仿宋" w:hAnsi="仿宋" w:eastAsia="仿宋" w:cs="Cambria Math"/>
          <w:sz w:val="24"/>
          <w:highlight w:val="none"/>
        </w:rPr>
      </w:pPr>
      <w:r>
        <w:rPr>
          <w:rFonts w:hint="eastAsia" w:ascii="仿宋" w:hAnsi="仿宋" w:eastAsia="仿宋" w:cs="Cambria Math"/>
          <w:sz w:val="24"/>
          <w:highlight w:val="none"/>
        </w:rPr>
        <w:t>（3）政府采购严重违法失信行为记录名单查询截图范例：</w:t>
      </w:r>
    </w:p>
    <w:p w14:paraId="73FC75D2">
      <w:pPr>
        <w:ind w:firstLine="210" w:firstLineChars="100"/>
        <w:rPr>
          <w:highlight w:val="none"/>
        </w:rPr>
      </w:pPr>
      <w:r>
        <w:rPr>
          <w:highlight w:val="none"/>
        </w:rPr>
        <w:drawing>
          <wp:inline distT="0" distB="0" distL="114300" distR="114300">
            <wp:extent cx="5976620" cy="3242310"/>
            <wp:effectExtent l="0" t="0" r="5080" b="8890"/>
            <wp:docPr id="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9"/>
                    <pic:cNvPicPr>
                      <a:picLocks noChangeAspect="1"/>
                    </pic:cNvPicPr>
                  </pic:nvPicPr>
                  <pic:blipFill>
                    <a:blip r:embed="rId22"/>
                    <a:stretch>
                      <a:fillRect/>
                    </a:stretch>
                  </pic:blipFill>
                  <pic:spPr>
                    <a:xfrm>
                      <a:off x="0" y="0"/>
                      <a:ext cx="5976620" cy="3242310"/>
                    </a:xfrm>
                    <a:prstGeom prst="rect">
                      <a:avLst/>
                    </a:prstGeom>
                    <a:noFill/>
                    <a:ln>
                      <a:noFill/>
                    </a:ln>
                  </pic:spPr>
                </pic:pic>
              </a:graphicData>
            </a:graphic>
          </wp:inline>
        </w:drawing>
      </w:r>
    </w:p>
    <w:p w14:paraId="7F2A2724">
      <w:pPr>
        <w:pStyle w:val="6"/>
        <w:spacing w:before="0" w:after="0" w:line="360" w:lineRule="auto"/>
        <w:rPr>
          <w:rFonts w:hint="eastAsia" w:ascii="仿宋" w:hAnsi="仿宋" w:eastAsia="仿宋" w:cs="仿宋"/>
          <w:color w:val="000000"/>
          <w:sz w:val="24"/>
          <w:szCs w:val="24"/>
          <w:highlight w:val="none"/>
        </w:rPr>
      </w:pPr>
      <w:r>
        <w:rPr>
          <w:rFonts w:ascii="仿宋" w:hAnsi="仿宋" w:eastAsia="仿宋" w:cs="仿宋"/>
          <w:color w:val="000000"/>
          <w:sz w:val="24"/>
          <w:szCs w:val="24"/>
          <w:highlight w:val="none"/>
        </w:rPr>
        <w:br w:type="page"/>
      </w:r>
      <w:r>
        <w:rPr>
          <w:rFonts w:ascii="仿宋" w:hAnsi="仿宋" w:eastAsia="仿宋" w:cs="仿宋"/>
          <w:color w:val="000000"/>
          <w:sz w:val="24"/>
          <w:szCs w:val="24"/>
          <w:highlight w:val="none"/>
        </w:rPr>
        <w:t>6</w:t>
      </w:r>
      <w:r>
        <w:rPr>
          <w:rFonts w:hint="eastAsia" w:ascii="仿宋" w:hAnsi="仿宋" w:eastAsia="仿宋" w:cs="仿宋"/>
          <w:color w:val="000000"/>
          <w:sz w:val="24"/>
          <w:szCs w:val="24"/>
          <w:highlight w:val="none"/>
        </w:rPr>
        <w:t>、未列入供应商黑名单且未在禁入期承诺函</w:t>
      </w:r>
    </w:p>
    <w:p w14:paraId="2835C746">
      <w:pPr>
        <w:pStyle w:val="2"/>
        <w:spacing w:before="240"/>
        <w:jc w:val="both"/>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致：</w:t>
      </w:r>
      <w:r>
        <w:rPr>
          <w:rFonts w:hint="eastAsia" w:ascii="仿宋" w:hAnsi="仿宋" w:eastAsia="仿宋" w:cs="Cambria Math"/>
          <w:color w:val="000000"/>
          <w:sz w:val="24"/>
          <w:highlight w:val="none"/>
          <w:u w:val="single"/>
          <w:lang w:eastAsia="zh-CN"/>
        </w:rPr>
        <w:t>（</w:t>
      </w:r>
      <w:r>
        <w:rPr>
          <w:rFonts w:hint="eastAsia" w:ascii="仿宋" w:hAnsi="仿宋" w:eastAsia="仿宋" w:cs="Cambria Math"/>
          <w:color w:val="000000"/>
          <w:sz w:val="24"/>
          <w:highlight w:val="none"/>
          <w:u w:val="single"/>
          <w:lang w:val="en-US" w:eastAsia="zh-CN"/>
        </w:rPr>
        <w:t>采购人名称</w:t>
      </w:r>
      <w:r>
        <w:rPr>
          <w:rFonts w:hint="eastAsia" w:ascii="仿宋" w:hAnsi="仿宋" w:eastAsia="仿宋" w:cs="Cambria Math"/>
          <w:color w:val="000000"/>
          <w:sz w:val="24"/>
          <w:highlight w:val="none"/>
          <w:u w:val="single"/>
          <w:lang w:eastAsia="zh-CN"/>
        </w:rPr>
        <w:t>）</w:t>
      </w:r>
      <w:r>
        <w:rPr>
          <w:rFonts w:hint="eastAsia" w:ascii="仿宋" w:hAnsi="仿宋" w:eastAsia="仿宋" w:cs="Cambria Math"/>
          <w:color w:val="000000"/>
          <w:sz w:val="24"/>
          <w:highlight w:val="none"/>
        </w:rPr>
        <w:t>：</w:t>
      </w:r>
    </w:p>
    <w:p w14:paraId="43DD9DCC">
      <w:pPr>
        <w:adjustRightInd w:val="0"/>
        <w:snapToGrid w:val="0"/>
        <w:spacing w:before="240" w:line="360" w:lineRule="auto"/>
        <w:ind w:firstLine="480" w:firstLineChars="200"/>
        <w:rPr>
          <w:rFonts w:ascii="仿宋" w:hAnsi="仿宋" w:eastAsia="仿宋" w:cs="Cambria Math"/>
          <w:color w:val="000000"/>
          <w:sz w:val="24"/>
          <w:highlight w:val="none"/>
        </w:rPr>
      </w:pPr>
      <w:r>
        <w:rPr>
          <w:rFonts w:hint="eastAsia" w:ascii="仿宋" w:hAnsi="仿宋" w:eastAsia="仿宋" w:cs="Cambria Math"/>
          <w:color w:val="000000"/>
          <w:sz w:val="24"/>
          <w:highlight w:val="none"/>
        </w:rPr>
        <w:t>我方</w:t>
      </w:r>
      <w:r>
        <w:rPr>
          <w:rFonts w:hint="eastAsia" w:ascii="仿宋" w:hAnsi="仿宋" w:eastAsia="仿宋" w:cs="Cambria Math"/>
          <w:color w:val="000000"/>
          <w:sz w:val="24"/>
          <w:highlight w:val="none"/>
          <w:u w:val="single"/>
        </w:rPr>
        <w:t xml:space="preserve">     </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u w:val="single"/>
        </w:rPr>
        <w:t>（供应商名称）</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承诺截至本项目响应文件递交截止时间，我方未被列入</w:t>
      </w:r>
      <w:r>
        <w:rPr>
          <w:rFonts w:hint="eastAsia" w:ascii="仿宋" w:hAnsi="仿宋" w:eastAsia="仿宋" w:cs="Cambria Math"/>
          <w:color w:val="000000"/>
          <w:sz w:val="24"/>
          <w:highlight w:val="none"/>
          <w:lang w:val="en-US" w:eastAsia="zh-CN"/>
        </w:rPr>
        <w:t>采购</w:t>
      </w:r>
      <w:r>
        <w:rPr>
          <w:rFonts w:hint="eastAsia" w:ascii="仿宋" w:hAnsi="仿宋" w:eastAsia="仿宋" w:cs="Cambria Math"/>
          <w:color w:val="000000"/>
          <w:sz w:val="24"/>
          <w:highlight w:val="none"/>
        </w:rPr>
        <w:t>人及其所隶属的中国人民保险各级机构的供应商黑名单且未在禁入期内。</w:t>
      </w:r>
    </w:p>
    <w:p w14:paraId="0290FC16">
      <w:pPr>
        <w:pStyle w:val="2"/>
        <w:ind w:firstLine="480" w:firstLineChars="200"/>
        <w:jc w:val="both"/>
        <w:rPr>
          <w:rFonts w:ascii="仿宋" w:hAnsi="仿宋" w:eastAsia="仿宋" w:cs="Cambria Math"/>
          <w:color w:val="000000"/>
          <w:sz w:val="24"/>
          <w:highlight w:val="none"/>
        </w:rPr>
      </w:pPr>
    </w:p>
    <w:p w14:paraId="042DC5AE">
      <w:pPr>
        <w:pStyle w:val="2"/>
        <w:ind w:firstLine="480" w:firstLineChars="200"/>
        <w:jc w:val="both"/>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特此承诺。</w:t>
      </w:r>
    </w:p>
    <w:p w14:paraId="394926C8">
      <w:pPr>
        <w:pStyle w:val="127"/>
        <w:ind w:firstLine="640"/>
        <w:rPr>
          <w:rFonts w:ascii="仿宋" w:hAnsi="仿宋" w:eastAsia="仿宋"/>
          <w:highlight w:val="none"/>
        </w:rPr>
      </w:pPr>
    </w:p>
    <w:p w14:paraId="38D95CA5">
      <w:pPr>
        <w:pStyle w:val="127"/>
        <w:ind w:firstLine="640"/>
        <w:rPr>
          <w:rFonts w:ascii="仿宋" w:hAnsi="仿宋" w:eastAsia="仿宋"/>
          <w:highlight w:val="none"/>
        </w:rPr>
      </w:pPr>
    </w:p>
    <w:p w14:paraId="16D1E93D">
      <w:pPr>
        <w:spacing w:line="360" w:lineRule="auto"/>
        <w:ind w:firstLine="4080" w:firstLineChars="1700"/>
        <w:jc w:val="right"/>
        <w:rPr>
          <w:rFonts w:ascii="仿宋" w:hAnsi="仿宋" w:eastAsia="仿宋" w:cs="Cambria Math"/>
          <w:color w:val="000000"/>
          <w:sz w:val="24"/>
          <w:highlight w:val="none"/>
        </w:rPr>
      </w:pPr>
    </w:p>
    <w:p w14:paraId="5DEC7FDF">
      <w:pPr>
        <w:spacing w:line="360" w:lineRule="auto"/>
        <w:ind w:firstLine="4080" w:firstLineChars="1700"/>
        <w:jc w:val="right"/>
        <w:rPr>
          <w:rFonts w:ascii="仿宋" w:hAnsi="仿宋" w:eastAsia="仿宋" w:cs="Cambria Math"/>
          <w:color w:val="000000"/>
          <w:sz w:val="24"/>
          <w:highlight w:val="none"/>
        </w:rPr>
      </w:pPr>
    </w:p>
    <w:p w14:paraId="330F158C">
      <w:pPr>
        <w:spacing w:line="360" w:lineRule="auto"/>
        <w:ind w:firstLine="4080" w:firstLineChars="1700"/>
        <w:jc w:val="right"/>
        <w:rPr>
          <w:rFonts w:ascii="仿宋" w:hAnsi="仿宋" w:eastAsia="仿宋" w:cs="Cambria Math"/>
          <w:color w:val="000000"/>
          <w:sz w:val="24"/>
          <w:highlight w:val="none"/>
        </w:rPr>
      </w:pPr>
    </w:p>
    <w:p w14:paraId="2238C19B">
      <w:pPr>
        <w:spacing w:line="360" w:lineRule="auto"/>
        <w:ind w:firstLine="4080" w:firstLineChars="1700"/>
        <w:jc w:val="right"/>
        <w:rPr>
          <w:rFonts w:ascii="仿宋" w:hAnsi="仿宋" w:eastAsia="仿宋" w:cs="Cambria Math"/>
          <w:color w:val="000000"/>
          <w:sz w:val="24"/>
          <w:highlight w:val="none"/>
        </w:rPr>
      </w:pPr>
    </w:p>
    <w:p w14:paraId="71C679A3">
      <w:pPr>
        <w:spacing w:line="360" w:lineRule="auto"/>
        <w:ind w:firstLine="4080" w:firstLineChars="1700"/>
        <w:jc w:val="right"/>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供应商名称：</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（盖章）</w:t>
      </w:r>
    </w:p>
    <w:p w14:paraId="5F06FBBD">
      <w:pPr>
        <w:spacing w:line="360" w:lineRule="auto"/>
        <w:jc w:val="right"/>
        <w:rPr>
          <w:rFonts w:hint="eastAsia" w:ascii="仿宋" w:hAnsi="仿宋" w:eastAsia="仿宋" w:cs="Cambria Math"/>
          <w:b/>
          <w:bCs/>
          <w:color w:val="000000"/>
          <w:sz w:val="24"/>
          <w:highlight w:val="none"/>
        </w:rPr>
      </w:pPr>
      <w:r>
        <w:rPr>
          <w:rFonts w:hint="eastAsia" w:ascii="仿宋" w:hAnsi="仿宋" w:eastAsia="仿宋" w:cs="Cambria Math"/>
          <w:color w:val="000000"/>
          <w:sz w:val="24"/>
          <w:highlight w:val="none"/>
        </w:rPr>
        <w:t>日期：</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年</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月</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日</w:t>
      </w:r>
    </w:p>
    <w:p w14:paraId="0BD96A92">
      <w:pPr>
        <w:pStyle w:val="150"/>
        <w:spacing w:line="360" w:lineRule="auto"/>
        <w:rPr>
          <w:rFonts w:hint="eastAsia" w:ascii="仿宋" w:hAnsi="仿宋" w:eastAsia="仿宋" w:cs="仿宋"/>
          <w:color w:val="000000"/>
          <w:highlight w:val="none"/>
        </w:rPr>
      </w:pPr>
      <w:r>
        <w:rPr>
          <w:rFonts w:hint="eastAsia" w:ascii="仿宋" w:hAnsi="仿宋" w:eastAsia="仿宋" w:cs="仿宋"/>
          <w:color w:val="000000"/>
          <w:szCs w:val="24"/>
          <w:highlight w:val="none"/>
        </w:rPr>
        <w:br w:type="page"/>
      </w:r>
    </w:p>
    <w:p w14:paraId="5BB64FA5">
      <w:pPr>
        <w:pStyle w:val="6"/>
        <w:spacing w:before="0" w:after="0" w:line="360" w:lineRule="auto"/>
        <w:rPr>
          <w:rFonts w:hint="eastAsia" w:ascii="仿宋" w:hAnsi="仿宋" w:eastAsia="仿宋" w:cs="仿宋"/>
          <w:color w:val="000000"/>
          <w:sz w:val="24"/>
          <w:szCs w:val="24"/>
          <w:highlight w:val="none"/>
        </w:rPr>
      </w:pPr>
      <w:bookmarkStart w:id="280" w:name="_Hlk69983040"/>
      <w:r>
        <w:rPr>
          <w:rFonts w:ascii="仿宋" w:hAnsi="仿宋" w:eastAsia="仿宋" w:cs="仿宋"/>
          <w:color w:val="000000"/>
          <w:sz w:val="24"/>
          <w:szCs w:val="24"/>
          <w:highlight w:val="none"/>
        </w:rPr>
        <w:t>7</w:t>
      </w:r>
      <w:r>
        <w:rPr>
          <w:rFonts w:hint="eastAsia" w:ascii="仿宋" w:hAnsi="仿宋" w:eastAsia="仿宋" w:cs="仿宋"/>
          <w:color w:val="000000"/>
          <w:sz w:val="24"/>
          <w:szCs w:val="24"/>
          <w:highlight w:val="none"/>
        </w:rPr>
        <w:t>、供应商控股及管理关系情况申报表</w:t>
      </w:r>
    </w:p>
    <w:p w14:paraId="1977086B">
      <w:pPr>
        <w:pStyle w:val="108"/>
        <w:spacing w:before="240" w:after="240" w:line="360" w:lineRule="auto"/>
        <w:ind w:firstLine="0" w:firstLineChars="0"/>
        <w:jc w:val="cente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供应商控股及管理关系情况申报表</w:t>
      </w:r>
    </w:p>
    <w:p w14:paraId="4C60465B">
      <w:pPr>
        <w:adjustRightInd w:val="0"/>
        <w:snapToGrid w:val="0"/>
        <w:spacing w:line="360" w:lineRule="auto"/>
        <w:ind w:left="0" w:leftChars="-295" w:hanging="619" w:hangingChars="258"/>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致：</w:t>
      </w:r>
      <w:r>
        <w:rPr>
          <w:rFonts w:hint="eastAsia" w:ascii="仿宋" w:hAnsi="仿宋" w:eastAsia="仿宋" w:cs="宋体"/>
          <w:color w:val="000000"/>
          <w:sz w:val="24"/>
          <w:szCs w:val="24"/>
          <w:highlight w:val="none"/>
          <w:u w:val="single"/>
        </w:rPr>
        <w:t xml:space="preserve">  （</w:t>
      </w:r>
      <w:r>
        <w:rPr>
          <w:rFonts w:hint="eastAsia" w:ascii="仿宋" w:hAnsi="仿宋" w:eastAsia="仿宋" w:cs="宋体"/>
          <w:color w:val="000000"/>
          <w:sz w:val="24"/>
          <w:szCs w:val="24"/>
          <w:highlight w:val="none"/>
          <w:u w:val="single"/>
          <w:lang w:val="en-US" w:eastAsia="zh-CN"/>
        </w:rPr>
        <w:t>采购</w:t>
      </w:r>
      <w:r>
        <w:rPr>
          <w:rFonts w:hint="eastAsia" w:ascii="仿宋" w:hAnsi="仿宋" w:eastAsia="仿宋" w:cs="宋体"/>
          <w:color w:val="000000"/>
          <w:sz w:val="24"/>
          <w:szCs w:val="24"/>
          <w:highlight w:val="none"/>
          <w:u w:val="single"/>
        </w:rPr>
        <w:t xml:space="preserve">人名称）  </w:t>
      </w:r>
      <w:r>
        <w:rPr>
          <w:rFonts w:hint="eastAsia" w:ascii="仿宋" w:hAnsi="仿宋" w:eastAsia="仿宋" w:cs="宋体"/>
          <w:color w:val="000000"/>
          <w:sz w:val="24"/>
          <w:szCs w:val="24"/>
          <w:highlight w:val="none"/>
        </w:rPr>
        <w:t>：</w:t>
      </w:r>
    </w:p>
    <w:p w14:paraId="7B827593">
      <w:pPr>
        <w:adjustRightInd w:val="0"/>
        <w:snapToGrid w:val="0"/>
        <w:spacing w:line="360" w:lineRule="auto"/>
        <w:ind w:left="-617" w:leftChars="-294" w:right="-512" w:rightChars="-244" w:firstLine="616" w:firstLineChars="257"/>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我方参加</w:t>
      </w:r>
      <w:r>
        <w:rPr>
          <w:rFonts w:hint="eastAsia" w:ascii="仿宋" w:hAnsi="仿宋" w:eastAsia="仿宋" w:cs="宋体"/>
          <w:color w:val="000000"/>
          <w:sz w:val="24"/>
          <w:szCs w:val="24"/>
          <w:highlight w:val="none"/>
          <w:u w:val="single"/>
        </w:rPr>
        <w:t xml:space="preserve">           </w:t>
      </w:r>
      <w:r>
        <w:rPr>
          <w:rFonts w:hint="eastAsia" w:ascii="仿宋" w:hAnsi="仿宋" w:eastAsia="仿宋" w:cs="宋体"/>
          <w:color w:val="000000"/>
          <w:sz w:val="24"/>
          <w:szCs w:val="24"/>
          <w:highlight w:val="none"/>
        </w:rPr>
        <w:t>（项目名称）的</w:t>
      </w:r>
      <w:r>
        <w:rPr>
          <w:rFonts w:hint="eastAsia" w:ascii="仿宋" w:hAnsi="仿宋" w:eastAsia="仿宋" w:cs="宋体"/>
          <w:color w:val="000000"/>
          <w:sz w:val="24"/>
          <w:szCs w:val="24"/>
          <w:highlight w:val="none"/>
          <w:lang w:val="en-US" w:eastAsia="zh-CN"/>
        </w:rPr>
        <w:t>磋商</w:t>
      </w:r>
      <w:r>
        <w:rPr>
          <w:rFonts w:hint="eastAsia" w:ascii="仿宋" w:hAnsi="仿宋" w:eastAsia="仿宋" w:cs="宋体"/>
          <w:color w:val="000000"/>
          <w:sz w:val="24"/>
          <w:szCs w:val="24"/>
          <w:highlight w:val="none"/>
        </w:rPr>
        <w:t>，根据法律法规维护投标公正性的相关规定，</w:t>
      </w:r>
      <w:r>
        <w:rPr>
          <w:rFonts w:hint="eastAsia" w:ascii="仿宋" w:hAnsi="仿宋" w:eastAsia="仿宋" w:cs="宋体"/>
          <w:color w:val="000000"/>
          <w:sz w:val="24"/>
          <w:szCs w:val="24"/>
          <w:highlight w:val="none"/>
          <w:lang w:val="en-US" w:eastAsia="zh-CN"/>
        </w:rPr>
        <w:t>我方与采购人之间</w:t>
      </w:r>
      <w:r>
        <w:rPr>
          <w:rFonts w:hint="eastAsia" w:ascii="仿宋" w:hAnsi="仿宋" w:eastAsia="仿宋" w:cs="宋体"/>
          <w:color w:val="auto"/>
          <w:sz w:val="24"/>
          <w:szCs w:val="24"/>
          <w:highlight w:val="none"/>
          <w:lang w:val="en-US" w:eastAsia="zh-CN"/>
        </w:rPr>
        <w:t>不存在利害关系可</w:t>
      </w:r>
      <w:r>
        <w:rPr>
          <w:rFonts w:hint="eastAsia" w:ascii="仿宋" w:hAnsi="仿宋" w:eastAsia="仿宋" w:cs="宋体"/>
          <w:color w:val="000000"/>
          <w:sz w:val="24"/>
          <w:szCs w:val="24"/>
          <w:highlight w:val="none"/>
          <w:lang w:val="en-US" w:eastAsia="zh-CN"/>
        </w:rPr>
        <w:t>能影响采购公正性的法人、其他组织或者个人，</w:t>
      </w:r>
      <w:r>
        <w:rPr>
          <w:rFonts w:hint="eastAsia" w:ascii="仿宋" w:hAnsi="仿宋" w:eastAsia="仿宋" w:cs="宋体"/>
          <w:color w:val="000000"/>
          <w:sz w:val="24"/>
          <w:szCs w:val="24"/>
          <w:highlight w:val="none"/>
        </w:rPr>
        <w:t>特就本单位控股及管理关系情况申报如下</w:t>
      </w:r>
      <w:r>
        <w:rPr>
          <w:rFonts w:hint="eastAsia" w:ascii="仿宋" w:hAnsi="仿宋" w:eastAsia="仿宋" w:cs="宋体"/>
          <w:color w:val="000000"/>
          <w:sz w:val="24"/>
          <w:szCs w:val="24"/>
          <w:highlight w:val="none"/>
          <w:lang w:eastAsia="zh-CN"/>
        </w:rPr>
        <w:t>，</w:t>
      </w:r>
      <w:r>
        <w:rPr>
          <w:rFonts w:hint="eastAsia" w:ascii="仿宋" w:hAnsi="仿宋" w:eastAsia="仿宋" w:cs="宋体"/>
          <w:color w:val="000000"/>
          <w:sz w:val="24"/>
          <w:szCs w:val="24"/>
          <w:highlight w:val="none"/>
        </w:rPr>
        <w:t>并承担申报不实的责任</w:t>
      </w:r>
      <w:r>
        <w:rPr>
          <w:rFonts w:hint="eastAsia" w:ascii="仿宋" w:hAnsi="仿宋" w:eastAsia="仿宋" w:cs="宋体"/>
          <w:color w:val="000000"/>
          <w:sz w:val="24"/>
          <w:szCs w:val="24"/>
          <w:highlight w:val="none"/>
          <w:lang w:eastAsia="zh-CN"/>
        </w:rPr>
        <w:t>。</w:t>
      </w:r>
      <w:r>
        <w:rPr>
          <w:rFonts w:hint="eastAsia" w:ascii="仿宋" w:hAnsi="仿宋" w:eastAsia="仿宋" w:cs="宋体"/>
          <w:color w:val="000000"/>
          <w:sz w:val="24"/>
          <w:szCs w:val="24"/>
          <w:highlight w:val="none"/>
          <w:lang w:val="en-US" w:eastAsia="zh-CN"/>
        </w:rPr>
        <w:t>如我方中选该项目并签署合同后，一旦发现我方申报不实，采购人可无条件终止合同</w:t>
      </w:r>
      <w:r>
        <w:rPr>
          <w:rFonts w:hint="eastAsia" w:ascii="仿宋" w:hAnsi="仿宋" w:eastAsia="仿宋" w:cs="宋体"/>
          <w:color w:val="000000"/>
          <w:sz w:val="24"/>
          <w:szCs w:val="24"/>
          <w:highlight w:val="none"/>
        </w:rPr>
        <w:t>。</w:t>
      </w:r>
    </w:p>
    <w:tbl>
      <w:tblPr>
        <w:tblStyle w:val="41"/>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356"/>
        <w:gridCol w:w="5570"/>
      </w:tblGrid>
      <w:tr w14:paraId="00D08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noWrap w:val="0"/>
            <w:vAlign w:val="center"/>
          </w:tcPr>
          <w:p w14:paraId="036DFE54">
            <w:pPr>
              <w:adjustRightInd w:val="0"/>
              <w:snapToGrid w:val="0"/>
              <w:spacing w:line="440" w:lineRule="exact"/>
              <w:rPr>
                <w:rFonts w:hint="eastAsia" w:ascii="仿宋" w:hAnsi="仿宋" w:eastAsia="仿宋" w:cs="宋体"/>
                <w:color w:val="000000"/>
                <w:highlight w:val="none"/>
              </w:rPr>
            </w:pPr>
            <w:r>
              <w:rPr>
                <w:rFonts w:hint="eastAsia" w:ascii="仿宋" w:hAnsi="仿宋" w:eastAsia="仿宋" w:cs="宋体"/>
                <w:color w:val="000000"/>
                <w:highlight w:val="none"/>
              </w:rPr>
              <w:t>申报人名称</w:t>
            </w:r>
          </w:p>
        </w:tc>
        <w:tc>
          <w:tcPr>
            <w:tcW w:w="7926" w:type="dxa"/>
            <w:gridSpan w:val="2"/>
            <w:noWrap w:val="0"/>
            <w:vAlign w:val="center"/>
          </w:tcPr>
          <w:p w14:paraId="2D7DAFFC">
            <w:pPr>
              <w:adjustRightInd w:val="0"/>
              <w:snapToGrid w:val="0"/>
              <w:spacing w:line="440" w:lineRule="exact"/>
              <w:rPr>
                <w:rFonts w:hint="eastAsia" w:ascii="仿宋" w:hAnsi="仿宋" w:eastAsia="仿宋" w:cs="宋体"/>
                <w:color w:val="000000"/>
                <w:highlight w:val="none"/>
              </w:rPr>
            </w:pPr>
          </w:p>
        </w:tc>
      </w:tr>
      <w:tr w14:paraId="15B54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926" w:type="dxa"/>
            <w:vMerge w:val="restart"/>
            <w:noWrap w:val="0"/>
            <w:vAlign w:val="center"/>
          </w:tcPr>
          <w:p w14:paraId="1BAF7780">
            <w:pPr>
              <w:adjustRightInd w:val="0"/>
              <w:snapToGrid w:val="0"/>
              <w:spacing w:line="440" w:lineRule="exact"/>
              <w:rPr>
                <w:rFonts w:hint="eastAsia" w:ascii="仿宋" w:hAnsi="仿宋" w:eastAsia="仿宋" w:cs="宋体"/>
                <w:color w:val="000000"/>
                <w:highlight w:val="none"/>
              </w:rPr>
            </w:pPr>
            <w:r>
              <w:rPr>
                <w:rFonts w:hint="eastAsia" w:ascii="仿宋" w:hAnsi="仿宋" w:eastAsia="仿宋" w:cs="宋体"/>
                <w:color w:val="000000"/>
                <w:highlight w:val="none"/>
              </w:rPr>
              <w:t>法定代表人/单位负责人</w:t>
            </w:r>
          </w:p>
        </w:tc>
        <w:tc>
          <w:tcPr>
            <w:tcW w:w="2356" w:type="dxa"/>
            <w:noWrap w:val="0"/>
            <w:vAlign w:val="center"/>
          </w:tcPr>
          <w:p w14:paraId="238D80E0">
            <w:pPr>
              <w:adjustRightInd w:val="0"/>
              <w:snapToGrid w:val="0"/>
              <w:spacing w:line="440" w:lineRule="exact"/>
              <w:rPr>
                <w:rFonts w:hint="eastAsia" w:ascii="仿宋" w:hAnsi="仿宋" w:eastAsia="仿宋" w:cs="宋体"/>
                <w:color w:val="000000"/>
                <w:highlight w:val="none"/>
              </w:rPr>
            </w:pPr>
            <w:r>
              <w:rPr>
                <w:rFonts w:hint="eastAsia" w:ascii="仿宋" w:hAnsi="仿宋" w:eastAsia="仿宋" w:cs="宋体"/>
                <w:color w:val="000000"/>
                <w:highlight w:val="none"/>
              </w:rPr>
              <w:t>姓    名</w:t>
            </w:r>
          </w:p>
        </w:tc>
        <w:tc>
          <w:tcPr>
            <w:tcW w:w="5570" w:type="dxa"/>
            <w:noWrap w:val="0"/>
            <w:vAlign w:val="center"/>
          </w:tcPr>
          <w:p w14:paraId="0C8CDA70">
            <w:pPr>
              <w:adjustRightInd w:val="0"/>
              <w:snapToGrid w:val="0"/>
              <w:spacing w:line="440" w:lineRule="exact"/>
              <w:rPr>
                <w:rFonts w:hint="eastAsia" w:ascii="仿宋" w:hAnsi="仿宋" w:eastAsia="仿宋" w:cs="宋体"/>
                <w:color w:val="000000"/>
                <w:highlight w:val="none"/>
              </w:rPr>
            </w:pPr>
          </w:p>
        </w:tc>
      </w:tr>
      <w:tr w14:paraId="26563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926" w:type="dxa"/>
            <w:vMerge w:val="continue"/>
            <w:noWrap w:val="0"/>
            <w:vAlign w:val="center"/>
          </w:tcPr>
          <w:p w14:paraId="747FDAF0">
            <w:pPr>
              <w:adjustRightInd w:val="0"/>
              <w:snapToGrid w:val="0"/>
              <w:spacing w:line="440" w:lineRule="exact"/>
              <w:rPr>
                <w:rFonts w:hint="eastAsia" w:ascii="仿宋" w:hAnsi="仿宋" w:eastAsia="仿宋" w:cs="宋体"/>
                <w:color w:val="000000"/>
                <w:highlight w:val="none"/>
              </w:rPr>
            </w:pPr>
          </w:p>
        </w:tc>
        <w:tc>
          <w:tcPr>
            <w:tcW w:w="2356" w:type="dxa"/>
            <w:noWrap w:val="0"/>
            <w:vAlign w:val="center"/>
          </w:tcPr>
          <w:p w14:paraId="23F6CB2B">
            <w:pPr>
              <w:adjustRightInd w:val="0"/>
              <w:snapToGrid w:val="0"/>
              <w:spacing w:line="440" w:lineRule="exact"/>
              <w:rPr>
                <w:rFonts w:hint="eastAsia" w:ascii="仿宋" w:hAnsi="仿宋" w:eastAsia="仿宋" w:cs="宋体"/>
                <w:color w:val="000000"/>
                <w:highlight w:val="none"/>
              </w:rPr>
            </w:pPr>
            <w:r>
              <w:rPr>
                <w:rFonts w:hint="eastAsia" w:ascii="仿宋" w:hAnsi="仿宋" w:eastAsia="仿宋" w:cs="宋体"/>
                <w:color w:val="000000"/>
                <w:highlight w:val="none"/>
              </w:rPr>
              <w:t>身份证号</w:t>
            </w:r>
          </w:p>
        </w:tc>
        <w:tc>
          <w:tcPr>
            <w:tcW w:w="5570" w:type="dxa"/>
            <w:noWrap w:val="0"/>
            <w:vAlign w:val="center"/>
          </w:tcPr>
          <w:p w14:paraId="7784F5F3">
            <w:pPr>
              <w:adjustRightInd w:val="0"/>
              <w:snapToGrid w:val="0"/>
              <w:spacing w:line="440" w:lineRule="exact"/>
              <w:rPr>
                <w:rFonts w:hint="eastAsia" w:ascii="仿宋" w:hAnsi="仿宋" w:eastAsia="仿宋" w:cs="宋体"/>
                <w:color w:val="000000"/>
                <w:highlight w:val="none"/>
              </w:rPr>
            </w:pPr>
          </w:p>
        </w:tc>
      </w:tr>
      <w:tr w14:paraId="77A14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noWrap w:val="0"/>
            <w:vAlign w:val="center"/>
          </w:tcPr>
          <w:p w14:paraId="7CC3628B">
            <w:pPr>
              <w:adjustRightInd w:val="0"/>
              <w:snapToGrid w:val="0"/>
              <w:spacing w:line="440" w:lineRule="exact"/>
              <w:rPr>
                <w:rFonts w:hint="default" w:ascii="仿宋" w:hAnsi="仿宋" w:eastAsia="仿宋" w:cs="宋体"/>
                <w:color w:val="000000"/>
                <w:highlight w:val="none"/>
                <w:lang w:val="en-US" w:eastAsia="zh-CN"/>
              </w:rPr>
            </w:pPr>
            <w:r>
              <w:rPr>
                <w:rFonts w:hint="eastAsia" w:ascii="仿宋" w:hAnsi="仿宋" w:eastAsia="仿宋" w:cs="宋体"/>
                <w:color w:val="000000"/>
                <w:highlight w:val="none"/>
                <w:lang w:val="en-US" w:eastAsia="zh-CN"/>
              </w:rPr>
              <w:t>单位负责人为同一人单位名称</w:t>
            </w:r>
          </w:p>
        </w:tc>
        <w:tc>
          <w:tcPr>
            <w:tcW w:w="7926" w:type="dxa"/>
            <w:gridSpan w:val="2"/>
            <w:noWrap w:val="0"/>
            <w:vAlign w:val="center"/>
          </w:tcPr>
          <w:p w14:paraId="2CC3D1A9">
            <w:pPr>
              <w:adjustRightInd w:val="0"/>
              <w:snapToGrid w:val="0"/>
              <w:spacing w:line="440" w:lineRule="exact"/>
              <w:rPr>
                <w:rFonts w:hint="eastAsia" w:ascii="仿宋" w:hAnsi="仿宋" w:eastAsia="仿宋" w:cs="宋体"/>
                <w:color w:val="000000"/>
                <w:highlight w:val="none"/>
              </w:rPr>
            </w:pPr>
          </w:p>
        </w:tc>
      </w:tr>
      <w:tr w14:paraId="58D64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Merge w:val="restart"/>
            <w:noWrap w:val="0"/>
            <w:vAlign w:val="center"/>
          </w:tcPr>
          <w:p w14:paraId="5532EF61">
            <w:pPr>
              <w:adjustRightInd w:val="0"/>
              <w:snapToGrid w:val="0"/>
              <w:spacing w:line="440" w:lineRule="exact"/>
              <w:rPr>
                <w:rFonts w:hint="eastAsia" w:ascii="仿宋" w:hAnsi="仿宋" w:eastAsia="仿宋" w:cs="宋体"/>
                <w:color w:val="000000"/>
                <w:highlight w:val="none"/>
                <w:lang w:eastAsia="zh-CN"/>
              </w:rPr>
            </w:pPr>
            <w:r>
              <w:rPr>
                <w:rFonts w:hint="eastAsia" w:ascii="仿宋" w:hAnsi="仿宋" w:eastAsia="仿宋" w:cs="宋体"/>
                <w:color w:val="000000"/>
                <w:highlight w:val="none"/>
              </w:rPr>
              <w:t>控股</w:t>
            </w:r>
            <w:r>
              <w:rPr>
                <w:rFonts w:hint="eastAsia" w:ascii="仿宋" w:hAnsi="仿宋" w:eastAsia="仿宋" w:cs="宋体"/>
                <w:color w:val="000000"/>
                <w:highlight w:val="none"/>
                <w:lang w:val="en-US" w:eastAsia="zh-CN"/>
              </w:rPr>
              <w:t>关系</w:t>
            </w:r>
          </w:p>
        </w:tc>
        <w:tc>
          <w:tcPr>
            <w:tcW w:w="2356" w:type="dxa"/>
            <w:noWrap w:val="0"/>
            <w:vAlign w:val="center"/>
          </w:tcPr>
          <w:p w14:paraId="623D61C2">
            <w:pPr>
              <w:adjustRightInd w:val="0"/>
              <w:snapToGrid w:val="0"/>
              <w:spacing w:line="440" w:lineRule="exact"/>
              <w:rPr>
                <w:rFonts w:hint="eastAsia" w:ascii="仿宋" w:hAnsi="仿宋" w:eastAsia="仿宋" w:cs="宋体"/>
                <w:color w:val="000000"/>
                <w:highlight w:val="none"/>
              </w:rPr>
            </w:pPr>
            <w:r>
              <w:rPr>
                <w:rFonts w:hint="eastAsia" w:ascii="仿宋" w:hAnsi="仿宋" w:eastAsia="仿宋" w:cs="宋体"/>
                <w:color w:val="000000"/>
                <w:highlight w:val="none"/>
              </w:rPr>
              <w:t>控股股东/投资人名称及出资比例</w:t>
            </w:r>
          </w:p>
        </w:tc>
        <w:tc>
          <w:tcPr>
            <w:tcW w:w="5570" w:type="dxa"/>
            <w:noWrap w:val="0"/>
            <w:vAlign w:val="center"/>
          </w:tcPr>
          <w:p w14:paraId="394D9E25">
            <w:pPr>
              <w:adjustRightInd w:val="0"/>
              <w:snapToGrid w:val="0"/>
              <w:spacing w:line="440" w:lineRule="exact"/>
              <w:rPr>
                <w:rFonts w:hint="eastAsia" w:ascii="仿宋" w:hAnsi="仿宋" w:eastAsia="仿宋" w:cs="宋体"/>
                <w:color w:val="000000"/>
                <w:highlight w:val="none"/>
              </w:rPr>
            </w:pPr>
          </w:p>
        </w:tc>
      </w:tr>
      <w:tr w14:paraId="15B5D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926" w:type="dxa"/>
            <w:vMerge w:val="continue"/>
            <w:noWrap w:val="0"/>
            <w:vAlign w:val="center"/>
          </w:tcPr>
          <w:p w14:paraId="2F5D61BD">
            <w:pPr>
              <w:adjustRightInd w:val="0"/>
              <w:snapToGrid w:val="0"/>
              <w:spacing w:line="440" w:lineRule="exact"/>
              <w:rPr>
                <w:rFonts w:hint="eastAsia" w:ascii="仿宋" w:hAnsi="仿宋" w:eastAsia="仿宋" w:cs="宋体"/>
                <w:color w:val="000000"/>
                <w:highlight w:val="none"/>
              </w:rPr>
            </w:pPr>
          </w:p>
        </w:tc>
        <w:tc>
          <w:tcPr>
            <w:tcW w:w="2356" w:type="dxa"/>
            <w:noWrap w:val="0"/>
            <w:vAlign w:val="center"/>
          </w:tcPr>
          <w:p w14:paraId="6493284B">
            <w:pPr>
              <w:adjustRightInd w:val="0"/>
              <w:snapToGrid w:val="0"/>
              <w:spacing w:line="440" w:lineRule="exact"/>
              <w:rPr>
                <w:rFonts w:hint="eastAsia" w:ascii="仿宋" w:hAnsi="仿宋" w:eastAsia="仿宋" w:cs="宋体"/>
                <w:color w:val="000000"/>
                <w:highlight w:val="none"/>
              </w:rPr>
            </w:pPr>
            <w:r>
              <w:rPr>
                <w:rFonts w:hint="eastAsia" w:ascii="仿宋" w:hAnsi="仿宋" w:eastAsia="仿宋" w:cs="宋体"/>
                <w:color w:val="000000"/>
                <w:highlight w:val="none"/>
                <w:lang w:val="en-US" w:eastAsia="zh-CN"/>
              </w:rPr>
              <w:t>被</w:t>
            </w:r>
            <w:r>
              <w:rPr>
                <w:rFonts w:hint="eastAsia" w:ascii="仿宋" w:hAnsi="仿宋" w:eastAsia="仿宋" w:cs="宋体"/>
                <w:color w:val="000000"/>
                <w:highlight w:val="none"/>
              </w:rPr>
              <w:t>控股/</w:t>
            </w:r>
            <w:r>
              <w:rPr>
                <w:rFonts w:hint="eastAsia" w:ascii="仿宋" w:hAnsi="仿宋" w:eastAsia="仿宋" w:cs="宋体"/>
                <w:color w:val="000000"/>
                <w:highlight w:val="none"/>
                <w:lang w:val="en-US" w:eastAsia="zh-CN"/>
              </w:rPr>
              <w:t>被</w:t>
            </w:r>
            <w:r>
              <w:rPr>
                <w:rFonts w:hint="eastAsia" w:ascii="仿宋" w:hAnsi="仿宋" w:eastAsia="仿宋" w:cs="宋体"/>
                <w:color w:val="000000"/>
                <w:highlight w:val="none"/>
              </w:rPr>
              <w:t>投资</w:t>
            </w:r>
            <w:r>
              <w:rPr>
                <w:rFonts w:hint="eastAsia" w:ascii="仿宋" w:hAnsi="仿宋" w:eastAsia="仿宋" w:cs="宋体"/>
                <w:color w:val="000000"/>
                <w:highlight w:val="none"/>
                <w:lang w:val="en-US" w:eastAsia="zh-CN"/>
              </w:rPr>
              <w:t>单位</w:t>
            </w:r>
            <w:r>
              <w:rPr>
                <w:rFonts w:hint="eastAsia" w:ascii="仿宋" w:hAnsi="仿宋" w:eastAsia="仿宋" w:cs="宋体"/>
                <w:color w:val="000000"/>
                <w:highlight w:val="none"/>
              </w:rPr>
              <w:t>名称及出资比例</w:t>
            </w:r>
          </w:p>
        </w:tc>
        <w:tc>
          <w:tcPr>
            <w:tcW w:w="5570" w:type="dxa"/>
            <w:noWrap w:val="0"/>
            <w:vAlign w:val="center"/>
          </w:tcPr>
          <w:p w14:paraId="1215846C">
            <w:pPr>
              <w:adjustRightInd w:val="0"/>
              <w:snapToGrid w:val="0"/>
              <w:spacing w:line="440" w:lineRule="exact"/>
              <w:rPr>
                <w:rFonts w:hint="eastAsia" w:ascii="仿宋" w:hAnsi="仿宋" w:eastAsia="仿宋" w:cs="宋体"/>
                <w:color w:val="000000"/>
                <w:highlight w:val="none"/>
              </w:rPr>
            </w:pPr>
          </w:p>
        </w:tc>
      </w:tr>
      <w:tr w14:paraId="54A9A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926" w:type="dxa"/>
            <w:vMerge w:val="restart"/>
            <w:noWrap w:val="0"/>
            <w:vAlign w:val="center"/>
          </w:tcPr>
          <w:p w14:paraId="4ACBE0FD">
            <w:pPr>
              <w:adjustRightInd w:val="0"/>
              <w:snapToGrid w:val="0"/>
              <w:spacing w:line="440" w:lineRule="exact"/>
              <w:rPr>
                <w:rFonts w:hint="eastAsia" w:ascii="仿宋" w:hAnsi="仿宋" w:eastAsia="仿宋" w:cs="宋体"/>
                <w:color w:val="000000"/>
              </w:rPr>
            </w:pPr>
            <w:r>
              <w:rPr>
                <w:rFonts w:hint="eastAsia" w:ascii="仿宋" w:hAnsi="仿宋" w:eastAsia="仿宋" w:cs="宋体"/>
                <w:color w:val="000000"/>
              </w:rPr>
              <w:t>管理关系</w:t>
            </w:r>
          </w:p>
        </w:tc>
        <w:tc>
          <w:tcPr>
            <w:tcW w:w="2356" w:type="dxa"/>
            <w:noWrap w:val="0"/>
            <w:vAlign w:val="center"/>
          </w:tcPr>
          <w:p w14:paraId="73E09C6B">
            <w:pPr>
              <w:adjustRightInd w:val="0"/>
              <w:snapToGrid w:val="0"/>
              <w:spacing w:line="440" w:lineRule="exact"/>
              <w:rPr>
                <w:rFonts w:hint="eastAsia" w:ascii="仿宋" w:hAnsi="仿宋" w:eastAsia="仿宋" w:cs="宋体"/>
                <w:color w:val="000000"/>
              </w:rPr>
            </w:pPr>
            <w:r>
              <w:rPr>
                <w:rFonts w:hint="eastAsia" w:ascii="仿宋" w:hAnsi="仿宋" w:eastAsia="仿宋" w:cs="宋体"/>
                <w:color w:val="000000"/>
              </w:rPr>
              <w:t>管理关系单位名称</w:t>
            </w:r>
          </w:p>
        </w:tc>
        <w:tc>
          <w:tcPr>
            <w:tcW w:w="5570" w:type="dxa"/>
            <w:noWrap w:val="0"/>
            <w:vAlign w:val="center"/>
          </w:tcPr>
          <w:p w14:paraId="3636C2B3">
            <w:pPr>
              <w:adjustRightInd w:val="0"/>
              <w:snapToGrid w:val="0"/>
              <w:spacing w:line="440" w:lineRule="exact"/>
              <w:rPr>
                <w:rFonts w:hint="eastAsia" w:ascii="仿宋" w:hAnsi="仿宋" w:eastAsia="仿宋" w:cs="宋体"/>
                <w:color w:val="000000"/>
              </w:rPr>
            </w:pPr>
          </w:p>
        </w:tc>
      </w:tr>
      <w:tr w14:paraId="62BA8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Merge w:val="continue"/>
            <w:noWrap w:val="0"/>
            <w:vAlign w:val="center"/>
          </w:tcPr>
          <w:p w14:paraId="5219BA0F">
            <w:pPr>
              <w:adjustRightInd w:val="0"/>
              <w:snapToGrid w:val="0"/>
              <w:spacing w:line="440" w:lineRule="exact"/>
              <w:rPr>
                <w:rFonts w:hint="eastAsia" w:ascii="仿宋" w:hAnsi="仿宋" w:eastAsia="仿宋" w:cs="宋体"/>
                <w:color w:val="000000"/>
              </w:rPr>
            </w:pPr>
          </w:p>
        </w:tc>
        <w:tc>
          <w:tcPr>
            <w:tcW w:w="2356" w:type="dxa"/>
            <w:noWrap w:val="0"/>
            <w:vAlign w:val="center"/>
          </w:tcPr>
          <w:p w14:paraId="2C66EE25">
            <w:pPr>
              <w:adjustRightInd w:val="0"/>
              <w:snapToGrid w:val="0"/>
              <w:spacing w:line="440" w:lineRule="exact"/>
              <w:rPr>
                <w:rFonts w:hint="eastAsia" w:ascii="仿宋" w:hAnsi="仿宋" w:eastAsia="仿宋" w:cs="宋体"/>
                <w:color w:val="000000"/>
              </w:rPr>
            </w:pPr>
            <w:r>
              <w:rPr>
                <w:rFonts w:hint="eastAsia" w:ascii="仿宋" w:hAnsi="仿宋" w:eastAsia="仿宋" w:cs="宋体"/>
                <w:color w:val="000000"/>
              </w:rPr>
              <w:t>被管理关系单位名称</w:t>
            </w:r>
          </w:p>
        </w:tc>
        <w:tc>
          <w:tcPr>
            <w:tcW w:w="5570" w:type="dxa"/>
            <w:noWrap w:val="0"/>
            <w:vAlign w:val="center"/>
          </w:tcPr>
          <w:p w14:paraId="6003E3AB">
            <w:pPr>
              <w:adjustRightInd w:val="0"/>
              <w:snapToGrid w:val="0"/>
              <w:spacing w:line="440" w:lineRule="exact"/>
              <w:rPr>
                <w:rFonts w:hint="eastAsia" w:ascii="仿宋" w:hAnsi="仿宋" w:eastAsia="仿宋" w:cs="宋体"/>
                <w:color w:val="000000"/>
              </w:rPr>
            </w:pPr>
          </w:p>
        </w:tc>
      </w:tr>
      <w:tr w14:paraId="5C3EA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852" w:type="dxa"/>
            <w:gridSpan w:val="3"/>
            <w:noWrap w:val="0"/>
            <w:vAlign w:val="center"/>
          </w:tcPr>
          <w:p w14:paraId="7E017BF1">
            <w:pPr>
              <w:adjustRightInd w:val="0"/>
              <w:snapToGrid w:val="0"/>
              <w:spacing w:line="440" w:lineRule="exact"/>
              <w:rPr>
                <w:rFonts w:hint="eastAsia" w:ascii="仿宋" w:hAnsi="仿宋" w:eastAsia="仿宋" w:cs="宋体"/>
                <w:color w:val="000000"/>
              </w:rPr>
            </w:pPr>
            <w:r>
              <w:rPr>
                <w:rFonts w:hint="eastAsia" w:ascii="仿宋" w:hAnsi="仿宋" w:eastAsia="仿宋" w:cs="宋体"/>
                <w:color w:val="000000"/>
              </w:rPr>
              <w:t>备注：</w:t>
            </w:r>
          </w:p>
        </w:tc>
      </w:tr>
    </w:tbl>
    <w:p w14:paraId="103AC058">
      <w:pPr>
        <w:adjustRightInd w:val="0"/>
        <w:snapToGrid w:val="0"/>
        <w:spacing w:line="360" w:lineRule="auto"/>
        <w:ind w:left="0" w:leftChars="0" w:firstLine="0" w:firstLineChars="0"/>
        <w:rPr>
          <w:rFonts w:hint="eastAsia" w:ascii="仿宋" w:hAnsi="仿宋" w:eastAsia="仿宋" w:cs="宋体"/>
          <w:color w:val="000000"/>
          <w:sz w:val="24"/>
          <w:szCs w:val="24"/>
        </w:rPr>
      </w:pPr>
      <w:r>
        <w:rPr>
          <w:rFonts w:hint="eastAsia" w:ascii="仿宋" w:hAnsi="仿宋" w:eastAsia="仿宋" w:cs="宋体"/>
          <w:color w:val="000000"/>
          <w:sz w:val="24"/>
          <w:szCs w:val="24"/>
        </w:rPr>
        <w:t>注：</w:t>
      </w:r>
    </w:p>
    <w:p w14:paraId="1E86C12C">
      <w:pPr>
        <w:adjustRightInd w:val="0"/>
        <w:snapToGrid w:val="0"/>
        <w:spacing w:line="360" w:lineRule="auto"/>
        <w:ind w:left="0" w:leftChars="0" w:firstLine="0" w:firstLineChars="0"/>
        <w:rPr>
          <w:rFonts w:hint="eastAsia" w:ascii="仿宋" w:hAnsi="仿宋" w:eastAsia="仿宋" w:cs="宋体"/>
          <w:color w:val="000000"/>
          <w:sz w:val="24"/>
        </w:rPr>
      </w:pPr>
      <w:r>
        <w:rPr>
          <w:rFonts w:hint="eastAsia" w:ascii="仿宋" w:hAnsi="仿宋" w:eastAsia="仿宋" w:cs="宋体"/>
          <w:color w:val="000000"/>
          <w:sz w:val="24"/>
          <w:szCs w:val="24"/>
          <w:lang w:val="en-US" w:eastAsia="zh-CN"/>
        </w:rPr>
        <w:t>1.</w:t>
      </w:r>
      <w:r>
        <w:rPr>
          <w:rFonts w:hint="eastAsia" w:ascii="仿宋" w:hAnsi="仿宋" w:eastAsia="仿宋" w:cs="宋体"/>
          <w:color w:val="000000"/>
          <w:sz w:val="24"/>
        </w:rPr>
        <w:t>控股股东/投资人是指出资比例在50%以上，或者出资比例不足50%，但享有公司股东会/董事会控制权的投资方（含单位或者个人）</w:t>
      </w:r>
    </w:p>
    <w:p w14:paraId="258A703E">
      <w:pPr>
        <w:numPr>
          <w:ilvl w:val="0"/>
          <w:numId w:val="0"/>
        </w:numPr>
        <w:adjustRightInd w:val="0"/>
        <w:snapToGrid w:val="0"/>
        <w:spacing w:line="360" w:lineRule="auto"/>
        <w:ind w:leftChars="5"/>
        <w:rPr>
          <w:rFonts w:hint="eastAsia" w:ascii="仿宋" w:hAnsi="仿宋" w:eastAsia="仿宋" w:cs="宋体"/>
          <w:color w:val="000000"/>
          <w:sz w:val="24"/>
        </w:rPr>
      </w:pPr>
      <w:r>
        <w:rPr>
          <w:rFonts w:hint="eastAsia" w:ascii="仿宋" w:hAnsi="仿宋" w:eastAsia="仿宋" w:cs="宋体"/>
          <w:color w:val="000000"/>
          <w:sz w:val="24"/>
          <w:lang w:val="en-US" w:eastAsia="zh-CN"/>
        </w:rPr>
        <w:t>2.</w:t>
      </w:r>
      <w:r>
        <w:rPr>
          <w:rFonts w:hint="eastAsia" w:ascii="仿宋" w:hAnsi="仿宋" w:eastAsia="仿宋" w:cs="宋体"/>
          <w:color w:val="000000"/>
          <w:sz w:val="24"/>
        </w:rPr>
        <w:t xml:space="preserve">管理关系单位是指与不具有出资持股关系的其他单位之间存在管理与被管理关系的单位； </w:t>
      </w:r>
    </w:p>
    <w:p w14:paraId="7C976B34">
      <w:pPr>
        <w:numPr>
          <w:ilvl w:val="0"/>
          <w:numId w:val="0"/>
        </w:numPr>
        <w:adjustRightInd w:val="0"/>
        <w:snapToGrid w:val="0"/>
        <w:spacing w:line="360" w:lineRule="auto"/>
        <w:rPr>
          <w:rFonts w:hint="eastAsia" w:ascii="仿宋" w:hAnsi="仿宋" w:eastAsia="仿宋" w:cs="宋体"/>
          <w:color w:val="000000"/>
          <w:sz w:val="24"/>
        </w:rPr>
      </w:pPr>
      <w:r>
        <w:rPr>
          <w:rFonts w:hint="eastAsia" w:ascii="仿宋" w:hAnsi="仿宋" w:eastAsia="仿宋" w:cs="宋体"/>
          <w:color w:val="000000"/>
          <w:sz w:val="24"/>
        </w:rPr>
        <w:t>3.如未有相关情况，请在相应栏填写“无”。</w:t>
      </w:r>
    </w:p>
    <w:p w14:paraId="4088B4E8">
      <w:pPr>
        <w:pStyle w:val="162"/>
        <w:numPr>
          <w:ilvl w:val="0"/>
          <w:numId w:val="0"/>
        </w:numPr>
        <w:adjustRightInd w:val="0"/>
        <w:snapToGrid w:val="0"/>
        <w:spacing w:line="360" w:lineRule="auto"/>
        <w:ind w:leftChars="0"/>
        <w:rPr>
          <w:rFonts w:hint="eastAsia" w:ascii="仿宋" w:hAnsi="仿宋" w:eastAsia="仿宋" w:cs="宋体"/>
          <w:color w:val="000000"/>
          <w:sz w:val="24"/>
        </w:rPr>
      </w:pPr>
      <w:r>
        <w:rPr>
          <w:rFonts w:hint="eastAsia" w:ascii="仿宋" w:hAnsi="仿宋" w:eastAsia="仿宋" w:cs="宋体"/>
          <w:color w:val="000000"/>
          <w:sz w:val="24"/>
          <w:lang w:val="en-US" w:eastAsia="zh-CN"/>
        </w:rPr>
        <w:t>2.</w:t>
      </w:r>
      <w:r>
        <w:rPr>
          <w:rFonts w:hint="eastAsia" w:ascii="仿宋" w:hAnsi="仿宋" w:eastAsia="仿宋" w:cs="宋体"/>
          <w:color w:val="000000"/>
          <w:sz w:val="24"/>
        </w:rPr>
        <w:t xml:space="preserve">管理关系单位是指与不具有出资持股关系的其他单位之间存在管理与被管理关系的单位； </w:t>
      </w:r>
    </w:p>
    <w:p w14:paraId="411D79A7">
      <w:pPr>
        <w:pStyle w:val="162"/>
        <w:numPr>
          <w:ilvl w:val="0"/>
          <w:numId w:val="0"/>
        </w:numPr>
        <w:adjustRightInd w:val="0"/>
        <w:snapToGrid w:val="0"/>
        <w:spacing w:line="360" w:lineRule="auto"/>
        <w:ind w:leftChars="0"/>
        <w:rPr>
          <w:rFonts w:hint="eastAsia" w:ascii="仿宋" w:hAnsi="仿宋" w:eastAsia="仿宋" w:cs="宋体"/>
          <w:color w:val="000000"/>
          <w:sz w:val="24"/>
        </w:rPr>
      </w:pPr>
      <w:r>
        <w:rPr>
          <w:rFonts w:hint="eastAsia" w:ascii="仿宋" w:hAnsi="仿宋" w:eastAsia="仿宋" w:cs="宋体"/>
          <w:color w:val="000000"/>
          <w:sz w:val="24"/>
          <w:lang w:val="en-US" w:eastAsia="zh-CN"/>
        </w:rPr>
        <w:t>3.</w:t>
      </w:r>
      <w:r>
        <w:rPr>
          <w:rFonts w:hint="eastAsia" w:ascii="仿宋" w:hAnsi="仿宋" w:eastAsia="仿宋" w:cs="宋体"/>
          <w:color w:val="000000"/>
          <w:sz w:val="24"/>
        </w:rPr>
        <w:t>如未有相关情况，请在相应栏填写“无”。</w:t>
      </w:r>
    </w:p>
    <w:p w14:paraId="1D051CCE">
      <w:pPr>
        <w:spacing w:line="360" w:lineRule="auto"/>
        <w:ind w:left="480" w:hanging="480" w:hangingChars="200"/>
        <w:rPr>
          <w:rFonts w:hint="eastAsia" w:ascii="仿宋" w:hAnsi="仿宋" w:eastAsia="仿宋" w:cs="宋体"/>
          <w:color w:val="000000"/>
          <w:sz w:val="24"/>
          <w:szCs w:val="24"/>
        </w:rPr>
      </w:pPr>
    </w:p>
    <w:p w14:paraId="56C99966">
      <w:pPr>
        <w:spacing w:line="360" w:lineRule="auto"/>
        <w:ind w:firstLine="4080" w:firstLineChars="1700"/>
        <w:jc w:val="right"/>
        <w:rPr>
          <w:rFonts w:hint="eastAsia" w:ascii="仿宋" w:hAnsi="仿宋" w:eastAsia="仿宋" w:cs="宋体"/>
          <w:color w:val="000000"/>
          <w:sz w:val="24"/>
          <w:szCs w:val="24"/>
        </w:rPr>
      </w:pPr>
      <w:r>
        <w:rPr>
          <w:rFonts w:hint="eastAsia" w:ascii="仿宋" w:hAnsi="仿宋" w:eastAsia="仿宋" w:cs="宋体"/>
          <w:color w:val="000000"/>
          <w:sz w:val="24"/>
          <w:szCs w:val="24"/>
          <w:lang w:val="en-US" w:eastAsia="zh-CN"/>
        </w:rPr>
        <w:t>供应商</w:t>
      </w:r>
      <w:r>
        <w:rPr>
          <w:rFonts w:hint="eastAsia" w:ascii="仿宋" w:hAnsi="仿宋" w:eastAsia="仿宋" w:cs="宋体"/>
          <w:color w:val="000000"/>
          <w:sz w:val="24"/>
          <w:szCs w:val="24"/>
        </w:rPr>
        <w:t>名称：</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rPr>
        <w:t>（盖章）</w:t>
      </w:r>
    </w:p>
    <w:p w14:paraId="618AB0C7">
      <w:pPr>
        <w:spacing w:line="360" w:lineRule="auto"/>
        <w:jc w:val="right"/>
        <w:rPr>
          <w:rFonts w:hint="eastAsia" w:ascii="仿宋" w:hAnsi="仿宋" w:eastAsia="仿宋" w:cs="Cambria Math"/>
          <w:b/>
          <w:bCs/>
          <w:color w:val="000000"/>
          <w:sz w:val="24"/>
          <w:highlight w:val="none"/>
        </w:rPr>
      </w:pPr>
      <w:r>
        <w:rPr>
          <w:rFonts w:hint="eastAsia" w:ascii="仿宋" w:hAnsi="仿宋" w:eastAsia="仿宋" w:cs="宋体"/>
          <w:color w:val="000000"/>
          <w:sz w:val="24"/>
          <w:szCs w:val="24"/>
        </w:rPr>
        <w:t>日期：</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rPr>
        <w:t>年</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rPr>
        <w:t>月</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rPr>
        <w:t>日</w:t>
      </w:r>
    </w:p>
    <w:p w14:paraId="576F45A3">
      <w:pPr>
        <w:pStyle w:val="6"/>
        <w:numPr>
          <w:ilvl w:val="0"/>
          <w:numId w:val="0"/>
        </w:numPr>
        <w:spacing w:before="0"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r>
      <w:r>
        <w:rPr>
          <w:rFonts w:hint="eastAsia" w:ascii="仿宋" w:hAnsi="仿宋" w:eastAsia="仿宋" w:cs="仿宋"/>
          <w:color w:val="000000"/>
          <w:sz w:val="24"/>
          <w:szCs w:val="24"/>
          <w:highlight w:val="none"/>
          <w:lang w:val="en-US" w:eastAsia="zh-CN"/>
        </w:rPr>
        <w:t>8、</w:t>
      </w:r>
      <w:r>
        <w:rPr>
          <w:rFonts w:hint="eastAsia" w:ascii="仿宋" w:hAnsi="仿宋" w:eastAsia="仿宋" w:cs="仿宋"/>
          <w:color w:val="000000"/>
          <w:sz w:val="24"/>
          <w:szCs w:val="24"/>
          <w:highlight w:val="none"/>
        </w:rPr>
        <w:t>非联合体磋商响应声明</w:t>
      </w:r>
    </w:p>
    <w:p w14:paraId="745D686D">
      <w:pPr>
        <w:bidi w:val="0"/>
        <w:rPr>
          <w:rFonts w:hint="eastAsia"/>
        </w:rPr>
      </w:pPr>
      <w:r>
        <w:rPr>
          <w:rFonts w:hint="eastAsia" w:ascii="仿宋" w:hAnsi="仿宋" w:eastAsia="仿宋" w:cs="仿宋"/>
          <w:b w:val="0"/>
          <w:bCs w:val="0"/>
          <w:color w:val="FF0000"/>
          <w:sz w:val="24"/>
          <w:szCs w:val="24"/>
          <w:highlight w:val="none"/>
        </w:rPr>
        <w:t>（可以根据项目实际情况选择是否设置）</w:t>
      </w:r>
    </w:p>
    <w:bookmarkEnd w:id="267"/>
    <w:bookmarkEnd w:id="280"/>
    <w:p w14:paraId="4CA4EC42">
      <w:pPr>
        <w:pStyle w:val="2"/>
        <w:spacing w:before="240"/>
        <w:rPr>
          <w:rFonts w:hint="eastAsia" w:ascii="仿宋" w:hAnsi="仿宋" w:eastAsia="仿宋" w:cs="Cambria Math"/>
          <w:b/>
          <w:bCs/>
          <w:color w:val="000000"/>
          <w:sz w:val="24"/>
          <w:highlight w:val="none"/>
        </w:rPr>
      </w:pPr>
      <w:bookmarkStart w:id="281" w:name="_Toc71192048"/>
      <w:bookmarkStart w:id="282" w:name="_Toc20195"/>
      <w:bookmarkStart w:id="283" w:name="_Toc432420841"/>
      <w:bookmarkStart w:id="284" w:name="_Toc517281859"/>
      <w:r>
        <w:rPr>
          <w:rFonts w:hint="eastAsia" w:ascii="仿宋" w:hAnsi="仿宋" w:eastAsia="仿宋" w:cs="Cambria Math"/>
          <w:b/>
          <w:bCs/>
          <w:color w:val="000000"/>
          <w:sz w:val="24"/>
          <w:highlight w:val="none"/>
        </w:rPr>
        <w:t>非联合体磋商响应声明</w:t>
      </w:r>
    </w:p>
    <w:p w14:paraId="630C6525">
      <w:pPr>
        <w:adjustRightInd w:val="0"/>
        <w:snapToGrid w:val="0"/>
        <w:spacing w:before="240" w:line="360" w:lineRule="auto"/>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致：</w:t>
      </w:r>
      <w:r>
        <w:rPr>
          <w:rFonts w:hint="eastAsia" w:ascii="仿宋" w:hAnsi="仿宋" w:eastAsia="仿宋" w:cs="Cambria Math"/>
          <w:color w:val="000000"/>
          <w:sz w:val="24"/>
          <w:highlight w:val="none"/>
          <w:lang w:eastAsia="zh-CN"/>
        </w:rPr>
        <w:t>（</w:t>
      </w:r>
      <w:r>
        <w:rPr>
          <w:rFonts w:hint="eastAsia" w:ascii="仿宋" w:hAnsi="仿宋" w:eastAsia="仿宋" w:cs="Cambria Math"/>
          <w:color w:val="000000"/>
          <w:sz w:val="24"/>
          <w:highlight w:val="none"/>
          <w:lang w:val="en-US" w:eastAsia="zh-CN"/>
        </w:rPr>
        <w:t>采购人</w:t>
      </w:r>
      <w:r>
        <w:rPr>
          <w:rFonts w:hint="eastAsia" w:ascii="仿宋" w:hAnsi="仿宋" w:eastAsia="仿宋" w:cs="Cambria Math"/>
          <w:color w:val="000000"/>
          <w:sz w:val="24"/>
          <w:highlight w:val="none"/>
          <w:lang w:eastAsia="zh-CN"/>
        </w:rPr>
        <w:t>）</w:t>
      </w:r>
      <w:r>
        <w:rPr>
          <w:rFonts w:hint="eastAsia" w:ascii="仿宋" w:hAnsi="仿宋" w:eastAsia="仿宋" w:cs="Cambria Math"/>
          <w:color w:val="000000"/>
          <w:sz w:val="24"/>
          <w:highlight w:val="none"/>
        </w:rPr>
        <w:t>：</w:t>
      </w:r>
    </w:p>
    <w:p w14:paraId="434773C0">
      <w:pPr>
        <w:adjustRightInd w:val="0"/>
        <w:snapToGrid w:val="0"/>
        <w:spacing w:before="240" w:line="360" w:lineRule="auto"/>
        <w:ind w:firstLine="480" w:firstLineChars="200"/>
        <w:rPr>
          <w:rFonts w:ascii="仿宋" w:hAnsi="仿宋" w:eastAsia="仿宋" w:cs="Cambria Math"/>
          <w:color w:val="000000"/>
          <w:sz w:val="24"/>
          <w:highlight w:val="none"/>
        </w:rPr>
      </w:pPr>
      <w:r>
        <w:rPr>
          <w:rFonts w:hint="eastAsia" w:ascii="仿宋" w:hAnsi="仿宋" w:eastAsia="仿宋" w:cs="Cambria Math"/>
          <w:color w:val="000000"/>
          <w:sz w:val="24"/>
          <w:highlight w:val="none"/>
        </w:rPr>
        <w:t>我方</w:t>
      </w:r>
      <w:r>
        <w:rPr>
          <w:rFonts w:hint="eastAsia" w:ascii="仿宋" w:hAnsi="仿宋" w:eastAsia="仿宋" w:cs="Cambria Math"/>
          <w:color w:val="000000"/>
          <w:sz w:val="24"/>
          <w:highlight w:val="none"/>
          <w:u w:val="single"/>
        </w:rPr>
        <w:t xml:space="preserve">     </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u w:val="single"/>
        </w:rPr>
        <w:t>（供应商名称）</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独立参与</w:t>
      </w:r>
      <w:r>
        <w:rPr>
          <w:rFonts w:hint="eastAsia" w:ascii="仿宋" w:hAnsi="仿宋" w:eastAsia="仿宋" w:cs="Cambria Math"/>
          <w:color w:val="000000"/>
          <w:sz w:val="24"/>
          <w:highlight w:val="none"/>
          <w:u w:val="single"/>
        </w:rPr>
        <w:t xml:space="preserve">    （项目名称）</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磋商响应，非联合体参与磋商响应。</w:t>
      </w:r>
      <w:r>
        <w:rPr>
          <w:rFonts w:ascii="仿宋" w:hAnsi="仿宋" w:eastAsia="仿宋" w:cs="Cambria Math"/>
          <w:color w:val="000000"/>
          <w:sz w:val="24"/>
          <w:highlight w:val="none"/>
        </w:rPr>
        <w:t xml:space="preserve"> </w:t>
      </w:r>
    </w:p>
    <w:p w14:paraId="5F9C0079">
      <w:pPr>
        <w:pStyle w:val="2"/>
        <w:ind w:firstLine="480" w:firstLineChars="200"/>
        <w:jc w:val="both"/>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特此声明。</w:t>
      </w:r>
    </w:p>
    <w:p w14:paraId="144163FE">
      <w:pPr>
        <w:pStyle w:val="127"/>
        <w:ind w:firstLine="640"/>
        <w:rPr>
          <w:rFonts w:ascii="仿宋" w:hAnsi="仿宋" w:eastAsia="仿宋"/>
          <w:highlight w:val="none"/>
        </w:rPr>
      </w:pPr>
    </w:p>
    <w:p w14:paraId="7C912E0B">
      <w:pPr>
        <w:pStyle w:val="127"/>
        <w:ind w:firstLine="640"/>
        <w:rPr>
          <w:rFonts w:ascii="仿宋" w:hAnsi="仿宋" w:eastAsia="仿宋"/>
          <w:highlight w:val="none"/>
        </w:rPr>
      </w:pPr>
    </w:p>
    <w:p w14:paraId="2C7E542A">
      <w:pPr>
        <w:pStyle w:val="127"/>
        <w:ind w:firstLine="640"/>
        <w:rPr>
          <w:rFonts w:ascii="仿宋" w:hAnsi="仿宋" w:eastAsia="仿宋"/>
          <w:highlight w:val="none"/>
        </w:rPr>
      </w:pPr>
    </w:p>
    <w:p w14:paraId="62CFCCBC">
      <w:pPr>
        <w:pStyle w:val="127"/>
        <w:ind w:firstLine="640"/>
        <w:rPr>
          <w:rFonts w:ascii="仿宋" w:hAnsi="仿宋" w:eastAsia="仿宋"/>
          <w:highlight w:val="none"/>
        </w:rPr>
      </w:pPr>
    </w:p>
    <w:p w14:paraId="2E5B01B1">
      <w:pPr>
        <w:pStyle w:val="127"/>
        <w:ind w:firstLine="640"/>
        <w:rPr>
          <w:rFonts w:ascii="仿宋" w:hAnsi="仿宋" w:eastAsia="仿宋"/>
          <w:highlight w:val="none"/>
        </w:rPr>
      </w:pPr>
    </w:p>
    <w:p w14:paraId="2D4D44B4">
      <w:pPr>
        <w:pStyle w:val="127"/>
        <w:ind w:firstLine="640"/>
        <w:rPr>
          <w:rFonts w:ascii="仿宋" w:hAnsi="仿宋" w:eastAsia="仿宋"/>
          <w:highlight w:val="none"/>
        </w:rPr>
      </w:pPr>
    </w:p>
    <w:p w14:paraId="1139D50A">
      <w:pPr>
        <w:pStyle w:val="127"/>
        <w:ind w:firstLine="640"/>
        <w:rPr>
          <w:rFonts w:hint="eastAsia" w:ascii="仿宋" w:hAnsi="仿宋" w:eastAsia="仿宋"/>
          <w:highlight w:val="none"/>
        </w:rPr>
      </w:pPr>
    </w:p>
    <w:p w14:paraId="096397D6">
      <w:pPr>
        <w:spacing w:line="360" w:lineRule="auto"/>
        <w:ind w:firstLine="4080" w:firstLineChars="1700"/>
        <w:jc w:val="right"/>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供应商名称：</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（盖章）</w:t>
      </w:r>
    </w:p>
    <w:p w14:paraId="54EE2B07">
      <w:pPr>
        <w:spacing w:line="360" w:lineRule="auto"/>
        <w:jc w:val="right"/>
        <w:rPr>
          <w:rFonts w:hint="eastAsia" w:ascii="仿宋" w:hAnsi="仿宋" w:eastAsia="仿宋" w:cs="Cambria Math"/>
          <w:b/>
          <w:bCs/>
          <w:color w:val="000000"/>
          <w:sz w:val="24"/>
          <w:highlight w:val="none"/>
        </w:rPr>
      </w:pPr>
      <w:r>
        <w:rPr>
          <w:rFonts w:hint="eastAsia" w:ascii="仿宋" w:hAnsi="仿宋" w:eastAsia="仿宋" w:cs="Cambria Math"/>
          <w:color w:val="000000"/>
          <w:sz w:val="24"/>
          <w:highlight w:val="none"/>
        </w:rPr>
        <w:t>日期：</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年</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月</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日</w:t>
      </w:r>
    </w:p>
    <w:p w14:paraId="73514F1E">
      <w:pPr>
        <w:rPr>
          <w:rFonts w:ascii="仿宋" w:hAnsi="仿宋" w:eastAsia="仿宋" w:cs="仿宋"/>
          <w:color w:val="000000"/>
          <w:sz w:val="24"/>
          <w:szCs w:val="24"/>
          <w:highlight w:val="none"/>
        </w:rPr>
      </w:pPr>
      <w:r>
        <w:rPr>
          <w:rFonts w:ascii="仿宋" w:hAnsi="仿宋" w:eastAsia="仿宋" w:cs="仿宋"/>
          <w:color w:val="000000"/>
          <w:sz w:val="24"/>
          <w:szCs w:val="24"/>
          <w:highlight w:val="none"/>
        </w:rPr>
        <w:br w:type="page"/>
      </w:r>
    </w:p>
    <w:p w14:paraId="33DFF4A5">
      <w:pPr>
        <w:pStyle w:val="5"/>
        <w:numPr>
          <w:ilvl w:val="0"/>
          <w:numId w:val="0"/>
        </w:numPr>
        <w:tabs>
          <w:tab w:val="clear" w:pos="1440"/>
        </w:tabs>
        <w:spacing w:before="0" w:after="0" w:line="360" w:lineRule="auto"/>
        <w:rPr>
          <w:rFonts w:ascii="仿宋" w:hAnsi="仿宋" w:cs="宋体"/>
          <w:color w:val="000000"/>
          <w:szCs w:val="24"/>
          <w:highlight w:val="none"/>
        </w:rPr>
      </w:pPr>
      <w:bookmarkStart w:id="285" w:name="_Toc65683009"/>
      <w:bookmarkStart w:id="286" w:name="_Toc19570"/>
      <w:bookmarkStart w:id="287" w:name="_Toc144139212"/>
      <w:bookmarkStart w:id="288" w:name="_Toc112068411"/>
      <w:bookmarkStart w:id="289" w:name="_Toc18208"/>
      <w:r>
        <w:rPr>
          <w:rFonts w:ascii="仿宋" w:hAnsi="仿宋" w:eastAsia="仿宋" w:cs="仿宋"/>
          <w:color w:val="000000"/>
          <w:sz w:val="24"/>
          <w:szCs w:val="24"/>
          <w:highlight w:val="none"/>
        </w:rPr>
        <w:t>（</w:t>
      </w:r>
      <w:r>
        <w:rPr>
          <w:rFonts w:hint="eastAsia" w:ascii="仿宋" w:hAnsi="仿宋" w:eastAsia="仿宋" w:cs="仿宋"/>
          <w:color w:val="000000"/>
          <w:sz w:val="24"/>
          <w:szCs w:val="24"/>
          <w:highlight w:val="none"/>
          <w:lang w:val="en-US" w:eastAsia="zh-CN"/>
        </w:rPr>
        <w:t>五</w:t>
      </w:r>
      <w:r>
        <w:rPr>
          <w:rFonts w:ascii="仿宋" w:hAnsi="仿宋" w:eastAsia="仿宋" w:cs="仿宋"/>
          <w:color w:val="000000"/>
          <w:sz w:val="24"/>
          <w:szCs w:val="24"/>
          <w:highlight w:val="none"/>
        </w:rPr>
        <w:t>）</w:t>
      </w:r>
      <w:r>
        <w:rPr>
          <w:rFonts w:hint="eastAsia" w:ascii="仿宋" w:hAnsi="仿宋" w:eastAsia="仿宋" w:cs="仿宋"/>
          <w:color w:val="000000"/>
          <w:sz w:val="24"/>
          <w:szCs w:val="24"/>
          <w:highlight w:val="none"/>
        </w:rPr>
        <w:t>供应商</w:t>
      </w:r>
      <w:r>
        <w:rPr>
          <w:rFonts w:ascii="仿宋" w:hAnsi="仿宋" w:eastAsia="仿宋" w:cs="仿宋"/>
          <w:color w:val="000000"/>
          <w:sz w:val="24"/>
          <w:szCs w:val="24"/>
          <w:highlight w:val="none"/>
        </w:rPr>
        <w:t>须知应答偏离表</w:t>
      </w:r>
      <w:bookmarkEnd w:id="285"/>
      <w:bookmarkEnd w:id="286"/>
      <w:bookmarkEnd w:id="287"/>
      <w:bookmarkEnd w:id="288"/>
      <w:bookmarkEnd w:id="289"/>
    </w:p>
    <w:p w14:paraId="4C61C938">
      <w:pPr>
        <w:spacing w:line="360" w:lineRule="auto"/>
        <w:jc w:val="center"/>
        <w:rPr>
          <w:rFonts w:hint="eastAsia" w:ascii="仿宋" w:hAnsi="仿宋" w:eastAsia="仿宋" w:cs="宋体"/>
          <w:b/>
          <w:bCs/>
          <w:color w:val="000000"/>
          <w:sz w:val="24"/>
          <w:highlight w:val="none"/>
        </w:rPr>
      </w:pPr>
      <w:r>
        <w:rPr>
          <w:rFonts w:hint="eastAsia" w:ascii="仿宋" w:hAnsi="仿宋" w:eastAsia="仿宋" w:cs="宋体"/>
          <w:b/>
          <w:bCs/>
          <w:color w:val="000000"/>
          <w:sz w:val="24"/>
          <w:highlight w:val="none"/>
        </w:rPr>
        <w:t>供应商须知应答偏离表</w:t>
      </w:r>
      <w:r>
        <w:rPr>
          <w:rFonts w:hint="eastAsia" w:ascii="仿宋" w:hAnsi="仿宋" w:eastAsia="仿宋" w:cs="仿宋"/>
          <w:b w:val="0"/>
          <w:bCs w:val="0"/>
          <w:color w:val="FF0000"/>
          <w:sz w:val="24"/>
          <w:szCs w:val="24"/>
          <w:highlight w:val="none"/>
        </w:rPr>
        <w:t>（可以根据项目实际情况选择是否设置）</w:t>
      </w:r>
    </w:p>
    <w:p w14:paraId="20C1781A">
      <w:pPr>
        <w:spacing w:line="360" w:lineRule="auto"/>
        <w:rPr>
          <w:rFonts w:hint="eastAsia" w:ascii="仿宋" w:hAnsi="仿宋" w:eastAsia="仿宋" w:cs="宋体"/>
          <w:color w:val="000000"/>
          <w:sz w:val="24"/>
          <w:highlight w:val="none"/>
          <w:u w:val="single"/>
        </w:rPr>
      </w:pPr>
      <w:r>
        <w:rPr>
          <w:rFonts w:hint="eastAsia" w:ascii="仿宋" w:hAnsi="仿宋" w:eastAsia="仿宋" w:cs="仿宋"/>
          <w:color w:val="000000"/>
          <w:sz w:val="24"/>
          <w:highlight w:val="none"/>
        </w:rPr>
        <w:t>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w:t>
      </w:r>
      <w:r>
        <w:rPr>
          <w:rFonts w:ascii="仿宋" w:hAnsi="仿宋" w:eastAsia="仿宋" w:cs="宋体"/>
          <w:color w:val="000000"/>
          <w:sz w:val="24"/>
          <w:highlight w:val="none"/>
        </w:rPr>
        <w:t xml:space="preserve">        </w:t>
      </w:r>
      <w:r>
        <w:rPr>
          <w:rFonts w:hint="eastAsia" w:ascii="仿宋" w:hAnsi="仿宋" w:eastAsia="仿宋" w:cs="宋体"/>
          <w:color w:val="000000"/>
          <w:sz w:val="24"/>
          <w:highlight w:val="none"/>
        </w:rPr>
        <w:t xml:space="preserve"> </w:t>
      </w:r>
    </w:p>
    <w:tbl>
      <w:tblPr>
        <w:tblStyle w:val="41"/>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14:paraId="75B65C2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center"/>
          </w:tcPr>
          <w:p w14:paraId="287E23F8">
            <w:pPr>
              <w:spacing w:line="360" w:lineRule="auto"/>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序号</w:t>
            </w:r>
          </w:p>
        </w:tc>
        <w:tc>
          <w:tcPr>
            <w:tcW w:w="2285" w:type="dxa"/>
            <w:noWrap w:val="0"/>
            <w:vAlign w:val="center"/>
          </w:tcPr>
          <w:p w14:paraId="023BE2CB">
            <w:pPr>
              <w:spacing w:line="360" w:lineRule="auto"/>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条目号</w:t>
            </w:r>
          </w:p>
        </w:tc>
        <w:tc>
          <w:tcPr>
            <w:tcW w:w="2495" w:type="dxa"/>
            <w:noWrap w:val="0"/>
            <w:vAlign w:val="center"/>
          </w:tcPr>
          <w:p w14:paraId="516EC221">
            <w:pPr>
              <w:spacing w:line="360" w:lineRule="auto"/>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原文内容</w:t>
            </w:r>
          </w:p>
        </w:tc>
        <w:tc>
          <w:tcPr>
            <w:tcW w:w="2704" w:type="dxa"/>
            <w:noWrap w:val="0"/>
            <w:vAlign w:val="center"/>
          </w:tcPr>
          <w:p w14:paraId="5F81A494">
            <w:pPr>
              <w:spacing w:line="360" w:lineRule="auto"/>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应答</w:t>
            </w:r>
          </w:p>
        </w:tc>
        <w:tc>
          <w:tcPr>
            <w:tcW w:w="1408" w:type="dxa"/>
            <w:noWrap w:val="0"/>
            <w:vAlign w:val="center"/>
          </w:tcPr>
          <w:p w14:paraId="2F4938A6">
            <w:pPr>
              <w:spacing w:line="360" w:lineRule="auto"/>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说明</w:t>
            </w:r>
          </w:p>
        </w:tc>
      </w:tr>
      <w:tr w14:paraId="5F69D75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26215B26">
            <w:pPr>
              <w:spacing w:line="360" w:lineRule="auto"/>
              <w:rPr>
                <w:rFonts w:hint="eastAsia" w:ascii="仿宋" w:hAnsi="仿宋" w:eastAsia="仿宋" w:cs="宋体"/>
                <w:color w:val="000000"/>
                <w:szCs w:val="21"/>
                <w:highlight w:val="none"/>
              </w:rPr>
            </w:pPr>
          </w:p>
        </w:tc>
        <w:tc>
          <w:tcPr>
            <w:tcW w:w="2285" w:type="dxa"/>
            <w:noWrap w:val="0"/>
            <w:vAlign w:val="top"/>
          </w:tcPr>
          <w:p w14:paraId="76C537CF">
            <w:pPr>
              <w:spacing w:line="360" w:lineRule="auto"/>
              <w:rPr>
                <w:rFonts w:hint="eastAsia" w:ascii="仿宋" w:hAnsi="仿宋" w:eastAsia="仿宋" w:cs="宋体"/>
                <w:color w:val="000000"/>
                <w:szCs w:val="21"/>
                <w:highlight w:val="none"/>
              </w:rPr>
            </w:pPr>
          </w:p>
        </w:tc>
        <w:tc>
          <w:tcPr>
            <w:tcW w:w="2495" w:type="dxa"/>
            <w:noWrap w:val="0"/>
            <w:vAlign w:val="top"/>
          </w:tcPr>
          <w:p w14:paraId="18D65ECE">
            <w:pPr>
              <w:spacing w:line="360" w:lineRule="auto"/>
              <w:rPr>
                <w:rFonts w:hint="eastAsia" w:ascii="仿宋" w:hAnsi="仿宋" w:eastAsia="仿宋" w:cs="宋体"/>
                <w:color w:val="000000"/>
                <w:szCs w:val="21"/>
                <w:highlight w:val="none"/>
              </w:rPr>
            </w:pPr>
          </w:p>
        </w:tc>
        <w:tc>
          <w:tcPr>
            <w:tcW w:w="2704" w:type="dxa"/>
            <w:noWrap w:val="0"/>
            <w:vAlign w:val="top"/>
          </w:tcPr>
          <w:p w14:paraId="278070BD">
            <w:pPr>
              <w:spacing w:line="360" w:lineRule="auto"/>
              <w:rPr>
                <w:rFonts w:hint="eastAsia" w:ascii="仿宋" w:hAnsi="仿宋" w:eastAsia="仿宋" w:cs="宋体"/>
                <w:color w:val="000000"/>
                <w:szCs w:val="21"/>
                <w:highlight w:val="none"/>
              </w:rPr>
            </w:pPr>
          </w:p>
        </w:tc>
        <w:tc>
          <w:tcPr>
            <w:tcW w:w="1408" w:type="dxa"/>
            <w:noWrap w:val="0"/>
            <w:vAlign w:val="top"/>
          </w:tcPr>
          <w:p w14:paraId="3A19D8BC">
            <w:pPr>
              <w:spacing w:line="360" w:lineRule="auto"/>
              <w:rPr>
                <w:rFonts w:hint="eastAsia" w:ascii="仿宋" w:hAnsi="仿宋" w:eastAsia="仿宋" w:cs="宋体"/>
                <w:color w:val="000000"/>
                <w:szCs w:val="21"/>
                <w:highlight w:val="none"/>
              </w:rPr>
            </w:pPr>
          </w:p>
        </w:tc>
      </w:tr>
      <w:tr w14:paraId="4902E54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14:paraId="67DDC457">
            <w:pPr>
              <w:spacing w:line="360" w:lineRule="auto"/>
              <w:rPr>
                <w:rFonts w:hint="eastAsia" w:ascii="仿宋" w:hAnsi="仿宋" w:eastAsia="仿宋" w:cs="宋体"/>
                <w:color w:val="000000"/>
                <w:szCs w:val="21"/>
                <w:highlight w:val="none"/>
              </w:rPr>
            </w:pPr>
          </w:p>
        </w:tc>
        <w:tc>
          <w:tcPr>
            <w:tcW w:w="2285" w:type="dxa"/>
            <w:noWrap w:val="0"/>
            <w:vAlign w:val="top"/>
          </w:tcPr>
          <w:p w14:paraId="27EFCD59">
            <w:pPr>
              <w:spacing w:line="360" w:lineRule="auto"/>
              <w:rPr>
                <w:rFonts w:hint="eastAsia" w:ascii="仿宋" w:hAnsi="仿宋" w:eastAsia="仿宋" w:cs="宋体"/>
                <w:color w:val="000000"/>
                <w:szCs w:val="21"/>
                <w:highlight w:val="none"/>
              </w:rPr>
            </w:pPr>
          </w:p>
        </w:tc>
        <w:tc>
          <w:tcPr>
            <w:tcW w:w="2495" w:type="dxa"/>
            <w:noWrap w:val="0"/>
            <w:vAlign w:val="top"/>
          </w:tcPr>
          <w:p w14:paraId="572AC3B0">
            <w:pPr>
              <w:spacing w:line="360" w:lineRule="auto"/>
              <w:rPr>
                <w:rFonts w:hint="eastAsia" w:ascii="仿宋" w:hAnsi="仿宋" w:eastAsia="仿宋" w:cs="宋体"/>
                <w:color w:val="000000"/>
                <w:szCs w:val="21"/>
                <w:highlight w:val="none"/>
              </w:rPr>
            </w:pPr>
          </w:p>
        </w:tc>
        <w:tc>
          <w:tcPr>
            <w:tcW w:w="2704" w:type="dxa"/>
            <w:noWrap w:val="0"/>
            <w:vAlign w:val="top"/>
          </w:tcPr>
          <w:p w14:paraId="5449964D">
            <w:pPr>
              <w:spacing w:line="360" w:lineRule="auto"/>
              <w:rPr>
                <w:rFonts w:hint="eastAsia" w:ascii="仿宋" w:hAnsi="仿宋" w:eastAsia="仿宋" w:cs="宋体"/>
                <w:color w:val="000000"/>
                <w:szCs w:val="21"/>
                <w:highlight w:val="none"/>
              </w:rPr>
            </w:pPr>
          </w:p>
        </w:tc>
        <w:tc>
          <w:tcPr>
            <w:tcW w:w="1408" w:type="dxa"/>
            <w:noWrap w:val="0"/>
            <w:vAlign w:val="top"/>
          </w:tcPr>
          <w:p w14:paraId="0A9686DA">
            <w:pPr>
              <w:spacing w:line="360" w:lineRule="auto"/>
              <w:rPr>
                <w:rFonts w:hint="eastAsia" w:ascii="仿宋" w:hAnsi="仿宋" w:eastAsia="仿宋" w:cs="宋体"/>
                <w:color w:val="000000"/>
                <w:szCs w:val="21"/>
                <w:highlight w:val="none"/>
              </w:rPr>
            </w:pPr>
          </w:p>
        </w:tc>
      </w:tr>
      <w:tr w14:paraId="0D26F8E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2B81985C">
            <w:pPr>
              <w:spacing w:line="360" w:lineRule="auto"/>
              <w:rPr>
                <w:rFonts w:hint="eastAsia" w:ascii="仿宋" w:hAnsi="仿宋" w:eastAsia="仿宋" w:cs="宋体"/>
                <w:color w:val="000000"/>
                <w:szCs w:val="21"/>
                <w:highlight w:val="none"/>
              </w:rPr>
            </w:pPr>
          </w:p>
        </w:tc>
        <w:tc>
          <w:tcPr>
            <w:tcW w:w="2285" w:type="dxa"/>
            <w:noWrap w:val="0"/>
            <w:vAlign w:val="top"/>
          </w:tcPr>
          <w:p w14:paraId="3B0233F5">
            <w:pPr>
              <w:spacing w:line="360" w:lineRule="auto"/>
              <w:rPr>
                <w:rFonts w:hint="eastAsia" w:ascii="仿宋" w:hAnsi="仿宋" w:eastAsia="仿宋" w:cs="宋体"/>
                <w:color w:val="000000"/>
                <w:szCs w:val="21"/>
                <w:highlight w:val="none"/>
              </w:rPr>
            </w:pPr>
          </w:p>
        </w:tc>
        <w:tc>
          <w:tcPr>
            <w:tcW w:w="2495" w:type="dxa"/>
            <w:noWrap w:val="0"/>
            <w:vAlign w:val="top"/>
          </w:tcPr>
          <w:p w14:paraId="0E558C5C">
            <w:pPr>
              <w:spacing w:line="360" w:lineRule="auto"/>
              <w:rPr>
                <w:rFonts w:hint="eastAsia" w:ascii="仿宋" w:hAnsi="仿宋" w:eastAsia="仿宋" w:cs="宋体"/>
                <w:color w:val="000000"/>
                <w:szCs w:val="21"/>
                <w:highlight w:val="none"/>
              </w:rPr>
            </w:pPr>
          </w:p>
        </w:tc>
        <w:tc>
          <w:tcPr>
            <w:tcW w:w="2704" w:type="dxa"/>
            <w:noWrap w:val="0"/>
            <w:vAlign w:val="top"/>
          </w:tcPr>
          <w:p w14:paraId="2EAE386A">
            <w:pPr>
              <w:spacing w:line="360" w:lineRule="auto"/>
              <w:rPr>
                <w:rFonts w:hint="eastAsia" w:ascii="仿宋" w:hAnsi="仿宋" w:eastAsia="仿宋" w:cs="宋体"/>
                <w:color w:val="000000"/>
                <w:szCs w:val="21"/>
                <w:highlight w:val="none"/>
              </w:rPr>
            </w:pPr>
          </w:p>
        </w:tc>
        <w:tc>
          <w:tcPr>
            <w:tcW w:w="1408" w:type="dxa"/>
            <w:noWrap w:val="0"/>
            <w:vAlign w:val="top"/>
          </w:tcPr>
          <w:p w14:paraId="513E74BB">
            <w:pPr>
              <w:spacing w:line="360" w:lineRule="auto"/>
              <w:rPr>
                <w:rFonts w:hint="eastAsia" w:ascii="仿宋" w:hAnsi="仿宋" w:eastAsia="仿宋" w:cs="宋体"/>
                <w:color w:val="000000"/>
                <w:szCs w:val="21"/>
                <w:highlight w:val="none"/>
              </w:rPr>
            </w:pPr>
          </w:p>
        </w:tc>
      </w:tr>
      <w:tr w14:paraId="1DD8AB6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5D7743DF">
            <w:pPr>
              <w:spacing w:line="360" w:lineRule="auto"/>
              <w:rPr>
                <w:rFonts w:hint="eastAsia" w:ascii="仿宋" w:hAnsi="仿宋" w:eastAsia="仿宋" w:cs="宋体"/>
                <w:color w:val="000000"/>
                <w:szCs w:val="21"/>
                <w:highlight w:val="none"/>
              </w:rPr>
            </w:pPr>
          </w:p>
        </w:tc>
        <w:tc>
          <w:tcPr>
            <w:tcW w:w="2285" w:type="dxa"/>
            <w:noWrap w:val="0"/>
            <w:vAlign w:val="top"/>
          </w:tcPr>
          <w:p w14:paraId="19A186B2">
            <w:pPr>
              <w:spacing w:line="360" w:lineRule="auto"/>
              <w:rPr>
                <w:rFonts w:hint="eastAsia" w:ascii="仿宋" w:hAnsi="仿宋" w:eastAsia="仿宋" w:cs="宋体"/>
                <w:color w:val="000000"/>
                <w:szCs w:val="21"/>
                <w:highlight w:val="none"/>
              </w:rPr>
            </w:pPr>
          </w:p>
        </w:tc>
        <w:tc>
          <w:tcPr>
            <w:tcW w:w="2495" w:type="dxa"/>
            <w:noWrap w:val="0"/>
            <w:vAlign w:val="top"/>
          </w:tcPr>
          <w:p w14:paraId="13F53F00">
            <w:pPr>
              <w:spacing w:line="360" w:lineRule="auto"/>
              <w:rPr>
                <w:rFonts w:hint="eastAsia" w:ascii="仿宋" w:hAnsi="仿宋" w:eastAsia="仿宋" w:cs="宋体"/>
                <w:color w:val="000000"/>
                <w:szCs w:val="21"/>
                <w:highlight w:val="none"/>
              </w:rPr>
            </w:pPr>
          </w:p>
        </w:tc>
        <w:tc>
          <w:tcPr>
            <w:tcW w:w="2704" w:type="dxa"/>
            <w:noWrap w:val="0"/>
            <w:vAlign w:val="top"/>
          </w:tcPr>
          <w:p w14:paraId="72446CD6">
            <w:pPr>
              <w:spacing w:line="360" w:lineRule="auto"/>
              <w:rPr>
                <w:rFonts w:hint="eastAsia" w:ascii="仿宋" w:hAnsi="仿宋" w:eastAsia="仿宋" w:cs="宋体"/>
                <w:color w:val="000000"/>
                <w:szCs w:val="21"/>
                <w:highlight w:val="none"/>
              </w:rPr>
            </w:pPr>
          </w:p>
        </w:tc>
        <w:tc>
          <w:tcPr>
            <w:tcW w:w="1408" w:type="dxa"/>
            <w:noWrap w:val="0"/>
            <w:vAlign w:val="top"/>
          </w:tcPr>
          <w:p w14:paraId="0A38D93E">
            <w:pPr>
              <w:spacing w:line="360" w:lineRule="auto"/>
              <w:rPr>
                <w:rFonts w:hint="eastAsia" w:ascii="仿宋" w:hAnsi="仿宋" w:eastAsia="仿宋" w:cs="宋体"/>
                <w:color w:val="000000"/>
                <w:szCs w:val="21"/>
                <w:highlight w:val="none"/>
              </w:rPr>
            </w:pPr>
          </w:p>
        </w:tc>
      </w:tr>
      <w:tr w14:paraId="443A11F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14:paraId="4595E581">
            <w:pPr>
              <w:spacing w:line="360" w:lineRule="auto"/>
              <w:rPr>
                <w:rFonts w:hint="eastAsia" w:ascii="仿宋" w:hAnsi="仿宋" w:eastAsia="仿宋" w:cs="宋体"/>
                <w:color w:val="000000"/>
                <w:szCs w:val="21"/>
                <w:highlight w:val="none"/>
              </w:rPr>
            </w:pPr>
          </w:p>
        </w:tc>
        <w:tc>
          <w:tcPr>
            <w:tcW w:w="2285" w:type="dxa"/>
            <w:noWrap w:val="0"/>
            <w:vAlign w:val="top"/>
          </w:tcPr>
          <w:p w14:paraId="7D77E371">
            <w:pPr>
              <w:spacing w:line="360" w:lineRule="auto"/>
              <w:rPr>
                <w:rFonts w:hint="eastAsia" w:ascii="仿宋" w:hAnsi="仿宋" w:eastAsia="仿宋" w:cs="宋体"/>
                <w:color w:val="000000"/>
                <w:szCs w:val="21"/>
                <w:highlight w:val="none"/>
              </w:rPr>
            </w:pPr>
          </w:p>
        </w:tc>
        <w:tc>
          <w:tcPr>
            <w:tcW w:w="2495" w:type="dxa"/>
            <w:noWrap w:val="0"/>
            <w:vAlign w:val="top"/>
          </w:tcPr>
          <w:p w14:paraId="4BC00648">
            <w:pPr>
              <w:spacing w:line="360" w:lineRule="auto"/>
              <w:rPr>
                <w:rFonts w:hint="eastAsia" w:ascii="仿宋" w:hAnsi="仿宋" w:eastAsia="仿宋" w:cs="宋体"/>
                <w:color w:val="000000"/>
                <w:szCs w:val="21"/>
                <w:highlight w:val="none"/>
              </w:rPr>
            </w:pPr>
          </w:p>
        </w:tc>
        <w:tc>
          <w:tcPr>
            <w:tcW w:w="2704" w:type="dxa"/>
            <w:noWrap w:val="0"/>
            <w:vAlign w:val="top"/>
          </w:tcPr>
          <w:p w14:paraId="3515F419">
            <w:pPr>
              <w:spacing w:line="360" w:lineRule="auto"/>
              <w:rPr>
                <w:rFonts w:hint="eastAsia" w:ascii="仿宋" w:hAnsi="仿宋" w:eastAsia="仿宋" w:cs="宋体"/>
                <w:color w:val="000000"/>
                <w:szCs w:val="21"/>
                <w:highlight w:val="none"/>
              </w:rPr>
            </w:pPr>
          </w:p>
        </w:tc>
        <w:tc>
          <w:tcPr>
            <w:tcW w:w="1408" w:type="dxa"/>
            <w:noWrap w:val="0"/>
            <w:vAlign w:val="top"/>
          </w:tcPr>
          <w:p w14:paraId="0DB5062A">
            <w:pPr>
              <w:spacing w:line="360" w:lineRule="auto"/>
              <w:rPr>
                <w:rFonts w:hint="eastAsia" w:ascii="仿宋" w:hAnsi="仿宋" w:eastAsia="仿宋" w:cs="宋体"/>
                <w:color w:val="000000"/>
                <w:szCs w:val="21"/>
                <w:highlight w:val="none"/>
              </w:rPr>
            </w:pPr>
          </w:p>
        </w:tc>
      </w:tr>
    </w:tbl>
    <w:p w14:paraId="10F72CE8">
      <w:pPr>
        <w:spacing w:line="360" w:lineRule="auto"/>
        <w:ind w:left="480" w:hanging="480" w:hangingChars="200"/>
        <w:rPr>
          <w:rFonts w:hint="eastAsia" w:ascii="仿宋" w:hAnsi="仿宋" w:eastAsia="仿宋" w:cs="宋体"/>
          <w:b/>
          <w:bCs/>
          <w:color w:val="000000"/>
          <w:sz w:val="24"/>
          <w:highlight w:val="none"/>
        </w:rPr>
      </w:pPr>
      <w:r>
        <w:rPr>
          <w:rFonts w:hint="eastAsia" w:ascii="仿宋" w:hAnsi="仿宋" w:eastAsia="仿宋" w:cs="宋体"/>
          <w:color w:val="000000"/>
          <w:sz w:val="24"/>
          <w:highlight w:val="none"/>
        </w:rPr>
        <w:t>注：所有偏离须在本表中列出，未在本偏离表中列出偏离，将视为供应商已完全接受磋商文件要求</w:t>
      </w:r>
      <w:r>
        <w:rPr>
          <w:rFonts w:hint="eastAsia" w:ascii="仿宋" w:hAnsi="仿宋" w:eastAsia="仿宋" w:cs="宋体"/>
          <w:b/>
          <w:bCs/>
          <w:color w:val="000000"/>
          <w:sz w:val="24"/>
          <w:highlight w:val="none"/>
        </w:rPr>
        <w:t>。如全部满足，在偏离表中应答“全部满足”即可。</w:t>
      </w:r>
    </w:p>
    <w:p w14:paraId="7D30BB71">
      <w:pPr>
        <w:spacing w:line="360" w:lineRule="auto"/>
        <w:ind w:firstLine="4080" w:firstLineChars="1700"/>
        <w:jc w:val="right"/>
        <w:rPr>
          <w:rFonts w:ascii="仿宋" w:hAnsi="仿宋" w:eastAsia="仿宋" w:cs="宋体"/>
          <w:color w:val="000000"/>
          <w:sz w:val="24"/>
          <w:highlight w:val="none"/>
        </w:rPr>
      </w:pPr>
    </w:p>
    <w:p w14:paraId="1A247140">
      <w:pPr>
        <w:spacing w:line="360" w:lineRule="auto"/>
        <w:ind w:firstLine="4080" w:firstLineChars="1700"/>
        <w:jc w:val="right"/>
        <w:rPr>
          <w:rFonts w:ascii="仿宋" w:hAnsi="仿宋" w:eastAsia="仿宋" w:cs="宋体"/>
          <w:color w:val="000000"/>
          <w:sz w:val="24"/>
          <w:highlight w:val="none"/>
        </w:rPr>
      </w:pPr>
    </w:p>
    <w:p w14:paraId="051CD6FD">
      <w:pPr>
        <w:spacing w:line="360" w:lineRule="auto"/>
        <w:ind w:firstLine="4080" w:firstLineChars="1700"/>
        <w:jc w:val="right"/>
        <w:rPr>
          <w:rFonts w:ascii="仿宋" w:hAnsi="仿宋" w:eastAsia="仿宋" w:cs="宋体"/>
          <w:color w:val="000000"/>
          <w:sz w:val="24"/>
          <w:highlight w:val="none"/>
        </w:rPr>
      </w:pPr>
    </w:p>
    <w:p w14:paraId="71E1A67A">
      <w:pPr>
        <w:spacing w:line="360" w:lineRule="auto"/>
        <w:ind w:firstLine="4080" w:firstLineChars="1700"/>
        <w:jc w:val="right"/>
        <w:rPr>
          <w:rFonts w:hint="eastAsia" w:ascii="仿宋" w:hAnsi="仿宋" w:eastAsia="仿宋" w:cs="宋体"/>
          <w:color w:val="000000"/>
          <w:sz w:val="24"/>
          <w:highlight w:val="none"/>
        </w:rPr>
      </w:pPr>
      <w:r>
        <w:rPr>
          <w:rFonts w:hint="eastAsia" w:ascii="仿宋" w:hAnsi="仿宋" w:eastAsia="仿宋" w:cs="宋体"/>
          <w:color w:val="000000"/>
          <w:sz w:val="24"/>
          <w:highlight w:val="none"/>
        </w:rPr>
        <w:t>供应商名称：</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（盖章）</w:t>
      </w:r>
    </w:p>
    <w:p w14:paraId="5652AE6F">
      <w:pPr>
        <w:spacing w:line="360" w:lineRule="auto"/>
        <w:jc w:val="right"/>
        <w:rPr>
          <w:rFonts w:hint="eastAsia" w:ascii="仿宋" w:hAnsi="仿宋" w:eastAsia="仿宋" w:cs="宋体"/>
          <w:color w:val="000000"/>
          <w:sz w:val="24"/>
          <w:highlight w:val="none"/>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宋体"/>
          <w:color w:val="000000"/>
          <w:sz w:val="24"/>
          <w:highlight w:val="none"/>
        </w:rPr>
        <w:t>日期：</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年</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月</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日</w:t>
      </w:r>
    </w:p>
    <w:p w14:paraId="6FD48C6E">
      <w:pPr>
        <w:numPr>
          <w:ilvl w:val="0"/>
          <w:numId w:val="0"/>
        </w:numPr>
        <w:spacing w:line="360" w:lineRule="auto"/>
        <w:jc w:val="both"/>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eastAsia="zh-CN"/>
        </w:rPr>
        <w:t>（</w:t>
      </w:r>
      <w:r>
        <w:rPr>
          <w:rFonts w:hint="eastAsia" w:ascii="仿宋" w:hAnsi="仿宋" w:eastAsia="仿宋" w:cs="仿宋"/>
          <w:b/>
          <w:bCs/>
          <w:color w:val="000000"/>
          <w:sz w:val="24"/>
          <w:szCs w:val="24"/>
          <w:highlight w:val="none"/>
          <w:lang w:val="en-US" w:eastAsia="zh-CN"/>
        </w:rPr>
        <w:t>六</w:t>
      </w:r>
      <w:r>
        <w:rPr>
          <w:rFonts w:hint="eastAsia" w:ascii="仿宋" w:hAnsi="仿宋" w:eastAsia="仿宋" w:cs="仿宋"/>
          <w:b/>
          <w:bCs/>
          <w:color w:val="000000"/>
          <w:sz w:val="24"/>
          <w:szCs w:val="24"/>
          <w:highlight w:val="none"/>
          <w:lang w:eastAsia="zh-CN"/>
        </w:rPr>
        <w:t>）</w:t>
      </w:r>
      <w:r>
        <w:rPr>
          <w:rFonts w:hint="eastAsia" w:ascii="仿宋" w:hAnsi="仿宋" w:eastAsia="仿宋" w:cs="仿宋"/>
          <w:b/>
          <w:bCs/>
          <w:color w:val="000000"/>
          <w:sz w:val="24"/>
          <w:szCs w:val="24"/>
          <w:highlight w:val="none"/>
        </w:rPr>
        <w:t>合同条款应答偏</w:t>
      </w:r>
      <w:r>
        <w:rPr>
          <w:rFonts w:ascii="仿宋" w:hAnsi="仿宋" w:eastAsia="仿宋" w:cs="仿宋"/>
          <w:b/>
          <w:bCs/>
          <w:color w:val="000000"/>
          <w:sz w:val="24"/>
          <w:szCs w:val="24"/>
          <w:highlight w:val="none"/>
        </w:rPr>
        <w:t>离表</w:t>
      </w:r>
    </w:p>
    <w:p w14:paraId="766AE9DC">
      <w:pPr>
        <w:numPr>
          <w:ilvl w:val="0"/>
          <w:numId w:val="0"/>
        </w:numPr>
        <w:spacing w:line="360" w:lineRule="auto"/>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合同条款应答偏离表</w:t>
      </w:r>
      <w:r>
        <w:rPr>
          <w:rFonts w:hint="eastAsia" w:ascii="仿宋" w:hAnsi="仿宋" w:eastAsia="仿宋" w:cs="仿宋"/>
          <w:b w:val="0"/>
          <w:bCs w:val="0"/>
          <w:color w:val="FF0000"/>
          <w:sz w:val="24"/>
          <w:szCs w:val="24"/>
          <w:highlight w:val="none"/>
        </w:rPr>
        <w:t>（可以根据项目实际情况选择是否设置）</w:t>
      </w:r>
    </w:p>
    <w:p w14:paraId="7FDBB695">
      <w:pPr>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w:t>
      </w:r>
    </w:p>
    <w:tbl>
      <w:tblPr>
        <w:tblStyle w:val="41"/>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14:paraId="249494C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center"/>
          </w:tcPr>
          <w:p w14:paraId="589D19F3">
            <w:pPr>
              <w:spacing w:line="360" w:lineRule="auto"/>
              <w:jc w:val="center"/>
              <w:rPr>
                <w:rFonts w:hint="eastAsia" w:ascii="仿宋" w:hAnsi="仿宋" w:eastAsia="仿宋" w:cs="Cambria Math"/>
                <w:color w:val="000000"/>
                <w:szCs w:val="21"/>
                <w:highlight w:val="none"/>
              </w:rPr>
            </w:pPr>
            <w:r>
              <w:rPr>
                <w:rFonts w:hint="eastAsia" w:ascii="仿宋" w:hAnsi="仿宋" w:eastAsia="仿宋" w:cs="Cambria Math"/>
                <w:color w:val="000000"/>
                <w:szCs w:val="21"/>
                <w:highlight w:val="none"/>
              </w:rPr>
              <w:t>序号</w:t>
            </w:r>
          </w:p>
        </w:tc>
        <w:tc>
          <w:tcPr>
            <w:tcW w:w="2285" w:type="dxa"/>
            <w:noWrap w:val="0"/>
            <w:vAlign w:val="center"/>
          </w:tcPr>
          <w:p w14:paraId="477EE31D">
            <w:pPr>
              <w:spacing w:line="360" w:lineRule="auto"/>
              <w:jc w:val="center"/>
              <w:rPr>
                <w:rFonts w:hint="eastAsia" w:ascii="仿宋" w:hAnsi="仿宋" w:eastAsia="仿宋" w:cs="Cambria Math"/>
                <w:color w:val="000000"/>
                <w:szCs w:val="21"/>
                <w:highlight w:val="none"/>
              </w:rPr>
            </w:pPr>
            <w:r>
              <w:rPr>
                <w:rFonts w:hint="eastAsia" w:ascii="仿宋" w:hAnsi="仿宋" w:eastAsia="仿宋" w:cs="Cambria Math"/>
                <w:color w:val="000000"/>
                <w:szCs w:val="21"/>
                <w:highlight w:val="none"/>
              </w:rPr>
              <w:t>条目号</w:t>
            </w:r>
          </w:p>
        </w:tc>
        <w:tc>
          <w:tcPr>
            <w:tcW w:w="2495" w:type="dxa"/>
            <w:noWrap w:val="0"/>
            <w:vAlign w:val="center"/>
          </w:tcPr>
          <w:p w14:paraId="4B50E0C7">
            <w:pPr>
              <w:spacing w:line="360" w:lineRule="auto"/>
              <w:jc w:val="center"/>
              <w:rPr>
                <w:rFonts w:hint="eastAsia" w:ascii="仿宋" w:hAnsi="仿宋" w:eastAsia="仿宋" w:cs="Cambria Math"/>
                <w:color w:val="000000"/>
                <w:szCs w:val="21"/>
                <w:highlight w:val="none"/>
              </w:rPr>
            </w:pPr>
            <w:r>
              <w:rPr>
                <w:rFonts w:hint="eastAsia" w:ascii="仿宋" w:hAnsi="仿宋" w:eastAsia="仿宋" w:cs="Cambria Math"/>
                <w:color w:val="000000"/>
                <w:szCs w:val="21"/>
                <w:highlight w:val="none"/>
              </w:rPr>
              <w:t>原文内容</w:t>
            </w:r>
          </w:p>
        </w:tc>
        <w:tc>
          <w:tcPr>
            <w:tcW w:w="2704" w:type="dxa"/>
            <w:noWrap w:val="0"/>
            <w:vAlign w:val="center"/>
          </w:tcPr>
          <w:p w14:paraId="3ADB700A">
            <w:pPr>
              <w:spacing w:line="360" w:lineRule="auto"/>
              <w:jc w:val="center"/>
              <w:rPr>
                <w:rFonts w:hint="eastAsia" w:ascii="仿宋" w:hAnsi="仿宋" w:eastAsia="仿宋" w:cs="Cambria Math"/>
                <w:color w:val="000000"/>
                <w:szCs w:val="21"/>
                <w:highlight w:val="none"/>
              </w:rPr>
            </w:pPr>
            <w:r>
              <w:rPr>
                <w:rFonts w:hint="eastAsia" w:ascii="仿宋" w:hAnsi="仿宋" w:eastAsia="仿宋" w:cs="Cambria Math"/>
                <w:color w:val="000000"/>
                <w:szCs w:val="21"/>
                <w:highlight w:val="none"/>
              </w:rPr>
              <w:t>应答</w:t>
            </w:r>
          </w:p>
        </w:tc>
        <w:tc>
          <w:tcPr>
            <w:tcW w:w="1408" w:type="dxa"/>
            <w:noWrap w:val="0"/>
            <w:vAlign w:val="center"/>
          </w:tcPr>
          <w:p w14:paraId="4967FEE7">
            <w:pPr>
              <w:spacing w:line="360" w:lineRule="auto"/>
              <w:jc w:val="center"/>
              <w:rPr>
                <w:rFonts w:hint="eastAsia" w:ascii="仿宋" w:hAnsi="仿宋" w:eastAsia="仿宋" w:cs="Cambria Math"/>
                <w:color w:val="000000"/>
                <w:szCs w:val="21"/>
                <w:highlight w:val="none"/>
              </w:rPr>
            </w:pPr>
            <w:r>
              <w:rPr>
                <w:rFonts w:hint="eastAsia" w:ascii="仿宋" w:hAnsi="仿宋" w:eastAsia="仿宋" w:cs="Cambria Math"/>
                <w:color w:val="000000"/>
                <w:szCs w:val="21"/>
                <w:highlight w:val="none"/>
              </w:rPr>
              <w:t>说明</w:t>
            </w:r>
          </w:p>
        </w:tc>
      </w:tr>
      <w:tr w14:paraId="1DD7072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45672156">
            <w:pPr>
              <w:spacing w:line="360" w:lineRule="auto"/>
              <w:rPr>
                <w:rFonts w:hint="eastAsia" w:ascii="仿宋" w:hAnsi="仿宋" w:eastAsia="仿宋" w:cs="Cambria Math"/>
                <w:color w:val="000000"/>
                <w:szCs w:val="21"/>
                <w:highlight w:val="none"/>
              </w:rPr>
            </w:pPr>
          </w:p>
        </w:tc>
        <w:tc>
          <w:tcPr>
            <w:tcW w:w="2285" w:type="dxa"/>
            <w:noWrap w:val="0"/>
            <w:vAlign w:val="top"/>
          </w:tcPr>
          <w:p w14:paraId="171B5950">
            <w:pPr>
              <w:spacing w:line="360" w:lineRule="auto"/>
              <w:rPr>
                <w:rFonts w:hint="eastAsia" w:ascii="仿宋" w:hAnsi="仿宋" w:eastAsia="仿宋" w:cs="Cambria Math"/>
                <w:color w:val="000000"/>
                <w:szCs w:val="21"/>
                <w:highlight w:val="none"/>
              </w:rPr>
            </w:pPr>
          </w:p>
        </w:tc>
        <w:tc>
          <w:tcPr>
            <w:tcW w:w="2495" w:type="dxa"/>
            <w:noWrap w:val="0"/>
            <w:vAlign w:val="top"/>
          </w:tcPr>
          <w:p w14:paraId="36CD783C">
            <w:pPr>
              <w:spacing w:line="360" w:lineRule="auto"/>
              <w:rPr>
                <w:rFonts w:hint="eastAsia" w:ascii="仿宋" w:hAnsi="仿宋" w:eastAsia="仿宋" w:cs="Cambria Math"/>
                <w:color w:val="000000"/>
                <w:szCs w:val="21"/>
                <w:highlight w:val="none"/>
              </w:rPr>
            </w:pPr>
          </w:p>
        </w:tc>
        <w:tc>
          <w:tcPr>
            <w:tcW w:w="2704" w:type="dxa"/>
            <w:noWrap w:val="0"/>
            <w:vAlign w:val="top"/>
          </w:tcPr>
          <w:p w14:paraId="5D84BF1E">
            <w:pPr>
              <w:spacing w:line="360" w:lineRule="auto"/>
              <w:rPr>
                <w:rFonts w:hint="eastAsia" w:ascii="仿宋" w:hAnsi="仿宋" w:eastAsia="仿宋" w:cs="Cambria Math"/>
                <w:color w:val="000000"/>
                <w:szCs w:val="21"/>
                <w:highlight w:val="none"/>
              </w:rPr>
            </w:pPr>
          </w:p>
        </w:tc>
        <w:tc>
          <w:tcPr>
            <w:tcW w:w="1408" w:type="dxa"/>
            <w:noWrap w:val="0"/>
            <w:vAlign w:val="top"/>
          </w:tcPr>
          <w:p w14:paraId="49503774">
            <w:pPr>
              <w:spacing w:line="360" w:lineRule="auto"/>
              <w:rPr>
                <w:rFonts w:hint="eastAsia" w:ascii="仿宋" w:hAnsi="仿宋" w:eastAsia="仿宋" w:cs="Cambria Math"/>
                <w:color w:val="000000"/>
                <w:szCs w:val="21"/>
                <w:highlight w:val="none"/>
              </w:rPr>
            </w:pPr>
          </w:p>
        </w:tc>
      </w:tr>
      <w:tr w14:paraId="3D6BDEB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14:paraId="3014F825">
            <w:pPr>
              <w:spacing w:line="360" w:lineRule="auto"/>
              <w:rPr>
                <w:rFonts w:hint="eastAsia" w:ascii="仿宋" w:hAnsi="仿宋" w:eastAsia="仿宋" w:cs="Cambria Math"/>
                <w:color w:val="000000"/>
                <w:szCs w:val="21"/>
                <w:highlight w:val="none"/>
              </w:rPr>
            </w:pPr>
          </w:p>
        </w:tc>
        <w:tc>
          <w:tcPr>
            <w:tcW w:w="2285" w:type="dxa"/>
            <w:noWrap w:val="0"/>
            <w:vAlign w:val="top"/>
          </w:tcPr>
          <w:p w14:paraId="00977DB9">
            <w:pPr>
              <w:spacing w:line="360" w:lineRule="auto"/>
              <w:rPr>
                <w:rFonts w:hint="eastAsia" w:ascii="仿宋" w:hAnsi="仿宋" w:eastAsia="仿宋" w:cs="Cambria Math"/>
                <w:color w:val="000000"/>
                <w:szCs w:val="21"/>
                <w:highlight w:val="none"/>
              </w:rPr>
            </w:pPr>
          </w:p>
        </w:tc>
        <w:tc>
          <w:tcPr>
            <w:tcW w:w="2495" w:type="dxa"/>
            <w:noWrap w:val="0"/>
            <w:vAlign w:val="top"/>
          </w:tcPr>
          <w:p w14:paraId="2A783627">
            <w:pPr>
              <w:spacing w:line="360" w:lineRule="auto"/>
              <w:rPr>
                <w:rFonts w:hint="eastAsia" w:ascii="仿宋" w:hAnsi="仿宋" w:eastAsia="仿宋" w:cs="Cambria Math"/>
                <w:color w:val="000000"/>
                <w:szCs w:val="21"/>
                <w:highlight w:val="none"/>
              </w:rPr>
            </w:pPr>
          </w:p>
        </w:tc>
        <w:tc>
          <w:tcPr>
            <w:tcW w:w="2704" w:type="dxa"/>
            <w:noWrap w:val="0"/>
            <w:vAlign w:val="top"/>
          </w:tcPr>
          <w:p w14:paraId="5C723FE0">
            <w:pPr>
              <w:spacing w:line="360" w:lineRule="auto"/>
              <w:rPr>
                <w:rFonts w:hint="eastAsia" w:ascii="仿宋" w:hAnsi="仿宋" w:eastAsia="仿宋" w:cs="Cambria Math"/>
                <w:color w:val="000000"/>
                <w:szCs w:val="21"/>
                <w:highlight w:val="none"/>
              </w:rPr>
            </w:pPr>
          </w:p>
        </w:tc>
        <w:tc>
          <w:tcPr>
            <w:tcW w:w="1408" w:type="dxa"/>
            <w:noWrap w:val="0"/>
            <w:vAlign w:val="top"/>
          </w:tcPr>
          <w:p w14:paraId="520A6A43">
            <w:pPr>
              <w:spacing w:line="360" w:lineRule="auto"/>
              <w:rPr>
                <w:rFonts w:hint="eastAsia" w:ascii="仿宋" w:hAnsi="仿宋" w:eastAsia="仿宋" w:cs="Cambria Math"/>
                <w:color w:val="000000"/>
                <w:szCs w:val="21"/>
                <w:highlight w:val="none"/>
              </w:rPr>
            </w:pPr>
          </w:p>
        </w:tc>
      </w:tr>
      <w:tr w14:paraId="07FFA30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4860C1BD">
            <w:pPr>
              <w:spacing w:line="360" w:lineRule="auto"/>
              <w:rPr>
                <w:rFonts w:hint="eastAsia" w:ascii="仿宋" w:hAnsi="仿宋" w:eastAsia="仿宋" w:cs="Cambria Math"/>
                <w:color w:val="000000"/>
                <w:szCs w:val="21"/>
                <w:highlight w:val="none"/>
              </w:rPr>
            </w:pPr>
          </w:p>
        </w:tc>
        <w:tc>
          <w:tcPr>
            <w:tcW w:w="2285" w:type="dxa"/>
            <w:noWrap w:val="0"/>
            <w:vAlign w:val="top"/>
          </w:tcPr>
          <w:p w14:paraId="1DA3B05C">
            <w:pPr>
              <w:spacing w:line="360" w:lineRule="auto"/>
              <w:rPr>
                <w:rFonts w:hint="eastAsia" w:ascii="仿宋" w:hAnsi="仿宋" w:eastAsia="仿宋" w:cs="Cambria Math"/>
                <w:color w:val="000000"/>
                <w:szCs w:val="21"/>
                <w:highlight w:val="none"/>
              </w:rPr>
            </w:pPr>
          </w:p>
        </w:tc>
        <w:tc>
          <w:tcPr>
            <w:tcW w:w="2495" w:type="dxa"/>
            <w:noWrap w:val="0"/>
            <w:vAlign w:val="top"/>
          </w:tcPr>
          <w:p w14:paraId="2C5E64BC">
            <w:pPr>
              <w:spacing w:line="360" w:lineRule="auto"/>
              <w:rPr>
                <w:rFonts w:hint="eastAsia" w:ascii="仿宋" w:hAnsi="仿宋" w:eastAsia="仿宋" w:cs="Cambria Math"/>
                <w:color w:val="000000"/>
                <w:szCs w:val="21"/>
                <w:highlight w:val="none"/>
              </w:rPr>
            </w:pPr>
          </w:p>
        </w:tc>
        <w:tc>
          <w:tcPr>
            <w:tcW w:w="2704" w:type="dxa"/>
            <w:noWrap w:val="0"/>
            <w:vAlign w:val="top"/>
          </w:tcPr>
          <w:p w14:paraId="09E601BF">
            <w:pPr>
              <w:spacing w:line="360" w:lineRule="auto"/>
              <w:rPr>
                <w:rFonts w:hint="eastAsia" w:ascii="仿宋" w:hAnsi="仿宋" w:eastAsia="仿宋" w:cs="Cambria Math"/>
                <w:color w:val="000000"/>
                <w:szCs w:val="21"/>
                <w:highlight w:val="none"/>
              </w:rPr>
            </w:pPr>
          </w:p>
        </w:tc>
        <w:tc>
          <w:tcPr>
            <w:tcW w:w="1408" w:type="dxa"/>
            <w:noWrap w:val="0"/>
            <w:vAlign w:val="top"/>
          </w:tcPr>
          <w:p w14:paraId="3F3CA13B">
            <w:pPr>
              <w:spacing w:line="360" w:lineRule="auto"/>
              <w:rPr>
                <w:rFonts w:hint="eastAsia" w:ascii="仿宋" w:hAnsi="仿宋" w:eastAsia="仿宋" w:cs="Cambria Math"/>
                <w:color w:val="000000"/>
                <w:szCs w:val="21"/>
                <w:highlight w:val="none"/>
              </w:rPr>
            </w:pPr>
          </w:p>
        </w:tc>
      </w:tr>
      <w:tr w14:paraId="33B5B15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1150A8DE">
            <w:pPr>
              <w:spacing w:line="360" w:lineRule="auto"/>
              <w:rPr>
                <w:rFonts w:hint="eastAsia" w:ascii="仿宋" w:hAnsi="仿宋" w:eastAsia="仿宋" w:cs="Cambria Math"/>
                <w:color w:val="000000"/>
                <w:szCs w:val="21"/>
                <w:highlight w:val="none"/>
              </w:rPr>
            </w:pPr>
          </w:p>
        </w:tc>
        <w:tc>
          <w:tcPr>
            <w:tcW w:w="2285" w:type="dxa"/>
            <w:noWrap w:val="0"/>
            <w:vAlign w:val="top"/>
          </w:tcPr>
          <w:p w14:paraId="5522B656">
            <w:pPr>
              <w:spacing w:line="360" w:lineRule="auto"/>
              <w:rPr>
                <w:rFonts w:hint="eastAsia" w:ascii="仿宋" w:hAnsi="仿宋" w:eastAsia="仿宋" w:cs="Cambria Math"/>
                <w:color w:val="000000"/>
                <w:szCs w:val="21"/>
                <w:highlight w:val="none"/>
              </w:rPr>
            </w:pPr>
          </w:p>
        </w:tc>
        <w:tc>
          <w:tcPr>
            <w:tcW w:w="2495" w:type="dxa"/>
            <w:noWrap w:val="0"/>
            <w:vAlign w:val="top"/>
          </w:tcPr>
          <w:p w14:paraId="7C5CBD1A">
            <w:pPr>
              <w:spacing w:line="360" w:lineRule="auto"/>
              <w:rPr>
                <w:rFonts w:hint="eastAsia" w:ascii="仿宋" w:hAnsi="仿宋" w:eastAsia="仿宋" w:cs="Cambria Math"/>
                <w:color w:val="000000"/>
                <w:szCs w:val="21"/>
                <w:highlight w:val="none"/>
              </w:rPr>
            </w:pPr>
          </w:p>
        </w:tc>
        <w:tc>
          <w:tcPr>
            <w:tcW w:w="2704" w:type="dxa"/>
            <w:noWrap w:val="0"/>
            <w:vAlign w:val="top"/>
          </w:tcPr>
          <w:p w14:paraId="18E7AE88">
            <w:pPr>
              <w:spacing w:line="360" w:lineRule="auto"/>
              <w:rPr>
                <w:rFonts w:hint="eastAsia" w:ascii="仿宋" w:hAnsi="仿宋" w:eastAsia="仿宋" w:cs="Cambria Math"/>
                <w:color w:val="000000"/>
                <w:szCs w:val="21"/>
                <w:highlight w:val="none"/>
              </w:rPr>
            </w:pPr>
          </w:p>
        </w:tc>
        <w:tc>
          <w:tcPr>
            <w:tcW w:w="1408" w:type="dxa"/>
            <w:noWrap w:val="0"/>
            <w:vAlign w:val="top"/>
          </w:tcPr>
          <w:p w14:paraId="7EB2CB69">
            <w:pPr>
              <w:spacing w:line="360" w:lineRule="auto"/>
              <w:rPr>
                <w:rFonts w:hint="eastAsia" w:ascii="仿宋" w:hAnsi="仿宋" w:eastAsia="仿宋" w:cs="Cambria Math"/>
                <w:color w:val="000000"/>
                <w:szCs w:val="21"/>
                <w:highlight w:val="none"/>
              </w:rPr>
            </w:pPr>
          </w:p>
        </w:tc>
      </w:tr>
      <w:tr w14:paraId="6AB7BBA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14:paraId="26DCA6D8">
            <w:pPr>
              <w:spacing w:line="360" w:lineRule="auto"/>
              <w:rPr>
                <w:rFonts w:hint="eastAsia" w:ascii="仿宋" w:hAnsi="仿宋" w:eastAsia="仿宋" w:cs="Cambria Math"/>
                <w:color w:val="000000"/>
                <w:szCs w:val="21"/>
                <w:highlight w:val="none"/>
              </w:rPr>
            </w:pPr>
          </w:p>
        </w:tc>
        <w:tc>
          <w:tcPr>
            <w:tcW w:w="2285" w:type="dxa"/>
            <w:noWrap w:val="0"/>
            <w:vAlign w:val="top"/>
          </w:tcPr>
          <w:p w14:paraId="484A3311">
            <w:pPr>
              <w:spacing w:line="360" w:lineRule="auto"/>
              <w:rPr>
                <w:rFonts w:hint="eastAsia" w:ascii="仿宋" w:hAnsi="仿宋" w:eastAsia="仿宋" w:cs="Cambria Math"/>
                <w:color w:val="000000"/>
                <w:szCs w:val="21"/>
                <w:highlight w:val="none"/>
              </w:rPr>
            </w:pPr>
          </w:p>
        </w:tc>
        <w:tc>
          <w:tcPr>
            <w:tcW w:w="2495" w:type="dxa"/>
            <w:noWrap w:val="0"/>
            <w:vAlign w:val="top"/>
          </w:tcPr>
          <w:p w14:paraId="4B636406">
            <w:pPr>
              <w:spacing w:line="360" w:lineRule="auto"/>
              <w:rPr>
                <w:rFonts w:hint="eastAsia" w:ascii="仿宋" w:hAnsi="仿宋" w:eastAsia="仿宋" w:cs="Cambria Math"/>
                <w:color w:val="000000"/>
                <w:szCs w:val="21"/>
                <w:highlight w:val="none"/>
              </w:rPr>
            </w:pPr>
          </w:p>
        </w:tc>
        <w:tc>
          <w:tcPr>
            <w:tcW w:w="2704" w:type="dxa"/>
            <w:noWrap w:val="0"/>
            <w:vAlign w:val="top"/>
          </w:tcPr>
          <w:p w14:paraId="40ACCBA2">
            <w:pPr>
              <w:spacing w:line="360" w:lineRule="auto"/>
              <w:rPr>
                <w:rFonts w:hint="eastAsia" w:ascii="仿宋" w:hAnsi="仿宋" w:eastAsia="仿宋" w:cs="Cambria Math"/>
                <w:color w:val="000000"/>
                <w:szCs w:val="21"/>
                <w:highlight w:val="none"/>
              </w:rPr>
            </w:pPr>
          </w:p>
        </w:tc>
        <w:tc>
          <w:tcPr>
            <w:tcW w:w="1408" w:type="dxa"/>
            <w:noWrap w:val="0"/>
            <w:vAlign w:val="top"/>
          </w:tcPr>
          <w:p w14:paraId="6B25732F">
            <w:pPr>
              <w:spacing w:line="360" w:lineRule="auto"/>
              <w:rPr>
                <w:rFonts w:hint="eastAsia" w:ascii="仿宋" w:hAnsi="仿宋" w:eastAsia="仿宋" w:cs="Cambria Math"/>
                <w:color w:val="000000"/>
                <w:szCs w:val="21"/>
                <w:highlight w:val="none"/>
              </w:rPr>
            </w:pPr>
          </w:p>
        </w:tc>
      </w:tr>
      <w:tr w14:paraId="11D40EE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7F58AE6A">
            <w:pPr>
              <w:spacing w:line="360" w:lineRule="auto"/>
              <w:rPr>
                <w:rFonts w:hint="eastAsia" w:ascii="仿宋" w:hAnsi="仿宋" w:eastAsia="仿宋" w:cs="Cambria Math"/>
                <w:color w:val="000000"/>
                <w:szCs w:val="21"/>
                <w:highlight w:val="none"/>
              </w:rPr>
            </w:pPr>
          </w:p>
        </w:tc>
        <w:tc>
          <w:tcPr>
            <w:tcW w:w="2285" w:type="dxa"/>
            <w:noWrap w:val="0"/>
            <w:vAlign w:val="top"/>
          </w:tcPr>
          <w:p w14:paraId="7FAFF04D">
            <w:pPr>
              <w:spacing w:line="360" w:lineRule="auto"/>
              <w:rPr>
                <w:rFonts w:hint="eastAsia" w:ascii="仿宋" w:hAnsi="仿宋" w:eastAsia="仿宋" w:cs="Cambria Math"/>
                <w:color w:val="000000"/>
                <w:szCs w:val="21"/>
                <w:highlight w:val="none"/>
              </w:rPr>
            </w:pPr>
          </w:p>
        </w:tc>
        <w:tc>
          <w:tcPr>
            <w:tcW w:w="2495" w:type="dxa"/>
            <w:noWrap w:val="0"/>
            <w:vAlign w:val="top"/>
          </w:tcPr>
          <w:p w14:paraId="7886FEC1">
            <w:pPr>
              <w:spacing w:line="360" w:lineRule="auto"/>
              <w:rPr>
                <w:rFonts w:hint="eastAsia" w:ascii="仿宋" w:hAnsi="仿宋" w:eastAsia="仿宋" w:cs="Cambria Math"/>
                <w:color w:val="000000"/>
                <w:szCs w:val="21"/>
                <w:highlight w:val="none"/>
              </w:rPr>
            </w:pPr>
          </w:p>
        </w:tc>
        <w:tc>
          <w:tcPr>
            <w:tcW w:w="2704" w:type="dxa"/>
            <w:noWrap w:val="0"/>
            <w:vAlign w:val="top"/>
          </w:tcPr>
          <w:p w14:paraId="327C9430">
            <w:pPr>
              <w:spacing w:line="360" w:lineRule="auto"/>
              <w:rPr>
                <w:rFonts w:hint="eastAsia" w:ascii="仿宋" w:hAnsi="仿宋" w:eastAsia="仿宋" w:cs="Cambria Math"/>
                <w:color w:val="000000"/>
                <w:szCs w:val="21"/>
                <w:highlight w:val="none"/>
              </w:rPr>
            </w:pPr>
          </w:p>
        </w:tc>
        <w:tc>
          <w:tcPr>
            <w:tcW w:w="1408" w:type="dxa"/>
            <w:noWrap w:val="0"/>
            <w:vAlign w:val="top"/>
          </w:tcPr>
          <w:p w14:paraId="46A46CA9">
            <w:pPr>
              <w:spacing w:line="360" w:lineRule="auto"/>
              <w:rPr>
                <w:rFonts w:hint="eastAsia" w:ascii="仿宋" w:hAnsi="仿宋" w:eastAsia="仿宋" w:cs="Cambria Math"/>
                <w:color w:val="000000"/>
                <w:szCs w:val="21"/>
                <w:highlight w:val="none"/>
              </w:rPr>
            </w:pPr>
          </w:p>
        </w:tc>
      </w:tr>
      <w:tr w14:paraId="209DB58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59F69DD8">
            <w:pPr>
              <w:spacing w:line="360" w:lineRule="auto"/>
              <w:rPr>
                <w:rFonts w:hint="eastAsia" w:ascii="仿宋" w:hAnsi="仿宋" w:eastAsia="仿宋" w:cs="Cambria Math"/>
                <w:color w:val="000000"/>
                <w:szCs w:val="21"/>
                <w:highlight w:val="none"/>
              </w:rPr>
            </w:pPr>
          </w:p>
        </w:tc>
        <w:tc>
          <w:tcPr>
            <w:tcW w:w="2285" w:type="dxa"/>
            <w:noWrap w:val="0"/>
            <w:vAlign w:val="top"/>
          </w:tcPr>
          <w:p w14:paraId="37829D3C">
            <w:pPr>
              <w:spacing w:line="360" w:lineRule="auto"/>
              <w:rPr>
                <w:rFonts w:hint="eastAsia" w:ascii="仿宋" w:hAnsi="仿宋" w:eastAsia="仿宋" w:cs="Cambria Math"/>
                <w:color w:val="000000"/>
                <w:szCs w:val="21"/>
                <w:highlight w:val="none"/>
              </w:rPr>
            </w:pPr>
          </w:p>
        </w:tc>
        <w:tc>
          <w:tcPr>
            <w:tcW w:w="2495" w:type="dxa"/>
            <w:noWrap w:val="0"/>
            <w:vAlign w:val="top"/>
          </w:tcPr>
          <w:p w14:paraId="7D4995C1">
            <w:pPr>
              <w:spacing w:line="360" w:lineRule="auto"/>
              <w:rPr>
                <w:rFonts w:hint="eastAsia" w:ascii="仿宋" w:hAnsi="仿宋" w:eastAsia="仿宋" w:cs="Cambria Math"/>
                <w:color w:val="000000"/>
                <w:szCs w:val="21"/>
                <w:highlight w:val="none"/>
              </w:rPr>
            </w:pPr>
          </w:p>
        </w:tc>
        <w:tc>
          <w:tcPr>
            <w:tcW w:w="2704" w:type="dxa"/>
            <w:noWrap w:val="0"/>
            <w:vAlign w:val="top"/>
          </w:tcPr>
          <w:p w14:paraId="0BBC7923">
            <w:pPr>
              <w:spacing w:line="360" w:lineRule="auto"/>
              <w:rPr>
                <w:rFonts w:hint="eastAsia" w:ascii="仿宋" w:hAnsi="仿宋" w:eastAsia="仿宋" w:cs="Cambria Math"/>
                <w:color w:val="000000"/>
                <w:szCs w:val="21"/>
                <w:highlight w:val="none"/>
              </w:rPr>
            </w:pPr>
          </w:p>
        </w:tc>
        <w:tc>
          <w:tcPr>
            <w:tcW w:w="1408" w:type="dxa"/>
            <w:noWrap w:val="0"/>
            <w:vAlign w:val="top"/>
          </w:tcPr>
          <w:p w14:paraId="6AB5BB63">
            <w:pPr>
              <w:spacing w:line="360" w:lineRule="auto"/>
              <w:rPr>
                <w:rFonts w:hint="eastAsia" w:ascii="仿宋" w:hAnsi="仿宋" w:eastAsia="仿宋" w:cs="Cambria Math"/>
                <w:color w:val="000000"/>
                <w:szCs w:val="21"/>
                <w:highlight w:val="none"/>
              </w:rPr>
            </w:pPr>
          </w:p>
        </w:tc>
      </w:tr>
      <w:tr w14:paraId="7D2E3BB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14:paraId="0CD1D153">
            <w:pPr>
              <w:spacing w:line="360" w:lineRule="auto"/>
              <w:rPr>
                <w:rFonts w:hint="eastAsia" w:ascii="仿宋" w:hAnsi="仿宋" w:eastAsia="仿宋" w:cs="Cambria Math"/>
                <w:color w:val="000000"/>
                <w:szCs w:val="21"/>
                <w:highlight w:val="none"/>
              </w:rPr>
            </w:pPr>
          </w:p>
        </w:tc>
        <w:tc>
          <w:tcPr>
            <w:tcW w:w="2285" w:type="dxa"/>
            <w:noWrap w:val="0"/>
            <w:vAlign w:val="top"/>
          </w:tcPr>
          <w:p w14:paraId="6FAAF72F">
            <w:pPr>
              <w:spacing w:line="360" w:lineRule="auto"/>
              <w:rPr>
                <w:rFonts w:hint="eastAsia" w:ascii="仿宋" w:hAnsi="仿宋" w:eastAsia="仿宋" w:cs="Cambria Math"/>
                <w:color w:val="000000"/>
                <w:szCs w:val="21"/>
                <w:highlight w:val="none"/>
              </w:rPr>
            </w:pPr>
          </w:p>
        </w:tc>
        <w:tc>
          <w:tcPr>
            <w:tcW w:w="2495" w:type="dxa"/>
            <w:noWrap w:val="0"/>
            <w:vAlign w:val="top"/>
          </w:tcPr>
          <w:p w14:paraId="498024DE">
            <w:pPr>
              <w:spacing w:line="360" w:lineRule="auto"/>
              <w:rPr>
                <w:rFonts w:hint="eastAsia" w:ascii="仿宋" w:hAnsi="仿宋" w:eastAsia="仿宋" w:cs="Cambria Math"/>
                <w:color w:val="000000"/>
                <w:szCs w:val="21"/>
                <w:highlight w:val="none"/>
              </w:rPr>
            </w:pPr>
          </w:p>
        </w:tc>
        <w:tc>
          <w:tcPr>
            <w:tcW w:w="2704" w:type="dxa"/>
            <w:noWrap w:val="0"/>
            <w:vAlign w:val="top"/>
          </w:tcPr>
          <w:p w14:paraId="44E2F4B1">
            <w:pPr>
              <w:spacing w:line="360" w:lineRule="auto"/>
              <w:rPr>
                <w:rFonts w:hint="eastAsia" w:ascii="仿宋" w:hAnsi="仿宋" w:eastAsia="仿宋" w:cs="Cambria Math"/>
                <w:color w:val="000000"/>
                <w:szCs w:val="21"/>
                <w:highlight w:val="none"/>
              </w:rPr>
            </w:pPr>
          </w:p>
        </w:tc>
        <w:tc>
          <w:tcPr>
            <w:tcW w:w="1408" w:type="dxa"/>
            <w:noWrap w:val="0"/>
            <w:vAlign w:val="top"/>
          </w:tcPr>
          <w:p w14:paraId="3245C7BA">
            <w:pPr>
              <w:spacing w:line="360" w:lineRule="auto"/>
              <w:rPr>
                <w:rFonts w:hint="eastAsia" w:ascii="仿宋" w:hAnsi="仿宋" w:eastAsia="仿宋" w:cs="Cambria Math"/>
                <w:color w:val="000000"/>
                <w:szCs w:val="21"/>
                <w:highlight w:val="none"/>
              </w:rPr>
            </w:pPr>
          </w:p>
        </w:tc>
      </w:tr>
      <w:tr w14:paraId="0D14993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1A9413A0">
            <w:pPr>
              <w:spacing w:line="360" w:lineRule="auto"/>
              <w:rPr>
                <w:rFonts w:hint="eastAsia" w:ascii="仿宋" w:hAnsi="仿宋" w:eastAsia="仿宋" w:cs="Cambria Math"/>
                <w:color w:val="000000"/>
                <w:szCs w:val="21"/>
                <w:highlight w:val="none"/>
              </w:rPr>
            </w:pPr>
          </w:p>
        </w:tc>
        <w:tc>
          <w:tcPr>
            <w:tcW w:w="2285" w:type="dxa"/>
            <w:noWrap w:val="0"/>
            <w:vAlign w:val="top"/>
          </w:tcPr>
          <w:p w14:paraId="7B74F8CC">
            <w:pPr>
              <w:spacing w:line="360" w:lineRule="auto"/>
              <w:rPr>
                <w:rFonts w:hint="eastAsia" w:ascii="仿宋" w:hAnsi="仿宋" w:eastAsia="仿宋" w:cs="Cambria Math"/>
                <w:color w:val="000000"/>
                <w:szCs w:val="21"/>
                <w:highlight w:val="none"/>
              </w:rPr>
            </w:pPr>
          </w:p>
        </w:tc>
        <w:tc>
          <w:tcPr>
            <w:tcW w:w="2495" w:type="dxa"/>
            <w:noWrap w:val="0"/>
            <w:vAlign w:val="top"/>
          </w:tcPr>
          <w:p w14:paraId="7959761F">
            <w:pPr>
              <w:spacing w:line="360" w:lineRule="auto"/>
              <w:rPr>
                <w:rFonts w:hint="eastAsia" w:ascii="仿宋" w:hAnsi="仿宋" w:eastAsia="仿宋" w:cs="Cambria Math"/>
                <w:color w:val="000000"/>
                <w:szCs w:val="21"/>
                <w:highlight w:val="none"/>
              </w:rPr>
            </w:pPr>
          </w:p>
        </w:tc>
        <w:tc>
          <w:tcPr>
            <w:tcW w:w="2704" w:type="dxa"/>
            <w:noWrap w:val="0"/>
            <w:vAlign w:val="top"/>
          </w:tcPr>
          <w:p w14:paraId="1410A438">
            <w:pPr>
              <w:spacing w:line="360" w:lineRule="auto"/>
              <w:rPr>
                <w:rFonts w:hint="eastAsia" w:ascii="仿宋" w:hAnsi="仿宋" w:eastAsia="仿宋" w:cs="Cambria Math"/>
                <w:color w:val="000000"/>
                <w:szCs w:val="21"/>
                <w:highlight w:val="none"/>
              </w:rPr>
            </w:pPr>
          </w:p>
        </w:tc>
        <w:tc>
          <w:tcPr>
            <w:tcW w:w="1408" w:type="dxa"/>
            <w:noWrap w:val="0"/>
            <w:vAlign w:val="top"/>
          </w:tcPr>
          <w:p w14:paraId="0C2F2A6C">
            <w:pPr>
              <w:spacing w:line="360" w:lineRule="auto"/>
              <w:rPr>
                <w:rFonts w:hint="eastAsia" w:ascii="仿宋" w:hAnsi="仿宋" w:eastAsia="仿宋" w:cs="Cambria Math"/>
                <w:color w:val="000000"/>
                <w:szCs w:val="21"/>
                <w:highlight w:val="none"/>
              </w:rPr>
            </w:pPr>
          </w:p>
        </w:tc>
      </w:tr>
      <w:tr w14:paraId="25A0CF4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14:paraId="0F78964C">
            <w:pPr>
              <w:spacing w:line="360" w:lineRule="auto"/>
              <w:rPr>
                <w:rFonts w:hint="eastAsia" w:ascii="仿宋" w:hAnsi="仿宋" w:eastAsia="仿宋" w:cs="Cambria Math"/>
                <w:color w:val="000000"/>
                <w:szCs w:val="21"/>
                <w:highlight w:val="none"/>
              </w:rPr>
            </w:pPr>
          </w:p>
        </w:tc>
        <w:tc>
          <w:tcPr>
            <w:tcW w:w="2285" w:type="dxa"/>
            <w:noWrap w:val="0"/>
            <w:vAlign w:val="top"/>
          </w:tcPr>
          <w:p w14:paraId="5952C6A2">
            <w:pPr>
              <w:spacing w:line="360" w:lineRule="auto"/>
              <w:rPr>
                <w:rFonts w:hint="eastAsia" w:ascii="仿宋" w:hAnsi="仿宋" w:eastAsia="仿宋" w:cs="Cambria Math"/>
                <w:color w:val="000000"/>
                <w:szCs w:val="21"/>
                <w:highlight w:val="none"/>
              </w:rPr>
            </w:pPr>
          </w:p>
        </w:tc>
        <w:tc>
          <w:tcPr>
            <w:tcW w:w="2495" w:type="dxa"/>
            <w:noWrap w:val="0"/>
            <w:vAlign w:val="top"/>
          </w:tcPr>
          <w:p w14:paraId="29CD0184">
            <w:pPr>
              <w:spacing w:line="360" w:lineRule="auto"/>
              <w:rPr>
                <w:rFonts w:hint="eastAsia" w:ascii="仿宋" w:hAnsi="仿宋" w:eastAsia="仿宋" w:cs="Cambria Math"/>
                <w:color w:val="000000"/>
                <w:szCs w:val="21"/>
                <w:highlight w:val="none"/>
              </w:rPr>
            </w:pPr>
          </w:p>
        </w:tc>
        <w:tc>
          <w:tcPr>
            <w:tcW w:w="2704" w:type="dxa"/>
            <w:noWrap w:val="0"/>
            <w:vAlign w:val="top"/>
          </w:tcPr>
          <w:p w14:paraId="69262528">
            <w:pPr>
              <w:spacing w:line="360" w:lineRule="auto"/>
              <w:rPr>
                <w:rFonts w:hint="eastAsia" w:ascii="仿宋" w:hAnsi="仿宋" w:eastAsia="仿宋" w:cs="Cambria Math"/>
                <w:color w:val="000000"/>
                <w:szCs w:val="21"/>
                <w:highlight w:val="none"/>
              </w:rPr>
            </w:pPr>
          </w:p>
        </w:tc>
        <w:tc>
          <w:tcPr>
            <w:tcW w:w="1408" w:type="dxa"/>
            <w:noWrap w:val="0"/>
            <w:vAlign w:val="top"/>
          </w:tcPr>
          <w:p w14:paraId="29F41C7F">
            <w:pPr>
              <w:spacing w:line="360" w:lineRule="auto"/>
              <w:rPr>
                <w:rFonts w:hint="eastAsia" w:ascii="仿宋" w:hAnsi="仿宋" w:eastAsia="仿宋" w:cs="Cambria Math"/>
                <w:color w:val="000000"/>
                <w:szCs w:val="21"/>
                <w:highlight w:val="none"/>
              </w:rPr>
            </w:pPr>
          </w:p>
        </w:tc>
      </w:tr>
    </w:tbl>
    <w:p w14:paraId="132670F5">
      <w:pPr>
        <w:spacing w:before="240" w:line="360" w:lineRule="auto"/>
        <w:ind w:left="480" w:hanging="480" w:hangingChars="200"/>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注：所有偏离必须在本表中列出，未在本偏离表中列出偏离，将视为供应商已完全接受竞争性磋商文件要求；</w:t>
      </w:r>
      <w:r>
        <w:rPr>
          <w:rFonts w:hint="eastAsia" w:ascii="仿宋" w:hAnsi="仿宋" w:eastAsia="仿宋" w:cs="Cambria Math"/>
          <w:b/>
          <w:bCs/>
          <w:color w:val="000000"/>
          <w:sz w:val="24"/>
          <w:highlight w:val="none"/>
        </w:rPr>
        <w:t>如全部满足，在偏离表中应答“全部满足”即可</w:t>
      </w:r>
      <w:r>
        <w:rPr>
          <w:rFonts w:hint="eastAsia" w:ascii="仿宋" w:hAnsi="仿宋" w:eastAsia="仿宋" w:cs="Cambria Math"/>
          <w:color w:val="000000"/>
          <w:sz w:val="24"/>
          <w:highlight w:val="none"/>
        </w:rPr>
        <w:t>。</w:t>
      </w:r>
    </w:p>
    <w:p w14:paraId="25688097">
      <w:pPr>
        <w:spacing w:line="600" w:lineRule="exact"/>
        <w:rPr>
          <w:rFonts w:hint="eastAsia" w:ascii="仿宋" w:hAnsi="仿宋" w:eastAsia="仿宋" w:cs="仿宋"/>
          <w:color w:val="000000"/>
          <w:szCs w:val="21"/>
          <w:highlight w:val="none"/>
        </w:rPr>
      </w:pPr>
    </w:p>
    <w:p w14:paraId="26ED3B07">
      <w:pPr>
        <w:spacing w:line="360" w:lineRule="auto"/>
        <w:ind w:firstLine="420"/>
        <w:jc w:val="right"/>
        <w:rPr>
          <w:rFonts w:ascii="仿宋" w:hAnsi="仿宋" w:eastAsia="仿宋" w:cs="仿宋"/>
          <w:color w:val="000000"/>
          <w:sz w:val="24"/>
          <w:highlight w:val="none"/>
        </w:rPr>
      </w:pPr>
    </w:p>
    <w:p w14:paraId="32E68A2F">
      <w:pPr>
        <w:spacing w:line="440" w:lineRule="exact"/>
        <w:ind w:firstLine="4080" w:firstLineChars="1700"/>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（盖章）</w:t>
      </w:r>
    </w:p>
    <w:p w14:paraId="23359A7B">
      <w:pPr>
        <w:spacing w:line="440" w:lineRule="exact"/>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日期：</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年</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月</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日</w:t>
      </w:r>
    </w:p>
    <w:p w14:paraId="484DE282">
      <w:pPr>
        <w:spacing w:line="360" w:lineRule="auto"/>
        <w:rPr>
          <w:rFonts w:hint="eastAsia" w:ascii="仿宋" w:hAnsi="仿宋" w:eastAsia="仿宋" w:cs="仿宋"/>
          <w:color w:val="000000"/>
          <w:highlight w:val="none"/>
          <w:u w:val="single"/>
        </w:rPr>
      </w:pPr>
    </w:p>
    <w:p w14:paraId="4F588D6F">
      <w:pPr>
        <w:pStyle w:val="5"/>
        <w:numPr>
          <w:ilvl w:val="0"/>
          <w:numId w:val="0"/>
        </w:numPr>
        <w:spacing w:before="0" w:after="0" w:line="360" w:lineRule="auto"/>
        <w:rPr>
          <w:rFonts w:hint="eastAsia" w:ascii="仿宋" w:hAnsi="仿宋" w:eastAsia="仿宋" w:cs="宋体"/>
          <w:color w:val="000000"/>
          <w:sz w:val="24"/>
          <w:highlight w:val="none"/>
        </w:rPr>
        <w:sectPr>
          <w:pgSz w:w="11906" w:h="16838"/>
          <w:pgMar w:top="1417" w:right="1134" w:bottom="1134" w:left="1134" w:header="851" w:footer="992" w:gutter="0"/>
          <w:cols w:space="720" w:num="1"/>
          <w:titlePg/>
          <w:docGrid w:type="lines" w:linePitch="312" w:charSpace="0"/>
        </w:sectPr>
      </w:pPr>
      <w:r>
        <w:rPr>
          <w:rFonts w:ascii="仿宋" w:hAnsi="仿宋" w:eastAsia="仿宋" w:cs="仿宋"/>
          <w:color w:val="000000"/>
          <w:sz w:val="24"/>
          <w:szCs w:val="24"/>
          <w:highlight w:val="none"/>
        </w:rPr>
        <w:br w:type="page"/>
      </w:r>
    </w:p>
    <w:p w14:paraId="67A05EBC">
      <w:pPr>
        <w:pStyle w:val="5"/>
        <w:numPr>
          <w:ilvl w:val="0"/>
          <w:numId w:val="0"/>
        </w:numPr>
        <w:spacing w:before="0" w:after="0" w:line="360" w:lineRule="auto"/>
        <w:rPr>
          <w:rFonts w:hint="eastAsia" w:ascii="仿宋" w:hAnsi="仿宋" w:eastAsia="仿宋" w:cs="仿宋"/>
          <w:color w:val="000000"/>
          <w:sz w:val="24"/>
          <w:szCs w:val="24"/>
          <w:highlight w:val="none"/>
        </w:rPr>
      </w:pPr>
      <w:bookmarkStart w:id="290" w:name="_Toc19177"/>
      <w:r>
        <w:rPr>
          <w:rFonts w:hint="eastAsia" w:ascii="仿宋" w:hAnsi="仿宋" w:eastAsia="仿宋" w:cs="仿宋"/>
          <w:color w:val="000000"/>
          <w:sz w:val="24"/>
          <w:szCs w:val="24"/>
          <w:highlight w:val="none"/>
        </w:rPr>
        <w:t>（</w:t>
      </w:r>
      <w:r>
        <w:rPr>
          <w:rFonts w:hint="eastAsia" w:ascii="仿宋" w:hAnsi="仿宋" w:eastAsia="仿宋" w:cs="仿宋"/>
          <w:color w:val="000000"/>
          <w:sz w:val="24"/>
          <w:szCs w:val="24"/>
          <w:highlight w:val="none"/>
          <w:lang w:val="en-US" w:eastAsia="zh-CN"/>
        </w:rPr>
        <w:t>七</w:t>
      </w:r>
      <w:r>
        <w:rPr>
          <w:rFonts w:hint="eastAsia" w:ascii="仿宋" w:hAnsi="仿宋" w:eastAsia="仿宋" w:cs="仿宋"/>
          <w:color w:val="000000"/>
          <w:sz w:val="24"/>
          <w:szCs w:val="24"/>
          <w:highlight w:val="none"/>
        </w:rPr>
        <w:t>）供应商行为准则承诺书</w:t>
      </w:r>
      <w:bookmarkEnd w:id="290"/>
    </w:p>
    <w:p w14:paraId="17AEA4E7">
      <w:pPr>
        <w:spacing w:line="240" w:lineRule="auto"/>
        <w:jc w:val="center"/>
        <w:rPr>
          <w:rFonts w:ascii="仿宋" w:hAnsi="仿宋" w:eastAsia="仿宋" w:cs="宋体"/>
          <w:b/>
          <w:bCs/>
          <w:color w:val="000000"/>
          <w:sz w:val="28"/>
          <w:szCs w:val="28"/>
          <w:highlight w:val="none"/>
        </w:rPr>
      </w:pPr>
      <w:bookmarkStart w:id="291" w:name="_Toc15599"/>
      <w:r>
        <w:rPr>
          <w:rFonts w:hint="eastAsia" w:ascii="仿宋" w:hAnsi="仿宋" w:eastAsia="仿宋" w:cs="宋体"/>
          <w:b/>
          <w:bCs/>
          <w:color w:val="000000"/>
          <w:sz w:val="28"/>
          <w:szCs w:val="28"/>
          <w:highlight w:val="none"/>
        </w:rPr>
        <w:t>供应商行为准则承诺书</w:t>
      </w:r>
    </w:p>
    <w:p w14:paraId="0D541B5D">
      <w:pPr>
        <w:spacing w:line="360" w:lineRule="auto"/>
        <w:ind w:firstLine="480" w:firstLineChars="200"/>
        <w:rPr>
          <w:rFonts w:hint="eastAsia" w:ascii="仿宋" w:hAnsi="仿宋" w:eastAsia="仿宋" w:cs="仿宋"/>
          <w:color w:val="000000"/>
          <w:sz w:val="24"/>
        </w:rPr>
      </w:pPr>
    </w:p>
    <w:p w14:paraId="3872A729">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14:paraId="272FAD23">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供应商经营业务时必须遵守所有适用的法律法规及相关政策等规定。如因违反任何适用的法律、法规而可能影响其按照本准则向中国人民保险提供产品及服务的能力时，应立即通知中国人民保险。</w:t>
      </w:r>
    </w:p>
    <w:p w14:paraId="01228DE1">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二、供应商应有道德地从事商业活动，坚持公平竞争原则，遵守其经营所在地及国家所有适用的反腐败法律、法规，不得有贿赂、腐败、恶意串通、恶意欺诈或其他损害中国人民保险利益的不良行为。</w:t>
      </w:r>
    </w:p>
    <w:p w14:paraId="4E06631C">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14:paraId="51BFCA5C">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14:paraId="52071602">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14:paraId="11BA0068">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14:paraId="06175322">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14:paraId="522B083A">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八、供应商承诺遵守中国人民保险有关采购管理和供应商管理的相关规定、履行相应义务。</w:t>
      </w:r>
    </w:p>
    <w:p w14:paraId="2A9E9D25">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九、供应商参与中国人民保险采购过程中，将认真阅读并理解邀请文件的内容，并保证严格保密文件内容，不泄露中国人民保险任何信息。</w:t>
      </w:r>
    </w:p>
    <w:p w14:paraId="12D2A279">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十、供应商保证所递交的投标文件、资格证明、产品资料、合同等文件内容的真实性、有效性；愿意承担虚构信息及伪造资格证明、合同等违背诚实信用原则导致的一切不利后果。</w:t>
      </w:r>
    </w:p>
    <w:p w14:paraId="021212F1">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十一、供应商承诺根据中国人民保险的要求提供供应产品的市场参考价格，并保证该数据的真实性与时效性；如提供不实或虚假数据的，自愿接受录入中国人民保险供应商诚信档案记录的不利后果。</w:t>
      </w:r>
    </w:p>
    <w:p w14:paraId="09EB579D">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十二、如果供应商（包括咨询顾问、董事、雇员、代理人和代表）违反或未履行本承诺下的任何规定、保证及陈述，将自愿对因违反或未履行承诺书的规定而对中国人民保险造成的直接损失进行赔偿。</w:t>
      </w:r>
    </w:p>
    <w:p w14:paraId="0AC26331">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十三、采购过程中涉及函件往来的，使用供应商以下地址及联系方式：</w:t>
      </w:r>
    </w:p>
    <w:p w14:paraId="09B53A38">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公司名称（全称、盖章）：________________</w:t>
      </w:r>
    </w:p>
    <w:p w14:paraId="32D3F0B8">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法定代表人（负责人）姓名、职务：__________________</w:t>
      </w:r>
    </w:p>
    <w:p w14:paraId="5882D891">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邮编：__________地址：__________________</w:t>
      </w:r>
    </w:p>
    <w:p w14:paraId="78FE7C84">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电话：__________传真：__________________</w:t>
      </w:r>
    </w:p>
    <w:p w14:paraId="365AA2CF">
      <w:pPr>
        <w:pStyle w:val="142"/>
        <w:spacing w:line="360" w:lineRule="auto"/>
        <w:ind w:firstLine="480"/>
        <w:jc w:val="both"/>
        <w:rPr>
          <w:rFonts w:hint="eastAsia" w:ascii="仿宋" w:hAnsi="仿宋" w:eastAsia="仿宋" w:cs="仿宋"/>
          <w:b w:val="0"/>
          <w:bCs/>
          <w:color w:val="000000"/>
          <w:sz w:val="24"/>
        </w:rPr>
      </w:pPr>
      <w:r>
        <w:rPr>
          <w:rFonts w:hint="eastAsia" w:ascii="仿宋" w:hAnsi="仿宋" w:eastAsia="仿宋" w:cs="仿宋"/>
          <w:b w:val="0"/>
          <w:bCs/>
          <w:color w:val="000000"/>
          <w:sz w:val="24"/>
        </w:rPr>
        <w:t>法定代表人（负责人）或授权代表签字：______________</w:t>
      </w:r>
    </w:p>
    <w:p w14:paraId="66A48B9A">
      <w:pPr>
        <w:pStyle w:val="5"/>
        <w:numPr>
          <w:ilvl w:val="0"/>
          <w:numId w:val="0"/>
        </w:numPr>
        <w:spacing w:before="0" w:after="0" w:line="360" w:lineRule="auto"/>
        <w:rPr>
          <w:rFonts w:ascii="仿宋" w:hAnsi="仿宋" w:cs="宋体"/>
          <w:color w:val="000000"/>
          <w:szCs w:val="24"/>
          <w:highlight w:val="none"/>
        </w:rPr>
      </w:pPr>
      <w:r>
        <w:rPr>
          <w:rFonts w:hint="eastAsia" w:ascii="仿宋" w:hAnsi="仿宋" w:eastAsia="仿宋" w:cs="仿宋"/>
          <w:color w:val="000000"/>
        </w:rPr>
        <w:br w:type="page"/>
      </w:r>
      <w:bookmarkStart w:id="292" w:name="_Toc23597"/>
      <w:r>
        <w:rPr>
          <w:rFonts w:hint="eastAsia" w:ascii="仿宋" w:hAnsi="仿宋" w:eastAsia="仿宋" w:cs="宋体"/>
          <w:bCs w:val="0"/>
          <w:color w:val="000000"/>
          <w:sz w:val="24"/>
          <w:szCs w:val="24"/>
          <w:highlight w:val="none"/>
        </w:rPr>
        <w:t>（</w:t>
      </w:r>
      <w:r>
        <w:rPr>
          <w:rFonts w:hint="eastAsia" w:ascii="仿宋" w:hAnsi="仿宋" w:eastAsia="仿宋" w:cs="宋体"/>
          <w:bCs w:val="0"/>
          <w:color w:val="000000"/>
          <w:sz w:val="24"/>
          <w:szCs w:val="24"/>
          <w:highlight w:val="none"/>
          <w:lang w:val="en-US" w:eastAsia="zh-CN"/>
        </w:rPr>
        <w:t>八</w:t>
      </w:r>
      <w:r>
        <w:rPr>
          <w:rFonts w:hint="eastAsia" w:ascii="仿宋" w:hAnsi="仿宋" w:eastAsia="仿宋" w:cs="宋体"/>
          <w:bCs w:val="0"/>
          <w:color w:val="000000"/>
          <w:sz w:val="24"/>
          <w:szCs w:val="24"/>
          <w:highlight w:val="none"/>
        </w:rPr>
        <w:t>）供应商廉洁诚信承诺书</w:t>
      </w:r>
      <w:bookmarkEnd w:id="291"/>
      <w:bookmarkEnd w:id="292"/>
    </w:p>
    <w:p w14:paraId="10287BAE">
      <w:pPr>
        <w:spacing w:line="600" w:lineRule="exact"/>
        <w:jc w:val="center"/>
        <w:rPr>
          <w:rFonts w:hint="eastAsia" w:ascii="仿宋" w:hAnsi="仿宋" w:eastAsia="仿宋" w:cs="宋体"/>
          <w:b/>
          <w:bCs/>
          <w:color w:val="000000"/>
          <w:sz w:val="28"/>
          <w:szCs w:val="28"/>
          <w:highlight w:val="none"/>
        </w:rPr>
      </w:pPr>
      <w:r>
        <w:rPr>
          <w:rFonts w:hint="eastAsia" w:ascii="仿宋" w:hAnsi="仿宋" w:eastAsia="仿宋" w:cs="宋体"/>
          <w:b/>
          <w:bCs/>
          <w:color w:val="000000"/>
          <w:sz w:val="28"/>
          <w:szCs w:val="28"/>
          <w:highlight w:val="none"/>
        </w:rPr>
        <w:t>供应商廉洁诚信承诺书</w:t>
      </w:r>
    </w:p>
    <w:p w14:paraId="42587E8C">
      <w:pPr>
        <w:spacing w:line="360" w:lineRule="auto"/>
        <w:ind w:firstLine="480" w:firstLineChars="200"/>
        <w:rPr>
          <w:rFonts w:hint="eastAsia" w:ascii="仿宋" w:hAnsi="仿宋" w:eastAsia="仿宋" w:cs="宋体"/>
          <w:color w:val="000000"/>
          <w:sz w:val="24"/>
        </w:rPr>
      </w:pPr>
    </w:p>
    <w:p w14:paraId="470827AD">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为维护公平竞争的市场秩序和公正透明的商业环境，保证与</w:t>
      </w:r>
      <w:r>
        <w:rPr>
          <w:rFonts w:hint="eastAsia" w:ascii="仿宋" w:hAnsi="仿宋" w:eastAsia="仿宋" w:cs="仿宋"/>
          <w:color w:val="000000"/>
          <w:sz w:val="24"/>
        </w:rPr>
        <w:t>中国人民保险集团公司、各子公司以及各级分支机构（以下简称“中国人民保险”）</w:t>
      </w:r>
      <w:r>
        <w:rPr>
          <w:rFonts w:hint="eastAsia" w:ascii="仿宋" w:hAnsi="仿宋" w:eastAsia="仿宋" w:cs="宋体"/>
          <w:color w:val="000000"/>
          <w:sz w:val="24"/>
        </w:rPr>
        <w:t>合作项目的顺利进行，我方作为参与</w:t>
      </w:r>
      <w:r>
        <w:rPr>
          <w:rFonts w:hint="eastAsia" w:ascii="仿宋" w:hAnsi="仿宋" w:eastAsia="仿宋" w:cs="仿宋"/>
          <w:color w:val="000000"/>
          <w:sz w:val="24"/>
        </w:rPr>
        <w:t>中国人民保险</w:t>
      </w:r>
      <w:r>
        <w:rPr>
          <w:rFonts w:hint="eastAsia" w:ascii="仿宋" w:hAnsi="仿宋" w:eastAsia="仿宋" w:cs="宋体"/>
          <w:color w:val="000000"/>
          <w:sz w:val="24"/>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sz w:val="24"/>
        </w:rPr>
        <w:t>中国人民保险</w:t>
      </w:r>
      <w:r>
        <w:rPr>
          <w:rFonts w:hint="eastAsia" w:ascii="仿宋" w:hAnsi="仿宋" w:eastAsia="仿宋" w:cs="宋体"/>
          <w:color w:val="000000"/>
          <w:sz w:val="24"/>
        </w:rPr>
        <w:t>的合作过程中郑重承诺如下：</w:t>
      </w:r>
    </w:p>
    <w:p w14:paraId="3FC2C0DD">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一、遵守法律法规承诺。我们将严格遵守《中华人民共和国反不正当竞争法》《关于禁止商业贿赂行为的暂行规定》等国家法律法规和</w:t>
      </w:r>
      <w:r>
        <w:rPr>
          <w:rFonts w:hint="eastAsia" w:ascii="仿宋" w:hAnsi="仿宋" w:eastAsia="仿宋" w:cs="仿宋"/>
          <w:color w:val="000000"/>
          <w:sz w:val="24"/>
        </w:rPr>
        <w:t>中国人民保险</w:t>
      </w:r>
      <w:r>
        <w:rPr>
          <w:rFonts w:hint="eastAsia" w:ascii="仿宋" w:hAnsi="仿宋" w:eastAsia="仿宋" w:cs="宋体"/>
          <w:color w:val="000000"/>
          <w:sz w:val="24"/>
        </w:rPr>
        <w:t>采购管理、供应商管理相关制度要求，坚决不从事任何违法违规违纪行为。</w:t>
      </w:r>
    </w:p>
    <w:p w14:paraId="67B062DF">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二、避免利害关系承诺。我们将在采购过程中主动申报与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及相关主体的关联及利害关系，包括我们的相关主体与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及相关主体的关联及利害关系，避免任何可能影响公平竞争的关系或利益冲突，主动披露任何可能影响采购决策的利益关系，并采取必要的措施确保采购过程的公正性。</w:t>
      </w:r>
    </w:p>
    <w:p w14:paraId="0800EEAD">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14:paraId="3790B800">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三、廉洁自律承诺。我们坚决不以任何形式为获取或意图获取交易机会、竞争优势或谋取不正当利益而向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或相关主体实施商业贿赂或营私舞弊行为，包括但不限于：</w:t>
      </w:r>
    </w:p>
    <w:p w14:paraId="6DC3AF7B">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（1）以任何方式实施商业贿赂或违规提供金钱、实物、回扣、折扣、宴请与游玩活动或其他不正当利益；</w:t>
      </w:r>
    </w:p>
    <w:p w14:paraId="1F7E7510">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（2）为其安排有可能影响公平、公正交易的宴请、健身、娱乐等活动；</w:t>
      </w:r>
    </w:p>
    <w:p w14:paraId="181156A3">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（3）为其投资入股、个人借款或买卖股票、债券等提供方便；</w:t>
      </w:r>
    </w:p>
    <w:p w14:paraId="4E473259">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（4）为其购买或装修住房、婚丧嫁娶、配偶子女上学或工作安排以及出国出境、旅游等提供方便；</w:t>
      </w:r>
    </w:p>
    <w:p w14:paraId="56BB8351">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（5）违反规定为其在我方相关企业工作、挂名兼职、合伙经营、介绍承揽业务等提供方便；</w:t>
      </w:r>
    </w:p>
    <w:p w14:paraId="537C4F33">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（6）向其提供借款、融资、担保等；</w:t>
      </w:r>
    </w:p>
    <w:p w14:paraId="713B6D6A">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（7）给予或承诺给予其不正当利益的其他行为；</w:t>
      </w:r>
    </w:p>
    <w:p w14:paraId="50D72637">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（8）其他违反国家法律法规或商业道德准则的影响公正交易的行为。</w:t>
      </w:r>
    </w:p>
    <w:p w14:paraId="4FF478A2">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我们也不会以任何方式向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或相关主体索要金钱、实物等不正当利益，或收受中国人保或相关主体给予的金钱、实物等不正当利益。</w:t>
      </w:r>
    </w:p>
    <w:p w14:paraId="32219FCD">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四、诚实信用承诺。我们坚决不进行任何违背诚实信用原则的行为，包括但不限于：</w:t>
      </w:r>
    </w:p>
    <w:p w14:paraId="6F280D26">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出借、转让资质证书；</w:t>
      </w:r>
    </w:p>
    <w:p w14:paraId="4ECF5C45">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伙同他人串标、围标或非法排挤竞争对手；</w:t>
      </w:r>
    </w:p>
    <w:p w14:paraId="7525FCA6">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在采购活动中提供虚假资料，以他人名义参与或者以其他方式弄虚作假，夸大自身技术和提供服务的能力，损害贵方合法权益；</w:t>
      </w:r>
    </w:p>
    <w:p w14:paraId="0EDC12BC">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（4）隐瞒任何可能对贵方利益造成影响的信息，不配合贵方的审计。</w:t>
      </w:r>
    </w:p>
    <w:p w14:paraId="2A06E096">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14:paraId="34D8E260">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六、加强内部管理承诺。为了实现以上承诺要求，我们将积极配合采取以下措施，不断加强自身内部管理：</w:t>
      </w:r>
    </w:p>
    <w:p w14:paraId="0EF79D9D">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（1）廉洁教育培训：加强对员工的廉洁教育和培训，提高员工的道德素质和法律意识，建立健全内部管理制度，确保员工行为的合规性和廉洁性；</w:t>
      </w:r>
    </w:p>
    <w:p w14:paraId="6B0FBAF4">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（2）设立监督机制：通过专门的监督机构或人员，对我方的业务活动进行实时监督，确保员工行为的合规性；</w:t>
      </w:r>
    </w:p>
    <w:p w14:paraId="7DA257FB">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（3）建立举报制度：鼓励员工积极举报违规行为，对举报人予以保护并给予奖励。</w:t>
      </w:r>
    </w:p>
    <w:p w14:paraId="3A75AB98">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七、配合监督承诺。我们将积极配合</w:t>
      </w:r>
      <w:r>
        <w:rPr>
          <w:rFonts w:hint="eastAsia" w:ascii="仿宋" w:hAnsi="仿宋" w:eastAsia="仿宋" w:cs="仿宋"/>
          <w:color w:val="000000"/>
          <w:sz w:val="24"/>
        </w:rPr>
        <w:t>中国人民保险</w:t>
      </w:r>
      <w:r>
        <w:rPr>
          <w:rFonts w:hint="eastAsia" w:ascii="仿宋" w:hAnsi="仿宋" w:eastAsia="仿宋" w:cs="宋体"/>
          <w:color w:val="000000"/>
          <w:sz w:val="24"/>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14:paraId="56B2E36F">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八、如违反上述承诺，我方自愿承担以下法律责任：</w:t>
      </w:r>
    </w:p>
    <w:p w14:paraId="47FF523C">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有权依据其采购管理、供应商管理和采购文件相关要求，对我方进行严肃处理，相关处罚结果记入供应商诚信档案；</w:t>
      </w:r>
    </w:p>
    <w:p w14:paraId="0CCFE974">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及其子公司等所有关联主体有权限制或取消我方在</w:t>
      </w:r>
      <w:r>
        <w:rPr>
          <w:rFonts w:hint="eastAsia" w:ascii="仿宋" w:hAnsi="仿宋" w:eastAsia="仿宋" w:cs="仿宋"/>
          <w:color w:val="000000"/>
          <w:sz w:val="24"/>
        </w:rPr>
        <w:t>中国人民保险</w:t>
      </w:r>
      <w:r>
        <w:rPr>
          <w:rFonts w:hint="eastAsia" w:ascii="仿宋" w:hAnsi="仿宋" w:eastAsia="仿宋" w:cs="宋体"/>
          <w:color w:val="000000"/>
          <w:sz w:val="24"/>
        </w:rPr>
        <w:t>参与</w:t>
      </w:r>
      <w:r>
        <w:rPr>
          <w:rFonts w:hint="eastAsia" w:ascii="仿宋" w:hAnsi="仿宋" w:eastAsia="仿宋" w:cs="宋体"/>
          <w:color w:val="000000"/>
          <w:sz w:val="24"/>
          <w:lang w:val="en-US" w:eastAsia="zh-CN"/>
        </w:rPr>
        <w:t>采购</w:t>
      </w:r>
      <w:r>
        <w:rPr>
          <w:rFonts w:hint="eastAsia" w:ascii="仿宋" w:hAnsi="仿宋" w:eastAsia="仿宋" w:cs="宋体"/>
          <w:color w:val="000000"/>
          <w:sz w:val="24"/>
        </w:rPr>
        <w:t>项目的资格；</w:t>
      </w:r>
    </w:p>
    <w:p w14:paraId="6107894B">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及其子公司等所有关联主体有权选择单方全面终止与我方的合同及合作而无需承担任何责任；</w:t>
      </w:r>
    </w:p>
    <w:p w14:paraId="55D3A69A">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（4）如我方及我方工作人员违反本承诺书承诺，除承担前述（1）（2）（3）项责任外，</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及其子公司等所有关联主体有权扣除我方缴纳的投标保证金，投标保证金不足以弥补损失的，还有权要求我方承担相应的赔偿责任。</w:t>
      </w:r>
    </w:p>
    <w:p w14:paraId="74A1A73C">
      <w:pPr>
        <w:spacing w:line="360" w:lineRule="auto"/>
        <w:ind w:firstLine="480" w:firstLineChars="200"/>
        <w:rPr>
          <w:rFonts w:hint="eastAsia" w:ascii="仿宋" w:hAnsi="仿宋" w:eastAsia="仿宋" w:cs="宋体"/>
          <w:color w:val="000000"/>
          <w:sz w:val="24"/>
        </w:rPr>
      </w:pPr>
    </w:p>
    <w:p w14:paraId="0CAF62B9">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本承诺书自承诺方签字和盖章之日起生效。如我方成功中选</w:t>
      </w:r>
      <w:r>
        <w:rPr>
          <w:rFonts w:hint="eastAsia" w:ascii="仿宋" w:hAnsi="仿宋" w:eastAsia="仿宋" w:cs="仿宋"/>
          <w:color w:val="000000"/>
          <w:sz w:val="24"/>
        </w:rPr>
        <w:t>中国人民保险</w:t>
      </w:r>
      <w:r>
        <w:rPr>
          <w:rFonts w:hint="eastAsia" w:ascii="仿宋" w:hAnsi="仿宋" w:eastAsia="仿宋" w:cs="宋体"/>
          <w:color w:val="000000"/>
          <w:sz w:val="24"/>
        </w:rPr>
        <w:t>采购项目，将按中国人民保险管理要求签署廉洁诚信协议作为采购合同附件，并严格遵守协议相关条款。</w:t>
      </w:r>
    </w:p>
    <w:p w14:paraId="311EF73A">
      <w:pPr>
        <w:spacing w:line="360" w:lineRule="auto"/>
        <w:ind w:firstLine="480" w:firstLineChars="200"/>
        <w:rPr>
          <w:rFonts w:hint="eastAsia" w:ascii="仿宋" w:hAnsi="仿宋" w:eastAsia="仿宋" w:cs="宋体"/>
          <w:color w:val="000000"/>
          <w:sz w:val="24"/>
        </w:rPr>
      </w:pPr>
    </w:p>
    <w:p w14:paraId="5B96B27E">
      <w:pPr>
        <w:tabs>
          <w:tab w:val="left" w:pos="458"/>
        </w:tabs>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公司名称（全称、盖章）：________________</w:t>
      </w:r>
    </w:p>
    <w:p w14:paraId="3947E23D">
      <w:pPr>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法定代表人姓名、职务：__________________</w:t>
      </w:r>
    </w:p>
    <w:p w14:paraId="65B90D85">
      <w:pPr>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法定代表人或授权代表签字：______________</w:t>
      </w:r>
    </w:p>
    <w:p w14:paraId="739E8012">
      <w:pPr>
        <w:spacing w:line="360" w:lineRule="auto"/>
        <w:ind w:firstLine="3578" w:firstLineChars="1491"/>
        <w:rPr>
          <w:rFonts w:ascii="仿宋" w:hAnsi="仿宋" w:eastAsia="仿宋" w:cs="仿宋"/>
          <w:color w:val="000000"/>
          <w:sz w:val="24"/>
          <w:szCs w:val="24"/>
          <w:highlight w:val="none"/>
        </w:rPr>
      </w:pPr>
      <w:r>
        <w:rPr>
          <w:rFonts w:hint="eastAsia" w:ascii="仿宋" w:hAnsi="仿宋" w:eastAsia="仿宋" w:cs="仿宋"/>
          <w:b w:val="0"/>
          <w:bCs w:val="0"/>
          <w:color w:val="000000"/>
          <w:kern w:val="2"/>
          <w:sz w:val="24"/>
          <w:szCs w:val="24"/>
          <w:lang w:val="en-US" w:eastAsia="zh-CN" w:bidi="ar-SA"/>
        </w:rPr>
        <w:t>日期：__________________________________</w:t>
      </w:r>
      <w:r>
        <w:rPr>
          <w:rFonts w:hint="eastAsia" w:ascii="仿宋" w:hAnsi="仿宋" w:eastAsia="仿宋" w:cs="仿宋"/>
          <w:color w:val="000000"/>
          <w:highlight w:val="none"/>
        </w:rPr>
        <w:br w:type="page"/>
      </w:r>
      <w:r>
        <w:rPr>
          <w:rStyle w:val="59"/>
          <w:rFonts w:hint="eastAsia" w:ascii="仿宋" w:hAnsi="仿宋" w:eastAsia="仿宋" w:cs="仿宋"/>
          <w:sz w:val="24"/>
          <w:szCs w:val="24"/>
        </w:rPr>
        <w:t>（</w:t>
      </w:r>
      <w:r>
        <w:rPr>
          <w:rStyle w:val="59"/>
          <w:rFonts w:hint="eastAsia" w:ascii="仿宋" w:hAnsi="仿宋" w:eastAsia="仿宋" w:cs="仿宋"/>
          <w:sz w:val="24"/>
          <w:szCs w:val="24"/>
          <w:lang w:val="en-US" w:eastAsia="zh-CN"/>
        </w:rPr>
        <w:t>九</w:t>
      </w:r>
      <w:r>
        <w:rPr>
          <w:rStyle w:val="59"/>
          <w:rFonts w:hint="eastAsia" w:ascii="仿宋" w:hAnsi="仿宋" w:eastAsia="仿宋" w:cs="仿宋"/>
          <w:sz w:val="24"/>
          <w:szCs w:val="24"/>
        </w:rPr>
        <w:t>）其他材料</w:t>
      </w:r>
    </w:p>
    <w:p w14:paraId="5D101BD9">
      <w:pPr>
        <w:spacing w:line="360" w:lineRule="auto"/>
        <w:rPr>
          <w:rFonts w:hint="eastAsia" w:ascii="宋体" w:hAnsi="宋体"/>
          <w:kern w:val="0"/>
          <w:szCs w:val="21"/>
          <w:highlight w:val="none"/>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Cambria Math"/>
          <w:color w:val="000000"/>
          <w:sz w:val="24"/>
          <w:highlight w:val="none"/>
        </w:rPr>
        <w:t>供应商</w:t>
      </w:r>
      <w:r>
        <w:rPr>
          <w:rFonts w:ascii="仿宋" w:hAnsi="仿宋" w:eastAsia="仿宋" w:cs="Cambria Math"/>
          <w:color w:val="000000"/>
          <w:sz w:val="24"/>
          <w:highlight w:val="none"/>
        </w:rPr>
        <w:t>认为需提供的其他材料</w:t>
      </w:r>
      <w:r>
        <w:rPr>
          <w:rFonts w:hint="eastAsia" w:ascii="仿宋" w:hAnsi="仿宋" w:eastAsia="仿宋" w:cs="Cambria Math"/>
          <w:color w:val="000000"/>
          <w:sz w:val="24"/>
          <w:highlight w:val="none"/>
        </w:rPr>
        <w:t>。</w:t>
      </w:r>
    </w:p>
    <w:bookmarkEnd w:id="281"/>
    <w:p w14:paraId="7F632163">
      <w:pPr>
        <w:pStyle w:val="4"/>
        <w:ind w:firstLine="0" w:firstLineChars="0"/>
        <w:jc w:val="both"/>
        <w:rPr>
          <w:rFonts w:hint="eastAsia" w:ascii="仿宋" w:hAnsi="仿宋" w:eastAsia="仿宋" w:cs="仿宋"/>
          <w:color w:val="000000"/>
          <w:sz w:val="24"/>
          <w:szCs w:val="24"/>
          <w:highlight w:val="none"/>
        </w:rPr>
      </w:pPr>
      <w:bookmarkStart w:id="293" w:name="_Toc12825"/>
      <w:r>
        <w:rPr>
          <w:rFonts w:hint="eastAsia" w:ascii="仿宋" w:hAnsi="仿宋" w:eastAsia="仿宋" w:cs="仿宋"/>
          <w:color w:val="000000"/>
          <w:sz w:val="24"/>
          <w:szCs w:val="24"/>
          <w:highlight w:val="none"/>
        </w:rPr>
        <w:t>二、技术文件</w:t>
      </w:r>
      <w:bookmarkEnd w:id="282"/>
      <w:bookmarkEnd w:id="293"/>
    </w:p>
    <w:bookmarkEnd w:id="283"/>
    <w:bookmarkEnd w:id="284"/>
    <w:p w14:paraId="45C2A0F0">
      <w:pPr>
        <w:bidi w:val="0"/>
        <w:jc w:val="center"/>
        <w:rPr>
          <w:rFonts w:hint="eastAsia" w:ascii="仿宋" w:hAnsi="仿宋" w:eastAsia="仿宋" w:cs="仿宋"/>
          <w:b/>
          <w:bCs/>
          <w:sz w:val="24"/>
          <w:szCs w:val="24"/>
        </w:rPr>
      </w:pPr>
      <w:bookmarkStart w:id="294" w:name="_Toc30870"/>
      <w:bookmarkStart w:id="295" w:name="_Toc23108"/>
      <w:r>
        <w:rPr>
          <w:rFonts w:hint="eastAsia" w:ascii="仿宋" w:hAnsi="仿宋" w:eastAsia="仿宋" w:cs="仿宋"/>
          <w:b/>
          <w:bCs/>
          <w:sz w:val="24"/>
          <w:szCs w:val="24"/>
        </w:rPr>
        <w:t>详细评审索引表</w:t>
      </w:r>
      <w:bookmarkEnd w:id="294"/>
      <w:r>
        <w:rPr>
          <w:rFonts w:hint="eastAsia" w:ascii="仿宋" w:hAnsi="仿宋" w:eastAsia="仿宋" w:cs="仿宋"/>
          <w:b w:val="0"/>
          <w:bCs w:val="0"/>
          <w:color w:val="FF0000"/>
          <w:sz w:val="24"/>
          <w:szCs w:val="24"/>
          <w:highlight w:val="none"/>
        </w:rPr>
        <w:t>（可以根据项目实际情况选择是否设置）</w:t>
      </w:r>
    </w:p>
    <w:tbl>
      <w:tblPr>
        <w:tblStyle w:val="41"/>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9"/>
        <w:gridCol w:w="1696"/>
        <w:gridCol w:w="2268"/>
        <w:gridCol w:w="4820"/>
      </w:tblGrid>
      <w:tr w14:paraId="102CAA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729" w:type="dxa"/>
            <w:noWrap w:val="0"/>
            <w:tcMar>
              <w:top w:w="15" w:type="dxa"/>
              <w:left w:w="15" w:type="dxa"/>
              <w:right w:w="15" w:type="dxa"/>
            </w:tcMar>
            <w:vAlign w:val="center"/>
          </w:tcPr>
          <w:p w14:paraId="1050E880">
            <w:pPr>
              <w:widowControl/>
              <w:jc w:val="center"/>
              <w:textAlignment w:val="center"/>
              <w:rPr>
                <w:rFonts w:hint="eastAsia" w:ascii="仿宋" w:hAnsi="仿宋" w:eastAsia="仿宋" w:cs="宋体"/>
                <w:b/>
                <w:color w:val="000000"/>
                <w:szCs w:val="21"/>
                <w:highlight w:val="none"/>
              </w:rPr>
            </w:pPr>
            <w:r>
              <w:rPr>
                <w:rFonts w:hint="eastAsia" w:ascii="仿宋" w:hAnsi="仿宋" w:eastAsia="仿宋" w:cs="宋体"/>
                <w:b/>
                <w:color w:val="000000"/>
                <w:kern w:val="0"/>
                <w:szCs w:val="21"/>
                <w:highlight w:val="none"/>
                <w:lang w:bidi="ar"/>
              </w:rPr>
              <w:t>序号</w:t>
            </w:r>
          </w:p>
        </w:tc>
        <w:tc>
          <w:tcPr>
            <w:tcW w:w="1696" w:type="dxa"/>
            <w:noWrap w:val="0"/>
            <w:tcMar>
              <w:top w:w="15" w:type="dxa"/>
              <w:left w:w="15" w:type="dxa"/>
              <w:right w:w="15" w:type="dxa"/>
            </w:tcMar>
            <w:vAlign w:val="center"/>
          </w:tcPr>
          <w:p w14:paraId="38F09A98">
            <w:pPr>
              <w:jc w:val="center"/>
              <w:rPr>
                <w:rFonts w:hint="eastAsia" w:ascii="仿宋" w:hAnsi="仿宋" w:eastAsia="仿宋" w:cs="宋体"/>
                <w:b/>
                <w:color w:val="000000"/>
                <w:kern w:val="0"/>
                <w:szCs w:val="21"/>
                <w:highlight w:val="none"/>
                <w:lang w:bidi="ar"/>
              </w:rPr>
            </w:pPr>
            <w:r>
              <w:rPr>
                <w:rFonts w:hint="eastAsia" w:ascii="仿宋" w:hAnsi="仿宋" w:eastAsia="仿宋" w:cs="宋体"/>
                <w:b/>
                <w:bCs/>
                <w:color w:val="000000"/>
                <w:szCs w:val="21"/>
                <w:highlight w:val="none"/>
              </w:rPr>
              <w:t>评审项</w:t>
            </w:r>
          </w:p>
        </w:tc>
        <w:tc>
          <w:tcPr>
            <w:tcW w:w="2268" w:type="dxa"/>
            <w:noWrap w:val="0"/>
            <w:vAlign w:val="top"/>
          </w:tcPr>
          <w:p w14:paraId="56CB3904">
            <w:pPr>
              <w:widowControl/>
              <w:jc w:val="center"/>
              <w:rPr>
                <w:rFonts w:hint="eastAsia" w:ascii="仿宋" w:hAnsi="仿宋" w:eastAsia="仿宋" w:cs="宋体"/>
                <w:b/>
                <w:color w:val="000000"/>
                <w:kern w:val="0"/>
                <w:szCs w:val="21"/>
                <w:highlight w:val="none"/>
              </w:rPr>
            </w:pPr>
            <w:r>
              <w:rPr>
                <w:rFonts w:hint="eastAsia" w:ascii="仿宋" w:hAnsi="仿宋" w:eastAsia="仿宋" w:cs="宋体"/>
                <w:b/>
                <w:color w:val="000000"/>
                <w:kern w:val="0"/>
                <w:szCs w:val="21"/>
                <w:highlight w:val="none"/>
                <w:lang w:bidi="ar"/>
              </w:rPr>
              <w:t>评审因素</w:t>
            </w:r>
          </w:p>
        </w:tc>
        <w:tc>
          <w:tcPr>
            <w:tcW w:w="4820" w:type="dxa"/>
            <w:noWrap w:val="0"/>
            <w:tcMar>
              <w:top w:w="15" w:type="dxa"/>
              <w:left w:w="15" w:type="dxa"/>
              <w:right w:w="15" w:type="dxa"/>
            </w:tcMar>
            <w:vAlign w:val="center"/>
          </w:tcPr>
          <w:p w14:paraId="0B1EF1EB">
            <w:pPr>
              <w:widowControl/>
              <w:jc w:val="center"/>
              <w:rPr>
                <w:rFonts w:hint="eastAsia" w:ascii="仿宋" w:hAnsi="仿宋" w:eastAsia="仿宋" w:cs="宋体"/>
                <w:b/>
                <w:color w:val="000000"/>
                <w:kern w:val="0"/>
                <w:szCs w:val="21"/>
                <w:highlight w:val="none"/>
              </w:rPr>
            </w:pPr>
            <w:r>
              <w:rPr>
                <w:rFonts w:hint="eastAsia" w:ascii="仿宋" w:hAnsi="仿宋" w:eastAsia="仿宋" w:cs="宋体"/>
                <w:b/>
                <w:color w:val="000000"/>
                <w:kern w:val="0"/>
                <w:szCs w:val="21"/>
                <w:highlight w:val="none"/>
              </w:rPr>
              <w:t>页码范围及说明</w:t>
            </w:r>
          </w:p>
        </w:tc>
      </w:tr>
      <w:tr w14:paraId="03A5E8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noWrap w:val="0"/>
            <w:tcMar>
              <w:top w:w="15" w:type="dxa"/>
              <w:left w:w="15" w:type="dxa"/>
              <w:right w:w="15" w:type="dxa"/>
            </w:tcMar>
            <w:vAlign w:val="center"/>
          </w:tcPr>
          <w:p w14:paraId="414B87D6">
            <w:pPr>
              <w:widowControl/>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kern w:val="0"/>
                <w:szCs w:val="21"/>
                <w:highlight w:val="none"/>
                <w:lang w:bidi="ar"/>
              </w:rPr>
              <w:t>3</w:t>
            </w:r>
          </w:p>
        </w:tc>
        <w:tc>
          <w:tcPr>
            <w:tcW w:w="1696" w:type="dxa"/>
            <w:vMerge w:val="restart"/>
            <w:noWrap w:val="0"/>
            <w:tcMar>
              <w:top w:w="15" w:type="dxa"/>
              <w:left w:w="15" w:type="dxa"/>
              <w:right w:w="15" w:type="dxa"/>
            </w:tcMar>
            <w:vAlign w:val="center"/>
          </w:tcPr>
          <w:p w14:paraId="07F37756">
            <w:pPr>
              <w:widowControl/>
              <w:jc w:val="center"/>
              <w:textAlignment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技术得分</w:t>
            </w:r>
          </w:p>
          <w:p w14:paraId="6C74F97B">
            <w:pPr>
              <w:widowControl/>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szCs w:val="21"/>
                <w:highlight w:val="none"/>
              </w:rPr>
              <w:t>（XX分）</w:t>
            </w:r>
          </w:p>
        </w:tc>
        <w:tc>
          <w:tcPr>
            <w:tcW w:w="2268" w:type="dxa"/>
            <w:noWrap w:val="0"/>
            <w:vAlign w:val="center"/>
          </w:tcPr>
          <w:p w14:paraId="68AE80D8">
            <w:pPr>
              <w:jc w:val="center"/>
              <w:rPr>
                <w:rFonts w:hint="eastAsia" w:ascii="仿宋" w:hAnsi="仿宋" w:eastAsia="仿宋" w:cs="宋体"/>
                <w:color w:val="000000"/>
                <w:szCs w:val="21"/>
                <w:highlight w:val="none"/>
              </w:rPr>
            </w:pPr>
          </w:p>
        </w:tc>
        <w:tc>
          <w:tcPr>
            <w:tcW w:w="4820" w:type="dxa"/>
            <w:noWrap w:val="0"/>
            <w:tcMar>
              <w:top w:w="15" w:type="dxa"/>
              <w:left w:w="15" w:type="dxa"/>
              <w:right w:w="15" w:type="dxa"/>
            </w:tcMar>
            <w:vAlign w:val="center"/>
          </w:tcPr>
          <w:p w14:paraId="5071EE09">
            <w:pPr>
              <w:rPr>
                <w:rStyle w:val="118"/>
                <w:rFonts w:hint="default" w:cs="宋体"/>
                <w:color w:val="000000"/>
                <w:highlight w:val="none"/>
                <w:lang w:bidi="ar"/>
              </w:rPr>
            </w:pPr>
          </w:p>
        </w:tc>
      </w:tr>
      <w:tr w14:paraId="60DF05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noWrap w:val="0"/>
            <w:tcMar>
              <w:top w:w="15" w:type="dxa"/>
              <w:left w:w="15" w:type="dxa"/>
              <w:right w:w="15" w:type="dxa"/>
            </w:tcMar>
            <w:vAlign w:val="center"/>
          </w:tcPr>
          <w:p w14:paraId="2F67A56E">
            <w:pPr>
              <w:widowControl/>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kern w:val="0"/>
                <w:szCs w:val="21"/>
                <w:highlight w:val="none"/>
                <w:lang w:bidi="ar"/>
              </w:rPr>
              <w:t>4</w:t>
            </w:r>
          </w:p>
        </w:tc>
        <w:tc>
          <w:tcPr>
            <w:tcW w:w="1696" w:type="dxa"/>
            <w:vMerge w:val="continue"/>
            <w:noWrap w:val="0"/>
            <w:tcMar>
              <w:top w:w="15" w:type="dxa"/>
              <w:left w:w="15" w:type="dxa"/>
              <w:right w:w="15" w:type="dxa"/>
            </w:tcMar>
            <w:vAlign w:val="center"/>
          </w:tcPr>
          <w:p w14:paraId="5B6A1F3D">
            <w:pPr>
              <w:widowControl/>
              <w:jc w:val="center"/>
              <w:textAlignment w:val="center"/>
              <w:rPr>
                <w:rFonts w:hint="eastAsia" w:ascii="仿宋" w:hAnsi="仿宋" w:eastAsia="仿宋" w:cs="宋体"/>
                <w:color w:val="000000"/>
                <w:szCs w:val="21"/>
                <w:highlight w:val="none"/>
              </w:rPr>
            </w:pPr>
          </w:p>
        </w:tc>
        <w:tc>
          <w:tcPr>
            <w:tcW w:w="2268" w:type="dxa"/>
            <w:noWrap w:val="0"/>
            <w:vAlign w:val="center"/>
          </w:tcPr>
          <w:p w14:paraId="2EA4AC1A">
            <w:pPr>
              <w:widowControl/>
              <w:jc w:val="center"/>
              <w:textAlignment w:val="center"/>
              <w:rPr>
                <w:rFonts w:hint="eastAsia" w:ascii="仿宋" w:hAnsi="仿宋" w:eastAsia="仿宋" w:cs="宋体"/>
                <w:color w:val="000000"/>
                <w:szCs w:val="21"/>
                <w:highlight w:val="none"/>
              </w:rPr>
            </w:pPr>
          </w:p>
        </w:tc>
        <w:tc>
          <w:tcPr>
            <w:tcW w:w="4820" w:type="dxa"/>
            <w:noWrap w:val="0"/>
            <w:tcMar>
              <w:top w:w="15" w:type="dxa"/>
              <w:left w:w="15" w:type="dxa"/>
              <w:right w:w="15" w:type="dxa"/>
            </w:tcMar>
            <w:vAlign w:val="center"/>
          </w:tcPr>
          <w:p w14:paraId="5241463D">
            <w:pPr>
              <w:rPr>
                <w:rStyle w:val="118"/>
                <w:rFonts w:hint="default" w:cs="宋体"/>
                <w:color w:val="000000"/>
                <w:highlight w:val="none"/>
                <w:lang w:bidi="ar"/>
              </w:rPr>
            </w:pPr>
          </w:p>
        </w:tc>
      </w:tr>
      <w:tr w14:paraId="407E5E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noWrap w:val="0"/>
            <w:tcMar>
              <w:top w:w="15" w:type="dxa"/>
              <w:left w:w="15" w:type="dxa"/>
              <w:right w:w="15" w:type="dxa"/>
            </w:tcMar>
            <w:vAlign w:val="center"/>
          </w:tcPr>
          <w:p w14:paraId="5657216A">
            <w:pPr>
              <w:widowControl/>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kern w:val="0"/>
                <w:szCs w:val="21"/>
                <w:highlight w:val="none"/>
                <w:lang w:bidi="ar"/>
              </w:rPr>
              <w:t>5</w:t>
            </w:r>
          </w:p>
        </w:tc>
        <w:tc>
          <w:tcPr>
            <w:tcW w:w="1696" w:type="dxa"/>
            <w:vMerge w:val="continue"/>
            <w:noWrap w:val="0"/>
            <w:tcMar>
              <w:top w:w="15" w:type="dxa"/>
              <w:left w:w="15" w:type="dxa"/>
              <w:right w:w="15" w:type="dxa"/>
            </w:tcMar>
            <w:vAlign w:val="center"/>
          </w:tcPr>
          <w:p w14:paraId="79D29626">
            <w:pPr>
              <w:widowControl/>
              <w:jc w:val="center"/>
              <w:textAlignment w:val="center"/>
              <w:rPr>
                <w:rFonts w:hint="eastAsia" w:ascii="仿宋" w:hAnsi="仿宋" w:eastAsia="仿宋" w:cs="宋体"/>
                <w:color w:val="000000"/>
                <w:szCs w:val="21"/>
                <w:highlight w:val="none"/>
              </w:rPr>
            </w:pPr>
          </w:p>
        </w:tc>
        <w:tc>
          <w:tcPr>
            <w:tcW w:w="2268" w:type="dxa"/>
            <w:noWrap w:val="0"/>
            <w:vAlign w:val="center"/>
          </w:tcPr>
          <w:p w14:paraId="5BA57F15">
            <w:pPr>
              <w:widowControl/>
              <w:jc w:val="center"/>
              <w:textAlignment w:val="center"/>
              <w:rPr>
                <w:rFonts w:hint="eastAsia" w:ascii="仿宋" w:hAnsi="仿宋" w:eastAsia="仿宋" w:cs="宋体"/>
                <w:color w:val="000000"/>
                <w:szCs w:val="21"/>
                <w:highlight w:val="none"/>
              </w:rPr>
            </w:pPr>
          </w:p>
        </w:tc>
        <w:tc>
          <w:tcPr>
            <w:tcW w:w="4820" w:type="dxa"/>
            <w:noWrap w:val="0"/>
            <w:tcMar>
              <w:top w:w="15" w:type="dxa"/>
              <w:left w:w="15" w:type="dxa"/>
              <w:right w:w="15" w:type="dxa"/>
            </w:tcMar>
            <w:vAlign w:val="center"/>
          </w:tcPr>
          <w:p w14:paraId="3038FB14">
            <w:pPr>
              <w:rPr>
                <w:rStyle w:val="118"/>
                <w:rFonts w:hint="default" w:cs="宋体"/>
                <w:color w:val="000000"/>
                <w:highlight w:val="none"/>
                <w:lang w:bidi="ar"/>
              </w:rPr>
            </w:pPr>
          </w:p>
        </w:tc>
      </w:tr>
      <w:tr w14:paraId="361865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noWrap w:val="0"/>
            <w:tcMar>
              <w:top w:w="15" w:type="dxa"/>
              <w:left w:w="15" w:type="dxa"/>
              <w:right w:w="15" w:type="dxa"/>
            </w:tcMar>
            <w:vAlign w:val="center"/>
          </w:tcPr>
          <w:p w14:paraId="72830069">
            <w:pPr>
              <w:widowControl/>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kern w:val="0"/>
                <w:szCs w:val="21"/>
                <w:highlight w:val="none"/>
                <w:lang w:bidi="ar"/>
              </w:rPr>
              <w:t>6</w:t>
            </w:r>
          </w:p>
        </w:tc>
        <w:tc>
          <w:tcPr>
            <w:tcW w:w="1696" w:type="dxa"/>
            <w:vMerge w:val="continue"/>
            <w:noWrap w:val="0"/>
            <w:tcMar>
              <w:top w:w="15" w:type="dxa"/>
              <w:left w:w="15" w:type="dxa"/>
              <w:right w:w="15" w:type="dxa"/>
            </w:tcMar>
            <w:vAlign w:val="center"/>
          </w:tcPr>
          <w:p w14:paraId="11A4572D">
            <w:pPr>
              <w:widowControl/>
              <w:jc w:val="center"/>
              <w:textAlignment w:val="center"/>
              <w:rPr>
                <w:rFonts w:hint="eastAsia" w:ascii="仿宋" w:hAnsi="仿宋" w:eastAsia="仿宋" w:cs="宋体"/>
                <w:color w:val="000000"/>
                <w:szCs w:val="21"/>
                <w:highlight w:val="none"/>
              </w:rPr>
            </w:pPr>
          </w:p>
        </w:tc>
        <w:tc>
          <w:tcPr>
            <w:tcW w:w="2268" w:type="dxa"/>
            <w:noWrap w:val="0"/>
            <w:vAlign w:val="center"/>
          </w:tcPr>
          <w:p w14:paraId="78048C46">
            <w:pPr>
              <w:widowControl/>
              <w:jc w:val="center"/>
              <w:textAlignment w:val="center"/>
              <w:rPr>
                <w:rFonts w:hint="eastAsia" w:ascii="仿宋" w:hAnsi="仿宋" w:eastAsia="仿宋" w:cs="宋体"/>
                <w:color w:val="000000"/>
                <w:szCs w:val="21"/>
                <w:highlight w:val="none"/>
              </w:rPr>
            </w:pPr>
          </w:p>
        </w:tc>
        <w:tc>
          <w:tcPr>
            <w:tcW w:w="4820" w:type="dxa"/>
            <w:noWrap w:val="0"/>
            <w:tcMar>
              <w:top w:w="15" w:type="dxa"/>
              <w:left w:w="15" w:type="dxa"/>
              <w:right w:w="15" w:type="dxa"/>
            </w:tcMar>
            <w:vAlign w:val="center"/>
          </w:tcPr>
          <w:p w14:paraId="714CD5E9">
            <w:pPr>
              <w:rPr>
                <w:rStyle w:val="118"/>
                <w:rFonts w:hint="default" w:cs="宋体"/>
                <w:color w:val="000000"/>
                <w:highlight w:val="none"/>
                <w:lang w:bidi="ar"/>
              </w:rPr>
            </w:pPr>
          </w:p>
        </w:tc>
      </w:tr>
    </w:tbl>
    <w:p w14:paraId="2F2D6B2C">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r>
    </w:p>
    <w:p w14:paraId="1DB4F379">
      <w:pPr>
        <w:pStyle w:val="5"/>
        <w:numPr>
          <w:ilvl w:val="0"/>
          <w:numId w:val="0"/>
        </w:numPr>
        <w:spacing w:before="0" w:after="0" w:line="360" w:lineRule="auto"/>
        <w:rPr>
          <w:rFonts w:hint="eastAsia" w:ascii="仿宋" w:hAnsi="仿宋" w:eastAsia="仿宋" w:cs="仿宋"/>
          <w:color w:val="000000"/>
          <w:sz w:val="24"/>
          <w:szCs w:val="24"/>
          <w:highlight w:val="none"/>
        </w:rPr>
      </w:pPr>
      <w:bookmarkStart w:id="296" w:name="_Toc17437"/>
      <w:r>
        <w:rPr>
          <w:rFonts w:hint="eastAsia" w:ascii="仿宋" w:hAnsi="仿宋" w:eastAsia="仿宋" w:cs="仿宋"/>
          <w:color w:val="000000"/>
          <w:sz w:val="24"/>
          <w:szCs w:val="24"/>
          <w:highlight w:val="none"/>
        </w:rPr>
        <w:t>（一）采购需求应答偏离表</w:t>
      </w:r>
      <w:bookmarkEnd w:id="295"/>
      <w:bookmarkEnd w:id="296"/>
    </w:p>
    <w:p w14:paraId="0BFE433C">
      <w:pPr>
        <w:spacing w:line="360" w:lineRule="auto"/>
        <w:jc w:val="center"/>
        <w:rPr>
          <w:rFonts w:hint="eastAsia" w:ascii="仿宋" w:hAnsi="仿宋" w:eastAsia="仿宋" w:cs="仿宋"/>
          <w:b/>
          <w:bCs/>
          <w:color w:val="000000"/>
          <w:sz w:val="24"/>
          <w:highlight w:val="none"/>
        </w:rPr>
      </w:pPr>
      <w:bookmarkStart w:id="297" w:name="_Toc293297544"/>
      <w:bookmarkStart w:id="298" w:name="_Toc125561188"/>
      <w:bookmarkStart w:id="299" w:name="_Toc125771198"/>
      <w:r>
        <w:rPr>
          <w:rFonts w:hint="eastAsia" w:ascii="仿宋" w:hAnsi="仿宋" w:eastAsia="仿宋" w:cs="仿宋"/>
          <w:b/>
          <w:bCs/>
          <w:color w:val="000000"/>
          <w:sz w:val="24"/>
          <w:highlight w:val="none"/>
        </w:rPr>
        <w:t>采购需求应答偏离表</w:t>
      </w:r>
      <w:bookmarkEnd w:id="297"/>
      <w:bookmarkEnd w:id="298"/>
      <w:bookmarkEnd w:id="299"/>
      <w:r>
        <w:rPr>
          <w:rFonts w:hint="eastAsia" w:ascii="仿宋" w:hAnsi="仿宋" w:eastAsia="仿宋" w:cs="仿宋"/>
          <w:b w:val="0"/>
          <w:bCs w:val="0"/>
          <w:color w:val="FF0000"/>
          <w:sz w:val="24"/>
          <w:szCs w:val="24"/>
          <w:highlight w:val="none"/>
        </w:rPr>
        <w:t>（可以根据项目实际情况选择是否设置）</w:t>
      </w:r>
    </w:p>
    <w:p w14:paraId="3F51FA68">
      <w:pPr>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w:t>
      </w:r>
    </w:p>
    <w:tbl>
      <w:tblPr>
        <w:tblStyle w:val="41"/>
        <w:tblW w:w="4999" w:type="pct"/>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3"/>
        <w:gridCol w:w="2274"/>
        <w:gridCol w:w="2471"/>
        <w:gridCol w:w="2670"/>
        <w:gridCol w:w="1434"/>
      </w:tblGrid>
      <w:tr w14:paraId="51BEFDE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double" w:color="auto" w:sz="4" w:space="0"/>
              <w:left w:val="double" w:color="auto" w:sz="4" w:space="0"/>
              <w:bottom w:val="single" w:color="auto" w:sz="4" w:space="0"/>
              <w:right w:val="single" w:color="auto" w:sz="4" w:space="0"/>
            </w:tcBorders>
            <w:noWrap w:val="0"/>
            <w:vAlign w:val="center"/>
          </w:tcPr>
          <w:p w14:paraId="74D88230">
            <w:pPr>
              <w:spacing w:line="360" w:lineRule="auto"/>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序号</w:t>
            </w:r>
          </w:p>
        </w:tc>
        <w:tc>
          <w:tcPr>
            <w:tcW w:w="1154" w:type="pct"/>
            <w:tcBorders>
              <w:top w:val="double" w:color="auto" w:sz="4" w:space="0"/>
              <w:left w:val="single" w:color="auto" w:sz="4" w:space="0"/>
              <w:bottom w:val="single" w:color="auto" w:sz="4" w:space="0"/>
              <w:right w:val="single" w:color="auto" w:sz="4" w:space="0"/>
            </w:tcBorders>
            <w:noWrap w:val="0"/>
            <w:vAlign w:val="center"/>
          </w:tcPr>
          <w:p w14:paraId="7A221578">
            <w:pPr>
              <w:spacing w:line="312" w:lineRule="auto"/>
              <w:jc w:val="center"/>
              <w:rPr>
                <w:rFonts w:hint="eastAsia" w:ascii="仿宋" w:hAnsi="仿宋" w:eastAsia="仿宋" w:cs="仿宋"/>
                <w:b/>
                <w:bCs/>
                <w:color w:val="000000"/>
                <w:sz w:val="24"/>
                <w:highlight w:val="none"/>
              </w:rPr>
            </w:pPr>
            <w:r>
              <w:rPr>
                <w:rFonts w:hint="eastAsia" w:ascii="仿宋" w:hAnsi="仿宋" w:eastAsia="仿宋" w:cs="仿宋"/>
                <w:b/>
                <w:bCs/>
                <w:color w:val="000000"/>
                <w:highlight w:val="none"/>
              </w:rPr>
              <w:t>技术偏离类型(正负偏离)</w:t>
            </w:r>
          </w:p>
        </w:tc>
        <w:tc>
          <w:tcPr>
            <w:tcW w:w="1254" w:type="pct"/>
            <w:tcBorders>
              <w:top w:val="double" w:color="auto" w:sz="4" w:space="0"/>
              <w:left w:val="single" w:color="auto" w:sz="4" w:space="0"/>
              <w:bottom w:val="single" w:color="auto" w:sz="4" w:space="0"/>
              <w:right w:val="single" w:color="auto" w:sz="4" w:space="0"/>
            </w:tcBorders>
            <w:noWrap w:val="0"/>
            <w:vAlign w:val="center"/>
          </w:tcPr>
          <w:p w14:paraId="1E83B1DB">
            <w:pPr>
              <w:spacing w:line="312" w:lineRule="auto"/>
              <w:jc w:val="center"/>
              <w:rPr>
                <w:rFonts w:hint="eastAsia" w:ascii="仿宋" w:hAnsi="仿宋" w:eastAsia="仿宋" w:cs="仿宋"/>
                <w:b/>
                <w:bCs/>
                <w:color w:val="000000"/>
                <w:sz w:val="24"/>
                <w:highlight w:val="none"/>
              </w:rPr>
            </w:pPr>
            <w:r>
              <w:rPr>
                <w:rFonts w:hint="eastAsia" w:ascii="仿宋" w:hAnsi="仿宋" w:eastAsia="仿宋" w:cs="仿宋"/>
                <w:b/>
                <w:bCs/>
                <w:color w:val="000000"/>
                <w:highlight w:val="none"/>
              </w:rPr>
              <w:t>技术偏离的文档章节号及页号</w:t>
            </w:r>
          </w:p>
        </w:tc>
        <w:tc>
          <w:tcPr>
            <w:tcW w:w="1355" w:type="pct"/>
            <w:tcBorders>
              <w:top w:val="double" w:color="auto" w:sz="4" w:space="0"/>
              <w:left w:val="single" w:color="auto" w:sz="4" w:space="0"/>
              <w:bottom w:val="single" w:color="auto" w:sz="4" w:space="0"/>
              <w:right w:val="single" w:color="auto" w:sz="4" w:space="0"/>
            </w:tcBorders>
            <w:noWrap w:val="0"/>
            <w:vAlign w:val="center"/>
          </w:tcPr>
          <w:p w14:paraId="2F2DB506">
            <w:pPr>
              <w:spacing w:line="312" w:lineRule="auto"/>
              <w:jc w:val="center"/>
              <w:rPr>
                <w:rFonts w:hint="eastAsia" w:ascii="仿宋" w:hAnsi="仿宋" w:eastAsia="仿宋" w:cs="仿宋"/>
                <w:b/>
                <w:bCs/>
                <w:color w:val="000000"/>
                <w:sz w:val="24"/>
                <w:highlight w:val="none"/>
              </w:rPr>
            </w:pPr>
            <w:r>
              <w:rPr>
                <w:rFonts w:hint="eastAsia" w:ascii="仿宋" w:hAnsi="仿宋" w:eastAsia="仿宋" w:cs="仿宋"/>
                <w:b/>
                <w:bCs/>
                <w:color w:val="000000"/>
                <w:highlight w:val="none"/>
              </w:rPr>
              <w:t>技术偏离的主要内容说明</w:t>
            </w:r>
          </w:p>
        </w:tc>
        <w:tc>
          <w:tcPr>
            <w:tcW w:w="728" w:type="pct"/>
            <w:tcBorders>
              <w:top w:val="double" w:color="auto" w:sz="4" w:space="0"/>
              <w:left w:val="single" w:color="auto" w:sz="4" w:space="0"/>
              <w:bottom w:val="single" w:color="auto" w:sz="4" w:space="0"/>
              <w:right w:val="double" w:color="auto" w:sz="4" w:space="0"/>
            </w:tcBorders>
            <w:noWrap w:val="0"/>
            <w:vAlign w:val="center"/>
          </w:tcPr>
          <w:p w14:paraId="7387F130">
            <w:pPr>
              <w:spacing w:line="360" w:lineRule="auto"/>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备注</w:t>
            </w:r>
          </w:p>
        </w:tc>
      </w:tr>
      <w:tr w14:paraId="14C4D99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14:paraId="005868F9">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14:paraId="33B08CE7">
            <w:pPr>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负偏离(不满足)</w:t>
            </w:r>
          </w:p>
        </w:tc>
        <w:tc>
          <w:tcPr>
            <w:tcW w:w="1254" w:type="pct"/>
            <w:tcBorders>
              <w:top w:val="single" w:color="auto" w:sz="4" w:space="0"/>
              <w:left w:val="single" w:color="auto" w:sz="4" w:space="0"/>
              <w:bottom w:val="single" w:color="auto" w:sz="4" w:space="0"/>
              <w:right w:val="single" w:color="auto" w:sz="4" w:space="0"/>
            </w:tcBorders>
            <w:noWrap w:val="0"/>
            <w:vAlign w:val="top"/>
          </w:tcPr>
          <w:p w14:paraId="118D973F">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14:paraId="226DE0D7">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14:paraId="3117BA1B">
            <w:pPr>
              <w:spacing w:line="360" w:lineRule="auto"/>
              <w:rPr>
                <w:rFonts w:hint="eastAsia" w:ascii="仿宋" w:hAnsi="仿宋" w:eastAsia="仿宋" w:cs="仿宋"/>
                <w:color w:val="000000"/>
                <w:szCs w:val="21"/>
                <w:highlight w:val="none"/>
              </w:rPr>
            </w:pPr>
          </w:p>
        </w:tc>
      </w:tr>
      <w:tr w14:paraId="2BD8FE6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noWrap w:val="0"/>
            <w:vAlign w:val="top"/>
          </w:tcPr>
          <w:p w14:paraId="72179D26">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14:paraId="7D76E334">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14:paraId="59051555">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14:paraId="6FBE6170">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14:paraId="4F078BC0">
            <w:pPr>
              <w:spacing w:line="360" w:lineRule="auto"/>
              <w:rPr>
                <w:rFonts w:hint="eastAsia" w:ascii="仿宋" w:hAnsi="仿宋" w:eastAsia="仿宋" w:cs="仿宋"/>
                <w:color w:val="000000"/>
                <w:szCs w:val="21"/>
                <w:highlight w:val="none"/>
              </w:rPr>
            </w:pPr>
          </w:p>
        </w:tc>
      </w:tr>
      <w:tr w14:paraId="0AA5D2E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14:paraId="15AB1465">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14:paraId="403C65F4">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14:paraId="2F38D83F">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14:paraId="7D16EE15">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14:paraId="50E44264">
            <w:pPr>
              <w:spacing w:line="360" w:lineRule="auto"/>
              <w:rPr>
                <w:rFonts w:hint="eastAsia" w:ascii="仿宋" w:hAnsi="仿宋" w:eastAsia="仿宋" w:cs="仿宋"/>
                <w:color w:val="000000"/>
                <w:szCs w:val="21"/>
                <w:highlight w:val="none"/>
              </w:rPr>
            </w:pPr>
          </w:p>
        </w:tc>
      </w:tr>
      <w:tr w14:paraId="33C1F93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14:paraId="32557245">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14:paraId="3BD2EE04">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14:paraId="21BCA472">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14:paraId="0E80F4D3">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14:paraId="66C3B706">
            <w:pPr>
              <w:spacing w:line="360" w:lineRule="auto"/>
              <w:rPr>
                <w:rFonts w:hint="eastAsia" w:ascii="仿宋" w:hAnsi="仿宋" w:eastAsia="仿宋" w:cs="仿宋"/>
                <w:color w:val="000000"/>
                <w:szCs w:val="21"/>
                <w:highlight w:val="none"/>
              </w:rPr>
            </w:pPr>
          </w:p>
        </w:tc>
      </w:tr>
      <w:tr w14:paraId="7A82EAD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noWrap w:val="0"/>
            <w:vAlign w:val="top"/>
          </w:tcPr>
          <w:p w14:paraId="5EB428E9">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14:paraId="3BEB3EC9">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14:paraId="4C0FA2DA">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14:paraId="52065E40">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14:paraId="54555795">
            <w:pPr>
              <w:spacing w:line="360" w:lineRule="auto"/>
              <w:rPr>
                <w:rFonts w:hint="eastAsia" w:ascii="仿宋" w:hAnsi="仿宋" w:eastAsia="仿宋" w:cs="仿宋"/>
                <w:color w:val="000000"/>
                <w:szCs w:val="21"/>
                <w:highlight w:val="none"/>
              </w:rPr>
            </w:pPr>
          </w:p>
        </w:tc>
      </w:tr>
      <w:tr w14:paraId="2620802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14:paraId="511D664E">
            <w:pPr>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w:t>
            </w:r>
          </w:p>
        </w:tc>
        <w:tc>
          <w:tcPr>
            <w:tcW w:w="1154" w:type="pct"/>
            <w:tcBorders>
              <w:top w:val="single" w:color="auto" w:sz="4" w:space="0"/>
              <w:left w:val="single" w:color="auto" w:sz="4" w:space="0"/>
              <w:bottom w:val="single" w:color="auto" w:sz="4" w:space="0"/>
              <w:right w:val="single" w:color="auto" w:sz="4" w:space="0"/>
            </w:tcBorders>
            <w:noWrap w:val="0"/>
            <w:vAlign w:val="top"/>
          </w:tcPr>
          <w:p w14:paraId="3406E5FB">
            <w:pPr>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w:t>
            </w:r>
          </w:p>
        </w:tc>
        <w:tc>
          <w:tcPr>
            <w:tcW w:w="1254" w:type="pct"/>
            <w:tcBorders>
              <w:top w:val="single" w:color="auto" w:sz="4" w:space="0"/>
              <w:left w:val="single" w:color="auto" w:sz="4" w:space="0"/>
              <w:bottom w:val="single" w:color="auto" w:sz="4" w:space="0"/>
              <w:right w:val="single" w:color="auto" w:sz="4" w:space="0"/>
            </w:tcBorders>
            <w:noWrap w:val="0"/>
            <w:vAlign w:val="top"/>
          </w:tcPr>
          <w:p w14:paraId="7246CADF">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14:paraId="7AF592CF">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14:paraId="1438CD34">
            <w:pPr>
              <w:spacing w:line="360" w:lineRule="auto"/>
              <w:rPr>
                <w:rFonts w:hint="eastAsia" w:ascii="仿宋" w:hAnsi="仿宋" w:eastAsia="仿宋" w:cs="仿宋"/>
                <w:color w:val="000000"/>
                <w:szCs w:val="21"/>
                <w:highlight w:val="none"/>
              </w:rPr>
            </w:pPr>
          </w:p>
        </w:tc>
      </w:tr>
      <w:tr w14:paraId="2AA96E9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14:paraId="29350E3B">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14:paraId="76BFCF97">
            <w:pPr>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正偏离(优于)</w:t>
            </w:r>
          </w:p>
        </w:tc>
        <w:tc>
          <w:tcPr>
            <w:tcW w:w="1254" w:type="pct"/>
            <w:tcBorders>
              <w:top w:val="single" w:color="auto" w:sz="4" w:space="0"/>
              <w:left w:val="single" w:color="auto" w:sz="4" w:space="0"/>
              <w:bottom w:val="single" w:color="auto" w:sz="4" w:space="0"/>
              <w:right w:val="single" w:color="auto" w:sz="4" w:space="0"/>
            </w:tcBorders>
            <w:noWrap w:val="0"/>
            <w:vAlign w:val="top"/>
          </w:tcPr>
          <w:p w14:paraId="07E3E718">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14:paraId="2B1907C0">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14:paraId="5CECFE7B">
            <w:pPr>
              <w:spacing w:line="360" w:lineRule="auto"/>
              <w:rPr>
                <w:rFonts w:hint="eastAsia" w:ascii="仿宋" w:hAnsi="仿宋" w:eastAsia="仿宋" w:cs="仿宋"/>
                <w:color w:val="000000"/>
                <w:szCs w:val="21"/>
                <w:highlight w:val="none"/>
              </w:rPr>
            </w:pPr>
          </w:p>
        </w:tc>
      </w:tr>
      <w:tr w14:paraId="6AD2331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noWrap w:val="0"/>
            <w:vAlign w:val="top"/>
          </w:tcPr>
          <w:p w14:paraId="61C27C14">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14:paraId="0D156ED2">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14:paraId="2D26E509">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14:paraId="4446D4AB">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14:paraId="38643F65">
            <w:pPr>
              <w:spacing w:line="360" w:lineRule="auto"/>
              <w:rPr>
                <w:rFonts w:hint="eastAsia" w:ascii="仿宋" w:hAnsi="仿宋" w:eastAsia="仿宋" w:cs="仿宋"/>
                <w:color w:val="000000"/>
                <w:szCs w:val="21"/>
                <w:highlight w:val="none"/>
              </w:rPr>
            </w:pPr>
          </w:p>
        </w:tc>
      </w:tr>
      <w:tr w14:paraId="7B983FB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14:paraId="635D5CDD">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14:paraId="23E0CC28">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14:paraId="2F449370">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14:paraId="1489877A">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14:paraId="756B9570">
            <w:pPr>
              <w:spacing w:line="360" w:lineRule="auto"/>
              <w:rPr>
                <w:rFonts w:hint="eastAsia" w:ascii="仿宋" w:hAnsi="仿宋" w:eastAsia="仿宋" w:cs="仿宋"/>
                <w:color w:val="000000"/>
                <w:szCs w:val="21"/>
                <w:highlight w:val="none"/>
              </w:rPr>
            </w:pPr>
          </w:p>
        </w:tc>
      </w:tr>
      <w:tr w14:paraId="6940F3F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noWrap w:val="0"/>
            <w:vAlign w:val="top"/>
          </w:tcPr>
          <w:p w14:paraId="64D37876">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14:paraId="0E723C29">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14:paraId="0ACDE5E9">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14:paraId="3FC537C4">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14:paraId="2FCA76D5">
            <w:pPr>
              <w:spacing w:line="360" w:lineRule="auto"/>
              <w:rPr>
                <w:rFonts w:hint="eastAsia" w:ascii="仿宋" w:hAnsi="仿宋" w:eastAsia="仿宋" w:cs="仿宋"/>
                <w:color w:val="000000"/>
                <w:szCs w:val="21"/>
                <w:highlight w:val="none"/>
              </w:rPr>
            </w:pPr>
          </w:p>
        </w:tc>
      </w:tr>
      <w:tr w14:paraId="7F0C4CE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14:paraId="4D6AA0ED">
            <w:pPr>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w:t>
            </w:r>
          </w:p>
        </w:tc>
        <w:tc>
          <w:tcPr>
            <w:tcW w:w="1154" w:type="pct"/>
            <w:tcBorders>
              <w:top w:val="single" w:color="auto" w:sz="4" w:space="0"/>
              <w:left w:val="single" w:color="auto" w:sz="4" w:space="0"/>
              <w:bottom w:val="single" w:color="auto" w:sz="4" w:space="0"/>
              <w:right w:val="single" w:color="auto" w:sz="4" w:space="0"/>
            </w:tcBorders>
            <w:noWrap w:val="0"/>
            <w:vAlign w:val="top"/>
          </w:tcPr>
          <w:p w14:paraId="4C8DBC76">
            <w:pPr>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w:t>
            </w:r>
          </w:p>
        </w:tc>
        <w:tc>
          <w:tcPr>
            <w:tcW w:w="1254" w:type="pct"/>
            <w:tcBorders>
              <w:top w:val="single" w:color="auto" w:sz="4" w:space="0"/>
              <w:left w:val="single" w:color="auto" w:sz="4" w:space="0"/>
              <w:bottom w:val="single" w:color="auto" w:sz="4" w:space="0"/>
              <w:right w:val="single" w:color="auto" w:sz="4" w:space="0"/>
            </w:tcBorders>
            <w:noWrap w:val="0"/>
            <w:vAlign w:val="top"/>
          </w:tcPr>
          <w:p w14:paraId="2DA77166">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14:paraId="18B7BFC0">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14:paraId="4357854A">
            <w:pPr>
              <w:spacing w:line="360" w:lineRule="auto"/>
              <w:rPr>
                <w:rFonts w:hint="eastAsia" w:ascii="仿宋" w:hAnsi="仿宋" w:eastAsia="仿宋" w:cs="仿宋"/>
                <w:color w:val="000000"/>
                <w:szCs w:val="21"/>
                <w:highlight w:val="none"/>
              </w:rPr>
            </w:pPr>
          </w:p>
        </w:tc>
      </w:tr>
      <w:tr w14:paraId="2BB8B5C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14:paraId="302336FF">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14:paraId="4804ECDC">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14:paraId="61C7A952">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14:paraId="55D7276C">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14:paraId="0A1F480E">
            <w:pPr>
              <w:spacing w:line="360" w:lineRule="auto"/>
              <w:rPr>
                <w:rFonts w:hint="eastAsia" w:ascii="仿宋" w:hAnsi="仿宋" w:eastAsia="仿宋" w:cs="仿宋"/>
                <w:color w:val="000000"/>
                <w:szCs w:val="21"/>
                <w:highlight w:val="none"/>
              </w:rPr>
            </w:pPr>
          </w:p>
        </w:tc>
      </w:tr>
      <w:tr w14:paraId="3D71441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noWrap w:val="0"/>
            <w:vAlign w:val="top"/>
          </w:tcPr>
          <w:p w14:paraId="3AB09692">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14:paraId="5C6931EA">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14:paraId="151CF29C">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14:paraId="1FE58637">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14:paraId="3596F9FD">
            <w:pPr>
              <w:spacing w:line="360" w:lineRule="auto"/>
              <w:rPr>
                <w:rFonts w:hint="eastAsia" w:ascii="仿宋" w:hAnsi="仿宋" w:eastAsia="仿宋" w:cs="仿宋"/>
                <w:color w:val="000000"/>
                <w:szCs w:val="21"/>
                <w:highlight w:val="none"/>
              </w:rPr>
            </w:pPr>
          </w:p>
        </w:tc>
      </w:tr>
      <w:tr w14:paraId="6A420DD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double" w:color="auto" w:sz="4" w:space="0"/>
              <w:right w:val="single" w:color="auto" w:sz="4" w:space="0"/>
            </w:tcBorders>
            <w:noWrap w:val="0"/>
            <w:vAlign w:val="top"/>
          </w:tcPr>
          <w:p w14:paraId="0AA5FB22">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double" w:color="auto" w:sz="4" w:space="0"/>
              <w:right w:val="single" w:color="auto" w:sz="4" w:space="0"/>
            </w:tcBorders>
            <w:noWrap w:val="0"/>
            <w:vAlign w:val="top"/>
          </w:tcPr>
          <w:p w14:paraId="4E645D87">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double" w:color="auto" w:sz="4" w:space="0"/>
              <w:right w:val="single" w:color="auto" w:sz="4" w:space="0"/>
            </w:tcBorders>
            <w:noWrap w:val="0"/>
            <w:vAlign w:val="top"/>
          </w:tcPr>
          <w:p w14:paraId="651FB23E">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double" w:color="auto" w:sz="4" w:space="0"/>
              <w:right w:val="single" w:color="auto" w:sz="4" w:space="0"/>
            </w:tcBorders>
            <w:noWrap w:val="0"/>
            <w:vAlign w:val="top"/>
          </w:tcPr>
          <w:p w14:paraId="7EF2DD7E">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double" w:color="auto" w:sz="4" w:space="0"/>
              <w:right w:val="double" w:color="auto" w:sz="4" w:space="0"/>
            </w:tcBorders>
            <w:noWrap w:val="0"/>
            <w:vAlign w:val="top"/>
          </w:tcPr>
          <w:p w14:paraId="188B3696">
            <w:pPr>
              <w:spacing w:line="360" w:lineRule="auto"/>
              <w:rPr>
                <w:rFonts w:hint="eastAsia" w:ascii="仿宋" w:hAnsi="仿宋" w:eastAsia="仿宋" w:cs="仿宋"/>
                <w:color w:val="000000"/>
                <w:szCs w:val="21"/>
                <w:highlight w:val="none"/>
              </w:rPr>
            </w:pPr>
          </w:p>
        </w:tc>
      </w:tr>
    </w:tbl>
    <w:p w14:paraId="401B83AE">
      <w:pPr>
        <w:spacing w:before="240" w:line="360" w:lineRule="auto"/>
        <w:rPr>
          <w:rFonts w:hint="eastAsia" w:ascii="仿宋" w:hAnsi="仿宋" w:eastAsia="仿宋" w:cs="Cambria Math"/>
          <w:color w:val="000000"/>
          <w:sz w:val="24"/>
          <w:highlight w:val="none"/>
        </w:rPr>
      </w:pPr>
      <w:r>
        <w:rPr>
          <w:rFonts w:hint="eastAsia" w:ascii="仿宋" w:hAnsi="仿宋" w:eastAsia="仿宋" w:cs="仿宋"/>
          <w:color w:val="000000"/>
          <w:sz w:val="24"/>
          <w:highlight w:val="none"/>
        </w:rPr>
        <w:t>注：</w:t>
      </w:r>
      <w:r>
        <w:rPr>
          <w:rFonts w:hint="eastAsia" w:ascii="仿宋" w:hAnsi="仿宋" w:eastAsia="仿宋" w:cs="Cambria Math"/>
          <w:color w:val="000000"/>
          <w:sz w:val="24"/>
          <w:highlight w:val="none"/>
        </w:rPr>
        <w:t>对于未列出的偏离内容视同供应商已完全接受竞争性磋商文件的要求，</w:t>
      </w:r>
      <w:r>
        <w:rPr>
          <w:rFonts w:hint="eastAsia" w:ascii="仿宋" w:hAnsi="仿宋" w:eastAsia="仿宋" w:cs="Cambria Math"/>
          <w:b/>
          <w:bCs/>
          <w:color w:val="000000"/>
          <w:sz w:val="24"/>
          <w:highlight w:val="none"/>
        </w:rPr>
        <w:t>如全部满足，在偏离表中应答“全部满足”即可</w:t>
      </w:r>
      <w:r>
        <w:rPr>
          <w:rFonts w:hint="eastAsia" w:ascii="仿宋" w:hAnsi="仿宋" w:eastAsia="仿宋" w:cs="Cambria Math"/>
          <w:color w:val="000000"/>
          <w:sz w:val="24"/>
          <w:highlight w:val="none"/>
        </w:rPr>
        <w:t>。</w:t>
      </w:r>
    </w:p>
    <w:p w14:paraId="575066E7">
      <w:pPr>
        <w:spacing w:line="360" w:lineRule="auto"/>
        <w:ind w:left="480" w:hanging="480" w:hangingChars="200"/>
        <w:rPr>
          <w:rFonts w:hint="eastAsia" w:ascii="仿宋" w:hAnsi="仿宋" w:eastAsia="仿宋" w:cs="仿宋"/>
          <w:color w:val="000000"/>
          <w:sz w:val="24"/>
          <w:highlight w:val="none"/>
        </w:rPr>
      </w:pPr>
    </w:p>
    <w:p w14:paraId="0D5BFA45">
      <w:pPr>
        <w:spacing w:line="440" w:lineRule="exact"/>
        <w:ind w:firstLine="4080" w:firstLineChars="1700"/>
        <w:jc w:val="right"/>
        <w:rPr>
          <w:rFonts w:hint="eastAsia" w:ascii="仿宋" w:hAnsi="仿宋" w:eastAsia="仿宋" w:cs="仿宋"/>
          <w:color w:val="000000"/>
          <w:sz w:val="24"/>
          <w:highlight w:val="none"/>
        </w:rPr>
      </w:pPr>
    </w:p>
    <w:p w14:paraId="5AF8CC33">
      <w:pPr>
        <w:spacing w:line="440" w:lineRule="exact"/>
        <w:ind w:firstLine="4080" w:firstLineChars="1700"/>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（盖章）</w:t>
      </w:r>
    </w:p>
    <w:p w14:paraId="58F161D4">
      <w:pPr>
        <w:spacing w:line="440" w:lineRule="exact"/>
        <w:jc w:val="right"/>
        <w:rPr>
          <w:rFonts w:hint="eastAsia" w:ascii="仿宋" w:hAnsi="仿宋" w:eastAsia="仿宋" w:cs="仿宋"/>
          <w:b/>
          <w:bCs/>
          <w:color w:val="000000"/>
          <w:sz w:val="24"/>
          <w:highlight w:val="none"/>
        </w:rPr>
      </w:pPr>
      <w:r>
        <w:rPr>
          <w:rFonts w:hint="eastAsia" w:ascii="仿宋" w:hAnsi="仿宋" w:eastAsia="仿宋" w:cs="仿宋"/>
          <w:color w:val="000000"/>
          <w:sz w:val="24"/>
          <w:highlight w:val="none"/>
        </w:rPr>
        <w:t>日期：</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年</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月</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日</w:t>
      </w:r>
    </w:p>
    <w:p w14:paraId="2DEAA2D0">
      <w:pPr>
        <w:spacing w:line="360" w:lineRule="auto"/>
        <w:rPr>
          <w:rFonts w:hint="eastAsia" w:ascii="仿宋" w:hAnsi="仿宋" w:eastAsia="仿宋" w:cs="仿宋"/>
          <w:color w:val="000000"/>
          <w:sz w:val="24"/>
          <w:highlight w:val="none"/>
        </w:rPr>
      </w:pPr>
    </w:p>
    <w:p w14:paraId="2638262F">
      <w:pPr>
        <w:pStyle w:val="5"/>
        <w:numPr>
          <w:ilvl w:val="0"/>
          <w:numId w:val="0"/>
        </w:numPr>
        <w:spacing w:before="0" w:after="0" w:line="360" w:lineRule="auto"/>
        <w:ind w:left="1152" w:hanging="1152"/>
        <w:rPr>
          <w:rFonts w:hint="eastAsia" w:ascii="仿宋" w:hAnsi="仿宋" w:eastAsia="仿宋" w:cs="仿宋"/>
          <w:color w:val="000000"/>
          <w:sz w:val="24"/>
          <w:szCs w:val="24"/>
          <w:highlight w:val="none"/>
        </w:rPr>
      </w:pPr>
      <w:r>
        <w:rPr>
          <w:rFonts w:hint="eastAsia" w:ascii="仿宋" w:hAnsi="仿宋" w:eastAsia="仿宋" w:cs="仿宋"/>
          <w:color w:val="000000"/>
          <w:highlight w:val="none"/>
        </w:rPr>
        <w:br w:type="page"/>
      </w:r>
      <w:bookmarkStart w:id="300" w:name="_Toc32740"/>
      <w:r>
        <w:rPr>
          <w:rFonts w:hint="eastAsia" w:ascii="仿宋" w:hAnsi="仿宋" w:eastAsia="仿宋" w:cs="仿宋"/>
          <w:color w:val="000000"/>
          <w:sz w:val="24"/>
          <w:szCs w:val="24"/>
          <w:highlight w:val="none"/>
        </w:rPr>
        <w:t>（二）技术方案</w:t>
      </w:r>
      <w:bookmarkEnd w:id="300"/>
    </w:p>
    <w:p w14:paraId="2CFA0A51">
      <w:pPr>
        <w:spacing w:line="360" w:lineRule="auto"/>
        <w:ind w:firstLine="480" w:firstLineChars="200"/>
        <w:rPr>
          <w:rFonts w:hint="eastAsia" w:ascii="仿宋" w:hAnsi="仿宋" w:eastAsia="仿宋" w:cs="仿宋"/>
          <w:b w:val="0"/>
          <w:bCs w:val="0"/>
          <w:color w:val="FF0000"/>
          <w:sz w:val="24"/>
          <w:szCs w:val="24"/>
          <w:highlight w:val="none"/>
        </w:rPr>
      </w:pPr>
      <w:r>
        <w:rPr>
          <w:rFonts w:hint="eastAsia" w:ascii="仿宋" w:hAnsi="仿宋" w:eastAsia="仿宋" w:cs="仿宋"/>
          <w:b w:val="0"/>
          <w:bCs w:val="0"/>
          <w:color w:val="FF0000"/>
          <w:sz w:val="24"/>
          <w:szCs w:val="24"/>
          <w:highlight w:val="none"/>
        </w:rPr>
        <w:t>（可以根据项目实际情况选择是否设置）</w:t>
      </w:r>
    </w:p>
    <w:p w14:paraId="26C1356C">
      <w:pPr>
        <w:spacing w:line="360" w:lineRule="auto"/>
        <w:ind w:firstLine="480" w:firstLineChars="200"/>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供应商应根据采购需求的要求，提供相应的文件内容以及证明材料。 </w:t>
      </w:r>
      <w:bookmarkEnd w:id="268"/>
      <w:bookmarkEnd w:id="269"/>
      <w:bookmarkEnd w:id="270"/>
      <w:bookmarkEnd w:id="271"/>
      <w:bookmarkEnd w:id="272"/>
      <w:bookmarkEnd w:id="273"/>
      <w:bookmarkStart w:id="301" w:name="_Toc444891358"/>
      <w:bookmarkStart w:id="302" w:name="_Toc517281860"/>
      <w:r>
        <w:rPr>
          <w:rFonts w:hint="eastAsia" w:ascii="仿宋" w:hAnsi="仿宋" w:eastAsia="仿宋" w:cs="仿宋"/>
          <w:color w:val="000000"/>
          <w:sz w:val="24"/>
          <w:highlight w:val="none"/>
        </w:rPr>
        <w:br w:type="page"/>
      </w:r>
    </w:p>
    <w:p w14:paraId="77CDEA14">
      <w:pPr>
        <w:pStyle w:val="6"/>
        <w:numPr>
          <w:ilvl w:val="0"/>
          <w:numId w:val="0"/>
        </w:numPr>
        <w:rPr>
          <w:rFonts w:hint="eastAsia" w:ascii="仿宋" w:hAnsi="仿宋" w:eastAsia="仿宋" w:cs="Cambria Math"/>
          <w:color w:val="000000"/>
          <w:sz w:val="24"/>
          <w:szCs w:val="24"/>
          <w:highlight w:val="none"/>
        </w:rPr>
      </w:pPr>
      <w:r>
        <w:rPr>
          <w:rFonts w:hint="eastAsia" w:ascii="仿宋" w:hAnsi="仿宋" w:eastAsia="仿宋" w:cs="Cambria Math"/>
          <w:color w:val="000000"/>
          <w:sz w:val="24"/>
          <w:szCs w:val="24"/>
          <w:highlight w:val="none"/>
          <w:lang w:val="en-US" w:eastAsia="zh-CN"/>
        </w:rPr>
        <w:t>1、</w:t>
      </w:r>
      <w:r>
        <w:rPr>
          <w:rFonts w:hint="eastAsia" w:ascii="仿宋" w:hAnsi="仿宋" w:eastAsia="仿宋" w:cs="Cambria Math"/>
          <w:color w:val="000000"/>
          <w:sz w:val="24"/>
          <w:szCs w:val="24"/>
          <w:highlight w:val="none"/>
        </w:rPr>
        <w:t>拟派服务团队成员汇总表</w:t>
      </w:r>
    </w:p>
    <w:p w14:paraId="099F481C">
      <w:pPr>
        <w:pStyle w:val="6"/>
        <w:numPr>
          <w:ilvl w:val="0"/>
          <w:numId w:val="0"/>
        </w:numPr>
        <w:rPr>
          <w:rFonts w:hint="eastAsia" w:ascii="仿宋" w:hAnsi="仿宋" w:eastAsia="仿宋" w:cs="Cambria Math"/>
          <w:color w:val="000000"/>
          <w:sz w:val="24"/>
          <w:szCs w:val="24"/>
          <w:highlight w:val="none"/>
        </w:rPr>
      </w:pPr>
      <w:r>
        <w:rPr>
          <w:rFonts w:hint="eastAsia" w:ascii="仿宋" w:hAnsi="仿宋" w:eastAsia="仿宋" w:cs="仿宋"/>
          <w:b w:val="0"/>
          <w:bCs w:val="0"/>
          <w:color w:val="FF0000"/>
          <w:sz w:val="24"/>
          <w:szCs w:val="24"/>
          <w:highlight w:val="none"/>
        </w:rPr>
        <w:t>（可以根据项目实际情况选择是否设置）</w:t>
      </w:r>
    </w:p>
    <w:tbl>
      <w:tblPr>
        <w:tblStyle w:val="41"/>
        <w:tblW w:w="8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260"/>
        <w:gridCol w:w="851"/>
        <w:gridCol w:w="980"/>
        <w:gridCol w:w="992"/>
        <w:gridCol w:w="1276"/>
        <w:gridCol w:w="1134"/>
        <w:gridCol w:w="1695"/>
      </w:tblGrid>
      <w:tr w14:paraId="488F4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3" w:hRule="atLeast"/>
          <w:tblHeader/>
          <w:jc w:val="center"/>
        </w:trPr>
        <w:tc>
          <w:tcPr>
            <w:tcW w:w="750" w:type="dxa"/>
            <w:noWrap w:val="0"/>
            <w:vAlign w:val="center"/>
          </w:tcPr>
          <w:p w14:paraId="5FC58F86">
            <w:pPr>
              <w:snapToGrid w:val="0"/>
              <w:spacing w:line="300" w:lineRule="exact"/>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序号</w:t>
            </w:r>
          </w:p>
        </w:tc>
        <w:tc>
          <w:tcPr>
            <w:tcW w:w="1260" w:type="dxa"/>
            <w:noWrap w:val="0"/>
            <w:vAlign w:val="center"/>
          </w:tcPr>
          <w:p w14:paraId="2FA4DA4F">
            <w:pPr>
              <w:snapToGrid w:val="0"/>
              <w:spacing w:line="300" w:lineRule="exact"/>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姓名</w:t>
            </w:r>
          </w:p>
        </w:tc>
        <w:tc>
          <w:tcPr>
            <w:tcW w:w="851" w:type="dxa"/>
            <w:noWrap w:val="0"/>
            <w:vAlign w:val="center"/>
          </w:tcPr>
          <w:p w14:paraId="30CA44EE">
            <w:pPr>
              <w:snapToGrid w:val="0"/>
              <w:spacing w:line="300" w:lineRule="exact"/>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学历</w:t>
            </w:r>
          </w:p>
        </w:tc>
        <w:tc>
          <w:tcPr>
            <w:tcW w:w="980" w:type="dxa"/>
            <w:noWrap w:val="0"/>
            <w:vAlign w:val="center"/>
          </w:tcPr>
          <w:p w14:paraId="6CD630C9">
            <w:pPr>
              <w:snapToGrid w:val="0"/>
              <w:spacing w:line="300" w:lineRule="exact"/>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专业资质</w:t>
            </w:r>
          </w:p>
        </w:tc>
        <w:tc>
          <w:tcPr>
            <w:tcW w:w="992" w:type="dxa"/>
            <w:noWrap w:val="0"/>
            <w:vAlign w:val="center"/>
          </w:tcPr>
          <w:p w14:paraId="2628AC04">
            <w:pPr>
              <w:snapToGrid w:val="0"/>
              <w:spacing w:line="300" w:lineRule="exact"/>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工作年限</w:t>
            </w:r>
          </w:p>
        </w:tc>
        <w:tc>
          <w:tcPr>
            <w:tcW w:w="1276" w:type="dxa"/>
            <w:noWrap w:val="0"/>
            <w:vAlign w:val="center"/>
          </w:tcPr>
          <w:p w14:paraId="7B596A3B">
            <w:pPr>
              <w:snapToGrid w:val="0"/>
              <w:spacing w:line="300" w:lineRule="exact"/>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本项目职务</w:t>
            </w:r>
          </w:p>
        </w:tc>
        <w:tc>
          <w:tcPr>
            <w:tcW w:w="1134" w:type="dxa"/>
            <w:noWrap w:val="0"/>
            <w:vAlign w:val="center"/>
          </w:tcPr>
          <w:p w14:paraId="0FEF0A22">
            <w:pPr>
              <w:snapToGrid w:val="0"/>
              <w:spacing w:line="300" w:lineRule="exact"/>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服务内容</w:t>
            </w:r>
          </w:p>
        </w:tc>
        <w:tc>
          <w:tcPr>
            <w:tcW w:w="1695" w:type="dxa"/>
            <w:noWrap w:val="0"/>
            <w:vAlign w:val="center"/>
          </w:tcPr>
          <w:p w14:paraId="3C7FEF7E">
            <w:pPr>
              <w:snapToGrid w:val="0"/>
              <w:spacing w:line="300" w:lineRule="exact"/>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同类项目实施案例</w:t>
            </w:r>
          </w:p>
        </w:tc>
      </w:tr>
      <w:tr w14:paraId="7F123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50" w:type="dxa"/>
            <w:noWrap w:val="0"/>
            <w:vAlign w:val="center"/>
          </w:tcPr>
          <w:p w14:paraId="1E384912">
            <w:pPr>
              <w:snapToGrid w:val="0"/>
              <w:spacing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1</w:t>
            </w:r>
          </w:p>
        </w:tc>
        <w:tc>
          <w:tcPr>
            <w:tcW w:w="1260" w:type="dxa"/>
            <w:noWrap w:val="0"/>
            <w:vAlign w:val="center"/>
          </w:tcPr>
          <w:p w14:paraId="1A209BA3">
            <w:pPr>
              <w:snapToGrid w:val="0"/>
              <w:spacing w:line="360" w:lineRule="auto"/>
              <w:jc w:val="center"/>
              <w:rPr>
                <w:rFonts w:hint="eastAsia" w:ascii="仿宋" w:hAnsi="仿宋" w:eastAsia="仿宋" w:cs="仿宋"/>
                <w:color w:val="000000"/>
                <w:szCs w:val="21"/>
                <w:highlight w:val="none"/>
              </w:rPr>
            </w:pPr>
          </w:p>
        </w:tc>
        <w:tc>
          <w:tcPr>
            <w:tcW w:w="851" w:type="dxa"/>
            <w:noWrap w:val="0"/>
            <w:vAlign w:val="top"/>
          </w:tcPr>
          <w:p w14:paraId="1647F455">
            <w:pPr>
              <w:snapToGrid w:val="0"/>
              <w:spacing w:line="360" w:lineRule="auto"/>
              <w:jc w:val="center"/>
              <w:rPr>
                <w:rFonts w:hint="eastAsia" w:ascii="仿宋" w:hAnsi="仿宋" w:eastAsia="仿宋" w:cs="仿宋"/>
                <w:color w:val="000000"/>
                <w:szCs w:val="21"/>
                <w:highlight w:val="none"/>
              </w:rPr>
            </w:pPr>
          </w:p>
        </w:tc>
        <w:tc>
          <w:tcPr>
            <w:tcW w:w="980" w:type="dxa"/>
            <w:noWrap w:val="0"/>
            <w:vAlign w:val="center"/>
          </w:tcPr>
          <w:p w14:paraId="088ABCA0">
            <w:pPr>
              <w:snapToGrid w:val="0"/>
              <w:spacing w:line="360" w:lineRule="auto"/>
              <w:jc w:val="center"/>
              <w:rPr>
                <w:rFonts w:hint="eastAsia" w:ascii="仿宋" w:hAnsi="仿宋" w:eastAsia="仿宋" w:cs="仿宋"/>
                <w:color w:val="000000"/>
                <w:szCs w:val="21"/>
                <w:highlight w:val="none"/>
              </w:rPr>
            </w:pPr>
          </w:p>
        </w:tc>
        <w:tc>
          <w:tcPr>
            <w:tcW w:w="992" w:type="dxa"/>
            <w:noWrap w:val="0"/>
            <w:vAlign w:val="center"/>
          </w:tcPr>
          <w:p w14:paraId="552B3717">
            <w:pPr>
              <w:snapToGrid w:val="0"/>
              <w:spacing w:line="360" w:lineRule="auto"/>
              <w:jc w:val="center"/>
              <w:rPr>
                <w:rFonts w:hint="eastAsia" w:ascii="仿宋" w:hAnsi="仿宋" w:eastAsia="仿宋" w:cs="仿宋"/>
                <w:color w:val="000000"/>
                <w:szCs w:val="21"/>
                <w:highlight w:val="none"/>
              </w:rPr>
            </w:pPr>
          </w:p>
        </w:tc>
        <w:tc>
          <w:tcPr>
            <w:tcW w:w="1276" w:type="dxa"/>
            <w:noWrap w:val="0"/>
            <w:vAlign w:val="center"/>
          </w:tcPr>
          <w:p w14:paraId="13B52DC0">
            <w:pPr>
              <w:snapToGrid w:val="0"/>
              <w:spacing w:line="360" w:lineRule="auto"/>
              <w:jc w:val="center"/>
              <w:rPr>
                <w:rFonts w:hint="eastAsia" w:ascii="仿宋" w:hAnsi="仿宋" w:eastAsia="仿宋" w:cs="仿宋"/>
                <w:color w:val="000000"/>
                <w:szCs w:val="21"/>
                <w:highlight w:val="none"/>
              </w:rPr>
            </w:pPr>
          </w:p>
        </w:tc>
        <w:tc>
          <w:tcPr>
            <w:tcW w:w="1134" w:type="dxa"/>
            <w:noWrap w:val="0"/>
            <w:vAlign w:val="center"/>
          </w:tcPr>
          <w:p w14:paraId="08CBCA15">
            <w:pPr>
              <w:snapToGrid w:val="0"/>
              <w:spacing w:line="360" w:lineRule="auto"/>
              <w:jc w:val="center"/>
              <w:rPr>
                <w:rFonts w:hint="eastAsia" w:ascii="仿宋" w:hAnsi="仿宋" w:eastAsia="仿宋" w:cs="仿宋"/>
                <w:color w:val="000000"/>
                <w:szCs w:val="21"/>
                <w:highlight w:val="none"/>
              </w:rPr>
            </w:pPr>
          </w:p>
        </w:tc>
        <w:tc>
          <w:tcPr>
            <w:tcW w:w="1695" w:type="dxa"/>
            <w:noWrap w:val="0"/>
            <w:vAlign w:val="center"/>
          </w:tcPr>
          <w:p w14:paraId="634BF862">
            <w:pPr>
              <w:snapToGrid w:val="0"/>
              <w:spacing w:line="360" w:lineRule="auto"/>
              <w:jc w:val="center"/>
              <w:rPr>
                <w:rFonts w:hint="eastAsia" w:ascii="仿宋" w:hAnsi="仿宋" w:eastAsia="仿宋" w:cs="仿宋"/>
                <w:color w:val="000000"/>
                <w:szCs w:val="21"/>
                <w:highlight w:val="none"/>
              </w:rPr>
            </w:pPr>
          </w:p>
        </w:tc>
      </w:tr>
      <w:tr w14:paraId="35CBC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14:paraId="71426B67">
            <w:pPr>
              <w:snapToGrid w:val="0"/>
              <w:spacing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2</w:t>
            </w:r>
          </w:p>
        </w:tc>
        <w:tc>
          <w:tcPr>
            <w:tcW w:w="1260" w:type="dxa"/>
            <w:noWrap w:val="0"/>
            <w:vAlign w:val="center"/>
          </w:tcPr>
          <w:p w14:paraId="4E039A1A">
            <w:pPr>
              <w:snapToGrid w:val="0"/>
              <w:spacing w:line="360" w:lineRule="auto"/>
              <w:jc w:val="center"/>
              <w:rPr>
                <w:rFonts w:hint="eastAsia" w:ascii="仿宋" w:hAnsi="仿宋" w:eastAsia="仿宋" w:cs="仿宋"/>
                <w:color w:val="000000"/>
                <w:szCs w:val="21"/>
                <w:highlight w:val="none"/>
              </w:rPr>
            </w:pPr>
          </w:p>
        </w:tc>
        <w:tc>
          <w:tcPr>
            <w:tcW w:w="851" w:type="dxa"/>
            <w:noWrap w:val="0"/>
            <w:vAlign w:val="top"/>
          </w:tcPr>
          <w:p w14:paraId="79427275">
            <w:pPr>
              <w:snapToGrid w:val="0"/>
              <w:spacing w:line="360" w:lineRule="auto"/>
              <w:jc w:val="center"/>
              <w:rPr>
                <w:rFonts w:hint="eastAsia" w:ascii="仿宋" w:hAnsi="仿宋" w:eastAsia="仿宋" w:cs="仿宋"/>
                <w:color w:val="000000"/>
                <w:szCs w:val="21"/>
                <w:highlight w:val="none"/>
              </w:rPr>
            </w:pPr>
          </w:p>
        </w:tc>
        <w:tc>
          <w:tcPr>
            <w:tcW w:w="980" w:type="dxa"/>
            <w:noWrap w:val="0"/>
            <w:vAlign w:val="center"/>
          </w:tcPr>
          <w:p w14:paraId="5B9ED96E">
            <w:pPr>
              <w:snapToGrid w:val="0"/>
              <w:spacing w:line="360" w:lineRule="auto"/>
              <w:jc w:val="center"/>
              <w:rPr>
                <w:rFonts w:hint="eastAsia" w:ascii="仿宋" w:hAnsi="仿宋" w:eastAsia="仿宋" w:cs="仿宋"/>
                <w:color w:val="000000"/>
                <w:szCs w:val="21"/>
                <w:highlight w:val="none"/>
              </w:rPr>
            </w:pPr>
          </w:p>
        </w:tc>
        <w:tc>
          <w:tcPr>
            <w:tcW w:w="992" w:type="dxa"/>
            <w:noWrap w:val="0"/>
            <w:vAlign w:val="center"/>
          </w:tcPr>
          <w:p w14:paraId="0F9C1A2A">
            <w:pPr>
              <w:snapToGrid w:val="0"/>
              <w:spacing w:line="360" w:lineRule="auto"/>
              <w:jc w:val="center"/>
              <w:rPr>
                <w:rFonts w:hint="eastAsia" w:ascii="仿宋" w:hAnsi="仿宋" w:eastAsia="仿宋" w:cs="仿宋"/>
                <w:color w:val="000000"/>
                <w:szCs w:val="21"/>
                <w:highlight w:val="none"/>
              </w:rPr>
            </w:pPr>
          </w:p>
        </w:tc>
        <w:tc>
          <w:tcPr>
            <w:tcW w:w="1276" w:type="dxa"/>
            <w:noWrap w:val="0"/>
            <w:vAlign w:val="center"/>
          </w:tcPr>
          <w:p w14:paraId="4FFB5E51">
            <w:pPr>
              <w:snapToGrid w:val="0"/>
              <w:spacing w:line="360" w:lineRule="auto"/>
              <w:jc w:val="center"/>
              <w:rPr>
                <w:rFonts w:hint="eastAsia" w:ascii="仿宋" w:hAnsi="仿宋" w:eastAsia="仿宋" w:cs="仿宋"/>
                <w:color w:val="000000"/>
                <w:szCs w:val="21"/>
                <w:highlight w:val="none"/>
              </w:rPr>
            </w:pPr>
          </w:p>
        </w:tc>
        <w:tc>
          <w:tcPr>
            <w:tcW w:w="1134" w:type="dxa"/>
            <w:noWrap w:val="0"/>
            <w:vAlign w:val="center"/>
          </w:tcPr>
          <w:p w14:paraId="57ABE512">
            <w:pPr>
              <w:snapToGrid w:val="0"/>
              <w:spacing w:line="360" w:lineRule="auto"/>
              <w:jc w:val="center"/>
              <w:rPr>
                <w:rFonts w:hint="eastAsia" w:ascii="仿宋" w:hAnsi="仿宋" w:eastAsia="仿宋" w:cs="仿宋"/>
                <w:color w:val="000000"/>
                <w:szCs w:val="21"/>
                <w:highlight w:val="none"/>
              </w:rPr>
            </w:pPr>
          </w:p>
        </w:tc>
        <w:tc>
          <w:tcPr>
            <w:tcW w:w="1695" w:type="dxa"/>
            <w:noWrap w:val="0"/>
            <w:vAlign w:val="center"/>
          </w:tcPr>
          <w:p w14:paraId="316CFBBD">
            <w:pPr>
              <w:snapToGrid w:val="0"/>
              <w:spacing w:line="360" w:lineRule="auto"/>
              <w:jc w:val="center"/>
              <w:rPr>
                <w:rFonts w:hint="eastAsia" w:ascii="仿宋" w:hAnsi="仿宋" w:eastAsia="仿宋" w:cs="仿宋"/>
                <w:color w:val="000000"/>
                <w:szCs w:val="21"/>
                <w:highlight w:val="none"/>
              </w:rPr>
            </w:pPr>
          </w:p>
        </w:tc>
      </w:tr>
      <w:tr w14:paraId="4C08D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14:paraId="346F43CC">
            <w:pPr>
              <w:snapToGrid w:val="0"/>
              <w:spacing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3</w:t>
            </w:r>
          </w:p>
        </w:tc>
        <w:tc>
          <w:tcPr>
            <w:tcW w:w="1260" w:type="dxa"/>
            <w:noWrap w:val="0"/>
            <w:vAlign w:val="center"/>
          </w:tcPr>
          <w:p w14:paraId="17367402">
            <w:pPr>
              <w:snapToGrid w:val="0"/>
              <w:spacing w:line="360" w:lineRule="auto"/>
              <w:jc w:val="center"/>
              <w:rPr>
                <w:rFonts w:hint="eastAsia" w:ascii="仿宋" w:hAnsi="仿宋" w:eastAsia="仿宋" w:cs="仿宋"/>
                <w:color w:val="000000"/>
                <w:szCs w:val="21"/>
                <w:highlight w:val="none"/>
              </w:rPr>
            </w:pPr>
          </w:p>
        </w:tc>
        <w:tc>
          <w:tcPr>
            <w:tcW w:w="851" w:type="dxa"/>
            <w:noWrap w:val="0"/>
            <w:vAlign w:val="top"/>
          </w:tcPr>
          <w:p w14:paraId="7E61A68F">
            <w:pPr>
              <w:snapToGrid w:val="0"/>
              <w:spacing w:line="360" w:lineRule="auto"/>
              <w:jc w:val="center"/>
              <w:rPr>
                <w:rFonts w:hint="eastAsia" w:ascii="仿宋" w:hAnsi="仿宋" w:eastAsia="仿宋" w:cs="仿宋"/>
                <w:color w:val="000000"/>
                <w:szCs w:val="21"/>
                <w:highlight w:val="none"/>
              </w:rPr>
            </w:pPr>
          </w:p>
        </w:tc>
        <w:tc>
          <w:tcPr>
            <w:tcW w:w="980" w:type="dxa"/>
            <w:noWrap w:val="0"/>
            <w:vAlign w:val="center"/>
          </w:tcPr>
          <w:p w14:paraId="0373FBF2">
            <w:pPr>
              <w:snapToGrid w:val="0"/>
              <w:spacing w:line="360" w:lineRule="auto"/>
              <w:jc w:val="center"/>
              <w:rPr>
                <w:rFonts w:hint="eastAsia" w:ascii="仿宋" w:hAnsi="仿宋" w:eastAsia="仿宋" w:cs="仿宋"/>
                <w:color w:val="000000"/>
                <w:szCs w:val="21"/>
                <w:highlight w:val="none"/>
              </w:rPr>
            </w:pPr>
          </w:p>
        </w:tc>
        <w:tc>
          <w:tcPr>
            <w:tcW w:w="992" w:type="dxa"/>
            <w:noWrap w:val="0"/>
            <w:vAlign w:val="center"/>
          </w:tcPr>
          <w:p w14:paraId="6320F932">
            <w:pPr>
              <w:snapToGrid w:val="0"/>
              <w:spacing w:line="360" w:lineRule="auto"/>
              <w:jc w:val="center"/>
              <w:rPr>
                <w:rFonts w:hint="eastAsia" w:ascii="仿宋" w:hAnsi="仿宋" w:eastAsia="仿宋" w:cs="仿宋"/>
                <w:color w:val="000000"/>
                <w:szCs w:val="21"/>
                <w:highlight w:val="none"/>
              </w:rPr>
            </w:pPr>
          </w:p>
        </w:tc>
        <w:tc>
          <w:tcPr>
            <w:tcW w:w="1276" w:type="dxa"/>
            <w:noWrap w:val="0"/>
            <w:vAlign w:val="center"/>
          </w:tcPr>
          <w:p w14:paraId="5E4856C8">
            <w:pPr>
              <w:snapToGrid w:val="0"/>
              <w:spacing w:line="360" w:lineRule="auto"/>
              <w:jc w:val="center"/>
              <w:rPr>
                <w:rFonts w:hint="eastAsia" w:ascii="仿宋" w:hAnsi="仿宋" w:eastAsia="仿宋" w:cs="仿宋"/>
                <w:color w:val="000000"/>
                <w:szCs w:val="21"/>
                <w:highlight w:val="none"/>
              </w:rPr>
            </w:pPr>
          </w:p>
        </w:tc>
        <w:tc>
          <w:tcPr>
            <w:tcW w:w="1134" w:type="dxa"/>
            <w:noWrap w:val="0"/>
            <w:vAlign w:val="center"/>
          </w:tcPr>
          <w:p w14:paraId="3EA768D2">
            <w:pPr>
              <w:snapToGrid w:val="0"/>
              <w:spacing w:line="360" w:lineRule="auto"/>
              <w:jc w:val="center"/>
              <w:rPr>
                <w:rFonts w:hint="eastAsia" w:ascii="仿宋" w:hAnsi="仿宋" w:eastAsia="仿宋" w:cs="仿宋"/>
                <w:color w:val="000000"/>
                <w:szCs w:val="21"/>
                <w:highlight w:val="none"/>
              </w:rPr>
            </w:pPr>
          </w:p>
        </w:tc>
        <w:tc>
          <w:tcPr>
            <w:tcW w:w="1695" w:type="dxa"/>
            <w:noWrap w:val="0"/>
            <w:vAlign w:val="center"/>
          </w:tcPr>
          <w:p w14:paraId="7C5C7CAC">
            <w:pPr>
              <w:snapToGrid w:val="0"/>
              <w:spacing w:line="360" w:lineRule="auto"/>
              <w:jc w:val="center"/>
              <w:rPr>
                <w:rFonts w:hint="eastAsia" w:ascii="仿宋" w:hAnsi="仿宋" w:eastAsia="仿宋" w:cs="仿宋"/>
                <w:color w:val="000000"/>
                <w:szCs w:val="21"/>
                <w:highlight w:val="none"/>
              </w:rPr>
            </w:pPr>
          </w:p>
        </w:tc>
      </w:tr>
      <w:tr w14:paraId="61C2D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14:paraId="39550F47">
            <w:pPr>
              <w:snapToGrid w:val="0"/>
              <w:spacing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4</w:t>
            </w:r>
          </w:p>
        </w:tc>
        <w:tc>
          <w:tcPr>
            <w:tcW w:w="1260" w:type="dxa"/>
            <w:noWrap w:val="0"/>
            <w:vAlign w:val="center"/>
          </w:tcPr>
          <w:p w14:paraId="038D7775">
            <w:pPr>
              <w:snapToGrid w:val="0"/>
              <w:spacing w:line="360" w:lineRule="auto"/>
              <w:jc w:val="center"/>
              <w:rPr>
                <w:rFonts w:hint="eastAsia" w:ascii="仿宋" w:hAnsi="仿宋" w:eastAsia="仿宋" w:cs="仿宋"/>
                <w:color w:val="000000"/>
                <w:szCs w:val="21"/>
                <w:highlight w:val="none"/>
              </w:rPr>
            </w:pPr>
          </w:p>
        </w:tc>
        <w:tc>
          <w:tcPr>
            <w:tcW w:w="851" w:type="dxa"/>
            <w:noWrap w:val="0"/>
            <w:vAlign w:val="top"/>
          </w:tcPr>
          <w:p w14:paraId="7D860E39">
            <w:pPr>
              <w:snapToGrid w:val="0"/>
              <w:spacing w:line="360" w:lineRule="auto"/>
              <w:jc w:val="center"/>
              <w:rPr>
                <w:rFonts w:hint="eastAsia" w:ascii="仿宋" w:hAnsi="仿宋" w:eastAsia="仿宋" w:cs="仿宋"/>
                <w:color w:val="000000"/>
                <w:szCs w:val="21"/>
                <w:highlight w:val="none"/>
              </w:rPr>
            </w:pPr>
          </w:p>
        </w:tc>
        <w:tc>
          <w:tcPr>
            <w:tcW w:w="980" w:type="dxa"/>
            <w:noWrap w:val="0"/>
            <w:vAlign w:val="center"/>
          </w:tcPr>
          <w:p w14:paraId="7FB6050F">
            <w:pPr>
              <w:snapToGrid w:val="0"/>
              <w:spacing w:line="360" w:lineRule="auto"/>
              <w:jc w:val="center"/>
              <w:rPr>
                <w:rFonts w:hint="eastAsia" w:ascii="仿宋" w:hAnsi="仿宋" w:eastAsia="仿宋" w:cs="仿宋"/>
                <w:color w:val="000000"/>
                <w:szCs w:val="21"/>
                <w:highlight w:val="none"/>
              </w:rPr>
            </w:pPr>
          </w:p>
        </w:tc>
        <w:tc>
          <w:tcPr>
            <w:tcW w:w="992" w:type="dxa"/>
            <w:noWrap w:val="0"/>
            <w:vAlign w:val="center"/>
          </w:tcPr>
          <w:p w14:paraId="35DF097D">
            <w:pPr>
              <w:snapToGrid w:val="0"/>
              <w:spacing w:line="360" w:lineRule="auto"/>
              <w:jc w:val="center"/>
              <w:rPr>
                <w:rFonts w:hint="eastAsia" w:ascii="仿宋" w:hAnsi="仿宋" w:eastAsia="仿宋" w:cs="仿宋"/>
                <w:color w:val="000000"/>
                <w:szCs w:val="21"/>
                <w:highlight w:val="none"/>
              </w:rPr>
            </w:pPr>
          </w:p>
        </w:tc>
        <w:tc>
          <w:tcPr>
            <w:tcW w:w="1276" w:type="dxa"/>
            <w:noWrap w:val="0"/>
            <w:vAlign w:val="center"/>
          </w:tcPr>
          <w:p w14:paraId="5D76DF87">
            <w:pPr>
              <w:snapToGrid w:val="0"/>
              <w:spacing w:line="360" w:lineRule="auto"/>
              <w:jc w:val="center"/>
              <w:rPr>
                <w:rFonts w:hint="eastAsia" w:ascii="仿宋" w:hAnsi="仿宋" w:eastAsia="仿宋" w:cs="仿宋"/>
                <w:color w:val="000000"/>
                <w:szCs w:val="21"/>
                <w:highlight w:val="none"/>
              </w:rPr>
            </w:pPr>
          </w:p>
        </w:tc>
        <w:tc>
          <w:tcPr>
            <w:tcW w:w="1134" w:type="dxa"/>
            <w:noWrap w:val="0"/>
            <w:vAlign w:val="center"/>
          </w:tcPr>
          <w:p w14:paraId="56AC7B1D">
            <w:pPr>
              <w:snapToGrid w:val="0"/>
              <w:spacing w:line="360" w:lineRule="auto"/>
              <w:jc w:val="center"/>
              <w:rPr>
                <w:rFonts w:hint="eastAsia" w:ascii="仿宋" w:hAnsi="仿宋" w:eastAsia="仿宋" w:cs="仿宋"/>
                <w:color w:val="000000"/>
                <w:szCs w:val="21"/>
                <w:highlight w:val="none"/>
              </w:rPr>
            </w:pPr>
          </w:p>
        </w:tc>
        <w:tc>
          <w:tcPr>
            <w:tcW w:w="1695" w:type="dxa"/>
            <w:noWrap w:val="0"/>
            <w:vAlign w:val="center"/>
          </w:tcPr>
          <w:p w14:paraId="6D4A76B2">
            <w:pPr>
              <w:snapToGrid w:val="0"/>
              <w:spacing w:line="360" w:lineRule="auto"/>
              <w:jc w:val="center"/>
              <w:rPr>
                <w:rFonts w:hint="eastAsia" w:ascii="仿宋" w:hAnsi="仿宋" w:eastAsia="仿宋" w:cs="仿宋"/>
                <w:color w:val="000000"/>
                <w:szCs w:val="21"/>
                <w:highlight w:val="none"/>
              </w:rPr>
            </w:pPr>
          </w:p>
        </w:tc>
      </w:tr>
      <w:tr w14:paraId="7629C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14:paraId="09F0446E">
            <w:pPr>
              <w:snapToGrid w:val="0"/>
              <w:spacing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w:t>
            </w:r>
          </w:p>
        </w:tc>
        <w:tc>
          <w:tcPr>
            <w:tcW w:w="1260" w:type="dxa"/>
            <w:noWrap w:val="0"/>
            <w:vAlign w:val="center"/>
          </w:tcPr>
          <w:p w14:paraId="7667CF42">
            <w:pPr>
              <w:snapToGrid w:val="0"/>
              <w:spacing w:line="360" w:lineRule="auto"/>
              <w:jc w:val="center"/>
              <w:rPr>
                <w:rFonts w:hint="eastAsia" w:ascii="仿宋" w:hAnsi="仿宋" w:eastAsia="仿宋" w:cs="仿宋"/>
                <w:color w:val="000000"/>
                <w:szCs w:val="21"/>
                <w:highlight w:val="none"/>
              </w:rPr>
            </w:pPr>
          </w:p>
        </w:tc>
        <w:tc>
          <w:tcPr>
            <w:tcW w:w="851" w:type="dxa"/>
            <w:noWrap w:val="0"/>
            <w:vAlign w:val="top"/>
          </w:tcPr>
          <w:p w14:paraId="4E6BD658">
            <w:pPr>
              <w:snapToGrid w:val="0"/>
              <w:spacing w:line="360" w:lineRule="auto"/>
              <w:jc w:val="center"/>
              <w:rPr>
                <w:rFonts w:hint="eastAsia" w:ascii="仿宋" w:hAnsi="仿宋" w:eastAsia="仿宋" w:cs="仿宋"/>
                <w:color w:val="000000"/>
                <w:szCs w:val="21"/>
                <w:highlight w:val="none"/>
              </w:rPr>
            </w:pPr>
          </w:p>
        </w:tc>
        <w:tc>
          <w:tcPr>
            <w:tcW w:w="980" w:type="dxa"/>
            <w:noWrap w:val="0"/>
            <w:vAlign w:val="center"/>
          </w:tcPr>
          <w:p w14:paraId="31553002">
            <w:pPr>
              <w:snapToGrid w:val="0"/>
              <w:spacing w:line="360" w:lineRule="auto"/>
              <w:jc w:val="center"/>
              <w:rPr>
                <w:rFonts w:hint="eastAsia" w:ascii="仿宋" w:hAnsi="仿宋" w:eastAsia="仿宋" w:cs="仿宋"/>
                <w:color w:val="000000"/>
                <w:szCs w:val="21"/>
                <w:highlight w:val="none"/>
              </w:rPr>
            </w:pPr>
          </w:p>
        </w:tc>
        <w:tc>
          <w:tcPr>
            <w:tcW w:w="992" w:type="dxa"/>
            <w:noWrap w:val="0"/>
            <w:vAlign w:val="center"/>
          </w:tcPr>
          <w:p w14:paraId="4F3EA05F">
            <w:pPr>
              <w:snapToGrid w:val="0"/>
              <w:spacing w:line="360" w:lineRule="auto"/>
              <w:jc w:val="center"/>
              <w:rPr>
                <w:rFonts w:hint="eastAsia" w:ascii="仿宋" w:hAnsi="仿宋" w:eastAsia="仿宋" w:cs="仿宋"/>
                <w:color w:val="000000"/>
                <w:szCs w:val="21"/>
                <w:highlight w:val="none"/>
              </w:rPr>
            </w:pPr>
          </w:p>
        </w:tc>
        <w:tc>
          <w:tcPr>
            <w:tcW w:w="1276" w:type="dxa"/>
            <w:noWrap w:val="0"/>
            <w:vAlign w:val="center"/>
          </w:tcPr>
          <w:p w14:paraId="72279A49">
            <w:pPr>
              <w:snapToGrid w:val="0"/>
              <w:spacing w:line="360" w:lineRule="auto"/>
              <w:jc w:val="center"/>
              <w:rPr>
                <w:rFonts w:hint="eastAsia" w:ascii="仿宋" w:hAnsi="仿宋" w:eastAsia="仿宋" w:cs="仿宋"/>
                <w:color w:val="000000"/>
                <w:szCs w:val="21"/>
                <w:highlight w:val="none"/>
              </w:rPr>
            </w:pPr>
          </w:p>
        </w:tc>
        <w:tc>
          <w:tcPr>
            <w:tcW w:w="1134" w:type="dxa"/>
            <w:noWrap w:val="0"/>
            <w:vAlign w:val="center"/>
          </w:tcPr>
          <w:p w14:paraId="49F5CEF9">
            <w:pPr>
              <w:snapToGrid w:val="0"/>
              <w:spacing w:line="360" w:lineRule="auto"/>
              <w:jc w:val="center"/>
              <w:rPr>
                <w:rFonts w:hint="eastAsia" w:ascii="仿宋" w:hAnsi="仿宋" w:eastAsia="仿宋" w:cs="仿宋"/>
                <w:color w:val="000000"/>
                <w:szCs w:val="21"/>
                <w:highlight w:val="none"/>
              </w:rPr>
            </w:pPr>
          </w:p>
        </w:tc>
        <w:tc>
          <w:tcPr>
            <w:tcW w:w="1695" w:type="dxa"/>
            <w:noWrap w:val="0"/>
            <w:vAlign w:val="center"/>
          </w:tcPr>
          <w:p w14:paraId="2AE2ABEC">
            <w:pPr>
              <w:snapToGrid w:val="0"/>
              <w:spacing w:line="360" w:lineRule="auto"/>
              <w:jc w:val="center"/>
              <w:rPr>
                <w:rFonts w:hint="eastAsia" w:ascii="仿宋" w:hAnsi="仿宋" w:eastAsia="仿宋" w:cs="仿宋"/>
                <w:color w:val="000000"/>
                <w:szCs w:val="21"/>
                <w:highlight w:val="none"/>
              </w:rPr>
            </w:pPr>
          </w:p>
        </w:tc>
      </w:tr>
      <w:tr w14:paraId="05903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14:paraId="7EA44432">
            <w:pPr>
              <w:snapToGrid w:val="0"/>
              <w:spacing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w:t>
            </w:r>
          </w:p>
        </w:tc>
        <w:tc>
          <w:tcPr>
            <w:tcW w:w="1260" w:type="dxa"/>
            <w:noWrap w:val="0"/>
            <w:vAlign w:val="center"/>
          </w:tcPr>
          <w:p w14:paraId="1191779E">
            <w:pPr>
              <w:snapToGrid w:val="0"/>
              <w:spacing w:line="360" w:lineRule="auto"/>
              <w:jc w:val="center"/>
              <w:rPr>
                <w:rFonts w:hint="eastAsia" w:ascii="仿宋" w:hAnsi="仿宋" w:eastAsia="仿宋" w:cs="仿宋"/>
                <w:color w:val="000000"/>
                <w:szCs w:val="21"/>
                <w:highlight w:val="none"/>
              </w:rPr>
            </w:pPr>
          </w:p>
        </w:tc>
        <w:tc>
          <w:tcPr>
            <w:tcW w:w="851" w:type="dxa"/>
            <w:noWrap w:val="0"/>
            <w:vAlign w:val="top"/>
          </w:tcPr>
          <w:p w14:paraId="47A0CE07">
            <w:pPr>
              <w:snapToGrid w:val="0"/>
              <w:spacing w:line="360" w:lineRule="auto"/>
              <w:jc w:val="center"/>
              <w:rPr>
                <w:rFonts w:hint="eastAsia" w:ascii="仿宋" w:hAnsi="仿宋" w:eastAsia="仿宋" w:cs="仿宋"/>
                <w:color w:val="000000"/>
                <w:szCs w:val="21"/>
                <w:highlight w:val="none"/>
              </w:rPr>
            </w:pPr>
          </w:p>
        </w:tc>
        <w:tc>
          <w:tcPr>
            <w:tcW w:w="980" w:type="dxa"/>
            <w:noWrap w:val="0"/>
            <w:vAlign w:val="center"/>
          </w:tcPr>
          <w:p w14:paraId="669DF719">
            <w:pPr>
              <w:snapToGrid w:val="0"/>
              <w:spacing w:line="360" w:lineRule="auto"/>
              <w:jc w:val="center"/>
              <w:rPr>
                <w:rFonts w:hint="eastAsia" w:ascii="仿宋" w:hAnsi="仿宋" w:eastAsia="仿宋" w:cs="仿宋"/>
                <w:color w:val="000000"/>
                <w:szCs w:val="21"/>
                <w:highlight w:val="none"/>
              </w:rPr>
            </w:pPr>
          </w:p>
        </w:tc>
        <w:tc>
          <w:tcPr>
            <w:tcW w:w="992" w:type="dxa"/>
            <w:noWrap w:val="0"/>
            <w:vAlign w:val="center"/>
          </w:tcPr>
          <w:p w14:paraId="17EE0AC0">
            <w:pPr>
              <w:snapToGrid w:val="0"/>
              <w:spacing w:line="360" w:lineRule="auto"/>
              <w:jc w:val="center"/>
              <w:rPr>
                <w:rFonts w:hint="eastAsia" w:ascii="仿宋" w:hAnsi="仿宋" w:eastAsia="仿宋" w:cs="仿宋"/>
                <w:color w:val="000000"/>
                <w:szCs w:val="21"/>
                <w:highlight w:val="none"/>
              </w:rPr>
            </w:pPr>
          </w:p>
        </w:tc>
        <w:tc>
          <w:tcPr>
            <w:tcW w:w="1276" w:type="dxa"/>
            <w:noWrap w:val="0"/>
            <w:vAlign w:val="center"/>
          </w:tcPr>
          <w:p w14:paraId="7B704469">
            <w:pPr>
              <w:snapToGrid w:val="0"/>
              <w:spacing w:line="360" w:lineRule="auto"/>
              <w:jc w:val="center"/>
              <w:rPr>
                <w:rFonts w:hint="eastAsia" w:ascii="仿宋" w:hAnsi="仿宋" w:eastAsia="仿宋" w:cs="仿宋"/>
                <w:color w:val="000000"/>
                <w:szCs w:val="21"/>
                <w:highlight w:val="none"/>
              </w:rPr>
            </w:pPr>
          </w:p>
        </w:tc>
        <w:tc>
          <w:tcPr>
            <w:tcW w:w="1134" w:type="dxa"/>
            <w:noWrap w:val="0"/>
            <w:vAlign w:val="center"/>
          </w:tcPr>
          <w:p w14:paraId="0F959F1C">
            <w:pPr>
              <w:snapToGrid w:val="0"/>
              <w:spacing w:line="360" w:lineRule="auto"/>
              <w:jc w:val="center"/>
              <w:rPr>
                <w:rFonts w:hint="eastAsia" w:ascii="仿宋" w:hAnsi="仿宋" w:eastAsia="仿宋" w:cs="仿宋"/>
                <w:color w:val="000000"/>
                <w:szCs w:val="21"/>
                <w:highlight w:val="none"/>
              </w:rPr>
            </w:pPr>
          </w:p>
        </w:tc>
        <w:tc>
          <w:tcPr>
            <w:tcW w:w="1695" w:type="dxa"/>
            <w:noWrap w:val="0"/>
            <w:vAlign w:val="center"/>
          </w:tcPr>
          <w:p w14:paraId="59D9E609">
            <w:pPr>
              <w:snapToGrid w:val="0"/>
              <w:spacing w:line="360" w:lineRule="auto"/>
              <w:jc w:val="center"/>
              <w:rPr>
                <w:rFonts w:hint="eastAsia" w:ascii="仿宋" w:hAnsi="仿宋" w:eastAsia="仿宋" w:cs="仿宋"/>
                <w:color w:val="000000"/>
                <w:szCs w:val="21"/>
                <w:highlight w:val="none"/>
              </w:rPr>
            </w:pPr>
          </w:p>
        </w:tc>
      </w:tr>
    </w:tbl>
    <w:p w14:paraId="5066A089">
      <w:pPr>
        <w:adjustRightInd w:val="0"/>
        <w:snapToGrid w:val="0"/>
        <w:spacing w:before="240" w:line="360" w:lineRule="auto"/>
        <w:ind w:firstLine="482" w:firstLineChars="200"/>
        <w:jc w:val="lef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注：需按照采购需求中的相关要求，列明本项目服务团队所有人员信息及职责分工。</w:t>
      </w:r>
    </w:p>
    <w:p w14:paraId="4354C3BD">
      <w:pPr>
        <w:rPr>
          <w:rFonts w:hint="eastAsia" w:ascii="仿宋" w:hAnsi="仿宋" w:eastAsia="仿宋" w:cs="仿宋"/>
          <w:color w:val="000000"/>
          <w:highlight w:val="none"/>
        </w:rPr>
      </w:pPr>
      <w:r>
        <w:rPr>
          <w:rFonts w:hint="eastAsia" w:ascii="仿宋" w:hAnsi="仿宋" w:eastAsia="仿宋" w:cs="仿宋"/>
          <w:color w:val="000000"/>
          <w:highlight w:val="none"/>
        </w:rPr>
        <w:br w:type="page"/>
      </w:r>
    </w:p>
    <w:p w14:paraId="2AB5CD25">
      <w:pPr>
        <w:pStyle w:val="6"/>
        <w:spacing w:before="0" w:after="0"/>
        <w:rPr>
          <w:rFonts w:hint="eastAsia" w:ascii="仿宋" w:hAnsi="仿宋" w:eastAsia="仿宋" w:cs="Cambria Math"/>
          <w:color w:val="000000"/>
          <w:sz w:val="24"/>
          <w:szCs w:val="24"/>
          <w:highlight w:val="none"/>
        </w:rPr>
      </w:pPr>
      <w:r>
        <w:rPr>
          <w:rFonts w:hint="eastAsia" w:ascii="仿宋" w:hAnsi="仿宋" w:eastAsia="仿宋" w:cs="Cambria Math"/>
          <w:color w:val="000000"/>
          <w:sz w:val="24"/>
          <w:szCs w:val="24"/>
          <w:highlight w:val="none"/>
          <w:lang w:val="en-US" w:eastAsia="zh-CN"/>
        </w:rPr>
        <w:t>2、</w:t>
      </w:r>
      <w:r>
        <w:rPr>
          <w:rFonts w:hint="eastAsia" w:ascii="仿宋" w:hAnsi="仿宋" w:eastAsia="仿宋" w:cs="Cambria Math"/>
          <w:color w:val="000000"/>
          <w:sz w:val="24"/>
          <w:szCs w:val="24"/>
          <w:highlight w:val="none"/>
        </w:rPr>
        <w:t>拟派团队成员简历表</w:t>
      </w:r>
    </w:p>
    <w:p w14:paraId="745BC07F">
      <w:pPr>
        <w:rPr>
          <w:rFonts w:hint="eastAsia"/>
        </w:rPr>
      </w:pPr>
      <w:r>
        <w:rPr>
          <w:rFonts w:hint="eastAsia" w:ascii="仿宋" w:hAnsi="仿宋" w:eastAsia="仿宋" w:cs="仿宋"/>
          <w:b w:val="0"/>
          <w:bCs w:val="0"/>
          <w:color w:val="FF0000"/>
          <w:sz w:val="24"/>
          <w:szCs w:val="24"/>
          <w:highlight w:val="none"/>
        </w:rPr>
        <w:t>（可以根据项目实际情况选择是否设置）</w:t>
      </w:r>
    </w:p>
    <w:tbl>
      <w:tblPr>
        <w:tblStyle w:val="4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0"/>
        <w:gridCol w:w="321"/>
        <w:gridCol w:w="294"/>
        <w:gridCol w:w="1065"/>
        <w:gridCol w:w="909"/>
        <w:gridCol w:w="36"/>
        <w:gridCol w:w="945"/>
        <w:gridCol w:w="1287"/>
        <w:gridCol w:w="567"/>
        <w:gridCol w:w="2694"/>
      </w:tblGrid>
      <w:tr w14:paraId="542F2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8" w:hRule="atLeast"/>
        </w:trPr>
        <w:tc>
          <w:tcPr>
            <w:tcW w:w="1380" w:type="dxa"/>
            <w:noWrap w:val="0"/>
            <w:vAlign w:val="center"/>
          </w:tcPr>
          <w:p w14:paraId="518ADD37">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姓  名</w:t>
            </w:r>
          </w:p>
        </w:tc>
        <w:tc>
          <w:tcPr>
            <w:tcW w:w="1680" w:type="dxa"/>
            <w:gridSpan w:val="3"/>
            <w:noWrap w:val="0"/>
            <w:vAlign w:val="center"/>
          </w:tcPr>
          <w:p w14:paraId="5C57947E">
            <w:pPr>
              <w:jc w:val="center"/>
              <w:rPr>
                <w:rFonts w:hint="eastAsia" w:ascii="仿宋" w:hAnsi="仿宋" w:eastAsia="仿宋" w:cs="仿宋"/>
                <w:color w:val="000000"/>
                <w:sz w:val="24"/>
                <w:highlight w:val="none"/>
              </w:rPr>
            </w:pPr>
          </w:p>
        </w:tc>
        <w:tc>
          <w:tcPr>
            <w:tcW w:w="945" w:type="dxa"/>
            <w:gridSpan w:val="2"/>
            <w:noWrap w:val="0"/>
            <w:vAlign w:val="center"/>
          </w:tcPr>
          <w:p w14:paraId="1B2B73B8">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t>性 别</w:t>
            </w:r>
          </w:p>
        </w:tc>
        <w:tc>
          <w:tcPr>
            <w:tcW w:w="945" w:type="dxa"/>
            <w:noWrap w:val="0"/>
            <w:vAlign w:val="center"/>
          </w:tcPr>
          <w:p w14:paraId="31E6C1FF">
            <w:pPr>
              <w:rPr>
                <w:rFonts w:hint="eastAsia" w:ascii="仿宋" w:hAnsi="仿宋" w:eastAsia="仿宋" w:cs="仿宋"/>
                <w:color w:val="000000"/>
                <w:sz w:val="24"/>
                <w:highlight w:val="none"/>
              </w:rPr>
            </w:pPr>
          </w:p>
        </w:tc>
        <w:tc>
          <w:tcPr>
            <w:tcW w:w="1854" w:type="dxa"/>
            <w:gridSpan w:val="2"/>
            <w:noWrap w:val="0"/>
            <w:vAlign w:val="center"/>
          </w:tcPr>
          <w:p w14:paraId="5EBF58B1">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t>出 生 日 期</w:t>
            </w:r>
          </w:p>
        </w:tc>
        <w:tc>
          <w:tcPr>
            <w:tcW w:w="2694" w:type="dxa"/>
            <w:noWrap w:val="0"/>
            <w:vAlign w:val="center"/>
          </w:tcPr>
          <w:p w14:paraId="54AAED39">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年    月   日</w:t>
            </w:r>
          </w:p>
        </w:tc>
      </w:tr>
      <w:tr w14:paraId="65670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1380" w:type="dxa"/>
            <w:noWrap w:val="0"/>
            <w:vAlign w:val="center"/>
          </w:tcPr>
          <w:p w14:paraId="65E4A2AB">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t>毕业院校及专业</w:t>
            </w:r>
          </w:p>
        </w:tc>
        <w:tc>
          <w:tcPr>
            <w:tcW w:w="3570" w:type="dxa"/>
            <w:gridSpan w:val="6"/>
            <w:noWrap w:val="0"/>
            <w:vAlign w:val="center"/>
          </w:tcPr>
          <w:p w14:paraId="086E9386">
            <w:pPr>
              <w:rPr>
                <w:rFonts w:hint="eastAsia" w:ascii="仿宋" w:hAnsi="仿宋" w:eastAsia="仿宋" w:cs="仿宋"/>
                <w:color w:val="000000"/>
                <w:sz w:val="24"/>
                <w:highlight w:val="none"/>
              </w:rPr>
            </w:pPr>
          </w:p>
        </w:tc>
        <w:tc>
          <w:tcPr>
            <w:tcW w:w="1854" w:type="dxa"/>
            <w:gridSpan w:val="2"/>
            <w:noWrap w:val="0"/>
            <w:vAlign w:val="center"/>
          </w:tcPr>
          <w:p w14:paraId="13074FD7">
            <w:pPr>
              <w:ind w:left="-1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学历</w:t>
            </w:r>
          </w:p>
        </w:tc>
        <w:tc>
          <w:tcPr>
            <w:tcW w:w="2694" w:type="dxa"/>
            <w:noWrap w:val="0"/>
            <w:vAlign w:val="center"/>
          </w:tcPr>
          <w:p w14:paraId="60575B70">
            <w:pPr>
              <w:ind w:left="45"/>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p>
        </w:tc>
      </w:tr>
      <w:tr w14:paraId="4F9FA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995" w:type="dxa"/>
            <w:gridSpan w:val="3"/>
            <w:noWrap w:val="0"/>
            <w:vAlign w:val="center"/>
          </w:tcPr>
          <w:p w14:paraId="178690A3">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工作年限</w:t>
            </w:r>
          </w:p>
        </w:tc>
        <w:tc>
          <w:tcPr>
            <w:tcW w:w="1974" w:type="dxa"/>
            <w:gridSpan w:val="2"/>
            <w:noWrap w:val="0"/>
            <w:vAlign w:val="center"/>
          </w:tcPr>
          <w:p w14:paraId="7D8418FD">
            <w:pPr>
              <w:rPr>
                <w:rFonts w:hint="eastAsia" w:ascii="仿宋" w:hAnsi="仿宋" w:eastAsia="仿宋" w:cs="仿宋"/>
                <w:color w:val="000000"/>
                <w:sz w:val="24"/>
                <w:highlight w:val="none"/>
              </w:rPr>
            </w:pPr>
          </w:p>
        </w:tc>
        <w:tc>
          <w:tcPr>
            <w:tcW w:w="2835" w:type="dxa"/>
            <w:gridSpan w:val="4"/>
            <w:noWrap w:val="0"/>
            <w:vAlign w:val="center"/>
          </w:tcPr>
          <w:p w14:paraId="64E39DC6">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为供应商服务时间</w:t>
            </w:r>
          </w:p>
        </w:tc>
        <w:tc>
          <w:tcPr>
            <w:tcW w:w="2694" w:type="dxa"/>
            <w:noWrap w:val="0"/>
            <w:vAlign w:val="center"/>
          </w:tcPr>
          <w:p w14:paraId="3E7366C5">
            <w:pPr>
              <w:rPr>
                <w:rFonts w:hint="eastAsia" w:ascii="仿宋" w:hAnsi="仿宋" w:eastAsia="仿宋" w:cs="仿宋"/>
                <w:color w:val="000000"/>
                <w:sz w:val="24"/>
                <w:highlight w:val="none"/>
              </w:rPr>
            </w:pPr>
          </w:p>
        </w:tc>
      </w:tr>
      <w:tr w14:paraId="521E3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995" w:type="dxa"/>
            <w:gridSpan w:val="3"/>
            <w:noWrap w:val="0"/>
            <w:vAlign w:val="center"/>
          </w:tcPr>
          <w:p w14:paraId="106F5885">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专业资质</w:t>
            </w:r>
          </w:p>
        </w:tc>
        <w:tc>
          <w:tcPr>
            <w:tcW w:w="1974" w:type="dxa"/>
            <w:gridSpan w:val="2"/>
            <w:noWrap w:val="0"/>
            <w:vAlign w:val="center"/>
          </w:tcPr>
          <w:p w14:paraId="78F67658">
            <w:pPr>
              <w:rPr>
                <w:rFonts w:hint="eastAsia" w:ascii="仿宋" w:hAnsi="仿宋" w:eastAsia="仿宋" w:cs="仿宋"/>
                <w:color w:val="000000"/>
                <w:sz w:val="24"/>
                <w:highlight w:val="none"/>
              </w:rPr>
            </w:pPr>
          </w:p>
        </w:tc>
        <w:tc>
          <w:tcPr>
            <w:tcW w:w="2835" w:type="dxa"/>
            <w:gridSpan w:val="4"/>
            <w:noWrap w:val="0"/>
            <w:vAlign w:val="center"/>
          </w:tcPr>
          <w:p w14:paraId="797E2C99">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在本项目中的职务</w:t>
            </w:r>
          </w:p>
        </w:tc>
        <w:tc>
          <w:tcPr>
            <w:tcW w:w="2694" w:type="dxa"/>
            <w:noWrap w:val="0"/>
            <w:vAlign w:val="center"/>
          </w:tcPr>
          <w:p w14:paraId="7B97E622">
            <w:pPr>
              <w:rPr>
                <w:rFonts w:hint="eastAsia" w:ascii="仿宋" w:hAnsi="仿宋" w:eastAsia="仿宋" w:cs="仿宋"/>
                <w:color w:val="000000"/>
                <w:sz w:val="24"/>
                <w:highlight w:val="none"/>
              </w:rPr>
            </w:pPr>
          </w:p>
        </w:tc>
      </w:tr>
      <w:tr w14:paraId="30499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9498" w:type="dxa"/>
            <w:gridSpan w:val="10"/>
            <w:noWrap w:val="0"/>
            <w:vAlign w:val="center"/>
          </w:tcPr>
          <w:p w14:paraId="36747BDE">
            <w:pPr>
              <w:ind w:firstLine="3360" w:firstLineChars="1400"/>
              <w:rPr>
                <w:rFonts w:hint="eastAsia" w:ascii="仿宋" w:hAnsi="仿宋" w:eastAsia="仿宋" w:cs="仿宋"/>
                <w:color w:val="000000"/>
                <w:sz w:val="24"/>
                <w:highlight w:val="none"/>
              </w:rPr>
            </w:pPr>
            <w:r>
              <w:rPr>
                <w:rFonts w:hint="eastAsia" w:ascii="仿宋" w:hAnsi="仿宋" w:eastAsia="仿宋" w:cs="仿宋"/>
                <w:color w:val="000000"/>
                <w:sz w:val="24"/>
                <w:highlight w:val="none"/>
              </w:rPr>
              <w:t>服    务    内    容</w:t>
            </w:r>
          </w:p>
        </w:tc>
      </w:tr>
      <w:tr w14:paraId="72674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28" w:hRule="atLeast"/>
        </w:trPr>
        <w:tc>
          <w:tcPr>
            <w:tcW w:w="9498" w:type="dxa"/>
            <w:gridSpan w:val="10"/>
            <w:noWrap w:val="0"/>
            <w:vAlign w:val="center"/>
          </w:tcPr>
          <w:p w14:paraId="7FA64D95">
            <w:pPr>
              <w:rPr>
                <w:rFonts w:hint="eastAsia" w:ascii="仿宋" w:hAnsi="仿宋" w:eastAsia="仿宋" w:cs="仿宋"/>
                <w:color w:val="000000"/>
                <w:sz w:val="24"/>
                <w:highlight w:val="none"/>
              </w:rPr>
            </w:pPr>
          </w:p>
        </w:tc>
      </w:tr>
      <w:tr w14:paraId="0F11B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9498" w:type="dxa"/>
            <w:gridSpan w:val="10"/>
            <w:noWrap w:val="0"/>
            <w:vAlign w:val="center"/>
          </w:tcPr>
          <w:p w14:paraId="073A8870">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主  要  经  历</w:t>
            </w:r>
          </w:p>
        </w:tc>
      </w:tr>
      <w:tr w14:paraId="384D1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1701" w:type="dxa"/>
            <w:gridSpan w:val="2"/>
            <w:noWrap w:val="0"/>
            <w:vAlign w:val="center"/>
          </w:tcPr>
          <w:p w14:paraId="1CA01190">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时   间</w:t>
            </w:r>
          </w:p>
        </w:tc>
        <w:tc>
          <w:tcPr>
            <w:tcW w:w="4536" w:type="dxa"/>
            <w:gridSpan w:val="6"/>
            <w:noWrap w:val="0"/>
            <w:vAlign w:val="center"/>
          </w:tcPr>
          <w:p w14:paraId="4539477C">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同类项目名称及简要描述</w:t>
            </w:r>
          </w:p>
        </w:tc>
        <w:tc>
          <w:tcPr>
            <w:tcW w:w="3261" w:type="dxa"/>
            <w:gridSpan w:val="2"/>
            <w:noWrap w:val="0"/>
            <w:vAlign w:val="center"/>
          </w:tcPr>
          <w:p w14:paraId="49BE59B0">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该项目中职务及工作职责</w:t>
            </w:r>
          </w:p>
        </w:tc>
      </w:tr>
      <w:tr w14:paraId="347E4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1701" w:type="dxa"/>
            <w:gridSpan w:val="2"/>
            <w:noWrap w:val="0"/>
            <w:vAlign w:val="top"/>
          </w:tcPr>
          <w:p w14:paraId="4F98425E">
            <w:pPr>
              <w:rPr>
                <w:rFonts w:hint="eastAsia" w:ascii="仿宋" w:hAnsi="仿宋" w:eastAsia="仿宋" w:cs="仿宋"/>
                <w:color w:val="000000"/>
                <w:sz w:val="24"/>
                <w:highlight w:val="none"/>
              </w:rPr>
            </w:pPr>
          </w:p>
        </w:tc>
        <w:tc>
          <w:tcPr>
            <w:tcW w:w="4536" w:type="dxa"/>
            <w:gridSpan w:val="6"/>
            <w:noWrap w:val="0"/>
            <w:vAlign w:val="top"/>
          </w:tcPr>
          <w:p w14:paraId="5F59367F">
            <w:pPr>
              <w:rPr>
                <w:rFonts w:hint="eastAsia" w:ascii="仿宋" w:hAnsi="仿宋" w:eastAsia="仿宋" w:cs="仿宋"/>
                <w:color w:val="000000"/>
                <w:sz w:val="24"/>
                <w:highlight w:val="none"/>
              </w:rPr>
            </w:pPr>
          </w:p>
        </w:tc>
        <w:tc>
          <w:tcPr>
            <w:tcW w:w="3261" w:type="dxa"/>
            <w:gridSpan w:val="2"/>
            <w:noWrap w:val="0"/>
            <w:vAlign w:val="top"/>
          </w:tcPr>
          <w:p w14:paraId="1A229443">
            <w:pPr>
              <w:rPr>
                <w:rFonts w:hint="eastAsia" w:ascii="仿宋" w:hAnsi="仿宋" w:eastAsia="仿宋" w:cs="仿宋"/>
                <w:color w:val="000000"/>
                <w:sz w:val="24"/>
                <w:highlight w:val="none"/>
              </w:rPr>
            </w:pPr>
          </w:p>
        </w:tc>
      </w:tr>
      <w:tr w14:paraId="02FCC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701" w:type="dxa"/>
            <w:gridSpan w:val="2"/>
            <w:noWrap w:val="0"/>
            <w:vAlign w:val="top"/>
          </w:tcPr>
          <w:p w14:paraId="2F6FA1C8">
            <w:pPr>
              <w:rPr>
                <w:rFonts w:hint="eastAsia" w:ascii="仿宋" w:hAnsi="仿宋" w:eastAsia="仿宋" w:cs="仿宋"/>
                <w:color w:val="000000"/>
                <w:sz w:val="24"/>
                <w:highlight w:val="none"/>
              </w:rPr>
            </w:pPr>
          </w:p>
        </w:tc>
        <w:tc>
          <w:tcPr>
            <w:tcW w:w="4536" w:type="dxa"/>
            <w:gridSpan w:val="6"/>
            <w:noWrap w:val="0"/>
            <w:vAlign w:val="top"/>
          </w:tcPr>
          <w:p w14:paraId="72E5689B">
            <w:pPr>
              <w:rPr>
                <w:rFonts w:hint="eastAsia" w:ascii="仿宋" w:hAnsi="仿宋" w:eastAsia="仿宋" w:cs="仿宋"/>
                <w:color w:val="000000"/>
                <w:sz w:val="24"/>
                <w:highlight w:val="none"/>
              </w:rPr>
            </w:pPr>
          </w:p>
        </w:tc>
        <w:tc>
          <w:tcPr>
            <w:tcW w:w="3261" w:type="dxa"/>
            <w:gridSpan w:val="2"/>
            <w:noWrap w:val="0"/>
            <w:vAlign w:val="top"/>
          </w:tcPr>
          <w:p w14:paraId="486EA91B">
            <w:pPr>
              <w:rPr>
                <w:rFonts w:hint="eastAsia" w:ascii="仿宋" w:hAnsi="仿宋" w:eastAsia="仿宋" w:cs="仿宋"/>
                <w:color w:val="000000"/>
                <w:sz w:val="24"/>
                <w:highlight w:val="none"/>
              </w:rPr>
            </w:pPr>
          </w:p>
        </w:tc>
      </w:tr>
      <w:tr w14:paraId="60856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701" w:type="dxa"/>
            <w:gridSpan w:val="2"/>
            <w:noWrap w:val="0"/>
            <w:vAlign w:val="top"/>
          </w:tcPr>
          <w:p w14:paraId="5A0867D3">
            <w:pPr>
              <w:rPr>
                <w:rFonts w:hint="eastAsia" w:ascii="仿宋" w:hAnsi="仿宋" w:eastAsia="仿宋" w:cs="仿宋"/>
                <w:color w:val="000000"/>
                <w:sz w:val="24"/>
                <w:highlight w:val="none"/>
              </w:rPr>
            </w:pPr>
          </w:p>
        </w:tc>
        <w:tc>
          <w:tcPr>
            <w:tcW w:w="4536" w:type="dxa"/>
            <w:gridSpan w:val="6"/>
            <w:noWrap w:val="0"/>
            <w:vAlign w:val="top"/>
          </w:tcPr>
          <w:p w14:paraId="35F4F138">
            <w:pPr>
              <w:rPr>
                <w:rFonts w:hint="eastAsia" w:ascii="仿宋" w:hAnsi="仿宋" w:eastAsia="仿宋" w:cs="仿宋"/>
                <w:color w:val="000000"/>
                <w:sz w:val="24"/>
                <w:highlight w:val="none"/>
              </w:rPr>
            </w:pPr>
          </w:p>
        </w:tc>
        <w:tc>
          <w:tcPr>
            <w:tcW w:w="3261" w:type="dxa"/>
            <w:gridSpan w:val="2"/>
            <w:noWrap w:val="0"/>
            <w:vAlign w:val="top"/>
          </w:tcPr>
          <w:p w14:paraId="18D19D39">
            <w:pPr>
              <w:rPr>
                <w:rFonts w:hint="eastAsia" w:ascii="仿宋" w:hAnsi="仿宋" w:eastAsia="仿宋" w:cs="仿宋"/>
                <w:color w:val="000000"/>
                <w:sz w:val="24"/>
                <w:highlight w:val="none"/>
              </w:rPr>
            </w:pPr>
          </w:p>
        </w:tc>
      </w:tr>
      <w:tr w14:paraId="5816A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1701" w:type="dxa"/>
            <w:gridSpan w:val="2"/>
            <w:noWrap w:val="0"/>
            <w:vAlign w:val="top"/>
          </w:tcPr>
          <w:p w14:paraId="1738B107">
            <w:pPr>
              <w:rPr>
                <w:rFonts w:hint="eastAsia" w:ascii="仿宋" w:hAnsi="仿宋" w:eastAsia="仿宋" w:cs="仿宋"/>
                <w:color w:val="000000"/>
                <w:sz w:val="24"/>
                <w:highlight w:val="none"/>
              </w:rPr>
            </w:pPr>
          </w:p>
        </w:tc>
        <w:tc>
          <w:tcPr>
            <w:tcW w:w="4536" w:type="dxa"/>
            <w:gridSpan w:val="6"/>
            <w:noWrap w:val="0"/>
            <w:vAlign w:val="top"/>
          </w:tcPr>
          <w:p w14:paraId="569AA24A">
            <w:pPr>
              <w:rPr>
                <w:rFonts w:hint="eastAsia" w:ascii="仿宋" w:hAnsi="仿宋" w:eastAsia="仿宋" w:cs="仿宋"/>
                <w:color w:val="000000"/>
                <w:sz w:val="24"/>
                <w:highlight w:val="none"/>
              </w:rPr>
            </w:pPr>
          </w:p>
        </w:tc>
        <w:tc>
          <w:tcPr>
            <w:tcW w:w="3261" w:type="dxa"/>
            <w:gridSpan w:val="2"/>
            <w:noWrap w:val="0"/>
            <w:vAlign w:val="top"/>
          </w:tcPr>
          <w:p w14:paraId="2E1F176B">
            <w:pPr>
              <w:rPr>
                <w:rFonts w:hint="eastAsia" w:ascii="仿宋" w:hAnsi="仿宋" w:eastAsia="仿宋" w:cs="仿宋"/>
                <w:color w:val="000000"/>
                <w:sz w:val="24"/>
                <w:highlight w:val="none"/>
              </w:rPr>
            </w:pPr>
          </w:p>
        </w:tc>
      </w:tr>
    </w:tbl>
    <w:p w14:paraId="50BEAF1A">
      <w:pPr>
        <w:spacing w:before="240"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注：</w:t>
      </w:r>
    </w:p>
    <w:p w14:paraId="130485C2">
      <w:pPr>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1、需随此表附上团队成员的身份证、毕业证、专业资质证书、同类项目实施经验证明等材料。</w:t>
      </w:r>
    </w:p>
    <w:p w14:paraId="5984F1C5">
      <w:pPr>
        <w:spacing w:line="360" w:lineRule="auto"/>
        <w:jc w:val="lef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2、“先附简历、再附材料”为一个人员的完整材料，人员简历排放顺序需与人员汇总表一致。</w:t>
      </w:r>
    </w:p>
    <w:p w14:paraId="5EDED690">
      <w:pPr>
        <w:spacing w:line="360" w:lineRule="auto"/>
        <w:rPr>
          <w:rFonts w:hint="eastAsia" w:ascii="仿宋" w:hAnsi="仿宋" w:eastAsia="仿宋" w:cs="仿宋"/>
          <w:color w:val="000000"/>
          <w:highlight w:val="none"/>
        </w:rPr>
      </w:pPr>
    </w:p>
    <w:p w14:paraId="67BD3AF7">
      <w:pPr>
        <w:rPr>
          <w:rFonts w:hint="eastAsia" w:ascii="仿宋" w:hAnsi="仿宋" w:eastAsia="仿宋" w:cs="仿宋"/>
          <w:color w:val="000000"/>
          <w:highlight w:val="none"/>
        </w:rPr>
      </w:pPr>
    </w:p>
    <w:p w14:paraId="225E08C1">
      <w:pPr>
        <w:rPr>
          <w:rFonts w:hint="eastAsia" w:ascii="仿宋" w:hAnsi="仿宋" w:eastAsia="仿宋" w:cs="仿宋"/>
          <w:color w:val="000000"/>
          <w:highlight w:val="none"/>
        </w:rPr>
      </w:pPr>
      <w:r>
        <w:rPr>
          <w:rFonts w:hint="eastAsia" w:ascii="仿宋" w:hAnsi="仿宋" w:eastAsia="仿宋" w:cs="仿宋"/>
          <w:color w:val="000000"/>
          <w:highlight w:val="none"/>
        </w:rPr>
        <w:br w:type="page"/>
      </w:r>
    </w:p>
    <w:p w14:paraId="0B38D7E9">
      <w:pPr>
        <w:pStyle w:val="5"/>
        <w:numPr>
          <w:ilvl w:val="0"/>
          <w:numId w:val="0"/>
        </w:numPr>
        <w:spacing w:before="0" w:after="0" w:line="360" w:lineRule="auto"/>
        <w:rPr>
          <w:rFonts w:hint="eastAsia" w:ascii="仿宋" w:hAnsi="仿宋" w:eastAsia="仿宋" w:cs="仿宋"/>
          <w:color w:val="000000"/>
          <w:sz w:val="24"/>
          <w:szCs w:val="24"/>
          <w:highlight w:val="none"/>
        </w:rPr>
      </w:pPr>
      <w:bookmarkStart w:id="303" w:name="_Toc12166"/>
      <w:r>
        <w:rPr>
          <w:rFonts w:hint="eastAsia" w:ascii="仿宋" w:hAnsi="仿宋" w:eastAsia="仿宋" w:cs="仿宋"/>
          <w:color w:val="000000"/>
          <w:sz w:val="24"/>
          <w:szCs w:val="24"/>
          <w:highlight w:val="none"/>
        </w:rPr>
        <w:t>（三）</w:t>
      </w:r>
      <w:bookmarkEnd w:id="274"/>
      <w:bookmarkEnd w:id="275"/>
      <w:bookmarkEnd w:id="276"/>
      <w:bookmarkEnd w:id="277"/>
      <w:bookmarkEnd w:id="278"/>
      <w:bookmarkEnd w:id="279"/>
      <w:bookmarkEnd w:id="301"/>
      <w:bookmarkEnd w:id="302"/>
      <w:r>
        <w:rPr>
          <w:rFonts w:hint="eastAsia" w:ascii="仿宋" w:hAnsi="仿宋" w:eastAsia="仿宋" w:cs="仿宋"/>
          <w:color w:val="000000"/>
          <w:sz w:val="24"/>
          <w:szCs w:val="24"/>
          <w:highlight w:val="none"/>
        </w:rPr>
        <w:t>其他材料</w:t>
      </w:r>
      <w:bookmarkEnd w:id="303"/>
    </w:p>
    <w:p w14:paraId="5FA78E71">
      <w:pPr>
        <w:spacing w:line="360" w:lineRule="auto"/>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供应商</w:t>
      </w:r>
      <w:r>
        <w:rPr>
          <w:rFonts w:ascii="仿宋" w:hAnsi="仿宋" w:eastAsia="仿宋" w:cs="Cambria Math"/>
          <w:color w:val="000000"/>
          <w:sz w:val="24"/>
          <w:highlight w:val="none"/>
        </w:rPr>
        <w:t>认为需提供的其他材料</w:t>
      </w:r>
      <w:r>
        <w:rPr>
          <w:rFonts w:hint="eastAsia" w:ascii="仿宋" w:hAnsi="仿宋" w:eastAsia="仿宋" w:cs="Cambria Math"/>
          <w:color w:val="000000"/>
          <w:sz w:val="24"/>
          <w:highlight w:val="none"/>
        </w:rPr>
        <w:t>。</w:t>
      </w:r>
    </w:p>
    <w:p w14:paraId="1AD2CD7E">
      <w:pPr>
        <w:spacing w:line="360" w:lineRule="auto"/>
        <w:rPr>
          <w:rFonts w:hint="eastAsia" w:ascii="仿宋" w:hAnsi="仿宋" w:eastAsia="仿宋" w:cs="仿宋"/>
          <w:color w:val="000000"/>
          <w:sz w:val="24"/>
          <w:highlight w:val="none"/>
        </w:rPr>
        <w:sectPr>
          <w:pgSz w:w="11906" w:h="16838"/>
          <w:pgMar w:top="1417" w:right="1134" w:bottom="1134" w:left="1134" w:header="964" w:footer="964" w:gutter="0"/>
          <w:cols w:space="720" w:num="1"/>
          <w:docGrid w:linePitch="312" w:charSpace="0"/>
        </w:sectPr>
      </w:pPr>
    </w:p>
    <w:p w14:paraId="06FCCDA3">
      <w:pPr>
        <w:pStyle w:val="4"/>
        <w:ind w:firstLine="0" w:firstLineChars="0"/>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r>
      <w:bookmarkStart w:id="304" w:name="_Toc3694"/>
      <w:r>
        <w:rPr>
          <w:rFonts w:hint="eastAsia" w:ascii="仿宋" w:hAnsi="仿宋" w:eastAsia="仿宋" w:cs="仿宋"/>
          <w:color w:val="000000"/>
          <w:sz w:val="24"/>
          <w:szCs w:val="24"/>
          <w:highlight w:val="none"/>
        </w:rPr>
        <w:t>三、报价文件</w:t>
      </w:r>
      <w:bookmarkEnd w:id="304"/>
    </w:p>
    <w:p w14:paraId="1DAB44D4">
      <w:pPr>
        <w:pStyle w:val="5"/>
        <w:spacing w:line="360" w:lineRule="auto"/>
        <w:ind w:firstLine="0" w:firstLineChars="0"/>
        <w:jc w:val="center"/>
        <w:rPr>
          <w:rFonts w:ascii="仿宋" w:hAnsi="仿宋" w:cs="宋体"/>
          <w:color w:val="auto"/>
          <w:szCs w:val="24"/>
          <w:highlight w:val="none"/>
        </w:rPr>
      </w:pPr>
      <w:bookmarkStart w:id="305" w:name="_Toc20305"/>
      <w:bookmarkStart w:id="306" w:name="_Toc65683018"/>
      <w:bookmarkStart w:id="307" w:name="_Toc9277"/>
      <w:bookmarkStart w:id="308" w:name="_Toc109124332"/>
      <w:bookmarkStart w:id="309" w:name="_Toc3391"/>
      <w:r>
        <w:rPr>
          <w:rFonts w:ascii="仿宋" w:hAnsi="仿宋" w:cs="宋体"/>
          <w:color w:val="auto"/>
          <w:szCs w:val="24"/>
          <w:highlight w:val="none"/>
        </w:rPr>
        <w:t>（一）投标一览表</w:t>
      </w:r>
      <w:bookmarkEnd w:id="305"/>
      <w:bookmarkEnd w:id="306"/>
      <w:bookmarkEnd w:id="307"/>
      <w:bookmarkEnd w:id="308"/>
      <w:bookmarkEnd w:id="309"/>
    </w:p>
    <w:p w14:paraId="7FCC83D7">
      <w:pPr>
        <w:pStyle w:val="13"/>
        <w:spacing w:line="360" w:lineRule="auto"/>
        <w:ind w:hanging="142"/>
        <w:rPr>
          <w:rFonts w:hint="eastAsia" w:ascii="仿宋" w:hAnsi="仿宋" w:eastAsia="仿宋" w:cs="宋体"/>
          <w:color w:val="auto"/>
          <w:sz w:val="24"/>
          <w:szCs w:val="24"/>
          <w:highlight w:val="none"/>
        </w:rPr>
      </w:pPr>
    </w:p>
    <w:p w14:paraId="54CE78AF">
      <w:pPr>
        <w:pStyle w:val="13"/>
        <w:spacing w:line="360" w:lineRule="auto"/>
        <w:ind w:hanging="142"/>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项目名称：</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 xml:space="preserve">  </w:t>
      </w:r>
    </w:p>
    <w:p w14:paraId="78F7EE93">
      <w:pPr>
        <w:pStyle w:val="13"/>
        <w:spacing w:line="360" w:lineRule="auto"/>
        <w:ind w:hanging="142"/>
        <w:rPr>
          <w:rFonts w:hint="eastAsia" w:ascii="仿宋" w:hAnsi="仿宋" w:eastAsia="仿宋" w:cs="宋体"/>
          <w:color w:val="auto"/>
          <w:sz w:val="24"/>
          <w:szCs w:val="24"/>
          <w:highlight w:val="none"/>
          <w:u w:val="single"/>
        </w:rPr>
      </w:pPr>
      <w:r>
        <w:rPr>
          <w:rFonts w:hint="eastAsia" w:ascii="仿宋" w:hAnsi="仿宋" w:eastAsia="仿宋" w:cs="宋体"/>
          <w:color w:val="auto"/>
          <w:sz w:val="24"/>
          <w:szCs w:val="24"/>
          <w:highlight w:val="none"/>
        </w:rPr>
        <w:t>货币单位：</w:t>
      </w:r>
      <w:r>
        <w:rPr>
          <w:rFonts w:hint="eastAsia" w:ascii="仿宋" w:hAnsi="仿宋" w:eastAsia="仿宋" w:cs="宋体"/>
          <w:color w:val="auto"/>
          <w:sz w:val="24"/>
          <w:szCs w:val="24"/>
          <w:highlight w:val="none"/>
          <w:u w:val="single"/>
        </w:rPr>
        <w:t xml:space="preserve">  人民币/元   </w:t>
      </w:r>
    </w:p>
    <w:tbl>
      <w:tblPr>
        <w:tblStyle w:val="41"/>
        <w:tblW w:w="462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1102"/>
        <w:gridCol w:w="3656"/>
        <w:gridCol w:w="1022"/>
        <w:gridCol w:w="1757"/>
        <w:gridCol w:w="834"/>
      </w:tblGrid>
      <w:tr w14:paraId="3FFFE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8" w:hRule="atLeast"/>
          <w:jc w:val="center"/>
        </w:trPr>
        <w:tc>
          <w:tcPr>
            <w:tcW w:w="403" w:type="pct"/>
            <w:vAlign w:val="center"/>
          </w:tcPr>
          <w:p w14:paraId="28B53DD9">
            <w:pPr>
              <w:keepNext w:val="0"/>
              <w:keepLines w:val="0"/>
              <w:widowControl/>
              <w:suppressLineNumbers w:val="0"/>
              <w:spacing w:before="0" w:beforeAutospacing="0" w:after="0" w:afterAutospacing="0"/>
              <w:ind w:left="0" w:right="0"/>
              <w:jc w:val="center"/>
              <w:rPr>
                <w:rFonts w:hint="eastAsia" w:ascii="仿宋" w:hAnsi="仿宋" w:eastAsia="仿宋" w:cs="宋体"/>
                <w:b/>
                <w:bCs/>
                <w:color w:val="auto"/>
                <w:kern w:val="0"/>
                <w:szCs w:val="21"/>
                <w:highlight w:val="none"/>
              </w:rPr>
            </w:pPr>
            <w:r>
              <w:rPr>
                <w:rFonts w:hint="eastAsia" w:ascii="仿宋" w:hAnsi="仿宋" w:eastAsia="仿宋" w:cs="宋体"/>
                <w:b/>
                <w:bCs/>
                <w:color w:val="auto"/>
                <w:kern w:val="0"/>
                <w:szCs w:val="21"/>
                <w:highlight w:val="none"/>
              </w:rPr>
              <w:t>序号</w:t>
            </w:r>
          </w:p>
        </w:tc>
        <w:tc>
          <w:tcPr>
            <w:tcW w:w="2612" w:type="pct"/>
            <w:gridSpan w:val="2"/>
            <w:vAlign w:val="center"/>
          </w:tcPr>
          <w:p w14:paraId="7B4FDB39">
            <w:pPr>
              <w:keepNext w:val="0"/>
              <w:keepLines w:val="0"/>
              <w:widowControl/>
              <w:suppressLineNumbers w:val="0"/>
              <w:spacing w:before="0" w:beforeAutospacing="0" w:after="0" w:afterAutospacing="0"/>
              <w:ind w:left="0" w:right="0"/>
              <w:jc w:val="center"/>
              <w:rPr>
                <w:rFonts w:hint="eastAsia" w:ascii="仿宋" w:hAnsi="仿宋" w:eastAsia="仿宋" w:cs="宋体"/>
                <w:b/>
                <w:bCs/>
                <w:color w:val="auto"/>
                <w:kern w:val="0"/>
                <w:szCs w:val="21"/>
                <w:highlight w:val="none"/>
              </w:rPr>
            </w:pPr>
            <w:r>
              <w:rPr>
                <w:rFonts w:hint="eastAsia" w:ascii="仿宋" w:hAnsi="仿宋" w:eastAsia="仿宋" w:cs="宋体"/>
                <w:b/>
                <w:bCs/>
                <w:color w:val="auto"/>
                <w:kern w:val="0"/>
                <w:szCs w:val="21"/>
                <w:highlight w:val="none"/>
              </w:rPr>
              <w:t>报价内容</w:t>
            </w:r>
          </w:p>
        </w:tc>
        <w:tc>
          <w:tcPr>
            <w:tcW w:w="561" w:type="pct"/>
            <w:vAlign w:val="center"/>
          </w:tcPr>
          <w:p w14:paraId="1DCBEC5E">
            <w:pPr>
              <w:keepNext w:val="0"/>
              <w:keepLines w:val="0"/>
              <w:widowControl/>
              <w:suppressLineNumbers w:val="0"/>
              <w:spacing w:before="0" w:beforeAutospacing="0" w:after="0" w:afterAutospacing="0"/>
              <w:ind w:left="0" w:right="0"/>
              <w:jc w:val="center"/>
              <w:rPr>
                <w:rFonts w:hint="eastAsia" w:ascii="仿宋" w:hAnsi="仿宋" w:eastAsia="仿宋" w:cs="宋体"/>
                <w:b/>
                <w:bCs/>
                <w:color w:val="auto"/>
                <w:kern w:val="0"/>
                <w:szCs w:val="21"/>
                <w:highlight w:val="none"/>
              </w:rPr>
            </w:pPr>
            <w:r>
              <w:rPr>
                <w:rFonts w:hint="eastAsia" w:ascii="仿宋" w:hAnsi="仿宋" w:eastAsia="仿宋" w:cs="宋体"/>
                <w:b/>
                <w:bCs/>
                <w:color w:val="auto"/>
                <w:kern w:val="0"/>
                <w:szCs w:val="21"/>
                <w:highlight w:val="none"/>
              </w:rPr>
              <w:t>税率</w:t>
            </w:r>
          </w:p>
          <w:p w14:paraId="496C9635">
            <w:pPr>
              <w:keepNext w:val="0"/>
              <w:keepLines w:val="0"/>
              <w:widowControl/>
              <w:suppressLineNumbers w:val="0"/>
              <w:spacing w:before="0" w:beforeAutospacing="0" w:after="0" w:afterAutospacing="0"/>
              <w:ind w:left="0" w:right="0"/>
              <w:jc w:val="center"/>
              <w:rPr>
                <w:rFonts w:hint="eastAsia" w:ascii="仿宋" w:hAnsi="仿宋" w:eastAsia="仿宋" w:cs="宋体"/>
                <w:color w:val="auto"/>
                <w:szCs w:val="21"/>
                <w:highlight w:val="none"/>
              </w:rPr>
            </w:pPr>
            <w:r>
              <w:rPr>
                <w:rFonts w:hint="eastAsia" w:ascii="仿宋" w:hAnsi="仿宋" w:eastAsia="仿宋" w:cs="宋体"/>
                <w:b/>
                <w:bCs/>
                <w:color w:val="auto"/>
                <w:kern w:val="0"/>
                <w:szCs w:val="21"/>
                <w:highlight w:val="none"/>
              </w:rPr>
              <w:t>（%）</w:t>
            </w:r>
          </w:p>
        </w:tc>
        <w:tc>
          <w:tcPr>
            <w:tcW w:w="964" w:type="pct"/>
            <w:vAlign w:val="center"/>
          </w:tcPr>
          <w:p w14:paraId="3207D24B">
            <w:pPr>
              <w:keepNext w:val="0"/>
              <w:keepLines w:val="0"/>
              <w:widowControl/>
              <w:suppressLineNumbers w:val="0"/>
              <w:spacing w:before="0" w:beforeAutospacing="0" w:after="0" w:afterAutospacing="0"/>
              <w:ind w:left="0" w:right="0"/>
              <w:jc w:val="center"/>
              <w:rPr>
                <w:rFonts w:hint="eastAsia" w:ascii="仿宋" w:hAnsi="仿宋" w:eastAsia="仿宋" w:cs="宋体"/>
                <w:b/>
                <w:bCs/>
                <w:color w:val="auto"/>
                <w:kern w:val="0"/>
                <w:szCs w:val="21"/>
                <w:highlight w:val="none"/>
              </w:rPr>
            </w:pPr>
            <w:r>
              <w:rPr>
                <w:rFonts w:hint="eastAsia" w:ascii="仿宋" w:hAnsi="仿宋" w:eastAsia="仿宋" w:cs="宋体"/>
                <w:b/>
                <w:bCs/>
                <w:color w:val="auto"/>
                <w:kern w:val="0"/>
                <w:szCs w:val="21"/>
                <w:highlight w:val="none"/>
              </w:rPr>
              <w:t>含税投标</w:t>
            </w:r>
            <w:r>
              <w:rPr>
                <w:rFonts w:hint="eastAsia" w:ascii="仿宋" w:hAnsi="仿宋" w:eastAsia="仿宋" w:cs="宋体"/>
                <w:b/>
                <w:bCs/>
                <w:color w:val="auto"/>
                <w:kern w:val="0"/>
                <w:szCs w:val="21"/>
                <w:highlight w:val="none"/>
                <w:lang w:val="en-US" w:eastAsia="zh-CN"/>
              </w:rPr>
              <w:t>合</w:t>
            </w:r>
            <w:r>
              <w:rPr>
                <w:rFonts w:hint="eastAsia" w:ascii="仿宋" w:hAnsi="仿宋" w:eastAsia="仿宋" w:cs="宋体"/>
                <w:b/>
                <w:bCs/>
                <w:color w:val="auto"/>
                <w:kern w:val="0"/>
                <w:szCs w:val="21"/>
                <w:highlight w:val="none"/>
              </w:rPr>
              <w:t>价</w:t>
            </w:r>
            <w:r>
              <w:rPr>
                <w:rFonts w:hint="eastAsia" w:ascii="仿宋" w:hAnsi="仿宋" w:eastAsia="仿宋" w:cs="宋体"/>
                <w:b/>
                <w:color w:val="auto"/>
                <w:szCs w:val="21"/>
                <w:highlight w:val="none"/>
              </w:rPr>
              <w:t>（元）</w:t>
            </w:r>
          </w:p>
        </w:tc>
        <w:tc>
          <w:tcPr>
            <w:tcW w:w="457" w:type="pct"/>
            <w:vAlign w:val="center"/>
          </w:tcPr>
          <w:p w14:paraId="20E6CE84">
            <w:pPr>
              <w:keepNext w:val="0"/>
              <w:keepLines w:val="0"/>
              <w:widowControl/>
              <w:suppressLineNumbers w:val="0"/>
              <w:spacing w:before="0" w:beforeAutospacing="0" w:after="0" w:afterAutospacing="0"/>
              <w:ind w:left="0" w:right="0"/>
              <w:jc w:val="center"/>
              <w:rPr>
                <w:rFonts w:hint="eastAsia" w:ascii="仿宋" w:hAnsi="仿宋" w:eastAsia="仿宋" w:cs="宋体"/>
                <w:b/>
                <w:bCs/>
                <w:color w:val="auto"/>
                <w:kern w:val="0"/>
                <w:szCs w:val="21"/>
                <w:highlight w:val="none"/>
              </w:rPr>
            </w:pPr>
            <w:r>
              <w:rPr>
                <w:rFonts w:hint="eastAsia" w:ascii="仿宋" w:hAnsi="仿宋" w:eastAsia="仿宋" w:cs="宋体"/>
                <w:b/>
                <w:bCs/>
                <w:color w:val="auto"/>
                <w:kern w:val="0"/>
                <w:szCs w:val="21"/>
                <w:highlight w:val="none"/>
              </w:rPr>
              <w:t>备注</w:t>
            </w:r>
          </w:p>
        </w:tc>
      </w:tr>
      <w:tr w14:paraId="3E037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jc w:val="center"/>
        </w:trPr>
        <w:tc>
          <w:tcPr>
            <w:tcW w:w="403" w:type="pct"/>
            <w:vAlign w:val="center"/>
          </w:tcPr>
          <w:p w14:paraId="76E1B222">
            <w:pPr>
              <w:keepNext w:val="0"/>
              <w:keepLines w:val="0"/>
              <w:widowControl/>
              <w:suppressLineNumbers w:val="0"/>
              <w:spacing w:before="0" w:beforeAutospacing="0" w:after="0" w:afterAutospacing="0"/>
              <w:ind w:left="0" w:right="0"/>
              <w:jc w:val="center"/>
              <w:rPr>
                <w:rFonts w:hint="eastAsia" w:ascii="仿宋" w:hAnsi="仿宋" w:eastAsia="仿宋" w:cs="宋体"/>
                <w:bCs/>
                <w:color w:val="auto"/>
                <w:kern w:val="0"/>
                <w:szCs w:val="21"/>
                <w:highlight w:val="none"/>
              </w:rPr>
            </w:pPr>
            <w:r>
              <w:rPr>
                <w:rFonts w:hint="eastAsia" w:ascii="仿宋" w:hAnsi="仿宋" w:eastAsia="仿宋" w:cs="宋体"/>
                <w:bCs/>
                <w:color w:val="auto"/>
                <w:kern w:val="0"/>
                <w:szCs w:val="21"/>
                <w:highlight w:val="none"/>
              </w:rPr>
              <w:t>1</w:t>
            </w:r>
          </w:p>
        </w:tc>
        <w:tc>
          <w:tcPr>
            <w:tcW w:w="2612" w:type="pct"/>
            <w:gridSpan w:val="2"/>
            <w:vAlign w:val="center"/>
          </w:tcPr>
          <w:p w14:paraId="1B8B9644">
            <w:pPr>
              <w:keepNext w:val="0"/>
              <w:keepLines w:val="0"/>
              <w:suppressLineNumbers w:val="0"/>
              <w:adjustRightInd w:val="0"/>
              <w:spacing w:before="0" w:beforeAutospacing="0" w:after="0" w:afterAutospacing="0" w:line="400" w:lineRule="exact"/>
              <w:ind w:left="0" w:leftChars="0" w:right="0" w:rightChars="0"/>
              <w:jc w:val="center"/>
              <w:rPr>
                <w:rFonts w:hint="default" w:ascii="宋体" w:hAnsi="宋体" w:cs="仿宋"/>
                <w:color w:val="auto"/>
                <w:szCs w:val="21"/>
                <w:highlight w:val="none"/>
              </w:rPr>
            </w:pPr>
            <w:r>
              <w:rPr>
                <w:rFonts w:hint="default"/>
                <w:color w:val="auto"/>
                <w:szCs w:val="20"/>
                <w:highlight w:val="none"/>
              </w:rPr>
              <w:t>针对</w:t>
            </w:r>
            <w:r>
              <w:rPr>
                <w:rFonts w:hint="eastAsia"/>
                <w:color w:val="auto"/>
                <w:szCs w:val="20"/>
                <w:highlight w:val="none"/>
                <w:lang w:eastAsia="zh-CN"/>
              </w:rPr>
              <w:t>烟花爆竹、民用爆炸用品、一般工贸行业</w:t>
            </w:r>
            <w:r>
              <w:rPr>
                <w:rFonts w:hint="default"/>
                <w:color w:val="auto"/>
                <w:szCs w:val="20"/>
                <w:highlight w:val="none"/>
              </w:rPr>
              <w:t>及下表未列明的建筑工程企业项目</w:t>
            </w:r>
          </w:p>
        </w:tc>
        <w:tc>
          <w:tcPr>
            <w:tcW w:w="561" w:type="pct"/>
            <w:vAlign w:val="center"/>
          </w:tcPr>
          <w:p w14:paraId="466FA488">
            <w:pPr>
              <w:keepNext w:val="0"/>
              <w:keepLines w:val="0"/>
              <w:suppressLineNumbers w:val="0"/>
              <w:bidi w:val="0"/>
              <w:spacing w:before="0" w:beforeAutospacing="0" w:after="0" w:afterAutospacing="0"/>
              <w:ind w:left="0" w:right="0"/>
              <w:rPr>
                <w:rFonts w:hint="eastAsia" w:ascii="仿宋" w:hAnsi="仿宋" w:cs="宋体"/>
                <w:b w:val="0"/>
                <w:color w:val="auto"/>
                <w:sz w:val="21"/>
                <w:szCs w:val="21"/>
                <w:highlight w:val="none"/>
              </w:rPr>
            </w:pPr>
          </w:p>
        </w:tc>
        <w:tc>
          <w:tcPr>
            <w:tcW w:w="964" w:type="pct"/>
            <w:vAlign w:val="center"/>
          </w:tcPr>
          <w:p w14:paraId="2AB5897D">
            <w:pPr>
              <w:keepNext w:val="0"/>
              <w:keepLines w:val="0"/>
              <w:widowControl/>
              <w:suppressLineNumbers w:val="0"/>
              <w:spacing w:before="0" w:beforeAutospacing="0" w:after="0" w:afterAutospacing="0"/>
              <w:ind w:left="0" w:right="0"/>
              <w:jc w:val="center"/>
              <w:rPr>
                <w:rFonts w:hint="eastAsia" w:ascii="仿宋" w:hAnsi="仿宋" w:eastAsia="仿宋" w:cs="宋体"/>
                <w:color w:val="auto"/>
                <w:kern w:val="0"/>
                <w:szCs w:val="21"/>
                <w:highlight w:val="none"/>
              </w:rPr>
            </w:pPr>
          </w:p>
        </w:tc>
        <w:tc>
          <w:tcPr>
            <w:tcW w:w="457" w:type="pct"/>
            <w:vAlign w:val="center"/>
          </w:tcPr>
          <w:p w14:paraId="153E0402">
            <w:pPr>
              <w:keepNext w:val="0"/>
              <w:keepLines w:val="0"/>
              <w:widowControl/>
              <w:suppressLineNumbers w:val="0"/>
              <w:spacing w:before="0" w:beforeAutospacing="0" w:after="0" w:afterAutospacing="0"/>
              <w:ind w:left="0" w:right="0"/>
              <w:jc w:val="center"/>
              <w:rPr>
                <w:rFonts w:hint="eastAsia" w:ascii="仿宋" w:hAnsi="仿宋" w:eastAsia="仿宋" w:cs="宋体"/>
                <w:color w:val="auto"/>
                <w:kern w:val="0"/>
                <w:szCs w:val="21"/>
                <w:highlight w:val="none"/>
              </w:rPr>
            </w:pPr>
          </w:p>
        </w:tc>
      </w:tr>
      <w:tr w14:paraId="1A39F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403" w:type="pct"/>
            <w:vMerge w:val="restart"/>
            <w:vAlign w:val="center"/>
          </w:tcPr>
          <w:p w14:paraId="0ACD863D">
            <w:pPr>
              <w:keepNext w:val="0"/>
              <w:keepLines w:val="0"/>
              <w:widowControl/>
              <w:suppressLineNumbers w:val="0"/>
              <w:spacing w:before="0" w:beforeAutospacing="0" w:after="0" w:afterAutospacing="0"/>
              <w:ind w:left="0" w:right="0"/>
              <w:jc w:val="center"/>
              <w:rPr>
                <w:rFonts w:hint="eastAsia" w:ascii="仿宋" w:hAnsi="仿宋" w:eastAsia="仿宋" w:cs="宋体"/>
                <w:bCs/>
                <w:color w:val="auto"/>
                <w:kern w:val="0"/>
                <w:szCs w:val="21"/>
                <w:highlight w:val="none"/>
                <w:lang w:val="en-US" w:eastAsia="zh-CN"/>
              </w:rPr>
            </w:pPr>
            <w:r>
              <w:rPr>
                <w:rFonts w:hint="eastAsia" w:ascii="仿宋" w:hAnsi="仿宋" w:eastAsia="仿宋" w:cs="宋体"/>
                <w:bCs/>
                <w:color w:val="auto"/>
                <w:kern w:val="0"/>
                <w:szCs w:val="21"/>
                <w:highlight w:val="none"/>
                <w:lang w:val="en-US" w:eastAsia="zh-CN"/>
              </w:rPr>
              <w:t>2</w:t>
            </w:r>
          </w:p>
        </w:tc>
        <w:tc>
          <w:tcPr>
            <w:tcW w:w="605" w:type="pct"/>
            <w:vMerge w:val="restart"/>
            <w:vAlign w:val="center"/>
          </w:tcPr>
          <w:p w14:paraId="72F73E99">
            <w:pPr>
              <w:keepNext w:val="0"/>
              <w:keepLines w:val="0"/>
              <w:widowControl/>
              <w:suppressLineNumbers w:val="0"/>
              <w:spacing w:before="0" w:beforeAutospacing="0" w:after="0" w:afterAutospacing="0"/>
              <w:ind w:left="0" w:right="0"/>
              <w:jc w:val="center"/>
              <w:rPr>
                <w:rFonts w:hint="eastAsia" w:ascii="仿宋" w:hAnsi="仿宋" w:eastAsia="仿宋" w:cs="宋体"/>
                <w:bCs/>
                <w:color w:val="auto"/>
                <w:kern w:val="0"/>
                <w:szCs w:val="21"/>
                <w:highlight w:val="none"/>
              </w:rPr>
            </w:pPr>
            <w:r>
              <w:rPr>
                <w:rFonts w:hint="default" w:ascii="宋体" w:hAnsi="宋体" w:cs="仿宋"/>
                <w:color w:val="auto"/>
                <w:szCs w:val="21"/>
                <w:highlight w:val="none"/>
              </w:rPr>
              <w:t>针对建筑工程企业项目</w:t>
            </w:r>
          </w:p>
        </w:tc>
        <w:tc>
          <w:tcPr>
            <w:tcW w:w="2007" w:type="pct"/>
            <w:vAlign w:val="center"/>
          </w:tcPr>
          <w:p w14:paraId="192B31D4">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1"/>
                <w:highlight w:val="none"/>
              </w:rPr>
            </w:pPr>
            <w:r>
              <w:rPr>
                <w:rFonts w:hint="default" w:ascii="宋体" w:hAnsi="宋体" w:cs="仿宋"/>
                <w:color w:val="auto"/>
                <w:szCs w:val="20"/>
                <w:highlight w:val="none"/>
              </w:rPr>
              <w:t>生产安全事故隐患排查</w:t>
            </w:r>
          </w:p>
        </w:tc>
        <w:tc>
          <w:tcPr>
            <w:tcW w:w="561" w:type="pct"/>
            <w:vAlign w:val="center"/>
          </w:tcPr>
          <w:p w14:paraId="5FC31820">
            <w:pPr>
              <w:keepNext w:val="0"/>
              <w:keepLines w:val="0"/>
              <w:suppressLineNumbers w:val="0"/>
              <w:bidi w:val="0"/>
              <w:spacing w:before="0" w:beforeAutospacing="0" w:after="0" w:afterAutospacing="0"/>
              <w:ind w:left="0" w:right="0"/>
              <w:rPr>
                <w:rFonts w:hint="eastAsia" w:ascii="仿宋" w:hAnsi="仿宋" w:eastAsia="仿宋" w:cs="宋体"/>
                <w:color w:val="auto"/>
                <w:kern w:val="0"/>
                <w:szCs w:val="21"/>
                <w:highlight w:val="none"/>
              </w:rPr>
            </w:pPr>
          </w:p>
        </w:tc>
        <w:tc>
          <w:tcPr>
            <w:tcW w:w="964" w:type="pct"/>
            <w:vAlign w:val="center"/>
          </w:tcPr>
          <w:p w14:paraId="49DD3344">
            <w:pPr>
              <w:keepNext w:val="0"/>
              <w:keepLines w:val="0"/>
              <w:widowControl/>
              <w:suppressLineNumbers w:val="0"/>
              <w:spacing w:before="0" w:beforeAutospacing="0" w:after="0" w:afterAutospacing="0"/>
              <w:ind w:left="0" w:right="0"/>
              <w:jc w:val="center"/>
              <w:rPr>
                <w:rFonts w:hint="eastAsia" w:ascii="仿宋" w:hAnsi="仿宋" w:eastAsia="仿宋" w:cs="宋体"/>
                <w:color w:val="auto"/>
                <w:kern w:val="0"/>
                <w:szCs w:val="21"/>
                <w:highlight w:val="none"/>
              </w:rPr>
            </w:pPr>
          </w:p>
        </w:tc>
        <w:tc>
          <w:tcPr>
            <w:tcW w:w="457" w:type="pct"/>
            <w:vAlign w:val="center"/>
          </w:tcPr>
          <w:p w14:paraId="769F477E">
            <w:pPr>
              <w:keepNext w:val="0"/>
              <w:keepLines w:val="0"/>
              <w:widowControl/>
              <w:suppressLineNumbers w:val="0"/>
              <w:spacing w:before="0" w:beforeAutospacing="0" w:after="0" w:afterAutospacing="0"/>
              <w:ind w:left="0" w:right="0"/>
              <w:jc w:val="center"/>
              <w:rPr>
                <w:rFonts w:hint="eastAsia" w:ascii="仿宋" w:hAnsi="仿宋" w:eastAsia="仿宋" w:cs="宋体"/>
                <w:color w:val="auto"/>
                <w:kern w:val="0"/>
                <w:szCs w:val="21"/>
                <w:highlight w:val="none"/>
              </w:rPr>
            </w:pPr>
          </w:p>
        </w:tc>
      </w:tr>
      <w:tr w14:paraId="534CB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403" w:type="pct"/>
            <w:vMerge w:val="continue"/>
            <w:vAlign w:val="center"/>
          </w:tcPr>
          <w:p w14:paraId="6656CC4A">
            <w:pPr>
              <w:keepNext w:val="0"/>
              <w:keepLines w:val="0"/>
              <w:widowControl/>
              <w:suppressLineNumbers w:val="0"/>
              <w:spacing w:before="0" w:beforeAutospacing="0" w:after="0" w:afterAutospacing="0"/>
              <w:ind w:left="0" w:right="0"/>
              <w:jc w:val="center"/>
              <w:rPr>
                <w:rFonts w:hint="default"/>
                <w:color w:val="auto"/>
                <w:szCs w:val="20"/>
                <w:highlight w:val="none"/>
              </w:rPr>
            </w:pPr>
          </w:p>
        </w:tc>
        <w:tc>
          <w:tcPr>
            <w:tcW w:w="605" w:type="pct"/>
            <w:vMerge w:val="continue"/>
            <w:vAlign w:val="center"/>
          </w:tcPr>
          <w:p w14:paraId="089EC4F2">
            <w:pPr>
              <w:keepNext w:val="0"/>
              <w:keepLines w:val="0"/>
              <w:widowControl/>
              <w:suppressLineNumbers w:val="0"/>
              <w:spacing w:before="0" w:beforeAutospacing="0" w:after="0" w:afterAutospacing="0"/>
              <w:ind w:left="0" w:right="0"/>
              <w:jc w:val="center"/>
              <w:rPr>
                <w:rFonts w:hint="default"/>
                <w:color w:val="auto"/>
                <w:szCs w:val="20"/>
                <w:highlight w:val="none"/>
              </w:rPr>
            </w:pPr>
          </w:p>
        </w:tc>
        <w:tc>
          <w:tcPr>
            <w:tcW w:w="2007" w:type="pct"/>
            <w:vAlign w:val="center"/>
          </w:tcPr>
          <w:p w14:paraId="0E33403C">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1"/>
                <w:highlight w:val="none"/>
              </w:rPr>
            </w:pPr>
            <w:r>
              <w:rPr>
                <w:rFonts w:hint="default" w:ascii="宋体" w:hAnsi="宋体" w:cs="仿宋"/>
                <w:color w:val="auto"/>
                <w:szCs w:val="20"/>
                <w:highlight w:val="none"/>
              </w:rPr>
              <w:t>安全生产宣传教育培训</w:t>
            </w:r>
          </w:p>
        </w:tc>
        <w:tc>
          <w:tcPr>
            <w:tcW w:w="561" w:type="pct"/>
            <w:vAlign w:val="center"/>
          </w:tcPr>
          <w:p w14:paraId="750AFBF7">
            <w:pPr>
              <w:keepNext w:val="0"/>
              <w:keepLines w:val="0"/>
              <w:widowControl/>
              <w:suppressLineNumbers w:val="0"/>
              <w:spacing w:before="0" w:beforeAutospacing="0" w:after="0" w:afterAutospacing="0"/>
              <w:ind w:left="0" w:right="0"/>
              <w:jc w:val="center"/>
              <w:rPr>
                <w:rFonts w:hint="default" w:ascii="宋体" w:hAnsi="宋体" w:cs="仿宋"/>
                <w:color w:val="auto"/>
                <w:szCs w:val="21"/>
                <w:highlight w:val="none"/>
              </w:rPr>
            </w:pPr>
          </w:p>
        </w:tc>
        <w:tc>
          <w:tcPr>
            <w:tcW w:w="964" w:type="pct"/>
            <w:vAlign w:val="center"/>
          </w:tcPr>
          <w:p w14:paraId="1C067525">
            <w:pPr>
              <w:keepNext w:val="0"/>
              <w:keepLines w:val="0"/>
              <w:widowControl/>
              <w:suppressLineNumbers w:val="0"/>
              <w:spacing w:before="0" w:beforeAutospacing="0" w:after="0" w:afterAutospacing="0"/>
              <w:ind w:left="0" w:right="0"/>
              <w:jc w:val="center"/>
              <w:rPr>
                <w:rFonts w:hint="default" w:ascii="宋体" w:hAnsi="宋体" w:cs="仿宋"/>
                <w:color w:val="auto"/>
                <w:szCs w:val="21"/>
                <w:highlight w:val="none"/>
              </w:rPr>
            </w:pPr>
          </w:p>
        </w:tc>
        <w:tc>
          <w:tcPr>
            <w:tcW w:w="457" w:type="pct"/>
            <w:vAlign w:val="center"/>
          </w:tcPr>
          <w:p w14:paraId="71975149">
            <w:pPr>
              <w:keepNext w:val="0"/>
              <w:keepLines w:val="0"/>
              <w:widowControl/>
              <w:suppressLineNumbers w:val="0"/>
              <w:spacing w:before="0" w:beforeAutospacing="0" w:after="0" w:afterAutospacing="0"/>
              <w:ind w:left="0" w:right="0"/>
              <w:jc w:val="center"/>
              <w:rPr>
                <w:rFonts w:hint="default" w:ascii="宋体" w:hAnsi="宋体" w:cs="仿宋"/>
                <w:color w:val="auto"/>
                <w:szCs w:val="21"/>
                <w:highlight w:val="none"/>
              </w:rPr>
            </w:pPr>
          </w:p>
        </w:tc>
      </w:tr>
      <w:tr w14:paraId="22869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403" w:type="pct"/>
            <w:vMerge w:val="continue"/>
            <w:vAlign w:val="center"/>
          </w:tcPr>
          <w:p w14:paraId="1E46A852">
            <w:pPr>
              <w:keepNext w:val="0"/>
              <w:keepLines w:val="0"/>
              <w:widowControl/>
              <w:suppressLineNumbers w:val="0"/>
              <w:spacing w:before="0" w:beforeAutospacing="0" w:after="0" w:afterAutospacing="0"/>
              <w:ind w:left="0" w:right="0"/>
              <w:jc w:val="center"/>
              <w:rPr>
                <w:rFonts w:hint="default" w:ascii="宋体" w:hAnsi="宋体" w:cs="仿宋"/>
                <w:color w:val="auto"/>
                <w:szCs w:val="21"/>
                <w:highlight w:val="none"/>
              </w:rPr>
            </w:pPr>
          </w:p>
        </w:tc>
        <w:tc>
          <w:tcPr>
            <w:tcW w:w="605" w:type="pct"/>
            <w:vMerge w:val="continue"/>
            <w:vAlign w:val="center"/>
          </w:tcPr>
          <w:p w14:paraId="74C34C82">
            <w:pPr>
              <w:keepNext w:val="0"/>
              <w:keepLines w:val="0"/>
              <w:widowControl/>
              <w:suppressLineNumbers w:val="0"/>
              <w:spacing w:before="0" w:beforeAutospacing="0" w:after="0" w:afterAutospacing="0"/>
              <w:ind w:left="0" w:right="0"/>
              <w:jc w:val="center"/>
              <w:rPr>
                <w:rFonts w:hint="default" w:ascii="宋体" w:hAnsi="宋体" w:cs="仿宋"/>
                <w:color w:val="auto"/>
                <w:szCs w:val="21"/>
                <w:highlight w:val="none"/>
              </w:rPr>
            </w:pPr>
          </w:p>
        </w:tc>
        <w:tc>
          <w:tcPr>
            <w:tcW w:w="2007" w:type="pct"/>
            <w:vAlign w:val="center"/>
          </w:tcPr>
          <w:p w14:paraId="636197D2">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1"/>
                <w:highlight w:val="none"/>
              </w:rPr>
            </w:pPr>
            <w:r>
              <w:rPr>
                <w:rFonts w:hint="default" w:ascii="宋体" w:hAnsi="宋体" w:cs="仿宋"/>
                <w:color w:val="auto"/>
                <w:szCs w:val="20"/>
                <w:highlight w:val="none"/>
              </w:rPr>
              <w:t>应急演练</w:t>
            </w:r>
          </w:p>
        </w:tc>
        <w:tc>
          <w:tcPr>
            <w:tcW w:w="561" w:type="pct"/>
            <w:vAlign w:val="center"/>
          </w:tcPr>
          <w:p w14:paraId="02715424">
            <w:pPr>
              <w:keepNext w:val="0"/>
              <w:keepLines w:val="0"/>
              <w:widowControl/>
              <w:suppressLineNumbers w:val="0"/>
              <w:spacing w:before="0" w:beforeAutospacing="0" w:after="0" w:afterAutospacing="0"/>
              <w:ind w:left="0" w:right="0"/>
              <w:jc w:val="center"/>
              <w:rPr>
                <w:rFonts w:hint="default" w:ascii="宋体" w:hAnsi="宋体" w:cs="仿宋"/>
                <w:color w:val="auto"/>
                <w:szCs w:val="21"/>
                <w:highlight w:val="none"/>
              </w:rPr>
            </w:pPr>
          </w:p>
        </w:tc>
        <w:tc>
          <w:tcPr>
            <w:tcW w:w="964" w:type="pct"/>
            <w:vAlign w:val="center"/>
          </w:tcPr>
          <w:p w14:paraId="2CDE674D">
            <w:pPr>
              <w:keepNext w:val="0"/>
              <w:keepLines w:val="0"/>
              <w:widowControl/>
              <w:suppressLineNumbers w:val="0"/>
              <w:spacing w:before="0" w:beforeAutospacing="0" w:after="0" w:afterAutospacing="0"/>
              <w:ind w:left="0" w:right="0"/>
              <w:jc w:val="center"/>
              <w:rPr>
                <w:rFonts w:hint="default" w:ascii="宋体" w:hAnsi="宋体" w:cs="仿宋"/>
                <w:color w:val="auto"/>
                <w:szCs w:val="21"/>
                <w:highlight w:val="none"/>
              </w:rPr>
            </w:pPr>
          </w:p>
        </w:tc>
        <w:tc>
          <w:tcPr>
            <w:tcW w:w="457" w:type="pct"/>
            <w:vAlign w:val="center"/>
          </w:tcPr>
          <w:p w14:paraId="6FC0504E">
            <w:pPr>
              <w:keepNext w:val="0"/>
              <w:keepLines w:val="0"/>
              <w:widowControl/>
              <w:suppressLineNumbers w:val="0"/>
              <w:spacing w:before="0" w:beforeAutospacing="0" w:after="0" w:afterAutospacing="0"/>
              <w:ind w:left="0" w:right="0"/>
              <w:jc w:val="center"/>
              <w:rPr>
                <w:rFonts w:hint="default" w:ascii="宋体" w:hAnsi="宋体" w:cs="仿宋"/>
                <w:color w:val="auto"/>
                <w:szCs w:val="21"/>
                <w:highlight w:val="none"/>
              </w:rPr>
            </w:pPr>
          </w:p>
        </w:tc>
      </w:tr>
      <w:tr w14:paraId="08C23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3" w:type="pct"/>
            <w:vAlign w:val="center"/>
          </w:tcPr>
          <w:p w14:paraId="3B1927EE">
            <w:pPr>
              <w:keepNext w:val="0"/>
              <w:keepLines w:val="0"/>
              <w:widowControl/>
              <w:suppressLineNumbers w:val="0"/>
              <w:spacing w:before="0" w:beforeAutospacing="0" w:after="0" w:afterAutospacing="0"/>
              <w:ind w:left="0" w:right="0"/>
              <w:jc w:val="center"/>
              <w:rPr>
                <w:rFonts w:hint="eastAsia" w:ascii="仿宋" w:hAnsi="仿宋" w:eastAsia="仿宋" w:cs="宋体"/>
                <w:bCs/>
                <w:color w:val="auto"/>
                <w:kern w:val="0"/>
                <w:szCs w:val="21"/>
                <w:highlight w:val="none"/>
                <w:lang w:val="en-US" w:eastAsia="zh-CN"/>
              </w:rPr>
            </w:pPr>
            <w:r>
              <w:rPr>
                <w:rFonts w:hint="eastAsia" w:ascii="仿宋" w:hAnsi="仿宋" w:eastAsia="仿宋" w:cs="宋体"/>
                <w:bCs/>
                <w:color w:val="auto"/>
                <w:kern w:val="0"/>
                <w:szCs w:val="21"/>
                <w:highlight w:val="none"/>
                <w:lang w:val="en-US" w:eastAsia="zh-CN"/>
              </w:rPr>
              <w:t>3</w:t>
            </w:r>
          </w:p>
        </w:tc>
        <w:tc>
          <w:tcPr>
            <w:tcW w:w="2612" w:type="pct"/>
            <w:gridSpan w:val="2"/>
            <w:vAlign w:val="center"/>
          </w:tcPr>
          <w:p w14:paraId="5EA26C44">
            <w:pPr>
              <w:keepNext w:val="0"/>
              <w:keepLines w:val="0"/>
              <w:widowControl/>
              <w:suppressLineNumbers w:val="0"/>
              <w:spacing w:before="0" w:beforeAutospacing="0" w:after="0" w:afterAutospacing="0"/>
              <w:ind w:left="0" w:right="0"/>
              <w:jc w:val="center"/>
              <w:rPr>
                <w:rFonts w:hint="eastAsia" w:ascii="仿宋" w:hAnsi="仿宋" w:eastAsia="仿宋" w:cs="宋体"/>
                <w:bCs/>
                <w:color w:val="auto"/>
                <w:kern w:val="0"/>
                <w:szCs w:val="21"/>
                <w:highlight w:val="none"/>
              </w:rPr>
            </w:pPr>
            <w:r>
              <w:rPr>
                <w:rFonts w:hint="default" w:ascii="宋体" w:hAnsi="宋体" w:cs="仿宋"/>
                <w:color w:val="auto"/>
                <w:szCs w:val="20"/>
                <w:highlight w:val="none"/>
              </w:rPr>
              <w:t>针对交通工程企业项目</w:t>
            </w:r>
          </w:p>
        </w:tc>
        <w:tc>
          <w:tcPr>
            <w:tcW w:w="561" w:type="pct"/>
            <w:vAlign w:val="center"/>
          </w:tcPr>
          <w:p w14:paraId="4ACF060F">
            <w:pPr>
              <w:keepNext w:val="0"/>
              <w:keepLines w:val="0"/>
              <w:suppressLineNumbers w:val="0"/>
              <w:bidi w:val="0"/>
              <w:spacing w:before="0" w:beforeAutospacing="0" w:after="0" w:afterAutospacing="0"/>
              <w:ind w:left="0" w:right="0"/>
              <w:rPr>
                <w:rFonts w:hint="eastAsia" w:ascii="仿宋" w:hAnsi="仿宋" w:eastAsia="仿宋" w:cs="宋体"/>
                <w:color w:val="auto"/>
                <w:kern w:val="0"/>
                <w:szCs w:val="21"/>
                <w:highlight w:val="none"/>
              </w:rPr>
            </w:pPr>
          </w:p>
        </w:tc>
        <w:tc>
          <w:tcPr>
            <w:tcW w:w="964" w:type="pct"/>
            <w:vAlign w:val="center"/>
          </w:tcPr>
          <w:p w14:paraId="1719C45D">
            <w:pPr>
              <w:keepNext w:val="0"/>
              <w:keepLines w:val="0"/>
              <w:widowControl/>
              <w:suppressLineNumbers w:val="0"/>
              <w:spacing w:before="0" w:beforeAutospacing="0" w:after="0" w:afterAutospacing="0"/>
              <w:ind w:left="0" w:right="0"/>
              <w:jc w:val="center"/>
              <w:rPr>
                <w:rFonts w:hint="eastAsia" w:ascii="仿宋" w:hAnsi="仿宋" w:eastAsia="仿宋" w:cs="宋体"/>
                <w:color w:val="auto"/>
                <w:kern w:val="0"/>
                <w:szCs w:val="21"/>
                <w:highlight w:val="none"/>
              </w:rPr>
            </w:pPr>
          </w:p>
          <w:p w14:paraId="2DBA25DF">
            <w:pPr>
              <w:keepNext w:val="0"/>
              <w:keepLines w:val="0"/>
              <w:suppressLineNumbers w:val="0"/>
              <w:spacing w:before="0" w:beforeAutospacing="0" w:after="0" w:afterAutospacing="0"/>
              <w:ind w:left="0" w:right="0"/>
              <w:rPr>
                <w:rFonts w:hint="default"/>
                <w:color w:val="auto"/>
                <w:szCs w:val="20"/>
                <w:highlight w:val="none"/>
              </w:rPr>
            </w:pPr>
          </w:p>
        </w:tc>
        <w:tc>
          <w:tcPr>
            <w:tcW w:w="457" w:type="pct"/>
            <w:vAlign w:val="center"/>
          </w:tcPr>
          <w:p w14:paraId="4885D5D7">
            <w:pPr>
              <w:keepNext w:val="0"/>
              <w:keepLines w:val="0"/>
              <w:widowControl/>
              <w:suppressLineNumbers w:val="0"/>
              <w:spacing w:before="0" w:beforeAutospacing="0" w:after="0" w:afterAutospacing="0"/>
              <w:ind w:left="0" w:right="0"/>
              <w:jc w:val="center"/>
              <w:rPr>
                <w:rFonts w:hint="eastAsia" w:ascii="仿宋" w:hAnsi="仿宋" w:eastAsia="仿宋" w:cs="宋体"/>
                <w:color w:val="auto"/>
                <w:kern w:val="0"/>
                <w:szCs w:val="21"/>
                <w:highlight w:val="none"/>
              </w:rPr>
            </w:pPr>
          </w:p>
        </w:tc>
      </w:tr>
      <w:tr w14:paraId="2BD7C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016" w:type="pct"/>
            <w:gridSpan w:val="3"/>
            <w:vAlign w:val="center"/>
          </w:tcPr>
          <w:p w14:paraId="3A7B484A">
            <w:pPr>
              <w:keepNext w:val="0"/>
              <w:keepLines w:val="0"/>
              <w:widowControl/>
              <w:suppressLineNumbers w:val="0"/>
              <w:spacing w:before="0" w:beforeAutospacing="0" w:after="0" w:afterAutospacing="0"/>
              <w:ind w:left="0" w:right="0"/>
              <w:jc w:val="center"/>
              <w:rPr>
                <w:rFonts w:hint="eastAsia" w:ascii="宋体" w:hAnsi="宋体" w:eastAsia="宋体" w:cs="仿宋"/>
                <w:color w:val="auto"/>
                <w:szCs w:val="20"/>
                <w:highlight w:val="none"/>
                <w:lang w:val="en-US" w:eastAsia="zh-CN"/>
              </w:rPr>
            </w:pPr>
            <w:r>
              <w:rPr>
                <w:rFonts w:hint="eastAsia" w:ascii="宋体" w:hAnsi="宋体" w:cs="仿宋"/>
                <w:color w:val="auto"/>
                <w:szCs w:val="20"/>
                <w:highlight w:val="none"/>
                <w:lang w:val="en-US" w:eastAsia="zh-CN"/>
              </w:rPr>
              <w:t>合计</w:t>
            </w:r>
          </w:p>
        </w:tc>
        <w:tc>
          <w:tcPr>
            <w:tcW w:w="561" w:type="pct"/>
            <w:vAlign w:val="center"/>
          </w:tcPr>
          <w:p w14:paraId="5D204278">
            <w:pPr>
              <w:keepNext w:val="0"/>
              <w:keepLines w:val="0"/>
              <w:suppressLineNumbers w:val="0"/>
              <w:bidi w:val="0"/>
              <w:spacing w:before="0" w:beforeAutospacing="0" w:after="0" w:afterAutospacing="0"/>
              <w:ind w:left="0" w:right="0"/>
              <w:rPr>
                <w:rFonts w:hint="eastAsia" w:ascii="仿宋" w:hAnsi="仿宋" w:eastAsia="仿宋" w:cs="宋体"/>
                <w:color w:val="auto"/>
                <w:kern w:val="0"/>
                <w:szCs w:val="21"/>
                <w:highlight w:val="none"/>
              </w:rPr>
            </w:pPr>
          </w:p>
        </w:tc>
        <w:tc>
          <w:tcPr>
            <w:tcW w:w="964" w:type="pct"/>
            <w:vAlign w:val="center"/>
          </w:tcPr>
          <w:p w14:paraId="4547AD58">
            <w:pPr>
              <w:keepNext w:val="0"/>
              <w:keepLines w:val="0"/>
              <w:suppressLineNumbers w:val="0"/>
              <w:spacing w:before="0" w:beforeAutospacing="0" w:after="0" w:afterAutospacing="0"/>
              <w:ind w:left="0" w:right="0"/>
              <w:rPr>
                <w:rFonts w:hint="default"/>
                <w:color w:val="auto"/>
                <w:szCs w:val="20"/>
                <w:highlight w:val="none"/>
              </w:rPr>
            </w:pPr>
          </w:p>
        </w:tc>
        <w:tc>
          <w:tcPr>
            <w:tcW w:w="457" w:type="pct"/>
            <w:vAlign w:val="center"/>
          </w:tcPr>
          <w:p w14:paraId="4CC7DD97">
            <w:pPr>
              <w:keepNext w:val="0"/>
              <w:keepLines w:val="0"/>
              <w:widowControl/>
              <w:suppressLineNumbers w:val="0"/>
              <w:spacing w:before="0" w:beforeAutospacing="0" w:after="0" w:afterAutospacing="0"/>
              <w:ind w:left="0" w:right="0"/>
              <w:jc w:val="center"/>
              <w:rPr>
                <w:rFonts w:hint="eastAsia" w:ascii="仿宋" w:hAnsi="仿宋" w:eastAsia="仿宋" w:cs="宋体"/>
                <w:color w:val="auto"/>
                <w:kern w:val="0"/>
                <w:szCs w:val="21"/>
                <w:highlight w:val="none"/>
              </w:rPr>
            </w:pPr>
          </w:p>
        </w:tc>
      </w:tr>
    </w:tbl>
    <w:p w14:paraId="623571EA">
      <w:pPr>
        <w:pStyle w:val="2"/>
        <w:rPr>
          <w:rFonts w:hint="eastAsia" w:ascii="宋体" w:hAnsi="宋体"/>
          <w:color w:val="auto"/>
          <w:szCs w:val="21"/>
          <w:highlight w:val="none"/>
        </w:rPr>
      </w:pPr>
    </w:p>
    <w:p w14:paraId="03144C85">
      <w:pPr>
        <w:rPr>
          <w:rFonts w:hint="eastAsia" w:ascii="仿宋" w:hAnsi="仿宋" w:eastAsia="仿宋" w:cs="宋体"/>
          <w:bCs/>
          <w:color w:val="auto"/>
          <w:sz w:val="24"/>
          <w:szCs w:val="24"/>
          <w:highlight w:val="none"/>
        </w:rPr>
      </w:pPr>
      <w:r>
        <w:rPr>
          <w:rFonts w:hint="eastAsia" w:ascii="仿宋" w:hAnsi="仿宋" w:eastAsia="仿宋" w:cs="宋体"/>
          <w:bCs/>
          <w:color w:val="auto"/>
          <w:sz w:val="24"/>
          <w:szCs w:val="24"/>
          <w:highlight w:val="none"/>
        </w:rPr>
        <w:t>备注：</w:t>
      </w:r>
    </w:p>
    <w:p w14:paraId="5E3A0A22">
      <w:pPr>
        <w:pStyle w:val="108"/>
        <w:numPr>
          <w:ilvl w:val="0"/>
          <w:numId w:val="0"/>
        </w:numPr>
        <w:spacing w:line="360" w:lineRule="auto"/>
        <w:rPr>
          <w:rFonts w:hint="eastAsia" w:ascii="仿宋" w:hAnsi="仿宋" w:eastAsia="仿宋" w:cs="宋体"/>
          <w:bCs/>
          <w:color w:val="auto"/>
          <w:sz w:val="24"/>
          <w:highlight w:val="none"/>
        </w:rPr>
      </w:pPr>
      <w:r>
        <w:rPr>
          <w:rFonts w:hint="eastAsia" w:ascii="仿宋" w:hAnsi="仿宋" w:eastAsia="仿宋" w:cs="宋体"/>
          <w:bCs/>
          <w:color w:val="auto"/>
          <w:sz w:val="24"/>
          <w:highlight w:val="none"/>
          <w:lang w:val="en-US" w:eastAsia="zh-CN"/>
        </w:rPr>
        <w:t>1.</w:t>
      </w:r>
      <w:r>
        <w:rPr>
          <w:rFonts w:hint="eastAsia" w:ascii="仿宋" w:hAnsi="仿宋" w:eastAsia="仿宋" w:cs="宋体"/>
          <w:bCs/>
          <w:color w:val="auto"/>
          <w:sz w:val="24"/>
          <w:highlight w:val="none"/>
        </w:rPr>
        <w:t>本次报价精确到小数点后两位（四舍五入）</w:t>
      </w:r>
      <w:r>
        <w:rPr>
          <w:rFonts w:hint="eastAsia" w:ascii="仿宋" w:hAnsi="仿宋" w:eastAsia="仿宋" w:cs="宋体"/>
          <w:bCs/>
          <w:color w:val="auto"/>
          <w:sz w:val="24"/>
          <w:highlight w:val="none"/>
          <w:lang w:eastAsia="zh-CN"/>
        </w:rPr>
        <w:t>，</w:t>
      </w:r>
      <w:r>
        <w:rPr>
          <w:rFonts w:hint="eastAsia" w:ascii="仿宋" w:hAnsi="仿宋" w:eastAsia="仿宋" w:cs="宋体"/>
          <w:bCs/>
          <w:color w:val="auto"/>
          <w:sz w:val="24"/>
          <w:highlight w:val="none"/>
          <w:lang w:val="en-US" w:eastAsia="zh-CN"/>
        </w:rPr>
        <w:t>各项含税投标合价为各报价内容（单价报价*权重）之和</w:t>
      </w:r>
      <w:r>
        <w:rPr>
          <w:rFonts w:hint="eastAsia" w:ascii="仿宋" w:hAnsi="仿宋" w:eastAsia="仿宋" w:cs="宋体"/>
          <w:bCs/>
          <w:color w:val="auto"/>
          <w:sz w:val="24"/>
          <w:highlight w:val="none"/>
        </w:rPr>
        <w:t>。</w:t>
      </w:r>
    </w:p>
    <w:p w14:paraId="709EB5E4">
      <w:pPr>
        <w:pStyle w:val="108"/>
        <w:numPr>
          <w:ilvl w:val="0"/>
          <w:numId w:val="0"/>
        </w:numPr>
        <w:spacing w:line="360" w:lineRule="auto"/>
        <w:rPr>
          <w:rFonts w:hint="eastAsia" w:ascii="仿宋" w:hAnsi="仿宋" w:eastAsia="仿宋" w:cs="宋体"/>
          <w:bCs/>
          <w:color w:val="auto"/>
          <w:sz w:val="24"/>
          <w:highlight w:val="none"/>
          <w:lang w:val="en-US" w:eastAsia="zh-CN"/>
        </w:rPr>
      </w:pPr>
      <w:r>
        <w:rPr>
          <w:rFonts w:hint="eastAsia" w:ascii="仿宋" w:hAnsi="仿宋" w:eastAsia="仿宋" w:cs="宋体"/>
          <w:bCs/>
          <w:color w:val="auto"/>
          <w:sz w:val="24"/>
          <w:highlight w:val="none"/>
          <w:lang w:val="en-US" w:eastAsia="zh-CN"/>
        </w:rPr>
        <w:t>2.后续如因国家税率调整，专票以不含税价不变进行调整，普票以含税价不变进行</w:t>
      </w:r>
    </w:p>
    <w:p w14:paraId="5EB4950B">
      <w:pPr>
        <w:pStyle w:val="108"/>
        <w:numPr>
          <w:ilvl w:val="0"/>
          <w:numId w:val="0"/>
        </w:numPr>
        <w:spacing w:line="360" w:lineRule="auto"/>
        <w:rPr>
          <w:rFonts w:hint="default" w:ascii="仿宋" w:hAnsi="仿宋" w:eastAsia="仿宋" w:cs="宋体"/>
          <w:bCs/>
          <w:color w:val="auto"/>
          <w:sz w:val="24"/>
          <w:highlight w:val="none"/>
          <w:lang w:val="en-US" w:eastAsia="zh-CN"/>
        </w:rPr>
      </w:pPr>
      <w:r>
        <w:rPr>
          <w:rFonts w:hint="eastAsia" w:ascii="仿宋" w:hAnsi="仿宋" w:eastAsia="仿宋" w:cs="宋体"/>
          <w:bCs/>
          <w:color w:val="auto"/>
          <w:sz w:val="24"/>
          <w:highlight w:val="none"/>
          <w:lang w:val="en-US" w:eastAsia="zh-CN"/>
        </w:rPr>
        <w:t>调整。</w:t>
      </w:r>
    </w:p>
    <w:p w14:paraId="424B28FD">
      <w:pPr>
        <w:pStyle w:val="13"/>
        <w:rPr>
          <w:rFonts w:hint="eastAsia" w:ascii="仿宋" w:hAnsi="仿宋" w:eastAsia="仿宋" w:cs="宋体"/>
          <w:color w:val="auto"/>
          <w:szCs w:val="21"/>
          <w:highlight w:val="none"/>
        </w:rPr>
      </w:pPr>
    </w:p>
    <w:p w14:paraId="7400067D">
      <w:pPr>
        <w:pStyle w:val="13"/>
        <w:rPr>
          <w:rFonts w:hint="eastAsia" w:ascii="仿宋" w:hAnsi="仿宋" w:eastAsia="仿宋" w:cs="宋体"/>
          <w:color w:val="auto"/>
          <w:szCs w:val="21"/>
          <w:highlight w:val="none"/>
        </w:rPr>
      </w:pPr>
    </w:p>
    <w:p w14:paraId="0975A717">
      <w:pPr>
        <w:numPr>
          <w:ilvl w:val="0"/>
          <w:numId w:val="5"/>
        </w:numPr>
        <w:spacing w:line="440" w:lineRule="exact"/>
        <w:jc w:val="right"/>
        <w:rPr>
          <w:rFonts w:hint="eastAsia" w:ascii="仿宋" w:hAnsi="仿宋" w:eastAsia="仿宋" w:cs="宋体"/>
          <w:color w:val="auto"/>
          <w:sz w:val="24"/>
          <w:highlight w:val="none"/>
        </w:rPr>
      </w:pPr>
      <w:r>
        <w:rPr>
          <w:rFonts w:hint="eastAsia" w:ascii="仿宋" w:hAnsi="仿宋" w:eastAsia="仿宋" w:cs="宋体"/>
          <w:color w:val="auto"/>
          <w:sz w:val="24"/>
          <w:highlight w:val="none"/>
          <w:lang w:val="en-US" w:eastAsia="zh-CN"/>
        </w:rPr>
        <w:t>投标人</w:t>
      </w:r>
      <w:r>
        <w:rPr>
          <w:rFonts w:hint="eastAsia" w:ascii="仿宋" w:hAnsi="仿宋" w:eastAsia="仿宋" w:cs="宋体"/>
          <w:color w:val="auto"/>
          <w:sz w:val="24"/>
          <w:highlight w:val="none"/>
        </w:rPr>
        <w:t>名称：</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（盖章）</w:t>
      </w:r>
    </w:p>
    <w:p w14:paraId="41A0097B">
      <w:pPr>
        <w:numPr>
          <w:ilvl w:val="0"/>
          <w:numId w:val="5"/>
        </w:numPr>
        <w:spacing w:line="440" w:lineRule="exact"/>
        <w:jc w:val="right"/>
        <w:rPr>
          <w:rFonts w:hint="eastAsia" w:ascii="仿宋" w:hAnsi="仿宋" w:eastAsia="仿宋" w:cs="宋体"/>
          <w:color w:val="auto"/>
          <w:sz w:val="24"/>
          <w:highlight w:val="none"/>
        </w:rPr>
      </w:pPr>
      <w:r>
        <w:rPr>
          <w:rFonts w:hint="eastAsia" w:ascii="仿宋" w:hAnsi="仿宋" w:eastAsia="仿宋" w:cs="宋体"/>
          <w:color w:val="auto"/>
          <w:sz w:val="24"/>
          <w:highlight w:val="none"/>
        </w:rPr>
        <w:t>法定代表人或其授权代理人：</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u w:val="single"/>
          <w:lang w:val="en-US" w:eastAsia="zh-CN"/>
        </w:rPr>
        <w:t xml:space="preserve">         </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（签字）</w:t>
      </w:r>
    </w:p>
    <w:p w14:paraId="30CA9DAA">
      <w:pPr>
        <w:numPr>
          <w:ilvl w:val="0"/>
          <w:numId w:val="5"/>
        </w:numPr>
        <w:spacing w:line="440" w:lineRule="exact"/>
        <w:jc w:val="right"/>
        <w:rPr>
          <w:rFonts w:hint="eastAsia" w:ascii="仿宋" w:hAnsi="仿宋" w:eastAsia="仿宋" w:cs="宋体"/>
          <w:color w:val="auto"/>
          <w:sz w:val="24"/>
          <w:highlight w:val="none"/>
        </w:rPr>
      </w:pPr>
      <w:r>
        <w:rPr>
          <w:rFonts w:hint="eastAsia" w:ascii="仿宋" w:hAnsi="仿宋" w:eastAsia="仿宋" w:cs="宋体"/>
          <w:color w:val="auto"/>
          <w:sz w:val="24"/>
          <w:highlight w:val="none"/>
        </w:rPr>
        <w:t>日期：</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年</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月</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日</w:t>
      </w:r>
    </w:p>
    <w:p w14:paraId="5FF80FD0">
      <w:pPr>
        <w:spacing w:line="360" w:lineRule="auto"/>
        <w:ind w:firstLine="480" w:firstLineChars="200"/>
        <w:jc w:val="right"/>
        <w:textAlignment w:val="baseline"/>
        <w:rPr>
          <w:rFonts w:hint="eastAsia" w:ascii="仿宋" w:hAnsi="仿宋" w:eastAsia="仿宋" w:cs="宋体"/>
          <w:color w:val="auto"/>
          <w:sz w:val="24"/>
          <w:szCs w:val="24"/>
          <w:highlight w:val="none"/>
        </w:rPr>
        <w:sectPr>
          <w:type w:val="continuous"/>
          <w:pgSz w:w="11906" w:h="16838"/>
          <w:pgMar w:top="1417" w:right="1134" w:bottom="1134" w:left="1134" w:header="851" w:footer="992" w:gutter="0"/>
          <w:cols w:space="720" w:num="1"/>
          <w:titlePg/>
          <w:docGrid w:type="lines" w:linePitch="312" w:charSpace="0"/>
        </w:sectPr>
      </w:pPr>
    </w:p>
    <w:p w14:paraId="2D90B8DE">
      <w:pPr>
        <w:pStyle w:val="5"/>
        <w:numPr>
          <w:ilvl w:val="0"/>
          <w:numId w:val="6"/>
        </w:numPr>
        <w:rPr>
          <w:rFonts w:ascii="仿宋" w:hAnsi="仿宋" w:cs="宋体"/>
          <w:color w:val="auto"/>
          <w:szCs w:val="24"/>
          <w:highlight w:val="none"/>
        </w:rPr>
      </w:pPr>
      <w:bookmarkStart w:id="310" w:name="_Toc65683019"/>
      <w:bookmarkStart w:id="311" w:name="_Toc11074"/>
      <w:bookmarkStart w:id="312" w:name="_Toc109124334"/>
      <w:bookmarkStart w:id="313" w:name="_Toc6000"/>
      <w:bookmarkStart w:id="314" w:name="_Toc14404"/>
      <w:r>
        <w:rPr>
          <w:rFonts w:ascii="仿宋" w:hAnsi="仿宋" w:cs="宋体"/>
          <w:color w:val="auto"/>
          <w:szCs w:val="24"/>
          <w:highlight w:val="none"/>
        </w:rPr>
        <w:t>分项报价表</w:t>
      </w:r>
      <w:bookmarkEnd w:id="310"/>
      <w:bookmarkEnd w:id="311"/>
      <w:bookmarkEnd w:id="312"/>
      <w:bookmarkEnd w:id="313"/>
      <w:bookmarkEnd w:id="314"/>
    </w:p>
    <w:p w14:paraId="7F941CB2">
      <w:pPr>
        <w:numPr>
          <w:ilvl w:val="0"/>
          <w:numId w:val="0"/>
        </w:numPr>
        <w:rPr>
          <w:color w:val="auto"/>
          <w:highlight w:val="none"/>
        </w:rPr>
      </w:pPr>
    </w:p>
    <w:p w14:paraId="60B9AF52">
      <w:pPr>
        <w:pStyle w:val="13"/>
        <w:spacing w:line="360" w:lineRule="auto"/>
        <w:ind w:left="982" w:hanging="982"/>
        <w:rPr>
          <w:rFonts w:hint="eastAsia" w:ascii="仿宋" w:hAnsi="仿宋" w:eastAsia="仿宋" w:cs="宋体"/>
          <w:color w:val="auto"/>
          <w:sz w:val="24"/>
          <w:szCs w:val="24"/>
          <w:highlight w:val="none"/>
          <w:u w:val="single"/>
        </w:rPr>
      </w:pPr>
      <w:r>
        <w:rPr>
          <w:rFonts w:hint="eastAsia" w:ascii="仿宋" w:hAnsi="仿宋" w:eastAsia="仿宋" w:cs="宋体"/>
          <w:color w:val="auto"/>
          <w:sz w:val="24"/>
          <w:szCs w:val="24"/>
          <w:highlight w:val="none"/>
        </w:rPr>
        <w:t>项目名称：</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 xml:space="preserve">            </w:t>
      </w:r>
    </w:p>
    <w:p w14:paraId="743B3252">
      <w:pPr>
        <w:pStyle w:val="13"/>
        <w:spacing w:line="360" w:lineRule="auto"/>
        <w:ind w:left="982" w:hanging="982"/>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货币单位：</w:t>
      </w:r>
      <w:bookmarkStart w:id="315" w:name="_Hlk69457289"/>
      <w:r>
        <w:rPr>
          <w:rFonts w:hint="eastAsia" w:ascii="仿宋" w:hAnsi="仿宋" w:eastAsia="仿宋" w:cs="宋体"/>
          <w:color w:val="auto"/>
          <w:sz w:val="24"/>
          <w:szCs w:val="24"/>
          <w:highlight w:val="none"/>
          <w:u w:val="single"/>
        </w:rPr>
        <w:t>人民币/元</w:t>
      </w:r>
      <w:bookmarkEnd w:id="315"/>
    </w:p>
    <w:tbl>
      <w:tblPr>
        <w:tblStyle w:val="41"/>
        <w:tblW w:w="143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1"/>
        <w:gridCol w:w="1211"/>
        <w:gridCol w:w="786"/>
        <w:gridCol w:w="1515"/>
        <w:gridCol w:w="3213"/>
        <w:gridCol w:w="1596"/>
        <w:gridCol w:w="1596"/>
        <w:gridCol w:w="1183"/>
        <w:gridCol w:w="971"/>
        <w:gridCol w:w="1417"/>
      </w:tblGrid>
      <w:tr w14:paraId="590F1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tblHeader/>
          <w:jc w:val="center"/>
        </w:trPr>
        <w:tc>
          <w:tcPr>
            <w:tcW w:w="831" w:type="dxa"/>
            <w:vAlign w:val="center"/>
          </w:tcPr>
          <w:p w14:paraId="5FBD37B2">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仿宋"/>
                <w:b/>
                <w:color w:val="auto"/>
                <w:szCs w:val="21"/>
                <w:highlight w:val="none"/>
              </w:rPr>
            </w:pPr>
            <w:r>
              <w:rPr>
                <w:rFonts w:hint="default" w:ascii="宋体" w:hAnsi="宋体" w:cs="仿宋"/>
                <w:b/>
                <w:color w:val="auto"/>
                <w:szCs w:val="21"/>
                <w:highlight w:val="none"/>
              </w:rPr>
              <w:t>序号</w:t>
            </w:r>
          </w:p>
        </w:tc>
        <w:tc>
          <w:tcPr>
            <w:tcW w:w="6725" w:type="dxa"/>
            <w:gridSpan w:val="4"/>
            <w:vAlign w:val="center"/>
          </w:tcPr>
          <w:p w14:paraId="2608B858">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仿宋"/>
                <w:b/>
                <w:color w:val="auto"/>
                <w:szCs w:val="21"/>
                <w:highlight w:val="none"/>
              </w:rPr>
            </w:pPr>
            <w:r>
              <w:rPr>
                <w:rFonts w:hint="default" w:ascii="宋体" w:hAnsi="宋体" w:cs="仿宋"/>
                <w:b/>
                <w:color w:val="auto"/>
                <w:szCs w:val="21"/>
                <w:highlight w:val="none"/>
              </w:rPr>
              <w:t>服务内容及专家级别</w:t>
            </w:r>
          </w:p>
        </w:tc>
        <w:tc>
          <w:tcPr>
            <w:tcW w:w="1596" w:type="dxa"/>
            <w:vAlign w:val="center"/>
          </w:tcPr>
          <w:p w14:paraId="3F5EE80E">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仿宋"/>
                <w:b/>
                <w:color w:val="auto"/>
                <w:szCs w:val="21"/>
                <w:highlight w:val="none"/>
              </w:rPr>
            </w:pPr>
            <w:r>
              <w:rPr>
                <w:rFonts w:hint="default" w:ascii="宋体" w:hAnsi="宋体" w:cs="仿宋"/>
                <w:b/>
                <w:color w:val="auto"/>
                <w:szCs w:val="21"/>
                <w:highlight w:val="none"/>
              </w:rPr>
              <w:t>服务报价</w:t>
            </w:r>
          </w:p>
          <w:p w14:paraId="291D1A44">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仿宋"/>
                <w:b/>
                <w:color w:val="auto"/>
                <w:szCs w:val="21"/>
                <w:highlight w:val="none"/>
              </w:rPr>
            </w:pPr>
            <w:r>
              <w:rPr>
                <w:rFonts w:hint="default" w:ascii="宋体" w:hAnsi="宋体" w:cs="仿宋"/>
                <w:b/>
                <w:color w:val="auto"/>
                <w:szCs w:val="21"/>
                <w:highlight w:val="none"/>
              </w:rPr>
              <w:t>（含税价）</w:t>
            </w:r>
          </w:p>
        </w:tc>
        <w:tc>
          <w:tcPr>
            <w:tcW w:w="1596" w:type="dxa"/>
            <w:vAlign w:val="center"/>
          </w:tcPr>
          <w:p w14:paraId="429EE3E8">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仿宋"/>
                <w:b/>
                <w:color w:val="auto"/>
                <w:szCs w:val="21"/>
                <w:highlight w:val="none"/>
              </w:rPr>
            </w:pPr>
            <w:r>
              <w:rPr>
                <w:rFonts w:hint="eastAsia" w:ascii="宋体" w:hAnsi="宋体" w:cs="仿宋"/>
                <w:b/>
                <w:color w:val="auto"/>
                <w:szCs w:val="21"/>
                <w:highlight w:val="none"/>
                <w:lang w:val="en-US" w:eastAsia="zh-CN"/>
              </w:rPr>
              <w:t>单项</w:t>
            </w:r>
            <w:r>
              <w:rPr>
                <w:rFonts w:hint="default" w:ascii="宋体" w:hAnsi="宋体" w:cs="仿宋"/>
                <w:b/>
                <w:color w:val="auto"/>
                <w:szCs w:val="21"/>
                <w:highlight w:val="none"/>
              </w:rPr>
              <w:t>最高限价</w:t>
            </w:r>
          </w:p>
          <w:p w14:paraId="431A9267">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仿宋"/>
                <w:b/>
                <w:color w:val="auto"/>
                <w:szCs w:val="21"/>
                <w:highlight w:val="none"/>
              </w:rPr>
            </w:pPr>
            <w:r>
              <w:rPr>
                <w:rFonts w:hint="default" w:ascii="宋体" w:hAnsi="宋体" w:cs="仿宋"/>
                <w:b/>
                <w:color w:val="auto"/>
                <w:szCs w:val="21"/>
                <w:highlight w:val="none"/>
              </w:rPr>
              <w:t>（含税价）</w:t>
            </w:r>
          </w:p>
        </w:tc>
        <w:tc>
          <w:tcPr>
            <w:tcW w:w="1183" w:type="dxa"/>
            <w:vAlign w:val="center"/>
          </w:tcPr>
          <w:p w14:paraId="59F0864D">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仿宋"/>
                <w:b/>
                <w:color w:val="auto"/>
                <w:szCs w:val="21"/>
                <w:highlight w:val="none"/>
              </w:rPr>
            </w:pPr>
            <w:r>
              <w:rPr>
                <w:rFonts w:hint="default" w:ascii="宋体" w:hAnsi="宋体" w:cs="仿宋"/>
                <w:b/>
                <w:color w:val="auto"/>
                <w:szCs w:val="21"/>
                <w:highlight w:val="none"/>
              </w:rPr>
              <w:t>服务期</w:t>
            </w:r>
          </w:p>
        </w:tc>
        <w:tc>
          <w:tcPr>
            <w:tcW w:w="971" w:type="dxa"/>
            <w:vAlign w:val="center"/>
          </w:tcPr>
          <w:p w14:paraId="4556DCCD">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仿宋"/>
                <w:b/>
                <w:color w:val="auto"/>
                <w:szCs w:val="21"/>
                <w:highlight w:val="none"/>
              </w:rPr>
            </w:pPr>
            <w:r>
              <w:rPr>
                <w:rFonts w:hint="default" w:ascii="宋体" w:hAnsi="宋体" w:cs="仿宋"/>
                <w:b/>
                <w:color w:val="auto"/>
                <w:szCs w:val="21"/>
                <w:highlight w:val="none"/>
              </w:rPr>
              <w:t>保证金</w:t>
            </w:r>
          </w:p>
        </w:tc>
        <w:tc>
          <w:tcPr>
            <w:tcW w:w="1417" w:type="dxa"/>
            <w:vAlign w:val="center"/>
          </w:tcPr>
          <w:p w14:paraId="2D3504AB">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仿宋"/>
                <w:b/>
                <w:color w:val="auto"/>
                <w:szCs w:val="21"/>
                <w:highlight w:val="none"/>
              </w:rPr>
            </w:pPr>
            <w:r>
              <w:rPr>
                <w:rFonts w:hint="default" w:ascii="宋体" w:hAnsi="宋体" w:cs="仿宋"/>
                <w:b/>
                <w:color w:val="auto"/>
                <w:szCs w:val="21"/>
                <w:highlight w:val="none"/>
              </w:rPr>
              <w:t>声明</w:t>
            </w:r>
          </w:p>
        </w:tc>
      </w:tr>
      <w:tr w14:paraId="7499F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10748" w:type="dxa"/>
            <w:gridSpan w:val="7"/>
            <w:vAlign w:val="center"/>
          </w:tcPr>
          <w:p w14:paraId="278AE814">
            <w:pPr>
              <w:keepNext w:val="0"/>
              <w:keepLines w:val="0"/>
              <w:suppressLineNumbers w:val="0"/>
              <w:adjustRightInd w:val="0"/>
              <w:spacing w:before="0" w:beforeAutospacing="0" w:after="0" w:afterAutospacing="0" w:line="400" w:lineRule="exact"/>
              <w:ind w:left="0" w:right="0"/>
              <w:jc w:val="left"/>
              <w:rPr>
                <w:rFonts w:hint="default" w:ascii="宋体" w:hAnsi="宋体" w:cs="仿宋"/>
                <w:color w:val="auto"/>
                <w:szCs w:val="21"/>
                <w:highlight w:val="none"/>
              </w:rPr>
            </w:pPr>
            <w:r>
              <w:rPr>
                <w:rFonts w:hint="default" w:ascii="宋体" w:hAnsi="宋体" w:cs="仿宋"/>
                <w:color w:val="auto"/>
                <w:szCs w:val="21"/>
                <w:highlight w:val="none"/>
              </w:rPr>
              <w:t>一、</w:t>
            </w:r>
            <w:r>
              <w:rPr>
                <w:rFonts w:hint="default"/>
                <w:color w:val="auto"/>
                <w:szCs w:val="20"/>
                <w:highlight w:val="none"/>
              </w:rPr>
              <w:t>针对</w:t>
            </w:r>
            <w:r>
              <w:rPr>
                <w:rFonts w:hint="eastAsia"/>
                <w:color w:val="auto"/>
                <w:szCs w:val="20"/>
                <w:highlight w:val="none"/>
                <w:lang w:eastAsia="zh-CN"/>
              </w:rPr>
              <w:t>烟花爆竹、民用爆炸用品、一般工贸行业</w:t>
            </w:r>
            <w:r>
              <w:rPr>
                <w:rFonts w:hint="default"/>
                <w:color w:val="auto"/>
                <w:szCs w:val="20"/>
                <w:highlight w:val="none"/>
              </w:rPr>
              <w:t>及下表未列明的建筑工程企业项目</w:t>
            </w:r>
          </w:p>
        </w:tc>
        <w:tc>
          <w:tcPr>
            <w:tcW w:w="1183" w:type="dxa"/>
            <w:vMerge w:val="restart"/>
            <w:vAlign w:val="center"/>
          </w:tcPr>
          <w:p w14:paraId="6ADC6850">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1"/>
                <w:highlight w:val="none"/>
              </w:rPr>
            </w:pPr>
            <w:r>
              <w:rPr>
                <w:rFonts w:hint="default" w:ascii="宋体" w:hAnsi="宋体" w:cs="仿宋"/>
                <w:color w:val="auto"/>
                <w:szCs w:val="21"/>
                <w:highlight w:val="none"/>
              </w:rPr>
              <w:t>同招标文件要求</w:t>
            </w:r>
          </w:p>
        </w:tc>
        <w:tc>
          <w:tcPr>
            <w:tcW w:w="971" w:type="dxa"/>
            <w:vMerge w:val="restart"/>
            <w:vAlign w:val="center"/>
          </w:tcPr>
          <w:p w14:paraId="68362391">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1"/>
                <w:highlight w:val="none"/>
              </w:rPr>
            </w:pPr>
            <w:r>
              <w:rPr>
                <w:rFonts w:hint="default" w:ascii="宋体" w:hAnsi="宋体" w:cs="宋体"/>
                <w:color w:val="auto"/>
                <w:kern w:val="0"/>
                <w:szCs w:val="21"/>
                <w:highlight w:val="none"/>
              </w:rPr>
              <w:t>有/无</w:t>
            </w:r>
          </w:p>
        </w:tc>
        <w:tc>
          <w:tcPr>
            <w:tcW w:w="1417" w:type="dxa"/>
            <w:vMerge w:val="restart"/>
            <w:vAlign w:val="center"/>
          </w:tcPr>
          <w:p w14:paraId="7C27EE44">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1"/>
                <w:highlight w:val="none"/>
              </w:rPr>
            </w:pPr>
          </w:p>
        </w:tc>
      </w:tr>
      <w:tr w14:paraId="0DE69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jc w:val="center"/>
        </w:trPr>
        <w:tc>
          <w:tcPr>
            <w:tcW w:w="831" w:type="dxa"/>
            <w:vAlign w:val="center"/>
          </w:tcPr>
          <w:p w14:paraId="10E976AF">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1"/>
                <w:highlight w:val="none"/>
              </w:rPr>
            </w:pPr>
            <w:r>
              <w:rPr>
                <w:rFonts w:hint="default" w:ascii="宋体" w:hAnsi="宋体" w:cs="仿宋"/>
                <w:color w:val="auto"/>
                <w:szCs w:val="21"/>
                <w:highlight w:val="none"/>
              </w:rPr>
              <w:t>1</w:t>
            </w:r>
          </w:p>
        </w:tc>
        <w:tc>
          <w:tcPr>
            <w:tcW w:w="6725" w:type="dxa"/>
            <w:gridSpan w:val="4"/>
            <w:vAlign w:val="center"/>
          </w:tcPr>
          <w:p w14:paraId="55C848EA">
            <w:pPr>
              <w:keepNext w:val="0"/>
              <w:keepLines w:val="0"/>
              <w:suppressLineNumbers w:val="0"/>
              <w:adjustRightInd w:val="0"/>
              <w:spacing w:before="0" w:beforeAutospacing="0" w:after="0" w:afterAutospacing="0" w:line="400" w:lineRule="exact"/>
              <w:ind w:left="0" w:right="0"/>
              <w:jc w:val="center"/>
              <w:rPr>
                <w:rFonts w:hint="default" w:ascii="宋体" w:hAnsi="宋体" w:eastAsia="宋体" w:cs="仿宋"/>
                <w:color w:val="auto"/>
                <w:szCs w:val="21"/>
                <w:highlight w:val="none"/>
                <w:lang w:val="en-US" w:eastAsia="zh-CN"/>
              </w:rPr>
            </w:pPr>
            <w:r>
              <w:rPr>
                <w:rFonts w:hint="default" w:ascii="宋体" w:hAnsi="宋体" w:cs="仿宋"/>
                <w:color w:val="auto"/>
                <w:szCs w:val="20"/>
                <w:highlight w:val="none"/>
              </w:rPr>
              <w:t>初级安全工程师或三级安全评价师或监理员或初级职称等各行业同等级别</w:t>
            </w:r>
            <w:r>
              <w:rPr>
                <w:rFonts w:hint="eastAsia" w:ascii="宋体" w:hAnsi="宋体" w:cs="仿宋"/>
                <w:color w:val="auto"/>
                <w:szCs w:val="20"/>
                <w:highlight w:val="none"/>
                <w:lang w:eastAsia="zh-CN"/>
              </w:rPr>
              <w:t>（权重</w:t>
            </w:r>
            <w:r>
              <w:rPr>
                <w:rFonts w:hint="eastAsia" w:ascii="宋体" w:hAnsi="宋体" w:cs="仿宋"/>
                <w:color w:val="auto"/>
                <w:szCs w:val="20"/>
                <w:highlight w:val="none"/>
                <w:lang w:val="en-US" w:eastAsia="zh-CN"/>
              </w:rPr>
              <w:t>15%）</w:t>
            </w:r>
          </w:p>
        </w:tc>
        <w:tc>
          <w:tcPr>
            <w:tcW w:w="1596" w:type="dxa"/>
            <w:vAlign w:val="center"/>
          </w:tcPr>
          <w:p w14:paraId="37F221D6">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1"/>
                <w:highlight w:val="none"/>
              </w:rPr>
            </w:pPr>
            <w:r>
              <w:rPr>
                <w:rFonts w:hint="default" w:ascii="宋体" w:hAnsi="宋体" w:cs="仿宋"/>
                <w:color w:val="auto"/>
                <w:szCs w:val="21"/>
                <w:highlight w:val="none"/>
                <w:u w:val="single"/>
              </w:rPr>
              <w:t xml:space="preserve">     </w:t>
            </w:r>
            <w:r>
              <w:rPr>
                <w:rFonts w:hint="default" w:ascii="宋体" w:hAnsi="宋体" w:cs="仿宋"/>
                <w:color w:val="auto"/>
                <w:szCs w:val="21"/>
                <w:highlight w:val="none"/>
              </w:rPr>
              <w:t>元/次</w:t>
            </w:r>
          </w:p>
        </w:tc>
        <w:tc>
          <w:tcPr>
            <w:tcW w:w="1596" w:type="dxa"/>
            <w:vAlign w:val="center"/>
          </w:tcPr>
          <w:p w14:paraId="164BF831">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1"/>
                <w:highlight w:val="none"/>
              </w:rPr>
            </w:pPr>
            <w:r>
              <w:rPr>
                <w:rFonts w:hint="eastAsia" w:ascii="宋体" w:hAnsi="宋体" w:cs="仿宋"/>
                <w:color w:val="auto"/>
                <w:szCs w:val="21"/>
                <w:highlight w:val="none"/>
                <w:lang w:val="en-US" w:eastAsia="zh-CN"/>
              </w:rPr>
              <w:t>960</w:t>
            </w:r>
            <w:r>
              <w:rPr>
                <w:rFonts w:hint="default" w:ascii="宋体" w:hAnsi="宋体" w:cs="仿宋"/>
                <w:color w:val="auto"/>
                <w:szCs w:val="21"/>
                <w:highlight w:val="none"/>
              </w:rPr>
              <w:t>元/次</w:t>
            </w:r>
          </w:p>
        </w:tc>
        <w:tc>
          <w:tcPr>
            <w:tcW w:w="1183" w:type="dxa"/>
            <w:vMerge w:val="continue"/>
            <w:vAlign w:val="center"/>
          </w:tcPr>
          <w:p w14:paraId="07261A8A">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1"/>
                <w:highlight w:val="none"/>
              </w:rPr>
            </w:pPr>
          </w:p>
        </w:tc>
        <w:tc>
          <w:tcPr>
            <w:tcW w:w="971" w:type="dxa"/>
            <w:vMerge w:val="continue"/>
            <w:vAlign w:val="center"/>
          </w:tcPr>
          <w:p w14:paraId="67E2FF83">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1"/>
                <w:highlight w:val="none"/>
              </w:rPr>
            </w:pPr>
          </w:p>
        </w:tc>
        <w:tc>
          <w:tcPr>
            <w:tcW w:w="1417" w:type="dxa"/>
            <w:vMerge w:val="continue"/>
            <w:vAlign w:val="center"/>
          </w:tcPr>
          <w:p w14:paraId="2B48DCC7">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1"/>
                <w:highlight w:val="none"/>
              </w:rPr>
            </w:pPr>
          </w:p>
        </w:tc>
      </w:tr>
      <w:tr w14:paraId="268DD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831" w:type="dxa"/>
            <w:vAlign w:val="center"/>
          </w:tcPr>
          <w:p w14:paraId="332BAF13">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1"/>
                <w:highlight w:val="none"/>
              </w:rPr>
            </w:pPr>
            <w:r>
              <w:rPr>
                <w:rFonts w:hint="default" w:ascii="宋体" w:hAnsi="宋体" w:cs="仿宋"/>
                <w:color w:val="auto"/>
                <w:szCs w:val="21"/>
                <w:highlight w:val="none"/>
              </w:rPr>
              <w:t>2</w:t>
            </w:r>
          </w:p>
        </w:tc>
        <w:tc>
          <w:tcPr>
            <w:tcW w:w="6725" w:type="dxa"/>
            <w:gridSpan w:val="4"/>
            <w:vAlign w:val="center"/>
          </w:tcPr>
          <w:p w14:paraId="60D37DF1">
            <w:pPr>
              <w:keepNext w:val="0"/>
              <w:keepLines w:val="0"/>
              <w:suppressLineNumbers w:val="0"/>
              <w:adjustRightInd w:val="0"/>
              <w:spacing w:before="0" w:beforeAutospacing="0" w:after="0" w:afterAutospacing="0" w:line="400" w:lineRule="exact"/>
              <w:ind w:left="0" w:right="0"/>
              <w:jc w:val="center"/>
              <w:rPr>
                <w:rFonts w:hint="default" w:ascii="宋体" w:hAnsi="宋体" w:eastAsia="宋体" w:cs="仿宋"/>
                <w:color w:val="auto"/>
                <w:szCs w:val="21"/>
                <w:highlight w:val="none"/>
                <w:lang w:val="en-US" w:eastAsia="zh-CN"/>
              </w:rPr>
            </w:pPr>
            <w:r>
              <w:rPr>
                <w:rFonts w:hint="default" w:ascii="宋体" w:hAnsi="宋体" w:cs="仿宋"/>
                <w:color w:val="auto"/>
                <w:szCs w:val="20"/>
                <w:highlight w:val="none"/>
              </w:rPr>
              <w:t>中级安全工程师或工程师或二级安全评价师或</w:t>
            </w:r>
            <w:r>
              <w:rPr>
                <w:rFonts w:hint="eastAsia" w:ascii="宋体" w:hAnsi="宋体" w:cs="仿宋"/>
                <w:color w:val="auto"/>
                <w:szCs w:val="20"/>
                <w:highlight w:val="none"/>
                <w:lang w:val="en-US" w:eastAsia="zh-CN"/>
              </w:rPr>
              <w:t>宜春</w:t>
            </w:r>
            <w:r>
              <w:rPr>
                <w:rFonts w:hint="default" w:ascii="宋体" w:hAnsi="宋体" w:cs="仿宋"/>
                <w:color w:val="auto"/>
                <w:szCs w:val="20"/>
                <w:highlight w:val="none"/>
                <w:lang w:val="en-US"/>
              </w:rPr>
              <w:t>市</w:t>
            </w:r>
            <w:r>
              <w:rPr>
                <w:rFonts w:hint="default" w:ascii="宋体" w:hAnsi="宋体" w:cs="仿宋"/>
                <w:color w:val="auto"/>
                <w:szCs w:val="20"/>
                <w:highlight w:val="none"/>
              </w:rPr>
              <w:t>监理工程师或中级职称等各行业同等级别</w:t>
            </w:r>
            <w:r>
              <w:rPr>
                <w:rFonts w:hint="eastAsia" w:ascii="宋体" w:hAnsi="宋体" w:cs="仿宋"/>
                <w:color w:val="auto"/>
                <w:szCs w:val="20"/>
                <w:highlight w:val="none"/>
                <w:lang w:eastAsia="zh-CN"/>
              </w:rPr>
              <w:t>（权重</w:t>
            </w:r>
            <w:r>
              <w:rPr>
                <w:rFonts w:hint="eastAsia" w:ascii="宋体" w:hAnsi="宋体" w:cs="仿宋"/>
                <w:color w:val="auto"/>
                <w:szCs w:val="20"/>
                <w:highlight w:val="none"/>
                <w:lang w:val="en-US" w:eastAsia="zh-CN"/>
              </w:rPr>
              <w:t>50%）</w:t>
            </w:r>
          </w:p>
        </w:tc>
        <w:tc>
          <w:tcPr>
            <w:tcW w:w="1596" w:type="dxa"/>
            <w:vAlign w:val="center"/>
          </w:tcPr>
          <w:p w14:paraId="09F45E64">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1"/>
                <w:highlight w:val="none"/>
              </w:rPr>
            </w:pPr>
            <w:r>
              <w:rPr>
                <w:rFonts w:hint="default" w:ascii="宋体" w:hAnsi="宋体" w:cs="仿宋"/>
                <w:color w:val="auto"/>
                <w:szCs w:val="21"/>
                <w:highlight w:val="none"/>
                <w:u w:val="single"/>
              </w:rPr>
              <w:t xml:space="preserve">     </w:t>
            </w:r>
            <w:r>
              <w:rPr>
                <w:rFonts w:hint="default" w:ascii="宋体" w:hAnsi="宋体" w:cs="仿宋"/>
                <w:color w:val="auto"/>
                <w:szCs w:val="21"/>
                <w:highlight w:val="none"/>
              </w:rPr>
              <w:t>元/次</w:t>
            </w:r>
          </w:p>
        </w:tc>
        <w:tc>
          <w:tcPr>
            <w:tcW w:w="1596" w:type="dxa"/>
            <w:vAlign w:val="center"/>
          </w:tcPr>
          <w:p w14:paraId="1F947166">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1"/>
                <w:highlight w:val="none"/>
              </w:rPr>
            </w:pPr>
            <w:r>
              <w:rPr>
                <w:rFonts w:hint="eastAsia" w:ascii="宋体" w:hAnsi="宋体" w:cs="仿宋"/>
                <w:color w:val="auto"/>
                <w:szCs w:val="21"/>
                <w:highlight w:val="none"/>
                <w:lang w:val="en-US" w:eastAsia="zh-CN"/>
              </w:rPr>
              <w:t>1200</w:t>
            </w:r>
            <w:r>
              <w:rPr>
                <w:rFonts w:hint="default" w:ascii="宋体" w:hAnsi="宋体" w:cs="仿宋"/>
                <w:color w:val="auto"/>
                <w:szCs w:val="21"/>
                <w:highlight w:val="none"/>
              </w:rPr>
              <w:t>元/次</w:t>
            </w:r>
          </w:p>
        </w:tc>
        <w:tc>
          <w:tcPr>
            <w:tcW w:w="1183" w:type="dxa"/>
            <w:vMerge w:val="continue"/>
            <w:vAlign w:val="center"/>
          </w:tcPr>
          <w:p w14:paraId="6BC92F0F">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1"/>
                <w:highlight w:val="none"/>
              </w:rPr>
            </w:pPr>
          </w:p>
        </w:tc>
        <w:tc>
          <w:tcPr>
            <w:tcW w:w="971" w:type="dxa"/>
            <w:vMerge w:val="continue"/>
            <w:vAlign w:val="center"/>
          </w:tcPr>
          <w:p w14:paraId="15C8D36F">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1"/>
                <w:highlight w:val="none"/>
              </w:rPr>
            </w:pPr>
          </w:p>
        </w:tc>
        <w:tc>
          <w:tcPr>
            <w:tcW w:w="1417" w:type="dxa"/>
            <w:vMerge w:val="continue"/>
            <w:vAlign w:val="center"/>
          </w:tcPr>
          <w:p w14:paraId="1F5DB963">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1"/>
                <w:highlight w:val="none"/>
              </w:rPr>
            </w:pPr>
          </w:p>
        </w:tc>
      </w:tr>
      <w:tr w14:paraId="7744A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jc w:val="center"/>
        </w:trPr>
        <w:tc>
          <w:tcPr>
            <w:tcW w:w="831" w:type="dxa"/>
            <w:vAlign w:val="center"/>
          </w:tcPr>
          <w:p w14:paraId="11D99246">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1"/>
                <w:highlight w:val="none"/>
              </w:rPr>
            </w:pPr>
            <w:r>
              <w:rPr>
                <w:rFonts w:hint="default" w:ascii="宋体" w:hAnsi="宋体" w:cs="仿宋"/>
                <w:color w:val="auto"/>
                <w:szCs w:val="21"/>
                <w:highlight w:val="none"/>
              </w:rPr>
              <w:t>3</w:t>
            </w:r>
          </w:p>
        </w:tc>
        <w:tc>
          <w:tcPr>
            <w:tcW w:w="6725" w:type="dxa"/>
            <w:gridSpan w:val="4"/>
            <w:vAlign w:val="center"/>
          </w:tcPr>
          <w:p w14:paraId="5F6BA86C">
            <w:pPr>
              <w:keepNext w:val="0"/>
              <w:keepLines w:val="0"/>
              <w:suppressLineNumbers w:val="0"/>
              <w:adjustRightInd w:val="0"/>
              <w:spacing w:before="0" w:beforeAutospacing="0" w:after="0" w:afterAutospacing="0" w:line="400" w:lineRule="exact"/>
              <w:ind w:left="0" w:right="0"/>
              <w:jc w:val="center"/>
              <w:rPr>
                <w:rFonts w:hint="default" w:ascii="宋体" w:hAnsi="宋体" w:eastAsia="宋体" w:cs="仿宋"/>
                <w:color w:val="auto"/>
                <w:szCs w:val="21"/>
                <w:highlight w:val="none"/>
                <w:lang w:val="en-US" w:eastAsia="zh-CN"/>
              </w:rPr>
            </w:pPr>
            <w:r>
              <w:rPr>
                <w:rFonts w:hint="default" w:ascii="宋体" w:hAnsi="宋体" w:cs="仿宋"/>
                <w:color w:val="auto"/>
                <w:szCs w:val="20"/>
                <w:highlight w:val="none"/>
              </w:rPr>
              <w:t>一级安全评价师或</w:t>
            </w:r>
            <w:r>
              <w:rPr>
                <w:rFonts w:hint="default" w:ascii="宋体" w:hAnsi="宋体" w:cs="仿宋"/>
                <w:color w:val="auto"/>
                <w:szCs w:val="20"/>
                <w:highlight w:val="none"/>
                <w:lang w:val="en-US"/>
              </w:rPr>
              <w:t>江西省</w:t>
            </w:r>
            <w:r>
              <w:rPr>
                <w:rFonts w:hint="default" w:ascii="宋体" w:hAnsi="宋体" w:cs="仿宋"/>
                <w:color w:val="auto"/>
                <w:szCs w:val="20"/>
                <w:highlight w:val="none"/>
              </w:rPr>
              <w:t>监理工程师或副高级工程师等各行业同等级别</w:t>
            </w:r>
            <w:r>
              <w:rPr>
                <w:rFonts w:hint="eastAsia" w:ascii="宋体" w:hAnsi="宋体" w:cs="仿宋"/>
                <w:color w:val="auto"/>
                <w:szCs w:val="20"/>
                <w:highlight w:val="none"/>
                <w:lang w:eastAsia="zh-CN"/>
              </w:rPr>
              <w:t>（权重</w:t>
            </w:r>
            <w:r>
              <w:rPr>
                <w:rFonts w:hint="eastAsia" w:ascii="宋体" w:hAnsi="宋体" w:cs="仿宋"/>
                <w:color w:val="auto"/>
                <w:szCs w:val="20"/>
                <w:highlight w:val="none"/>
                <w:lang w:val="en-US" w:eastAsia="zh-CN"/>
              </w:rPr>
              <w:t>20%）</w:t>
            </w:r>
          </w:p>
        </w:tc>
        <w:tc>
          <w:tcPr>
            <w:tcW w:w="1596" w:type="dxa"/>
            <w:vAlign w:val="center"/>
          </w:tcPr>
          <w:p w14:paraId="295F39A8">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1"/>
                <w:highlight w:val="none"/>
              </w:rPr>
            </w:pPr>
            <w:r>
              <w:rPr>
                <w:rFonts w:hint="default" w:ascii="宋体" w:hAnsi="宋体" w:cs="仿宋"/>
                <w:color w:val="auto"/>
                <w:szCs w:val="21"/>
                <w:highlight w:val="none"/>
                <w:u w:val="single"/>
              </w:rPr>
              <w:t xml:space="preserve">     </w:t>
            </w:r>
            <w:r>
              <w:rPr>
                <w:rFonts w:hint="default" w:ascii="宋体" w:hAnsi="宋体" w:cs="仿宋"/>
                <w:color w:val="auto"/>
                <w:szCs w:val="21"/>
                <w:highlight w:val="none"/>
              </w:rPr>
              <w:t>元/次</w:t>
            </w:r>
          </w:p>
        </w:tc>
        <w:tc>
          <w:tcPr>
            <w:tcW w:w="1596" w:type="dxa"/>
            <w:vAlign w:val="center"/>
          </w:tcPr>
          <w:p w14:paraId="29EDE471">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1"/>
                <w:highlight w:val="none"/>
              </w:rPr>
            </w:pPr>
            <w:r>
              <w:rPr>
                <w:rFonts w:hint="eastAsia" w:ascii="宋体" w:hAnsi="宋体" w:cs="仿宋"/>
                <w:color w:val="auto"/>
                <w:szCs w:val="21"/>
                <w:highlight w:val="none"/>
                <w:lang w:val="en-US" w:eastAsia="zh-CN"/>
              </w:rPr>
              <w:t>1800</w:t>
            </w:r>
            <w:r>
              <w:rPr>
                <w:rFonts w:hint="default" w:ascii="宋体" w:hAnsi="宋体" w:cs="仿宋"/>
                <w:color w:val="auto"/>
                <w:szCs w:val="21"/>
                <w:highlight w:val="none"/>
              </w:rPr>
              <w:t>元/次</w:t>
            </w:r>
          </w:p>
        </w:tc>
        <w:tc>
          <w:tcPr>
            <w:tcW w:w="1183" w:type="dxa"/>
            <w:vMerge w:val="continue"/>
            <w:vAlign w:val="center"/>
          </w:tcPr>
          <w:p w14:paraId="500A8882">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1"/>
                <w:highlight w:val="none"/>
              </w:rPr>
            </w:pPr>
          </w:p>
        </w:tc>
        <w:tc>
          <w:tcPr>
            <w:tcW w:w="971" w:type="dxa"/>
            <w:vMerge w:val="continue"/>
            <w:vAlign w:val="center"/>
          </w:tcPr>
          <w:p w14:paraId="2D75D420">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1"/>
                <w:highlight w:val="none"/>
              </w:rPr>
            </w:pPr>
          </w:p>
        </w:tc>
        <w:tc>
          <w:tcPr>
            <w:tcW w:w="1417" w:type="dxa"/>
            <w:vMerge w:val="continue"/>
            <w:vAlign w:val="center"/>
          </w:tcPr>
          <w:p w14:paraId="1B4AF039">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1"/>
                <w:highlight w:val="none"/>
              </w:rPr>
            </w:pPr>
          </w:p>
        </w:tc>
      </w:tr>
      <w:tr w14:paraId="178A6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831" w:type="dxa"/>
            <w:vAlign w:val="center"/>
          </w:tcPr>
          <w:p w14:paraId="57AF931A">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1"/>
                <w:highlight w:val="none"/>
              </w:rPr>
            </w:pPr>
            <w:r>
              <w:rPr>
                <w:rFonts w:hint="default" w:ascii="宋体" w:hAnsi="宋体" w:cs="仿宋"/>
                <w:color w:val="auto"/>
                <w:szCs w:val="21"/>
                <w:highlight w:val="none"/>
              </w:rPr>
              <w:t>4</w:t>
            </w:r>
          </w:p>
        </w:tc>
        <w:tc>
          <w:tcPr>
            <w:tcW w:w="6725" w:type="dxa"/>
            <w:gridSpan w:val="4"/>
            <w:vAlign w:val="center"/>
          </w:tcPr>
          <w:p w14:paraId="4DF9F103">
            <w:pPr>
              <w:keepNext w:val="0"/>
              <w:keepLines w:val="0"/>
              <w:suppressLineNumbers w:val="0"/>
              <w:adjustRightInd w:val="0"/>
              <w:spacing w:before="0" w:beforeAutospacing="0" w:after="0" w:afterAutospacing="0" w:line="400" w:lineRule="exact"/>
              <w:ind w:left="0" w:right="0"/>
              <w:jc w:val="center"/>
              <w:rPr>
                <w:rFonts w:hint="default" w:ascii="宋体" w:hAnsi="宋体" w:eastAsia="宋体" w:cs="仿宋"/>
                <w:color w:val="auto"/>
                <w:szCs w:val="21"/>
                <w:highlight w:val="none"/>
                <w:lang w:val="en-US" w:eastAsia="zh-CN"/>
              </w:rPr>
            </w:pPr>
            <w:r>
              <w:rPr>
                <w:rFonts w:hint="default" w:ascii="宋体" w:hAnsi="宋体" w:cs="仿宋"/>
                <w:color w:val="auto"/>
                <w:szCs w:val="20"/>
                <w:highlight w:val="none"/>
              </w:rPr>
              <w:t>高级安全评价师或国家监理工程师或教授级或正高级工程师等各行业同等级别</w:t>
            </w:r>
            <w:r>
              <w:rPr>
                <w:rFonts w:hint="eastAsia" w:ascii="宋体" w:hAnsi="宋体" w:cs="仿宋"/>
                <w:color w:val="auto"/>
                <w:szCs w:val="20"/>
                <w:highlight w:val="none"/>
                <w:lang w:eastAsia="zh-CN"/>
              </w:rPr>
              <w:t>（权重</w:t>
            </w:r>
            <w:r>
              <w:rPr>
                <w:rFonts w:hint="eastAsia" w:ascii="宋体" w:hAnsi="宋体" w:cs="仿宋"/>
                <w:color w:val="auto"/>
                <w:szCs w:val="20"/>
                <w:highlight w:val="none"/>
                <w:lang w:val="en-US" w:eastAsia="zh-CN"/>
              </w:rPr>
              <w:t>15%）</w:t>
            </w:r>
          </w:p>
        </w:tc>
        <w:tc>
          <w:tcPr>
            <w:tcW w:w="1596" w:type="dxa"/>
            <w:vAlign w:val="center"/>
          </w:tcPr>
          <w:p w14:paraId="4FAF0CF5">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1"/>
                <w:highlight w:val="none"/>
              </w:rPr>
            </w:pPr>
            <w:r>
              <w:rPr>
                <w:rFonts w:hint="default" w:ascii="宋体" w:hAnsi="宋体" w:cs="仿宋"/>
                <w:color w:val="auto"/>
                <w:szCs w:val="21"/>
                <w:highlight w:val="none"/>
                <w:u w:val="single"/>
              </w:rPr>
              <w:t xml:space="preserve">     </w:t>
            </w:r>
            <w:r>
              <w:rPr>
                <w:rFonts w:hint="default" w:ascii="宋体" w:hAnsi="宋体" w:cs="仿宋"/>
                <w:color w:val="auto"/>
                <w:szCs w:val="21"/>
                <w:highlight w:val="none"/>
              </w:rPr>
              <w:t>元/次</w:t>
            </w:r>
          </w:p>
        </w:tc>
        <w:tc>
          <w:tcPr>
            <w:tcW w:w="1596" w:type="dxa"/>
            <w:vAlign w:val="center"/>
          </w:tcPr>
          <w:p w14:paraId="22E43746">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1"/>
                <w:highlight w:val="none"/>
              </w:rPr>
            </w:pPr>
            <w:r>
              <w:rPr>
                <w:rFonts w:hint="eastAsia" w:ascii="宋体" w:hAnsi="宋体" w:cs="仿宋"/>
                <w:color w:val="auto"/>
                <w:szCs w:val="21"/>
                <w:highlight w:val="none"/>
                <w:lang w:val="en-US" w:eastAsia="zh-CN"/>
              </w:rPr>
              <w:t>3600</w:t>
            </w:r>
            <w:r>
              <w:rPr>
                <w:rFonts w:hint="default" w:ascii="宋体" w:hAnsi="宋体" w:cs="仿宋"/>
                <w:color w:val="auto"/>
                <w:szCs w:val="21"/>
                <w:highlight w:val="none"/>
              </w:rPr>
              <w:t>元/次</w:t>
            </w:r>
          </w:p>
        </w:tc>
        <w:tc>
          <w:tcPr>
            <w:tcW w:w="1183" w:type="dxa"/>
            <w:vMerge w:val="continue"/>
            <w:vAlign w:val="center"/>
          </w:tcPr>
          <w:p w14:paraId="38523937">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1"/>
                <w:highlight w:val="none"/>
              </w:rPr>
            </w:pPr>
          </w:p>
        </w:tc>
        <w:tc>
          <w:tcPr>
            <w:tcW w:w="971" w:type="dxa"/>
            <w:vMerge w:val="continue"/>
            <w:vAlign w:val="center"/>
          </w:tcPr>
          <w:p w14:paraId="2DF25F70">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1"/>
                <w:highlight w:val="none"/>
              </w:rPr>
            </w:pPr>
          </w:p>
        </w:tc>
        <w:tc>
          <w:tcPr>
            <w:tcW w:w="1417" w:type="dxa"/>
            <w:vMerge w:val="continue"/>
            <w:vAlign w:val="center"/>
          </w:tcPr>
          <w:p w14:paraId="65262E8D">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1"/>
                <w:highlight w:val="none"/>
              </w:rPr>
            </w:pPr>
          </w:p>
        </w:tc>
      </w:tr>
      <w:tr w14:paraId="28D7F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10748" w:type="dxa"/>
            <w:gridSpan w:val="7"/>
            <w:vAlign w:val="center"/>
          </w:tcPr>
          <w:p w14:paraId="60C1F2E5">
            <w:pPr>
              <w:keepNext w:val="0"/>
              <w:keepLines w:val="0"/>
              <w:suppressLineNumbers w:val="0"/>
              <w:adjustRightInd w:val="0"/>
              <w:spacing w:before="0" w:beforeAutospacing="0" w:after="0" w:afterAutospacing="0" w:line="400" w:lineRule="exact"/>
              <w:ind w:left="0" w:right="0"/>
              <w:jc w:val="left"/>
              <w:rPr>
                <w:rFonts w:hint="default" w:ascii="宋体" w:hAnsi="宋体" w:cs="仿宋"/>
                <w:color w:val="auto"/>
                <w:szCs w:val="21"/>
                <w:highlight w:val="none"/>
              </w:rPr>
            </w:pPr>
            <w:r>
              <w:rPr>
                <w:rFonts w:hint="default" w:ascii="宋体" w:hAnsi="宋体" w:cs="仿宋"/>
                <w:color w:val="auto"/>
                <w:szCs w:val="21"/>
                <w:highlight w:val="none"/>
              </w:rPr>
              <w:t>二、针对建筑工程企业项目</w:t>
            </w:r>
          </w:p>
        </w:tc>
        <w:tc>
          <w:tcPr>
            <w:tcW w:w="1183" w:type="dxa"/>
            <w:vMerge w:val="continue"/>
            <w:vAlign w:val="center"/>
          </w:tcPr>
          <w:p w14:paraId="0E5C94DD">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1"/>
                <w:highlight w:val="none"/>
              </w:rPr>
            </w:pPr>
          </w:p>
        </w:tc>
        <w:tc>
          <w:tcPr>
            <w:tcW w:w="971" w:type="dxa"/>
            <w:vMerge w:val="continue"/>
            <w:vAlign w:val="center"/>
          </w:tcPr>
          <w:p w14:paraId="6E9F9F04">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1"/>
                <w:highlight w:val="none"/>
              </w:rPr>
            </w:pPr>
          </w:p>
        </w:tc>
        <w:tc>
          <w:tcPr>
            <w:tcW w:w="1417" w:type="dxa"/>
            <w:vMerge w:val="continue"/>
            <w:vAlign w:val="center"/>
          </w:tcPr>
          <w:p w14:paraId="34F2923D">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1"/>
                <w:highlight w:val="none"/>
              </w:rPr>
            </w:pPr>
          </w:p>
        </w:tc>
      </w:tr>
      <w:tr w14:paraId="740E9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831" w:type="dxa"/>
            <w:vMerge w:val="restart"/>
            <w:vAlign w:val="center"/>
          </w:tcPr>
          <w:p w14:paraId="440944D7">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1"/>
                <w:highlight w:val="none"/>
              </w:rPr>
            </w:pPr>
            <w:r>
              <w:rPr>
                <w:rFonts w:hint="default" w:ascii="宋体" w:hAnsi="宋体" w:cs="仿宋"/>
                <w:color w:val="auto"/>
                <w:szCs w:val="21"/>
                <w:highlight w:val="none"/>
              </w:rPr>
              <w:t>1</w:t>
            </w:r>
          </w:p>
        </w:tc>
        <w:tc>
          <w:tcPr>
            <w:tcW w:w="1211" w:type="dxa"/>
            <w:vMerge w:val="restart"/>
            <w:vAlign w:val="center"/>
          </w:tcPr>
          <w:p w14:paraId="488D19CF">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0"/>
                <w:highlight w:val="none"/>
              </w:rPr>
            </w:pPr>
            <w:r>
              <w:rPr>
                <w:rFonts w:hint="default" w:ascii="宋体" w:hAnsi="宋体" w:cs="仿宋"/>
                <w:color w:val="auto"/>
                <w:szCs w:val="20"/>
                <w:highlight w:val="none"/>
              </w:rPr>
              <w:t>生产安全事故隐患排查</w:t>
            </w:r>
          </w:p>
        </w:tc>
        <w:tc>
          <w:tcPr>
            <w:tcW w:w="2301" w:type="dxa"/>
            <w:gridSpan w:val="2"/>
            <w:vAlign w:val="center"/>
          </w:tcPr>
          <w:p w14:paraId="6EB0DF1B">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0"/>
                <w:highlight w:val="none"/>
              </w:rPr>
            </w:pPr>
            <w:r>
              <w:rPr>
                <w:rFonts w:hint="eastAsia" w:ascii="宋体" w:hAnsi="宋体" w:cs="仿宋"/>
                <w:color w:val="auto"/>
                <w:szCs w:val="20"/>
                <w:highlight w:val="none"/>
                <w:lang w:eastAsia="zh-CN"/>
              </w:rPr>
              <w:t>风险</w:t>
            </w:r>
            <w:r>
              <w:rPr>
                <w:rFonts w:hint="default" w:ascii="宋体" w:hAnsi="宋体" w:cs="仿宋"/>
                <w:color w:val="auto"/>
                <w:szCs w:val="20"/>
                <w:highlight w:val="none"/>
              </w:rPr>
              <w:t>隐患排查</w:t>
            </w:r>
          </w:p>
        </w:tc>
        <w:tc>
          <w:tcPr>
            <w:tcW w:w="3213" w:type="dxa"/>
            <w:vAlign w:val="center"/>
          </w:tcPr>
          <w:p w14:paraId="0DB2E55F">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0"/>
                <w:highlight w:val="none"/>
              </w:rPr>
            </w:pPr>
            <w:r>
              <w:rPr>
                <w:rFonts w:hint="default" w:ascii="宋体" w:hAnsi="宋体" w:cs="仿宋"/>
                <w:color w:val="auto"/>
                <w:szCs w:val="20"/>
                <w:highlight w:val="none"/>
              </w:rPr>
              <w:t>1.2人及以上参与现场服务；</w:t>
            </w:r>
          </w:p>
          <w:p w14:paraId="13DB7B8B">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0"/>
                <w:highlight w:val="none"/>
              </w:rPr>
            </w:pPr>
            <w:r>
              <w:rPr>
                <w:rFonts w:hint="default" w:ascii="宋体" w:hAnsi="宋体" w:cs="仿宋"/>
                <w:color w:val="auto"/>
                <w:szCs w:val="20"/>
                <w:highlight w:val="none"/>
              </w:rPr>
              <w:t>2.领队需满足中级及以上职称要求</w:t>
            </w:r>
            <w:r>
              <w:rPr>
                <w:rFonts w:hint="eastAsia" w:ascii="宋体" w:hAnsi="宋体" w:cs="仿宋"/>
                <w:color w:val="auto"/>
                <w:szCs w:val="20"/>
                <w:highlight w:val="none"/>
                <w:lang w:eastAsia="zh-CN"/>
              </w:rPr>
              <w:t>（权重</w:t>
            </w:r>
            <w:r>
              <w:rPr>
                <w:rFonts w:hint="eastAsia" w:ascii="宋体" w:hAnsi="宋体" w:cs="仿宋"/>
                <w:color w:val="auto"/>
                <w:szCs w:val="20"/>
                <w:highlight w:val="none"/>
                <w:lang w:val="en-US" w:eastAsia="zh-CN"/>
              </w:rPr>
              <w:t>40%）</w:t>
            </w:r>
          </w:p>
        </w:tc>
        <w:tc>
          <w:tcPr>
            <w:tcW w:w="1596" w:type="dxa"/>
            <w:vAlign w:val="center"/>
          </w:tcPr>
          <w:p w14:paraId="427CF3DE">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1"/>
                <w:highlight w:val="none"/>
              </w:rPr>
            </w:pPr>
            <w:r>
              <w:rPr>
                <w:rFonts w:hint="default" w:ascii="宋体" w:hAnsi="宋体" w:cs="仿宋"/>
                <w:color w:val="auto"/>
                <w:szCs w:val="21"/>
                <w:highlight w:val="none"/>
                <w:u w:val="single"/>
              </w:rPr>
              <w:t xml:space="preserve">     </w:t>
            </w:r>
            <w:r>
              <w:rPr>
                <w:rFonts w:hint="default" w:ascii="宋体" w:hAnsi="宋体" w:cs="仿宋"/>
                <w:color w:val="auto"/>
                <w:szCs w:val="21"/>
                <w:highlight w:val="none"/>
              </w:rPr>
              <w:t>元/次</w:t>
            </w:r>
          </w:p>
        </w:tc>
        <w:tc>
          <w:tcPr>
            <w:tcW w:w="1596" w:type="dxa"/>
            <w:vAlign w:val="center"/>
          </w:tcPr>
          <w:p w14:paraId="2803E9ED">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1"/>
                <w:highlight w:val="none"/>
              </w:rPr>
            </w:pPr>
            <w:r>
              <w:rPr>
                <w:rFonts w:hint="eastAsia" w:ascii="宋体" w:hAnsi="宋体" w:cs="仿宋"/>
                <w:color w:val="auto"/>
                <w:szCs w:val="21"/>
                <w:highlight w:val="none"/>
                <w:lang w:val="en-US" w:eastAsia="zh-CN"/>
              </w:rPr>
              <w:t>1300</w:t>
            </w:r>
            <w:r>
              <w:rPr>
                <w:rFonts w:hint="default" w:ascii="宋体" w:hAnsi="宋体" w:cs="仿宋"/>
                <w:color w:val="auto"/>
                <w:szCs w:val="21"/>
                <w:highlight w:val="none"/>
              </w:rPr>
              <w:t>元/次</w:t>
            </w:r>
          </w:p>
        </w:tc>
        <w:tc>
          <w:tcPr>
            <w:tcW w:w="1183" w:type="dxa"/>
            <w:vMerge w:val="continue"/>
            <w:vAlign w:val="center"/>
          </w:tcPr>
          <w:p w14:paraId="60424917">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1"/>
                <w:highlight w:val="none"/>
              </w:rPr>
            </w:pPr>
          </w:p>
        </w:tc>
        <w:tc>
          <w:tcPr>
            <w:tcW w:w="971" w:type="dxa"/>
            <w:vMerge w:val="continue"/>
            <w:vAlign w:val="center"/>
          </w:tcPr>
          <w:p w14:paraId="14B6A788">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1"/>
                <w:highlight w:val="none"/>
              </w:rPr>
            </w:pPr>
          </w:p>
        </w:tc>
        <w:tc>
          <w:tcPr>
            <w:tcW w:w="1417" w:type="dxa"/>
            <w:vMerge w:val="continue"/>
            <w:vAlign w:val="center"/>
          </w:tcPr>
          <w:p w14:paraId="3F0E3A23">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1"/>
                <w:highlight w:val="none"/>
              </w:rPr>
            </w:pPr>
          </w:p>
        </w:tc>
      </w:tr>
      <w:tr w14:paraId="47D1C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831" w:type="dxa"/>
            <w:vMerge w:val="continue"/>
            <w:vAlign w:val="center"/>
          </w:tcPr>
          <w:p w14:paraId="18AB1732">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1"/>
                <w:highlight w:val="none"/>
              </w:rPr>
            </w:pPr>
          </w:p>
        </w:tc>
        <w:tc>
          <w:tcPr>
            <w:tcW w:w="1211" w:type="dxa"/>
            <w:vMerge w:val="continue"/>
            <w:vAlign w:val="center"/>
          </w:tcPr>
          <w:p w14:paraId="2E9FB66B">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0"/>
                <w:highlight w:val="none"/>
              </w:rPr>
            </w:pPr>
          </w:p>
        </w:tc>
        <w:tc>
          <w:tcPr>
            <w:tcW w:w="786" w:type="dxa"/>
            <w:vMerge w:val="restart"/>
            <w:vAlign w:val="center"/>
          </w:tcPr>
          <w:p w14:paraId="5C32F0A3">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0"/>
                <w:highlight w:val="none"/>
              </w:rPr>
            </w:pPr>
            <w:r>
              <w:rPr>
                <w:rFonts w:hint="default" w:ascii="宋体" w:hAnsi="宋体" w:cs="仿宋"/>
                <w:color w:val="auto"/>
                <w:szCs w:val="20"/>
                <w:highlight w:val="none"/>
              </w:rPr>
              <w:t>特种设备隐患排查</w:t>
            </w:r>
          </w:p>
        </w:tc>
        <w:tc>
          <w:tcPr>
            <w:tcW w:w="1515" w:type="dxa"/>
            <w:vAlign w:val="center"/>
          </w:tcPr>
          <w:p w14:paraId="532D0EAB">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0"/>
                <w:highlight w:val="none"/>
              </w:rPr>
            </w:pPr>
            <w:r>
              <w:rPr>
                <w:rFonts w:hint="default" w:ascii="宋体" w:hAnsi="宋体" w:cs="仿宋"/>
                <w:color w:val="auto"/>
                <w:szCs w:val="20"/>
                <w:highlight w:val="none"/>
              </w:rPr>
              <w:t>塔式起重机</w:t>
            </w:r>
          </w:p>
        </w:tc>
        <w:tc>
          <w:tcPr>
            <w:tcW w:w="3213" w:type="dxa"/>
            <w:vMerge w:val="restart"/>
            <w:vAlign w:val="center"/>
          </w:tcPr>
          <w:p w14:paraId="3EA5BB99">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0"/>
                <w:highlight w:val="none"/>
              </w:rPr>
            </w:pPr>
            <w:r>
              <w:rPr>
                <w:rFonts w:hint="default" w:ascii="宋体" w:hAnsi="宋体" w:cs="仿宋"/>
                <w:color w:val="auto"/>
                <w:szCs w:val="20"/>
                <w:highlight w:val="none"/>
              </w:rPr>
              <w:t>专业资质技术人员</w:t>
            </w:r>
          </w:p>
          <w:p w14:paraId="0A83DECD">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仿宋"/>
                <w:color w:val="auto"/>
                <w:szCs w:val="20"/>
                <w:highlight w:val="none"/>
                <w:lang w:eastAsia="zh-CN"/>
              </w:rPr>
            </w:pPr>
            <w:r>
              <w:rPr>
                <w:rFonts w:hint="eastAsia" w:ascii="宋体" w:hAnsi="宋体" w:cs="仿宋"/>
                <w:color w:val="auto"/>
                <w:szCs w:val="20"/>
                <w:highlight w:val="none"/>
                <w:lang w:eastAsia="zh-CN"/>
              </w:rPr>
              <w:t>（每项权重</w:t>
            </w:r>
            <w:r>
              <w:rPr>
                <w:rFonts w:hint="eastAsia" w:ascii="宋体" w:hAnsi="宋体" w:cs="仿宋"/>
                <w:color w:val="auto"/>
                <w:szCs w:val="20"/>
                <w:highlight w:val="none"/>
                <w:lang w:val="en-US" w:eastAsia="zh-CN"/>
              </w:rPr>
              <w:t>10%，合计30%</w:t>
            </w:r>
            <w:r>
              <w:rPr>
                <w:rFonts w:hint="eastAsia" w:ascii="宋体" w:hAnsi="宋体" w:cs="仿宋"/>
                <w:color w:val="auto"/>
                <w:szCs w:val="20"/>
                <w:highlight w:val="none"/>
                <w:lang w:eastAsia="zh-CN"/>
              </w:rPr>
              <w:t>）</w:t>
            </w:r>
          </w:p>
        </w:tc>
        <w:tc>
          <w:tcPr>
            <w:tcW w:w="1596" w:type="dxa"/>
            <w:vAlign w:val="center"/>
          </w:tcPr>
          <w:p w14:paraId="1C7A2C14">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1"/>
                <w:highlight w:val="none"/>
              </w:rPr>
            </w:pPr>
            <w:r>
              <w:rPr>
                <w:rFonts w:hint="default" w:ascii="宋体" w:hAnsi="宋体" w:cs="仿宋"/>
                <w:color w:val="auto"/>
                <w:szCs w:val="21"/>
                <w:highlight w:val="none"/>
                <w:u w:val="single"/>
              </w:rPr>
              <w:t xml:space="preserve">     </w:t>
            </w:r>
            <w:r>
              <w:rPr>
                <w:rFonts w:hint="default" w:ascii="宋体" w:hAnsi="宋体" w:cs="仿宋"/>
                <w:color w:val="auto"/>
                <w:szCs w:val="21"/>
                <w:highlight w:val="none"/>
              </w:rPr>
              <w:t>元/台次</w:t>
            </w:r>
          </w:p>
        </w:tc>
        <w:tc>
          <w:tcPr>
            <w:tcW w:w="1596" w:type="dxa"/>
            <w:vAlign w:val="center"/>
          </w:tcPr>
          <w:p w14:paraId="73A0BD83">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1"/>
                <w:highlight w:val="none"/>
              </w:rPr>
            </w:pPr>
            <w:r>
              <w:rPr>
                <w:rFonts w:hint="eastAsia" w:ascii="宋体" w:hAnsi="宋体" w:cs="仿宋"/>
                <w:color w:val="auto"/>
                <w:szCs w:val="21"/>
                <w:highlight w:val="none"/>
                <w:lang w:val="en-US" w:eastAsia="zh-CN"/>
              </w:rPr>
              <w:t>760</w:t>
            </w:r>
            <w:r>
              <w:rPr>
                <w:rFonts w:hint="default" w:ascii="宋体" w:hAnsi="宋体" w:cs="仿宋"/>
                <w:color w:val="auto"/>
                <w:szCs w:val="21"/>
                <w:highlight w:val="none"/>
              </w:rPr>
              <w:t>元/台次</w:t>
            </w:r>
          </w:p>
        </w:tc>
        <w:tc>
          <w:tcPr>
            <w:tcW w:w="1183" w:type="dxa"/>
            <w:vMerge w:val="continue"/>
            <w:vAlign w:val="center"/>
          </w:tcPr>
          <w:p w14:paraId="447A21CF">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1"/>
                <w:highlight w:val="none"/>
              </w:rPr>
            </w:pPr>
          </w:p>
        </w:tc>
        <w:tc>
          <w:tcPr>
            <w:tcW w:w="971" w:type="dxa"/>
            <w:vMerge w:val="continue"/>
            <w:vAlign w:val="center"/>
          </w:tcPr>
          <w:p w14:paraId="7412ABED">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1"/>
                <w:highlight w:val="none"/>
              </w:rPr>
            </w:pPr>
          </w:p>
        </w:tc>
        <w:tc>
          <w:tcPr>
            <w:tcW w:w="1417" w:type="dxa"/>
            <w:vMerge w:val="continue"/>
            <w:vAlign w:val="center"/>
          </w:tcPr>
          <w:p w14:paraId="6190BD24">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1"/>
                <w:highlight w:val="none"/>
              </w:rPr>
            </w:pPr>
          </w:p>
        </w:tc>
      </w:tr>
      <w:tr w14:paraId="0561C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831" w:type="dxa"/>
            <w:vMerge w:val="continue"/>
            <w:vAlign w:val="center"/>
          </w:tcPr>
          <w:p w14:paraId="03F41E90">
            <w:pPr>
              <w:keepNext w:val="0"/>
              <w:keepLines w:val="0"/>
              <w:suppressLineNumbers w:val="0"/>
              <w:adjustRightInd w:val="0"/>
              <w:spacing w:before="0" w:beforeAutospacing="0" w:after="0" w:afterAutospacing="0" w:line="400" w:lineRule="exact"/>
              <w:ind w:left="0" w:right="0"/>
              <w:jc w:val="center"/>
              <w:rPr>
                <w:rFonts w:hint="default" w:ascii="宋体" w:hAnsi="宋体"/>
                <w:color w:val="auto"/>
                <w:szCs w:val="20"/>
                <w:highlight w:val="none"/>
              </w:rPr>
            </w:pPr>
          </w:p>
        </w:tc>
        <w:tc>
          <w:tcPr>
            <w:tcW w:w="1211" w:type="dxa"/>
            <w:vMerge w:val="continue"/>
            <w:vAlign w:val="center"/>
          </w:tcPr>
          <w:p w14:paraId="501ABACC">
            <w:pPr>
              <w:keepNext w:val="0"/>
              <w:keepLines w:val="0"/>
              <w:suppressLineNumbers w:val="0"/>
              <w:adjustRightInd w:val="0"/>
              <w:spacing w:before="0" w:beforeAutospacing="0" w:after="0" w:afterAutospacing="0" w:line="400" w:lineRule="exact"/>
              <w:ind w:left="0" w:right="0"/>
              <w:jc w:val="center"/>
              <w:rPr>
                <w:rFonts w:hint="default" w:ascii="宋体" w:hAnsi="宋体"/>
                <w:color w:val="auto"/>
                <w:szCs w:val="20"/>
                <w:highlight w:val="none"/>
              </w:rPr>
            </w:pPr>
          </w:p>
        </w:tc>
        <w:tc>
          <w:tcPr>
            <w:tcW w:w="786" w:type="dxa"/>
            <w:vMerge w:val="continue"/>
            <w:vAlign w:val="center"/>
          </w:tcPr>
          <w:p w14:paraId="1FE34F6B">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0"/>
                <w:highlight w:val="none"/>
              </w:rPr>
            </w:pPr>
          </w:p>
        </w:tc>
        <w:tc>
          <w:tcPr>
            <w:tcW w:w="1515" w:type="dxa"/>
            <w:vAlign w:val="center"/>
          </w:tcPr>
          <w:p w14:paraId="11D9C728">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0"/>
                <w:highlight w:val="none"/>
              </w:rPr>
            </w:pPr>
            <w:r>
              <w:rPr>
                <w:rFonts w:hint="default" w:ascii="宋体" w:hAnsi="宋体" w:cs="仿宋"/>
                <w:color w:val="auto"/>
                <w:szCs w:val="20"/>
                <w:highlight w:val="none"/>
              </w:rPr>
              <w:t>施工升降机</w:t>
            </w:r>
          </w:p>
        </w:tc>
        <w:tc>
          <w:tcPr>
            <w:tcW w:w="3213" w:type="dxa"/>
            <w:vMerge w:val="continue"/>
            <w:vAlign w:val="center"/>
          </w:tcPr>
          <w:p w14:paraId="471E7869">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0"/>
                <w:highlight w:val="none"/>
              </w:rPr>
            </w:pPr>
          </w:p>
        </w:tc>
        <w:tc>
          <w:tcPr>
            <w:tcW w:w="1596" w:type="dxa"/>
            <w:vAlign w:val="center"/>
          </w:tcPr>
          <w:p w14:paraId="18229271">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1"/>
                <w:highlight w:val="none"/>
              </w:rPr>
            </w:pPr>
            <w:r>
              <w:rPr>
                <w:rFonts w:hint="default" w:ascii="宋体" w:hAnsi="宋体" w:cs="仿宋"/>
                <w:color w:val="auto"/>
                <w:szCs w:val="21"/>
                <w:highlight w:val="none"/>
                <w:u w:val="single"/>
              </w:rPr>
              <w:t xml:space="preserve">     </w:t>
            </w:r>
            <w:r>
              <w:rPr>
                <w:rFonts w:hint="default" w:ascii="宋体" w:hAnsi="宋体" w:cs="仿宋"/>
                <w:color w:val="auto"/>
                <w:szCs w:val="21"/>
                <w:highlight w:val="none"/>
              </w:rPr>
              <w:t>元/台次</w:t>
            </w:r>
          </w:p>
        </w:tc>
        <w:tc>
          <w:tcPr>
            <w:tcW w:w="1596" w:type="dxa"/>
            <w:vAlign w:val="center"/>
          </w:tcPr>
          <w:p w14:paraId="58238622">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1"/>
                <w:highlight w:val="none"/>
              </w:rPr>
            </w:pPr>
            <w:r>
              <w:rPr>
                <w:rFonts w:hint="eastAsia" w:ascii="宋体" w:hAnsi="宋体" w:cs="仿宋"/>
                <w:color w:val="auto"/>
                <w:szCs w:val="21"/>
                <w:highlight w:val="none"/>
                <w:lang w:val="en-US" w:eastAsia="zh-CN"/>
              </w:rPr>
              <w:t>600</w:t>
            </w:r>
            <w:r>
              <w:rPr>
                <w:rFonts w:hint="default" w:ascii="宋体" w:hAnsi="宋体" w:cs="仿宋"/>
                <w:color w:val="auto"/>
                <w:szCs w:val="21"/>
                <w:highlight w:val="none"/>
              </w:rPr>
              <w:t>元/台次</w:t>
            </w:r>
          </w:p>
        </w:tc>
        <w:tc>
          <w:tcPr>
            <w:tcW w:w="1183" w:type="dxa"/>
            <w:vMerge w:val="continue"/>
            <w:vAlign w:val="center"/>
          </w:tcPr>
          <w:p w14:paraId="048EFC50">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1"/>
                <w:highlight w:val="none"/>
              </w:rPr>
            </w:pPr>
          </w:p>
        </w:tc>
        <w:tc>
          <w:tcPr>
            <w:tcW w:w="971" w:type="dxa"/>
            <w:vMerge w:val="continue"/>
            <w:vAlign w:val="center"/>
          </w:tcPr>
          <w:p w14:paraId="0C3BF6C7">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1"/>
                <w:highlight w:val="none"/>
              </w:rPr>
            </w:pPr>
          </w:p>
        </w:tc>
        <w:tc>
          <w:tcPr>
            <w:tcW w:w="1417" w:type="dxa"/>
            <w:vMerge w:val="continue"/>
            <w:vAlign w:val="center"/>
          </w:tcPr>
          <w:p w14:paraId="6C68E774">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1"/>
                <w:highlight w:val="none"/>
              </w:rPr>
            </w:pPr>
          </w:p>
        </w:tc>
      </w:tr>
      <w:tr w14:paraId="7C171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831" w:type="dxa"/>
            <w:vMerge w:val="continue"/>
            <w:vAlign w:val="center"/>
          </w:tcPr>
          <w:p w14:paraId="3E1355F6">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0"/>
                <w:highlight w:val="none"/>
              </w:rPr>
            </w:pPr>
          </w:p>
        </w:tc>
        <w:tc>
          <w:tcPr>
            <w:tcW w:w="1211" w:type="dxa"/>
            <w:vMerge w:val="continue"/>
            <w:vAlign w:val="center"/>
          </w:tcPr>
          <w:p w14:paraId="70D06FBE">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0"/>
                <w:highlight w:val="none"/>
              </w:rPr>
            </w:pPr>
          </w:p>
        </w:tc>
        <w:tc>
          <w:tcPr>
            <w:tcW w:w="786" w:type="dxa"/>
            <w:vMerge w:val="continue"/>
            <w:vAlign w:val="center"/>
          </w:tcPr>
          <w:p w14:paraId="0F92B876">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0"/>
                <w:highlight w:val="none"/>
              </w:rPr>
            </w:pPr>
          </w:p>
        </w:tc>
        <w:tc>
          <w:tcPr>
            <w:tcW w:w="1515" w:type="dxa"/>
            <w:vAlign w:val="center"/>
          </w:tcPr>
          <w:p w14:paraId="0E72EF20">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0"/>
                <w:highlight w:val="none"/>
              </w:rPr>
            </w:pPr>
            <w:r>
              <w:rPr>
                <w:rFonts w:hint="default" w:ascii="宋体" w:hAnsi="宋体" w:cs="仿宋"/>
                <w:color w:val="auto"/>
                <w:szCs w:val="20"/>
                <w:highlight w:val="none"/>
              </w:rPr>
              <w:t>物料提升机</w:t>
            </w:r>
          </w:p>
        </w:tc>
        <w:tc>
          <w:tcPr>
            <w:tcW w:w="3213" w:type="dxa"/>
            <w:vMerge w:val="continue"/>
            <w:vAlign w:val="center"/>
          </w:tcPr>
          <w:p w14:paraId="0CE10B62">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0"/>
                <w:highlight w:val="none"/>
              </w:rPr>
            </w:pPr>
          </w:p>
        </w:tc>
        <w:tc>
          <w:tcPr>
            <w:tcW w:w="1596" w:type="dxa"/>
            <w:vAlign w:val="center"/>
          </w:tcPr>
          <w:p w14:paraId="34FCBBDB">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1"/>
                <w:highlight w:val="none"/>
              </w:rPr>
            </w:pPr>
            <w:r>
              <w:rPr>
                <w:rFonts w:hint="default" w:ascii="宋体" w:hAnsi="宋体" w:cs="仿宋"/>
                <w:color w:val="auto"/>
                <w:szCs w:val="21"/>
                <w:highlight w:val="none"/>
                <w:u w:val="single"/>
              </w:rPr>
              <w:t xml:space="preserve">     </w:t>
            </w:r>
            <w:r>
              <w:rPr>
                <w:rFonts w:hint="default" w:ascii="宋体" w:hAnsi="宋体" w:cs="仿宋"/>
                <w:color w:val="auto"/>
                <w:szCs w:val="21"/>
                <w:highlight w:val="none"/>
              </w:rPr>
              <w:t>元/台次</w:t>
            </w:r>
          </w:p>
        </w:tc>
        <w:tc>
          <w:tcPr>
            <w:tcW w:w="1596" w:type="dxa"/>
            <w:vAlign w:val="center"/>
          </w:tcPr>
          <w:p w14:paraId="15562BAB">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1"/>
                <w:highlight w:val="none"/>
              </w:rPr>
            </w:pPr>
            <w:r>
              <w:rPr>
                <w:rFonts w:hint="eastAsia" w:ascii="宋体" w:hAnsi="宋体" w:cs="仿宋"/>
                <w:color w:val="auto"/>
                <w:szCs w:val="21"/>
                <w:highlight w:val="none"/>
                <w:lang w:val="en-US" w:eastAsia="zh-CN"/>
              </w:rPr>
              <w:t>300</w:t>
            </w:r>
            <w:r>
              <w:rPr>
                <w:rFonts w:hint="default" w:ascii="宋体" w:hAnsi="宋体" w:cs="仿宋"/>
                <w:color w:val="auto"/>
                <w:szCs w:val="21"/>
                <w:highlight w:val="none"/>
              </w:rPr>
              <w:t>元/台次</w:t>
            </w:r>
          </w:p>
        </w:tc>
        <w:tc>
          <w:tcPr>
            <w:tcW w:w="1183" w:type="dxa"/>
            <w:vMerge w:val="continue"/>
            <w:vAlign w:val="center"/>
          </w:tcPr>
          <w:p w14:paraId="3C48F1DF">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1"/>
                <w:highlight w:val="none"/>
              </w:rPr>
            </w:pPr>
          </w:p>
        </w:tc>
        <w:tc>
          <w:tcPr>
            <w:tcW w:w="971" w:type="dxa"/>
            <w:vMerge w:val="continue"/>
            <w:vAlign w:val="center"/>
          </w:tcPr>
          <w:p w14:paraId="2AEB2A29">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1"/>
                <w:highlight w:val="none"/>
              </w:rPr>
            </w:pPr>
          </w:p>
        </w:tc>
        <w:tc>
          <w:tcPr>
            <w:tcW w:w="1417" w:type="dxa"/>
            <w:vMerge w:val="continue"/>
            <w:vAlign w:val="center"/>
          </w:tcPr>
          <w:p w14:paraId="3A72D3B7">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1"/>
                <w:highlight w:val="none"/>
              </w:rPr>
            </w:pPr>
          </w:p>
        </w:tc>
      </w:tr>
      <w:tr w14:paraId="7FA4C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831" w:type="dxa"/>
            <w:vMerge w:val="continue"/>
            <w:vAlign w:val="center"/>
          </w:tcPr>
          <w:p w14:paraId="2BB48BD7">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1"/>
                <w:highlight w:val="none"/>
              </w:rPr>
            </w:pPr>
          </w:p>
        </w:tc>
        <w:tc>
          <w:tcPr>
            <w:tcW w:w="1211" w:type="dxa"/>
            <w:vMerge w:val="continue"/>
            <w:vAlign w:val="center"/>
          </w:tcPr>
          <w:p w14:paraId="7781FDAE">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0"/>
                <w:highlight w:val="none"/>
              </w:rPr>
            </w:pPr>
          </w:p>
        </w:tc>
        <w:tc>
          <w:tcPr>
            <w:tcW w:w="786" w:type="dxa"/>
            <w:vMerge w:val="restart"/>
            <w:vAlign w:val="center"/>
          </w:tcPr>
          <w:p w14:paraId="5155D077">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0"/>
                <w:highlight w:val="none"/>
              </w:rPr>
            </w:pPr>
            <w:r>
              <w:rPr>
                <w:rFonts w:hint="default" w:ascii="宋体" w:hAnsi="宋体" w:cs="仿宋"/>
                <w:color w:val="auto"/>
                <w:szCs w:val="20"/>
                <w:highlight w:val="none"/>
              </w:rPr>
              <w:t>危大工程隐患排查</w:t>
            </w:r>
          </w:p>
        </w:tc>
        <w:tc>
          <w:tcPr>
            <w:tcW w:w="1515" w:type="dxa"/>
            <w:vMerge w:val="restart"/>
            <w:vAlign w:val="center"/>
          </w:tcPr>
          <w:p w14:paraId="26FD3D36">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0"/>
                <w:highlight w:val="none"/>
              </w:rPr>
            </w:pPr>
            <w:r>
              <w:rPr>
                <w:rFonts w:hint="default" w:ascii="宋体" w:hAnsi="宋体" w:cs="仿宋"/>
                <w:color w:val="auto"/>
                <w:szCs w:val="20"/>
                <w:highlight w:val="none"/>
              </w:rPr>
              <w:t>高支模、深基坑、幕墙等</w:t>
            </w:r>
          </w:p>
        </w:tc>
        <w:tc>
          <w:tcPr>
            <w:tcW w:w="3213" w:type="dxa"/>
            <w:vAlign w:val="center"/>
          </w:tcPr>
          <w:p w14:paraId="6208E6BB">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0"/>
                <w:highlight w:val="none"/>
              </w:rPr>
            </w:pPr>
            <w:r>
              <w:rPr>
                <w:rFonts w:hint="default" w:ascii="宋体" w:hAnsi="宋体" w:cs="仿宋"/>
                <w:color w:val="auto"/>
                <w:szCs w:val="20"/>
                <w:highlight w:val="none"/>
              </w:rPr>
              <w:t>中级及以上</w:t>
            </w:r>
            <w:r>
              <w:rPr>
                <w:rFonts w:hint="eastAsia" w:ascii="宋体" w:hAnsi="宋体" w:cs="仿宋"/>
                <w:color w:val="auto"/>
                <w:szCs w:val="20"/>
                <w:highlight w:val="none"/>
                <w:lang w:eastAsia="zh-CN"/>
              </w:rPr>
              <w:t>（权重</w:t>
            </w:r>
            <w:r>
              <w:rPr>
                <w:rFonts w:hint="eastAsia" w:ascii="宋体" w:hAnsi="宋体" w:cs="仿宋"/>
                <w:color w:val="auto"/>
                <w:szCs w:val="20"/>
                <w:highlight w:val="none"/>
                <w:lang w:val="en-US" w:eastAsia="zh-CN"/>
              </w:rPr>
              <w:t>20%）</w:t>
            </w:r>
          </w:p>
        </w:tc>
        <w:tc>
          <w:tcPr>
            <w:tcW w:w="1596" w:type="dxa"/>
            <w:vAlign w:val="center"/>
          </w:tcPr>
          <w:p w14:paraId="491F11E1">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0"/>
                <w:highlight w:val="none"/>
              </w:rPr>
            </w:pPr>
            <w:r>
              <w:rPr>
                <w:rFonts w:hint="default" w:ascii="宋体" w:hAnsi="宋体" w:cs="仿宋"/>
                <w:color w:val="auto"/>
                <w:szCs w:val="21"/>
                <w:highlight w:val="none"/>
                <w:u w:val="single"/>
              </w:rPr>
              <w:t xml:space="preserve">     </w:t>
            </w:r>
            <w:r>
              <w:rPr>
                <w:rFonts w:hint="default" w:ascii="宋体" w:hAnsi="宋体" w:cs="仿宋"/>
                <w:color w:val="auto"/>
                <w:szCs w:val="21"/>
                <w:highlight w:val="none"/>
              </w:rPr>
              <w:t>元/项目</w:t>
            </w:r>
          </w:p>
        </w:tc>
        <w:tc>
          <w:tcPr>
            <w:tcW w:w="1596" w:type="dxa"/>
            <w:vAlign w:val="center"/>
          </w:tcPr>
          <w:p w14:paraId="570287D6">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0"/>
                <w:highlight w:val="none"/>
              </w:rPr>
            </w:pPr>
            <w:r>
              <w:rPr>
                <w:rFonts w:hint="eastAsia" w:ascii="宋体" w:hAnsi="宋体" w:cs="仿宋"/>
                <w:color w:val="auto"/>
                <w:szCs w:val="20"/>
                <w:highlight w:val="none"/>
                <w:lang w:val="en-US" w:eastAsia="zh-CN"/>
              </w:rPr>
              <w:t>1200</w:t>
            </w:r>
            <w:r>
              <w:rPr>
                <w:rFonts w:hint="default" w:ascii="宋体" w:hAnsi="宋体" w:cs="仿宋"/>
                <w:color w:val="auto"/>
                <w:szCs w:val="20"/>
                <w:highlight w:val="none"/>
              </w:rPr>
              <w:t>元/项目</w:t>
            </w:r>
          </w:p>
        </w:tc>
        <w:tc>
          <w:tcPr>
            <w:tcW w:w="1183" w:type="dxa"/>
            <w:vMerge w:val="continue"/>
            <w:vAlign w:val="center"/>
          </w:tcPr>
          <w:p w14:paraId="363086B7">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0"/>
                <w:highlight w:val="none"/>
              </w:rPr>
            </w:pPr>
          </w:p>
        </w:tc>
        <w:tc>
          <w:tcPr>
            <w:tcW w:w="971" w:type="dxa"/>
            <w:vMerge w:val="continue"/>
            <w:vAlign w:val="center"/>
          </w:tcPr>
          <w:p w14:paraId="03E736CE">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0"/>
                <w:highlight w:val="none"/>
              </w:rPr>
            </w:pPr>
          </w:p>
        </w:tc>
        <w:tc>
          <w:tcPr>
            <w:tcW w:w="1417" w:type="dxa"/>
            <w:vMerge w:val="continue"/>
            <w:vAlign w:val="center"/>
          </w:tcPr>
          <w:p w14:paraId="22489562">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0"/>
                <w:highlight w:val="none"/>
              </w:rPr>
            </w:pPr>
          </w:p>
        </w:tc>
      </w:tr>
      <w:tr w14:paraId="06D33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831" w:type="dxa"/>
            <w:vMerge w:val="continue"/>
            <w:vAlign w:val="center"/>
          </w:tcPr>
          <w:p w14:paraId="1949104E">
            <w:pPr>
              <w:keepNext w:val="0"/>
              <w:keepLines w:val="0"/>
              <w:suppressLineNumbers w:val="0"/>
              <w:adjustRightInd w:val="0"/>
              <w:spacing w:before="0" w:beforeAutospacing="0" w:after="0" w:afterAutospacing="0" w:line="400" w:lineRule="exact"/>
              <w:ind w:left="0" w:right="0"/>
              <w:jc w:val="center"/>
              <w:rPr>
                <w:rFonts w:hint="default" w:ascii="宋体" w:hAnsi="宋体"/>
                <w:color w:val="auto"/>
                <w:szCs w:val="20"/>
                <w:highlight w:val="none"/>
              </w:rPr>
            </w:pPr>
          </w:p>
        </w:tc>
        <w:tc>
          <w:tcPr>
            <w:tcW w:w="1211" w:type="dxa"/>
            <w:vMerge w:val="continue"/>
            <w:vAlign w:val="center"/>
          </w:tcPr>
          <w:p w14:paraId="763C302F">
            <w:pPr>
              <w:keepNext w:val="0"/>
              <w:keepLines w:val="0"/>
              <w:suppressLineNumbers w:val="0"/>
              <w:adjustRightInd w:val="0"/>
              <w:spacing w:before="0" w:beforeAutospacing="0" w:after="0" w:afterAutospacing="0" w:line="400" w:lineRule="exact"/>
              <w:ind w:left="0" w:right="0"/>
              <w:jc w:val="center"/>
              <w:rPr>
                <w:rFonts w:hint="default" w:ascii="宋体" w:hAnsi="宋体"/>
                <w:color w:val="auto"/>
                <w:szCs w:val="20"/>
                <w:highlight w:val="none"/>
              </w:rPr>
            </w:pPr>
          </w:p>
        </w:tc>
        <w:tc>
          <w:tcPr>
            <w:tcW w:w="786" w:type="dxa"/>
            <w:vMerge w:val="continue"/>
            <w:vAlign w:val="center"/>
          </w:tcPr>
          <w:p w14:paraId="3806B000">
            <w:pPr>
              <w:keepNext w:val="0"/>
              <w:keepLines w:val="0"/>
              <w:suppressLineNumbers w:val="0"/>
              <w:adjustRightInd w:val="0"/>
              <w:spacing w:before="0" w:beforeAutospacing="0" w:after="0" w:afterAutospacing="0" w:line="400" w:lineRule="exact"/>
              <w:ind w:left="0" w:right="0"/>
              <w:jc w:val="center"/>
              <w:rPr>
                <w:rFonts w:hint="default" w:ascii="宋体" w:hAnsi="宋体"/>
                <w:color w:val="auto"/>
                <w:szCs w:val="20"/>
                <w:highlight w:val="none"/>
              </w:rPr>
            </w:pPr>
          </w:p>
        </w:tc>
        <w:tc>
          <w:tcPr>
            <w:tcW w:w="1515" w:type="dxa"/>
            <w:vMerge w:val="continue"/>
            <w:vAlign w:val="center"/>
          </w:tcPr>
          <w:p w14:paraId="78C7B89A">
            <w:pPr>
              <w:keepNext w:val="0"/>
              <w:keepLines w:val="0"/>
              <w:suppressLineNumbers w:val="0"/>
              <w:adjustRightInd w:val="0"/>
              <w:spacing w:before="0" w:beforeAutospacing="0" w:after="0" w:afterAutospacing="0" w:line="400" w:lineRule="exact"/>
              <w:ind w:left="0" w:right="0"/>
              <w:jc w:val="center"/>
              <w:rPr>
                <w:rFonts w:hint="default" w:ascii="宋体" w:hAnsi="宋体"/>
                <w:color w:val="auto"/>
                <w:szCs w:val="20"/>
                <w:highlight w:val="none"/>
              </w:rPr>
            </w:pPr>
          </w:p>
        </w:tc>
        <w:tc>
          <w:tcPr>
            <w:tcW w:w="3213" w:type="dxa"/>
            <w:vAlign w:val="center"/>
          </w:tcPr>
          <w:p w14:paraId="677F994B">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0"/>
                <w:highlight w:val="none"/>
              </w:rPr>
            </w:pPr>
            <w:r>
              <w:rPr>
                <w:rFonts w:hint="default" w:ascii="宋体" w:hAnsi="宋体" w:cs="仿宋"/>
                <w:color w:val="auto"/>
                <w:szCs w:val="20"/>
                <w:highlight w:val="none"/>
              </w:rPr>
              <w:t>副高及以上</w:t>
            </w:r>
            <w:r>
              <w:rPr>
                <w:rFonts w:hint="eastAsia" w:ascii="宋体" w:hAnsi="宋体" w:cs="仿宋"/>
                <w:color w:val="auto"/>
                <w:szCs w:val="20"/>
                <w:highlight w:val="none"/>
                <w:lang w:eastAsia="zh-CN"/>
              </w:rPr>
              <w:t>（权重</w:t>
            </w:r>
            <w:r>
              <w:rPr>
                <w:rFonts w:hint="eastAsia" w:ascii="宋体" w:hAnsi="宋体" w:cs="仿宋"/>
                <w:color w:val="auto"/>
                <w:szCs w:val="20"/>
                <w:highlight w:val="none"/>
                <w:lang w:val="en-US" w:eastAsia="zh-CN"/>
              </w:rPr>
              <w:t>5%）</w:t>
            </w:r>
          </w:p>
        </w:tc>
        <w:tc>
          <w:tcPr>
            <w:tcW w:w="1596" w:type="dxa"/>
            <w:vAlign w:val="center"/>
          </w:tcPr>
          <w:p w14:paraId="2C4E9160">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0"/>
                <w:highlight w:val="none"/>
              </w:rPr>
            </w:pPr>
            <w:r>
              <w:rPr>
                <w:rFonts w:hint="default" w:ascii="宋体" w:hAnsi="宋体" w:cs="仿宋"/>
                <w:color w:val="auto"/>
                <w:szCs w:val="21"/>
                <w:highlight w:val="none"/>
                <w:u w:val="single"/>
              </w:rPr>
              <w:t xml:space="preserve">     </w:t>
            </w:r>
            <w:r>
              <w:rPr>
                <w:rFonts w:hint="default" w:ascii="宋体" w:hAnsi="宋体" w:cs="仿宋"/>
                <w:color w:val="auto"/>
                <w:szCs w:val="21"/>
                <w:highlight w:val="none"/>
              </w:rPr>
              <w:t>元/项目</w:t>
            </w:r>
          </w:p>
        </w:tc>
        <w:tc>
          <w:tcPr>
            <w:tcW w:w="1596" w:type="dxa"/>
            <w:vAlign w:val="center"/>
          </w:tcPr>
          <w:p w14:paraId="71222B01">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0"/>
                <w:highlight w:val="none"/>
              </w:rPr>
            </w:pPr>
            <w:r>
              <w:rPr>
                <w:rFonts w:hint="eastAsia" w:ascii="宋体" w:hAnsi="宋体" w:cs="仿宋"/>
                <w:color w:val="auto"/>
                <w:szCs w:val="20"/>
                <w:highlight w:val="none"/>
                <w:lang w:val="en-US" w:eastAsia="zh-CN"/>
              </w:rPr>
              <w:t>1800</w:t>
            </w:r>
            <w:r>
              <w:rPr>
                <w:rFonts w:hint="default" w:ascii="宋体" w:hAnsi="宋体" w:cs="仿宋"/>
                <w:color w:val="auto"/>
                <w:szCs w:val="20"/>
                <w:highlight w:val="none"/>
              </w:rPr>
              <w:t>元/项目</w:t>
            </w:r>
          </w:p>
        </w:tc>
        <w:tc>
          <w:tcPr>
            <w:tcW w:w="1183" w:type="dxa"/>
            <w:vMerge w:val="continue"/>
            <w:vAlign w:val="center"/>
          </w:tcPr>
          <w:p w14:paraId="4845C923">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0"/>
                <w:highlight w:val="none"/>
              </w:rPr>
            </w:pPr>
          </w:p>
        </w:tc>
        <w:tc>
          <w:tcPr>
            <w:tcW w:w="971" w:type="dxa"/>
            <w:vMerge w:val="continue"/>
            <w:vAlign w:val="center"/>
          </w:tcPr>
          <w:p w14:paraId="6663F055">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0"/>
                <w:highlight w:val="none"/>
              </w:rPr>
            </w:pPr>
          </w:p>
        </w:tc>
        <w:tc>
          <w:tcPr>
            <w:tcW w:w="1417" w:type="dxa"/>
            <w:vMerge w:val="continue"/>
            <w:vAlign w:val="center"/>
          </w:tcPr>
          <w:p w14:paraId="2622EC20">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0"/>
                <w:highlight w:val="none"/>
              </w:rPr>
            </w:pPr>
          </w:p>
        </w:tc>
      </w:tr>
      <w:tr w14:paraId="112B3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831" w:type="dxa"/>
            <w:vMerge w:val="continue"/>
            <w:vAlign w:val="center"/>
          </w:tcPr>
          <w:p w14:paraId="10AFF8C3">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0"/>
                <w:highlight w:val="none"/>
              </w:rPr>
            </w:pPr>
          </w:p>
        </w:tc>
        <w:tc>
          <w:tcPr>
            <w:tcW w:w="1211" w:type="dxa"/>
            <w:vMerge w:val="continue"/>
            <w:vAlign w:val="center"/>
          </w:tcPr>
          <w:p w14:paraId="129B93A0">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0"/>
                <w:highlight w:val="none"/>
              </w:rPr>
            </w:pPr>
          </w:p>
        </w:tc>
        <w:tc>
          <w:tcPr>
            <w:tcW w:w="786" w:type="dxa"/>
            <w:vMerge w:val="continue"/>
            <w:vAlign w:val="center"/>
          </w:tcPr>
          <w:p w14:paraId="7230A7CB">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0"/>
                <w:highlight w:val="none"/>
              </w:rPr>
            </w:pPr>
          </w:p>
        </w:tc>
        <w:tc>
          <w:tcPr>
            <w:tcW w:w="1515" w:type="dxa"/>
            <w:vMerge w:val="continue"/>
            <w:vAlign w:val="center"/>
          </w:tcPr>
          <w:p w14:paraId="4D5B94A0">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0"/>
                <w:highlight w:val="none"/>
              </w:rPr>
            </w:pPr>
          </w:p>
        </w:tc>
        <w:tc>
          <w:tcPr>
            <w:tcW w:w="3213" w:type="dxa"/>
            <w:vAlign w:val="center"/>
          </w:tcPr>
          <w:p w14:paraId="4132D98F">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0"/>
                <w:highlight w:val="none"/>
              </w:rPr>
            </w:pPr>
            <w:r>
              <w:rPr>
                <w:rFonts w:hint="default" w:ascii="宋体" w:hAnsi="宋体" w:cs="仿宋"/>
                <w:color w:val="auto"/>
                <w:szCs w:val="20"/>
                <w:highlight w:val="none"/>
              </w:rPr>
              <w:t>正高及以上</w:t>
            </w:r>
            <w:r>
              <w:rPr>
                <w:rFonts w:hint="eastAsia" w:ascii="宋体" w:hAnsi="宋体" w:cs="仿宋"/>
                <w:color w:val="auto"/>
                <w:szCs w:val="20"/>
                <w:highlight w:val="none"/>
                <w:lang w:eastAsia="zh-CN"/>
              </w:rPr>
              <w:t>（权重</w:t>
            </w:r>
            <w:r>
              <w:rPr>
                <w:rFonts w:hint="eastAsia" w:ascii="宋体" w:hAnsi="宋体" w:cs="仿宋"/>
                <w:color w:val="auto"/>
                <w:szCs w:val="20"/>
                <w:highlight w:val="none"/>
                <w:lang w:val="en-US" w:eastAsia="zh-CN"/>
              </w:rPr>
              <w:t>5%）</w:t>
            </w:r>
          </w:p>
        </w:tc>
        <w:tc>
          <w:tcPr>
            <w:tcW w:w="1596" w:type="dxa"/>
            <w:vAlign w:val="center"/>
          </w:tcPr>
          <w:p w14:paraId="76B55BFD">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0"/>
                <w:highlight w:val="none"/>
              </w:rPr>
            </w:pPr>
            <w:r>
              <w:rPr>
                <w:rFonts w:hint="default" w:ascii="宋体" w:hAnsi="宋体" w:cs="仿宋"/>
                <w:color w:val="auto"/>
                <w:szCs w:val="21"/>
                <w:highlight w:val="none"/>
                <w:u w:val="single"/>
              </w:rPr>
              <w:t xml:space="preserve">     </w:t>
            </w:r>
            <w:r>
              <w:rPr>
                <w:rFonts w:hint="default" w:ascii="宋体" w:hAnsi="宋体" w:cs="仿宋"/>
                <w:color w:val="auto"/>
                <w:szCs w:val="21"/>
                <w:highlight w:val="none"/>
              </w:rPr>
              <w:t>元/项目</w:t>
            </w:r>
          </w:p>
        </w:tc>
        <w:tc>
          <w:tcPr>
            <w:tcW w:w="1596" w:type="dxa"/>
            <w:vAlign w:val="center"/>
          </w:tcPr>
          <w:p w14:paraId="7613EC9D">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0"/>
                <w:highlight w:val="none"/>
              </w:rPr>
            </w:pPr>
            <w:r>
              <w:rPr>
                <w:rFonts w:hint="eastAsia" w:ascii="宋体" w:hAnsi="宋体" w:cs="仿宋"/>
                <w:color w:val="auto"/>
                <w:szCs w:val="20"/>
                <w:highlight w:val="none"/>
                <w:lang w:val="en-US" w:eastAsia="zh-CN"/>
              </w:rPr>
              <w:t>2850</w:t>
            </w:r>
            <w:r>
              <w:rPr>
                <w:rFonts w:hint="default" w:ascii="宋体" w:hAnsi="宋体" w:cs="仿宋"/>
                <w:color w:val="auto"/>
                <w:szCs w:val="20"/>
                <w:highlight w:val="none"/>
              </w:rPr>
              <w:t>元/项目</w:t>
            </w:r>
          </w:p>
        </w:tc>
        <w:tc>
          <w:tcPr>
            <w:tcW w:w="1183" w:type="dxa"/>
            <w:vMerge w:val="continue"/>
            <w:vAlign w:val="center"/>
          </w:tcPr>
          <w:p w14:paraId="7D6F852F">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0"/>
                <w:highlight w:val="none"/>
              </w:rPr>
            </w:pPr>
          </w:p>
        </w:tc>
        <w:tc>
          <w:tcPr>
            <w:tcW w:w="971" w:type="dxa"/>
            <w:vMerge w:val="continue"/>
            <w:vAlign w:val="center"/>
          </w:tcPr>
          <w:p w14:paraId="10540CB3">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0"/>
                <w:highlight w:val="none"/>
              </w:rPr>
            </w:pPr>
          </w:p>
        </w:tc>
        <w:tc>
          <w:tcPr>
            <w:tcW w:w="1417" w:type="dxa"/>
            <w:vMerge w:val="continue"/>
            <w:vAlign w:val="center"/>
          </w:tcPr>
          <w:p w14:paraId="7730FBC1">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0"/>
                <w:highlight w:val="none"/>
              </w:rPr>
            </w:pPr>
          </w:p>
        </w:tc>
      </w:tr>
      <w:tr w14:paraId="0F38B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831" w:type="dxa"/>
            <w:vMerge w:val="restart"/>
            <w:vAlign w:val="center"/>
          </w:tcPr>
          <w:p w14:paraId="1E0825B0">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0"/>
                <w:highlight w:val="none"/>
              </w:rPr>
            </w:pPr>
            <w:r>
              <w:rPr>
                <w:rFonts w:hint="default" w:ascii="宋体" w:hAnsi="宋体" w:cs="仿宋"/>
                <w:color w:val="auto"/>
                <w:szCs w:val="20"/>
                <w:highlight w:val="none"/>
              </w:rPr>
              <w:t>2</w:t>
            </w:r>
          </w:p>
        </w:tc>
        <w:tc>
          <w:tcPr>
            <w:tcW w:w="1211" w:type="dxa"/>
            <w:vMerge w:val="restart"/>
            <w:vAlign w:val="center"/>
          </w:tcPr>
          <w:p w14:paraId="5E4D026F">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0"/>
                <w:highlight w:val="none"/>
              </w:rPr>
            </w:pPr>
            <w:r>
              <w:rPr>
                <w:rFonts w:hint="default" w:ascii="宋体" w:hAnsi="宋体" w:cs="仿宋"/>
                <w:color w:val="auto"/>
                <w:szCs w:val="20"/>
                <w:highlight w:val="none"/>
              </w:rPr>
              <w:t>安全生产宣传教育培训</w:t>
            </w:r>
          </w:p>
        </w:tc>
        <w:tc>
          <w:tcPr>
            <w:tcW w:w="2301" w:type="dxa"/>
            <w:gridSpan w:val="2"/>
            <w:vMerge w:val="restart"/>
            <w:vAlign w:val="center"/>
          </w:tcPr>
          <w:p w14:paraId="3F9C436F">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0"/>
                <w:highlight w:val="none"/>
              </w:rPr>
            </w:pPr>
            <w:r>
              <w:rPr>
                <w:rFonts w:hint="default" w:ascii="宋体" w:hAnsi="宋体" w:cs="仿宋"/>
                <w:color w:val="auto"/>
                <w:szCs w:val="20"/>
                <w:highlight w:val="none"/>
              </w:rPr>
              <w:t>培训讲座</w:t>
            </w:r>
          </w:p>
        </w:tc>
        <w:tc>
          <w:tcPr>
            <w:tcW w:w="3213" w:type="dxa"/>
            <w:vAlign w:val="center"/>
          </w:tcPr>
          <w:p w14:paraId="6C667CA2">
            <w:pPr>
              <w:keepNext w:val="0"/>
              <w:keepLines w:val="0"/>
              <w:suppressLineNumbers w:val="0"/>
              <w:adjustRightInd w:val="0"/>
              <w:spacing w:before="0" w:beforeAutospacing="0" w:after="0" w:afterAutospacing="0" w:line="400" w:lineRule="exact"/>
              <w:ind w:left="0" w:right="0"/>
              <w:jc w:val="center"/>
              <w:rPr>
                <w:rFonts w:hint="eastAsia" w:ascii="宋体" w:hAnsi="宋体" w:eastAsia="宋体" w:cs="仿宋"/>
                <w:color w:val="auto"/>
                <w:szCs w:val="20"/>
                <w:highlight w:val="none"/>
                <w:lang w:eastAsia="zh-CN"/>
              </w:rPr>
            </w:pPr>
            <w:r>
              <w:rPr>
                <w:rFonts w:hint="default" w:ascii="宋体" w:hAnsi="宋体" w:cs="仿宋"/>
                <w:color w:val="auto"/>
                <w:szCs w:val="20"/>
                <w:highlight w:val="none"/>
              </w:rPr>
              <w:t>中级及以上</w:t>
            </w:r>
            <w:r>
              <w:rPr>
                <w:rFonts w:hint="eastAsia" w:ascii="宋体" w:hAnsi="宋体" w:cs="仿宋"/>
                <w:color w:val="auto"/>
                <w:szCs w:val="20"/>
                <w:highlight w:val="none"/>
                <w:lang w:eastAsia="zh-CN"/>
              </w:rPr>
              <w:t>（权重</w:t>
            </w:r>
            <w:r>
              <w:rPr>
                <w:rFonts w:hint="eastAsia" w:ascii="宋体" w:hAnsi="宋体" w:cs="仿宋"/>
                <w:color w:val="auto"/>
                <w:szCs w:val="20"/>
                <w:highlight w:val="none"/>
                <w:lang w:val="en-US" w:eastAsia="zh-CN"/>
              </w:rPr>
              <w:t>60%）</w:t>
            </w:r>
          </w:p>
        </w:tc>
        <w:tc>
          <w:tcPr>
            <w:tcW w:w="1596" w:type="dxa"/>
            <w:vAlign w:val="center"/>
          </w:tcPr>
          <w:p w14:paraId="57368D0A">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0"/>
                <w:highlight w:val="none"/>
              </w:rPr>
            </w:pPr>
            <w:r>
              <w:rPr>
                <w:rFonts w:hint="default" w:ascii="宋体" w:hAnsi="宋体" w:cs="仿宋"/>
                <w:color w:val="auto"/>
                <w:szCs w:val="21"/>
                <w:highlight w:val="none"/>
                <w:u w:val="single"/>
              </w:rPr>
              <w:t xml:space="preserve">     </w:t>
            </w:r>
            <w:r>
              <w:rPr>
                <w:rFonts w:hint="default" w:ascii="宋体" w:hAnsi="宋体" w:cs="仿宋"/>
                <w:color w:val="auto"/>
                <w:szCs w:val="21"/>
                <w:highlight w:val="none"/>
              </w:rPr>
              <w:t>元/课时</w:t>
            </w:r>
          </w:p>
        </w:tc>
        <w:tc>
          <w:tcPr>
            <w:tcW w:w="1596" w:type="dxa"/>
            <w:vAlign w:val="center"/>
          </w:tcPr>
          <w:p w14:paraId="3FD9FF33">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0"/>
                <w:highlight w:val="none"/>
              </w:rPr>
            </w:pPr>
            <w:r>
              <w:rPr>
                <w:rFonts w:hint="eastAsia" w:ascii="宋体" w:hAnsi="宋体" w:cs="仿宋"/>
                <w:color w:val="auto"/>
                <w:szCs w:val="20"/>
                <w:highlight w:val="none"/>
                <w:lang w:val="en-US" w:eastAsia="zh-CN"/>
              </w:rPr>
              <w:t>360</w:t>
            </w:r>
            <w:r>
              <w:rPr>
                <w:rFonts w:hint="default" w:ascii="宋体" w:hAnsi="宋体" w:cs="仿宋"/>
                <w:color w:val="auto"/>
                <w:szCs w:val="20"/>
                <w:highlight w:val="none"/>
              </w:rPr>
              <w:t>元/课时</w:t>
            </w:r>
          </w:p>
        </w:tc>
        <w:tc>
          <w:tcPr>
            <w:tcW w:w="1183" w:type="dxa"/>
            <w:vMerge w:val="continue"/>
            <w:vAlign w:val="center"/>
          </w:tcPr>
          <w:p w14:paraId="172D40F3">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0"/>
                <w:highlight w:val="none"/>
              </w:rPr>
            </w:pPr>
          </w:p>
        </w:tc>
        <w:tc>
          <w:tcPr>
            <w:tcW w:w="971" w:type="dxa"/>
            <w:vMerge w:val="continue"/>
            <w:vAlign w:val="center"/>
          </w:tcPr>
          <w:p w14:paraId="4BAFC192">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0"/>
                <w:highlight w:val="none"/>
              </w:rPr>
            </w:pPr>
          </w:p>
        </w:tc>
        <w:tc>
          <w:tcPr>
            <w:tcW w:w="1417" w:type="dxa"/>
            <w:vMerge w:val="continue"/>
            <w:vAlign w:val="center"/>
          </w:tcPr>
          <w:p w14:paraId="20FE94AE">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0"/>
                <w:highlight w:val="none"/>
              </w:rPr>
            </w:pPr>
          </w:p>
        </w:tc>
      </w:tr>
      <w:tr w14:paraId="5EAA2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831" w:type="dxa"/>
            <w:vMerge w:val="continue"/>
            <w:vAlign w:val="center"/>
          </w:tcPr>
          <w:p w14:paraId="412AD2B6">
            <w:pPr>
              <w:keepNext w:val="0"/>
              <w:keepLines w:val="0"/>
              <w:widowControl/>
              <w:suppressLineNumbers w:val="0"/>
              <w:spacing w:before="0" w:beforeAutospacing="0" w:after="0" w:afterAutospacing="0"/>
              <w:ind w:left="0" w:right="0"/>
              <w:jc w:val="center"/>
              <w:textAlignment w:val="center"/>
              <w:rPr>
                <w:rFonts w:hint="default" w:ascii="宋体" w:hAnsi="宋体"/>
                <w:color w:val="auto"/>
                <w:szCs w:val="20"/>
                <w:highlight w:val="none"/>
              </w:rPr>
            </w:pPr>
          </w:p>
        </w:tc>
        <w:tc>
          <w:tcPr>
            <w:tcW w:w="1211" w:type="dxa"/>
            <w:vMerge w:val="continue"/>
            <w:vAlign w:val="center"/>
          </w:tcPr>
          <w:p w14:paraId="503E967E">
            <w:pPr>
              <w:keepNext w:val="0"/>
              <w:keepLines w:val="0"/>
              <w:widowControl/>
              <w:suppressLineNumbers w:val="0"/>
              <w:spacing w:before="0" w:beforeAutospacing="0" w:after="0" w:afterAutospacing="0"/>
              <w:ind w:left="0" w:right="0"/>
              <w:jc w:val="center"/>
              <w:textAlignment w:val="center"/>
              <w:rPr>
                <w:rFonts w:hint="default" w:ascii="宋体" w:hAnsi="宋体"/>
                <w:color w:val="auto"/>
                <w:szCs w:val="20"/>
                <w:highlight w:val="none"/>
              </w:rPr>
            </w:pPr>
          </w:p>
        </w:tc>
        <w:tc>
          <w:tcPr>
            <w:tcW w:w="2301" w:type="dxa"/>
            <w:gridSpan w:val="2"/>
            <w:vMerge w:val="continue"/>
            <w:vAlign w:val="center"/>
          </w:tcPr>
          <w:p w14:paraId="6F6F603E">
            <w:pPr>
              <w:keepNext w:val="0"/>
              <w:keepLines w:val="0"/>
              <w:widowControl/>
              <w:suppressLineNumbers w:val="0"/>
              <w:spacing w:before="0" w:beforeAutospacing="0" w:after="0" w:afterAutospacing="0"/>
              <w:ind w:left="0" w:right="0"/>
              <w:jc w:val="center"/>
              <w:textAlignment w:val="center"/>
              <w:rPr>
                <w:rFonts w:hint="default" w:ascii="宋体" w:hAnsi="宋体"/>
                <w:color w:val="auto"/>
                <w:szCs w:val="20"/>
                <w:highlight w:val="none"/>
              </w:rPr>
            </w:pPr>
          </w:p>
        </w:tc>
        <w:tc>
          <w:tcPr>
            <w:tcW w:w="3213" w:type="dxa"/>
            <w:vAlign w:val="center"/>
          </w:tcPr>
          <w:p w14:paraId="5C75EA5E">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0"/>
                <w:highlight w:val="none"/>
              </w:rPr>
            </w:pPr>
            <w:r>
              <w:rPr>
                <w:rFonts w:hint="default" w:ascii="宋体" w:hAnsi="宋体" w:cs="仿宋"/>
                <w:color w:val="auto"/>
                <w:szCs w:val="20"/>
                <w:highlight w:val="none"/>
              </w:rPr>
              <w:t>副高及以上</w:t>
            </w:r>
            <w:r>
              <w:rPr>
                <w:rFonts w:hint="eastAsia" w:ascii="宋体" w:hAnsi="宋体" w:cs="仿宋"/>
                <w:color w:val="auto"/>
                <w:szCs w:val="20"/>
                <w:highlight w:val="none"/>
                <w:lang w:eastAsia="zh-CN"/>
              </w:rPr>
              <w:t>（权重</w:t>
            </w:r>
            <w:r>
              <w:rPr>
                <w:rFonts w:hint="eastAsia" w:ascii="宋体" w:hAnsi="宋体" w:cs="仿宋"/>
                <w:color w:val="auto"/>
                <w:szCs w:val="20"/>
                <w:highlight w:val="none"/>
                <w:lang w:val="en-US" w:eastAsia="zh-CN"/>
              </w:rPr>
              <w:t>20%）</w:t>
            </w:r>
          </w:p>
        </w:tc>
        <w:tc>
          <w:tcPr>
            <w:tcW w:w="1596" w:type="dxa"/>
            <w:vAlign w:val="center"/>
          </w:tcPr>
          <w:p w14:paraId="07003802">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0"/>
                <w:highlight w:val="none"/>
              </w:rPr>
            </w:pPr>
            <w:r>
              <w:rPr>
                <w:rFonts w:hint="default" w:ascii="宋体" w:hAnsi="宋体" w:cs="仿宋"/>
                <w:color w:val="auto"/>
                <w:szCs w:val="21"/>
                <w:highlight w:val="none"/>
                <w:u w:val="single"/>
              </w:rPr>
              <w:t xml:space="preserve">     </w:t>
            </w:r>
            <w:r>
              <w:rPr>
                <w:rFonts w:hint="default" w:ascii="宋体" w:hAnsi="宋体" w:cs="仿宋"/>
                <w:color w:val="auto"/>
                <w:szCs w:val="21"/>
                <w:highlight w:val="none"/>
              </w:rPr>
              <w:t>元/课时</w:t>
            </w:r>
          </w:p>
        </w:tc>
        <w:tc>
          <w:tcPr>
            <w:tcW w:w="1596" w:type="dxa"/>
            <w:vAlign w:val="center"/>
          </w:tcPr>
          <w:p w14:paraId="5D0FA8FA">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0"/>
                <w:highlight w:val="none"/>
              </w:rPr>
            </w:pPr>
            <w:r>
              <w:rPr>
                <w:rFonts w:hint="eastAsia" w:ascii="宋体" w:hAnsi="宋体" w:cs="仿宋"/>
                <w:color w:val="auto"/>
                <w:szCs w:val="20"/>
                <w:highlight w:val="none"/>
                <w:lang w:val="en-US" w:eastAsia="zh-CN"/>
              </w:rPr>
              <w:t>600</w:t>
            </w:r>
            <w:r>
              <w:rPr>
                <w:rFonts w:hint="default" w:ascii="宋体" w:hAnsi="宋体" w:cs="仿宋"/>
                <w:color w:val="auto"/>
                <w:szCs w:val="20"/>
                <w:highlight w:val="none"/>
              </w:rPr>
              <w:t>元/课时</w:t>
            </w:r>
          </w:p>
        </w:tc>
        <w:tc>
          <w:tcPr>
            <w:tcW w:w="1183" w:type="dxa"/>
            <w:vMerge w:val="continue"/>
            <w:vAlign w:val="center"/>
          </w:tcPr>
          <w:p w14:paraId="503559D7">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0"/>
                <w:highlight w:val="none"/>
              </w:rPr>
            </w:pPr>
          </w:p>
        </w:tc>
        <w:tc>
          <w:tcPr>
            <w:tcW w:w="971" w:type="dxa"/>
            <w:vMerge w:val="continue"/>
            <w:vAlign w:val="center"/>
          </w:tcPr>
          <w:p w14:paraId="6B453EB5">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0"/>
                <w:highlight w:val="none"/>
              </w:rPr>
            </w:pPr>
          </w:p>
        </w:tc>
        <w:tc>
          <w:tcPr>
            <w:tcW w:w="1417" w:type="dxa"/>
            <w:vMerge w:val="continue"/>
            <w:vAlign w:val="center"/>
          </w:tcPr>
          <w:p w14:paraId="2EBB2A98">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0"/>
                <w:highlight w:val="none"/>
              </w:rPr>
            </w:pPr>
          </w:p>
        </w:tc>
      </w:tr>
      <w:tr w14:paraId="5B26A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831" w:type="dxa"/>
            <w:vMerge w:val="continue"/>
            <w:vAlign w:val="center"/>
          </w:tcPr>
          <w:p w14:paraId="2316C313">
            <w:pPr>
              <w:keepNext w:val="0"/>
              <w:keepLines w:val="0"/>
              <w:widowControl/>
              <w:suppressLineNumbers w:val="0"/>
              <w:spacing w:before="0" w:beforeAutospacing="0" w:after="0" w:afterAutospacing="0"/>
              <w:ind w:left="0" w:right="0"/>
              <w:jc w:val="center"/>
              <w:textAlignment w:val="center"/>
              <w:rPr>
                <w:rFonts w:hint="default" w:ascii="宋体" w:hAnsi="宋体" w:cs="仿宋"/>
                <w:color w:val="auto"/>
                <w:kern w:val="0"/>
                <w:sz w:val="22"/>
                <w:szCs w:val="22"/>
                <w:highlight w:val="none"/>
              </w:rPr>
            </w:pPr>
          </w:p>
        </w:tc>
        <w:tc>
          <w:tcPr>
            <w:tcW w:w="1211" w:type="dxa"/>
            <w:vMerge w:val="continue"/>
            <w:vAlign w:val="center"/>
          </w:tcPr>
          <w:p w14:paraId="3FB3E833">
            <w:pPr>
              <w:keepNext w:val="0"/>
              <w:keepLines w:val="0"/>
              <w:widowControl/>
              <w:suppressLineNumbers w:val="0"/>
              <w:spacing w:before="0" w:beforeAutospacing="0" w:after="0" w:afterAutospacing="0"/>
              <w:ind w:left="0" w:right="0"/>
              <w:jc w:val="center"/>
              <w:textAlignment w:val="center"/>
              <w:rPr>
                <w:rFonts w:hint="default" w:ascii="宋体" w:hAnsi="宋体" w:cs="仿宋"/>
                <w:color w:val="auto"/>
                <w:kern w:val="0"/>
                <w:sz w:val="22"/>
                <w:szCs w:val="22"/>
                <w:highlight w:val="none"/>
              </w:rPr>
            </w:pPr>
          </w:p>
        </w:tc>
        <w:tc>
          <w:tcPr>
            <w:tcW w:w="2301" w:type="dxa"/>
            <w:gridSpan w:val="2"/>
            <w:vMerge w:val="continue"/>
            <w:vAlign w:val="center"/>
          </w:tcPr>
          <w:p w14:paraId="710DB3AC">
            <w:pPr>
              <w:keepNext w:val="0"/>
              <w:keepLines w:val="0"/>
              <w:widowControl/>
              <w:suppressLineNumbers w:val="0"/>
              <w:spacing w:before="0" w:beforeAutospacing="0" w:after="0" w:afterAutospacing="0"/>
              <w:ind w:left="0" w:right="0"/>
              <w:jc w:val="center"/>
              <w:textAlignment w:val="center"/>
              <w:rPr>
                <w:rFonts w:hint="default" w:ascii="宋体" w:hAnsi="宋体" w:cs="仿宋"/>
                <w:color w:val="auto"/>
                <w:kern w:val="0"/>
                <w:sz w:val="22"/>
                <w:szCs w:val="22"/>
                <w:highlight w:val="none"/>
              </w:rPr>
            </w:pPr>
          </w:p>
        </w:tc>
        <w:tc>
          <w:tcPr>
            <w:tcW w:w="3213" w:type="dxa"/>
            <w:vAlign w:val="center"/>
          </w:tcPr>
          <w:p w14:paraId="787100CC">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0"/>
                <w:highlight w:val="none"/>
              </w:rPr>
            </w:pPr>
            <w:r>
              <w:rPr>
                <w:rFonts w:hint="default" w:ascii="宋体" w:hAnsi="宋体" w:cs="仿宋"/>
                <w:color w:val="auto"/>
                <w:szCs w:val="20"/>
                <w:highlight w:val="none"/>
              </w:rPr>
              <w:t>正高及以上</w:t>
            </w:r>
            <w:r>
              <w:rPr>
                <w:rFonts w:hint="eastAsia" w:ascii="宋体" w:hAnsi="宋体" w:cs="仿宋"/>
                <w:color w:val="auto"/>
                <w:szCs w:val="20"/>
                <w:highlight w:val="none"/>
                <w:lang w:eastAsia="zh-CN"/>
              </w:rPr>
              <w:t>（权重</w:t>
            </w:r>
            <w:r>
              <w:rPr>
                <w:rFonts w:hint="eastAsia" w:ascii="宋体" w:hAnsi="宋体" w:cs="仿宋"/>
                <w:color w:val="auto"/>
                <w:szCs w:val="20"/>
                <w:highlight w:val="none"/>
                <w:lang w:val="en-US" w:eastAsia="zh-CN"/>
              </w:rPr>
              <w:t>20%）</w:t>
            </w:r>
          </w:p>
        </w:tc>
        <w:tc>
          <w:tcPr>
            <w:tcW w:w="1596" w:type="dxa"/>
            <w:vAlign w:val="center"/>
          </w:tcPr>
          <w:p w14:paraId="340DFAC0">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0"/>
                <w:highlight w:val="none"/>
              </w:rPr>
            </w:pPr>
            <w:r>
              <w:rPr>
                <w:rFonts w:hint="default" w:ascii="宋体" w:hAnsi="宋体" w:cs="仿宋"/>
                <w:color w:val="auto"/>
                <w:szCs w:val="21"/>
                <w:highlight w:val="none"/>
                <w:u w:val="single"/>
              </w:rPr>
              <w:t xml:space="preserve">     </w:t>
            </w:r>
            <w:r>
              <w:rPr>
                <w:rFonts w:hint="default" w:ascii="宋体" w:hAnsi="宋体" w:cs="仿宋"/>
                <w:color w:val="auto"/>
                <w:szCs w:val="21"/>
                <w:highlight w:val="none"/>
              </w:rPr>
              <w:t>元/课时</w:t>
            </w:r>
          </w:p>
        </w:tc>
        <w:tc>
          <w:tcPr>
            <w:tcW w:w="1596" w:type="dxa"/>
            <w:vAlign w:val="center"/>
          </w:tcPr>
          <w:p w14:paraId="2476166A">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0"/>
                <w:highlight w:val="none"/>
              </w:rPr>
            </w:pPr>
            <w:r>
              <w:rPr>
                <w:rFonts w:hint="eastAsia" w:ascii="宋体" w:hAnsi="宋体" w:cs="仿宋"/>
                <w:color w:val="auto"/>
                <w:szCs w:val="20"/>
                <w:highlight w:val="none"/>
                <w:lang w:val="en-US" w:eastAsia="zh-CN"/>
              </w:rPr>
              <w:t>1200</w:t>
            </w:r>
            <w:r>
              <w:rPr>
                <w:rFonts w:hint="default" w:ascii="宋体" w:hAnsi="宋体" w:cs="仿宋"/>
                <w:color w:val="auto"/>
                <w:szCs w:val="20"/>
                <w:highlight w:val="none"/>
              </w:rPr>
              <w:t>元/课时</w:t>
            </w:r>
          </w:p>
        </w:tc>
        <w:tc>
          <w:tcPr>
            <w:tcW w:w="1183" w:type="dxa"/>
            <w:vMerge w:val="continue"/>
            <w:vAlign w:val="center"/>
          </w:tcPr>
          <w:p w14:paraId="7E5E3668">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0"/>
                <w:highlight w:val="none"/>
              </w:rPr>
            </w:pPr>
          </w:p>
        </w:tc>
        <w:tc>
          <w:tcPr>
            <w:tcW w:w="971" w:type="dxa"/>
            <w:vMerge w:val="continue"/>
            <w:vAlign w:val="center"/>
          </w:tcPr>
          <w:p w14:paraId="227D19E8">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0"/>
                <w:highlight w:val="none"/>
              </w:rPr>
            </w:pPr>
          </w:p>
        </w:tc>
        <w:tc>
          <w:tcPr>
            <w:tcW w:w="1417" w:type="dxa"/>
            <w:vMerge w:val="continue"/>
            <w:vAlign w:val="center"/>
          </w:tcPr>
          <w:p w14:paraId="153B0B8B">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0"/>
                <w:highlight w:val="none"/>
              </w:rPr>
            </w:pPr>
          </w:p>
        </w:tc>
      </w:tr>
      <w:tr w14:paraId="4EA7D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831" w:type="dxa"/>
            <w:vAlign w:val="center"/>
          </w:tcPr>
          <w:p w14:paraId="011152BB">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0"/>
                <w:highlight w:val="none"/>
              </w:rPr>
            </w:pPr>
            <w:r>
              <w:rPr>
                <w:rFonts w:hint="default" w:ascii="宋体" w:hAnsi="宋体" w:cs="仿宋"/>
                <w:color w:val="auto"/>
                <w:szCs w:val="20"/>
                <w:highlight w:val="none"/>
              </w:rPr>
              <w:t>3</w:t>
            </w:r>
          </w:p>
        </w:tc>
        <w:tc>
          <w:tcPr>
            <w:tcW w:w="1211" w:type="dxa"/>
            <w:vAlign w:val="center"/>
          </w:tcPr>
          <w:p w14:paraId="68DDA1AA">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0"/>
                <w:highlight w:val="none"/>
              </w:rPr>
            </w:pPr>
            <w:r>
              <w:rPr>
                <w:rFonts w:hint="default" w:ascii="宋体" w:hAnsi="宋体" w:cs="仿宋"/>
                <w:color w:val="auto"/>
                <w:szCs w:val="20"/>
                <w:highlight w:val="none"/>
              </w:rPr>
              <w:t>应急演练</w:t>
            </w:r>
          </w:p>
        </w:tc>
        <w:tc>
          <w:tcPr>
            <w:tcW w:w="2301" w:type="dxa"/>
            <w:gridSpan w:val="2"/>
            <w:vAlign w:val="center"/>
          </w:tcPr>
          <w:p w14:paraId="15F20D14">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0"/>
                <w:highlight w:val="none"/>
              </w:rPr>
            </w:pPr>
            <w:r>
              <w:rPr>
                <w:rFonts w:hint="default" w:ascii="宋体" w:hAnsi="宋体" w:cs="仿宋"/>
                <w:color w:val="auto"/>
                <w:szCs w:val="20"/>
                <w:highlight w:val="none"/>
              </w:rPr>
              <w:t>专家脚本撰写加现场指导</w:t>
            </w:r>
          </w:p>
        </w:tc>
        <w:tc>
          <w:tcPr>
            <w:tcW w:w="3213" w:type="dxa"/>
            <w:vAlign w:val="center"/>
          </w:tcPr>
          <w:p w14:paraId="00A98D91">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0"/>
                <w:highlight w:val="none"/>
              </w:rPr>
            </w:pPr>
            <w:r>
              <w:rPr>
                <w:rFonts w:hint="default" w:ascii="宋体" w:hAnsi="宋体" w:cs="仿宋"/>
                <w:color w:val="auto"/>
                <w:szCs w:val="20"/>
                <w:highlight w:val="none"/>
              </w:rPr>
              <w:t>/</w:t>
            </w:r>
          </w:p>
        </w:tc>
        <w:tc>
          <w:tcPr>
            <w:tcW w:w="1596" w:type="dxa"/>
            <w:vAlign w:val="center"/>
          </w:tcPr>
          <w:p w14:paraId="147CB2D8">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0"/>
                <w:highlight w:val="none"/>
              </w:rPr>
            </w:pPr>
            <w:r>
              <w:rPr>
                <w:rFonts w:hint="default" w:ascii="宋体" w:hAnsi="宋体" w:cs="仿宋"/>
                <w:color w:val="auto"/>
                <w:szCs w:val="21"/>
                <w:highlight w:val="none"/>
                <w:u w:val="single"/>
              </w:rPr>
              <w:t xml:space="preserve">     </w:t>
            </w:r>
            <w:r>
              <w:rPr>
                <w:rFonts w:hint="default" w:ascii="宋体" w:hAnsi="宋体" w:cs="仿宋"/>
                <w:color w:val="auto"/>
                <w:szCs w:val="21"/>
                <w:highlight w:val="none"/>
              </w:rPr>
              <w:t>元/次</w:t>
            </w:r>
          </w:p>
        </w:tc>
        <w:tc>
          <w:tcPr>
            <w:tcW w:w="1596" w:type="dxa"/>
            <w:vAlign w:val="center"/>
          </w:tcPr>
          <w:p w14:paraId="55646802">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0"/>
                <w:highlight w:val="none"/>
              </w:rPr>
            </w:pPr>
            <w:r>
              <w:rPr>
                <w:rFonts w:hint="eastAsia" w:ascii="宋体" w:hAnsi="宋体" w:cs="仿宋"/>
                <w:color w:val="auto"/>
                <w:szCs w:val="20"/>
                <w:highlight w:val="none"/>
                <w:lang w:val="en-US" w:eastAsia="zh-CN"/>
              </w:rPr>
              <w:t>3600</w:t>
            </w:r>
            <w:r>
              <w:rPr>
                <w:rFonts w:hint="default" w:ascii="宋体" w:hAnsi="宋体" w:cs="仿宋"/>
                <w:color w:val="auto"/>
                <w:szCs w:val="20"/>
                <w:highlight w:val="none"/>
              </w:rPr>
              <w:t>元/次</w:t>
            </w:r>
          </w:p>
        </w:tc>
        <w:tc>
          <w:tcPr>
            <w:tcW w:w="1183" w:type="dxa"/>
            <w:vMerge w:val="continue"/>
            <w:vAlign w:val="center"/>
          </w:tcPr>
          <w:p w14:paraId="02A8D175">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0"/>
                <w:highlight w:val="none"/>
              </w:rPr>
            </w:pPr>
          </w:p>
        </w:tc>
        <w:tc>
          <w:tcPr>
            <w:tcW w:w="971" w:type="dxa"/>
            <w:vMerge w:val="continue"/>
            <w:vAlign w:val="center"/>
          </w:tcPr>
          <w:p w14:paraId="5AAA3BCA">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0"/>
                <w:highlight w:val="none"/>
              </w:rPr>
            </w:pPr>
          </w:p>
        </w:tc>
        <w:tc>
          <w:tcPr>
            <w:tcW w:w="1417" w:type="dxa"/>
            <w:vMerge w:val="continue"/>
            <w:vAlign w:val="center"/>
          </w:tcPr>
          <w:p w14:paraId="3A2CEEF7">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0"/>
                <w:highlight w:val="none"/>
              </w:rPr>
            </w:pPr>
          </w:p>
        </w:tc>
      </w:tr>
      <w:tr w14:paraId="7278D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10748" w:type="dxa"/>
            <w:gridSpan w:val="7"/>
            <w:vAlign w:val="center"/>
          </w:tcPr>
          <w:p w14:paraId="2621B9FD">
            <w:pPr>
              <w:keepNext w:val="0"/>
              <w:keepLines w:val="0"/>
              <w:suppressLineNumbers w:val="0"/>
              <w:adjustRightInd w:val="0"/>
              <w:spacing w:before="0" w:beforeAutospacing="0" w:after="0" w:afterAutospacing="0" w:line="400" w:lineRule="exact"/>
              <w:ind w:left="0" w:right="0"/>
              <w:rPr>
                <w:rFonts w:hint="default" w:ascii="宋体" w:hAnsi="宋体" w:cs="仿宋"/>
                <w:color w:val="auto"/>
                <w:szCs w:val="20"/>
                <w:highlight w:val="none"/>
              </w:rPr>
            </w:pPr>
            <w:r>
              <w:rPr>
                <w:rFonts w:hint="default" w:ascii="宋体" w:hAnsi="宋体" w:cs="仿宋"/>
                <w:color w:val="auto"/>
                <w:szCs w:val="20"/>
                <w:highlight w:val="none"/>
              </w:rPr>
              <w:t>三、针对交通工程企业项目</w:t>
            </w:r>
          </w:p>
        </w:tc>
        <w:tc>
          <w:tcPr>
            <w:tcW w:w="1183" w:type="dxa"/>
            <w:vMerge w:val="continue"/>
            <w:vAlign w:val="center"/>
          </w:tcPr>
          <w:p w14:paraId="25271A66">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0"/>
                <w:highlight w:val="none"/>
              </w:rPr>
            </w:pPr>
          </w:p>
        </w:tc>
        <w:tc>
          <w:tcPr>
            <w:tcW w:w="971" w:type="dxa"/>
            <w:vMerge w:val="continue"/>
            <w:vAlign w:val="center"/>
          </w:tcPr>
          <w:p w14:paraId="5C77A162">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0"/>
                <w:highlight w:val="none"/>
              </w:rPr>
            </w:pPr>
          </w:p>
        </w:tc>
        <w:tc>
          <w:tcPr>
            <w:tcW w:w="1417" w:type="dxa"/>
            <w:vMerge w:val="continue"/>
            <w:vAlign w:val="center"/>
          </w:tcPr>
          <w:p w14:paraId="4C9A55F8">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0"/>
                <w:highlight w:val="none"/>
              </w:rPr>
            </w:pPr>
          </w:p>
        </w:tc>
      </w:tr>
      <w:tr w14:paraId="7048B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9" w:hRule="atLeast"/>
          <w:jc w:val="center"/>
        </w:trPr>
        <w:tc>
          <w:tcPr>
            <w:tcW w:w="831" w:type="dxa"/>
            <w:vAlign w:val="center"/>
          </w:tcPr>
          <w:p w14:paraId="1E8C8B4A">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0"/>
                <w:highlight w:val="none"/>
              </w:rPr>
            </w:pPr>
            <w:r>
              <w:rPr>
                <w:rFonts w:hint="default" w:ascii="宋体" w:hAnsi="宋体" w:cs="仿宋"/>
                <w:color w:val="auto"/>
                <w:szCs w:val="20"/>
                <w:highlight w:val="none"/>
              </w:rPr>
              <w:t>1</w:t>
            </w:r>
          </w:p>
        </w:tc>
        <w:tc>
          <w:tcPr>
            <w:tcW w:w="3512" w:type="dxa"/>
            <w:gridSpan w:val="3"/>
            <w:vAlign w:val="center"/>
          </w:tcPr>
          <w:p w14:paraId="61438E27">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0"/>
                <w:highlight w:val="none"/>
              </w:rPr>
            </w:pPr>
            <w:r>
              <w:rPr>
                <w:rFonts w:hint="default" w:ascii="宋体" w:hAnsi="宋体" w:cs="仿宋"/>
                <w:color w:val="auto"/>
                <w:szCs w:val="20"/>
                <w:highlight w:val="none"/>
              </w:rPr>
              <w:t>交通工程事故隐患排查</w:t>
            </w:r>
          </w:p>
        </w:tc>
        <w:tc>
          <w:tcPr>
            <w:tcW w:w="3213" w:type="dxa"/>
            <w:vAlign w:val="center"/>
          </w:tcPr>
          <w:p w14:paraId="0C7CACB9">
            <w:pPr>
              <w:keepNext w:val="0"/>
              <w:keepLines w:val="0"/>
              <w:suppressLineNumbers w:val="0"/>
              <w:adjustRightInd w:val="0"/>
              <w:spacing w:before="0" w:beforeAutospacing="0" w:after="0" w:afterAutospacing="0" w:line="400" w:lineRule="exact"/>
              <w:ind w:left="0" w:right="0"/>
              <w:rPr>
                <w:rFonts w:hint="default" w:ascii="宋体" w:hAnsi="宋体" w:cs="仿宋"/>
                <w:color w:val="auto"/>
                <w:szCs w:val="20"/>
                <w:highlight w:val="none"/>
              </w:rPr>
            </w:pPr>
            <w:r>
              <w:rPr>
                <w:rFonts w:hint="default" w:ascii="宋体" w:hAnsi="宋体" w:cs="仿宋"/>
                <w:color w:val="auto"/>
                <w:szCs w:val="20"/>
                <w:highlight w:val="none"/>
              </w:rPr>
              <w:t>1.3人以上参加现场服务</w:t>
            </w:r>
          </w:p>
          <w:p w14:paraId="44BA0E3F">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0"/>
                <w:highlight w:val="none"/>
              </w:rPr>
            </w:pPr>
            <w:r>
              <w:rPr>
                <w:rFonts w:hint="default" w:ascii="宋体" w:hAnsi="宋体" w:cs="仿宋"/>
                <w:color w:val="auto"/>
                <w:szCs w:val="20"/>
                <w:highlight w:val="none"/>
              </w:rPr>
              <w:t>2.领队需满足高级以上职称要求</w:t>
            </w:r>
          </w:p>
        </w:tc>
        <w:tc>
          <w:tcPr>
            <w:tcW w:w="1596" w:type="dxa"/>
            <w:vAlign w:val="center"/>
          </w:tcPr>
          <w:p w14:paraId="6E44397C">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0"/>
                <w:highlight w:val="none"/>
              </w:rPr>
            </w:pPr>
            <w:r>
              <w:rPr>
                <w:rFonts w:hint="default" w:ascii="宋体" w:hAnsi="宋体" w:cs="仿宋"/>
                <w:color w:val="auto"/>
                <w:szCs w:val="21"/>
                <w:highlight w:val="none"/>
                <w:u w:val="single"/>
              </w:rPr>
              <w:t xml:space="preserve">     </w:t>
            </w:r>
            <w:r>
              <w:rPr>
                <w:rFonts w:hint="default" w:ascii="宋体" w:hAnsi="宋体" w:cs="仿宋"/>
                <w:color w:val="auto"/>
                <w:szCs w:val="21"/>
                <w:highlight w:val="none"/>
              </w:rPr>
              <w:t>元/次</w:t>
            </w:r>
          </w:p>
        </w:tc>
        <w:tc>
          <w:tcPr>
            <w:tcW w:w="1596" w:type="dxa"/>
            <w:vAlign w:val="center"/>
          </w:tcPr>
          <w:p w14:paraId="22B4C619">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0"/>
                <w:highlight w:val="none"/>
              </w:rPr>
            </w:pPr>
            <w:r>
              <w:rPr>
                <w:rFonts w:hint="eastAsia" w:ascii="宋体" w:hAnsi="宋体" w:cs="仿宋"/>
                <w:color w:val="auto"/>
                <w:szCs w:val="20"/>
                <w:highlight w:val="none"/>
                <w:lang w:val="en-US" w:eastAsia="zh-CN"/>
              </w:rPr>
              <w:t>2400</w:t>
            </w:r>
            <w:r>
              <w:rPr>
                <w:rFonts w:hint="default" w:ascii="宋体" w:hAnsi="宋体" w:cs="仿宋"/>
                <w:color w:val="auto"/>
                <w:szCs w:val="20"/>
                <w:highlight w:val="none"/>
              </w:rPr>
              <w:t>元/次</w:t>
            </w:r>
          </w:p>
        </w:tc>
        <w:tc>
          <w:tcPr>
            <w:tcW w:w="1183" w:type="dxa"/>
            <w:vMerge w:val="continue"/>
            <w:vAlign w:val="center"/>
          </w:tcPr>
          <w:p w14:paraId="3F4C8710">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0"/>
                <w:highlight w:val="none"/>
              </w:rPr>
            </w:pPr>
          </w:p>
        </w:tc>
        <w:tc>
          <w:tcPr>
            <w:tcW w:w="971" w:type="dxa"/>
            <w:vMerge w:val="continue"/>
            <w:vAlign w:val="center"/>
          </w:tcPr>
          <w:p w14:paraId="1ED21A93">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0"/>
                <w:highlight w:val="none"/>
              </w:rPr>
            </w:pPr>
          </w:p>
        </w:tc>
        <w:tc>
          <w:tcPr>
            <w:tcW w:w="1417" w:type="dxa"/>
            <w:vMerge w:val="continue"/>
            <w:vAlign w:val="center"/>
          </w:tcPr>
          <w:p w14:paraId="188BD15A">
            <w:pPr>
              <w:keepNext w:val="0"/>
              <w:keepLines w:val="0"/>
              <w:suppressLineNumbers w:val="0"/>
              <w:adjustRightInd w:val="0"/>
              <w:spacing w:before="0" w:beforeAutospacing="0" w:after="0" w:afterAutospacing="0" w:line="400" w:lineRule="exact"/>
              <w:ind w:left="0" w:right="0"/>
              <w:jc w:val="center"/>
              <w:rPr>
                <w:rFonts w:hint="default" w:ascii="宋体" w:hAnsi="宋体" w:cs="仿宋"/>
                <w:color w:val="auto"/>
                <w:szCs w:val="20"/>
                <w:highlight w:val="none"/>
              </w:rPr>
            </w:pPr>
          </w:p>
        </w:tc>
      </w:tr>
    </w:tbl>
    <w:p w14:paraId="58224BF8">
      <w:pPr>
        <w:pStyle w:val="108"/>
        <w:spacing w:line="360" w:lineRule="auto"/>
        <w:ind w:firstLine="0" w:firstLineChars="0"/>
        <w:rPr>
          <w:rFonts w:ascii="仿宋" w:hAnsi="仿宋" w:eastAsia="仿宋" w:cs="宋体"/>
          <w:b/>
          <w:bCs/>
          <w:color w:val="auto"/>
          <w:sz w:val="24"/>
          <w:highlight w:val="none"/>
        </w:rPr>
      </w:pPr>
    </w:p>
    <w:p w14:paraId="752CE233">
      <w:pPr>
        <w:pStyle w:val="108"/>
        <w:spacing w:line="360" w:lineRule="auto"/>
        <w:ind w:firstLine="0" w:firstLineChars="0"/>
        <w:rPr>
          <w:rFonts w:ascii="仿宋" w:hAnsi="仿宋" w:eastAsia="仿宋" w:cs="宋体"/>
          <w:b/>
          <w:bCs/>
          <w:color w:val="auto"/>
          <w:sz w:val="24"/>
          <w:highlight w:val="none"/>
        </w:rPr>
      </w:pPr>
    </w:p>
    <w:p w14:paraId="4DD77E73">
      <w:pPr>
        <w:pStyle w:val="108"/>
        <w:spacing w:line="360" w:lineRule="auto"/>
        <w:ind w:firstLine="0" w:firstLineChars="0"/>
        <w:rPr>
          <w:rFonts w:hint="eastAsia" w:ascii="仿宋" w:hAnsi="仿宋" w:eastAsia="仿宋" w:cs="宋体"/>
          <w:b/>
          <w:bCs/>
          <w:color w:val="auto"/>
          <w:sz w:val="24"/>
          <w:highlight w:val="none"/>
        </w:rPr>
      </w:pPr>
      <w:r>
        <w:rPr>
          <w:rFonts w:hint="eastAsia" w:ascii="仿宋" w:hAnsi="仿宋" w:eastAsia="仿宋" w:cs="宋体"/>
          <w:b/>
          <w:bCs/>
          <w:color w:val="auto"/>
          <w:sz w:val="24"/>
          <w:highlight w:val="none"/>
        </w:rPr>
        <w:t>备注：</w:t>
      </w:r>
    </w:p>
    <w:p w14:paraId="39BC6B48">
      <w:pPr>
        <w:pStyle w:val="108"/>
        <w:spacing w:line="360" w:lineRule="auto"/>
        <w:ind w:left="216" w:leftChars="103" w:firstLine="0" w:firstLineChars="0"/>
        <w:rPr>
          <w:rFonts w:hint="eastAsia" w:ascii="仿宋" w:hAnsi="仿宋" w:eastAsia="仿宋" w:cs="宋体"/>
          <w:b/>
          <w:bCs/>
          <w:color w:val="auto"/>
          <w:sz w:val="24"/>
          <w:highlight w:val="none"/>
        </w:rPr>
      </w:pPr>
      <w:r>
        <w:rPr>
          <w:rFonts w:hint="eastAsia" w:ascii="仿宋" w:hAnsi="仿宋" w:eastAsia="仿宋" w:cs="宋体"/>
          <w:b/>
          <w:bCs/>
          <w:color w:val="auto"/>
          <w:sz w:val="24"/>
          <w:highlight w:val="none"/>
        </w:rPr>
        <w:t>1、本次报价精确到小数点后两位（四舍五入），根据分项报价表进行逐项报价，不得缺省或回避填写，否则将视为非实质性响应。</w:t>
      </w:r>
    </w:p>
    <w:p w14:paraId="494C3C14">
      <w:pPr>
        <w:pStyle w:val="108"/>
        <w:spacing w:line="360" w:lineRule="auto"/>
        <w:ind w:left="216" w:leftChars="103" w:firstLine="0" w:firstLineChars="0"/>
        <w:rPr>
          <w:rFonts w:hint="eastAsia" w:ascii="仿宋" w:hAnsi="仿宋" w:eastAsia="仿宋" w:cs="宋体"/>
          <w:b/>
          <w:bCs/>
          <w:color w:val="auto"/>
          <w:sz w:val="24"/>
          <w:highlight w:val="none"/>
        </w:rPr>
      </w:pPr>
      <w:r>
        <w:rPr>
          <w:rFonts w:hint="eastAsia" w:ascii="仿宋" w:hAnsi="仿宋" w:eastAsia="仿宋" w:cs="宋体"/>
          <w:b/>
          <w:bCs/>
          <w:color w:val="auto"/>
          <w:sz w:val="24"/>
          <w:highlight w:val="none"/>
        </w:rPr>
        <w:t xml:space="preserve">2、为完成本项目规定工作所需的全部费用，包括但不限于产品费用、提供技术服务人员、必要工具设备的所有费用及税金等。 </w:t>
      </w:r>
    </w:p>
    <w:p w14:paraId="71BF0B2D">
      <w:pPr>
        <w:pStyle w:val="108"/>
        <w:spacing w:line="360" w:lineRule="auto"/>
        <w:ind w:left="216" w:leftChars="103" w:firstLine="0" w:firstLineChars="0"/>
        <w:rPr>
          <w:rFonts w:ascii="仿宋" w:hAnsi="仿宋" w:eastAsia="仿宋" w:cs="宋体"/>
          <w:b/>
          <w:bCs/>
          <w:color w:val="auto"/>
          <w:sz w:val="24"/>
          <w:highlight w:val="none"/>
        </w:rPr>
      </w:pPr>
      <w:r>
        <w:rPr>
          <w:rFonts w:hint="eastAsia" w:ascii="仿宋" w:hAnsi="仿宋" w:eastAsia="仿宋" w:cs="宋体"/>
          <w:b/>
          <w:bCs/>
          <w:color w:val="auto"/>
          <w:sz w:val="24"/>
          <w:highlight w:val="none"/>
        </w:rPr>
        <w:t>3、各项含税投标合价=分项报价表各项含税</w:t>
      </w:r>
      <w:r>
        <w:rPr>
          <w:rFonts w:hint="eastAsia" w:ascii="仿宋" w:hAnsi="仿宋" w:eastAsia="仿宋" w:cs="宋体"/>
          <w:b/>
          <w:bCs/>
          <w:color w:val="auto"/>
          <w:sz w:val="24"/>
          <w:highlight w:val="none"/>
          <w:lang w:val="en-US" w:eastAsia="zh-CN"/>
        </w:rPr>
        <w:t>单价*权重</w:t>
      </w:r>
      <w:r>
        <w:rPr>
          <w:rFonts w:hint="eastAsia" w:ascii="仿宋" w:hAnsi="仿宋" w:eastAsia="仿宋" w:cs="宋体"/>
          <w:b/>
          <w:bCs/>
          <w:color w:val="auto"/>
          <w:sz w:val="24"/>
          <w:highlight w:val="none"/>
        </w:rPr>
        <w:t>之和。</w:t>
      </w:r>
    </w:p>
    <w:p w14:paraId="6F762948">
      <w:pPr>
        <w:pStyle w:val="108"/>
        <w:spacing w:line="360" w:lineRule="auto"/>
        <w:ind w:left="216" w:leftChars="103" w:firstLine="0" w:firstLineChars="0"/>
        <w:rPr>
          <w:rFonts w:hint="eastAsia" w:ascii="仿宋" w:hAnsi="仿宋" w:eastAsia="仿宋" w:cs="宋体"/>
          <w:b/>
          <w:bCs/>
          <w:color w:val="auto"/>
          <w:sz w:val="24"/>
          <w:highlight w:val="none"/>
        </w:rPr>
      </w:pPr>
      <w:r>
        <w:rPr>
          <w:rFonts w:hint="eastAsia" w:ascii="仿宋" w:hAnsi="仿宋" w:eastAsia="仿宋" w:cs="宋体"/>
          <w:b/>
          <w:bCs/>
          <w:color w:val="auto"/>
          <w:sz w:val="24"/>
          <w:highlight w:val="none"/>
        </w:rPr>
        <w:t>4、投标人根据上述清单进行报价，各单项的报价均不得高于各单项的最高限价，否则其投标报价将被否决。</w:t>
      </w:r>
    </w:p>
    <w:p w14:paraId="78B7AF86">
      <w:pPr>
        <w:pStyle w:val="108"/>
        <w:spacing w:line="360" w:lineRule="auto"/>
        <w:ind w:firstLine="0" w:firstLineChars="0"/>
        <w:rPr>
          <w:rFonts w:hint="eastAsia" w:ascii="仿宋" w:hAnsi="仿宋" w:eastAsia="仿宋" w:cs="宋体"/>
          <w:b/>
          <w:bCs/>
          <w:color w:val="auto"/>
          <w:sz w:val="24"/>
          <w:highlight w:val="none"/>
        </w:rPr>
      </w:pPr>
    </w:p>
    <w:p w14:paraId="055D41B3">
      <w:pPr>
        <w:pStyle w:val="108"/>
        <w:spacing w:line="360" w:lineRule="auto"/>
        <w:ind w:left="216" w:leftChars="103" w:firstLine="0" w:firstLineChars="0"/>
        <w:rPr>
          <w:rFonts w:ascii="仿宋" w:hAnsi="仿宋" w:eastAsia="仿宋" w:cs="宋体"/>
          <w:b/>
          <w:bCs/>
          <w:color w:val="auto"/>
          <w:sz w:val="24"/>
          <w:highlight w:val="none"/>
        </w:rPr>
      </w:pPr>
    </w:p>
    <w:p w14:paraId="1CA9388D">
      <w:pPr>
        <w:pStyle w:val="108"/>
        <w:spacing w:line="360" w:lineRule="auto"/>
        <w:ind w:left="216" w:leftChars="103" w:firstLine="0" w:firstLineChars="0"/>
        <w:rPr>
          <w:rFonts w:hint="eastAsia" w:ascii="仿宋" w:hAnsi="仿宋" w:eastAsia="仿宋" w:cs="宋体"/>
          <w:color w:val="auto"/>
          <w:szCs w:val="21"/>
          <w:highlight w:val="none"/>
        </w:rPr>
      </w:pPr>
    </w:p>
    <w:p w14:paraId="2DCD38D7">
      <w:pPr>
        <w:spacing w:line="440" w:lineRule="exact"/>
        <w:ind w:firstLine="4080" w:firstLineChars="1700"/>
        <w:jc w:val="right"/>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投标人名称：</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（盖章）</w:t>
      </w:r>
    </w:p>
    <w:p w14:paraId="298311E6">
      <w:pPr>
        <w:spacing w:line="440" w:lineRule="exact"/>
        <w:ind w:firstLine="4080" w:firstLineChars="1700"/>
        <w:jc w:val="right"/>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法定代表人或其授权代理人：</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u w:val="single"/>
          <w:lang w:val="en-US" w:eastAsia="zh-CN"/>
        </w:rPr>
        <w:t xml:space="preserve">         </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（签字）</w:t>
      </w:r>
    </w:p>
    <w:p w14:paraId="0D806740">
      <w:pPr>
        <w:spacing w:line="440" w:lineRule="exact"/>
        <w:ind w:firstLine="4080" w:firstLineChars="1700"/>
        <w:jc w:val="right"/>
        <w:rPr>
          <w:rFonts w:hint="eastAsia" w:ascii="仿宋" w:hAnsi="仿宋" w:eastAsia="仿宋" w:cs="宋体"/>
          <w:color w:val="auto"/>
          <w:sz w:val="24"/>
          <w:szCs w:val="24"/>
          <w:highlight w:val="none"/>
        </w:rPr>
        <w:sectPr>
          <w:headerReference r:id="rId16" w:type="first"/>
          <w:headerReference r:id="rId15" w:type="default"/>
          <w:pgSz w:w="16838" w:h="11906" w:orient="landscape"/>
          <w:pgMar w:top="1134" w:right="1417" w:bottom="1134" w:left="1134" w:header="851" w:footer="992" w:gutter="0"/>
          <w:cols w:space="720" w:num="1"/>
          <w:titlePg/>
          <w:docGrid w:type="lines" w:linePitch="312" w:charSpace="0"/>
        </w:sectPr>
      </w:pPr>
      <w:r>
        <w:rPr>
          <w:rFonts w:hint="eastAsia" w:ascii="仿宋" w:hAnsi="仿宋" w:eastAsia="仿宋" w:cs="宋体"/>
          <w:color w:val="auto"/>
          <w:sz w:val="24"/>
          <w:szCs w:val="24"/>
          <w:highlight w:val="none"/>
        </w:rPr>
        <w:t>日期：</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年</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月</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日</w:t>
      </w:r>
    </w:p>
    <w:p w14:paraId="181DA258">
      <w:pPr>
        <w:pStyle w:val="2"/>
        <w:rPr>
          <w:rFonts w:hint="eastAsia"/>
          <w:color w:val="auto"/>
          <w:highlight w:val="none"/>
          <w:lang w:eastAsia="zh-CN"/>
        </w:rPr>
      </w:pPr>
    </w:p>
    <w:p w14:paraId="013AE2C4">
      <w:pPr>
        <w:rPr>
          <w:rFonts w:hint="eastAsia"/>
        </w:rPr>
      </w:pPr>
    </w:p>
    <w:sectPr>
      <w:type w:val="continuous"/>
      <w:pgSz w:w="11906" w:h="16838"/>
      <w:pgMar w:top="1417" w:right="1134" w:bottom="1134" w:left="1134" w:header="964" w:footer="964"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nsolas">
    <w:panose1 w:val="020B0609020204030204"/>
    <w:charset w:val="00"/>
    <w:family w:val="modern"/>
    <w:pitch w:val="default"/>
    <w:sig w:usb0="E00006FF" w:usb1="0000FCFF" w:usb2="00000001" w:usb3="00000000" w:csb0="6000019F" w:csb1="DFD7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Cambria Math">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Arial Unicode MS">
    <w:panose1 w:val="020B0604020202020204"/>
    <w:charset w:val="86"/>
    <w:family w:val="roman"/>
    <w:pitch w:val="default"/>
    <w:sig w:usb0="FFFFFFFF" w:usb1="E9FFFFFF" w:usb2="0000003F" w:usb3="00000000" w:csb0="603F01FF" w:csb1="FFFF0000"/>
  </w:font>
  <w:font w:name="Verdana">
    <w:panose1 w:val="020B0604030504040204"/>
    <w:charset w:val="00"/>
    <w:family w:val="swiss"/>
    <w:pitch w:val="default"/>
    <w:sig w:usb0="A00006FF" w:usb1="4000205B" w:usb2="00000010" w:usb3="00000000" w:csb0="2000019F" w:csb1="00000000"/>
  </w:font>
  <w:font w:name="Monaco">
    <w:altName w:val="Courier New"/>
    <w:panose1 w:val="00000000000000000000"/>
    <w:charset w:val="00"/>
    <w:family w:val="modern"/>
    <w:pitch w:val="default"/>
    <w:sig w:usb0="00000000" w:usb1="00000000" w:usb2="00000000" w:usb3="00000000" w:csb0="00040001" w:csb1="00000000"/>
  </w:font>
  <w:font w:name="Wingdings 2">
    <w:panose1 w:val="05020102010507070707"/>
    <w:charset w:val="00"/>
    <w:family w:val="auto"/>
    <w:pitch w:val="default"/>
    <w:sig w:usb0="00000000" w:usb1="00000000" w:usb2="00000000" w:usb3="00000000" w:csb0="80000000" w:csb1="00000000"/>
  </w:font>
  <w:font w:name="方正小标宋简体">
    <w:panose1 w:val="02010601030101010101"/>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B7AB9C">
    <w:pPr>
      <w:pStyle w:val="26"/>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566599">
    <w:pPr>
      <w:pStyle w:val="26"/>
      <w:framePr w:wrap="around" w:vAnchor="text" w:hAnchor="margin" w:xAlign="center" w:y="1"/>
      <w:rPr>
        <w:rStyle w:val="46"/>
      </w:rPr>
    </w:pPr>
    <w:r>
      <w:fldChar w:fldCharType="begin"/>
    </w:r>
    <w:r>
      <w:rPr>
        <w:rStyle w:val="46"/>
      </w:rPr>
      <w:instrText xml:space="preserve">PAGE  </w:instrText>
    </w:r>
    <w:r>
      <w:fldChar w:fldCharType="separate"/>
    </w:r>
    <w:r>
      <w:rPr>
        <w:rStyle w:val="46"/>
      </w:rPr>
      <w:t>4</w:t>
    </w:r>
    <w:r>
      <w:fldChar w:fldCharType="end"/>
    </w:r>
  </w:p>
  <w:p w14:paraId="10FE1688">
    <w:pPr>
      <w:pStyle w:val="2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594EE4">
    <w:pPr>
      <w:pStyle w:val="26"/>
      <w:framePr w:wrap="around" w:vAnchor="text" w:hAnchor="margin" w:xAlign="center" w:y="1"/>
      <w:ind w:firstLine="4500" w:firstLineChars="2500"/>
      <w:rPr>
        <w:rStyle w:val="46"/>
      </w:rPr>
    </w:pPr>
    <w:r>
      <w:fldChar w:fldCharType="begin"/>
    </w:r>
    <w:r>
      <w:rPr>
        <w:rStyle w:val="46"/>
      </w:rPr>
      <w:instrText xml:space="preserve">PAGE  </w:instrText>
    </w:r>
    <w:r>
      <w:fldChar w:fldCharType="separate"/>
    </w:r>
    <w:r>
      <w:rPr>
        <w:rStyle w:val="46"/>
      </w:rPr>
      <w:t>19</w:t>
    </w:r>
    <w:r>
      <w:fldChar w:fldCharType="end"/>
    </w:r>
  </w:p>
  <w:p w14:paraId="5F9444A0">
    <w:pPr>
      <w:pStyle w:val="26"/>
      <w:framePr w:wrap="around" w:vAnchor="text" w:hAnchor="margin" w:xAlign="center" w:y="1"/>
      <w:rPr>
        <w:rStyle w:val="46"/>
      </w:rPr>
    </w:pPr>
  </w:p>
  <w:p w14:paraId="275F82A3">
    <w:pPr>
      <w:pStyle w:val="26"/>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4851AF">
    <w:pPr>
      <w:pStyle w:val="26"/>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0312669E">
                          <w:pPr>
                            <w:pStyle w:val="26"/>
                            <w:jc w:val="center"/>
                          </w:pPr>
                          <w:r>
                            <w:fldChar w:fldCharType="begin"/>
                          </w:r>
                          <w:r>
                            <w:instrText xml:space="preserve">PAGE   \* MERGEFORMAT</w:instrText>
                          </w:r>
                          <w:r>
                            <w:fldChar w:fldCharType="separate"/>
                          </w:r>
                          <w:r>
                            <w:rPr>
                              <w:lang w:val="zh-CN"/>
                            </w:rPr>
                            <w:t>2</w:t>
                          </w:r>
                          <w:r>
                            <w:fldChar w:fldCharType="end"/>
                          </w:r>
                        </w:p>
                      </w:txbxContent>
                    </wps:txbx>
                    <wps:bodyPr wrap="none" lIns="0" tIns="0" rIns="0" bIns="0" upright="0">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M3VLCtIBAACjAwAADgAAAAAAAAABACAAAAAi&#10;AQAAZHJzL2Uyb0RvYy54bWxQSwUGAAAAAAYABgBZAQAAZgUAAAAA&#10;">
              <v:fill on="f" focussize="0,0"/>
              <v:stroke on="f" weight="1.25pt"/>
              <v:imagedata o:title=""/>
              <o:lock v:ext="edit" aspectratio="f"/>
              <v:textbox inset="0mm,0mm,0mm,0mm" style="mso-fit-shape-to-text:t;">
                <w:txbxContent>
                  <w:p w14:paraId="0312669E">
                    <w:pPr>
                      <w:pStyle w:val="26"/>
                      <w:jc w:val="center"/>
                    </w:pPr>
                    <w:r>
                      <w:fldChar w:fldCharType="begin"/>
                    </w:r>
                    <w:r>
                      <w:instrText xml:space="preserve">PAGE   \* MERGEFORMAT</w:instrText>
                    </w:r>
                    <w:r>
                      <w:fldChar w:fldCharType="separate"/>
                    </w:r>
                    <w:r>
                      <w:rPr>
                        <w:lang w:val="zh-CN"/>
                      </w:rPr>
                      <w:t>2</w:t>
                    </w:r>
                    <w:r>
                      <w:fldChar w:fldCharType="end"/>
                    </w:r>
                  </w:p>
                </w:txbxContent>
              </v:textbox>
            </v:shape>
          </w:pict>
        </mc:Fallback>
      </mc:AlternateContent>
    </w:r>
  </w:p>
  <w:p w14:paraId="3F21FE94">
    <w:pPr>
      <w:pStyle w:val="26"/>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C9AE6B">
    <w:pPr>
      <w:pStyle w:val="26"/>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5380768E">
                          <w:pPr>
                            <w:pStyle w:val="26"/>
                            <w:rPr>
                              <w:rStyle w:val="46"/>
                            </w:rPr>
                          </w:pPr>
                          <w:r>
                            <w:fldChar w:fldCharType="begin"/>
                          </w:r>
                          <w:r>
                            <w:rPr>
                              <w:rStyle w:val="46"/>
                            </w:rPr>
                            <w:instrText xml:space="preserve">PAGE  </w:instrText>
                          </w:r>
                          <w:r>
                            <w:fldChar w:fldCharType="separate"/>
                          </w:r>
                          <w:r>
                            <w:rPr>
                              <w:rStyle w:val="46"/>
                            </w:rPr>
                            <w:t>10</w:t>
                          </w:r>
                          <w:r>
                            <w:fldChar w:fldCharType="end"/>
                          </w:r>
                        </w:p>
                      </w:txbxContent>
                    </wps:txbx>
                    <wps:bodyPr wrap="none" lIns="0" tIns="0" rIns="0" bIns="0" upright="0">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GhpgkvTAAAABQEAAA8AAAAAAAAAAQAgAAAAIgAAAGRy&#10;cy9kb3ducmV2LnhtbFBLAQIUABQAAAAIAIdO4kCzJJDB0QEAAKQDAAAOAAAAAAAAAAEAIAAAACIB&#10;AABkcnMvZTJvRG9jLnhtbFBLBQYAAAAABgAGAFkBAABlBQAAAAA=&#10;">
              <v:fill on="f" focussize="0,0"/>
              <v:stroke on="f" weight="1.25pt"/>
              <v:imagedata o:title=""/>
              <o:lock v:ext="edit" aspectratio="f"/>
              <v:textbox inset="0mm,0mm,0mm,0mm" style="mso-fit-shape-to-text:t;">
                <w:txbxContent>
                  <w:p w14:paraId="5380768E">
                    <w:pPr>
                      <w:pStyle w:val="26"/>
                      <w:rPr>
                        <w:rStyle w:val="46"/>
                      </w:rPr>
                    </w:pPr>
                    <w:r>
                      <w:fldChar w:fldCharType="begin"/>
                    </w:r>
                    <w:r>
                      <w:rPr>
                        <w:rStyle w:val="46"/>
                      </w:rPr>
                      <w:instrText xml:space="preserve">PAGE  </w:instrText>
                    </w:r>
                    <w:r>
                      <w:fldChar w:fldCharType="separate"/>
                    </w:r>
                    <w:r>
                      <w:rPr>
                        <w:rStyle w:val="46"/>
                      </w:rPr>
                      <w:t>10</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E65F7A">
    <w:pPr>
      <w:pStyle w:val="26"/>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D4302E">
                          <w:pPr>
                            <w:pStyle w:val="26"/>
                            <w:jc w:val="center"/>
                          </w:pPr>
                          <w:r>
                            <w:fldChar w:fldCharType="begin"/>
                          </w:r>
                          <w:r>
                            <w:instrText xml:space="preserve">PAGE   \* MERGEFORMAT</w:instrText>
                          </w:r>
                          <w:r>
                            <w:fldChar w:fldCharType="separate"/>
                          </w:r>
                          <w:r>
                            <w:rPr>
                              <w:lang w:val="zh-CN"/>
                            </w:rPr>
                            <w:t>20</w:t>
                          </w:r>
                          <w:r>
                            <w:fldChar w:fldCharType="end"/>
                          </w:r>
                        </w:p>
                      </w:txbxContent>
                    </wps:txbx>
                    <wps:bodyPr wrap="none" lIns="0" tIns="0" rIns="0" bIns="0" upright="0">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IGYByLIAQAAmgMAAA4AAAAAAAAAAQAgAAAAHgEAAGRycy9lMm9Eb2Mu&#10;eG1sUEsFBgAAAAAGAAYAWQEAAFgFAAAAAA==&#10;">
              <v:fill on="f" focussize="0,0"/>
              <v:stroke on="f"/>
              <v:imagedata o:title=""/>
              <o:lock v:ext="edit" aspectratio="f"/>
              <v:textbox inset="0mm,0mm,0mm,0mm" style="mso-fit-shape-to-text:t;">
                <w:txbxContent>
                  <w:p w14:paraId="64D4302E">
                    <w:pPr>
                      <w:pStyle w:val="26"/>
                      <w:jc w:val="center"/>
                    </w:pPr>
                    <w:r>
                      <w:fldChar w:fldCharType="begin"/>
                    </w:r>
                    <w:r>
                      <w:instrText xml:space="preserve">PAGE   \* MERGEFORMAT</w:instrText>
                    </w:r>
                    <w:r>
                      <w:fldChar w:fldCharType="separate"/>
                    </w:r>
                    <w:r>
                      <w:rPr>
                        <w:lang w:val="zh-CN"/>
                      </w:rPr>
                      <w:t>20</w:t>
                    </w:r>
                    <w:r>
                      <w:fldChar w:fldCharType="end"/>
                    </w:r>
                  </w:p>
                </w:txbxContent>
              </v:textbox>
            </v:shape>
          </w:pict>
        </mc:Fallback>
      </mc:AlternateContent>
    </w:r>
  </w:p>
  <w:p w14:paraId="5AB82B20">
    <w:pPr>
      <w:pStyle w:val="26"/>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9E89A5">
    <w:pPr>
      <w:pStyle w:val="26"/>
      <w:jc w:val="center"/>
    </w:pPr>
    <w:r>
      <w:fldChar w:fldCharType="begin"/>
    </w:r>
    <w:r>
      <w:instrText xml:space="preserve">PAGE   \* MERGEFORMAT</w:instrText>
    </w:r>
    <w:r>
      <w:fldChar w:fldCharType="separate"/>
    </w:r>
    <w:r>
      <w:rPr>
        <w:lang w:val="zh-CN"/>
      </w:rPr>
      <w:t>47</w:t>
    </w:r>
    <w:r>
      <w:fldChar w:fldCharType="end"/>
    </w:r>
  </w:p>
  <w:p w14:paraId="4396C3D1"/>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0CC1DA">
    <w:pPr>
      <w:pStyle w:val="26"/>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2DBCDA94">
                          <w:pPr>
                            <w:pStyle w:val="26"/>
                            <w:jc w:val="center"/>
                          </w:pPr>
                          <w:r>
                            <w:fldChar w:fldCharType="begin"/>
                          </w:r>
                          <w:r>
                            <w:instrText xml:space="preserve">PAGE   \* MERGEFORMAT</w:instrText>
                          </w:r>
                          <w:r>
                            <w:fldChar w:fldCharType="separate"/>
                          </w:r>
                          <w:r>
                            <w:rPr>
                              <w:lang w:val="zh-CN"/>
                            </w:rPr>
                            <w:t>26</w:t>
                          </w:r>
                          <w:r>
                            <w:fldChar w:fldCharType="end"/>
                          </w:r>
                        </w:p>
                      </w:txbxContent>
                    </wps:txbx>
                    <wps:bodyPr wrap="none" lIns="0" tIns="0" rIns="0" bIns="0" upright="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ZhRST9IBAACkAwAADgAAAAAAAAABACAAAAAi&#10;AQAAZHJzL2Uyb0RvYy54bWxQSwUGAAAAAAYABgBZAQAAZgUAAAAA&#10;">
              <v:fill on="f" focussize="0,0"/>
              <v:stroke on="f" weight="1.25pt"/>
              <v:imagedata o:title=""/>
              <o:lock v:ext="edit" aspectratio="f"/>
              <v:textbox inset="0mm,0mm,0mm,0mm" style="mso-fit-shape-to-text:t;">
                <w:txbxContent>
                  <w:p w14:paraId="2DBCDA94">
                    <w:pPr>
                      <w:pStyle w:val="26"/>
                      <w:jc w:val="center"/>
                    </w:pPr>
                    <w:r>
                      <w:fldChar w:fldCharType="begin"/>
                    </w:r>
                    <w:r>
                      <w:instrText xml:space="preserve">PAGE   \* MERGEFORMAT</w:instrText>
                    </w:r>
                    <w:r>
                      <w:fldChar w:fldCharType="separate"/>
                    </w:r>
                    <w:r>
                      <w:rPr>
                        <w:lang w:val="zh-CN"/>
                      </w:rPr>
                      <w:t>26</w:t>
                    </w:r>
                    <w:r>
                      <w:fldChar w:fldCharType="end"/>
                    </w:r>
                  </w:p>
                </w:txbxContent>
              </v:textbox>
            </v:shape>
          </w:pict>
        </mc:Fallback>
      </mc:AlternateContent>
    </w:r>
  </w:p>
  <w:p w14:paraId="114E0CD2">
    <w:pPr>
      <w:pStyle w:val="2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89488B">
    <w:pPr>
      <w:pStyle w:val="27"/>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FC1BA2">
    <w:pPr>
      <w:pStyle w:val="27"/>
    </w:pPr>
    <w:r>
      <w:rPr>
        <w:rFonts w:hint="eastAsia" w:ascii="仿宋" w:hAnsi="仿宋" w:eastAsia="仿宋" w:cs="仿宋"/>
      </w:rPr>
      <w:t>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33A736">
    <w:pPr>
      <w:pStyle w:val="27"/>
      <w:rPr>
        <w:rFonts w:hint="eastAsia"/>
      </w:rPr>
    </w:pPr>
    <w:r>
      <w:rPr>
        <w:rFonts w:hint="eastAsia" w:ascii="仿宋" w:hAnsi="仿宋" w:eastAsia="仿宋" w:cs="仿宋"/>
      </w:rPr>
      <w:t>磋商文件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3AC068"/>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8C5170">
    <w:pPr>
      <w:pStyle w:val="27"/>
      <w:pBdr>
        <w:top w:val="none" w:color="auto" w:sz="0" w:space="0"/>
        <w:left w:val="none" w:color="auto" w:sz="0" w:space="0"/>
        <w:bottom w:val="single" w:color="auto" w:sz="4" w:space="1"/>
        <w:right w:val="none" w:color="auto" w:sz="0" w:space="0"/>
      </w:pBdr>
      <w:jc w:val="center"/>
      <w:rPr>
        <w:rFonts w:hint="eastAsia" w:ascii="仿宋" w:hAnsi="仿宋" w:eastAsia="仿宋" w:cs="仿宋"/>
      </w:rPr>
    </w:pPr>
    <w:r>
      <w:rPr>
        <w:rFonts w:hint="eastAsia" w:ascii="仿宋" w:hAnsi="仿宋" w:eastAsia="仿宋" w:cs="仿宋"/>
      </w:rPr>
      <w:t>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761584">
    <w:pPr>
      <w:pStyle w:val="27"/>
      <w:pBdr>
        <w:top w:val="none" w:color="auto" w:sz="0" w:space="0"/>
        <w:left w:val="none" w:color="auto" w:sz="0" w:space="0"/>
        <w:bottom w:val="single" w:color="auto" w:sz="4" w:space="1"/>
        <w:right w:val="none" w:color="auto" w:sz="0" w:space="0"/>
      </w:pBdr>
      <w:jc w:val="center"/>
      <w:rPr>
        <w:rFonts w:hint="eastAsia" w:ascii="仿宋" w:hAnsi="仿宋" w:eastAsia="仿宋" w:cs="仿宋"/>
      </w:rPr>
    </w:pPr>
    <w:r>
      <w:rPr>
        <w:rFonts w:hint="eastAsia" w:ascii="仿宋" w:hAnsi="仿宋" w:eastAsia="仿宋" w:cs="仿宋"/>
      </w:rPr>
      <w:t>招标文件</w:t>
    </w:r>
  </w:p>
  <w:p w14:paraId="09A4B2FB">
    <w:pPr>
      <w:pStyle w:val="27"/>
      <w:rPr>
        <w:rFonts w:hint="eastAsia" w:ascii="仿宋" w:hAnsi="仿宋" w:eastAsia="仿宋" w:cs="仿宋"/>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3C40003"/>
    <w:multiLevelType w:val="singleLevel"/>
    <w:tmpl w:val="A3C40003"/>
    <w:lvl w:ilvl="0" w:tentative="0">
      <w:start w:val="2"/>
      <w:numFmt w:val="chineseCounting"/>
      <w:suff w:val="nothing"/>
      <w:lvlText w:val="（%1）"/>
      <w:lvlJc w:val="left"/>
      <w:rPr>
        <w:rFonts w:hint="eastAsia"/>
      </w:rPr>
    </w:lvl>
  </w:abstractNum>
  <w:abstractNum w:abstractNumId="1">
    <w:nsid w:val="00000001"/>
    <w:multiLevelType w:val="multilevel"/>
    <w:tmpl w:val="00000001"/>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lvlText w:val="           "/>
      <w:lvlJc w:val="left"/>
      <w:pPr>
        <w:tabs>
          <w:tab w:val="left" w:pos="1440"/>
        </w:tabs>
        <w:ind w:left="1152" w:hanging="1152"/>
      </w:pPr>
      <w:rPr>
        <w:rFonts w:hint="eastAsia"/>
      </w:rPr>
    </w:lvl>
    <w:lvl w:ilvl="6" w:tentative="0">
      <w:start w:val="1"/>
      <w:numFmt w:val="decimal"/>
      <w:lvlText w:val="%1.%2.%3.%4.%5.%6.%7"/>
      <w:lvlJc w:val="left"/>
      <w:pPr>
        <w:tabs>
          <w:tab w:val="left" w:pos="2520"/>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2">
    <w:nsid w:val="00000015"/>
    <w:multiLevelType w:val="multilevel"/>
    <w:tmpl w:val="00000015"/>
    <w:lvl w:ilvl="0" w:tentative="0">
      <w:start w:val="1"/>
      <w:numFmt w:val="chineseCountingThousand"/>
      <w:lvlText w:val="第%1部分"/>
      <w:legacy w:legacy="1" w:legacySpace="0" w:legacyIndent="0"/>
      <w:lvlJc w:val="left"/>
    </w:lvl>
    <w:lvl w:ilvl="1" w:tentative="0">
      <w:start w:val="1"/>
      <w:numFmt w:val="none"/>
      <w:suff w:val="nothing"/>
      <w:lvlText w:val=""/>
      <w:lvlJc w:val="left"/>
    </w:lvl>
    <w:lvl w:ilvl="2" w:tentative="0">
      <w:start w:val="1"/>
      <w:numFmt w:val="none"/>
      <w:suff w:val="nothing"/>
      <w:lvlText w:val=""/>
      <w:lvlJc w:val="left"/>
    </w:lvl>
    <w:lvl w:ilvl="3" w:tentative="0">
      <w:start w:val="1"/>
      <w:numFmt w:val="none"/>
      <w:suff w:val="nothing"/>
      <w:lvlText w:val=""/>
      <w:lvlJc w:val="left"/>
    </w:lvl>
    <w:lvl w:ilvl="4" w:tentative="0">
      <w:start w:val="1"/>
      <w:numFmt w:val="none"/>
      <w:pStyle w:val="7"/>
      <w:suff w:val="nothing"/>
      <w:lvlText w:val=""/>
      <w:lvlJc w:val="left"/>
    </w:lvl>
    <w:lvl w:ilvl="5" w:tentative="0">
      <w:start w:val="1"/>
      <w:numFmt w:val="none"/>
      <w:suff w:val="nothing"/>
      <w:lvlText w:val=""/>
      <w:lvlJc w:val="left"/>
    </w:lvl>
    <w:lvl w:ilvl="6" w:tentative="0">
      <w:start w:val="1"/>
      <w:numFmt w:val="none"/>
      <w:suff w:val="nothing"/>
      <w:lvlText w:val=""/>
      <w:lvlJc w:val="left"/>
    </w:lvl>
    <w:lvl w:ilvl="7" w:tentative="0">
      <w:start w:val="1"/>
      <w:numFmt w:val="none"/>
      <w:suff w:val="nothing"/>
      <w:lvlText w:val=""/>
      <w:lvlJc w:val="left"/>
    </w:lvl>
    <w:lvl w:ilvl="8" w:tentative="0">
      <w:start w:val="1"/>
      <w:numFmt w:val="none"/>
      <w:suff w:val="nothing"/>
      <w:lvlText w:val=""/>
      <w:lvlJc w:val="left"/>
    </w:lvl>
  </w:abstractNum>
  <w:abstractNum w:abstractNumId="3">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8"/>
      <w:lvlText w:val="           "/>
      <w:lvlJc w:val="left"/>
      <w:pPr>
        <w:tabs>
          <w:tab w:val="left" w:pos="1440"/>
        </w:tabs>
        <w:ind w:left="1152" w:hanging="1152"/>
      </w:pPr>
      <w:rPr>
        <w:rFonts w:hint="eastAsia"/>
      </w:rPr>
    </w:lvl>
    <w:lvl w:ilvl="6" w:tentative="0">
      <w:start w:val="1"/>
      <w:numFmt w:val="decimal"/>
      <w:pStyle w:val="9"/>
      <w:lvlText w:val="%1.%2.%3.%4.%5.%6.%7"/>
      <w:lvlJc w:val="left"/>
      <w:pPr>
        <w:tabs>
          <w:tab w:val="left" w:pos="2520"/>
        </w:tabs>
        <w:ind w:left="1296" w:hanging="1296"/>
      </w:pPr>
      <w:rPr>
        <w:rFonts w:hint="eastAsia"/>
      </w:rPr>
    </w:lvl>
    <w:lvl w:ilvl="7" w:tentative="0">
      <w:start w:val="1"/>
      <w:numFmt w:val="decimal"/>
      <w:pStyle w:val="10"/>
      <w:lvlText w:val="%1.%2.%3.%4.%5.%6.%7.%8"/>
      <w:lvlJc w:val="left"/>
      <w:pPr>
        <w:tabs>
          <w:tab w:val="left" w:pos="1440"/>
        </w:tabs>
        <w:ind w:left="1440" w:hanging="1440"/>
      </w:pPr>
      <w:rPr>
        <w:rFonts w:hint="eastAsia"/>
      </w:rPr>
    </w:lvl>
    <w:lvl w:ilvl="8" w:tentative="0">
      <w:start w:val="1"/>
      <w:numFmt w:val="decimal"/>
      <w:pStyle w:val="11"/>
      <w:lvlText w:val="%1.%2.%3.%4.%5.%6.%7.%8.%9"/>
      <w:lvlJc w:val="left"/>
      <w:pPr>
        <w:tabs>
          <w:tab w:val="left" w:pos="1584"/>
        </w:tabs>
        <w:ind w:left="1584" w:hanging="1584"/>
      </w:pPr>
      <w:rPr>
        <w:rFonts w:hint="eastAsia"/>
      </w:rPr>
    </w:lvl>
  </w:abstractNum>
  <w:abstractNum w:abstractNumId="4">
    <w:nsid w:val="00000018"/>
    <w:multiLevelType w:val="multilevel"/>
    <w:tmpl w:val="00000018"/>
    <w:lvl w:ilvl="0" w:tentative="0">
      <w:start w:val="1"/>
      <w:numFmt w:val="decimal"/>
      <w:pStyle w:val="148"/>
      <w:lvlText w:val="%1．"/>
      <w:lvlJc w:val="left"/>
      <w:pPr>
        <w:tabs>
          <w:tab w:val="left" w:pos="1560"/>
        </w:tabs>
        <w:ind w:left="1560" w:hanging="990"/>
      </w:pPr>
      <w:rPr>
        <w:rFonts w:hint="default"/>
      </w:rPr>
    </w:lvl>
    <w:lvl w:ilvl="1" w:tentative="0">
      <w:start w:val="1"/>
      <w:numFmt w:val="lowerLetter"/>
      <w:lvlText w:val="%2)"/>
      <w:lvlJc w:val="left"/>
      <w:pPr>
        <w:tabs>
          <w:tab w:val="left" w:pos="1410"/>
        </w:tabs>
        <w:ind w:left="1410" w:hanging="420"/>
      </w:pPr>
    </w:lvl>
    <w:lvl w:ilvl="2" w:tentative="0">
      <w:start w:val="1"/>
      <w:numFmt w:val="lowerRoman"/>
      <w:lvlText w:val="%3."/>
      <w:lvlJc w:val="right"/>
      <w:pPr>
        <w:tabs>
          <w:tab w:val="left" w:pos="1830"/>
        </w:tabs>
        <w:ind w:left="1830" w:hanging="420"/>
      </w:pPr>
    </w:lvl>
    <w:lvl w:ilvl="3" w:tentative="0">
      <w:start w:val="1"/>
      <w:numFmt w:val="decimal"/>
      <w:lvlText w:val="%4."/>
      <w:lvlJc w:val="left"/>
      <w:pPr>
        <w:tabs>
          <w:tab w:val="left" w:pos="2250"/>
        </w:tabs>
        <w:ind w:left="2250" w:hanging="420"/>
      </w:pPr>
    </w:lvl>
    <w:lvl w:ilvl="4" w:tentative="0">
      <w:start w:val="1"/>
      <w:numFmt w:val="lowerLetter"/>
      <w:lvlText w:val="%5)"/>
      <w:lvlJc w:val="left"/>
      <w:pPr>
        <w:tabs>
          <w:tab w:val="left" w:pos="2670"/>
        </w:tabs>
        <w:ind w:left="2670" w:hanging="420"/>
      </w:pPr>
    </w:lvl>
    <w:lvl w:ilvl="5" w:tentative="0">
      <w:start w:val="1"/>
      <w:numFmt w:val="lowerRoman"/>
      <w:lvlText w:val="%6."/>
      <w:lvlJc w:val="right"/>
      <w:pPr>
        <w:tabs>
          <w:tab w:val="left" w:pos="3090"/>
        </w:tabs>
        <w:ind w:left="3090" w:hanging="420"/>
      </w:pPr>
    </w:lvl>
    <w:lvl w:ilvl="6" w:tentative="0">
      <w:start w:val="1"/>
      <w:numFmt w:val="decimal"/>
      <w:lvlText w:val="%7."/>
      <w:lvlJc w:val="left"/>
      <w:pPr>
        <w:tabs>
          <w:tab w:val="left" w:pos="3510"/>
        </w:tabs>
        <w:ind w:left="3510" w:hanging="420"/>
      </w:pPr>
    </w:lvl>
    <w:lvl w:ilvl="7" w:tentative="0">
      <w:start w:val="1"/>
      <w:numFmt w:val="lowerLetter"/>
      <w:lvlText w:val="%8)"/>
      <w:lvlJc w:val="left"/>
      <w:pPr>
        <w:tabs>
          <w:tab w:val="left" w:pos="3930"/>
        </w:tabs>
        <w:ind w:left="3930" w:hanging="420"/>
      </w:pPr>
    </w:lvl>
    <w:lvl w:ilvl="8" w:tentative="0">
      <w:start w:val="1"/>
      <w:numFmt w:val="lowerRoman"/>
      <w:lvlText w:val="%9."/>
      <w:lvlJc w:val="right"/>
      <w:pPr>
        <w:tabs>
          <w:tab w:val="left" w:pos="4350"/>
        </w:tabs>
        <w:ind w:left="4350" w:hanging="420"/>
      </w:pPr>
    </w:lvl>
  </w:abstractNum>
  <w:abstractNum w:abstractNumId="5">
    <w:nsid w:val="4A61AF00"/>
    <w:multiLevelType w:val="singleLevel"/>
    <w:tmpl w:val="4A61AF00"/>
    <w:lvl w:ilvl="0" w:tentative="0">
      <w:start w:val="4"/>
      <w:numFmt w:val="chineseCounting"/>
      <w:suff w:val="space"/>
      <w:lvlText w:val="第%1章"/>
      <w:lvlJc w:val="left"/>
      <w:rPr>
        <w:rFonts w:hint="eastAsia"/>
      </w:rPr>
    </w:lvl>
  </w:abstractNum>
  <w:num w:numId="1">
    <w:abstractNumId w:val="3"/>
  </w:num>
  <w:num w:numId="2">
    <w:abstractNumId w:val="2"/>
  </w:num>
  <w:num w:numId="3">
    <w:abstractNumId w:val="4"/>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displayBackgroundShape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E3NDhhZTMxN2IwZjg1OGE5ZGE4Yzc5MzJkZTg3MmUifQ=="/>
  </w:docVars>
  <w:rsids>
    <w:rsidRoot w:val="00172A27"/>
    <w:rsid w:val="00000D7B"/>
    <w:rsid w:val="0000182D"/>
    <w:rsid w:val="00001AF0"/>
    <w:rsid w:val="00002CCF"/>
    <w:rsid w:val="00002D57"/>
    <w:rsid w:val="00002DDC"/>
    <w:rsid w:val="00002DF3"/>
    <w:rsid w:val="000031B7"/>
    <w:rsid w:val="00003362"/>
    <w:rsid w:val="00003E2D"/>
    <w:rsid w:val="00003E8C"/>
    <w:rsid w:val="00004EF7"/>
    <w:rsid w:val="000056E4"/>
    <w:rsid w:val="00005A63"/>
    <w:rsid w:val="00005B57"/>
    <w:rsid w:val="00005B9D"/>
    <w:rsid w:val="00005FAD"/>
    <w:rsid w:val="00010063"/>
    <w:rsid w:val="000103E0"/>
    <w:rsid w:val="00011042"/>
    <w:rsid w:val="000119BA"/>
    <w:rsid w:val="00011D27"/>
    <w:rsid w:val="00013021"/>
    <w:rsid w:val="000149D8"/>
    <w:rsid w:val="00014AA0"/>
    <w:rsid w:val="00015463"/>
    <w:rsid w:val="000155A1"/>
    <w:rsid w:val="00015F67"/>
    <w:rsid w:val="000168A6"/>
    <w:rsid w:val="00016F8F"/>
    <w:rsid w:val="00017CBF"/>
    <w:rsid w:val="000200B7"/>
    <w:rsid w:val="000209AF"/>
    <w:rsid w:val="00020E79"/>
    <w:rsid w:val="00021146"/>
    <w:rsid w:val="00021703"/>
    <w:rsid w:val="0002176E"/>
    <w:rsid w:val="00021AA5"/>
    <w:rsid w:val="000224A2"/>
    <w:rsid w:val="000231B2"/>
    <w:rsid w:val="0002344E"/>
    <w:rsid w:val="00026205"/>
    <w:rsid w:val="000264E5"/>
    <w:rsid w:val="00026569"/>
    <w:rsid w:val="00026658"/>
    <w:rsid w:val="000304CB"/>
    <w:rsid w:val="000312EA"/>
    <w:rsid w:val="000320F3"/>
    <w:rsid w:val="000329A7"/>
    <w:rsid w:val="00033190"/>
    <w:rsid w:val="00033374"/>
    <w:rsid w:val="00033627"/>
    <w:rsid w:val="00034296"/>
    <w:rsid w:val="00034E42"/>
    <w:rsid w:val="000351F8"/>
    <w:rsid w:val="0003529C"/>
    <w:rsid w:val="00035A17"/>
    <w:rsid w:val="00035CFA"/>
    <w:rsid w:val="00036255"/>
    <w:rsid w:val="000374B5"/>
    <w:rsid w:val="00037E56"/>
    <w:rsid w:val="00040D21"/>
    <w:rsid w:val="00041A8D"/>
    <w:rsid w:val="00042142"/>
    <w:rsid w:val="000426DF"/>
    <w:rsid w:val="00043183"/>
    <w:rsid w:val="00044460"/>
    <w:rsid w:val="00044E13"/>
    <w:rsid w:val="00045B86"/>
    <w:rsid w:val="00045CFE"/>
    <w:rsid w:val="0004702B"/>
    <w:rsid w:val="000478CA"/>
    <w:rsid w:val="00047D37"/>
    <w:rsid w:val="000507EF"/>
    <w:rsid w:val="00050B93"/>
    <w:rsid w:val="000512B5"/>
    <w:rsid w:val="00051337"/>
    <w:rsid w:val="00051936"/>
    <w:rsid w:val="00051A13"/>
    <w:rsid w:val="00051F92"/>
    <w:rsid w:val="000528C3"/>
    <w:rsid w:val="000528FF"/>
    <w:rsid w:val="000529A8"/>
    <w:rsid w:val="00052A82"/>
    <w:rsid w:val="00052D6A"/>
    <w:rsid w:val="0005362E"/>
    <w:rsid w:val="00053CA5"/>
    <w:rsid w:val="00054057"/>
    <w:rsid w:val="000552FF"/>
    <w:rsid w:val="00055431"/>
    <w:rsid w:val="00056154"/>
    <w:rsid w:val="00056EF2"/>
    <w:rsid w:val="00057A1F"/>
    <w:rsid w:val="00057C1A"/>
    <w:rsid w:val="00057DB4"/>
    <w:rsid w:val="000601F6"/>
    <w:rsid w:val="0006064F"/>
    <w:rsid w:val="00060910"/>
    <w:rsid w:val="00060972"/>
    <w:rsid w:val="00060F58"/>
    <w:rsid w:val="00061005"/>
    <w:rsid w:val="00061F7A"/>
    <w:rsid w:val="000621D6"/>
    <w:rsid w:val="0006227B"/>
    <w:rsid w:val="00062490"/>
    <w:rsid w:val="00062E93"/>
    <w:rsid w:val="00063595"/>
    <w:rsid w:val="00063717"/>
    <w:rsid w:val="0006416B"/>
    <w:rsid w:val="000647ED"/>
    <w:rsid w:val="00064A70"/>
    <w:rsid w:val="00064CEA"/>
    <w:rsid w:val="00064DEA"/>
    <w:rsid w:val="00064F19"/>
    <w:rsid w:val="0006501E"/>
    <w:rsid w:val="000650F5"/>
    <w:rsid w:val="0006698B"/>
    <w:rsid w:val="00070A04"/>
    <w:rsid w:val="00071882"/>
    <w:rsid w:val="00071894"/>
    <w:rsid w:val="00071CD4"/>
    <w:rsid w:val="00071DD3"/>
    <w:rsid w:val="0007208A"/>
    <w:rsid w:val="000729F4"/>
    <w:rsid w:val="00072F45"/>
    <w:rsid w:val="00072F60"/>
    <w:rsid w:val="0007328C"/>
    <w:rsid w:val="000732F7"/>
    <w:rsid w:val="000737DE"/>
    <w:rsid w:val="0007411F"/>
    <w:rsid w:val="00074851"/>
    <w:rsid w:val="00074970"/>
    <w:rsid w:val="00074BAC"/>
    <w:rsid w:val="00075544"/>
    <w:rsid w:val="000758BD"/>
    <w:rsid w:val="0007653D"/>
    <w:rsid w:val="00076CB7"/>
    <w:rsid w:val="00077474"/>
    <w:rsid w:val="00077C78"/>
    <w:rsid w:val="00077F59"/>
    <w:rsid w:val="00080654"/>
    <w:rsid w:val="00080FDF"/>
    <w:rsid w:val="00081022"/>
    <w:rsid w:val="00082A5B"/>
    <w:rsid w:val="00082E1E"/>
    <w:rsid w:val="00083204"/>
    <w:rsid w:val="00083702"/>
    <w:rsid w:val="00083888"/>
    <w:rsid w:val="00084733"/>
    <w:rsid w:val="00084926"/>
    <w:rsid w:val="00084B6F"/>
    <w:rsid w:val="00084F38"/>
    <w:rsid w:val="000850BB"/>
    <w:rsid w:val="00085105"/>
    <w:rsid w:val="00085443"/>
    <w:rsid w:val="000856DA"/>
    <w:rsid w:val="00085DD0"/>
    <w:rsid w:val="0008618E"/>
    <w:rsid w:val="0008680D"/>
    <w:rsid w:val="000876F5"/>
    <w:rsid w:val="00087A02"/>
    <w:rsid w:val="00087EBA"/>
    <w:rsid w:val="0009029E"/>
    <w:rsid w:val="00090A50"/>
    <w:rsid w:val="00091757"/>
    <w:rsid w:val="00091F16"/>
    <w:rsid w:val="0009205C"/>
    <w:rsid w:val="000930DE"/>
    <w:rsid w:val="00093112"/>
    <w:rsid w:val="00093235"/>
    <w:rsid w:val="000938A8"/>
    <w:rsid w:val="000939B6"/>
    <w:rsid w:val="00094065"/>
    <w:rsid w:val="00094817"/>
    <w:rsid w:val="00094D42"/>
    <w:rsid w:val="00095DB8"/>
    <w:rsid w:val="00096459"/>
    <w:rsid w:val="00096CF7"/>
    <w:rsid w:val="00096DBC"/>
    <w:rsid w:val="000975E4"/>
    <w:rsid w:val="00097A09"/>
    <w:rsid w:val="000A0F04"/>
    <w:rsid w:val="000A148E"/>
    <w:rsid w:val="000A14A1"/>
    <w:rsid w:val="000A16D1"/>
    <w:rsid w:val="000A186F"/>
    <w:rsid w:val="000A1879"/>
    <w:rsid w:val="000A18F1"/>
    <w:rsid w:val="000A1D17"/>
    <w:rsid w:val="000A1DC8"/>
    <w:rsid w:val="000A2689"/>
    <w:rsid w:val="000A2C15"/>
    <w:rsid w:val="000A2E60"/>
    <w:rsid w:val="000A4219"/>
    <w:rsid w:val="000A5626"/>
    <w:rsid w:val="000A5F7B"/>
    <w:rsid w:val="000A7F7D"/>
    <w:rsid w:val="000B0E5C"/>
    <w:rsid w:val="000B11F9"/>
    <w:rsid w:val="000B17CB"/>
    <w:rsid w:val="000B1C92"/>
    <w:rsid w:val="000B33A6"/>
    <w:rsid w:val="000B3869"/>
    <w:rsid w:val="000B3A6B"/>
    <w:rsid w:val="000B3F80"/>
    <w:rsid w:val="000B4426"/>
    <w:rsid w:val="000B4704"/>
    <w:rsid w:val="000B4F09"/>
    <w:rsid w:val="000B5BD5"/>
    <w:rsid w:val="000B646D"/>
    <w:rsid w:val="000B6547"/>
    <w:rsid w:val="000B6C4A"/>
    <w:rsid w:val="000B6D47"/>
    <w:rsid w:val="000B6F7F"/>
    <w:rsid w:val="000B7D60"/>
    <w:rsid w:val="000B7FD3"/>
    <w:rsid w:val="000C0664"/>
    <w:rsid w:val="000C0E03"/>
    <w:rsid w:val="000C0E20"/>
    <w:rsid w:val="000C0F7B"/>
    <w:rsid w:val="000C165E"/>
    <w:rsid w:val="000C2E0A"/>
    <w:rsid w:val="000C3898"/>
    <w:rsid w:val="000C3BB8"/>
    <w:rsid w:val="000C3DE8"/>
    <w:rsid w:val="000C405A"/>
    <w:rsid w:val="000C4078"/>
    <w:rsid w:val="000C457E"/>
    <w:rsid w:val="000C4ACE"/>
    <w:rsid w:val="000C7024"/>
    <w:rsid w:val="000C743B"/>
    <w:rsid w:val="000C7638"/>
    <w:rsid w:val="000C7C82"/>
    <w:rsid w:val="000C7CF0"/>
    <w:rsid w:val="000C7E09"/>
    <w:rsid w:val="000D011F"/>
    <w:rsid w:val="000D17EC"/>
    <w:rsid w:val="000D1AA6"/>
    <w:rsid w:val="000D2162"/>
    <w:rsid w:val="000D2B36"/>
    <w:rsid w:val="000D2D2C"/>
    <w:rsid w:val="000D39A4"/>
    <w:rsid w:val="000D46C4"/>
    <w:rsid w:val="000D4C36"/>
    <w:rsid w:val="000D4C98"/>
    <w:rsid w:val="000D4CC9"/>
    <w:rsid w:val="000D4DFA"/>
    <w:rsid w:val="000D58E2"/>
    <w:rsid w:val="000D5C4D"/>
    <w:rsid w:val="000D61D2"/>
    <w:rsid w:val="000D634E"/>
    <w:rsid w:val="000D63D0"/>
    <w:rsid w:val="000D663E"/>
    <w:rsid w:val="000D6C81"/>
    <w:rsid w:val="000D71C3"/>
    <w:rsid w:val="000D71D8"/>
    <w:rsid w:val="000D739B"/>
    <w:rsid w:val="000D7938"/>
    <w:rsid w:val="000D7DA5"/>
    <w:rsid w:val="000E017F"/>
    <w:rsid w:val="000E02E4"/>
    <w:rsid w:val="000E181D"/>
    <w:rsid w:val="000E1916"/>
    <w:rsid w:val="000E1F54"/>
    <w:rsid w:val="000E2265"/>
    <w:rsid w:val="000E2A32"/>
    <w:rsid w:val="000E2B2C"/>
    <w:rsid w:val="000E2BE6"/>
    <w:rsid w:val="000E303C"/>
    <w:rsid w:val="000E3085"/>
    <w:rsid w:val="000E3B31"/>
    <w:rsid w:val="000E3B9E"/>
    <w:rsid w:val="000E4089"/>
    <w:rsid w:val="000E48DB"/>
    <w:rsid w:val="000E4C45"/>
    <w:rsid w:val="000E6193"/>
    <w:rsid w:val="000E7654"/>
    <w:rsid w:val="000E7708"/>
    <w:rsid w:val="000E7E8F"/>
    <w:rsid w:val="000F02F9"/>
    <w:rsid w:val="000F08DC"/>
    <w:rsid w:val="000F0D64"/>
    <w:rsid w:val="000F0E50"/>
    <w:rsid w:val="000F1B22"/>
    <w:rsid w:val="000F23EB"/>
    <w:rsid w:val="000F264B"/>
    <w:rsid w:val="000F2766"/>
    <w:rsid w:val="000F2C16"/>
    <w:rsid w:val="000F304C"/>
    <w:rsid w:val="000F3380"/>
    <w:rsid w:val="000F3A25"/>
    <w:rsid w:val="000F4493"/>
    <w:rsid w:val="000F4DCD"/>
    <w:rsid w:val="000F5133"/>
    <w:rsid w:val="000F606A"/>
    <w:rsid w:val="000F61E8"/>
    <w:rsid w:val="000F6554"/>
    <w:rsid w:val="000F6EF0"/>
    <w:rsid w:val="000F7C5C"/>
    <w:rsid w:val="001005B5"/>
    <w:rsid w:val="00101113"/>
    <w:rsid w:val="00102700"/>
    <w:rsid w:val="00103B85"/>
    <w:rsid w:val="0010450A"/>
    <w:rsid w:val="001057B7"/>
    <w:rsid w:val="0010600E"/>
    <w:rsid w:val="00106D0F"/>
    <w:rsid w:val="00106DE3"/>
    <w:rsid w:val="00106F36"/>
    <w:rsid w:val="0010724D"/>
    <w:rsid w:val="00107682"/>
    <w:rsid w:val="00107857"/>
    <w:rsid w:val="001108D8"/>
    <w:rsid w:val="00110E57"/>
    <w:rsid w:val="001114E7"/>
    <w:rsid w:val="00111514"/>
    <w:rsid w:val="001118FD"/>
    <w:rsid w:val="00111EF3"/>
    <w:rsid w:val="00111F9B"/>
    <w:rsid w:val="0011292D"/>
    <w:rsid w:val="00112AD4"/>
    <w:rsid w:val="00112E38"/>
    <w:rsid w:val="0011358D"/>
    <w:rsid w:val="00113719"/>
    <w:rsid w:val="001138A5"/>
    <w:rsid w:val="00113BFE"/>
    <w:rsid w:val="001140C9"/>
    <w:rsid w:val="0011446B"/>
    <w:rsid w:val="00114E60"/>
    <w:rsid w:val="00115153"/>
    <w:rsid w:val="0011708E"/>
    <w:rsid w:val="001173B3"/>
    <w:rsid w:val="00117E40"/>
    <w:rsid w:val="00117E87"/>
    <w:rsid w:val="001200AE"/>
    <w:rsid w:val="00120386"/>
    <w:rsid w:val="00121005"/>
    <w:rsid w:val="001211BF"/>
    <w:rsid w:val="001216A0"/>
    <w:rsid w:val="001221DB"/>
    <w:rsid w:val="00123D5E"/>
    <w:rsid w:val="00124324"/>
    <w:rsid w:val="001244DD"/>
    <w:rsid w:val="001249D9"/>
    <w:rsid w:val="00124BEC"/>
    <w:rsid w:val="00124DC2"/>
    <w:rsid w:val="00124E29"/>
    <w:rsid w:val="0012681D"/>
    <w:rsid w:val="001268D2"/>
    <w:rsid w:val="00126F22"/>
    <w:rsid w:val="00127CBC"/>
    <w:rsid w:val="00127FD7"/>
    <w:rsid w:val="001300CC"/>
    <w:rsid w:val="001305FE"/>
    <w:rsid w:val="0013175D"/>
    <w:rsid w:val="001318EF"/>
    <w:rsid w:val="0013198D"/>
    <w:rsid w:val="00132473"/>
    <w:rsid w:val="00132ACE"/>
    <w:rsid w:val="00132CB7"/>
    <w:rsid w:val="00132D26"/>
    <w:rsid w:val="00134486"/>
    <w:rsid w:val="00134547"/>
    <w:rsid w:val="001349C9"/>
    <w:rsid w:val="001350DD"/>
    <w:rsid w:val="00135E87"/>
    <w:rsid w:val="00136888"/>
    <w:rsid w:val="00136A2E"/>
    <w:rsid w:val="00137029"/>
    <w:rsid w:val="00137A96"/>
    <w:rsid w:val="00137CB3"/>
    <w:rsid w:val="00137EE8"/>
    <w:rsid w:val="001408B0"/>
    <w:rsid w:val="00140B0B"/>
    <w:rsid w:val="00140B4A"/>
    <w:rsid w:val="00140BDF"/>
    <w:rsid w:val="00140F2E"/>
    <w:rsid w:val="001410EB"/>
    <w:rsid w:val="00142073"/>
    <w:rsid w:val="0014255B"/>
    <w:rsid w:val="00142A20"/>
    <w:rsid w:val="001433F3"/>
    <w:rsid w:val="0014375C"/>
    <w:rsid w:val="001437D8"/>
    <w:rsid w:val="00143FD7"/>
    <w:rsid w:val="0014471D"/>
    <w:rsid w:val="00144894"/>
    <w:rsid w:val="00145409"/>
    <w:rsid w:val="001457FE"/>
    <w:rsid w:val="00147296"/>
    <w:rsid w:val="0015104B"/>
    <w:rsid w:val="001518AF"/>
    <w:rsid w:val="0015210A"/>
    <w:rsid w:val="00152716"/>
    <w:rsid w:val="00152899"/>
    <w:rsid w:val="001530F3"/>
    <w:rsid w:val="00153395"/>
    <w:rsid w:val="00153A6E"/>
    <w:rsid w:val="00154021"/>
    <w:rsid w:val="00154177"/>
    <w:rsid w:val="00154A56"/>
    <w:rsid w:val="00154D63"/>
    <w:rsid w:val="00154DA6"/>
    <w:rsid w:val="00157566"/>
    <w:rsid w:val="0015790C"/>
    <w:rsid w:val="00157D1E"/>
    <w:rsid w:val="00160100"/>
    <w:rsid w:val="00160707"/>
    <w:rsid w:val="001609BA"/>
    <w:rsid w:val="00160A3C"/>
    <w:rsid w:val="00160D71"/>
    <w:rsid w:val="00161C1D"/>
    <w:rsid w:val="00162152"/>
    <w:rsid w:val="001629F5"/>
    <w:rsid w:val="00163C0D"/>
    <w:rsid w:val="001645A2"/>
    <w:rsid w:val="001645E5"/>
    <w:rsid w:val="0016486D"/>
    <w:rsid w:val="00164ABB"/>
    <w:rsid w:val="00164D56"/>
    <w:rsid w:val="00164F56"/>
    <w:rsid w:val="00165F01"/>
    <w:rsid w:val="00165F8F"/>
    <w:rsid w:val="00167491"/>
    <w:rsid w:val="00167577"/>
    <w:rsid w:val="00170537"/>
    <w:rsid w:val="001711D7"/>
    <w:rsid w:val="001717AC"/>
    <w:rsid w:val="0017240A"/>
    <w:rsid w:val="00172475"/>
    <w:rsid w:val="00172575"/>
    <w:rsid w:val="001728F3"/>
    <w:rsid w:val="00173053"/>
    <w:rsid w:val="001738B7"/>
    <w:rsid w:val="00174506"/>
    <w:rsid w:val="001745BB"/>
    <w:rsid w:val="00175009"/>
    <w:rsid w:val="00175A5F"/>
    <w:rsid w:val="0017627F"/>
    <w:rsid w:val="0017647F"/>
    <w:rsid w:val="0017658D"/>
    <w:rsid w:val="0017688A"/>
    <w:rsid w:val="00176A14"/>
    <w:rsid w:val="00177F89"/>
    <w:rsid w:val="001807A3"/>
    <w:rsid w:val="00180943"/>
    <w:rsid w:val="00180968"/>
    <w:rsid w:val="00180D08"/>
    <w:rsid w:val="00180D73"/>
    <w:rsid w:val="00180E9C"/>
    <w:rsid w:val="00180EBF"/>
    <w:rsid w:val="001812E4"/>
    <w:rsid w:val="00181507"/>
    <w:rsid w:val="00182191"/>
    <w:rsid w:val="00182329"/>
    <w:rsid w:val="001824F9"/>
    <w:rsid w:val="00182812"/>
    <w:rsid w:val="00182BE3"/>
    <w:rsid w:val="00182FA0"/>
    <w:rsid w:val="00183B8B"/>
    <w:rsid w:val="00183C0C"/>
    <w:rsid w:val="00185258"/>
    <w:rsid w:val="0018559F"/>
    <w:rsid w:val="00185EAF"/>
    <w:rsid w:val="00186748"/>
    <w:rsid w:val="00186C4E"/>
    <w:rsid w:val="00186D30"/>
    <w:rsid w:val="001874E4"/>
    <w:rsid w:val="001918EA"/>
    <w:rsid w:val="0019207F"/>
    <w:rsid w:val="00192207"/>
    <w:rsid w:val="001924DF"/>
    <w:rsid w:val="00192622"/>
    <w:rsid w:val="00193DF2"/>
    <w:rsid w:val="001946ED"/>
    <w:rsid w:val="0019587F"/>
    <w:rsid w:val="00195E1A"/>
    <w:rsid w:val="0019614A"/>
    <w:rsid w:val="001964CD"/>
    <w:rsid w:val="001965C4"/>
    <w:rsid w:val="00196C8E"/>
    <w:rsid w:val="001974A2"/>
    <w:rsid w:val="001977C3"/>
    <w:rsid w:val="001978C1"/>
    <w:rsid w:val="00197F55"/>
    <w:rsid w:val="001A0959"/>
    <w:rsid w:val="001A1237"/>
    <w:rsid w:val="001A1500"/>
    <w:rsid w:val="001A15A4"/>
    <w:rsid w:val="001A191F"/>
    <w:rsid w:val="001A22C0"/>
    <w:rsid w:val="001A2421"/>
    <w:rsid w:val="001A2EC5"/>
    <w:rsid w:val="001A2F8A"/>
    <w:rsid w:val="001A3B0A"/>
    <w:rsid w:val="001A3FDD"/>
    <w:rsid w:val="001A4C6B"/>
    <w:rsid w:val="001A502C"/>
    <w:rsid w:val="001A5261"/>
    <w:rsid w:val="001A56AF"/>
    <w:rsid w:val="001A570E"/>
    <w:rsid w:val="001A611C"/>
    <w:rsid w:val="001A615E"/>
    <w:rsid w:val="001A6E49"/>
    <w:rsid w:val="001A7EC2"/>
    <w:rsid w:val="001A7ED3"/>
    <w:rsid w:val="001B0171"/>
    <w:rsid w:val="001B0AC8"/>
    <w:rsid w:val="001B1530"/>
    <w:rsid w:val="001B1917"/>
    <w:rsid w:val="001B1C61"/>
    <w:rsid w:val="001B20E0"/>
    <w:rsid w:val="001B2437"/>
    <w:rsid w:val="001B2727"/>
    <w:rsid w:val="001B2B52"/>
    <w:rsid w:val="001B3DC5"/>
    <w:rsid w:val="001B4E4C"/>
    <w:rsid w:val="001B5E28"/>
    <w:rsid w:val="001B6733"/>
    <w:rsid w:val="001B6AD8"/>
    <w:rsid w:val="001B6DA1"/>
    <w:rsid w:val="001B7463"/>
    <w:rsid w:val="001C07F3"/>
    <w:rsid w:val="001C08F0"/>
    <w:rsid w:val="001C115A"/>
    <w:rsid w:val="001C1B7F"/>
    <w:rsid w:val="001C1CD0"/>
    <w:rsid w:val="001C26DE"/>
    <w:rsid w:val="001C2BBA"/>
    <w:rsid w:val="001C4169"/>
    <w:rsid w:val="001C4DA5"/>
    <w:rsid w:val="001C5CCF"/>
    <w:rsid w:val="001C731E"/>
    <w:rsid w:val="001C7616"/>
    <w:rsid w:val="001C7867"/>
    <w:rsid w:val="001C7EC2"/>
    <w:rsid w:val="001D15A2"/>
    <w:rsid w:val="001D1756"/>
    <w:rsid w:val="001D1797"/>
    <w:rsid w:val="001D1A92"/>
    <w:rsid w:val="001D1BD5"/>
    <w:rsid w:val="001D1E5A"/>
    <w:rsid w:val="001D1F37"/>
    <w:rsid w:val="001D2F29"/>
    <w:rsid w:val="001D3882"/>
    <w:rsid w:val="001D3A1A"/>
    <w:rsid w:val="001D3E29"/>
    <w:rsid w:val="001D4058"/>
    <w:rsid w:val="001D5286"/>
    <w:rsid w:val="001D572A"/>
    <w:rsid w:val="001D62CA"/>
    <w:rsid w:val="001D6E6A"/>
    <w:rsid w:val="001D7063"/>
    <w:rsid w:val="001D71DE"/>
    <w:rsid w:val="001D772B"/>
    <w:rsid w:val="001D7EE6"/>
    <w:rsid w:val="001E041A"/>
    <w:rsid w:val="001E0E77"/>
    <w:rsid w:val="001E0F7F"/>
    <w:rsid w:val="001E1073"/>
    <w:rsid w:val="001E12F2"/>
    <w:rsid w:val="001E2340"/>
    <w:rsid w:val="001E2A3F"/>
    <w:rsid w:val="001E3EA6"/>
    <w:rsid w:val="001E40A3"/>
    <w:rsid w:val="001E471B"/>
    <w:rsid w:val="001E4F27"/>
    <w:rsid w:val="001E582C"/>
    <w:rsid w:val="001E5AA3"/>
    <w:rsid w:val="001E61F6"/>
    <w:rsid w:val="001E680D"/>
    <w:rsid w:val="001E6B5D"/>
    <w:rsid w:val="001E6C90"/>
    <w:rsid w:val="001E6E41"/>
    <w:rsid w:val="001E6EB8"/>
    <w:rsid w:val="001E7510"/>
    <w:rsid w:val="001E7DCA"/>
    <w:rsid w:val="001F005B"/>
    <w:rsid w:val="001F015C"/>
    <w:rsid w:val="001F0BA2"/>
    <w:rsid w:val="001F20D1"/>
    <w:rsid w:val="001F23CB"/>
    <w:rsid w:val="001F27A4"/>
    <w:rsid w:val="001F4A3D"/>
    <w:rsid w:val="001F4A43"/>
    <w:rsid w:val="001F525E"/>
    <w:rsid w:val="001F5D9B"/>
    <w:rsid w:val="001F6903"/>
    <w:rsid w:val="001F6BFA"/>
    <w:rsid w:val="001F7081"/>
    <w:rsid w:val="001F7795"/>
    <w:rsid w:val="002009C3"/>
    <w:rsid w:val="00201DCA"/>
    <w:rsid w:val="00201FD0"/>
    <w:rsid w:val="00202592"/>
    <w:rsid w:val="00202B7E"/>
    <w:rsid w:val="00202D91"/>
    <w:rsid w:val="002034CE"/>
    <w:rsid w:val="00203EE2"/>
    <w:rsid w:val="002044A4"/>
    <w:rsid w:val="00204859"/>
    <w:rsid w:val="00204C3C"/>
    <w:rsid w:val="00205008"/>
    <w:rsid w:val="00205329"/>
    <w:rsid w:val="00205FBF"/>
    <w:rsid w:val="002066A6"/>
    <w:rsid w:val="002066ED"/>
    <w:rsid w:val="002068DA"/>
    <w:rsid w:val="00206CD5"/>
    <w:rsid w:val="00207CD0"/>
    <w:rsid w:val="00207DE7"/>
    <w:rsid w:val="0021005B"/>
    <w:rsid w:val="00210E4F"/>
    <w:rsid w:val="00211068"/>
    <w:rsid w:val="00213537"/>
    <w:rsid w:val="00213705"/>
    <w:rsid w:val="00213E79"/>
    <w:rsid w:val="00214704"/>
    <w:rsid w:val="00214C72"/>
    <w:rsid w:val="0021528D"/>
    <w:rsid w:val="00215863"/>
    <w:rsid w:val="0021660E"/>
    <w:rsid w:val="00217340"/>
    <w:rsid w:val="002173E1"/>
    <w:rsid w:val="0021764C"/>
    <w:rsid w:val="0021770E"/>
    <w:rsid w:val="00220DEE"/>
    <w:rsid w:val="00221A80"/>
    <w:rsid w:val="00221CC0"/>
    <w:rsid w:val="0022215B"/>
    <w:rsid w:val="00222729"/>
    <w:rsid w:val="002227F6"/>
    <w:rsid w:val="0022281D"/>
    <w:rsid w:val="00222E03"/>
    <w:rsid w:val="00223096"/>
    <w:rsid w:val="00224348"/>
    <w:rsid w:val="00224380"/>
    <w:rsid w:val="00224A12"/>
    <w:rsid w:val="00224A60"/>
    <w:rsid w:val="00224EB0"/>
    <w:rsid w:val="00224F41"/>
    <w:rsid w:val="0022506C"/>
    <w:rsid w:val="00225289"/>
    <w:rsid w:val="00225680"/>
    <w:rsid w:val="00225DF3"/>
    <w:rsid w:val="00226E2E"/>
    <w:rsid w:val="00227444"/>
    <w:rsid w:val="002274BE"/>
    <w:rsid w:val="00230DA2"/>
    <w:rsid w:val="00231145"/>
    <w:rsid w:val="0023161F"/>
    <w:rsid w:val="002321F5"/>
    <w:rsid w:val="00233CF7"/>
    <w:rsid w:val="00233EED"/>
    <w:rsid w:val="00233F74"/>
    <w:rsid w:val="002349B5"/>
    <w:rsid w:val="00234A04"/>
    <w:rsid w:val="00234A36"/>
    <w:rsid w:val="00235537"/>
    <w:rsid w:val="002361DD"/>
    <w:rsid w:val="002370CC"/>
    <w:rsid w:val="002411C9"/>
    <w:rsid w:val="002413A8"/>
    <w:rsid w:val="00241402"/>
    <w:rsid w:val="002416B1"/>
    <w:rsid w:val="002416F4"/>
    <w:rsid w:val="00242211"/>
    <w:rsid w:val="00242647"/>
    <w:rsid w:val="00242A60"/>
    <w:rsid w:val="00242AB2"/>
    <w:rsid w:val="00242CC5"/>
    <w:rsid w:val="00242E77"/>
    <w:rsid w:val="00243093"/>
    <w:rsid w:val="0024310B"/>
    <w:rsid w:val="00243675"/>
    <w:rsid w:val="00243DED"/>
    <w:rsid w:val="002442EE"/>
    <w:rsid w:val="0024444D"/>
    <w:rsid w:val="002447C8"/>
    <w:rsid w:val="00244AAD"/>
    <w:rsid w:val="002450B8"/>
    <w:rsid w:val="0024533B"/>
    <w:rsid w:val="00246DBC"/>
    <w:rsid w:val="00246EE0"/>
    <w:rsid w:val="00246FCF"/>
    <w:rsid w:val="00247256"/>
    <w:rsid w:val="0024735F"/>
    <w:rsid w:val="00247C35"/>
    <w:rsid w:val="00247C39"/>
    <w:rsid w:val="00247F4B"/>
    <w:rsid w:val="00250336"/>
    <w:rsid w:val="00250822"/>
    <w:rsid w:val="00250F7A"/>
    <w:rsid w:val="00252189"/>
    <w:rsid w:val="0025240B"/>
    <w:rsid w:val="00253C75"/>
    <w:rsid w:val="00254217"/>
    <w:rsid w:val="002545AF"/>
    <w:rsid w:val="00255ADB"/>
    <w:rsid w:val="00255E20"/>
    <w:rsid w:val="00255E85"/>
    <w:rsid w:val="00255ED9"/>
    <w:rsid w:val="00255FEE"/>
    <w:rsid w:val="002560D9"/>
    <w:rsid w:val="00256EA0"/>
    <w:rsid w:val="00256FDE"/>
    <w:rsid w:val="002578F4"/>
    <w:rsid w:val="00257ED5"/>
    <w:rsid w:val="0026001C"/>
    <w:rsid w:val="00260393"/>
    <w:rsid w:val="002634BF"/>
    <w:rsid w:val="002650F4"/>
    <w:rsid w:val="00265B3F"/>
    <w:rsid w:val="002669E4"/>
    <w:rsid w:val="00267685"/>
    <w:rsid w:val="00270C60"/>
    <w:rsid w:val="002712DD"/>
    <w:rsid w:val="0027159C"/>
    <w:rsid w:val="0027290B"/>
    <w:rsid w:val="00272ADD"/>
    <w:rsid w:val="00272B49"/>
    <w:rsid w:val="00272BB1"/>
    <w:rsid w:val="00272FE3"/>
    <w:rsid w:val="00273862"/>
    <w:rsid w:val="002739E3"/>
    <w:rsid w:val="00274205"/>
    <w:rsid w:val="00275615"/>
    <w:rsid w:val="00275983"/>
    <w:rsid w:val="00275D05"/>
    <w:rsid w:val="002772C2"/>
    <w:rsid w:val="00277B47"/>
    <w:rsid w:val="00277D94"/>
    <w:rsid w:val="00280158"/>
    <w:rsid w:val="00280A9D"/>
    <w:rsid w:val="002819F5"/>
    <w:rsid w:val="00282C51"/>
    <w:rsid w:val="0028439F"/>
    <w:rsid w:val="00285249"/>
    <w:rsid w:val="0028539A"/>
    <w:rsid w:val="0028577A"/>
    <w:rsid w:val="00286555"/>
    <w:rsid w:val="002866BA"/>
    <w:rsid w:val="00286DF1"/>
    <w:rsid w:val="00287ED0"/>
    <w:rsid w:val="002905F2"/>
    <w:rsid w:val="002911BB"/>
    <w:rsid w:val="002917E4"/>
    <w:rsid w:val="00291957"/>
    <w:rsid w:val="00292107"/>
    <w:rsid w:val="00292553"/>
    <w:rsid w:val="002930D1"/>
    <w:rsid w:val="0029364A"/>
    <w:rsid w:val="00293D18"/>
    <w:rsid w:val="00293DDA"/>
    <w:rsid w:val="002943A5"/>
    <w:rsid w:val="00294CA8"/>
    <w:rsid w:val="002950E3"/>
    <w:rsid w:val="00295157"/>
    <w:rsid w:val="0029554C"/>
    <w:rsid w:val="002960CF"/>
    <w:rsid w:val="002963B2"/>
    <w:rsid w:val="00296678"/>
    <w:rsid w:val="002967A8"/>
    <w:rsid w:val="00297272"/>
    <w:rsid w:val="00297B07"/>
    <w:rsid w:val="00297F23"/>
    <w:rsid w:val="002A0E24"/>
    <w:rsid w:val="002A1466"/>
    <w:rsid w:val="002A16E4"/>
    <w:rsid w:val="002A1A27"/>
    <w:rsid w:val="002A2406"/>
    <w:rsid w:val="002A26C7"/>
    <w:rsid w:val="002A3B0F"/>
    <w:rsid w:val="002A3EAD"/>
    <w:rsid w:val="002A4AB9"/>
    <w:rsid w:val="002A4EB2"/>
    <w:rsid w:val="002A5052"/>
    <w:rsid w:val="002A69A9"/>
    <w:rsid w:val="002A6B68"/>
    <w:rsid w:val="002A7720"/>
    <w:rsid w:val="002A7CBA"/>
    <w:rsid w:val="002B086F"/>
    <w:rsid w:val="002B0C81"/>
    <w:rsid w:val="002B11CF"/>
    <w:rsid w:val="002B1363"/>
    <w:rsid w:val="002B189D"/>
    <w:rsid w:val="002B28F3"/>
    <w:rsid w:val="002B32BD"/>
    <w:rsid w:val="002B395E"/>
    <w:rsid w:val="002B45F4"/>
    <w:rsid w:val="002B4EFA"/>
    <w:rsid w:val="002B5049"/>
    <w:rsid w:val="002B5F0E"/>
    <w:rsid w:val="002B683E"/>
    <w:rsid w:val="002B6F56"/>
    <w:rsid w:val="002B7152"/>
    <w:rsid w:val="002B76FD"/>
    <w:rsid w:val="002C0007"/>
    <w:rsid w:val="002C00C5"/>
    <w:rsid w:val="002C0AC4"/>
    <w:rsid w:val="002C0B15"/>
    <w:rsid w:val="002C11AE"/>
    <w:rsid w:val="002C1A73"/>
    <w:rsid w:val="002C1CA7"/>
    <w:rsid w:val="002C22C5"/>
    <w:rsid w:val="002C2CFF"/>
    <w:rsid w:val="002C328E"/>
    <w:rsid w:val="002C3396"/>
    <w:rsid w:val="002C3C96"/>
    <w:rsid w:val="002C47A5"/>
    <w:rsid w:val="002C4860"/>
    <w:rsid w:val="002C4FC6"/>
    <w:rsid w:val="002C5CC0"/>
    <w:rsid w:val="002C68D4"/>
    <w:rsid w:val="002C7406"/>
    <w:rsid w:val="002C74CF"/>
    <w:rsid w:val="002C7675"/>
    <w:rsid w:val="002C7748"/>
    <w:rsid w:val="002C7EBD"/>
    <w:rsid w:val="002D0ADB"/>
    <w:rsid w:val="002D1E2F"/>
    <w:rsid w:val="002D209F"/>
    <w:rsid w:val="002D22FD"/>
    <w:rsid w:val="002D2614"/>
    <w:rsid w:val="002D27C8"/>
    <w:rsid w:val="002D3131"/>
    <w:rsid w:val="002D4042"/>
    <w:rsid w:val="002D45CE"/>
    <w:rsid w:val="002D56E7"/>
    <w:rsid w:val="002D5D19"/>
    <w:rsid w:val="002D5D6C"/>
    <w:rsid w:val="002D5FCE"/>
    <w:rsid w:val="002D63D6"/>
    <w:rsid w:val="002D6970"/>
    <w:rsid w:val="002D6A38"/>
    <w:rsid w:val="002E0955"/>
    <w:rsid w:val="002E0B02"/>
    <w:rsid w:val="002E2807"/>
    <w:rsid w:val="002E31F8"/>
    <w:rsid w:val="002E3B05"/>
    <w:rsid w:val="002E43B6"/>
    <w:rsid w:val="002E4CB6"/>
    <w:rsid w:val="002E5A78"/>
    <w:rsid w:val="002E5C4E"/>
    <w:rsid w:val="002E63A3"/>
    <w:rsid w:val="002E67CD"/>
    <w:rsid w:val="002E6B74"/>
    <w:rsid w:val="002E6D5A"/>
    <w:rsid w:val="002E6E97"/>
    <w:rsid w:val="002F1304"/>
    <w:rsid w:val="002F1513"/>
    <w:rsid w:val="002F227B"/>
    <w:rsid w:val="002F26B9"/>
    <w:rsid w:val="002F279B"/>
    <w:rsid w:val="002F2B25"/>
    <w:rsid w:val="002F2BFC"/>
    <w:rsid w:val="002F2C4F"/>
    <w:rsid w:val="002F2CE8"/>
    <w:rsid w:val="002F30A1"/>
    <w:rsid w:val="002F4D1D"/>
    <w:rsid w:val="002F5732"/>
    <w:rsid w:val="002F5825"/>
    <w:rsid w:val="002F5924"/>
    <w:rsid w:val="002F5EFD"/>
    <w:rsid w:val="002F6128"/>
    <w:rsid w:val="002F6232"/>
    <w:rsid w:val="002F6785"/>
    <w:rsid w:val="002F6D1A"/>
    <w:rsid w:val="00300434"/>
    <w:rsid w:val="003013B0"/>
    <w:rsid w:val="00301674"/>
    <w:rsid w:val="003016A0"/>
    <w:rsid w:val="003021E2"/>
    <w:rsid w:val="0030239E"/>
    <w:rsid w:val="00303504"/>
    <w:rsid w:val="003035E0"/>
    <w:rsid w:val="003035E4"/>
    <w:rsid w:val="00303915"/>
    <w:rsid w:val="00305257"/>
    <w:rsid w:val="003058D8"/>
    <w:rsid w:val="00305ED9"/>
    <w:rsid w:val="00306527"/>
    <w:rsid w:val="00306DDE"/>
    <w:rsid w:val="00307BDF"/>
    <w:rsid w:val="0031016A"/>
    <w:rsid w:val="003105A1"/>
    <w:rsid w:val="0031093C"/>
    <w:rsid w:val="00311AC4"/>
    <w:rsid w:val="00311B37"/>
    <w:rsid w:val="0031257C"/>
    <w:rsid w:val="00312F8C"/>
    <w:rsid w:val="0031356C"/>
    <w:rsid w:val="0031357E"/>
    <w:rsid w:val="0031498D"/>
    <w:rsid w:val="003149B0"/>
    <w:rsid w:val="00314E14"/>
    <w:rsid w:val="00315219"/>
    <w:rsid w:val="00315407"/>
    <w:rsid w:val="003154C7"/>
    <w:rsid w:val="0031658B"/>
    <w:rsid w:val="00317393"/>
    <w:rsid w:val="00320110"/>
    <w:rsid w:val="00320616"/>
    <w:rsid w:val="00320FF4"/>
    <w:rsid w:val="003213D3"/>
    <w:rsid w:val="00321BA0"/>
    <w:rsid w:val="00321D8A"/>
    <w:rsid w:val="00322266"/>
    <w:rsid w:val="00322481"/>
    <w:rsid w:val="0032251B"/>
    <w:rsid w:val="00322837"/>
    <w:rsid w:val="003233E2"/>
    <w:rsid w:val="00323526"/>
    <w:rsid w:val="0032363A"/>
    <w:rsid w:val="003238EA"/>
    <w:rsid w:val="003239F0"/>
    <w:rsid w:val="00323E7D"/>
    <w:rsid w:val="003244A6"/>
    <w:rsid w:val="0032495B"/>
    <w:rsid w:val="00325DD5"/>
    <w:rsid w:val="00325E64"/>
    <w:rsid w:val="0032601D"/>
    <w:rsid w:val="0032653D"/>
    <w:rsid w:val="00326CFC"/>
    <w:rsid w:val="0032723E"/>
    <w:rsid w:val="003275E5"/>
    <w:rsid w:val="0032765C"/>
    <w:rsid w:val="00327932"/>
    <w:rsid w:val="00330242"/>
    <w:rsid w:val="00330A25"/>
    <w:rsid w:val="00330D33"/>
    <w:rsid w:val="00330F4A"/>
    <w:rsid w:val="003311B0"/>
    <w:rsid w:val="003320F5"/>
    <w:rsid w:val="0033247F"/>
    <w:rsid w:val="00333147"/>
    <w:rsid w:val="003337DE"/>
    <w:rsid w:val="00334E2F"/>
    <w:rsid w:val="0033536E"/>
    <w:rsid w:val="00335F95"/>
    <w:rsid w:val="0033671B"/>
    <w:rsid w:val="00337570"/>
    <w:rsid w:val="00337844"/>
    <w:rsid w:val="00340143"/>
    <w:rsid w:val="00340859"/>
    <w:rsid w:val="00340D68"/>
    <w:rsid w:val="00340E6A"/>
    <w:rsid w:val="00341805"/>
    <w:rsid w:val="00341E4A"/>
    <w:rsid w:val="00342180"/>
    <w:rsid w:val="003425D6"/>
    <w:rsid w:val="0034279C"/>
    <w:rsid w:val="003427E9"/>
    <w:rsid w:val="00342F47"/>
    <w:rsid w:val="00343A09"/>
    <w:rsid w:val="00343F48"/>
    <w:rsid w:val="00344515"/>
    <w:rsid w:val="00344BC9"/>
    <w:rsid w:val="0034605A"/>
    <w:rsid w:val="003463A5"/>
    <w:rsid w:val="00346AF9"/>
    <w:rsid w:val="00346EE3"/>
    <w:rsid w:val="00346F30"/>
    <w:rsid w:val="00347388"/>
    <w:rsid w:val="0034758B"/>
    <w:rsid w:val="00347727"/>
    <w:rsid w:val="00350142"/>
    <w:rsid w:val="00350860"/>
    <w:rsid w:val="00351729"/>
    <w:rsid w:val="00351A01"/>
    <w:rsid w:val="00351C8B"/>
    <w:rsid w:val="00352DA5"/>
    <w:rsid w:val="00353940"/>
    <w:rsid w:val="0035434A"/>
    <w:rsid w:val="00354E06"/>
    <w:rsid w:val="0035511E"/>
    <w:rsid w:val="0035539B"/>
    <w:rsid w:val="003569B8"/>
    <w:rsid w:val="00356CB3"/>
    <w:rsid w:val="003577E5"/>
    <w:rsid w:val="00357C4F"/>
    <w:rsid w:val="00357E8E"/>
    <w:rsid w:val="00360741"/>
    <w:rsid w:val="003625E3"/>
    <w:rsid w:val="003626C3"/>
    <w:rsid w:val="00362844"/>
    <w:rsid w:val="00362AD4"/>
    <w:rsid w:val="00363CBB"/>
    <w:rsid w:val="003650C8"/>
    <w:rsid w:val="003657E1"/>
    <w:rsid w:val="00365848"/>
    <w:rsid w:val="00365D26"/>
    <w:rsid w:val="003663B1"/>
    <w:rsid w:val="00366A5C"/>
    <w:rsid w:val="00366FD8"/>
    <w:rsid w:val="00367473"/>
    <w:rsid w:val="003675FD"/>
    <w:rsid w:val="0037029F"/>
    <w:rsid w:val="003709EB"/>
    <w:rsid w:val="003710C2"/>
    <w:rsid w:val="0037179A"/>
    <w:rsid w:val="00372015"/>
    <w:rsid w:val="00372075"/>
    <w:rsid w:val="003736C3"/>
    <w:rsid w:val="00374C68"/>
    <w:rsid w:val="00375C64"/>
    <w:rsid w:val="00375DDF"/>
    <w:rsid w:val="0037601D"/>
    <w:rsid w:val="0037683C"/>
    <w:rsid w:val="00377465"/>
    <w:rsid w:val="003801E5"/>
    <w:rsid w:val="00380812"/>
    <w:rsid w:val="00381473"/>
    <w:rsid w:val="0038199E"/>
    <w:rsid w:val="003819ED"/>
    <w:rsid w:val="003823C7"/>
    <w:rsid w:val="0038252E"/>
    <w:rsid w:val="00382690"/>
    <w:rsid w:val="00382D46"/>
    <w:rsid w:val="00384028"/>
    <w:rsid w:val="0038402B"/>
    <w:rsid w:val="0038425D"/>
    <w:rsid w:val="0038439A"/>
    <w:rsid w:val="00384E2A"/>
    <w:rsid w:val="00385878"/>
    <w:rsid w:val="00385C3F"/>
    <w:rsid w:val="003869C0"/>
    <w:rsid w:val="00387355"/>
    <w:rsid w:val="003900F1"/>
    <w:rsid w:val="00390899"/>
    <w:rsid w:val="003914BA"/>
    <w:rsid w:val="00391584"/>
    <w:rsid w:val="003918C7"/>
    <w:rsid w:val="00392F3C"/>
    <w:rsid w:val="003934D5"/>
    <w:rsid w:val="00394129"/>
    <w:rsid w:val="00394302"/>
    <w:rsid w:val="00394308"/>
    <w:rsid w:val="00394A39"/>
    <w:rsid w:val="00394A67"/>
    <w:rsid w:val="00394BBD"/>
    <w:rsid w:val="00394D5E"/>
    <w:rsid w:val="00396803"/>
    <w:rsid w:val="003973C5"/>
    <w:rsid w:val="00397D17"/>
    <w:rsid w:val="00397E62"/>
    <w:rsid w:val="00397FE8"/>
    <w:rsid w:val="003A069F"/>
    <w:rsid w:val="003A07CD"/>
    <w:rsid w:val="003A216B"/>
    <w:rsid w:val="003A256D"/>
    <w:rsid w:val="003A2D24"/>
    <w:rsid w:val="003A360E"/>
    <w:rsid w:val="003A3BB1"/>
    <w:rsid w:val="003A481E"/>
    <w:rsid w:val="003A4D87"/>
    <w:rsid w:val="003A5128"/>
    <w:rsid w:val="003A522D"/>
    <w:rsid w:val="003A59A8"/>
    <w:rsid w:val="003A5F75"/>
    <w:rsid w:val="003A61B6"/>
    <w:rsid w:val="003A6F1E"/>
    <w:rsid w:val="003A6FDE"/>
    <w:rsid w:val="003A716F"/>
    <w:rsid w:val="003A71F7"/>
    <w:rsid w:val="003A7454"/>
    <w:rsid w:val="003A770D"/>
    <w:rsid w:val="003A7AAE"/>
    <w:rsid w:val="003B0615"/>
    <w:rsid w:val="003B06ED"/>
    <w:rsid w:val="003B075E"/>
    <w:rsid w:val="003B1D88"/>
    <w:rsid w:val="003B312F"/>
    <w:rsid w:val="003B3642"/>
    <w:rsid w:val="003B3B41"/>
    <w:rsid w:val="003B3BDF"/>
    <w:rsid w:val="003B43A7"/>
    <w:rsid w:val="003B507D"/>
    <w:rsid w:val="003B5B37"/>
    <w:rsid w:val="003B5B59"/>
    <w:rsid w:val="003B5C8E"/>
    <w:rsid w:val="003B6087"/>
    <w:rsid w:val="003C11B3"/>
    <w:rsid w:val="003C1A23"/>
    <w:rsid w:val="003C1C6B"/>
    <w:rsid w:val="003C249A"/>
    <w:rsid w:val="003C2AE0"/>
    <w:rsid w:val="003C2F3D"/>
    <w:rsid w:val="003C3D5A"/>
    <w:rsid w:val="003C3EFC"/>
    <w:rsid w:val="003C4E6F"/>
    <w:rsid w:val="003C53D0"/>
    <w:rsid w:val="003C5FD2"/>
    <w:rsid w:val="003C617F"/>
    <w:rsid w:val="003C6311"/>
    <w:rsid w:val="003C6671"/>
    <w:rsid w:val="003C6A88"/>
    <w:rsid w:val="003C7329"/>
    <w:rsid w:val="003C7711"/>
    <w:rsid w:val="003C79E1"/>
    <w:rsid w:val="003C7A35"/>
    <w:rsid w:val="003D0151"/>
    <w:rsid w:val="003D028D"/>
    <w:rsid w:val="003D0B27"/>
    <w:rsid w:val="003D0E17"/>
    <w:rsid w:val="003D0E46"/>
    <w:rsid w:val="003D0F94"/>
    <w:rsid w:val="003D132A"/>
    <w:rsid w:val="003D2054"/>
    <w:rsid w:val="003D2720"/>
    <w:rsid w:val="003D2F0E"/>
    <w:rsid w:val="003D3F4C"/>
    <w:rsid w:val="003D47B0"/>
    <w:rsid w:val="003D48E0"/>
    <w:rsid w:val="003D580E"/>
    <w:rsid w:val="003D5BF3"/>
    <w:rsid w:val="003D7820"/>
    <w:rsid w:val="003E0697"/>
    <w:rsid w:val="003E103D"/>
    <w:rsid w:val="003E113D"/>
    <w:rsid w:val="003E149F"/>
    <w:rsid w:val="003E1523"/>
    <w:rsid w:val="003E17B1"/>
    <w:rsid w:val="003E18A3"/>
    <w:rsid w:val="003E1E8A"/>
    <w:rsid w:val="003E1F95"/>
    <w:rsid w:val="003E255A"/>
    <w:rsid w:val="003E2D45"/>
    <w:rsid w:val="003E2DD2"/>
    <w:rsid w:val="003E45F2"/>
    <w:rsid w:val="003E4FB1"/>
    <w:rsid w:val="003E6750"/>
    <w:rsid w:val="003E6EA7"/>
    <w:rsid w:val="003E72F3"/>
    <w:rsid w:val="003E765A"/>
    <w:rsid w:val="003E79B3"/>
    <w:rsid w:val="003F015E"/>
    <w:rsid w:val="003F07FB"/>
    <w:rsid w:val="003F13F3"/>
    <w:rsid w:val="003F1C1A"/>
    <w:rsid w:val="003F1E01"/>
    <w:rsid w:val="003F223E"/>
    <w:rsid w:val="003F24B0"/>
    <w:rsid w:val="003F2690"/>
    <w:rsid w:val="003F3529"/>
    <w:rsid w:val="003F3E66"/>
    <w:rsid w:val="003F423D"/>
    <w:rsid w:val="003F461E"/>
    <w:rsid w:val="003F500F"/>
    <w:rsid w:val="003F59C0"/>
    <w:rsid w:val="003F6002"/>
    <w:rsid w:val="003F7368"/>
    <w:rsid w:val="003F745C"/>
    <w:rsid w:val="003F7658"/>
    <w:rsid w:val="003F7E5E"/>
    <w:rsid w:val="003F7F88"/>
    <w:rsid w:val="00400317"/>
    <w:rsid w:val="004003D1"/>
    <w:rsid w:val="00400BF0"/>
    <w:rsid w:val="00400FFF"/>
    <w:rsid w:val="004012A0"/>
    <w:rsid w:val="0040146A"/>
    <w:rsid w:val="004016EC"/>
    <w:rsid w:val="0040228D"/>
    <w:rsid w:val="00402388"/>
    <w:rsid w:val="00402F60"/>
    <w:rsid w:val="0040345C"/>
    <w:rsid w:val="00403DE1"/>
    <w:rsid w:val="00403EB4"/>
    <w:rsid w:val="00403FEB"/>
    <w:rsid w:val="0040528D"/>
    <w:rsid w:val="00405959"/>
    <w:rsid w:val="004059E5"/>
    <w:rsid w:val="00405B81"/>
    <w:rsid w:val="00406525"/>
    <w:rsid w:val="004070B9"/>
    <w:rsid w:val="004072E9"/>
    <w:rsid w:val="00407E65"/>
    <w:rsid w:val="00410A5E"/>
    <w:rsid w:val="00410D34"/>
    <w:rsid w:val="004111CF"/>
    <w:rsid w:val="00411421"/>
    <w:rsid w:val="00412842"/>
    <w:rsid w:val="00412D6E"/>
    <w:rsid w:val="00412F1B"/>
    <w:rsid w:val="0041301F"/>
    <w:rsid w:val="00413435"/>
    <w:rsid w:val="004136DA"/>
    <w:rsid w:val="00413708"/>
    <w:rsid w:val="00414078"/>
    <w:rsid w:val="00414461"/>
    <w:rsid w:val="00414930"/>
    <w:rsid w:val="00414C3D"/>
    <w:rsid w:val="004154C6"/>
    <w:rsid w:val="004154E3"/>
    <w:rsid w:val="00415B40"/>
    <w:rsid w:val="00416915"/>
    <w:rsid w:val="00416E0B"/>
    <w:rsid w:val="0041716A"/>
    <w:rsid w:val="004204A7"/>
    <w:rsid w:val="004210BA"/>
    <w:rsid w:val="00421AA2"/>
    <w:rsid w:val="004222E4"/>
    <w:rsid w:val="00422C74"/>
    <w:rsid w:val="004236EA"/>
    <w:rsid w:val="00423763"/>
    <w:rsid w:val="0042535E"/>
    <w:rsid w:val="00425714"/>
    <w:rsid w:val="00425BC2"/>
    <w:rsid w:val="00425EC6"/>
    <w:rsid w:val="00427022"/>
    <w:rsid w:val="004274CA"/>
    <w:rsid w:val="00427AFF"/>
    <w:rsid w:val="00427F55"/>
    <w:rsid w:val="00430260"/>
    <w:rsid w:val="004302EC"/>
    <w:rsid w:val="004304E9"/>
    <w:rsid w:val="004313E5"/>
    <w:rsid w:val="0043197C"/>
    <w:rsid w:val="0043289E"/>
    <w:rsid w:val="00433374"/>
    <w:rsid w:val="0043419E"/>
    <w:rsid w:val="0043457B"/>
    <w:rsid w:val="00434B4D"/>
    <w:rsid w:val="00434C16"/>
    <w:rsid w:val="004356FB"/>
    <w:rsid w:val="00436953"/>
    <w:rsid w:val="00437B93"/>
    <w:rsid w:val="00440221"/>
    <w:rsid w:val="00441C45"/>
    <w:rsid w:val="00444166"/>
    <w:rsid w:val="0044440D"/>
    <w:rsid w:val="00444EB2"/>
    <w:rsid w:val="00444F46"/>
    <w:rsid w:val="004454A4"/>
    <w:rsid w:val="00445D53"/>
    <w:rsid w:val="00445E59"/>
    <w:rsid w:val="004462EB"/>
    <w:rsid w:val="0044684D"/>
    <w:rsid w:val="00446ED0"/>
    <w:rsid w:val="00447647"/>
    <w:rsid w:val="0045094C"/>
    <w:rsid w:val="004512B4"/>
    <w:rsid w:val="00451454"/>
    <w:rsid w:val="004516F3"/>
    <w:rsid w:val="00451FEF"/>
    <w:rsid w:val="0045211E"/>
    <w:rsid w:val="00453685"/>
    <w:rsid w:val="00453D03"/>
    <w:rsid w:val="004546C0"/>
    <w:rsid w:val="0045502A"/>
    <w:rsid w:val="004559CF"/>
    <w:rsid w:val="00455A3F"/>
    <w:rsid w:val="00456096"/>
    <w:rsid w:val="004560EB"/>
    <w:rsid w:val="00457E02"/>
    <w:rsid w:val="0046038D"/>
    <w:rsid w:val="00460F41"/>
    <w:rsid w:val="00460FE4"/>
    <w:rsid w:val="00461582"/>
    <w:rsid w:val="004616FE"/>
    <w:rsid w:val="00461821"/>
    <w:rsid w:val="004636CE"/>
    <w:rsid w:val="00463944"/>
    <w:rsid w:val="00464462"/>
    <w:rsid w:val="0046481D"/>
    <w:rsid w:val="00464C8E"/>
    <w:rsid w:val="00465A25"/>
    <w:rsid w:val="00466327"/>
    <w:rsid w:val="00466B86"/>
    <w:rsid w:val="00466C31"/>
    <w:rsid w:val="004674A7"/>
    <w:rsid w:val="00467915"/>
    <w:rsid w:val="004700B2"/>
    <w:rsid w:val="00470C2B"/>
    <w:rsid w:val="00470D83"/>
    <w:rsid w:val="00471511"/>
    <w:rsid w:val="00472884"/>
    <w:rsid w:val="00472B1B"/>
    <w:rsid w:val="00472FF7"/>
    <w:rsid w:val="00473174"/>
    <w:rsid w:val="00474915"/>
    <w:rsid w:val="004751DB"/>
    <w:rsid w:val="0047620F"/>
    <w:rsid w:val="0047652A"/>
    <w:rsid w:val="0047687E"/>
    <w:rsid w:val="004769BC"/>
    <w:rsid w:val="00476EAB"/>
    <w:rsid w:val="0047705C"/>
    <w:rsid w:val="00477634"/>
    <w:rsid w:val="00477725"/>
    <w:rsid w:val="004778F9"/>
    <w:rsid w:val="00480CCA"/>
    <w:rsid w:val="00482425"/>
    <w:rsid w:val="004828D5"/>
    <w:rsid w:val="0048329E"/>
    <w:rsid w:val="0048356F"/>
    <w:rsid w:val="004837EE"/>
    <w:rsid w:val="004842BC"/>
    <w:rsid w:val="004843EA"/>
    <w:rsid w:val="00484AD0"/>
    <w:rsid w:val="00484C96"/>
    <w:rsid w:val="00484FBF"/>
    <w:rsid w:val="00485659"/>
    <w:rsid w:val="00485C2B"/>
    <w:rsid w:val="00487DA0"/>
    <w:rsid w:val="00487DE4"/>
    <w:rsid w:val="00490F1D"/>
    <w:rsid w:val="00491170"/>
    <w:rsid w:val="004917E7"/>
    <w:rsid w:val="00491E29"/>
    <w:rsid w:val="00491E88"/>
    <w:rsid w:val="0049229C"/>
    <w:rsid w:val="00492361"/>
    <w:rsid w:val="004924B4"/>
    <w:rsid w:val="00492E7F"/>
    <w:rsid w:val="00493220"/>
    <w:rsid w:val="00493AEB"/>
    <w:rsid w:val="00493B8C"/>
    <w:rsid w:val="00493DEA"/>
    <w:rsid w:val="00493FD4"/>
    <w:rsid w:val="00494E83"/>
    <w:rsid w:val="00495A32"/>
    <w:rsid w:val="004972C7"/>
    <w:rsid w:val="004A0068"/>
    <w:rsid w:val="004A0239"/>
    <w:rsid w:val="004A09AC"/>
    <w:rsid w:val="004A0EF6"/>
    <w:rsid w:val="004A0FE6"/>
    <w:rsid w:val="004A1069"/>
    <w:rsid w:val="004A271C"/>
    <w:rsid w:val="004A28E4"/>
    <w:rsid w:val="004A30C4"/>
    <w:rsid w:val="004A3D0D"/>
    <w:rsid w:val="004A4050"/>
    <w:rsid w:val="004A42D7"/>
    <w:rsid w:val="004A458D"/>
    <w:rsid w:val="004A4A8F"/>
    <w:rsid w:val="004A55A1"/>
    <w:rsid w:val="004A6B25"/>
    <w:rsid w:val="004A7878"/>
    <w:rsid w:val="004A7990"/>
    <w:rsid w:val="004A7DB3"/>
    <w:rsid w:val="004B008F"/>
    <w:rsid w:val="004B025B"/>
    <w:rsid w:val="004B0484"/>
    <w:rsid w:val="004B0883"/>
    <w:rsid w:val="004B0BD3"/>
    <w:rsid w:val="004B0EA7"/>
    <w:rsid w:val="004B0F2C"/>
    <w:rsid w:val="004B17A5"/>
    <w:rsid w:val="004B19E7"/>
    <w:rsid w:val="004B267D"/>
    <w:rsid w:val="004B2A36"/>
    <w:rsid w:val="004B2F6A"/>
    <w:rsid w:val="004B30D6"/>
    <w:rsid w:val="004B3B0B"/>
    <w:rsid w:val="004B58A1"/>
    <w:rsid w:val="004B61B1"/>
    <w:rsid w:val="004B6B64"/>
    <w:rsid w:val="004B73DF"/>
    <w:rsid w:val="004B7434"/>
    <w:rsid w:val="004B7549"/>
    <w:rsid w:val="004B785C"/>
    <w:rsid w:val="004C05C6"/>
    <w:rsid w:val="004C1ACD"/>
    <w:rsid w:val="004C26A5"/>
    <w:rsid w:val="004C27EA"/>
    <w:rsid w:val="004C3572"/>
    <w:rsid w:val="004C3928"/>
    <w:rsid w:val="004C3AE9"/>
    <w:rsid w:val="004C4624"/>
    <w:rsid w:val="004C474F"/>
    <w:rsid w:val="004C495C"/>
    <w:rsid w:val="004C56C0"/>
    <w:rsid w:val="004C69F7"/>
    <w:rsid w:val="004C6FEC"/>
    <w:rsid w:val="004C77F2"/>
    <w:rsid w:val="004C7AE9"/>
    <w:rsid w:val="004C7B40"/>
    <w:rsid w:val="004C7CA3"/>
    <w:rsid w:val="004C7CFD"/>
    <w:rsid w:val="004D05A7"/>
    <w:rsid w:val="004D189B"/>
    <w:rsid w:val="004D195F"/>
    <w:rsid w:val="004D1E91"/>
    <w:rsid w:val="004D22E1"/>
    <w:rsid w:val="004D283A"/>
    <w:rsid w:val="004D2C04"/>
    <w:rsid w:val="004D33F7"/>
    <w:rsid w:val="004D39F2"/>
    <w:rsid w:val="004D3FFB"/>
    <w:rsid w:val="004D42D3"/>
    <w:rsid w:val="004D4A41"/>
    <w:rsid w:val="004D526B"/>
    <w:rsid w:val="004D5A20"/>
    <w:rsid w:val="004D76C2"/>
    <w:rsid w:val="004D7F25"/>
    <w:rsid w:val="004E1197"/>
    <w:rsid w:val="004E1439"/>
    <w:rsid w:val="004E1933"/>
    <w:rsid w:val="004E199A"/>
    <w:rsid w:val="004E1A76"/>
    <w:rsid w:val="004E1EC7"/>
    <w:rsid w:val="004E2703"/>
    <w:rsid w:val="004E28DE"/>
    <w:rsid w:val="004E2CB4"/>
    <w:rsid w:val="004E3A3C"/>
    <w:rsid w:val="004E5404"/>
    <w:rsid w:val="004E598E"/>
    <w:rsid w:val="004E608E"/>
    <w:rsid w:val="004E7359"/>
    <w:rsid w:val="004E7635"/>
    <w:rsid w:val="004E7C98"/>
    <w:rsid w:val="004E7DD7"/>
    <w:rsid w:val="004F10D4"/>
    <w:rsid w:val="004F1271"/>
    <w:rsid w:val="004F1374"/>
    <w:rsid w:val="004F15A5"/>
    <w:rsid w:val="004F26F8"/>
    <w:rsid w:val="004F29FD"/>
    <w:rsid w:val="004F2D4B"/>
    <w:rsid w:val="004F32CB"/>
    <w:rsid w:val="004F3519"/>
    <w:rsid w:val="004F36F4"/>
    <w:rsid w:val="004F375A"/>
    <w:rsid w:val="004F42AE"/>
    <w:rsid w:val="004F4B44"/>
    <w:rsid w:val="004F4C15"/>
    <w:rsid w:val="004F5285"/>
    <w:rsid w:val="004F59DE"/>
    <w:rsid w:val="004F6350"/>
    <w:rsid w:val="004F6C7D"/>
    <w:rsid w:val="004F74AA"/>
    <w:rsid w:val="004F7752"/>
    <w:rsid w:val="004F7D9E"/>
    <w:rsid w:val="0050094F"/>
    <w:rsid w:val="005014F9"/>
    <w:rsid w:val="00502159"/>
    <w:rsid w:val="0050231E"/>
    <w:rsid w:val="005023C5"/>
    <w:rsid w:val="00502C50"/>
    <w:rsid w:val="005032C4"/>
    <w:rsid w:val="0050332C"/>
    <w:rsid w:val="0050338F"/>
    <w:rsid w:val="00503B0E"/>
    <w:rsid w:val="00503C2C"/>
    <w:rsid w:val="00503CEE"/>
    <w:rsid w:val="0050454D"/>
    <w:rsid w:val="005057F1"/>
    <w:rsid w:val="00505860"/>
    <w:rsid w:val="00507211"/>
    <w:rsid w:val="00507960"/>
    <w:rsid w:val="00510109"/>
    <w:rsid w:val="005102DD"/>
    <w:rsid w:val="00511DAE"/>
    <w:rsid w:val="00511EAD"/>
    <w:rsid w:val="0051265B"/>
    <w:rsid w:val="00512B7E"/>
    <w:rsid w:val="00512C96"/>
    <w:rsid w:val="00513A09"/>
    <w:rsid w:val="00513CBE"/>
    <w:rsid w:val="00513E69"/>
    <w:rsid w:val="005143A7"/>
    <w:rsid w:val="0051466B"/>
    <w:rsid w:val="00514729"/>
    <w:rsid w:val="00515BE8"/>
    <w:rsid w:val="00515EB9"/>
    <w:rsid w:val="00516F19"/>
    <w:rsid w:val="00517031"/>
    <w:rsid w:val="00517077"/>
    <w:rsid w:val="005173FD"/>
    <w:rsid w:val="00517579"/>
    <w:rsid w:val="005178EA"/>
    <w:rsid w:val="0051799C"/>
    <w:rsid w:val="005201C6"/>
    <w:rsid w:val="005202AF"/>
    <w:rsid w:val="005202FA"/>
    <w:rsid w:val="00520BEA"/>
    <w:rsid w:val="00520E79"/>
    <w:rsid w:val="005225CF"/>
    <w:rsid w:val="005228D7"/>
    <w:rsid w:val="005229B2"/>
    <w:rsid w:val="005235ED"/>
    <w:rsid w:val="005238BD"/>
    <w:rsid w:val="00524BCA"/>
    <w:rsid w:val="00524E7B"/>
    <w:rsid w:val="00525222"/>
    <w:rsid w:val="00525BFA"/>
    <w:rsid w:val="00525DD2"/>
    <w:rsid w:val="005266F1"/>
    <w:rsid w:val="00527316"/>
    <w:rsid w:val="005310C4"/>
    <w:rsid w:val="005320E4"/>
    <w:rsid w:val="00532C3F"/>
    <w:rsid w:val="00532DA1"/>
    <w:rsid w:val="005340F9"/>
    <w:rsid w:val="00534335"/>
    <w:rsid w:val="00534B2D"/>
    <w:rsid w:val="00535C7C"/>
    <w:rsid w:val="00535ED4"/>
    <w:rsid w:val="00536299"/>
    <w:rsid w:val="005367ED"/>
    <w:rsid w:val="005375FC"/>
    <w:rsid w:val="0053781B"/>
    <w:rsid w:val="00537845"/>
    <w:rsid w:val="005407F1"/>
    <w:rsid w:val="00540BFF"/>
    <w:rsid w:val="00541086"/>
    <w:rsid w:val="00541359"/>
    <w:rsid w:val="00541AE5"/>
    <w:rsid w:val="00541B8B"/>
    <w:rsid w:val="00542378"/>
    <w:rsid w:val="00542C29"/>
    <w:rsid w:val="00542CBE"/>
    <w:rsid w:val="0054303C"/>
    <w:rsid w:val="00543A85"/>
    <w:rsid w:val="00543FD8"/>
    <w:rsid w:val="005454C9"/>
    <w:rsid w:val="005457F9"/>
    <w:rsid w:val="005466EE"/>
    <w:rsid w:val="00546AA4"/>
    <w:rsid w:val="00546B67"/>
    <w:rsid w:val="00546CE4"/>
    <w:rsid w:val="005501FA"/>
    <w:rsid w:val="00550AD4"/>
    <w:rsid w:val="0055213B"/>
    <w:rsid w:val="00553005"/>
    <w:rsid w:val="00553AE2"/>
    <w:rsid w:val="00554172"/>
    <w:rsid w:val="005544BE"/>
    <w:rsid w:val="00554DA9"/>
    <w:rsid w:val="00554E34"/>
    <w:rsid w:val="00554E70"/>
    <w:rsid w:val="00556D14"/>
    <w:rsid w:val="00556E03"/>
    <w:rsid w:val="0055728F"/>
    <w:rsid w:val="0055783C"/>
    <w:rsid w:val="00561578"/>
    <w:rsid w:val="005615DD"/>
    <w:rsid w:val="00561CC4"/>
    <w:rsid w:val="00561D57"/>
    <w:rsid w:val="0056350A"/>
    <w:rsid w:val="00563645"/>
    <w:rsid w:val="005646B2"/>
    <w:rsid w:val="00564D98"/>
    <w:rsid w:val="00564EF6"/>
    <w:rsid w:val="00565605"/>
    <w:rsid w:val="005657DE"/>
    <w:rsid w:val="00566236"/>
    <w:rsid w:val="0056649A"/>
    <w:rsid w:val="00567210"/>
    <w:rsid w:val="00567345"/>
    <w:rsid w:val="005674C4"/>
    <w:rsid w:val="00567A79"/>
    <w:rsid w:val="00570B3E"/>
    <w:rsid w:val="00570C76"/>
    <w:rsid w:val="00571A6D"/>
    <w:rsid w:val="00571C99"/>
    <w:rsid w:val="00571E52"/>
    <w:rsid w:val="005725CC"/>
    <w:rsid w:val="005732B0"/>
    <w:rsid w:val="005737D0"/>
    <w:rsid w:val="00574083"/>
    <w:rsid w:val="00574146"/>
    <w:rsid w:val="00574886"/>
    <w:rsid w:val="00574BCF"/>
    <w:rsid w:val="00575958"/>
    <w:rsid w:val="00575A31"/>
    <w:rsid w:val="00575AF8"/>
    <w:rsid w:val="00576441"/>
    <w:rsid w:val="005765AA"/>
    <w:rsid w:val="00577C4F"/>
    <w:rsid w:val="00577D4F"/>
    <w:rsid w:val="005800AB"/>
    <w:rsid w:val="00581514"/>
    <w:rsid w:val="00581C64"/>
    <w:rsid w:val="00581CBB"/>
    <w:rsid w:val="005820FD"/>
    <w:rsid w:val="00582A85"/>
    <w:rsid w:val="00582D4A"/>
    <w:rsid w:val="005831E6"/>
    <w:rsid w:val="00583348"/>
    <w:rsid w:val="00583E6B"/>
    <w:rsid w:val="00584091"/>
    <w:rsid w:val="0058454F"/>
    <w:rsid w:val="00584598"/>
    <w:rsid w:val="00584769"/>
    <w:rsid w:val="00584AEA"/>
    <w:rsid w:val="00584EB9"/>
    <w:rsid w:val="00584F69"/>
    <w:rsid w:val="00585737"/>
    <w:rsid w:val="0058585A"/>
    <w:rsid w:val="0058731A"/>
    <w:rsid w:val="005875E1"/>
    <w:rsid w:val="00587B61"/>
    <w:rsid w:val="005900F3"/>
    <w:rsid w:val="00591755"/>
    <w:rsid w:val="005918D5"/>
    <w:rsid w:val="00591D82"/>
    <w:rsid w:val="005924A3"/>
    <w:rsid w:val="00592A89"/>
    <w:rsid w:val="00593460"/>
    <w:rsid w:val="00594819"/>
    <w:rsid w:val="00594972"/>
    <w:rsid w:val="00594A27"/>
    <w:rsid w:val="005961FD"/>
    <w:rsid w:val="005963E3"/>
    <w:rsid w:val="005975AD"/>
    <w:rsid w:val="00597919"/>
    <w:rsid w:val="00597AB4"/>
    <w:rsid w:val="005A0E03"/>
    <w:rsid w:val="005A287D"/>
    <w:rsid w:val="005A40E3"/>
    <w:rsid w:val="005A524E"/>
    <w:rsid w:val="005A5358"/>
    <w:rsid w:val="005A5D68"/>
    <w:rsid w:val="005A65B2"/>
    <w:rsid w:val="005A6639"/>
    <w:rsid w:val="005A73C3"/>
    <w:rsid w:val="005A78F8"/>
    <w:rsid w:val="005B003A"/>
    <w:rsid w:val="005B08A3"/>
    <w:rsid w:val="005B0CA3"/>
    <w:rsid w:val="005B0CE4"/>
    <w:rsid w:val="005B145E"/>
    <w:rsid w:val="005B1777"/>
    <w:rsid w:val="005B1C29"/>
    <w:rsid w:val="005B1DBB"/>
    <w:rsid w:val="005B3984"/>
    <w:rsid w:val="005B39FC"/>
    <w:rsid w:val="005B4569"/>
    <w:rsid w:val="005B6199"/>
    <w:rsid w:val="005B68DE"/>
    <w:rsid w:val="005B6BFD"/>
    <w:rsid w:val="005B6E31"/>
    <w:rsid w:val="005B6FAC"/>
    <w:rsid w:val="005B788B"/>
    <w:rsid w:val="005B7992"/>
    <w:rsid w:val="005C0B97"/>
    <w:rsid w:val="005C0CA8"/>
    <w:rsid w:val="005C0DFC"/>
    <w:rsid w:val="005C1417"/>
    <w:rsid w:val="005C1B72"/>
    <w:rsid w:val="005C222A"/>
    <w:rsid w:val="005C2A65"/>
    <w:rsid w:val="005C2C55"/>
    <w:rsid w:val="005C3B90"/>
    <w:rsid w:val="005C3C5D"/>
    <w:rsid w:val="005C3F3A"/>
    <w:rsid w:val="005C5DC7"/>
    <w:rsid w:val="005C6494"/>
    <w:rsid w:val="005C66C4"/>
    <w:rsid w:val="005C706F"/>
    <w:rsid w:val="005C7376"/>
    <w:rsid w:val="005C76E0"/>
    <w:rsid w:val="005C786D"/>
    <w:rsid w:val="005C7A25"/>
    <w:rsid w:val="005D0C26"/>
    <w:rsid w:val="005D0E17"/>
    <w:rsid w:val="005D14A7"/>
    <w:rsid w:val="005D18A4"/>
    <w:rsid w:val="005D1A3E"/>
    <w:rsid w:val="005D1C13"/>
    <w:rsid w:val="005D1E83"/>
    <w:rsid w:val="005D1F94"/>
    <w:rsid w:val="005D257A"/>
    <w:rsid w:val="005D259F"/>
    <w:rsid w:val="005D262C"/>
    <w:rsid w:val="005D2AC3"/>
    <w:rsid w:val="005D4301"/>
    <w:rsid w:val="005D45AF"/>
    <w:rsid w:val="005D461C"/>
    <w:rsid w:val="005D4C19"/>
    <w:rsid w:val="005D5734"/>
    <w:rsid w:val="005D5E54"/>
    <w:rsid w:val="005D5FFE"/>
    <w:rsid w:val="005D63D3"/>
    <w:rsid w:val="005D78E5"/>
    <w:rsid w:val="005E0205"/>
    <w:rsid w:val="005E05C3"/>
    <w:rsid w:val="005E06DD"/>
    <w:rsid w:val="005E081E"/>
    <w:rsid w:val="005E14A9"/>
    <w:rsid w:val="005E14F6"/>
    <w:rsid w:val="005E15B3"/>
    <w:rsid w:val="005E17BB"/>
    <w:rsid w:val="005E18C6"/>
    <w:rsid w:val="005E26CF"/>
    <w:rsid w:val="005E46D4"/>
    <w:rsid w:val="005E4CC7"/>
    <w:rsid w:val="005E60EB"/>
    <w:rsid w:val="005E6690"/>
    <w:rsid w:val="005E6B51"/>
    <w:rsid w:val="005E6BB7"/>
    <w:rsid w:val="005E746A"/>
    <w:rsid w:val="005E76CA"/>
    <w:rsid w:val="005E7749"/>
    <w:rsid w:val="005E7B13"/>
    <w:rsid w:val="005E7DB4"/>
    <w:rsid w:val="005F02C4"/>
    <w:rsid w:val="005F0AD1"/>
    <w:rsid w:val="005F0C9D"/>
    <w:rsid w:val="005F0D5C"/>
    <w:rsid w:val="005F1260"/>
    <w:rsid w:val="005F13D6"/>
    <w:rsid w:val="005F1F2D"/>
    <w:rsid w:val="005F1F4B"/>
    <w:rsid w:val="005F2869"/>
    <w:rsid w:val="005F29B7"/>
    <w:rsid w:val="005F3053"/>
    <w:rsid w:val="005F3327"/>
    <w:rsid w:val="005F36AE"/>
    <w:rsid w:val="005F381F"/>
    <w:rsid w:val="005F395F"/>
    <w:rsid w:val="005F497C"/>
    <w:rsid w:val="005F49AE"/>
    <w:rsid w:val="005F4DAB"/>
    <w:rsid w:val="005F7A78"/>
    <w:rsid w:val="005F7AF7"/>
    <w:rsid w:val="005F7DC9"/>
    <w:rsid w:val="005F7F98"/>
    <w:rsid w:val="006002F8"/>
    <w:rsid w:val="006017DE"/>
    <w:rsid w:val="006018CF"/>
    <w:rsid w:val="0060215F"/>
    <w:rsid w:val="00602429"/>
    <w:rsid w:val="0060298D"/>
    <w:rsid w:val="00603227"/>
    <w:rsid w:val="00603876"/>
    <w:rsid w:val="0060457D"/>
    <w:rsid w:val="006051DE"/>
    <w:rsid w:val="00605281"/>
    <w:rsid w:val="00605A3E"/>
    <w:rsid w:val="00605ADD"/>
    <w:rsid w:val="00605C1F"/>
    <w:rsid w:val="00606768"/>
    <w:rsid w:val="00606E49"/>
    <w:rsid w:val="00607448"/>
    <w:rsid w:val="006074CE"/>
    <w:rsid w:val="00607B6C"/>
    <w:rsid w:val="006106A3"/>
    <w:rsid w:val="0061084B"/>
    <w:rsid w:val="00610A6A"/>
    <w:rsid w:val="00610BC8"/>
    <w:rsid w:val="0061132D"/>
    <w:rsid w:val="006119D6"/>
    <w:rsid w:val="0061212A"/>
    <w:rsid w:val="00612304"/>
    <w:rsid w:val="0061307D"/>
    <w:rsid w:val="006137AE"/>
    <w:rsid w:val="00614258"/>
    <w:rsid w:val="00614759"/>
    <w:rsid w:val="00614CEC"/>
    <w:rsid w:val="006153EE"/>
    <w:rsid w:val="006158EE"/>
    <w:rsid w:val="00615D16"/>
    <w:rsid w:val="0061618F"/>
    <w:rsid w:val="006165B7"/>
    <w:rsid w:val="006169FE"/>
    <w:rsid w:val="00616AF4"/>
    <w:rsid w:val="00617175"/>
    <w:rsid w:val="00617189"/>
    <w:rsid w:val="00617E07"/>
    <w:rsid w:val="00620024"/>
    <w:rsid w:val="0062034F"/>
    <w:rsid w:val="00620597"/>
    <w:rsid w:val="0062108F"/>
    <w:rsid w:val="006214BA"/>
    <w:rsid w:val="00621BA7"/>
    <w:rsid w:val="00623254"/>
    <w:rsid w:val="00623468"/>
    <w:rsid w:val="00623550"/>
    <w:rsid w:val="006250CC"/>
    <w:rsid w:val="00625408"/>
    <w:rsid w:val="00625AAE"/>
    <w:rsid w:val="00625CBB"/>
    <w:rsid w:val="0062615C"/>
    <w:rsid w:val="006268C1"/>
    <w:rsid w:val="00626DE3"/>
    <w:rsid w:val="00626F9C"/>
    <w:rsid w:val="0062720C"/>
    <w:rsid w:val="00627760"/>
    <w:rsid w:val="00630220"/>
    <w:rsid w:val="006307B1"/>
    <w:rsid w:val="00631379"/>
    <w:rsid w:val="00631F96"/>
    <w:rsid w:val="00632513"/>
    <w:rsid w:val="006326A0"/>
    <w:rsid w:val="00633405"/>
    <w:rsid w:val="00633E17"/>
    <w:rsid w:val="006347F8"/>
    <w:rsid w:val="00634D04"/>
    <w:rsid w:val="00634DEF"/>
    <w:rsid w:val="0063502F"/>
    <w:rsid w:val="006352CA"/>
    <w:rsid w:val="00635788"/>
    <w:rsid w:val="00635CD3"/>
    <w:rsid w:val="00635CF8"/>
    <w:rsid w:val="00635F1D"/>
    <w:rsid w:val="00636434"/>
    <w:rsid w:val="00636ACF"/>
    <w:rsid w:val="00636D96"/>
    <w:rsid w:val="00637179"/>
    <w:rsid w:val="00637442"/>
    <w:rsid w:val="006408AC"/>
    <w:rsid w:val="00640DBC"/>
    <w:rsid w:val="00641BAA"/>
    <w:rsid w:val="0064244E"/>
    <w:rsid w:val="00643851"/>
    <w:rsid w:val="00645048"/>
    <w:rsid w:val="0064520F"/>
    <w:rsid w:val="00645E23"/>
    <w:rsid w:val="00646283"/>
    <w:rsid w:val="00646B9E"/>
    <w:rsid w:val="00646F00"/>
    <w:rsid w:val="0064757F"/>
    <w:rsid w:val="006475E9"/>
    <w:rsid w:val="00647670"/>
    <w:rsid w:val="00647755"/>
    <w:rsid w:val="006501CF"/>
    <w:rsid w:val="006506E2"/>
    <w:rsid w:val="006509E1"/>
    <w:rsid w:val="0065137D"/>
    <w:rsid w:val="00651EF4"/>
    <w:rsid w:val="00652EC5"/>
    <w:rsid w:val="006537CB"/>
    <w:rsid w:val="00653B48"/>
    <w:rsid w:val="00653F98"/>
    <w:rsid w:val="006541EC"/>
    <w:rsid w:val="00654697"/>
    <w:rsid w:val="00654AC4"/>
    <w:rsid w:val="00655E55"/>
    <w:rsid w:val="006568B6"/>
    <w:rsid w:val="0065720A"/>
    <w:rsid w:val="00657E83"/>
    <w:rsid w:val="006603F7"/>
    <w:rsid w:val="00661633"/>
    <w:rsid w:val="00661D1E"/>
    <w:rsid w:val="00662216"/>
    <w:rsid w:val="00662396"/>
    <w:rsid w:val="00663EF2"/>
    <w:rsid w:val="00663F55"/>
    <w:rsid w:val="006652F3"/>
    <w:rsid w:val="006657D4"/>
    <w:rsid w:val="00665A5F"/>
    <w:rsid w:val="00665E15"/>
    <w:rsid w:val="00665EA5"/>
    <w:rsid w:val="006661C3"/>
    <w:rsid w:val="00666296"/>
    <w:rsid w:val="00667644"/>
    <w:rsid w:val="00667B74"/>
    <w:rsid w:val="00670619"/>
    <w:rsid w:val="0067067C"/>
    <w:rsid w:val="00671118"/>
    <w:rsid w:val="0067116F"/>
    <w:rsid w:val="00671509"/>
    <w:rsid w:val="0067182C"/>
    <w:rsid w:val="00671ACB"/>
    <w:rsid w:val="006729D5"/>
    <w:rsid w:val="006729EB"/>
    <w:rsid w:val="00672AE6"/>
    <w:rsid w:val="00672CD8"/>
    <w:rsid w:val="00672DE9"/>
    <w:rsid w:val="006738FF"/>
    <w:rsid w:val="00673F7E"/>
    <w:rsid w:val="00674105"/>
    <w:rsid w:val="00675073"/>
    <w:rsid w:val="006753FF"/>
    <w:rsid w:val="00675BEA"/>
    <w:rsid w:val="00675F3B"/>
    <w:rsid w:val="00676E07"/>
    <w:rsid w:val="00677693"/>
    <w:rsid w:val="00677D78"/>
    <w:rsid w:val="00680436"/>
    <w:rsid w:val="0068093C"/>
    <w:rsid w:val="0068112E"/>
    <w:rsid w:val="00681174"/>
    <w:rsid w:val="0068196B"/>
    <w:rsid w:val="006837F6"/>
    <w:rsid w:val="00684235"/>
    <w:rsid w:val="00684422"/>
    <w:rsid w:val="006844B8"/>
    <w:rsid w:val="0068481A"/>
    <w:rsid w:val="006850AD"/>
    <w:rsid w:val="006851EC"/>
    <w:rsid w:val="0068550E"/>
    <w:rsid w:val="006858DF"/>
    <w:rsid w:val="00685AD9"/>
    <w:rsid w:val="00685DD4"/>
    <w:rsid w:val="00685E76"/>
    <w:rsid w:val="00685E77"/>
    <w:rsid w:val="006861EE"/>
    <w:rsid w:val="00686BD4"/>
    <w:rsid w:val="00686C70"/>
    <w:rsid w:val="00686CD9"/>
    <w:rsid w:val="006875A9"/>
    <w:rsid w:val="006878EC"/>
    <w:rsid w:val="00687DC0"/>
    <w:rsid w:val="00690922"/>
    <w:rsid w:val="006912AE"/>
    <w:rsid w:val="00692DB2"/>
    <w:rsid w:val="00693010"/>
    <w:rsid w:val="0069317D"/>
    <w:rsid w:val="00693BD6"/>
    <w:rsid w:val="00694202"/>
    <w:rsid w:val="00694A5D"/>
    <w:rsid w:val="00694BCF"/>
    <w:rsid w:val="00695183"/>
    <w:rsid w:val="00695233"/>
    <w:rsid w:val="006956DE"/>
    <w:rsid w:val="00697882"/>
    <w:rsid w:val="00697E8C"/>
    <w:rsid w:val="006A00CC"/>
    <w:rsid w:val="006A0406"/>
    <w:rsid w:val="006A05DD"/>
    <w:rsid w:val="006A07E1"/>
    <w:rsid w:val="006A21E5"/>
    <w:rsid w:val="006A36A1"/>
    <w:rsid w:val="006A3E71"/>
    <w:rsid w:val="006A3F5F"/>
    <w:rsid w:val="006A458A"/>
    <w:rsid w:val="006A4D59"/>
    <w:rsid w:val="006A5017"/>
    <w:rsid w:val="006A51C2"/>
    <w:rsid w:val="006A524B"/>
    <w:rsid w:val="006A56A4"/>
    <w:rsid w:val="006A6021"/>
    <w:rsid w:val="006A6215"/>
    <w:rsid w:val="006A67F6"/>
    <w:rsid w:val="006A6EED"/>
    <w:rsid w:val="006A6FB7"/>
    <w:rsid w:val="006A74F9"/>
    <w:rsid w:val="006A7BA8"/>
    <w:rsid w:val="006B07B1"/>
    <w:rsid w:val="006B1425"/>
    <w:rsid w:val="006B1954"/>
    <w:rsid w:val="006B1E36"/>
    <w:rsid w:val="006B1EA0"/>
    <w:rsid w:val="006B27B8"/>
    <w:rsid w:val="006B3B2E"/>
    <w:rsid w:val="006B3F7C"/>
    <w:rsid w:val="006B3FA8"/>
    <w:rsid w:val="006B4108"/>
    <w:rsid w:val="006B42C6"/>
    <w:rsid w:val="006B46B0"/>
    <w:rsid w:val="006B52DC"/>
    <w:rsid w:val="006B58EF"/>
    <w:rsid w:val="006B6CCB"/>
    <w:rsid w:val="006B7766"/>
    <w:rsid w:val="006C0AF5"/>
    <w:rsid w:val="006C0E1E"/>
    <w:rsid w:val="006C10B8"/>
    <w:rsid w:val="006C39DE"/>
    <w:rsid w:val="006C3EC7"/>
    <w:rsid w:val="006C400A"/>
    <w:rsid w:val="006C43B3"/>
    <w:rsid w:val="006C43C2"/>
    <w:rsid w:val="006C47DB"/>
    <w:rsid w:val="006C5339"/>
    <w:rsid w:val="006C549F"/>
    <w:rsid w:val="006C5799"/>
    <w:rsid w:val="006C5A94"/>
    <w:rsid w:val="006C6A5C"/>
    <w:rsid w:val="006C6D71"/>
    <w:rsid w:val="006C718D"/>
    <w:rsid w:val="006C7E0C"/>
    <w:rsid w:val="006D01E6"/>
    <w:rsid w:val="006D07B2"/>
    <w:rsid w:val="006D091B"/>
    <w:rsid w:val="006D1B2B"/>
    <w:rsid w:val="006D2DE2"/>
    <w:rsid w:val="006D2E6C"/>
    <w:rsid w:val="006D3024"/>
    <w:rsid w:val="006D4090"/>
    <w:rsid w:val="006D46AC"/>
    <w:rsid w:val="006D4953"/>
    <w:rsid w:val="006D6421"/>
    <w:rsid w:val="006D6D1B"/>
    <w:rsid w:val="006D6DD1"/>
    <w:rsid w:val="006D7872"/>
    <w:rsid w:val="006E0103"/>
    <w:rsid w:val="006E0202"/>
    <w:rsid w:val="006E11FB"/>
    <w:rsid w:val="006E149C"/>
    <w:rsid w:val="006E2A6F"/>
    <w:rsid w:val="006E2BD7"/>
    <w:rsid w:val="006E2F18"/>
    <w:rsid w:val="006E3C73"/>
    <w:rsid w:val="006E412B"/>
    <w:rsid w:val="006E4290"/>
    <w:rsid w:val="006E6070"/>
    <w:rsid w:val="006E76DB"/>
    <w:rsid w:val="006E7862"/>
    <w:rsid w:val="006E7C49"/>
    <w:rsid w:val="006E7DE3"/>
    <w:rsid w:val="006F043D"/>
    <w:rsid w:val="006F0650"/>
    <w:rsid w:val="006F076D"/>
    <w:rsid w:val="006F0B5A"/>
    <w:rsid w:val="006F21E0"/>
    <w:rsid w:val="006F2C7D"/>
    <w:rsid w:val="006F3197"/>
    <w:rsid w:val="006F38CC"/>
    <w:rsid w:val="006F3A42"/>
    <w:rsid w:val="006F41B1"/>
    <w:rsid w:val="006F4862"/>
    <w:rsid w:val="006F54A3"/>
    <w:rsid w:val="006F609B"/>
    <w:rsid w:val="006F64E2"/>
    <w:rsid w:val="006F6F49"/>
    <w:rsid w:val="006F6FC6"/>
    <w:rsid w:val="006F7646"/>
    <w:rsid w:val="006F7676"/>
    <w:rsid w:val="006F7A8A"/>
    <w:rsid w:val="006F7B6D"/>
    <w:rsid w:val="006F7C5B"/>
    <w:rsid w:val="006F7D83"/>
    <w:rsid w:val="007005BB"/>
    <w:rsid w:val="007005DC"/>
    <w:rsid w:val="007006F7"/>
    <w:rsid w:val="00700E58"/>
    <w:rsid w:val="0070164E"/>
    <w:rsid w:val="00702387"/>
    <w:rsid w:val="00702B05"/>
    <w:rsid w:val="007038F8"/>
    <w:rsid w:val="007053B5"/>
    <w:rsid w:val="007055FF"/>
    <w:rsid w:val="00705B38"/>
    <w:rsid w:val="0070622D"/>
    <w:rsid w:val="007065FA"/>
    <w:rsid w:val="00706991"/>
    <w:rsid w:val="0070793C"/>
    <w:rsid w:val="00710A89"/>
    <w:rsid w:val="00710C12"/>
    <w:rsid w:val="00711F04"/>
    <w:rsid w:val="00712006"/>
    <w:rsid w:val="00712031"/>
    <w:rsid w:val="00712AD6"/>
    <w:rsid w:val="00713112"/>
    <w:rsid w:val="007132A4"/>
    <w:rsid w:val="007135C3"/>
    <w:rsid w:val="007137D8"/>
    <w:rsid w:val="00714594"/>
    <w:rsid w:val="00714B8E"/>
    <w:rsid w:val="00714DC5"/>
    <w:rsid w:val="00715292"/>
    <w:rsid w:val="00715378"/>
    <w:rsid w:val="007161C3"/>
    <w:rsid w:val="00716271"/>
    <w:rsid w:val="00716848"/>
    <w:rsid w:val="007172BD"/>
    <w:rsid w:val="00720127"/>
    <w:rsid w:val="00721D61"/>
    <w:rsid w:val="007226AD"/>
    <w:rsid w:val="00722F90"/>
    <w:rsid w:val="0072303A"/>
    <w:rsid w:val="00724704"/>
    <w:rsid w:val="00724EB7"/>
    <w:rsid w:val="00725249"/>
    <w:rsid w:val="0072534B"/>
    <w:rsid w:val="00725D2F"/>
    <w:rsid w:val="00726010"/>
    <w:rsid w:val="00726249"/>
    <w:rsid w:val="00726F95"/>
    <w:rsid w:val="007271DF"/>
    <w:rsid w:val="007303C3"/>
    <w:rsid w:val="00731018"/>
    <w:rsid w:val="0073129A"/>
    <w:rsid w:val="00731946"/>
    <w:rsid w:val="00732805"/>
    <w:rsid w:val="00733A15"/>
    <w:rsid w:val="00733D02"/>
    <w:rsid w:val="0073458A"/>
    <w:rsid w:val="0073459C"/>
    <w:rsid w:val="00736023"/>
    <w:rsid w:val="007363E7"/>
    <w:rsid w:val="0073689B"/>
    <w:rsid w:val="0073690D"/>
    <w:rsid w:val="007375DB"/>
    <w:rsid w:val="00737D14"/>
    <w:rsid w:val="0074081A"/>
    <w:rsid w:val="00741022"/>
    <w:rsid w:val="007413BD"/>
    <w:rsid w:val="0074189E"/>
    <w:rsid w:val="0074251F"/>
    <w:rsid w:val="00742526"/>
    <w:rsid w:val="00742822"/>
    <w:rsid w:val="00743FF1"/>
    <w:rsid w:val="007446FE"/>
    <w:rsid w:val="00744A59"/>
    <w:rsid w:val="007450FE"/>
    <w:rsid w:val="007453F2"/>
    <w:rsid w:val="007458F7"/>
    <w:rsid w:val="0074783F"/>
    <w:rsid w:val="00747D13"/>
    <w:rsid w:val="0075009B"/>
    <w:rsid w:val="00750584"/>
    <w:rsid w:val="00750A85"/>
    <w:rsid w:val="00750EA0"/>
    <w:rsid w:val="007510A4"/>
    <w:rsid w:val="00751409"/>
    <w:rsid w:val="00751CFE"/>
    <w:rsid w:val="00751F64"/>
    <w:rsid w:val="0075206C"/>
    <w:rsid w:val="00752ABB"/>
    <w:rsid w:val="00752C1F"/>
    <w:rsid w:val="00752E5F"/>
    <w:rsid w:val="0075302F"/>
    <w:rsid w:val="00753ABB"/>
    <w:rsid w:val="00753B9D"/>
    <w:rsid w:val="00753C34"/>
    <w:rsid w:val="00754E64"/>
    <w:rsid w:val="007553A9"/>
    <w:rsid w:val="00755584"/>
    <w:rsid w:val="007564AA"/>
    <w:rsid w:val="007569A7"/>
    <w:rsid w:val="00756CB2"/>
    <w:rsid w:val="0076041E"/>
    <w:rsid w:val="007608E5"/>
    <w:rsid w:val="007624F0"/>
    <w:rsid w:val="0076257A"/>
    <w:rsid w:val="007637BF"/>
    <w:rsid w:val="00763945"/>
    <w:rsid w:val="0076531B"/>
    <w:rsid w:val="00765DB4"/>
    <w:rsid w:val="007662ED"/>
    <w:rsid w:val="0076633E"/>
    <w:rsid w:val="00766E7D"/>
    <w:rsid w:val="007675FA"/>
    <w:rsid w:val="00767D50"/>
    <w:rsid w:val="00767ECA"/>
    <w:rsid w:val="0077004A"/>
    <w:rsid w:val="00770220"/>
    <w:rsid w:val="007707DE"/>
    <w:rsid w:val="00770D5F"/>
    <w:rsid w:val="00771A8F"/>
    <w:rsid w:val="00771B3B"/>
    <w:rsid w:val="00771C5A"/>
    <w:rsid w:val="00771DFB"/>
    <w:rsid w:val="00771F62"/>
    <w:rsid w:val="00773678"/>
    <w:rsid w:val="00774311"/>
    <w:rsid w:val="00775172"/>
    <w:rsid w:val="007759F7"/>
    <w:rsid w:val="00775AD5"/>
    <w:rsid w:val="00776091"/>
    <w:rsid w:val="00781D62"/>
    <w:rsid w:val="00782227"/>
    <w:rsid w:val="00782763"/>
    <w:rsid w:val="00782C2C"/>
    <w:rsid w:val="00782DE2"/>
    <w:rsid w:val="00782EB1"/>
    <w:rsid w:val="0078319C"/>
    <w:rsid w:val="00783279"/>
    <w:rsid w:val="00783B0F"/>
    <w:rsid w:val="00783E94"/>
    <w:rsid w:val="00785788"/>
    <w:rsid w:val="00785CE4"/>
    <w:rsid w:val="007865A2"/>
    <w:rsid w:val="00786E3C"/>
    <w:rsid w:val="007871CE"/>
    <w:rsid w:val="00787363"/>
    <w:rsid w:val="00787699"/>
    <w:rsid w:val="00787C34"/>
    <w:rsid w:val="00790136"/>
    <w:rsid w:val="007910A4"/>
    <w:rsid w:val="007913D9"/>
    <w:rsid w:val="00791E07"/>
    <w:rsid w:val="00791E88"/>
    <w:rsid w:val="007922C3"/>
    <w:rsid w:val="007923D9"/>
    <w:rsid w:val="00792BF5"/>
    <w:rsid w:val="00792CB3"/>
    <w:rsid w:val="00793457"/>
    <w:rsid w:val="00793751"/>
    <w:rsid w:val="00793C4D"/>
    <w:rsid w:val="007949F2"/>
    <w:rsid w:val="00794F35"/>
    <w:rsid w:val="007A003E"/>
    <w:rsid w:val="007A0255"/>
    <w:rsid w:val="007A10C0"/>
    <w:rsid w:val="007A1F8E"/>
    <w:rsid w:val="007A2909"/>
    <w:rsid w:val="007A2927"/>
    <w:rsid w:val="007A3539"/>
    <w:rsid w:val="007A3D6A"/>
    <w:rsid w:val="007A4434"/>
    <w:rsid w:val="007A445F"/>
    <w:rsid w:val="007A4707"/>
    <w:rsid w:val="007A48F1"/>
    <w:rsid w:val="007A4F3C"/>
    <w:rsid w:val="007A4F91"/>
    <w:rsid w:val="007A57A1"/>
    <w:rsid w:val="007A5A36"/>
    <w:rsid w:val="007A5C05"/>
    <w:rsid w:val="007A5CA7"/>
    <w:rsid w:val="007A71A8"/>
    <w:rsid w:val="007A766F"/>
    <w:rsid w:val="007B0F78"/>
    <w:rsid w:val="007B13C1"/>
    <w:rsid w:val="007B2BD2"/>
    <w:rsid w:val="007B329C"/>
    <w:rsid w:val="007B37E3"/>
    <w:rsid w:val="007B4596"/>
    <w:rsid w:val="007B6A5C"/>
    <w:rsid w:val="007B73DD"/>
    <w:rsid w:val="007B7A6E"/>
    <w:rsid w:val="007C0108"/>
    <w:rsid w:val="007C0226"/>
    <w:rsid w:val="007C0B55"/>
    <w:rsid w:val="007C155F"/>
    <w:rsid w:val="007C1B2E"/>
    <w:rsid w:val="007C2059"/>
    <w:rsid w:val="007C24A8"/>
    <w:rsid w:val="007C2899"/>
    <w:rsid w:val="007C2DAB"/>
    <w:rsid w:val="007C3351"/>
    <w:rsid w:val="007C3BA7"/>
    <w:rsid w:val="007C3E5E"/>
    <w:rsid w:val="007C466E"/>
    <w:rsid w:val="007C523B"/>
    <w:rsid w:val="007C5E70"/>
    <w:rsid w:val="007C60C5"/>
    <w:rsid w:val="007C68F3"/>
    <w:rsid w:val="007C7455"/>
    <w:rsid w:val="007C794A"/>
    <w:rsid w:val="007D0669"/>
    <w:rsid w:val="007D0AAB"/>
    <w:rsid w:val="007D10A5"/>
    <w:rsid w:val="007D20E6"/>
    <w:rsid w:val="007D2815"/>
    <w:rsid w:val="007D2A2F"/>
    <w:rsid w:val="007D3622"/>
    <w:rsid w:val="007D39DB"/>
    <w:rsid w:val="007D3B89"/>
    <w:rsid w:val="007D4844"/>
    <w:rsid w:val="007D4B22"/>
    <w:rsid w:val="007D4CCC"/>
    <w:rsid w:val="007D4EEA"/>
    <w:rsid w:val="007D537C"/>
    <w:rsid w:val="007D659D"/>
    <w:rsid w:val="007D6A7F"/>
    <w:rsid w:val="007D7AE7"/>
    <w:rsid w:val="007D7E3A"/>
    <w:rsid w:val="007E0784"/>
    <w:rsid w:val="007E097E"/>
    <w:rsid w:val="007E1031"/>
    <w:rsid w:val="007E17CE"/>
    <w:rsid w:val="007E27F6"/>
    <w:rsid w:val="007E2E78"/>
    <w:rsid w:val="007E4416"/>
    <w:rsid w:val="007E5137"/>
    <w:rsid w:val="007E563B"/>
    <w:rsid w:val="007E6013"/>
    <w:rsid w:val="007E63A1"/>
    <w:rsid w:val="007E7540"/>
    <w:rsid w:val="007E79F7"/>
    <w:rsid w:val="007F0897"/>
    <w:rsid w:val="007F0F0F"/>
    <w:rsid w:val="007F1172"/>
    <w:rsid w:val="007F168A"/>
    <w:rsid w:val="007F1F62"/>
    <w:rsid w:val="007F2457"/>
    <w:rsid w:val="007F2779"/>
    <w:rsid w:val="007F3478"/>
    <w:rsid w:val="007F3E8A"/>
    <w:rsid w:val="007F45E3"/>
    <w:rsid w:val="007F509B"/>
    <w:rsid w:val="007F5321"/>
    <w:rsid w:val="007F5820"/>
    <w:rsid w:val="007F5B37"/>
    <w:rsid w:val="007F5E7C"/>
    <w:rsid w:val="007F62F4"/>
    <w:rsid w:val="007F641A"/>
    <w:rsid w:val="007F6C28"/>
    <w:rsid w:val="007F797B"/>
    <w:rsid w:val="0080231C"/>
    <w:rsid w:val="00802465"/>
    <w:rsid w:val="00802695"/>
    <w:rsid w:val="00804B36"/>
    <w:rsid w:val="00804E39"/>
    <w:rsid w:val="0080527A"/>
    <w:rsid w:val="008056BF"/>
    <w:rsid w:val="00806686"/>
    <w:rsid w:val="00806A21"/>
    <w:rsid w:val="008105B0"/>
    <w:rsid w:val="008108FB"/>
    <w:rsid w:val="00810C3A"/>
    <w:rsid w:val="00811633"/>
    <w:rsid w:val="00811797"/>
    <w:rsid w:val="00812DBD"/>
    <w:rsid w:val="00813155"/>
    <w:rsid w:val="008136F5"/>
    <w:rsid w:val="008138C1"/>
    <w:rsid w:val="00813B69"/>
    <w:rsid w:val="00813F4E"/>
    <w:rsid w:val="00813F82"/>
    <w:rsid w:val="00814FEA"/>
    <w:rsid w:val="0081509F"/>
    <w:rsid w:val="008152A8"/>
    <w:rsid w:val="00815BB8"/>
    <w:rsid w:val="00815D52"/>
    <w:rsid w:val="00815DBB"/>
    <w:rsid w:val="00815E2D"/>
    <w:rsid w:val="00815E65"/>
    <w:rsid w:val="00817409"/>
    <w:rsid w:val="008177C7"/>
    <w:rsid w:val="00820679"/>
    <w:rsid w:val="00820D6A"/>
    <w:rsid w:val="0082249A"/>
    <w:rsid w:val="00822B94"/>
    <w:rsid w:val="008235FB"/>
    <w:rsid w:val="008237C7"/>
    <w:rsid w:val="0082387A"/>
    <w:rsid w:val="00823980"/>
    <w:rsid w:val="008247D6"/>
    <w:rsid w:val="00824A3D"/>
    <w:rsid w:val="00825593"/>
    <w:rsid w:val="00826108"/>
    <w:rsid w:val="008261CE"/>
    <w:rsid w:val="008263EE"/>
    <w:rsid w:val="0082719D"/>
    <w:rsid w:val="008279DE"/>
    <w:rsid w:val="00827CB6"/>
    <w:rsid w:val="00827F30"/>
    <w:rsid w:val="0083001F"/>
    <w:rsid w:val="008304AC"/>
    <w:rsid w:val="0083118B"/>
    <w:rsid w:val="0083136A"/>
    <w:rsid w:val="00831B73"/>
    <w:rsid w:val="00832B0B"/>
    <w:rsid w:val="00832D97"/>
    <w:rsid w:val="00833156"/>
    <w:rsid w:val="00833189"/>
    <w:rsid w:val="008333B3"/>
    <w:rsid w:val="00833648"/>
    <w:rsid w:val="008337A1"/>
    <w:rsid w:val="00833C85"/>
    <w:rsid w:val="008348D2"/>
    <w:rsid w:val="00834B3D"/>
    <w:rsid w:val="00835139"/>
    <w:rsid w:val="00835FC2"/>
    <w:rsid w:val="00837598"/>
    <w:rsid w:val="00837D0C"/>
    <w:rsid w:val="00837D6A"/>
    <w:rsid w:val="008407A3"/>
    <w:rsid w:val="00840A1F"/>
    <w:rsid w:val="00841287"/>
    <w:rsid w:val="008419A1"/>
    <w:rsid w:val="00841A2C"/>
    <w:rsid w:val="0084222D"/>
    <w:rsid w:val="00842CEA"/>
    <w:rsid w:val="00842DA5"/>
    <w:rsid w:val="008436AC"/>
    <w:rsid w:val="00844AFF"/>
    <w:rsid w:val="008452B5"/>
    <w:rsid w:val="0084590D"/>
    <w:rsid w:val="00845CD1"/>
    <w:rsid w:val="0084638B"/>
    <w:rsid w:val="008472E4"/>
    <w:rsid w:val="008506A4"/>
    <w:rsid w:val="008506E6"/>
    <w:rsid w:val="008508E3"/>
    <w:rsid w:val="008509E2"/>
    <w:rsid w:val="0085136C"/>
    <w:rsid w:val="00851D31"/>
    <w:rsid w:val="00851DC3"/>
    <w:rsid w:val="00852C1F"/>
    <w:rsid w:val="00852E94"/>
    <w:rsid w:val="0085309B"/>
    <w:rsid w:val="00853A14"/>
    <w:rsid w:val="00854065"/>
    <w:rsid w:val="00854262"/>
    <w:rsid w:val="0085493B"/>
    <w:rsid w:val="00854A77"/>
    <w:rsid w:val="00855310"/>
    <w:rsid w:val="00855374"/>
    <w:rsid w:val="0085579E"/>
    <w:rsid w:val="008558D4"/>
    <w:rsid w:val="00855B88"/>
    <w:rsid w:val="00856694"/>
    <w:rsid w:val="00856CFB"/>
    <w:rsid w:val="00856D2D"/>
    <w:rsid w:val="00857548"/>
    <w:rsid w:val="00857C5A"/>
    <w:rsid w:val="00857CC9"/>
    <w:rsid w:val="00857E53"/>
    <w:rsid w:val="00860602"/>
    <w:rsid w:val="00860A1B"/>
    <w:rsid w:val="00860BCB"/>
    <w:rsid w:val="00860C2B"/>
    <w:rsid w:val="008612CD"/>
    <w:rsid w:val="00861E6D"/>
    <w:rsid w:val="00862582"/>
    <w:rsid w:val="00862797"/>
    <w:rsid w:val="00862A0D"/>
    <w:rsid w:val="00862B96"/>
    <w:rsid w:val="00862F78"/>
    <w:rsid w:val="008640D9"/>
    <w:rsid w:val="008644B9"/>
    <w:rsid w:val="008649BE"/>
    <w:rsid w:val="00864B35"/>
    <w:rsid w:val="00865C16"/>
    <w:rsid w:val="00865F1A"/>
    <w:rsid w:val="0086613D"/>
    <w:rsid w:val="0086636E"/>
    <w:rsid w:val="008671DD"/>
    <w:rsid w:val="00867516"/>
    <w:rsid w:val="00867C28"/>
    <w:rsid w:val="008701CB"/>
    <w:rsid w:val="00870970"/>
    <w:rsid w:val="0087099A"/>
    <w:rsid w:val="00870AC8"/>
    <w:rsid w:val="00870E38"/>
    <w:rsid w:val="00871213"/>
    <w:rsid w:val="008715EF"/>
    <w:rsid w:val="008718FF"/>
    <w:rsid w:val="00871B7C"/>
    <w:rsid w:val="00871E98"/>
    <w:rsid w:val="008722F2"/>
    <w:rsid w:val="00872B40"/>
    <w:rsid w:val="00872ED7"/>
    <w:rsid w:val="00873E35"/>
    <w:rsid w:val="00874C79"/>
    <w:rsid w:val="00875251"/>
    <w:rsid w:val="008758DF"/>
    <w:rsid w:val="00876B7B"/>
    <w:rsid w:val="00876BF9"/>
    <w:rsid w:val="00876D18"/>
    <w:rsid w:val="00876F21"/>
    <w:rsid w:val="00877FE9"/>
    <w:rsid w:val="0088015A"/>
    <w:rsid w:val="00880E0D"/>
    <w:rsid w:val="0088166D"/>
    <w:rsid w:val="008816EB"/>
    <w:rsid w:val="00881DA7"/>
    <w:rsid w:val="00882146"/>
    <w:rsid w:val="008823FF"/>
    <w:rsid w:val="00882A68"/>
    <w:rsid w:val="008850A4"/>
    <w:rsid w:val="0088585A"/>
    <w:rsid w:val="00885AB6"/>
    <w:rsid w:val="00885ABD"/>
    <w:rsid w:val="00885E30"/>
    <w:rsid w:val="008869E0"/>
    <w:rsid w:val="00887026"/>
    <w:rsid w:val="008871B6"/>
    <w:rsid w:val="008877D6"/>
    <w:rsid w:val="00887E10"/>
    <w:rsid w:val="00890277"/>
    <w:rsid w:val="0089081F"/>
    <w:rsid w:val="00890905"/>
    <w:rsid w:val="00891854"/>
    <w:rsid w:val="00891AD8"/>
    <w:rsid w:val="008921C3"/>
    <w:rsid w:val="008924E7"/>
    <w:rsid w:val="008924F3"/>
    <w:rsid w:val="00892F88"/>
    <w:rsid w:val="0089385C"/>
    <w:rsid w:val="00893E6E"/>
    <w:rsid w:val="00894B60"/>
    <w:rsid w:val="00894FE4"/>
    <w:rsid w:val="008959BD"/>
    <w:rsid w:val="00895A65"/>
    <w:rsid w:val="00895D2B"/>
    <w:rsid w:val="00896059"/>
    <w:rsid w:val="00896C2E"/>
    <w:rsid w:val="00896D94"/>
    <w:rsid w:val="00897B6B"/>
    <w:rsid w:val="008A04A2"/>
    <w:rsid w:val="008A0E72"/>
    <w:rsid w:val="008A1ACD"/>
    <w:rsid w:val="008A27C1"/>
    <w:rsid w:val="008A399E"/>
    <w:rsid w:val="008A4033"/>
    <w:rsid w:val="008A4633"/>
    <w:rsid w:val="008A4AAE"/>
    <w:rsid w:val="008A5648"/>
    <w:rsid w:val="008A5E6E"/>
    <w:rsid w:val="008A5EDE"/>
    <w:rsid w:val="008A70C4"/>
    <w:rsid w:val="008A7482"/>
    <w:rsid w:val="008A75BA"/>
    <w:rsid w:val="008A7629"/>
    <w:rsid w:val="008A772B"/>
    <w:rsid w:val="008A7CED"/>
    <w:rsid w:val="008B062B"/>
    <w:rsid w:val="008B09EE"/>
    <w:rsid w:val="008B1445"/>
    <w:rsid w:val="008B226B"/>
    <w:rsid w:val="008B2278"/>
    <w:rsid w:val="008B29D5"/>
    <w:rsid w:val="008B2E09"/>
    <w:rsid w:val="008B2F9E"/>
    <w:rsid w:val="008B327B"/>
    <w:rsid w:val="008B33A1"/>
    <w:rsid w:val="008B33B5"/>
    <w:rsid w:val="008B376D"/>
    <w:rsid w:val="008B3973"/>
    <w:rsid w:val="008B3E2E"/>
    <w:rsid w:val="008B3E7C"/>
    <w:rsid w:val="008B3EF5"/>
    <w:rsid w:val="008B4404"/>
    <w:rsid w:val="008B4A1B"/>
    <w:rsid w:val="008B5408"/>
    <w:rsid w:val="008B54EE"/>
    <w:rsid w:val="008B5B60"/>
    <w:rsid w:val="008B5E2B"/>
    <w:rsid w:val="008B73E2"/>
    <w:rsid w:val="008B755B"/>
    <w:rsid w:val="008B7A1C"/>
    <w:rsid w:val="008B7E03"/>
    <w:rsid w:val="008C009D"/>
    <w:rsid w:val="008C0143"/>
    <w:rsid w:val="008C1193"/>
    <w:rsid w:val="008C16E7"/>
    <w:rsid w:val="008C1B81"/>
    <w:rsid w:val="008C1DAA"/>
    <w:rsid w:val="008C232C"/>
    <w:rsid w:val="008C2809"/>
    <w:rsid w:val="008C2828"/>
    <w:rsid w:val="008C375E"/>
    <w:rsid w:val="008C379B"/>
    <w:rsid w:val="008C3D12"/>
    <w:rsid w:val="008C5991"/>
    <w:rsid w:val="008C6F49"/>
    <w:rsid w:val="008C7A57"/>
    <w:rsid w:val="008D1628"/>
    <w:rsid w:val="008D2082"/>
    <w:rsid w:val="008D20E5"/>
    <w:rsid w:val="008D2501"/>
    <w:rsid w:val="008D2D0F"/>
    <w:rsid w:val="008D3693"/>
    <w:rsid w:val="008D3FA8"/>
    <w:rsid w:val="008D4111"/>
    <w:rsid w:val="008D5253"/>
    <w:rsid w:val="008D5712"/>
    <w:rsid w:val="008D5DB3"/>
    <w:rsid w:val="008D5E4D"/>
    <w:rsid w:val="008D64C4"/>
    <w:rsid w:val="008D69E7"/>
    <w:rsid w:val="008D6B6A"/>
    <w:rsid w:val="008D78AA"/>
    <w:rsid w:val="008D7FC7"/>
    <w:rsid w:val="008E096F"/>
    <w:rsid w:val="008E13B2"/>
    <w:rsid w:val="008E14DE"/>
    <w:rsid w:val="008E19D4"/>
    <w:rsid w:val="008E1E0B"/>
    <w:rsid w:val="008E20D0"/>
    <w:rsid w:val="008E27FD"/>
    <w:rsid w:val="008E2A09"/>
    <w:rsid w:val="008E35E2"/>
    <w:rsid w:val="008E4AB4"/>
    <w:rsid w:val="008E50A9"/>
    <w:rsid w:val="008E5141"/>
    <w:rsid w:val="008E516C"/>
    <w:rsid w:val="008E60C2"/>
    <w:rsid w:val="008E6397"/>
    <w:rsid w:val="008E648B"/>
    <w:rsid w:val="008E6509"/>
    <w:rsid w:val="008E681C"/>
    <w:rsid w:val="008E7196"/>
    <w:rsid w:val="008E7271"/>
    <w:rsid w:val="008E75FF"/>
    <w:rsid w:val="008E773E"/>
    <w:rsid w:val="008E7D5C"/>
    <w:rsid w:val="008F042A"/>
    <w:rsid w:val="008F0554"/>
    <w:rsid w:val="008F056F"/>
    <w:rsid w:val="008F0DB9"/>
    <w:rsid w:val="008F104B"/>
    <w:rsid w:val="008F145E"/>
    <w:rsid w:val="008F183F"/>
    <w:rsid w:val="008F1F62"/>
    <w:rsid w:val="008F1FF6"/>
    <w:rsid w:val="008F21CB"/>
    <w:rsid w:val="008F2C14"/>
    <w:rsid w:val="008F2C2A"/>
    <w:rsid w:val="008F3FE7"/>
    <w:rsid w:val="008F557D"/>
    <w:rsid w:val="008F6BCA"/>
    <w:rsid w:val="008F7F17"/>
    <w:rsid w:val="00901C58"/>
    <w:rsid w:val="00903006"/>
    <w:rsid w:val="009038B5"/>
    <w:rsid w:val="00903998"/>
    <w:rsid w:val="00904251"/>
    <w:rsid w:val="00904324"/>
    <w:rsid w:val="009055C4"/>
    <w:rsid w:val="009057AF"/>
    <w:rsid w:val="00905DB6"/>
    <w:rsid w:val="009061D4"/>
    <w:rsid w:val="0090627B"/>
    <w:rsid w:val="00906798"/>
    <w:rsid w:val="00906A6D"/>
    <w:rsid w:val="00906B0E"/>
    <w:rsid w:val="00906DDE"/>
    <w:rsid w:val="0090712B"/>
    <w:rsid w:val="009074C9"/>
    <w:rsid w:val="00907F3E"/>
    <w:rsid w:val="0091016A"/>
    <w:rsid w:val="009105B9"/>
    <w:rsid w:val="00910CFB"/>
    <w:rsid w:val="009111A0"/>
    <w:rsid w:val="00912FD2"/>
    <w:rsid w:val="00913479"/>
    <w:rsid w:val="009134E0"/>
    <w:rsid w:val="00913E51"/>
    <w:rsid w:val="00914207"/>
    <w:rsid w:val="00914AF6"/>
    <w:rsid w:val="009161EE"/>
    <w:rsid w:val="009167B1"/>
    <w:rsid w:val="00917BC4"/>
    <w:rsid w:val="00920053"/>
    <w:rsid w:val="00920555"/>
    <w:rsid w:val="009206F8"/>
    <w:rsid w:val="0092255D"/>
    <w:rsid w:val="00922E89"/>
    <w:rsid w:val="00923008"/>
    <w:rsid w:val="00923529"/>
    <w:rsid w:val="00923C47"/>
    <w:rsid w:val="00923DDA"/>
    <w:rsid w:val="00923E62"/>
    <w:rsid w:val="00923F97"/>
    <w:rsid w:val="009243D1"/>
    <w:rsid w:val="00925989"/>
    <w:rsid w:val="00925B6D"/>
    <w:rsid w:val="00925D73"/>
    <w:rsid w:val="00925ED3"/>
    <w:rsid w:val="00926072"/>
    <w:rsid w:val="009260F6"/>
    <w:rsid w:val="00926551"/>
    <w:rsid w:val="00926592"/>
    <w:rsid w:val="009269E1"/>
    <w:rsid w:val="009305E1"/>
    <w:rsid w:val="009308BB"/>
    <w:rsid w:val="00931E86"/>
    <w:rsid w:val="009336A1"/>
    <w:rsid w:val="00933E70"/>
    <w:rsid w:val="00933EA5"/>
    <w:rsid w:val="009341E9"/>
    <w:rsid w:val="00934780"/>
    <w:rsid w:val="00935709"/>
    <w:rsid w:val="00937752"/>
    <w:rsid w:val="009377EC"/>
    <w:rsid w:val="00937FEB"/>
    <w:rsid w:val="009403E4"/>
    <w:rsid w:val="009403FF"/>
    <w:rsid w:val="0094160C"/>
    <w:rsid w:val="0094235E"/>
    <w:rsid w:val="00942EBC"/>
    <w:rsid w:val="009433CB"/>
    <w:rsid w:val="00943713"/>
    <w:rsid w:val="00944523"/>
    <w:rsid w:val="009446C4"/>
    <w:rsid w:val="00944FAA"/>
    <w:rsid w:val="009450C8"/>
    <w:rsid w:val="0094522C"/>
    <w:rsid w:val="0094552A"/>
    <w:rsid w:val="00945D51"/>
    <w:rsid w:val="00945F11"/>
    <w:rsid w:val="0094600F"/>
    <w:rsid w:val="009463B4"/>
    <w:rsid w:val="009463F9"/>
    <w:rsid w:val="0094677D"/>
    <w:rsid w:val="00946881"/>
    <w:rsid w:val="00947C83"/>
    <w:rsid w:val="00947F50"/>
    <w:rsid w:val="0095008D"/>
    <w:rsid w:val="00950205"/>
    <w:rsid w:val="00950EB2"/>
    <w:rsid w:val="00951789"/>
    <w:rsid w:val="00952A5A"/>
    <w:rsid w:val="00953575"/>
    <w:rsid w:val="00953C8D"/>
    <w:rsid w:val="00953E6B"/>
    <w:rsid w:val="0095409D"/>
    <w:rsid w:val="00954710"/>
    <w:rsid w:val="00954731"/>
    <w:rsid w:val="00954E48"/>
    <w:rsid w:val="009551C8"/>
    <w:rsid w:val="009553DD"/>
    <w:rsid w:val="00955DEE"/>
    <w:rsid w:val="00955EEB"/>
    <w:rsid w:val="00956478"/>
    <w:rsid w:val="00956549"/>
    <w:rsid w:val="009566B2"/>
    <w:rsid w:val="009568C5"/>
    <w:rsid w:val="009579BE"/>
    <w:rsid w:val="00960297"/>
    <w:rsid w:val="00961AD9"/>
    <w:rsid w:val="00961D1A"/>
    <w:rsid w:val="0096266B"/>
    <w:rsid w:val="00962F24"/>
    <w:rsid w:val="0096334F"/>
    <w:rsid w:val="00964026"/>
    <w:rsid w:val="00964315"/>
    <w:rsid w:val="009644B3"/>
    <w:rsid w:val="009652BD"/>
    <w:rsid w:val="009654A4"/>
    <w:rsid w:val="00965849"/>
    <w:rsid w:val="00966346"/>
    <w:rsid w:val="009669B1"/>
    <w:rsid w:val="0096754D"/>
    <w:rsid w:val="009676EF"/>
    <w:rsid w:val="0096786B"/>
    <w:rsid w:val="00970498"/>
    <w:rsid w:val="00970557"/>
    <w:rsid w:val="00970648"/>
    <w:rsid w:val="009706F4"/>
    <w:rsid w:val="00971185"/>
    <w:rsid w:val="00971564"/>
    <w:rsid w:val="00971B19"/>
    <w:rsid w:val="009725B2"/>
    <w:rsid w:val="00972DC3"/>
    <w:rsid w:val="0097371B"/>
    <w:rsid w:val="009738EB"/>
    <w:rsid w:val="0097403D"/>
    <w:rsid w:val="0097439B"/>
    <w:rsid w:val="009744C2"/>
    <w:rsid w:val="009745C1"/>
    <w:rsid w:val="00974C3D"/>
    <w:rsid w:val="00974C7A"/>
    <w:rsid w:val="00974E0F"/>
    <w:rsid w:val="00975772"/>
    <w:rsid w:val="00975888"/>
    <w:rsid w:val="00975E86"/>
    <w:rsid w:val="009760FB"/>
    <w:rsid w:val="00976480"/>
    <w:rsid w:val="00980571"/>
    <w:rsid w:val="009807F4"/>
    <w:rsid w:val="00980C50"/>
    <w:rsid w:val="00980E81"/>
    <w:rsid w:val="009810CA"/>
    <w:rsid w:val="0098156D"/>
    <w:rsid w:val="009820CF"/>
    <w:rsid w:val="00982826"/>
    <w:rsid w:val="0098285E"/>
    <w:rsid w:val="00982EF8"/>
    <w:rsid w:val="009839C4"/>
    <w:rsid w:val="00983DA2"/>
    <w:rsid w:val="00984A21"/>
    <w:rsid w:val="00984F36"/>
    <w:rsid w:val="0098571A"/>
    <w:rsid w:val="009858D4"/>
    <w:rsid w:val="00985BF6"/>
    <w:rsid w:val="00986000"/>
    <w:rsid w:val="009866BB"/>
    <w:rsid w:val="009868E5"/>
    <w:rsid w:val="00986CCA"/>
    <w:rsid w:val="00987CF8"/>
    <w:rsid w:val="009903BB"/>
    <w:rsid w:val="0099065A"/>
    <w:rsid w:val="00993DFB"/>
    <w:rsid w:val="0099417A"/>
    <w:rsid w:val="0099545A"/>
    <w:rsid w:val="009960DB"/>
    <w:rsid w:val="0099670D"/>
    <w:rsid w:val="009A0969"/>
    <w:rsid w:val="009A0F47"/>
    <w:rsid w:val="009A18B3"/>
    <w:rsid w:val="009A196A"/>
    <w:rsid w:val="009A1C12"/>
    <w:rsid w:val="009A2246"/>
    <w:rsid w:val="009A283D"/>
    <w:rsid w:val="009A2DD0"/>
    <w:rsid w:val="009A32C7"/>
    <w:rsid w:val="009A3519"/>
    <w:rsid w:val="009A35EA"/>
    <w:rsid w:val="009A3B3E"/>
    <w:rsid w:val="009A4007"/>
    <w:rsid w:val="009A4481"/>
    <w:rsid w:val="009A44BF"/>
    <w:rsid w:val="009A46E0"/>
    <w:rsid w:val="009A4ADC"/>
    <w:rsid w:val="009A5A4D"/>
    <w:rsid w:val="009A5E42"/>
    <w:rsid w:val="009A6215"/>
    <w:rsid w:val="009A6247"/>
    <w:rsid w:val="009A6F39"/>
    <w:rsid w:val="009A72FA"/>
    <w:rsid w:val="009A7415"/>
    <w:rsid w:val="009A7C7A"/>
    <w:rsid w:val="009B0215"/>
    <w:rsid w:val="009B05F8"/>
    <w:rsid w:val="009B1B6E"/>
    <w:rsid w:val="009B1D9E"/>
    <w:rsid w:val="009B207C"/>
    <w:rsid w:val="009B2CB3"/>
    <w:rsid w:val="009B2DB4"/>
    <w:rsid w:val="009B34E6"/>
    <w:rsid w:val="009B3565"/>
    <w:rsid w:val="009B3645"/>
    <w:rsid w:val="009B3B55"/>
    <w:rsid w:val="009B437C"/>
    <w:rsid w:val="009B46E3"/>
    <w:rsid w:val="009B47CF"/>
    <w:rsid w:val="009B4C62"/>
    <w:rsid w:val="009B52A0"/>
    <w:rsid w:val="009B52C9"/>
    <w:rsid w:val="009B52F2"/>
    <w:rsid w:val="009B53A1"/>
    <w:rsid w:val="009B5AE1"/>
    <w:rsid w:val="009B7171"/>
    <w:rsid w:val="009B7AFC"/>
    <w:rsid w:val="009B7CE0"/>
    <w:rsid w:val="009C0567"/>
    <w:rsid w:val="009C072B"/>
    <w:rsid w:val="009C0BAE"/>
    <w:rsid w:val="009C10A6"/>
    <w:rsid w:val="009C17B8"/>
    <w:rsid w:val="009C1975"/>
    <w:rsid w:val="009C1A32"/>
    <w:rsid w:val="009C1A4A"/>
    <w:rsid w:val="009C1DED"/>
    <w:rsid w:val="009C2075"/>
    <w:rsid w:val="009C2635"/>
    <w:rsid w:val="009C2C0D"/>
    <w:rsid w:val="009C2DDA"/>
    <w:rsid w:val="009C3192"/>
    <w:rsid w:val="009C344D"/>
    <w:rsid w:val="009C35BA"/>
    <w:rsid w:val="009C36AC"/>
    <w:rsid w:val="009C3DB5"/>
    <w:rsid w:val="009C3EBC"/>
    <w:rsid w:val="009C4084"/>
    <w:rsid w:val="009C457D"/>
    <w:rsid w:val="009C4A22"/>
    <w:rsid w:val="009C4B5A"/>
    <w:rsid w:val="009C4BB1"/>
    <w:rsid w:val="009C4DE2"/>
    <w:rsid w:val="009C55B9"/>
    <w:rsid w:val="009C7A85"/>
    <w:rsid w:val="009C7C2D"/>
    <w:rsid w:val="009D0825"/>
    <w:rsid w:val="009D0DED"/>
    <w:rsid w:val="009D12D0"/>
    <w:rsid w:val="009D135E"/>
    <w:rsid w:val="009D13E7"/>
    <w:rsid w:val="009D1547"/>
    <w:rsid w:val="009D165C"/>
    <w:rsid w:val="009D182C"/>
    <w:rsid w:val="009D1974"/>
    <w:rsid w:val="009D1FE8"/>
    <w:rsid w:val="009D2079"/>
    <w:rsid w:val="009D209E"/>
    <w:rsid w:val="009D2150"/>
    <w:rsid w:val="009D2404"/>
    <w:rsid w:val="009D24C2"/>
    <w:rsid w:val="009D2D4F"/>
    <w:rsid w:val="009D2E31"/>
    <w:rsid w:val="009D36FB"/>
    <w:rsid w:val="009D4566"/>
    <w:rsid w:val="009D4D9A"/>
    <w:rsid w:val="009D639A"/>
    <w:rsid w:val="009D7107"/>
    <w:rsid w:val="009D75B5"/>
    <w:rsid w:val="009E0F40"/>
    <w:rsid w:val="009E1475"/>
    <w:rsid w:val="009E14EB"/>
    <w:rsid w:val="009E1928"/>
    <w:rsid w:val="009E20DF"/>
    <w:rsid w:val="009E2347"/>
    <w:rsid w:val="009E271F"/>
    <w:rsid w:val="009E2ADD"/>
    <w:rsid w:val="009E43A3"/>
    <w:rsid w:val="009E43C4"/>
    <w:rsid w:val="009E56E4"/>
    <w:rsid w:val="009E5FBC"/>
    <w:rsid w:val="009E62C7"/>
    <w:rsid w:val="009E6444"/>
    <w:rsid w:val="009E65CF"/>
    <w:rsid w:val="009E6B77"/>
    <w:rsid w:val="009E7AD6"/>
    <w:rsid w:val="009F0810"/>
    <w:rsid w:val="009F086F"/>
    <w:rsid w:val="009F08FF"/>
    <w:rsid w:val="009F0FD9"/>
    <w:rsid w:val="009F1911"/>
    <w:rsid w:val="009F199F"/>
    <w:rsid w:val="009F25FA"/>
    <w:rsid w:val="009F339A"/>
    <w:rsid w:val="009F3501"/>
    <w:rsid w:val="009F38FB"/>
    <w:rsid w:val="009F3B8C"/>
    <w:rsid w:val="009F4263"/>
    <w:rsid w:val="009F43C5"/>
    <w:rsid w:val="009F4B43"/>
    <w:rsid w:val="009F4F40"/>
    <w:rsid w:val="009F5235"/>
    <w:rsid w:val="009F5E81"/>
    <w:rsid w:val="009F63B9"/>
    <w:rsid w:val="009F6F43"/>
    <w:rsid w:val="009F7565"/>
    <w:rsid w:val="00A00231"/>
    <w:rsid w:val="00A01248"/>
    <w:rsid w:val="00A01334"/>
    <w:rsid w:val="00A019F9"/>
    <w:rsid w:val="00A02385"/>
    <w:rsid w:val="00A02A2A"/>
    <w:rsid w:val="00A02C67"/>
    <w:rsid w:val="00A03169"/>
    <w:rsid w:val="00A031CA"/>
    <w:rsid w:val="00A03F86"/>
    <w:rsid w:val="00A048E2"/>
    <w:rsid w:val="00A04C9E"/>
    <w:rsid w:val="00A05A7C"/>
    <w:rsid w:val="00A05E2D"/>
    <w:rsid w:val="00A06160"/>
    <w:rsid w:val="00A064FE"/>
    <w:rsid w:val="00A06A81"/>
    <w:rsid w:val="00A0717B"/>
    <w:rsid w:val="00A074D9"/>
    <w:rsid w:val="00A07D35"/>
    <w:rsid w:val="00A07D91"/>
    <w:rsid w:val="00A10621"/>
    <w:rsid w:val="00A109D0"/>
    <w:rsid w:val="00A10CFE"/>
    <w:rsid w:val="00A114D4"/>
    <w:rsid w:val="00A121EE"/>
    <w:rsid w:val="00A12325"/>
    <w:rsid w:val="00A125D2"/>
    <w:rsid w:val="00A1362E"/>
    <w:rsid w:val="00A13BF6"/>
    <w:rsid w:val="00A14335"/>
    <w:rsid w:val="00A1443D"/>
    <w:rsid w:val="00A1486C"/>
    <w:rsid w:val="00A150A5"/>
    <w:rsid w:val="00A151AE"/>
    <w:rsid w:val="00A154C7"/>
    <w:rsid w:val="00A158E3"/>
    <w:rsid w:val="00A15C25"/>
    <w:rsid w:val="00A17C20"/>
    <w:rsid w:val="00A20059"/>
    <w:rsid w:val="00A20681"/>
    <w:rsid w:val="00A206FA"/>
    <w:rsid w:val="00A20965"/>
    <w:rsid w:val="00A20D9F"/>
    <w:rsid w:val="00A20F6E"/>
    <w:rsid w:val="00A2173F"/>
    <w:rsid w:val="00A21C06"/>
    <w:rsid w:val="00A22B71"/>
    <w:rsid w:val="00A22BA3"/>
    <w:rsid w:val="00A22D20"/>
    <w:rsid w:val="00A2347A"/>
    <w:rsid w:val="00A2562A"/>
    <w:rsid w:val="00A2605C"/>
    <w:rsid w:val="00A263F5"/>
    <w:rsid w:val="00A27667"/>
    <w:rsid w:val="00A3012A"/>
    <w:rsid w:val="00A3013C"/>
    <w:rsid w:val="00A3036D"/>
    <w:rsid w:val="00A305E7"/>
    <w:rsid w:val="00A3094B"/>
    <w:rsid w:val="00A30C42"/>
    <w:rsid w:val="00A32746"/>
    <w:rsid w:val="00A32749"/>
    <w:rsid w:val="00A33ADA"/>
    <w:rsid w:val="00A3412A"/>
    <w:rsid w:val="00A34BCB"/>
    <w:rsid w:val="00A350A1"/>
    <w:rsid w:val="00A35BC3"/>
    <w:rsid w:val="00A36BAF"/>
    <w:rsid w:val="00A36D68"/>
    <w:rsid w:val="00A37058"/>
    <w:rsid w:val="00A373E1"/>
    <w:rsid w:val="00A3740B"/>
    <w:rsid w:val="00A37A51"/>
    <w:rsid w:val="00A40F87"/>
    <w:rsid w:val="00A40FAE"/>
    <w:rsid w:val="00A4108C"/>
    <w:rsid w:val="00A41211"/>
    <w:rsid w:val="00A4146F"/>
    <w:rsid w:val="00A42048"/>
    <w:rsid w:val="00A42182"/>
    <w:rsid w:val="00A4268F"/>
    <w:rsid w:val="00A43234"/>
    <w:rsid w:val="00A4399B"/>
    <w:rsid w:val="00A43C75"/>
    <w:rsid w:val="00A45641"/>
    <w:rsid w:val="00A45A8D"/>
    <w:rsid w:val="00A45FA8"/>
    <w:rsid w:val="00A46347"/>
    <w:rsid w:val="00A463CA"/>
    <w:rsid w:val="00A46947"/>
    <w:rsid w:val="00A46EB9"/>
    <w:rsid w:val="00A50443"/>
    <w:rsid w:val="00A505D1"/>
    <w:rsid w:val="00A52D0B"/>
    <w:rsid w:val="00A546BA"/>
    <w:rsid w:val="00A5482D"/>
    <w:rsid w:val="00A550AD"/>
    <w:rsid w:val="00A55702"/>
    <w:rsid w:val="00A55778"/>
    <w:rsid w:val="00A55859"/>
    <w:rsid w:val="00A55F30"/>
    <w:rsid w:val="00A56476"/>
    <w:rsid w:val="00A5699C"/>
    <w:rsid w:val="00A56E85"/>
    <w:rsid w:val="00A60085"/>
    <w:rsid w:val="00A600A9"/>
    <w:rsid w:val="00A60DD1"/>
    <w:rsid w:val="00A60E10"/>
    <w:rsid w:val="00A61187"/>
    <w:rsid w:val="00A616AD"/>
    <w:rsid w:val="00A61709"/>
    <w:rsid w:val="00A618EC"/>
    <w:rsid w:val="00A619AC"/>
    <w:rsid w:val="00A61BFF"/>
    <w:rsid w:val="00A620CA"/>
    <w:rsid w:val="00A62215"/>
    <w:rsid w:val="00A623D3"/>
    <w:rsid w:val="00A62441"/>
    <w:rsid w:val="00A63042"/>
    <w:rsid w:val="00A6336A"/>
    <w:rsid w:val="00A634A1"/>
    <w:rsid w:val="00A64560"/>
    <w:rsid w:val="00A647F5"/>
    <w:rsid w:val="00A64A99"/>
    <w:rsid w:val="00A64AB3"/>
    <w:rsid w:val="00A65CDB"/>
    <w:rsid w:val="00A66299"/>
    <w:rsid w:val="00A667C5"/>
    <w:rsid w:val="00A674E1"/>
    <w:rsid w:val="00A679A0"/>
    <w:rsid w:val="00A67AD0"/>
    <w:rsid w:val="00A7069D"/>
    <w:rsid w:val="00A70E19"/>
    <w:rsid w:val="00A71C71"/>
    <w:rsid w:val="00A71EDD"/>
    <w:rsid w:val="00A72605"/>
    <w:rsid w:val="00A729EB"/>
    <w:rsid w:val="00A72F06"/>
    <w:rsid w:val="00A730C0"/>
    <w:rsid w:val="00A734E9"/>
    <w:rsid w:val="00A745CC"/>
    <w:rsid w:val="00A75179"/>
    <w:rsid w:val="00A75918"/>
    <w:rsid w:val="00A75D41"/>
    <w:rsid w:val="00A76276"/>
    <w:rsid w:val="00A764A8"/>
    <w:rsid w:val="00A77308"/>
    <w:rsid w:val="00A7748B"/>
    <w:rsid w:val="00A779DA"/>
    <w:rsid w:val="00A77F2D"/>
    <w:rsid w:val="00A80351"/>
    <w:rsid w:val="00A80551"/>
    <w:rsid w:val="00A8166C"/>
    <w:rsid w:val="00A82809"/>
    <w:rsid w:val="00A82B44"/>
    <w:rsid w:val="00A8375B"/>
    <w:rsid w:val="00A83823"/>
    <w:rsid w:val="00A84574"/>
    <w:rsid w:val="00A84DDC"/>
    <w:rsid w:val="00A8506E"/>
    <w:rsid w:val="00A854CF"/>
    <w:rsid w:val="00A857FC"/>
    <w:rsid w:val="00A85CEC"/>
    <w:rsid w:val="00A85DE3"/>
    <w:rsid w:val="00A86058"/>
    <w:rsid w:val="00A86DB5"/>
    <w:rsid w:val="00A876A2"/>
    <w:rsid w:val="00A876C1"/>
    <w:rsid w:val="00A87CA1"/>
    <w:rsid w:val="00A87E80"/>
    <w:rsid w:val="00A901BC"/>
    <w:rsid w:val="00A9058F"/>
    <w:rsid w:val="00A905DE"/>
    <w:rsid w:val="00A9238E"/>
    <w:rsid w:val="00A9361B"/>
    <w:rsid w:val="00A936A7"/>
    <w:rsid w:val="00A9390C"/>
    <w:rsid w:val="00A947C9"/>
    <w:rsid w:val="00A949F0"/>
    <w:rsid w:val="00A94FF7"/>
    <w:rsid w:val="00A950DC"/>
    <w:rsid w:val="00A9585B"/>
    <w:rsid w:val="00A96A71"/>
    <w:rsid w:val="00A970CC"/>
    <w:rsid w:val="00A973E1"/>
    <w:rsid w:val="00A97430"/>
    <w:rsid w:val="00AA08DC"/>
    <w:rsid w:val="00AA1024"/>
    <w:rsid w:val="00AA17DB"/>
    <w:rsid w:val="00AA1813"/>
    <w:rsid w:val="00AA33D2"/>
    <w:rsid w:val="00AA3FF7"/>
    <w:rsid w:val="00AA483A"/>
    <w:rsid w:val="00AA4D57"/>
    <w:rsid w:val="00AA5998"/>
    <w:rsid w:val="00AA6E2D"/>
    <w:rsid w:val="00AA7071"/>
    <w:rsid w:val="00AA7724"/>
    <w:rsid w:val="00AA7EC5"/>
    <w:rsid w:val="00AB0120"/>
    <w:rsid w:val="00AB0535"/>
    <w:rsid w:val="00AB0873"/>
    <w:rsid w:val="00AB12DF"/>
    <w:rsid w:val="00AB210B"/>
    <w:rsid w:val="00AB2211"/>
    <w:rsid w:val="00AB2225"/>
    <w:rsid w:val="00AB2950"/>
    <w:rsid w:val="00AB3C9B"/>
    <w:rsid w:val="00AB600B"/>
    <w:rsid w:val="00AB659C"/>
    <w:rsid w:val="00AB6732"/>
    <w:rsid w:val="00AB6785"/>
    <w:rsid w:val="00AB7D4C"/>
    <w:rsid w:val="00AB7E3F"/>
    <w:rsid w:val="00AC126A"/>
    <w:rsid w:val="00AC1526"/>
    <w:rsid w:val="00AC1658"/>
    <w:rsid w:val="00AC174B"/>
    <w:rsid w:val="00AC1B22"/>
    <w:rsid w:val="00AC1BFA"/>
    <w:rsid w:val="00AC1C4A"/>
    <w:rsid w:val="00AC222D"/>
    <w:rsid w:val="00AC22CA"/>
    <w:rsid w:val="00AC268C"/>
    <w:rsid w:val="00AC2805"/>
    <w:rsid w:val="00AC2DB9"/>
    <w:rsid w:val="00AC3610"/>
    <w:rsid w:val="00AC397F"/>
    <w:rsid w:val="00AC3CC3"/>
    <w:rsid w:val="00AC41AD"/>
    <w:rsid w:val="00AC47DB"/>
    <w:rsid w:val="00AC49CF"/>
    <w:rsid w:val="00AC4AF1"/>
    <w:rsid w:val="00AC594B"/>
    <w:rsid w:val="00AC61A9"/>
    <w:rsid w:val="00AC6264"/>
    <w:rsid w:val="00AC6B60"/>
    <w:rsid w:val="00AC6BCD"/>
    <w:rsid w:val="00AC6C08"/>
    <w:rsid w:val="00AC737A"/>
    <w:rsid w:val="00AD005A"/>
    <w:rsid w:val="00AD0D43"/>
    <w:rsid w:val="00AD1A50"/>
    <w:rsid w:val="00AD1B7C"/>
    <w:rsid w:val="00AD2D0B"/>
    <w:rsid w:val="00AD3A5E"/>
    <w:rsid w:val="00AD3D6C"/>
    <w:rsid w:val="00AD3DF4"/>
    <w:rsid w:val="00AD4CA3"/>
    <w:rsid w:val="00AD4E33"/>
    <w:rsid w:val="00AD5A25"/>
    <w:rsid w:val="00AD6106"/>
    <w:rsid w:val="00AD642C"/>
    <w:rsid w:val="00AD6892"/>
    <w:rsid w:val="00AD744B"/>
    <w:rsid w:val="00AE0396"/>
    <w:rsid w:val="00AE0AC6"/>
    <w:rsid w:val="00AE0D15"/>
    <w:rsid w:val="00AE104D"/>
    <w:rsid w:val="00AE1294"/>
    <w:rsid w:val="00AE134A"/>
    <w:rsid w:val="00AE16F1"/>
    <w:rsid w:val="00AE3089"/>
    <w:rsid w:val="00AE317C"/>
    <w:rsid w:val="00AE3330"/>
    <w:rsid w:val="00AE46F1"/>
    <w:rsid w:val="00AE4E3B"/>
    <w:rsid w:val="00AE50E8"/>
    <w:rsid w:val="00AE579C"/>
    <w:rsid w:val="00AE57E8"/>
    <w:rsid w:val="00AF0254"/>
    <w:rsid w:val="00AF0D38"/>
    <w:rsid w:val="00AF1A5F"/>
    <w:rsid w:val="00AF1A82"/>
    <w:rsid w:val="00AF1CFF"/>
    <w:rsid w:val="00AF1E11"/>
    <w:rsid w:val="00AF4455"/>
    <w:rsid w:val="00AF46BC"/>
    <w:rsid w:val="00AF4B2C"/>
    <w:rsid w:val="00AF55B4"/>
    <w:rsid w:val="00AF5C2B"/>
    <w:rsid w:val="00AF60AC"/>
    <w:rsid w:val="00AF70EE"/>
    <w:rsid w:val="00AF7486"/>
    <w:rsid w:val="00B00373"/>
    <w:rsid w:val="00B008E2"/>
    <w:rsid w:val="00B00BD3"/>
    <w:rsid w:val="00B00C4A"/>
    <w:rsid w:val="00B01A02"/>
    <w:rsid w:val="00B02390"/>
    <w:rsid w:val="00B03177"/>
    <w:rsid w:val="00B04473"/>
    <w:rsid w:val="00B050D1"/>
    <w:rsid w:val="00B055D9"/>
    <w:rsid w:val="00B05725"/>
    <w:rsid w:val="00B057D1"/>
    <w:rsid w:val="00B0650A"/>
    <w:rsid w:val="00B06EC9"/>
    <w:rsid w:val="00B07DC6"/>
    <w:rsid w:val="00B07F1D"/>
    <w:rsid w:val="00B108DC"/>
    <w:rsid w:val="00B10B26"/>
    <w:rsid w:val="00B111B2"/>
    <w:rsid w:val="00B11338"/>
    <w:rsid w:val="00B11387"/>
    <w:rsid w:val="00B115D2"/>
    <w:rsid w:val="00B11B77"/>
    <w:rsid w:val="00B11F21"/>
    <w:rsid w:val="00B128A2"/>
    <w:rsid w:val="00B12A55"/>
    <w:rsid w:val="00B1323D"/>
    <w:rsid w:val="00B13947"/>
    <w:rsid w:val="00B13C21"/>
    <w:rsid w:val="00B13C57"/>
    <w:rsid w:val="00B13F1F"/>
    <w:rsid w:val="00B14387"/>
    <w:rsid w:val="00B14563"/>
    <w:rsid w:val="00B1462B"/>
    <w:rsid w:val="00B14A56"/>
    <w:rsid w:val="00B14E16"/>
    <w:rsid w:val="00B17483"/>
    <w:rsid w:val="00B17C6F"/>
    <w:rsid w:val="00B2001E"/>
    <w:rsid w:val="00B207C7"/>
    <w:rsid w:val="00B20A8F"/>
    <w:rsid w:val="00B20B0A"/>
    <w:rsid w:val="00B21417"/>
    <w:rsid w:val="00B21F89"/>
    <w:rsid w:val="00B220AE"/>
    <w:rsid w:val="00B22ABF"/>
    <w:rsid w:val="00B22C78"/>
    <w:rsid w:val="00B23421"/>
    <w:rsid w:val="00B23599"/>
    <w:rsid w:val="00B23D0A"/>
    <w:rsid w:val="00B23D93"/>
    <w:rsid w:val="00B267BC"/>
    <w:rsid w:val="00B27B52"/>
    <w:rsid w:val="00B301D4"/>
    <w:rsid w:val="00B302D3"/>
    <w:rsid w:val="00B3064A"/>
    <w:rsid w:val="00B30C64"/>
    <w:rsid w:val="00B31182"/>
    <w:rsid w:val="00B311A5"/>
    <w:rsid w:val="00B3123B"/>
    <w:rsid w:val="00B31A0E"/>
    <w:rsid w:val="00B31AE7"/>
    <w:rsid w:val="00B31CD4"/>
    <w:rsid w:val="00B328CF"/>
    <w:rsid w:val="00B3310C"/>
    <w:rsid w:val="00B33245"/>
    <w:rsid w:val="00B333A0"/>
    <w:rsid w:val="00B34132"/>
    <w:rsid w:val="00B3418C"/>
    <w:rsid w:val="00B3436C"/>
    <w:rsid w:val="00B3468D"/>
    <w:rsid w:val="00B34A9B"/>
    <w:rsid w:val="00B34B0E"/>
    <w:rsid w:val="00B350C1"/>
    <w:rsid w:val="00B35607"/>
    <w:rsid w:val="00B3585E"/>
    <w:rsid w:val="00B35DA9"/>
    <w:rsid w:val="00B35E2E"/>
    <w:rsid w:val="00B36397"/>
    <w:rsid w:val="00B3699E"/>
    <w:rsid w:val="00B36DF4"/>
    <w:rsid w:val="00B379BC"/>
    <w:rsid w:val="00B401A8"/>
    <w:rsid w:val="00B40552"/>
    <w:rsid w:val="00B40957"/>
    <w:rsid w:val="00B40A73"/>
    <w:rsid w:val="00B40ABF"/>
    <w:rsid w:val="00B41FCF"/>
    <w:rsid w:val="00B4220F"/>
    <w:rsid w:val="00B42470"/>
    <w:rsid w:val="00B42519"/>
    <w:rsid w:val="00B42904"/>
    <w:rsid w:val="00B42961"/>
    <w:rsid w:val="00B429B3"/>
    <w:rsid w:val="00B42F11"/>
    <w:rsid w:val="00B43165"/>
    <w:rsid w:val="00B436A4"/>
    <w:rsid w:val="00B44785"/>
    <w:rsid w:val="00B45151"/>
    <w:rsid w:val="00B457A3"/>
    <w:rsid w:val="00B45AF2"/>
    <w:rsid w:val="00B45E59"/>
    <w:rsid w:val="00B4631C"/>
    <w:rsid w:val="00B4657B"/>
    <w:rsid w:val="00B46B00"/>
    <w:rsid w:val="00B473E7"/>
    <w:rsid w:val="00B5046A"/>
    <w:rsid w:val="00B50BAF"/>
    <w:rsid w:val="00B51392"/>
    <w:rsid w:val="00B514EA"/>
    <w:rsid w:val="00B51802"/>
    <w:rsid w:val="00B535C8"/>
    <w:rsid w:val="00B536CF"/>
    <w:rsid w:val="00B53C72"/>
    <w:rsid w:val="00B5430D"/>
    <w:rsid w:val="00B54A66"/>
    <w:rsid w:val="00B5506C"/>
    <w:rsid w:val="00B55723"/>
    <w:rsid w:val="00B55E43"/>
    <w:rsid w:val="00B5626E"/>
    <w:rsid w:val="00B567E5"/>
    <w:rsid w:val="00B56BBD"/>
    <w:rsid w:val="00B5772D"/>
    <w:rsid w:val="00B577E1"/>
    <w:rsid w:val="00B60D37"/>
    <w:rsid w:val="00B61F09"/>
    <w:rsid w:val="00B63CE8"/>
    <w:rsid w:val="00B651F3"/>
    <w:rsid w:val="00B6538B"/>
    <w:rsid w:val="00B65757"/>
    <w:rsid w:val="00B65CEE"/>
    <w:rsid w:val="00B663E9"/>
    <w:rsid w:val="00B66EB0"/>
    <w:rsid w:val="00B67527"/>
    <w:rsid w:val="00B67C9E"/>
    <w:rsid w:val="00B7038C"/>
    <w:rsid w:val="00B710EF"/>
    <w:rsid w:val="00B7124B"/>
    <w:rsid w:val="00B71354"/>
    <w:rsid w:val="00B718CE"/>
    <w:rsid w:val="00B719B3"/>
    <w:rsid w:val="00B7201E"/>
    <w:rsid w:val="00B720A8"/>
    <w:rsid w:val="00B7247F"/>
    <w:rsid w:val="00B73E3D"/>
    <w:rsid w:val="00B740F0"/>
    <w:rsid w:val="00B742BD"/>
    <w:rsid w:val="00B74970"/>
    <w:rsid w:val="00B74F7D"/>
    <w:rsid w:val="00B74FDF"/>
    <w:rsid w:val="00B75E33"/>
    <w:rsid w:val="00B7642C"/>
    <w:rsid w:val="00B7643B"/>
    <w:rsid w:val="00B766C7"/>
    <w:rsid w:val="00B768C3"/>
    <w:rsid w:val="00B7757C"/>
    <w:rsid w:val="00B77C79"/>
    <w:rsid w:val="00B80D0C"/>
    <w:rsid w:val="00B80D29"/>
    <w:rsid w:val="00B8220A"/>
    <w:rsid w:val="00B83162"/>
    <w:rsid w:val="00B8424E"/>
    <w:rsid w:val="00B844D3"/>
    <w:rsid w:val="00B84A63"/>
    <w:rsid w:val="00B84CFD"/>
    <w:rsid w:val="00B84E81"/>
    <w:rsid w:val="00B852E0"/>
    <w:rsid w:val="00B85401"/>
    <w:rsid w:val="00B8549D"/>
    <w:rsid w:val="00B85AD5"/>
    <w:rsid w:val="00B86465"/>
    <w:rsid w:val="00B87E04"/>
    <w:rsid w:val="00B87F8A"/>
    <w:rsid w:val="00B9086D"/>
    <w:rsid w:val="00B910F6"/>
    <w:rsid w:val="00B916AA"/>
    <w:rsid w:val="00B92F6E"/>
    <w:rsid w:val="00B930DD"/>
    <w:rsid w:val="00B930EE"/>
    <w:rsid w:val="00B94481"/>
    <w:rsid w:val="00B944D1"/>
    <w:rsid w:val="00B94B6D"/>
    <w:rsid w:val="00B94D4A"/>
    <w:rsid w:val="00B953DB"/>
    <w:rsid w:val="00B95907"/>
    <w:rsid w:val="00B97708"/>
    <w:rsid w:val="00BA0272"/>
    <w:rsid w:val="00BA07C8"/>
    <w:rsid w:val="00BA0EFC"/>
    <w:rsid w:val="00BA15FF"/>
    <w:rsid w:val="00BA3439"/>
    <w:rsid w:val="00BA35B6"/>
    <w:rsid w:val="00BA382B"/>
    <w:rsid w:val="00BA38D5"/>
    <w:rsid w:val="00BA3979"/>
    <w:rsid w:val="00BA39EC"/>
    <w:rsid w:val="00BA3C4D"/>
    <w:rsid w:val="00BA3DE4"/>
    <w:rsid w:val="00BA4314"/>
    <w:rsid w:val="00BA4F7B"/>
    <w:rsid w:val="00BA4F88"/>
    <w:rsid w:val="00BA5072"/>
    <w:rsid w:val="00BA5F66"/>
    <w:rsid w:val="00BA6661"/>
    <w:rsid w:val="00BA6D54"/>
    <w:rsid w:val="00BA6F01"/>
    <w:rsid w:val="00BA6F25"/>
    <w:rsid w:val="00BB0CF6"/>
    <w:rsid w:val="00BB1156"/>
    <w:rsid w:val="00BB188A"/>
    <w:rsid w:val="00BB21E8"/>
    <w:rsid w:val="00BB266E"/>
    <w:rsid w:val="00BB31DB"/>
    <w:rsid w:val="00BB3F8A"/>
    <w:rsid w:val="00BB4009"/>
    <w:rsid w:val="00BB473C"/>
    <w:rsid w:val="00BB4A3F"/>
    <w:rsid w:val="00BB4FC6"/>
    <w:rsid w:val="00BB5077"/>
    <w:rsid w:val="00BB594B"/>
    <w:rsid w:val="00BB5A60"/>
    <w:rsid w:val="00BB60DD"/>
    <w:rsid w:val="00BB61F5"/>
    <w:rsid w:val="00BB7378"/>
    <w:rsid w:val="00BB7F92"/>
    <w:rsid w:val="00BB7FE2"/>
    <w:rsid w:val="00BC068E"/>
    <w:rsid w:val="00BC1997"/>
    <w:rsid w:val="00BC1A39"/>
    <w:rsid w:val="00BC1E5D"/>
    <w:rsid w:val="00BC20CB"/>
    <w:rsid w:val="00BC24E0"/>
    <w:rsid w:val="00BC2765"/>
    <w:rsid w:val="00BC29A0"/>
    <w:rsid w:val="00BC2A59"/>
    <w:rsid w:val="00BC2B49"/>
    <w:rsid w:val="00BC2ED1"/>
    <w:rsid w:val="00BC4290"/>
    <w:rsid w:val="00BC440C"/>
    <w:rsid w:val="00BC45BE"/>
    <w:rsid w:val="00BC4D60"/>
    <w:rsid w:val="00BC4E57"/>
    <w:rsid w:val="00BC5BF7"/>
    <w:rsid w:val="00BC5EE5"/>
    <w:rsid w:val="00BC607C"/>
    <w:rsid w:val="00BC7525"/>
    <w:rsid w:val="00BC7BB4"/>
    <w:rsid w:val="00BD00FD"/>
    <w:rsid w:val="00BD16DC"/>
    <w:rsid w:val="00BD1B13"/>
    <w:rsid w:val="00BD1BA2"/>
    <w:rsid w:val="00BD2477"/>
    <w:rsid w:val="00BD2B35"/>
    <w:rsid w:val="00BD3292"/>
    <w:rsid w:val="00BD3870"/>
    <w:rsid w:val="00BD442D"/>
    <w:rsid w:val="00BD45FF"/>
    <w:rsid w:val="00BD4C72"/>
    <w:rsid w:val="00BD4F45"/>
    <w:rsid w:val="00BD57E9"/>
    <w:rsid w:val="00BD5E92"/>
    <w:rsid w:val="00BD672E"/>
    <w:rsid w:val="00BE008C"/>
    <w:rsid w:val="00BE1036"/>
    <w:rsid w:val="00BE1B4F"/>
    <w:rsid w:val="00BE1B9E"/>
    <w:rsid w:val="00BE3682"/>
    <w:rsid w:val="00BE3696"/>
    <w:rsid w:val="00BE5DFE"/>
    <w:rsid w:val="00BE63F1"/>
    <w:rsid w:val="00BE666C"/>
    <w:rsid w:val="00BE676C"/>
    <w:rsid w:val="00BE6DC4"/>
    <w:rsid w:val="00BE7380"/>
    <w:rsid w:val="00BE7C06"/>
    <w:rsid w:val="00BE7DE0"/>
    <w:rsid w:val="00BF10AF"/>
    <w:rsid w:val="00BF1B38"/>
    <w:rsid w:val="00BF1D4B"/>
    <w:rsid w:val="00BF1D81"/>
    <w:rsid w:val="00BF1FB5"/>
    <w:rsid w:val="00BF2A38"/>
    <w:rsid w:val="00BF2DF2"/>
    <w:rsid w:val="00BF3574"/>
    <w:rsid w:val="00BF388A"/>
    <w:rsid w:val="00BF3D5B"/>
    <w:rsid w:val="00BF3DE1"/>
    <w:rsid w:val="00BF3F95"/>
    <w:rsid w:val="00BF3FE6"/>
    <w:rsid w:val="00BF4532"/>
    <w:rsid w:val="00BF4B41"/>
    <w:rsid w:val="00BF4CB9"/>
    <w:rsid w:val="00BF4D0A"/>
    <w:rsid w:val="00BF52F5"/>
    <w:rsid w:val="00BF53B3"/>
    <w:rsid w:val="00BF5545"/>
    <w:rsid w:val="00BF5718"/>
    <w:rsid w:val="00BF5818"/>
    <w:rsid w:val="00BF586E"/>
    <w:rsid w:val="00BF5BD2"/>
    <w:rsid w:val="00BF6B6C"/>
    <w:rsid w:val="00BF776D"/>
    <w:rsid w:val="00BF7861"/>
    <w:rsid w:val="00BF7DFE"/>
    <w:rsid w:val="00C004AD"/>
    <w:rsid w:val="00C00785"/>
    <w:rsid w:val="00C013F5"/>
    <w:rsid w:val="00C01C42"/>
    <w:rsid w:val="00C01CAD"/>
    <w:rsid w:val="00C0209A"/>
    <w:rsid w:val="00C02877"/>
    <w:rsid w:val="00C02E95"/>
    <w:rsid w:val="00C037A6"/>
    <w:rsid w:val="00C03B9B"/>
    <w:rsid w:val="00C0451D"/>
    <w:rsid w:val="00C04BB0"/>
    <w:rsid w:val="00C05EC1"/>
    <w:rsid w:val="00C07226"/>
    <w:rsid w:val="00C076C6"/>
    <w:rsid w:val="00C07754"/>
    <w:rsid w:val="00C07E37"/>
    <w:rsid w:val="00C10903"/>
    <w:rsid w:val="00C10C2C"/>
    <w:rsid w:val="00C10F46"/>
    <w:rsid w:val="00C1175C"/>
    <w:rsid w:val="00C12463"/>
    <w:rsid w:val="00C12B66"/>
    <w:rsid w:val="00C13117"/>
    <w:rsid w:val="00C13AF1"/>
    <w:rsid w:val="00C13AF8"/>
    <w:rsid w:val="00C13B00"/>
    <w:rsid w:val="00C13D65"/>
    <w:rsid w:val="00C14088"/>
    <w:rsid w:val="00C1475A"/>
    <w:rsid w:val="00C15B05"/>
    <w:rsid w:val="00C16564"/>
    <w:rsid w:val="00C168F9"/>
    <w:rsid w:val="00C16C30"/>
    <w:rsid w:val="00C171C6"/>
    <w:rsid w:val="00C1799E"/>
    <w:rsid w:val="00C179FB"/>
    <w:rsid w:val="00C17C40"/>
    <w:rsid w:val="00C17D9B"/>
    <w:rsid w:val="00C2046C"/>
    <w:rsid w:val="00C2062A"/>
    <w:rsid w:val="00C217F8"/>
    <w:rsid w:val="00C21936"/>
    <w:rsid w:val="00C226CF"/>
    <w:rsid w:val="00C22A19"/>
    <w:rsid w:val="00C22BB3"/>
    <w:rsid w:val="00C2301D"/>
    <w:rsid w:val="00C24660"/>
    <w:rsid w:val="00C24BE2"/>
    <w:rsid w:val="00C25DD5"/>
    <w:rsid w:val="00C26212"/>
    <w:rsid w:val="00C264E6"/>
    <w:rsid w:val="00C26B2C"/>
    <w:rsid w:val="00C270E0"/>
    <w:rsid w:val="00C275C9"/>
    <w:rsid w:val="00C30D6A"/>
    <w:rsid w:val="00C31230"/>
    <w:rsid w:val="00C31258"/>
    <w:rsid w:val="00C32643"/>
    <w:rsid w:val="00C337BB"/>
    <w:rsid w:val="00C33A05"/>
    <w:rsid w:val="00C33A86"/>
    <w:rsid w:val="00C33ADF"/>
    <w:rsid w:val="00C34BE3"/>
    <w:rsid w:val="00C34E89"/>
    <w:rsid w:val="00C358C4"/>
    <w:rsid w:val="00C36570"/>
    <w:rsid w:val="00C36E04"/>
    <w:rsid w:val="00C37C99"/>
    <w:rsid w:val="00C409F1"/>
    <w:rsid w:val="00C40C85"/>
    <w:rsid w:val="00C40DBF"/>
    <w:rsid w:val="00C40EB3"/>
    <w:rsid w:val="00C4206C"/>
    <w:rsid w:val="00C422C0"/>
    <w:rsid w:val="00C44A9F"/>
    <w:rsid w:val="00C459F2"/>
    <w:rsid w:val="00C4634B"/>
    <w:rsid w:val="00C46966"/>
    <w:rsid w:val="00C46B38"/>
    <w:rsid w:val="00C46D44"/>
    <w:rsid w:val="00C4737E"/>
    <w:rsid w:val="00C47A0F"/>
    <w:rsid w:val="00C47F09"/>
    <w:rsid w:val="00C50627"/>
    <w:rsid w:val="00C50D7D"/>
    <w:rsid w:val="00C511AE"/>
    <w:rsid w:val="00C512D9"/>
    <w:rsid w:val="00C51550"/>
    <w:rsid w:val="00C52D4E"/>
    <w:rsid w:val="00C55BE9"/>
    <w:rsid w:val="00C55C62"/>
    <w:rsid w:val="00C55E7C"/>
    <w:rsid w:val="00C560B3"/>
    <w:rsid w:val="00C567C3"/>
    <w:rsid w:val="00C56BE0"/>
    <w:rsid w:val="00C56EAF"/>
    <w:rsid w:val="00C571F9"/>
    <w:rsid w:val="00C57ACE"/>
    <w:rsid w:val="00C603CB"/>
    <w:rsid w:val="00C603D5"/>
    <w:rsid w:val="00C604C4"/>
    <w:rsid w:val="00C6076F"/>
    <w:rsid w:val="00C61402"/>
    <w:rsid w:val="00C6193F"/>
    <w:rsid w:val="00C61F80"/>
    <w:rsid w:val="00C62804"/>
    <w:rsid w:val="00C62E39"/>
    <w:rsid w:val="00C63E61"/>
    <w:rsid w:val="00C63FFE"/>
    <w:rsid w:val="00C644F2"/>
    <w:rsid w:val="00C64817"/>
    <w:rsid w:val="00C6498D"/>
    <w:rsid w:val="00C64CFE"/>
    <w:rsid w:val="00C6553B"/>
    <w:rsid w:val="00C65A2C"/>
    <w:rsid w:val="00C65AA6"/>
    <w:rsid w:val="00C65D5F"/>
    <w:rsid w:val="00C65ED5"/>
    <w:rsid w:val="00C67499"/>
    <w:rsid w:val="00C67A73"/>
    <w:rsid w:val="00C711F2"/>
    <w:rsid w:val="00C71209"/>
    <w:rsid w:val="00C71C64"/>
    <w:rsid w:val="00C71FCC"/>
    <w:rsid w:val="00C726C2"/>
    <w:rsid w:val="00C726F5"/>
    <w:rsid w:val="00C72ACF"/>
    <w:rsid w:val="00C74AA7"/>
    <w:rsid w:val="00C74C23"/>
    <w:rsid w:val="00C751AE"/>
    <w:rsid w:val="00C753B5"/>
    <w:rsid w:val="00C75A3B"/>
    <w:rsid w:val="00C760ED"/>
    <w:rsid w:val="00C76EEF"/>
    <w:rsid w:val="00C77151"/>
    <w:rsid w:val="00C77199"/>
    <w:rsid w:val="00C80BC6"/>
    <w:rsid w:val="00C80C2B"/>
    <w:rsid w:val="00C82689"/>
    <w:rsid w:val="00C82C05"/>
    <w:rsid w:val="00C8322E"/>
    <w:rsid w:val="00C855C7"/>
    <w:rsid w:val="00C86077"/>
    <w:rsid w:val="00C8647F"/>
    <w:rsid w:val="00C874D1"/>
    <w:rsid w:val="00C87881"/>
    <w:rsid w:val="00C87FE6"/>
    <w:rsid w:val="00C90019"/>
    <w:rsid w:val="00C906B4"/>
    <w:rsid w:val="00C906E0"/>
    <w:rsid w:val="00C90C9E"/>
    <w:rsid w:val="00C91779"/>
    <w:rsid w:val="00C920E7"/>
    <w:rsid w:val="00C924AB"/>
    <w:rsid w:val="00C92910"/>
    <w:rsid w:val="00C92D78"/>
    <w:rsid w:val="00C93D33"/>
    <w:rsid w:val="00C94449"/>
    <w:rsid w:val="00C9476A"/>
    <w:rsid w:val="00C94BBF"/>
    <w:rsid w:val="00C94E09"/>
    <w:rsid w:val="00C95242"/>
    <w:rsid w:val="00C95B93"/>
    <w:rsid w:val="00C95D03"/>
    <w:rsid w:val="00C95FCB"/>
    <w:rsid w:val="00C96363"/>
    <w:rsid w:val="00C96B7D"/>
    <w:rsid w:val="00C96CAD"/>
    <w:rsid w:val="00C9742A"/>
    <w:rsid w:val="00C976AD"/>
    <w:rsid w:val="00C977D7"/>
    <w:rsid w:val="00C97A9D"/>
    <w:rsid w:val="00C97AF3"/>
    <w:rsid w:val="00C97F1F"/>
    <w:rsid w:val="00C97F97"/>
    <w:rsid w:val="00CA0E6C"/>
    <w:rsid w:val="00CA1A82"/>
    <w:rsid w:val="00CA1EA6"/>
    <w:rsid w:val="00CA20F9"/>
    <w:rsid w:val="00CA2438"/>
    <w:rsid w:val="00CA2861"/>
    <w:rsid w:val="00CA295C"/>
    <w:rsid w:val="00CA2EB3"/>
    <w:rsid w:val="00CA34F7"/>
    <w:rsid w:val="00CA4165"/>
    <w:rsid w:val="00CA67AB"/>
    <w:rsid w:val="00CA715B"/>
    <w:rsid w:val="00CA756F"/>
    <w:rsid w:val="00CA7629"/>
    <w:rsid w:val="00CA7703"/>
    <w:rsid w:val="00CA7C88"/>
    <w:rsid w:val="00CA7D2A"/>
    <w:rsid w:val="00CB026A"/>
    <w:rsid w:val="00CB0B2C"/>
    <w:rsid w:val="00CB17A6"/>
    <w:rsid w:val="00CB24F2"/>
    <w:rsid w:val="00CB29BE"/>
    <w:rsid w:val="00CB33CF"/>
    <w:rsid w:val="00CB3707"/>
    <w:rsid w:val="00CB4889"/>
    <w:rsid w:val="00CB594C"/>
    <w:rsid w:val="00CB680D"/>
    <w:rsid w:val="00CB74DB"/>
    <w:rsid w:val="00CC185E"/>
    <w:rsid w:val="00CC1F92"/>
    <w:rsid w:val="00CC266E"/>
    <w:rsid w:val="00CC29D9"/>
    <w:rsid w:val="00CC37DC"/>
    <w:rsid w:val="00CC449F"/>
    <w:rsid w:val="00CC5413"/>
    <w:rsid w:val="00CC565D"/>
    <w:rsid w:val="00CC60CF"/>
    <w:rsid w:val="00CC6BC2"/>
    <w:rsid w:val="00CC7A71"/>
    <w:rsid w:val="00CC7E9A"/>
    <w:rsid w:val="00CD0323"/>
    <w:rsid w:val="00CD04FA"/>
    <w:rsid w:val="00CD0750"/>
    <w:rsid w:val="00CD0CA5"/>
    <w:rsid w:val="00CD0FA1"/>
    <w:rsid w:val="00CD0FD8"/>
    <w:rsid w:val="00CD1DC0"/>
    <w:rsid w:val="00CD391D"/>
    <w:rsid w:val="00CD655F"/>
    <w:rsid w:val="00CD6A64"/>
    <w:rsid w:val="00CD6C7C"/>
    <w:rsid w:val="00CE0A3A"/>
    <w:rsid w:val="00CE16DE"/>
    <w:rsid w:val="00CE17B3"/>
    <w:rsid w:val="00CE1A4A"/>
    <w:rsid w:val="00CE1E25"/>
    <w:rsid w:val="00CE25FD"/>
    <w:rsid w:val="00CE2626"/>
    <w:rsid w:val="00CE321C"/>
    <w:rsid w:val="00CE3D8C"/>
    <w:rsid w:val="00CE4A22"/>
    <w:rsid w:val="00CE4B11"/>
    <w:rsid w:val="00CE4D94"/>
    <w:rsid w:val="00CE4F71"/>
    <w:rsid w:val="00CE5480"/>
    <w:rsid w:val="00CE5872"/>
    <w:rsid w:val="00CE5DE9"/>
    <w:rsid w:val="00CE5EB5"/>
    <w:rsid w:val="00CE6533"/>
    <w:rsid w:val="00CE674B"/>
    <w:rsid w:val="00CE6D13"/>
    <w:rsid w:val="00CE6E7E"/>
    <w:rsid w:val="00CE7669"/>
    <w:rsid w:val="00CF058A"/>
    <w:rsid w:val="00CF09CC"/>
    <w:rsid w:val="00CF1418"/>
    <w:rsid w:val="00CF16A1"/>
    <w:rsid w:val="00CF19E3"/>
    <w:rsid w:val="00CF1A8E"/>
    <w:rsid w:val="00CF21C8"/>
    <w:rsid w:val="00CF299D"/>
    <w:rsid w:val="00CF2B76"/>
    <w:rsid w:val="00CF3B77"/>
    <w:rsid w:val="00CF42F7"/>
    <w:rsid w:val="00CF5124"/>
    <w:rsid w:val="00CF539C"/>
    <w:rsid w:val="00CF5527"/>
    <w:rsid w:val="00CF5B30"/>
    <w:rsid w:val="00CF5DFC"/>
    <w:rsid w:val="00CF6051"/>
    <w:rsid w:val="00CF60A1"/>
    <w:rsid w:val="00CF6AEA"/>
    <w:rsid w:val="00CF7FAE"/>
    <w:rsid w:val="00D0041B"/>
    <w:rsid w:val="00D00910"/>
    <w:rsid w:val="00D01278"/>
    <w:rsid w:val="00D0575C"/>
    <w:rsid w:val="00D06622"/>
    <w:rsid w:val="00D06628"/>
    <w:rsid w:val="00D06762"/>
    <w:rsid w:val="00D07BEF"/>
    <w:rsid w:val="00D07CA6"/>
    <w:rsid w:val="00D10279"/>
    <w:rsid w:val="00D10BA7"/>
    <w:rsid w:val="00D10F4E"/>
    <w:rsid w:val="00D110E1"/>
    <w:rsid w:val="00D110EF"/>
    <w:rsid w:val="00D113E2"/>
    <w:rsid w:val="00D1292E"/>
    <w:rsid w:val="00D13DA6"/>
    <w:rsid w:val="00D14B18"/>
    <w:rsid w:val="00D151D7"/>
    <w:rsid w:val="00D15DD8"/>
    <w:rsid w:val="00D1633E"/>
    <w:rsid w:val="00D16607"/>
    <w:rsid w:val="00D17CCF"/>
    <w:rsid w:val="00D17FCD"/>
    <w:rsid w:val="00D20694"/>
    <w:rsid w:val="00D20EF1"/>
    <w:rsid w:val="00D216B2"/>
    <w:rsid w:val="00D21762"/>
    <w:rsid w:val="00D21B6A"/>
    <w:rsid w:val="00D21F28"/>
    <w:rsid w:val="00D221F1"/>
    <w:rsid w:val="00D22789"/>
    <w:rsid w:val="00D236C8"/>
    <w:rsid w:val="00D237BA"/>
    <w:rsid w:val="00D23C14"/>
    <w:rsid w:val="00D24BE5"/>
    <w:rsid w:val="00D24FF6"/>
    <w:rsid w:val="00D25110"/>
    <w:rsid w:val="00D255D4"/>
    <w:rsid w:val="00D25960"/>
    <w:rsid w:val="00D25FE1"/>
    <w:rsid w:val="00D26018"/>
    <w:rsid w:val="00D26BEE"/>
    <w:rsid w:val="00D27668"/>
    <w:rsid w:val="00D2776A"/>
    <w:rsid w:val="00D27C28"/>
    <w:rsid w:val="00D303CD"/>
    <w:rsid w:val="00D30BBC"/>
    <w:rsid w:val="00D30C6D"/>
    <w:rsid w:val="00D31F58"/>
    <w:rsid w:val="00D32617"/>
    <w:rsid w:val="00D32B45"/>
    <w:rsid w:val="00D32B82"/>
    <w:rsid w:val="00D335FF"/>
    <w:rsid w:val="00D33685"/>
    <w:rsid w:val="00D3390C"/>
    <w:rsid w:val="00D33FE3"/>
    <w:rsid w:val="00D34810"/>
    <w:rsid w:val="00D349BB"/>
    <w:rsid w:val="00D34F83"/>
    <w:rsid w:val="00D3512E"/>
    <w:rsid w:val="00D36E79"/>
    <w:rsid w:val="00D377E5"/>
    <w:rsid w:val="00D41397"/>
    <w:rsid w:val="00D41AAF"/>
    <w:rsid w:val="00D4211D"/>
    <w:rsid w:val="00D4233C"/>
    <w:rsid w:val="00D43140"/>
    <w:rsid w:val="00D437A4"/>
    <w:rsid w:val="00D443DF"/>
    <w:rsid w:val="00D4472E"/>
    <w:rsid w:val="00D449D0"/>
    <w:rsid w:val="00D44BA8"/>
    <w:rsid w:val="00D45FDE"/>
    <w:rsid w:val="00D4734A"/>
    <w:rsid w:val="00D4755B"/>
    <w:rsid w:val="00D47779"/>
    <w:rsid w:val="00D50148"/>
    <w:rsid w:val="00D502EE"/>
    <w:rsid w:val="00D50B2A"/>
    <w:rsid w:val="00D51175"/>
    <w:rsid w:val="00D51CA8"/>
    <w:rsid w:val="00D51FF3"/>
    <w:rsid w:val="00D5219E"/>
    <w:rsid w:val="00D52963"/>
    <w:rsid w:val="00D532B5"/>
    <w:rsid w:val="00D53DA3"/>
    <w:rsid w:val="00D544CA"/>
    <w:rsid w:val="00D54890"/>
    <w:rsid w:val="00D54ACC"/>
    <w:rsid w:val="00D557F6"/>
    <w:rsid w:val="00D559A6"/>
    <w:rsid w:val="00D5627A"/>
    <w:rsid w:val="00D569C6"/>
    <w:rsid w:val="00D57779"/>
    <w:rsid w:val="00D57A92"/>
    <w:rsid w:val="00D57D1E"/>
    <w:rsid w:val="00D60024"/>
    <w:rsid w:val="00D60FB4"/>
    <w:rsid w:val="00D61459"/>
    <w:rsid w:val="00D61551"/>
    <w:rsid w:val="00D61698"/>
    <w:rsid w:val="00D61D05"/>
    <w:rsid w:val="00D62080"/>
    <w:rsid w:val="00D624CB"/>
    <w:rsid w:val="00D628D3"/>
    <w:rsid w:val="00D628E2"/>
    <w:rsid w:val="00D62C11"/>
    <w:rsid w:val="00D63A42"/>
    <w:rsid w:val="00D63E3C"/>
    <w:rsid w:val="00D641C7"/>
    <w:rsid w:val="00D646D3"/>
    <w:rsid w:val="00D64AF2"/>
    <w:rsid w:val="00D64E04"/>
    <w:rsid w:val="00D64EA1"/>
    <w:rsid w:val="00D65A3C"/>
    <w:rsid w:val="00D66929"/>
    <w:rsid w:val="00D66B58"/>
    <w:rsid w:val="00D679A7"/>
    <w:rsid w:val="00D67F65"/>
    <w:rsid w:val="00D727ED"/>
    <w:rsid w:val="00D7336C"/>
    <w:rsid w:val="00D736E8"/>
    <w:rsid w:val="00D7489A"/>
    <w:rsid w:val="00D74C4E"/>
    <w:rsid w:val="00D74E9A"/>
    <w:rsid w:val="00D75306"/>
    <w:rsid w:val="00D755FC"/>
    <w:rsid w:val="00D757A2"/>
    <w:rsid w:val="00D75DDA"/>
    <w:rsid w:val="00D75EF0"/>
    <w:rsid w:val="00D75FDD"/>
    <w:rsid w:val="00D76E15"/>
    <w:rsid w:val="00D771AD"/>
    <w:rsid w:val="00D77A72"/>
    <w:rsid w:val="00D77E44"/>
    <w:rsid w:val="00D81BB8"/>
    <w:rsid w:val="00D81C3D"/>
    <w:rsid w:val="00D81D87"/>
    <w:rsid w:val="00D82279"/>
    <w:rsid w:val="00D822C5"/>
    <w:rsid w:val="00D830E4"/>
    <w:rsid w:val="00D83B49"/>
    <w:rsid w:val="00D83B71"/>
    <w:rsid w:val="00D8450E"/>
    <w:rsid w:val="00D852EF"/>
    <w:rsid w:val="00D85932"/>
    <w:rsid w:val="00D85A51"/>
    <w:rsid w:val="00D85BD4"/>
    <w:rsid w:val="00D86002"/>
    <w:rsid w:val="00D864AD"/>
    <w:rsid w:val="00D865B1"/>
    <w:rsid w:val="00D86674"/>
    <w:rsid w:val="00D86CA0"/>
    <w:rsid w:val="00D874C6"/>
    <w:rsid w:val="00D878C2"/>
    <w:rsid w:val="00D906FC"/>
    <w:rsid w:val="00D91A72"/>
    <w:rsid w:val="00D91AD8"/>
    <w:rsid w:val="00D91CEE"/>
    <w:rsid w:val="00D9297C"/>
    <w:rsid w:val="00D92FC2"/>
    <w:rsid w:val="00D939FE"/>
    <w:rsid w:val="00D93ADA"/>
    <w:rsid w:val="00D93E89"/>
    <w:rsid w:val="00D941AC"/>
    <w:rsid w:val="00D94408"/>
    <w:rsid w:val="00D946D4"/>
    <w:rsid w:val="00D94723"/>
    <w:rsid w:val="00D94A4A"/>
    <w:rsid w:val="00D94A4C"/>
    <w:rsid w:val="00D94BE8"/>
    <w:rsid w:val="00D94ED6"/>
    <w:rsid w:val="00D95332"/>
    <w:rsid w:val="00D95769"/>
    <w:rsid w:val="00D95FC3"/>
    <w:rsid w:val="00D961F7"/>
    <w:rsid w:val="00D97208"/>
    <w:rsid w:val="00D973C6"/>
    <w:rsid w:val="00D977C6"/>
    <w:rsid w:val="00DA085E"/>
    <w:rsid w:val="00DA114E"/>
    <w:rsid w:val="00DA1156"/>
    <w:rsid w:val="00DA186C"/>
    <w:rsid w:val="00DA1E19"/>
    <w:rsid w:val="00DA1E67"/>
    <w:rsid w:val="00DA2290"/>
    <w:rsid w:val="00DA2B0C"/>
    <w:rsid w:val="00DA3128"/>
    <w:rsid w:val="00DA37E2"/>
    <w:rsid w:val="00DA47ED"/>
    <w:rsid w:val="00DA48CE"/>
    <w:rsid w:val="00DA4DD9"/>
    <w:rsid w:val="00DA5000"/>
    <w:rsid w:val="00DA509D"/>
    <w:rsid w:val="00DA51EA"/>
    <w:rsid w:val="00DA6953"/>
    <w:rsid w:val="00DA6DED"/>
    <w:rsid w:val="00DA6E9E"/>
    <w:rsid w:val="00DA741D"/>
    <w:rsid w:val="00DB12BF"/>
    <w:rsid w:val="00DB12F0"/>
    <w:rsid w:val="00DB13B3"/>
    <w:rsid w:val="00DB1FBB"/>
    <w:rsid w:val="00DB22AD"/>
    <w:rsid w:val="00DB331E"/>
    <w:rsid w:val="00DB3377"/>
    <w:rsid w:val="00DB36E2"/>
    <w:rsid w:val="00DB3B1D"/>
    <w:rsid w:val="00DB4253"/>
    <w:rsid w:val="00DB4D10"/>
    <w:rsid w:val="00DB4E19"/>
    <w:rsid w:val="00DB5413"/>
    <w:rsid w:val="00DB609F"/>
    <w:rsid w:val="00DB65F6"/>
    <w:rsid w:val="00DB67E0"/>
    <w:rsid w:val="00DB7389"/>
    <w:rsid w:val="00DB77F3"/>
    <w:rsid w:val="00DB7E00"/>
    <w:rsid w:val="00DC0550"/>
    <w:rsid w:val="00DC0A07"/>
    <w:rsid w:val="00DC0BC5"/>
    <w:rsid w:val="00DC1C17"/>
    <w:rsid w:val="00DC2C65"/>
    <w:rsid w:val="00DC35E9"/>
    <w:rsid w:val="00DC36C5"/>
    <w:rsid w:val="00DC3EB7"/>
    <w:rsid w:val="00DC4815"/>
    <w:rsid w:val="00DC4A4C"/>
    <w:rsid w:val="00DC4C3A"/>
    <w:rsid w:val="00DC55E8"/>
    <w:rsid w:val="00DC62D5"/>
    <w:rsid w:val="00DC63AD"/>
    <w:rsid w:val="00DC6D7F"/>
    <w:rsid w:val="00DC7150"/>
    <w:rsid w:val="00DC7410"/>
    <w:rsid w:val="00DC793C"/>
    <w:rsid w:val="00DC7F1D"/>
    <w:rsid w:val="00DD0287"/>
    <w:rsid w:val="00DD0B60"/>
    <w:rsid w:val="00DD0DDF"/>
    <w:rsid w:val="00DD1934"/>
    <w:rsid w:val="00DD19D9"/>
    <w:rsid w:val="00DD1B69"/>
    <w:rsid w:val="00DD227B"/>
    <w:rsid w:val="00DD279B"/>
    <w:rsid w:val="00DD282A"/>
    <w:rsid w:val="00DD2BC5"/>
    <w:rsid w:val="00DD401B"/>
    <w:rsid w:val="00DD588D"/>
    <w:rsid w:val="00DD65EA"/>
    <w:rsid w:val="00DD66A7"/>
    <w:rsid w:val="00DD66AF"/>
    <w:rsid w:val="00DD6FB4"/>
    <w:rsid w:val="00DE05C8"/>
    <w:rsid w:val="00DE0F4C"/>
    <w:rsid w:val="00DE1418"/>
    <w:rsid w:val="00DE176B"/>
    <w:rsid w:val="00DE1B7C"/>
    <w:rsid w:val="00DE2D2D"/>
    <w:rsid w:val="00DE32FC"/>
    <w:rsid w:val="00DE51B5"/>
    <w:rsid w:val="00DE592E"/>
    <w:rsid w:val="00DE5B82"/>
    <w:rsid w:val="00DE5EC9"/>
    <w:rsid w:val="00DE60DB"/>
    <w:rsid w:val="00DE6181"/>
    <w:rsid w:val="00DE64D2"/>
    <w:rsid w:val="00DE674C"/>
    <w:rsid w:val="00DE6AF7"/>
    <w:rsid w:val="00DF041D"/>
    <w:rsid w:val="00DF0E07"/>
    <w:rsid w:val="00DF0F34"/>
    <w:rsid w:val="00DF148E"/>
    <w:rsid w:val="00DF1F3D"/>
    <w:rsid w:val="00DF236A"/>
    <w:rsid w:val="00DF2E2A"/>
    <w:rsid w:val="00DF317E"/>
    <w:rsid w:val="00DF4653"/>
    <w:rsid w:val="00DF47F0"/>
    <w:rsid w:val="00DF52B9"/>
    <w:rsid w:val="00DF531A"/>
    <w:rsid w:val="00DF5817"/>
    <w:rsid w:val="00DF5D00"/>
    <w:rsid w:val="00DF6907"/>
    <w:rsid w:val="00DF6B06"/>
    <w:rsid w:val="00DF6D1C"/>
    <w:rsid w:val="00DF7233"/>
    <w:rsid w:val="00DF7D90"/>
    <w:rsid w:val="00E007E9"/>
    <w:rsid w:val="00E00B23"/>
    <w:rsid w:val="00E00D20"/>
    <w:rsid w:val="00E0110A"/>
    <w:rsid w:val="00E01487"/>
    <w:rsid w:val="00E0174F"/>
    <w:rsid w:val="00E02465"/>
    <w:rsid w:val="00E02DE1"/>
    <w:rsid w:val="00E03146"/>
    <w:rsid w:val="00E03167"/>
    <w:rsid w:val="00E03496"/>
    <w:rsid w:val="00E03D0F"/>
    <w:rsid w:val="00E03F01"/>
    <w:rsid w:val="00E042EF"/>
    <w:rsid w:val="00E05677"/>
    <w:rsid w:val="00E05A81"/>
    <w:rsid w:val="00E0673F"/>
    <w:rsid w:val="00E07161"/>
    <w:rsid w:val="00E07218"/>
    <w:rsid w:val="00E07FA4"/>
    <w:rsid w:val="00E1002C"/>
    <w:rsid w:val="00E100DE"/>
    <w:rsid w:val="00E10AC9"/>
    <w:rsid w:val="00E10E53"/>
    <w:rsid w:val="00E113A0"/>
    <w:rsid w:val="00E11EC6"/>
    <w:rsid w:val="00E126FA"/>
    <w:rsid w:val="00E12C24"/>
    <w:rsid w:val="00E12D7B"/>
    <w:rsid w:val="00E134F8"/>
    <w:rsid w:val="00E13CD3"/>
    <w:rsid w:val="00E14518"/>
    <w:rsid w:val="00E14FAC"/>
    <w:rsid w:val="00E1575C"/>
    <w:rsid w:val="00E157FD"/>
    <w:rsid w:val="00E15D9B"/>
    <w:rsid w:val="00E16D73"/>
    <w:rsid w:val="00E17ACE"/>
    <w:rsid w:val="00E17B85"/>
    <w:rsid w:val="00E17E3C"/>
    <w:rsid w:val="00E20B5C"/>
    <w:rsid w:val="00E20B5F"/>
    <w:rsid w:val="00E21FD4"/>
    <w:rsid w:val="00E22FDB"/>
    <w:rsid w:val="00E23B98"/>
    <w:rsid w:val="00E23F4F"/>
    <w:rsid w:val="00E245C8"/>
    <w:rsid w:val="00E2462D"/>
    <w:rsid w:val="00E26E10"/>
    <w:rsid w:val="00E27222"/>
    <w:rsid w:val="00E279B5"/>
    <w:rsid w:val="00E307F8"/>
    <w:rsid w:val="00E30B81"/>
    <w:rsid w:val="00E3138F"/>
    <w:rsid w:val="00E32145"/>
    <w:rsid w:val="00E32509"/>
    <w:rsid w:val="00E325C4"/>
    <w:rsid w:val="00E32EF8"/>
    <w:rsid w:val="00E33DDB"/>
    <w:rsid w:val="00E33F9C"/>
    <w:rsid w:val="00E345A3"/>
    <w:rsid w:val="00E347B6"/>
    <w:rsid w:val="00E349D8"/>
    <w:rsid w:val="00E35078"/>
    <w:rsid w:val="00E3649D"/>
    <w:rsid w:val="00E3741C"/>
    <w:rsid w:val="00E375AD"/>
    <w:rsid w:val="00E400D9"/>
    <w:rsid w:val="00E4068E"/>
    <w:rsid w:val="00E4097C"/>
    <w:rsid w:val="00E40E6A"/>
    <w:rsid w:val="00E4146D"/>
    <w:rsid w:val="00E421A1"/>
    <w:rsid w:val="00E42338"/>
    <w:rsid w:val="00E427C7"/>
    <w:rsid w:val="00E4305A"/>
    <w:rsid w:val="00E4348F"/>
    <w:rsid w:val="00E448DE"/>
    <w:rsid w:val="00E44A20"/>
    <w:rsid w:val="00E45201"/>
    <w:rsid w:val="00E45935"/>
    <w:rsid w:val="00E4614C"/>
    <w:rsid w:val="00E4618B"/>
    <w:rsid w:val="00E4650C"/>
    <w:rsid w:val="00E46BE2"/>
    <w:rsid w:val="00E47114"/>
    <w:rsid w:val="00E47420"/>
    <w:rsid w:val="00E47815"/>
    <w:rsid w:val="00E47A22"/>
    <w:rsid w:val="00E47DD9"/>
    <w:rsid w:val="00E47ECE"/>
    <w:rsid w:val="00E507C8"/>
    <w:rsid w:val="00E509E8"/>
    <w:rsid w:val="00E51EF5"/>
    <w:rsid w:val="00E5230D"/>
    <w:rsid w:val="00E5330B"/>
    <w:rsid w:val="00E53445"/>
    <w:rsid w:val="00E53A11"/>
    <w:rsid w:val="00E54FCF"/>
    <w:rsid w:val="00E55247"/>
    <w:rsid w:val="00E55375"/>
    <w:rsid w:val="00E55B76"/>
    <w:rsid w:val="00E561E6"/>
    <w:rsid w:val="00E5642B"/>
    <w:rsid w:val="00E564DE"/>
    <w:rsid w:val="00E56798"/>
    <w:rsid w:val="00E56E39"/>
    <w:rsid w:val="00E570DD"/>
    <w:rsid w:val="00E57625"/>
    <w:rsid w:val="00E57B65"/>
    <w:rsid w:val="00E57D48"/>
    <w:rsid w:val="00E60523"/>
    <w:rsid w:val="00E60EED"/>
    <w:rsid w:val="00E610CF"/>
    <w:rsid w:val="00E6136A"/>
    <w:rsid w:val="00E616F5"/>
    <w:rsid w:val="00E61A0B"/>
    <w:rsid w:val="00E62087"/>
    <w:rsid w:val="00E62783"/>
    <w:rsid w:val="00E63101"/>
    <w:rsid w:val="00E63720"/>
    <w:rsid w:val="00E63752"/>
    <w:rsid w:val="00E64E2A"/>
    <w:rsid w:val="00E650D4"/>
    <w:rsid w:val="00E650F4"/>
    <w:rsid w:val="00E656BC"/>
    <w:rsid w:val="00E6581D"/>
    <w:rsid w:val="00E6587D"/>
    <w:rsid w:val="00E65ADC"/>
    <w:rsid w:val="00E6758F"/>
    <w:rsid w:val="00E67A48"/>
    <w:rsid w:val="00E70695"/>
    <w:rsid w:val="00E70E20"/>
    <w:rsid w:val="00E71AF4"/>
    <w:rsid w:val="00E71EDA"/>
    <w:rsid w:val="00E71F0B"/>
    <w:rsid w:val="00E726FE"/>
    <w:rsid w:val="00E73B25"/>
    <w:rsid w:val="00E74353"/>
    <w:rsid w:val="00E74787"/>
    <w:rsid w:val="00E74E5F"/>
    <w:rsid w:val="00E750DA"/>
    <w:rsid w:val="00E75B53"/>
    <w:rsid w:val="00E75DE0"/>
    <w:rsid w:val="00E769DA"/>
    <w:rsid w:val="00E76F22"/>
    <w:rsid w:val="00E7715E"/>
    <w:rsid w:val="00E77E5C"/>
    <w:rsid w:val="00E77F90"/>
    <w:rsid w:val="00E80358"/>
    <w:rsid w:val="00E808FC"/>
    <w:rsid w:val="00E80A4E"/>
    <w:rsid w:val="00E80D27"/>
    <w:rsid w:val="00E823A1"/>
    <w:rsid w:val="00E82B49"/>
    <w:rsid w:val="00E83183"/>
    <w:rsid w:val="00E833C7"/>
    <w:rsid w:val="00E83DC3"/>
    <w:rsid w:val="00E84286"/>
    <w:rsid w:val="00E8470E"/>
    <w:rsid w:val="00E84B10"/>
    <w:rsid w:val="00E84D70"/>
    <w:rsid w:val="00E84DD3"/>
    <w:rsid w:val="00E862FA"/>
    <w:rsid w:val="00E868E2"/>
    <w:rsid w:val="00E86B78"/>
    <w:rsid w:val="00E86FC5"/>
    <w:rsid w:val="00E87091"/>
    <w:rsid w:val="00E8713D"/>
    <w:rsid w:val="00E879C6"/>
    <w:rsid w:val="00E87F9C"/>
    <w:rsid w:val="00E90B91"/>
    <w:rsid w:val="00E90D13"/>
    <w:rsid w:val="00E90FCD"/>
    <w:rsid w:val="00E9185D"/>
    <w:rsid w:val="00E91D00"/>
    <w:rsid w:val="00E924DA"/>
    <w:rsid w:val="00E925DE"/>
    <w:rsid w:val="00E926EA"/>
    <w:rsid w:val="00E93329"/>
    <w:rsid w:val="00E93A23"/>
    <w:rsid w:val="00E93DEC"/>
    <w:rsid w:val="00E94519"/>
    <w:rsid w:val="00E95EB1"/>
    <w:rsid w:val="00E95F6D"/>
    <w:rsid w:val="00E963E6"/>
    <w:rsid w:val="00E969FC"/>
    <w:rsid w:val="00E96C58"/>
    <w:rsid w:val="00E96CDA"/>
    <w:rsid w:val="00E975E1"/>
    <w:rsid w:val="00EA02E0"/>
    <w:rsid w:val="00EA06E5"/>
    <w:rsid w:val="00EA10AA"/>
    <w:rsid w:val="00EA1CD6"/>
    <w:rsid w:val="00EA1F56"/>
    <w:rsid w:val="00EA2304"/>
    <w:rsid w:val="00EA3A98"/>
    <w:rsid w:val="00EA3E54"/>
    <w:rsid w:val="00EA42F4"/>
    <w:rsid w:val="00EA45DD"/>
    <w:rsid w:val="00EA491B"/>
    <w:rsid w:val="00EA4AE6"/>
    <w:rsid w:val="00EA4B00"/>
    <w:rsid w:val="00EA5151"/>
    <w:rsid w:val="00EA5AC1"/>
    <w:rsid w:val="00EA5F5A"/>
    <w:rsid w:val="00EA621C"/>
    <w:rsid w:val="00EA7A98"/>
    <w:rsid w:val="00EA7CB4"/>
    <w:rsid w:val="00EA7F36"/>
    <w:rsid w:val="00EB08C8"/>
    <w:rsid w:val="00EB0B51"/>
    <w:rsid w:val="00EB116F"/>
    <w:rsid w:val="00EB1281"/>
    <w:rsid w:val="00EB1A53"/>
    <w:rsid w:val="00EB1BDD"/>
    <w:rsid w:val="00EB1F53"/>
    <w:rsid w:val="00EB207F"/>
    <w:rsid w:val="00EB3353"/>
    <w:rsid w:val="00EB3D2B"/>
    <w:rsid w:val="00EB465D"/>
    <w:rsid w:val="00EB48FB"/>
    <w:rsid w:val="00EB4AF2"/>
    <w:rsid w:val="00EB5011"/>
    <w:rsid w:val="00EB547E"/>
    <w:rsid w:val="00EB56F8"/>
    <w:rsid w:val="00EB57D9"/>
    <w:rsid w:val="00EB5AFC"/>
    <w:rsid w:val="00EB69A2"/>
    <w:rsid w:val="00EB7237"/>
    <w:rsid w:val="00EC08D6"/>
    <w:rsid w:val="00EC0D63"/>
    <w:rsid w:val="00EC1393"/>
    <w:rsid w:val="00EC2038"/>
    <w:rsid w:val="00EC2765"/>
    <w:rsid w:val="00EC3A33"/>
    <w:rsid w:val="00EC3EB8"/>
    <w:rsid w:val="00EC4051"/>
    <w:rsid w:val="00EC410E"/>
    <w:rsid w:val="00EC46A5"/>
    <w:rsid w:val="00EC4FC4"/>
    <w:rsid w:val="00EC5391"/>
    <w:rsid w:val="00EC55AC"/>
    <w:rsid w:val="00EC5D77"/>
    <w:rsid w:val="00EC7449"/>
    <w:rsid w:val="00EC79B1"/>
    <w:rsid w:val="00EC79DF"/>
    <w:rsid w:val="00EC7AEA"/>
    <w:rsid w:val="00EC7D77"/>
    <w:rsid w:val="00ED0A4B"/>
    <w:rsid w:val="00ED1288"/>
    <w:rsid w:val="00ED129D"/>
    <w:rsid w:val="00ED18EF"/>
    <w:rsid w:val="00ED2416"/>
    <w:rsid w:val="00ED253F"/>
    <w:rsid w:val="00ED2C07"/>
    <w:rsid w:val="00ED31F5"/>
    <w:rsid w:val="00ED394C"/>
    <w:rsid w:val="00ED3FDA"/>
    <w:rsid w:val="00ED5079"/>
    <w:rsid w:val="00ED550C"/>
    <w:rsid w:val="00ED61B3"/>
    <w:rsid w:val="00ED6374"/>
    <w:rsid w:val="00ED6693"/>
    <w:rsid w:val="00ED6ED2"/>
    <w:rsid w:val="00ED6FA1"/>
    <w:rsid w:val="00ED7087"/>
    <w:rsid w:val="00ED79A8"/>
    <w:rsid w:val="00EE04EC"/>
    <w:rsid w:val="00EE0571"/>
    <w:rsid w:val="00EE09C3"/>
    <w:rsid w:val="00EE0A46"/>
    <w:rsid w:val="00EE0C5F"/>
    <w:rsid w:val="00EE0D86"/>
    <w:rsid w:val="00EE3636"/>
    <w:rsid w:val="00EE3752"/>
    <w:rsid w:val="00EE4B6E"/>
    <w:rsid w:val="00EE4CF0"/>
    <w:rsid w:val="00EE4EB8"/>
    <w:rsid w:val="00EE59B0"/>
    <w:rsid w:val="00EE5A1B"/>
    <w:rsid w:val="00EE5BCC"/>
    <w:rsid w:val="00EE6149"/>
    <w:rsid w:val="00EE65BF"/>
    <w:rsid w:val="00EE6670"/>
    <w:rsid w:val="00EE6ADB"/>
    <w:rsid w:val="00EE7505"/>
    <w:rsid w:val="00EF0CC9"/>
    <w:rsid w:val="00EF0D33"/>
    <w:rsid w:val="00EF1273"/>
    <w:rsid w:val="00EF1CCC"/>
    <w:rsid w:val="00EF26DE"/>
    <w:rsid w:val="00EF29DE"/>
    <w:rsid w:val="00EF4F58"/>
    <w:rsid w:val="00EF6011"/>
    <w:rsid w:val="00EF64E0"/>
    <w:rsid w:val="00EF650D"/>
    <w:rsid w:val="00EF6642"/>
    <w:rsid w:val="00EF6B4A"/>
    <w:rsid w:val="00EF74FF"/>
    <w:rsid w:val="00EF7CF7"/>
    <w:rsid w:val="00EF7D0F"/>
    <w:rsid w:val="00F0075F"/>
    <w:rsid w:val="00F0076F"/>
    <w:rsid w:val="00F00B97"/>
    <w:rsid w:val="00F00BE2"/>
    <w:rsid w:val="00F01BA4"/>
    <w:rsid w:val="00F01C96"/>
    <w:rsid w:val="00F026B5"/>
    <w:rsid w:val="00F026BD"/>
    <w:rsid w:val="00F02757"/>
    <w:rsid w:val="00F02D19"/>
    <w:rsid w:val="00F02F26"/>
    <w:rsid w:val="00F03E59"/>
    <w:rsid w:val="00F04711"/>
    <w:rsid w:val="00F0482D"/>
    <w:rsid w:val="00F0489F"/>
    <w:rsid w:val="00F05067"/>
    <w:rsid w:val="00F05A7E"/>
    <w:rsid w:val="00F05B7A"/>
    <w:rsid w:val="00F06F72"/>
    <w:rsid w:val="00F07178"/>
    <w:rsid w:val="00F07496"/>
    <w:rsid w:val="00F07B5E"/>
    <w:rsid w:val="00F07B99"/>
    <w:rsid w:val="00F106C4"/>
    <w:rsid w:val="00F10BA5"/>
    <w:rsid w:val="00F10E4A"/>
    <w:rsid w:val="00F111ED"/>
    <w:rsid w:val="00F118BA"/>
    <w:rsid w:val="00F12268"/>
    <w:rsid w:val="00F122A0"/>
    <w:rsid w:val="00F1231F"/>
    <w:rsid w:val="00F12C55"/>
    <w:rsid w:val="00F12C98"/>
    <w:rsid w:val="00F12DA7"/>
    <w:rsid w:val="00F12E82"/>
    <w:rsid w:val="00F131AE"/>
    <w:rsid w:val="00F138E4"/>
    <w:rsid w:val="00F1425F"/>
    <w:rsid w:val="00F14C44"/>
    <w:rsid w:val="00F1500E"/>
    <w:rsid w:val="00F15304"/>
    <w:rsid w:val="00F15595"/>
    <w:rsid w:val="00F15602"/>
    <w:rsid w:val="00F15912"/>
    <w:rsid w:val="00F15C9F"/>
    <w:rsid w:val="00F15F6B"/>
    <w:rsid w:val="00F16241"/>
    <w:rsid w:val="00F16F43"/>
    <w:rsid w:val="00F17B84"/>
    <w:rsid w:val="00F17E67"/>
    <w:rsid w:val="00F20FBF"/>
    <w:rsid w:val="00F21A19"/>
    <w:rsid w:val="00F22088"/>
    <w:rsid w:val="00F22393"/>
    <w:rsid w:val="00F25376"/>
    <w:rsid w:val="00F261B4"/>
    <w:rsid w:val="00F2647A"/>
    <w:rsid w:val="00F26544"/>
    <w:rsid w:val="00F26D7B"/>
    <w:rsid w:val="00F2776F"/>
    <w:rsid w:val="00F27DAF"/>
    <w:rsid w:val="00F30800"/>
    <w:rsid w:val="00F31117"/>
    <w:rsid w:val="00F3326B"/>
    <w:rsid w:val="00F33C2F"/>
    <w:rsid w:val="00F3434F"/>
    <w:rsid w:val="00F34536"/>
    <w:rsid w:val="00F345DF"/>
    <w:rsid w:val="00F34D95"/>
    <w:rsid w:val="00F3543E"/>
    <w:rsid w:val="00F3591B"/>
    <w:rsid w:val="00F37886"/>
    <w:rsid w:val="00F37D27"/>
    <w:rsid w:val="00F409C6"/>
    <w:rsid w:val="00F40B5C"/>
    <w:rsid w:val="00F40DD6"/>
    <w:rsid w:val="00F41D48"/>
    <w:rsid w:val="00F428C3"/>
    <w:rsid w:val="00F42DBC"/>
    <w:rsid w:val="00F42F44"/>
    <w:rsid w:val="00F45F59"/>
    <w:rsid w:val="00F4606D"/>
    <w:rsid w:val="00F46C1D"/>
    <w:rsid w:val="00F46C54"/>
    <w:rsid w:val="00F46EBE"/>
    <w:rsid w:val="00F4701F"/>
    <w:rsid w:val="00F474B7"/>
    <w:rsid w:val="00F47EEC"/>
    <w:rsid w:val="00F47F89"/>
    <w:rsid w:val="00F513FC"/>
    <w:rsid w:val="00F517F7"/>
    <w:rsid w:val="00F51821"/>
    <w:rsid w:val="00F5215D"/>
    <w:rsid w:val="00F53994"/>
    <w:rsid w:val="00F5454C"/>
    <w:rsid w:val="00F552CE"/>
    <w:rsid w:val="00F5575B"/>
    <w:rsid w:val="00F55941"/>
    <w:rsid w:val="00F55F02"/>
    <w:rsid w:val="00F57481"/>
    <w:rsid w:val="00F57D6E"/>
    <w:rsid w:val="00F60124"/>
    <w:rsid w:val="00F60C1A"/>
    <w:rsid w:val="00F61393"/>
    <w:rsid w:val="00F615E2"/>
    <w:rsid w:val="00F628B3"/>
    <w:rsid w:val="00F639F2"/>
    <w:rsid w:val="00F63E96"/>
    <w:rsid w:val="00F63FD0"/>
    <w:rsid w:val="00F6518B"/>
    <w:rsid w:val="00F6561E"/>
    <w:rsid w:val="00F65995"/>
    <w:rsid w:val="00F65AD1"/>
    <w:rsid w:val="00F65BBA"/>
    <w:rsid w:val="00F66EA6"/>
    <w:rsid w:val="00F66F0C"/>
    <w:rsid w:val="00F679B4"/>
    <w:rsid w:val="00F7143B"/>
    <w:rsid w:val="00F72DE0"/>
    <w:rsid w:val="00F734C8"/>
    <w:rsid w:val="00F736B4"/>
    <w:rsid w:val="00F73703"/>
    <w:rsid w:val="00F739AE"/>
    <w:rsid w:val="00F73FDA"/>
    <w:rsid w:val="00F7415D"/>
    <w:rsid w:val="00F741FD"/>
    <w:rsid w:val="00F757B3"/>
    <w:rsid w:val="00F75C02"/>
    <w:rsid w:val="00F77142"/>
    <w:rsid w:val="00F77F4A"/>
    <w:rsid w:val="00F80161"/>
    <w:rsid w:val="00F801BE"/>
    <w:rsid w:val="00F80503"/>
    <w:rsid w:val="00F80AB9"/>
    <w:rsid w:val="00F81E21"/>
    <w:rsid w:val="00F825A9"/>
    <w:rsid w:val="00F82A35"/>
    <w:rsid w:val="00F8323B"/>
    <w:rsid w:val="00F83D2B"/>
    <w:rsid w:val="00F8427F"/>
    <w:rsid w:val="00F8473F"/>
    <w:rsid w:val="00F84AE1"/>
    <w:rsid w:val="00F84F39"/>
    <w:rsid w:val="00F85018"/>
    <w:rsid w:val="00F851C7"/>
    <w:rsid w:val="00F85926"/>
    <w:rsid w:val="00F85EDF"/>
    <w:rsid w:val="00F8633D"/>
    <w:rsid w:val="00F87105"/>
    <w:rsid w:val="00F877F7"/>
    <w:rsid w:val="00F905B1"/>
    <w:rsid w:val="00F909C0"/>
    <w:rsid w:val="00F90D83"/>
    <w:rsid w:val="00F91B40"/>
    <w:rsid w:val="00F91C8C"/>
    <w:rsid w:val="00F91CEF"/>
    <w:rsid w:val="00F91E06"/>
    <w:rsid w:val="00F92424"/>
    <w:rsid w:val="00F925FC"/>
    <w:rsid w:val="00F9261E"/>
    <w:rsid w:val="00F92935"/>
    <w:rsid w:val="00F92CFA"/>
    <w:rsid w:val="00F93126"/>
    <w:rsid w:val="00F933BF"/>
    <w:rsid w:val="00F938B8"/>
    <w:rsid w:val="00F93933"/>
    <w:rsid w:val="00F93B01"/>
    <w:rsid w:val="00F93FD8"/>
    <w:rsid w:val="00F93FE0"/>
    <w:rsid w:val="00F94C34"/>
    <w:rsid w:val="00F95491"/>
    <w:rsid w:val="00F959BF"/>
    <w:rsid w:val="00F95BA6"/>
    <w:rsid w:val="00F95EB0"/>
    <w:rsid w:val="00F960D0"/>
    <w:rsid w:val="00F96309"/>
    <w:rsid w:val="00F96C2E"/>
    <w:rsid w:val="00F97452"/>
    <w:rsid w:val="00F976F8"/>
    <w:rsid w:val="00F97F3A"/>
    <w:rsid w:val="00FA0A73"/>
    <w:rsid w:val="00FA0F6A"/>
    <w:rsid w:val="00FA168B"/>
    <w:rsid w:val="00FA4017"/>
    <w:rsid w:val="00FA4EA3"/>
    <w:rsid w:val="00FA5565"/>
    <w:rsid w:val="00FA5D53"/>
    <w:rsid w:val="00FA62BD"/>
    <w:rsid w:val="00FA6808"/>
    <w:rsid w:val="00FA6F66"/>
    <w:rsid w:val="00FA6FCB"/>
    <w:rsid w:val="00FA74D4"/>
    <w:rsid w:val="00FA79D1"/>
    <w:rsid w:val="00FA7B25"/>
    <w:rsid w:val="00FA7F89"/>
    <w:rsid w:val="00FB00AF"/>
    <w:rsid w:val="00FB048D"/>
    <w:rsid w:val="00FB1A55"/>
    <w:rsid w:val="00FB1E1D"/>
    <w:rsid w:val="00FB1E27"/>
    <w:rsid w:val="00FB2186"/>
    <w:rsid w:val="00FB2A4E"/>
    <w:rsid w:val="00FB2E6C"/>
    <w:rsid w:val="00FB3149"/>
    <w:rsid w:val="00FB32C0"/>
    <w:rsid w:val="00FB3D4C"/>
    <w:rsid w:val="00FB3F62"/>
    <w:rsid w:val="00FB40B4"/>
    <w:rsid w:val="00FB45DA"/>
    <w:rsid w:val="00FB49B6"/>
    <w:rsid w:val="00FB4C8D"/>
    <w:rsid w:val="00FB4FD0"/>
    <w:rsid w:val="00FB53AB"/>
    <w:rsid w:val="00FB5D7C"/>
    <w:rsid w:val="00FB5F35"/>
    <w:rsid w:val="00FB6217"/>
    <w:rsid w:val="00FB6728"/>
    <w:rsid w:val="00FB70CC"/>
    <w:rsid w:val="00FB72D5"/>
    <w:rsid w:val="00FC00B2"/>
    <w:rsid w:val="00FC0387"/>
    <w:rsid w:val="00FC05DF"/>
    <w:rsid w:val="00FC0869"/>
    <w:rsid w:val="00FC0FC1"/>
    <w:rsid w:val="00FC17C7"/>
    <w:rsid w:val="00FC2304"/>
    <w:rsid w:val="00FC2408"/>
    <w:rsid w:val="00FC25EA"/>
    <w:rsid w:val="00FC3936"/>
    <w:rsid w:val="00FC3BD2"/>
    <w:rsid w:val="00FC3E4E"/>
    <w:rsid w:val="00FC4212"/>
    <w:rsid w:val="00FC4C0F"/>
    <w:rsid w:val="00FC5607"/>
    <w:rsid w:val="00FC67C5"/>
    <w:rsid w:val="00FC6A71"/>
    <w:rsid w:val="00FC7489"/>
    <w:rsid w:val="00FC7F2A"/>
    <w:rsid w:val="00FD0765"/>
    <w:rsid w:val="00FD0875"/>
    <w:rsid w:val="00FD0A40"/>
    <w:rsid w:val="00FD0C56"/>
    <w:rsid w:val="00FD1612"/>
    <w:rsid w:val="00FD17B2"/>
    <w:rsid w:val="00FD217C"/>
    <w:rsid w:val="00FD2315"/>
    <w:rsid w:val="00FD2A07"/>
    <w:rsid w:val="00FD2AF2"/>
    <w:rsid w:val="00FD2FD6"/>
    <w:rsid w:val="00FD3988"/>
    <w:rsid w:val="00FD3B24"/>
    <w:rsid w:val="00FD43E6"/>
    <w:rsid w:val="00FD4FC0"/>
    <w:rsid w:val="00FD54F5"/>
    <w:rsid w:val="00FD6E02"/>
    <w:rsid w:val="00FD7099"/>
    <w:rsid w:val="00FD7246"/>
    <w:rsid w:val="00FD7A82"/>
    <w:rsid w:val="00FE0266"/>
    <w:rsid w:val="00FE1116"/>
    <w:rsid w:val="00FE16B8"/>
    <w:rsid w:val="00FE1E68"/>
    <w:rsid w:val="00FE20A8"/>
    <w:rsid w:val="00FE2A23"/>
    <w:rsid w:val="00FE32C6"/>
    <w:rsid w:val="00FE338A"/>
    <w:rsid w:val="00FE3B48"/>
    <w:rsid w:val="00FE40A1"/>
    <w:rsid w:val="00FE4C1E"/>
    <w:rsid w:val="00FE4FE2"/>
    <w:rsid w:val="00FE510D"/>
    <w:rsid w:val="00FE5785"/>
    <w:rsid w:val="00FE5820"/>
    <w:rsid w:val="00FE5880"/>
    <w:rsid w:val="00FE61F3"/>
    <w:rsid w:val="00FE69C0"/>
    <w:rsid w:val="00FE7DB8"/>
    <w:rsid w:val="00FE7F43"/>
    <w:rsid w:val="00FF0AD1"/>
    <w:rsid w:val="00FF161E"/>
    <w:rsid w:val="00FF2BEF"/>
    <w:rsid w:val="00FF2CE7"/>
    <w:rsid w:val="00FF324F"/>
    <w:rsid w:val="00FF3256"/>
    <w:rsid w:val="00FF38A6"/>
    <w:rsid w:val="00FF3CE0"/>
    <w:rsid w:val="00FF3F1A"/>
    <w:rsid w:val="00FF488F"/>
    <w:rsid w:val="00FF4C3E"/>
    <w:rsid w:val="00FF5458"/>
    <w:rsid w:val="00FF5AD6"/>
    <w:rsid w:val="00FF60F4"/>
    <w:rsid w:val="00FF6276"/>
    <w:rsid w:val="00FF66EB"/>
    <w:rsid w:val="00FF7054"/>
    <w:rsid w:val="00FF7625"/>
    <w:rsid w:val="00FF7759"/>
    <w:rsid w:val="01021808"/>
    <w:rsid w:val="01064676"/>
    <w:rsid w:val="01137ECF"/>
    <w:rsid w:val="01191F36"/>
    <w:rsid w:val="01241D66"/>
    <w:rsid w:val="014A3244"/>
    <w:rsid w:val="01A51AFF"/>
    <w:rsid w:val="01B95421"/>
    <w:rsid w:val="020B1354"/>
    <w:rsid w:val="022D32CB"/>
    <w:rsid w:val="025A55E9"/>
    <w:rsid w:val="029442A4"/>
    <w:rsid w:val="02A23766"/>
    <w:rsid w:val="02BC63B4"/>
    <w:rsid w:val="0317318F"/>
    <w:rsid w:val="034B1D65"/>
    <w:rsid w:val="034D12D4"/>
    <w:rsid w:val="035C2662"/>
    <w:rsid w:val="03637FE7"/>
    <w:rsid w:val="0376348B"/>
    <w:rsid w:val="0388663C"/>
    <w:rsid w:val="03A97929"/>
    <w:rsid w:val="03C32A6F"/>
    <w:rsid w:val="03CE20DF"/>
    <w:rsid w:val="03D57B0C"/>
    <w:rsid w:val="03FB034A"/>
    <w:rsid w:val="040E0780"/>
    <w:rsid w:val="047A6254"/>
    <w:rsid w:val="04BE1034"/>
    <w:rsid w:val="04D0480D"/>
    <w:rsid w:val="04D34B21"/>
    <w:rsid w:val="04D81D11"/>
    <w:rsid w:val="04E366BD"/>
    <w:rsid w:val="04F10A9B"/>
    <w:rsid w:val="050E1D07"/>
    <w:rsid w:val="0515460A"/>
    <w:rsid w:val="052076F5"/>
    <w:rsid w:val="053F6840"/>
    <w:rsid w:val="05525152"/>
    <w:rsid w:val="05656DAB"/>
    <w:rsid w:val="059874F0"/>
    <w:rsid w:val="059E0622"/>
    <w:rsid w:val="05CD1AD2"/>
    <w:rsid w:val="05D050F7"/>
    <w:rsid w:val="05ED18C1"/>
    <w:rsid w:val="05F9607E"/>
    <w:rsid w:val="05FE2BF2"/>
    <w:rsid w:val="06402ABA"/>
    <w:rsid w:val="064E339A"/>
    <w:rsid w:val="068D6A93"/>
    <w:rsid w:val="069E6AB1"/>
    <w:rsid w:val="06A26061"/>
    <w:rsid w:val="06CE7668"/>
    <w:rsid w:val="06E00027"/>
    <w:rsid w:val="06E25B52"/>
    <w:rsid w:val="072D2162"/>
    <w:rsid w:val="073518D0"/>
    <w:rsid w:val="07354BC2"/>
    <w:rsid w:val="07442036"/>
    <w:rsid w:val="0750320D"/>
    <w:rsid w:val="079E0D8E"/>
    <w:rsid w:val="07CD7297"/>
    <w:rsid w:val="085C77EA"/>
    <w:rsid w:val="08B05320"/>
    <w:rsid w:val="08E9597F"/>
    <w:rsid w:val="08F900D1"/>
    <w:rsid w:val="08F935C9"/>
    <w:rsid w:val="09045CE0"/>
    <w:rsid w:val="09696FDD"/>
    <w:rsid w:val="096C5C89"/>
    <w:rsid w:val="097313E3"/>
    <w:rsid w:val="09771A8A"/>
    <w:rsid w:val="097A7E27"/>
    <w:rsid w:val="09813EE4"/>
    <w:rsid w:val="09A17C7A"/>
    <w:rsid w:val="09A54C50"/>
    <w:rsid w:val="09BC6028"/>
    <w:rsid w:val="09CD4DDF"/>
    <w:rsid w:val="09D35269"/>
    <w:rsid w:val="09DD448E"/>
    <w:rsid w:val="09DD6A43"/>
    <w:rsid w:val="09FD0A32"/>
    <w:rsid w:val="0A2B31CA"/>
    <w:rsid w:val="0A534AFF"/>
    <w:rsid w:val="0A5A5EB7"/>
    <w:rsid w:val="0A6F3443"/>
    <w:rsid w:val="0AAE469B"/>
    <w:rsid w:val="0AB51B2D"/>
    <w:rsid w:val="0B104CB8"/>
    <w:rsid w:val="0B107D8C"/>
    <w:rsid w:val="0B154BBD"/>
    <w:rsid w:val="0B325F44"/>
    <w:rsid w:val="0B471BC9"/>
    <w:rsid w:val="0B6866EB"/>
    <w:rsid w:val="0B7071B5"/>
    <w:rsid w:val="0B825EDB"/>
    <w:rsid w:val="0BCA3D41"/>
    <w:rsid w:val="0BCC1983"/>
    <w:rsid w:val="0C2057FC"/>
    <w:rsid w:val="0C2D66FE"/>
    <w:rsid w:val="0C5E3191"/>
    <w:rsid w:val="0C616454"/>
    <w:rsid w:val="0C764AAB"/>
    <w:rsid w:val="0C7A707B"/>
    <w:rsid w:val="0C864E88"/>
    <w:rsid w:val="0C8C7B9F"/>
    <w:rsid w:val="0C9475E1"/>
    <w:rsid w:val="0CA62E5A"/>
    <w:rsid w:val="0CB43017"/>
    <w:rsid w:val="0CD32AA0"/>
    <w:rsid w:val="0CE41E67"/>
    <w:rsid w:val="0D17585D"/>
    <w:rsid w:val="0D3E33CC"/>
    <w:rsid w:val="0D5745CD"/>
    <w:rsid w:val="0D575B85"/>
    <w:rsid w:val="0D5E04FB"/>
    <w:rsid w:val="0D607B2A"/>
    <w:rsid w:val="0D7E21C9"/>
    <w:rsid w:val="0D885EF1"/>
    <w:rsid w:val="0DA37C00"/>
    <w:rsid w:val="0DAF0AF5"/>
    <w:rsid w:val="0DDF7C6E"/>
    <w:rsid w:val="0DF317F5"/>
    <w:rsid w:val="0DF626F7"/>
    <w:rsid w:val="0DF7405B"/>
    <w:rsid w:val="0DF96E8C"/>
    <w:rsid w:val="0E183F30"/>
    <w:rsid w:val="0E1C1B02"/>
    <w:rsid w:val="0E1D2CA7"/>
    <w:rsid w:val="0E2E2851"/>
    <w:rsid w:val="0E4571B4"/>
    <w:rsid w:val="0E513A96"/>
    <w:rsid w:val="0E6A0CB4"/>
    <w:rsid w:val="0E79874A"/>
    <w:rsid w:val="0E7F55DC"/>
    <w:rsid w:val="0E824CB1"/>
    <w:rsid w:val="0E893E01"/>
    <w:rsid w:val="0EEC37BE"/>
    <w:rsid w:val="0F1555F1"/>
    <w:rsid w:val="0F22624D"/>
    <w:rsid w:val="0F5A309E"/>
    <w:rsid w:val="0F5F4258"/>
    <w:rsid w:val="0F7F0CB4"/>
    <w:rsid w:val="0F864AF8"/>
    <w:rsid w:val="0F891808"/>
    <w:rsid w:val="0FD05B7C"/>
    <w:rsid w:val="0FE26F7E"/>
    <w:rsid w:val="0FF86998"/>
    <w:rsid w:val="0FFB69DA"/>
    <w:rsid w:val="0FFF9E23"/>
    <w:rsid w:val="104D2298"/>
    <w:rsid w:val="10732690"/>
    <w:rsid w:val="108A3181"/>
    <w:rsid w:val="10933928"/>
    <w:rsid w:val="10E053CE"/>
    <w:rsid w:val="10EA5F4D"/>
    <w:rsid w:val="11437F75"/>
    <w:rsid w:val="115A4A6C"/>
    <w:rsid w:val="117A67CD"/>
    <w:rsid w:val="118A5482"/>
    <w:rsid w:val="11CB154F"/>
    <w:rsid w:val="11D57FF6"/>
    <w:rsid w:val="11EC0DBF"/>
    <w:rsid w:val="11EF5B10"/>
    <w:rsid w:val="12003074"/>
    <w:rsid w:val="12042B6A"/>
    <w:rsid w:val="1283653C"/>
    <w:rsid w:val="128D0ACD"/>
    <w:rsid w:val="12934B57"/>
    <w:rsid w:val="12AF0785"/>
    <w:rsid w:val="12B5001B"/>
    <w:rsid w:val="12B74C45"/>
    <w:rsid w:val="12B97E85"/>
    <w:rsid w:val="12E02111"/>
    <w:rsid w:val="12E0359D"/>
    <w:rsid w:val="12E3158A"/>
    <w:rsid w:val="131948E0"/>
    <w:rsid w:val="13326301"/>
    <w:rsid w:val="134B49D1"/>
    <w:rsid w:val="13774559"/>
    <w:rsid w:val="13831D0F"/>
    <w:rsid w:val="13A07D1C"/>
    <w:rsid w:val="13AA6C7A"/>
    <w:rsid w:val="13AF12D1"/>
    <w:rsid w:val="13D97F0D"/>
    <w:rsid w:val="13DB77D7"/>
    <w:rsid w:val="146A774B"/>
    <w:rsid w:val="146B5DFA"/>
    <w:rsid w:val="146E33A4"/>
    <w:rsid w:val="14833540"/>
    <w:rsid w:val="14887B0E"/>
    <w:rsid w:val="14946069"/>
    <w:rsid w:val="14A93F80"/>
    <w:rsid w:val="14DB6062"/>
    <w:rsid w:val="14E145A4"/>
    <w:rsid w:val="14E20675"/>
    <w:rsid w:val="151D2E85"/>
    <w:rsid w:val="152315CE"/>
    <w:rsid w:val="153A298B"/>
    <w:rsid w:val="155C7174"/>
    <w:rsid w:val="15702ADB"/>
    <w:rsid w:val="157F4238"/>
    <w:rsid w:val="15942E62"/>
    <w:rsid w:val="15B8776F"/>
    <w:rsid w:val="15C80049"/>
    <w:rsid w:val="15DC403B"/>
    <w:rsid w:val="15EF5D0A"/>
    <w:rsid w:val="15FC4DAB"/>
    <w:rsid w:val="161F262E"/>
    <w:rsid w:val="16444AAD"/>
    <w:rsid w:val="164729D6"/>
    <w:rsid w:val="16623343"/>
    <w:rsid w:val="167639EE"/>
    <w:rsid w:val="16952AE1"/>
    <w:rsid w:val="16987D08"/>
    <w:rsid w:val="16B000D0"/>
    <w:rsid w:val="16C06700"/>
    <w:rsid w:val="16F64A51"/>
    <w:rsid w:val="1703020F"/>
    <w:rsid w:val="170F1DE5"/>
    <w:rsid w:val="1712563F"/>
    <w:rsid w:val="171728C0"/>
    <w:rsid w:val="1731377E"/>
    <w:rsid w:val="173B45EA"/>
    <w:rsid w:val="175824DC"/>
    <w:rsid w:val="17684F4D"/>
    <w:rsid w:val="17A02F74"/>
    <w:rsid w:val="17A64703"/>
    <w:rsid w:val="17AF94C5"/>
    <w:rsid w:val="17D426A8"/>
    <w:rsid w:val="17D430F8"/>
    <w:rsid w:val="17F10988"/>
    <w:rsid w:val="180F222F"/>
    <w:rsid w:val="181D03B3"/>
    <w:rsid w:val="18420450"/>
    <w:rsid w:val="18932160"/>
    <w:rsid w:val="18B45502"/>
    <w:rsid w:val="1925275C"/>
    <w:rsid w:val="19325F66"/>
    <w:rsid w:val="195F03D1"/>
    <w:rsid w:val="19784F04"/>
    <w:rsid w:val="197B27AB"/>
    <w:rsid w:val="19853DFD"/>
    <w:rsid w:val="198B0A33"/>
    <w:rsid w:val="19A73E3E"/>
    <w:rsid w:val="19B377DB"/>
    <w:rsid w:val="19B63D32"/>
    <w:rsid w:val="1A03730E"/>
    <w:rsid w:val="1A143B33"/>
    <w:rsid w:val="1A2E4342"/>
    <w:rsid w:val="1A306299"/>
    <w:rsid w:val="1A3503C3"/>
    <w:rsid w:val="1A4E6FE1"/>
    <w:rsid w:val="1A627DE6"/>
    <w:rsid w:val="1A761976"/>
    <w:rsid w:val="1A7D4CCC"/>
    <w:rsid w:val="1A8E6CD5"/>
    <w:rsid w:val="1A9452B0"/>
    <w:rsid w:val="1A986C8A"/>
    <w:rsid w:val="1AAA0815"/>
    <w:rsid w:val="1AB84712"/>
    <w:rsid w:val="1ACF3752"/>
    <w:rsid w:val="1AD86012"/>
    <w:rsid w:val="1AD9181C"/>
    <w:rsid w:val="1AE9346B"/>
    <w:rsid w:val="1AED79C0"/>
    <w:rsid w:val="1B0537E4"/>
    <w:rsid w:val="1B2E771E"/>
    <w:rsid w:val="1B3E2362"/>
    <w:rsid w:val="1B476529"/>
    <w:rsid w:val="1B4E3302"/>
    <w:rsid w:val="1B6212E1"/>
    <w:rsid w:val="1B77204D"/>
    <w:rsid w:val="1B857BD8"/>
    <w:rsid w:val="1B8C1890"/>
    <w:rsid w:val="1B976D3F"/>
    <w:rsid w:val="1BBF2D87"/>
    <w:rsid w:val="1BC349DE"/>
    <w:rsid w:val="1BF442EC"/>
    <w:rsid w:val="1C3F7FA6"/>
    <w:rsid w:val="1C492B76"/>
    <w:rsid w:val="1C747EF9"/>
    <w:rsid w:val="1C813E89"/>
    <w:rsid w:val="1C844B5B"/>
    <w:rsid w:val="1C86668C"/>
    <w:rsid w:val="1C8C6C33"/>
    <w:rsid w:val="1CAE1259"/>
    <w:rsid w:val="1CC64637"/>
    <w:rsid w:val="1CCA25EF"/>
    <w:rsid w:val="1CCA789A"/>
    <w:rsid w:val="1CCC4A9D"/>
    <w:rsid w:val="1CD67896"/>
    <w:rsid w:val="1CE03735"/>
    <w:rsid w:val="1D3348B9"/>
    <w:rsid w:val="1D6BA2A5"/>
    <w:rsid w:val="1D70483F"/>
    <w:rsid w:val="1D760B5F"/>
    <w:rsid w:val="1D7736AA"/>
    <w:rsid w:val="1D7EDBAC"/>
    <w:rsid w:val="1DA55031"/>
    <w:rsid w:val="1DA90101"/>
    <w:rsid w:val="1DB72178"/>
    <w:rsid w:val="1DE33932"/>
    <w:rsid w:val="1DE547AB"/>
    <w:rsid w:val="1DEA3BDA"/>
    <w:rsid w:val="1DF1708C"/>
    <w:rsid w:val="1E1B3FC3"/>
    <w:rsid w:val="1E3D42AB"/>
    <w:rsid w:val="1E5805C9"/>
    <w:rsid w:val="1E5C27D9"/>
    <w:rsid w:val="1E6E8FC2"/>
    <w:rsid w:val="1E960B39"/>
    <w:rsid w:val="1EA8294E"/>
    <w:rsid w:val="1EE920F1"/>
    <w:rsid w:val="1EEDC44B"/>
    <w:rsid w:val="1EF321F1"/>
    <w:rsid w:val="1EF83469"/>
    <w:rsid w:val="1F121216"/>
    <w:rsid w:val="1F1A79F2"/>
    <w:rsid w:val="1F3C2E43"/>
    <w:rsid w:val="1F4205D3"/>
    <w:rsid w:val="1F433A78"/>
    <w:rsid w:val="1F4D0F4B"/>
    <w:rsid w:val="1F901744"/>
    <w:rsid w:val="1F983263"/>
    <w:rsid w:val="1FAF1D46"/>
    <w:rsid w:val="1FB1255F"/>
    <w:rsid w:val="1FD97C09"/>
    <w:rsid w:val="1FDF48EE"/>
    <w:rsid w:val="1FE607C1"/>
    <w:rsid w:val="200927CB"/>
    <w:rsid w:val="203A0E21"/>
    <w:rsid w:val="203B04ED"/>
    <w:rsid w:val="203F229D"/>
    <w:rsid w:val="20625F75"/>
    <w:rsid w:val="2069158A"/>
    <w:rsid w:val="207364D3"/>
    <w:rsid w:val="20976B5A"/>
    <w:rsid w:val="209B4147"/>
    <w:rsid w:val="20C26C84"/>
    <w:rsid w:val="20C42294"/>
    <w:rsid w:val="20C443FE"/>
    <w:rsid w:val="20C50451"/>
    <w:rsid w:val="20D77BFC"/>
    <w:rsid w:val="210F16D9"/>
    <w:rsid w:val="210F7FBF"/>
    <w:rsid w:val="21372259"/>
    <w:rsid w:val="21694910"/>
    <w:rsid w:val="21822CFB"/>
    <w:rsid w:val="21D63963"/>
    <w:rsid w:val="21ED4624"/>
    <w:rsid w:val="22294218"/>
    <w:rsid w:val="22512901"/>
    <w:rsid w:val="2267492F"/>
    <w:rsid w:val="22A44447"/>
    <w:rsid w:val="22B346F2"/>
    <w:rsid w:val="22D05B48"/>
    <w:rsid w:val="22E006EF"/>
    <w:rsid w:val="22F00A92"/>
    <w:rsid w:val="2301712C"/>
    <w:rsid w:val="23444268"/>
    <w:rsid w:val="23B302CE"/>
    <w:rsid w:val="23D16EFC"/>
    <w:rsid w:val="23EF3232"/>
    <w:rsid w:val="2403431B"/>
    <w:rsid w:val="240A5D77"/>
    <w:rsid w:val="24142194"/>
    <w:rsid w:val="246739F8"/>
    <w:rsid w:val="24A30FBB"/>
    <w:rsid w:val="24C00E4A"/>
    <w:rsid w:val="24DB1B09"/>
    <w:rsid w:val="24E60780"/>
    <w:rsid w:val="24F43B92"/>
    <w:rsid w:val="24FF19C4"/>
    <w:rsid w:val="25041590"/>
    <w:rsid w:val="25731E80"/>
    <w:rsid w:val="257866B1"/>
    <w:rsid w:val="258F38CC"/>
    <w:rsid w:val="25A82F5B"/>
    <w:rsid w:val="25C915FC"/>
    <w:rsid w:val="25E21C4B"/>
    <w:rsid w:val="260874E8"/>
    <w:rsid w:val="26124ED4"/>
    <w:rsid w:val="2632366A"/>
    <w:rsid w:val="26333878"/>
    <w:rsid w:val="26520DBA"/>
    <w:rsid w:val="26595760"/>
    <w:rsid w:val="267E7E2B"/>
    <w:rsid w:val="26B613FF"/>
    <w:rsid w:val="26C345B8"/>
    <w:rsid w:val="26C62C95"/>
    <w:rsid w:val="26C848AF"/>
    <w:rsid w:val="26CE2A68"/>
    <w:rsid w:val="26D97433"/>
    <w:rsid w:val="271C5FE7"/>
    <w:rsid w:val="27315631"/>
    <w:rsid w:val="275C465E"/>
    <w:rsid w:val="27992D3B"/>
    <w:rsid w:val="27AA2CA3"/>
    <w:rsid w:val="27B01683"/>
    <w:rsid w:val="27B8211C"/>
    <w:rsid w:val="27C82253"/>
    <w:rsid w:val="27EC4E71"/>
    <w:rsid w:val="28247BB6"/>
    <w:rsid w:val="28820482"/>
    <w:rsid w:val="28933CCC"/>
    <w:rsid w:val="28AE7984"/>
    <w:rsid w:val="28C80D3F"/>
    <w:rsid w:val="28D96965"/>
    <w:rsid w:val="28DE3958"/>
    <w:rsid w:val="29055F95"/>
    <w:rsid w:val="29341888"/>
    <w:rsid w:val="2945508F"/>
    <w:rsid w:val="296740FF"/>
    <w:rsid w:val="29701219"/>
    <w:rsid w:val="298E09C9"/>
    <w:rsid w:val="299E2D9B"/>
    <w:rsid w:val="29B421E7"/>
    <w:rsid w:val="29DE1DBA"/>
    <w:rsid w:val="29FB3EBB"/>
    <w:rsid w:val="29FD2F6F"/>
    <w:rsid w:val="2A0A5C85"/>
    <w:rsid w:val="2A0F28F4"/>
    <w:rsid w:val="2A0F54AF"/>
    <w:rsid w:val="2A1D03C7"/>
    <w:rsid w:val="2A2E41C8"/>
    <w:rsid w:val="2A446D64"/>
    <w:rsid w:val="2A4F5FF4"/>
    <w:rsid w:val="2A8C02FC"/>
    <w:rsid w:val="2AC12DBF"/>
    <w:rsid w:val="2AEE531A"/>
    <w:rsid w:val="2AFB6893"/>
    <w:rsid w:val="2B1C66E6"/>
    <w:rsid w:val="2B22793F"/>
    <w:rsid w:val="2B2E77B1"/>
    <w:rsid w:val="2B3C5C6D"/>
    <w:rsid w:val="2B6C4470"/>
    <w:rsid w:val="2B7D5189"/>
    <w:rsid w:val="2B8F6C63"/>
    <w:rsid w:val="2BDE868F"/>
    <w:rsid w:val="2C091874"/>
    <w:rsid w:val="2C0C2E05"/>
    <w:rsid w:val="2C187F64"/>
    <w:rsid w:val="2C2A6F85"/>
    <w:rsid w:val="2C301EDF"/>
    <w:rsid w:val="2C363D63"/>
    <w:rsid w:val="2C4A7F5F"/>
    <w:rsid w:val="2C515B6D"/>
    <w:rsid w:val="2C5F0A97"/>
    <w:rsid w:val="2C854E4C"/>
    <w:rsid w:val="2C8A3639"/>
    <w:rsid w:val="2CA8549C"/>
    <w:rsid w:val="2CC35E7E"/>
    <w:rsid w:val="2CD63D6C"/>
    <w:rsid w:val="2CF748AA"/>
    <w:rsid w:val="2D157538"/>
    <w:rsid w:val="2D28656E"/>
    <w:rsid w:val="2D2F720D"/>
    <w:rsid w:val="2D310B09"/>
    <w:rsid w:val="2D4828C3"/>
    <w:rsid w:val="2D57345B"/>
    <w:rsid w:val="2D5F3EE2"/>
    <w:rsid w:val="2D764F47"/>
    <w:rsid w:val="2DD91851"/>
    <w:rsid w:val="2DF9093A"/>
    <w:rsid w:val="2E4D6A38"/>
    <w:rsid w:val="2E9025A4"/>
    <w:rsid w:val="2EBD40A4"/>
    <w:rsid w:val="2EE158E9"/>
    <w:rsid w:val="2EF35252"/>
    <w:rsid w:val="2F080823"/>
    <w:rsid w:val="2F08776A"/>
    <w:rsid w:val="2F0D5D93"/>
    <w:rsid w:val="2F173E47"/>
    <w:rsid w:val="2F1B4932"/>
    <w:rsid w:val="2F20375F"/>
    <w:rsid w:val="2F3E632A"/>
    <w:rsid w:val="2F4F3241"/>
    <w:rsid w:val="2F6C3DCC"/>
    <w:rsid w:val="2F797671"/>
    <w:rsid w:val="2F7B3516"/>
    <w:rsid w:val="2F81674D"/>
    <w:rsid w:val="2FC25D7B"/>
    <w:rsid w:val="2FE87A6A"/>
    <w:rsid w:val="2FE91C99"/>
    <w:rsid w:val="2FF81FE9"/>
    <w:rsid w:val="2FFD154B"/>
    <w:rsid w:val="30184226"/>
    <w:rsid w:val="304D190A"/>
    <w:rsid w:val="3086347F"/>
    <w:rsid w:val="308F4B91"/>
    <w:rsid w:val="30941DB6"/>
    <w:rsid w:val="309E7091"/>
    <w:rsid w:val="30BD4B70"/>
    <w:rsid w:val="30DE49F0"/>
    <w:rsid w:val="30E20ADF"/>
    <w:rsid w:val="31104BE6"/>
    <w:rsid w:val="31107C6B"/>
    <w:rsid w:val="3135407B"/>
    <w:rsid w:val="31421084"/>
    <w:rsid w:val="31887B7C"/>
    <w:rsid w:val="31895649"/>
    <w:rsid w:val="31AD34E7"/>
    <w:rsid w:val="31B02544"/>
    <w:rsid w:val="31CB591D"/>
    <w:rsid w:val="31DB58FA"/>
    <w:rsid w:val="31E0690F"/>
    <w:rsid w:val="31E744D3"/>
    <w:rsid w:val="31F03994"/>
    <w:rsid w:val="31F06AA9"/>
    <w:rsid w:val="31FF15D2"/>
    <w:rsid w:val="32096EE3"/>
    <w:rsid w:val="32155C69"/>
    <w:rsid w:val="32535B1F"/>
    <w:rsid w:val="32830AEF"/>
    <w:rsid w:val="329945C7"/>
    <w:rsid w:val="32AE7CE7"/>
    <w:rsid w:val="32BE744E"/>
    <w:rsid w:val="32C41EAE"/>
    <w:rsid w:val="32CA0E4B"/>
    <w:rsid w:val="32CB45C8"/>
    <w:rsid w:val="32D21971"/>
    <w:rsid w:val="32EB19DB"/>
    <w:rsid w:val="332E3950"/>
    <w:rsid w:val="335202DB"/>
    <w:rsid w:val="336E5F6C"/>
    <w:rsid w:val="33732317"/>
    <w:rsid w:val="33790B91"/>
    <w:rsid w:val="337B4EF0"/>
    <w:rsid w:val="3396767F"/>
    <w:rsid w:val="33A337D5"/>
    <w:rsid w:val="33DE6742"/>
    <w:rsid w:val="33F71CC8"/>
    <w:rsid w:val="33FA57B0"/>
    <w:rsid w:val="34016A86"/>
    <w:rsid w:val="34184C5D"/>
    <w:rsid w:val="341A0DC2"/>
    <w:rsid w:val="34270137"/>
    <w:rsid w:val="34391824"/>
    <w:rsid w:val="34475E33"/>
    <w:rsid w:val="347312F7"/>
    <w:rsid w:val="34751871"/>
    <w:rsid w:val="3492234F"/>
    <w:rsid w:val="34AA0645"/>
    <w:rsid w:val="34C61DEF"/>
    <w:rsid w:val="34D349C1"/>
    <w:rsid w:val="34D65FE2"/>
    <w:rsid w:val="34DD141E"/>
    <w:rsid w:val="34EF48D4"/>
    <w:rsid w:val="34F832A2"/>
    <w:rsid w:val="353323D5"/>
    <w:rsid w:val="35767350"/>
    <w:rsid w:val="359A52D2"/>
    <w:rsid w:val="359E1B8E"/>
    <w:rsid w:val="35BE26D5"/>
    <w:rsid w:val="35EC1696"/>
    <w:rsid w:val="360006C2"/>
    <w:rsid w:val="36231CDE"/>
    <w:rsid w:val="36457F31"/>
    <w:rsid w:val="36A861E5"/>
    <w:rsid w:val="36BC6408"/>
    <w:rsid w:val="36E55AEB"/>
    <w:rsid w:val="372F3093"/>
    <w:rsid w:val="3734013D"/>
    <w:rsid w:val="373B7D1B"/>
    <w:rsid w:val="37883D9D"/>
    <w:rsid w:val="37987CE3"/>
    <w:rsid w:val="379DF0C9"/>
    <w:rsid w:val="37DA5F5D"/>
    <w:rsid w:val="37ED036A"/>
    <w:rsid w:val="37F913BE"/>
    <w:rsid w:val="37FF6BD7"/>
    <w:rsid w:val="38177FF1"/>
    <w:rsid w:val="386523B0"/>
    <w:rsid w:val="389E4DF7"/>
    <w:rsid w:val="38A230B5"/>
    <w:rsid w:val="38B5305A"/>
    <w:rsid w:val="38D63A95"/>
    <w:rsid w:val="3914125A"/>
    <w:rsid w:val="3915611C"/>
    <w:rsid w:val="39260D0B"/>
    <w:rsid w:val="397158ED"/>
    <w:rsid w:val="39724B96"/>
    <w:rsid w:val="39E03896"/>
    <w:rsid w:val="39E37660"/>
    <w:rsid w:val="3A291850"/>
    <w:rsid w:val="3A2A56F0"/>
    <w:rsid w:val="3A347BA7"/>
    <w:rsid w:val="3A86131C"/>
    <w:rsid w:val="3A904DA0"/>
    <w:rsid w:val="3AA14CC2"/>
    <w:rsid w:val="3AAD6F40"/>
    <w:rsid w:val="3AC96B3C"/>
    <w:rsid w:val="3ADA7F84"/>
    <w:rsid w:val="3AE22A52"/>
    <w:rsid w:val="3B0A2B10"/>
    <w:rsid w:val="3B2A3A82"/>
    <w:rsid w:val="3B470C18"/>
    <w:rsid w:val="3B5269DA"/>
    <w:rsid w:val="3B5E2A02"/>
    <w:rsid w:val="3B9A0AD5"/>
    <w:rsid w:val="3BAA2DFB"/>
    <w:rsid w:val="3BB98257"/>
    <w:rsid w:val="3BD45B11"/>
    <w:rsid w:val="3BEB5437"/>
    <w:rsid w:val="3C195C5A"/>
    <w:rsid w:val="3C504855"/>
    <w:rsid w:val="3CA91485"/>
    <w:rsid w:val="3CC17E22"/>
    <w:rsid w:val="3D0A686C"/>
    <w:rsid w:val="3D833044"/>
    <w:rsid w:val="3D98639D"/>
    <w:rsid w:val="3DBD4CAC"/>
    <w:rsid w:val="3DE76D88"/>
    <w:rsid w:val="3DFDB1AE"/>
    <w:rsid w:val="3E0655B4"/>
    <w:rsid w:val="3E337FDD"/>
    <w:rsid w:val="3E5FED92"/>
    <w:rsid w:val="3E6D4856"/>
    <w:rsid w:val="3E835940"/>
    <w:rsid w:val="3E8B628D"/>
    <w:rsid w:val="3E8C18E6"/>
    <w:rsid w:val="3EBD617F"/>
    <w:rsid w:val="3ECA28FD"/>
    <w:rsid w:val="3F257157"/>
    <w:rsid w:val="3F384761"/>
    <w:rsid w:val="3F3F6505"/>
    <w:rsid w:val="3F526712"/>
    <w:rsid w:val="3F5B5216"/>
    <w:rsid w:val="3F640B0B"/>
    <w:rsid w:val="3F812A3A"/>
    <w:rsid w:val="3FD062C0"/>
    <w:rsid w:val="3FD3BFEC"/>
    <w:rsid w:val="3FE1772E"/>
    <w:rsid w:val="3FFD8E96"/>
    <w:rsid w:val="3FFE1AF6"/>
    <w:rsid w:val="3FFE70B7"/>
    <w:rsid w:val="400B31E9"/>
    <w:rsid w:val="40141D1D"/>
    <w:rsid w:val="401B4FD8"/>
    <w:rsid w:val="40307C69"/>
    <w:rsid w:val="404D7AC8"/>
    <w:rsid w:val="40634C41"/>
    <w:rsid w:val="40791BF6"/>
    <w:rsid w:val="407B722C"/>
    <w:rsid w:val="40AB4C9D"/>
    <w:rsid w:val="40DD16D8"/>
    <w:rsid w:val="413063A6"/>
    <w:rsid w:val="41391FB6"/>
    <w:rsid w:val="4145485A"/>
    <w:rsid w:val="41714E4C"/>
    <w:rsid w:val="417530DD"/>
    <w:rsid w:val="417B40A4"/>
    <w:rsid w:val="41814A29"/>
    <w:rsid w:val="41920DF4"/>
    <w:rsid w:val="41A36DCF"/>
    <w:rsid w:val="41C06248"/>
    <w:rsid w:val="42226A27"/>
    <w:rsid w:val="425C78EF"/>
    <w:rsid w:val="425D4FF7"/>
    <w:rsid w:val="425F7C30"/>
    <w:rsid w:val="42655A33"/>
    <w:rsid w:val="42680B06"/>
    <w:rsid w:val="429F46BC"/>
    <w:rsid w:val="42A34DFA"/>
    <w:rsid w:val="42F143F7"/>
    <w:rsid w:val="42F26E0D"/>
    <w:rsid w:val="43005F1C"/>
    <w:rsid w:val="43100FE2"/>
    <w:rsid w:val="43242DC6"/>
    <w:rsid w:val="43463A91"/>
    <w:rsid w:val="439E6277"/>
    <w:rsid w:val="43A254B1"/>
    <w:rsid w:val="43B943DD"/>
    <w:rsid w:val="43BF143F"/>
    <w:rsid w:val="43F50014"/>
    <w:rsid w:val="44240C6A"/>
    <w:rsid w:val="44272CAC"/>
    <w:rsid w:val="443A54EB"/>
    <w:rsid w:val="44451BDC"/>
    <w:rsid w:val="444F6481"/>
    <w:rsid w:val="447B6726"/>
    <w:rsid w:val="449A1973"/>
    <w:rsid w:val="44EE1648"/>
    <w:rsid w:val="44F02F62"/>
    <w:rsid w:val="451A0FD3"/>
    <w:rsid w:val="45712308"/>
    <w:rsid w:val="457D2990"/>
    <w:rsid w:val="458B1522"/>
    <w:rsid w:val="45ED0241"/>
    <w:rsid w:val="45F677D8"/>
    <w:rsid w:val="460434E4"/>
    <w:rsid w:val="466B00B6"/>
    <w:rsid w:val="46706F3F"/>
    <w:rsid w:val="46742883"/>
    <w:rsid w:val="46757EF5"/>
    <w:rsid w:val="468375BE"/>
    <w:rsid w:val="46876032"/>
    <w:rsid w:val="46A87C88"/>
    <w:rsid w:val="46C7549B"/>
    <w:rsid w:val="46C96C6F"/>
    <w:rsid w:val="46FD0882"/>
    <w:rsid w:val="471513C1"/>
    <w:rsid w:val="47245012"/>
    <w:rsid w:val="472B40E0"/>
    <w:rsid w:val="473461A6"/>
    <w:rsid w:val="473D42FE"/>
    <w:rsid w:val="47793752"/>
    <w:rsid w:val="477E751F"/>
    <w:rsid w:val="47A31B07"/>
    <w:rsid w:val="47A9364D"/>
    <w:rsid w:val="47C81250"/>
    <w:rsid w:val="47C84FBA"/>
    <w:rsid w:val="47E051A9"/>
    <w:rsid w:val="47EFACDD"/>
    <w:rsid w:val="485278BE"/>
    <w:rsid w:val="487D2A9B"/>
    <w:rsid w:val="48C75219"/>
    <w:rsid w:val="48D23E7A"/>
    <w:rsid w:val="48F04FAA"/>
    <w:rsid w:val="49383A95"/>
    <w:rsid w:val="49897021"/>
    <w:rsid w:val="499B766C"/>
    <w:rsid w:val="49A85CE0"/>
    <w:rsid w:val="49BB73C2"/>
    <w:rsid w:val="49C45AA7"/>
    <w:rsid w:val="49CB0635"/>
    <w:rsid w:val="49CC464E"/>
    <w:rsid w:val="49E815C6"/>
    <w:rsid w:val="4A203730"/>
    <w:rsid w:val="4A203D36"/>
    <w:rsid w:val="4A3F1F54"/>
    <w:rsid w:val="4A5943E4"/>
    <w:rsid w:val="4A6050DB"/>
    <w:rsid w:val="4A6278FA"/>
    <w:rsid w:val="4A693AF6"/>
    <w:rsid w:val="4AD43451"/>
    <w:rsid w:val="4ADD07E4"/>
    <w:rsid w:val="4B4E3F99"/>
    <w:rsid w:val="4B5A348C"/>
    <w:rsid w:val="4B715FB2"/>
    <w:rsid w:val="4B8C55E8"/>
    <w:rsid w:val="4BB858C5"/>
    <w:rsid w:val="4C083C31"/>
    <w:rsid w:val="4C100B51"/>
    <w:rsid w:val="4C875D8A"/>
    <w:rsid w:val="4C88552C"/>
    <w:rsid w:val="4CD90354"/>
    <w:rsid w:val="4CE354D3"/>
    <w:rsid w:val="4D092A65"/>
    <w:rsid w:val="4D3E119B"/>
    <w:rsid w:val="4D5D5079"/>
    <w:rsid w:val="4D63426D"/>
    <w:rsid w:val="4D6F1F18"/>
    <w:rsid w:val="4D7376F9"/>
    <w:rsid w:val="4D9E38E4"/>
    <w:rsid w:val="4DC82BF0"/>
    <w:rsid w:val="4DD013FD"/>
    <w:rsid w:val="4DE577AB"/>
    <w:rsid w:val="4E7B4448"/>
    <w:rsid w:val="4EBA1CDB"/>
    <w:rsid w:val="4EDB1BC9"/>
    <w:rsid w:val="4EEB225C"/>
    <w:rsid w:val="4F103158"/>
    <w:rsid w:val="4F172AC2"/>
    <w:rsid w:val="4F1B6653"/>
    <w:rsid w:val="4F314161"/>
    <w:rsid w:val="4F3F55BB"/>
    <w:rsid w:val="4F464A5A"/>
    <w:rsid w:val="4F4C6491"/>
    <w:rsid w:val="4F5551B4"/>
    <w:rsid w:val="4F5D32A4"/>
    <w:rsid w:val="4F66062D"/>
    <w:rsid w:val="4F6B71DF"/>
    <w:rsid w:val="4F9818B4"/>
    <w:rsid w:val="4FAD051B"/>
    <w:rsid w:val="4FD46EBD"/>
    <w:rsid w:val="4FE828ED"/>
    <w:rsid w:val="501D392A"/>
    <w:rsid w:val="503D78E7"/>
    <w:rsid w:val="503D7B8D"/>
    <w:rsid w:val="506B2F52"/>
    <w:rsid w:val="507951EA"/>
    <w:rsid w:val="508B3AB6"/>
    <w:rsid w:val="508F2AB3"/>
    <w:rsid w:val="50B138D1"/>
    <w:rsid w:val="50F0046A"/>
    <w:rsid w:val="50F31B7F"/>
    <w:rsid w:val="511A61BA"/>
    <w:rsid w:val="511E35F8"/>
    <w:rsid w:val="51503FA0"/>
    <w:rsid w:val="5156017D"/>
    <w:rsid w:val="51596E11"/>
    <w:rsid w:val="519B5CC2"/>
    <w:rsid w:val="51CD03C6"/>
    <w:rsid w:val="51FE7D93"/>
    <w:rsid w:val="52121DCF"/>
    <w:rsid w:val="52137423"/>
    <w:rsid w:val="521C6302"/>
    <w:rsid w:val="522105B9"/>
    <w:rsid w:val="52263BCA"/>
    <w:rsid w:val="52AF3E2F"/>
    <w:rsid w:val="52FB705C"/>
    <w:rsid w:val="5304202F"/>
    <w:rsid w:val="53155197"/>
    <w:rsid w:val="531B7C6E"/>
    <w:rsid w:val="53314D4C"/>
    <w:rsid w:val="53316789"/>
    <w:rsid w:val="53871716"/>
    <w:rsid w:val="53950C89"/>
    <w:rsid w:val="53A40CC6"/>
    <w:rsid w:val="53A43997"/>
    <w:rsid w:val="53D42EB7"/>
    <w:rsid w:val="53D51E6A"/>
    <w:rsid w:val="53DE1453"/>
    <w:rsid w:val="53FF5110"/>
    <w:rsid w:val="5403502E"/>
    <w:rsid w:val="540A3EEE"/>
    <w:rsid w:val="540A6D47"/>
    <w:rsid w:val="54456746"/>
    <w:rsid w:val="54457077"/>
    <w:rsid w:val="544F1263"/>
    <w:rsid w:val="549D0C85"/>
    <w:rsid w:val="54EE6554"/>
    <w:rsid w:val="550C6C83"/>
    <w:rsid w:val="553E32D6"/>
    <w:rsid w:val="55583B90"/>
    <w:rsid w:val="55675C79"/>
    <w:rsid w:val="558D65E8"/>
    <w:rsid w:val="55990B54"/>
    <w:rsid w:val="55BC2E86"/>
    <w:rsid w:val="55C03CB8"/>
    <w:rsid w:val="55C624E8"/>
    <w:rsid w:val="55D94BD7"/>
    <w:rsid w:val="5625035E"/>
    <w:rsid w:val="562F0568"/>
    <w:rsid w:val="565F506B"/>
    <w:rsid w:val="566F1F39"/>
    <w:rsid w:val="56830ADF"/>
    <w:rsid w:val="56857CFC"/>
    <w:rsid w:val="569022B2"/>
    <w:rsid w:val="56BB20E5"/>
    <w:rsid w:val="56D5033D"/>
    <w:rsid w:val="56D67726"/>
    <w:rsid w:val="56FF2CC1"/>
    <w:rsid w:val="57002B8D"/>
    <w:rsid w:val="571F6FD0"/>
    <w:rsid w:val="57344DFE"/>
    <w:rsid w:val="573577BE"/>
    <w:rsid w:val="573751CA"/>
    <w:rsid w:val="57606083"/>
    <w:rsid w:val="578B0E6E"/>
    <w:rsid w:val="57A1046F"/>
    <w:rsid w:val="57B5D834"/>
    <w:rsid w:val="57D60C34"/>
    <w:rsid w:val="57F652BC"/>
    <w:rsid w:val="5848614A"/>
    <w:rsid w:val="585D6E6C"/>
    <w:rsid w:val="588C1D68"/>
    <w:rsid w:val="58A674A5"/>
    <w:rsid w:val="58CD30A4"/>
    <w:rsid w:val="58CD382E"/>
    <w:rsid w:val="58D7418F"/>
    <w:rsid w:val="5900000F"/>
    <w:rsid w:val="590A1DA2"/>
    <w:rsid w:val="590D6489"/>
    <w:rsid w:val="59154896"/>
    <w:rsid w:val="592B5553"/>
    <w:rsid w:val="595042FB"/>
    <w:rsid w:val="59876675"/>
    <w:rsid w:val="59B961EA"/>
    <w:rsid w:val="59C9107F"/>
    <w:rsid w:val="59CE04C3"/>
    <w:rsid w:val="59FFE880"/>
    <w:rsid w:val="5A0C0158"/>
    <w:rsid w:val="5A376F91"/>
    <w:rsid w:val="5A3D0E34"/>
    <w:rsid w:val="5A4E1D0A"/>
    <w:rsid w:val="5A642481"/>
    <w:rsid w:val="5A6E0818"/>
    <w:rsid w:val="5ABE7049"/>
    <w:rsid w:val="5AC32B55"/>
    <w:rsid w:val="5AE145C9"/>
    <w:rsid w:val="5B421824"/>
    <w:rsid w:val="5B695259"/>
    <w:rsid w:val="5B75772B"/>
    <w:rsid w:val="5B9E3DE4"/>
    <w:rsid w:val="5BC44CEE"/>
    <w:rsid w:val="5BDA0F82"/>
    <w:rsid w:val="5BDF4787"/>
    <w:rsid w:val="5BE106D2"/>
    <w:rsid w:val="5BFFD2DF"/>
    <w:rsid w:val="5C00697E"/>
    <w:rsid w:val="5C2F3299"/>
    <w:rsid w:val="5C37658E"/>
    <w:rsid w:val="5C405FA4"/>
    <w:rsid w:val="5C5F447C"/>
    <w:rsid w:val="5C7521D3"/>
    <w:rsid w:val="5C896574"/>
    <w:rsid w:val="5C8C3697"/>
    <w:rsid w:val="5C961357"/>
    <w:rsid w:val="5CAC7B1C"/>
    <w:rsid w:val="5CD13E43"/>
    <w:rsid w:val="5CEF42BA"/>
    <w:rsid w:val="5D3D052D"/>
    <w:rsid w:val="5D591FBD"/>
    <w:rsid w:val="5D94180E"/>
    <w:rsid w:val="5D9F27A5"/>
    <w:rsid w:val="5DC411A3"/>
    <w:rsid w:val="5DCA620A"/>
    <w:rsid w:val="5DDABCF8"/>
    <w:rsid w:val="5DDD008C"/>
    <w:rsid w:val="5DFE433A"/>
    <w:rsid w:val="5E1373C1"/>
    <w:rsid w:val="5E2D4485"/>
    <w:rsid w:val="5E6747E1"/>
    <w:rsid w:val="5E7BB97F"/>
    <w:rsid w:val="5E9641A9"/>
    <w:rsid w:val="5E97068D"/>
    <w:rsid w:val="5EB543C4"/>
    <w:rsid w:val="5EB7CDDF"/>
    <w:rsid w:val="5EB92CF5"/>
    <w:rsid w:val="5EBF6980"/>
    <w:rsid w:val="5ED30C10"/>
    <w:rsid w:val="5EDA2A7B"/>
    <w:rsid w:val="5EE16E0E"/>
    <w:rsid w:val="5F3940A0"/>
    <w:rsid w:val="5F44566E"/>
    <w:rsid w:val="5F4C554A"/>
    <w:rsid w:val="5F675369"/>
    <w:rsid w:val="5F9C7872"/>
    <w:rsid w:val="5FB71F10"/>
    <w:rsid w:val="5FCF3527"/>
    <w:rsid w:val="5FF11BD5"/>
    <w:rsid w:val="5FF508FC"/>
    <w:rsid w:val="5FFB837C"/>
    <w:rsid w:val="601531AE"/>
    <w:rsid w:val="602D4F22"/>
    <w:rsid w:val="603F2201"/>
    <w:rsid w:val="604C733B"/>
    <w:rsid w:val="605721AA"/>
    <w:rsid w:val="60AE77CA"/>
    <w:rsid w:val="60B44113"/>
    <w:rsid w:val="60C06C11"/>
    <w:rsid w:val="60DE3AB5"/>
    <w:rsid w:val="60E517B1"/>
    <w:rsid w:val="60EA573B"/>
    <w:rsid w:val="613F7C88"/>
    <w:rsid w:val="616816BC"/>
    <w:rsid w:val="61731648"/>
    <w:rsid w:val="617A1E26"/>
    <w:rsid w:val="61D60995"/>
    <w:rsid w:val="61E16FA2"/>
    <w:rsid w:val="61E54B40"/>
    <w:rsid w:val="622C753A"/>
    <w:rsid w:val="624F3EEF"/>
    <w:rsid w:val="62884618"/>
    <w:rsid w:val="62D70BD1"/>
    <w:rsid w:val="62E47D3E"/>
    <w:rsid w:val="62E92531"/>
    <w:rsid w:val="6341070D"/>
    <w:rsid w:val="63416D06"/>
    <w:rsid w:val="63A6157B"/>
    <w:rsid w:val="63AA21B4"/>
    <w:rsid w:val="63C3108A"/>
    <w:rsid w:val="63FC019F"/>
    <w:rsid w:val="64481AB7"/>
    <w:rsid w:val="64497B3B"/>
    <w:rsid w:val="646E07F6"/>
    <w:rsid w:val="646F08D5"/>
    <w:rsid w:val="648630F3"/>
    <w:rsid w:val="64B30F39"/>
    <w:rsid w:val="64BA7177"/>
    <w:rsid w:val="64C45F03"/>
    <w:rsid w:val="64CB5E68"/>
    <w:rsid w:val="64D5736A"/>
    <w:rsid w:val="64F851F1"/>
    <w:rsid w:val="65312228"/>
    <w:rsid w:val="65625FEC"/>
    <w:rsid w:val="656C7BC4"/>
    <w:rsid w:val="65715E5A"/>
    <w:rsid w:val="65904230"/>
    <w:rsid w:val="65930C48"/>
    <w:rsid w:val="65BF74AA"/>
    <w:rsid w:val="65C23858"/>
    <w:rsid w:val="6601087F"/>
    <w:rsid w:val="66183E19"/>
    <w:rsid w:val="66821BE2"/>
    <w:rsid w:val="66976CA9"/>
    <w:rsid w:val="66BE22A1"/>
    <w:rsid w:val="66D70B4F"/>
    <w:rsid w:val="66FF5A0E"/>
    <w:rsid w:val="67005BCA"/>
    <w:rsid w:val="6702678E"/>
    <w:rsid w:val="671C1D5F"/>
    <w:rsid w:val="671F12E9"/>
    <w:rsid w:val="673426E5"/>
    <w:rsid w:val="67812CEA"/>
    <w:rsid w:val="679D4CF3"/>
    <w:rsid w:val="679E080A"/>
    <w:rsid w:val="67EE11BE"/>
    <w:rsid w:val="68126954"/>
    <w:rsid w:val="681E63B1"/>
    <w:rsid w:val="683B1C26"/>
    <w:rsid w:val="6889713A"/>
    <w:rsid w:val="68AD3A4E"/>
    <w:rsid w:val="68DC0F3F"/>
    <w:rsid w:val="68E258A1"/>
    <w:rsid w:val="68FA6BF9"/>
    <w:rsid w:val="691463FB"/>
    <w:rsid w:val="691A565F"/>
    <w:rsid w:val="69541AD9"/>
    <w:rsid w:val="69650E2F"/>
    <w:rsid w:val="69A9488B"/>
    <w:rsid w:val="69AF7532"/>
    <w:rsid w:val="69C96177"/>
    <w:rsid w:val="69E16BE6"/>
    <w:rsid w:val="6A230268"/>
    <w:rsid w:val="6A457122"/>
    <w:rsid w:val="6A4D68CC"/>
    <w:rsid w:val="6A5F513A"/>
    <w:rsid w:val="6A7150A8"/>
    <w:rsid w:val="6A7401B1"/>
    <w:rsid w:val="6ABF2D94"/>
    <w:rsid w:val="6B02331D"/>
    <w:rsid w:val="6B067187"/>
    <w:rsid w:val="6B507AEB"/>
    <w:rsid w:val="6B727905"/>
    <w:rsid w:val="6B9125CB"/>
    <w:rsid w:val="6BB93611"/>
    <w:rsid w:val="6BC35959"/>
    <w:rsid w:val="6BE64B7B"/>
    <w:rsid w:val="6BF315F7"/>
    <w:rsid w:val="6C05168F"/>
    <w:rsid w:val="6C05463D"/>
    <w:rsid w:val="6C274259"/>
    <w:rsid w:val="6C714624"/>
    <w:rsid w:val="6C7D7121"/>
    <w:rsid w:val="6C9F23F5"/>
    <w:rsid w:val="6CBD664D"/>
    <w:rsid w:val="6CD07465"/>
    <w:rsid w:val="6CDA28F7"/>
    <w:rsid w:val="6D10711C"/>
    <w:rsid w:val="6D1771CB"/>
    <w:rsid w:val="6D2E27CF"/>
    <w:rsid w:val="6D52034D"/>
    <w:rsid w:val="6D70737B"/>
    <w:rsid w:val="6D76311A"/>
    <w:rsid w:val="6D771760"/>
    <w:rsid w:val="6D993D80"/>
    <w:rsid w:val="6DDA3E1D"/>
    <w:rsid w:val="6DDF75FC"/>
    <w:rsid w:val="6DF90EC9"/>
    <w:rsid w:val="6E01448B"/>
    <w:rsid w:val="6E025E88"/>
    <w:rsid w:val="6E2E5E48"/>
    <w:rsid w:val="6E866386"/>
    <w:rsid w:val="6ED160AB"/>
    <w:rsid w:val="6EDB34C1"/>
    <w:rsid w:val="6F006DDA"/>
    <w:rsid w:val="6F085C5D"/>
    <w:rsid w:val="6F4F6D21"/>
    <w:rsid w:val="6F58696B"/>
    <w:rsid w:val="6F95673A"/>
    <w:rsid w:val="6F9673F9"/>
    <w:rsid w:val="6F9D4B96"/>
    <w:rsid w:val="6FA64437"/>
    <w:rsid w:val="6FBB755E"/>
    <w:rsid w:val="6FCD27E4"/>
    <w:rsid w:val="6FDF5A50"/>
    <w:rsid w:val="6FEE1B2C"/>
    <w:rsid w:val="7019691C"/>
    <w:rsid w:val="701D6C26"/>
    <w:rsid w:val="70216AC8"/>
    <w:rsid w:val="70392C2A"/>
    <w:rsid w:val="70745258"/>
    <w:rsid w:val="707819B0"/>
    <w:rsid w:val="709B2D07"/>
    <w:rsid w:val="709F64A5"/>
    <w:rsid w:val="70AD6346"/>
    <w:rsid w:val="70CF02ED"/>
    <w:rsid w:val="70D74AB3"/>
    <w:rsid w:val="70DA6154"/>
    <w:rsid w:val="70DD0315"/>
    <w:rsid w:val="70E95D7A"/>
    <w:rsid w:val="71136C4F"/>
    <w:rsid w:val="712E15B0"/>
    <w:rsid w:val="714D0A49"/>
    <w:rsid w:val="71673F9B"/>
    <w:rsid w:val="717520A9"/>
    <w:rsid w:val="719F0B7C"/>
    <w:rsid w:val="71CD6934"/>
    <w:rsid w:val="71EA15C0"/>
    <w:rsid w:val="71F83BE6"/>
    <w:rsid w:val="723942F4"/>
    <w:rsid w:val="725737C3"/>
    <w:rsid w:val="7260622C"/>
    <w:rsid w:val="726D5A47"/>
    <w:rsid w:val="72750A1C"/>
    <w:rsid w:val="72757496"/>
    <w:rsid w:val="727B41C2"/>
    <w:rsid w:val="72C6067D"/>
    <w:rsid w:val="72C9C255"/>
    <w:rsid w:val="72CA45EF"/>
    <w:rsid w:val="72E75711"/>
    <w:rsid w:val="72EB1400"/>
    <w:rsid w:val="7311786F"/>
    <w:rsid w:val="732860A1"/>
    <w:rsid w:val="734C374E"/>
    <w:rsid w:val="73517BC9"/>
    <w:rsid w:val="73870389"/>
    <w:rsid w:val="73B44DF0"/>
    <w:rsid w:val="73F21076"/>
    <w:rsid w:val="7417189B"/>
    <w:rsid w:val="74340A39"/>
    <w:rsid w:val="74611F1F"/>
    <w:rsid w:val="7491533F"/>
    <w:rsid w:val="74CE0A9B"/>
    <w:rsid w:val="74D22127"/>
    <w:rsid w:val="74F4555C"/>
    <w:rsid w:val="75037857"/>
    <w:rsid w:val="750D524B"/>
    <w:rsid w:val="752FE869"/>
    <w:rsid w:val="753D053B"/>
    <w:rsid w:val="755539A3"/>
    <w:rsid w:val="75556181"/>
    <w:rsid w:val="75712ACC"/>
    <w:rsid w:val="757B4A26"/>
    <w:rsid w:val="75846400"/>
    <w:rsid w:val="759871F9"/>
    <w:rsid w:val="75A44310"/>
    <w:rsid w:val="75C26102"/>
    <w:rsid w:val="75CC5A83"/>
    <w:rsid w:val="75FA4693"/>
    <w:rsid w:val="76072028"/>
    <w:rsid w:val="761A3604"/>
    <w:rsid w:val="76390E53"/>
    <w:rsid w:val="767577A0"/>
    <w:rsid w:val="768611D1"/>
    <w:rsid w:val="76A61737"/>
    <w:rsid w:val="76AC12BF"/>
    <w:rsid w:val="76BD780E"/>
    <w:rsid w:val="76BE11CF"/>
    <w:rsid w:val="76BFB7AB"/>
    <w:rsid w:val="76CEC8CE"/>
    <w:rsid w:val="76EF5CA5"/>
    <w:rsid w:val="76F463F0"/>
    <w:rsid w:val="76FAD0CD"/>
    <w:rsid w:val="7701463A"/>
    <w:rsid w:val="770D331C"/>
    <w:rsid w:val="77445FBB"/>
    <w:rsid w:val="774B2EC4"/>
    <w:rsid w:val="775B22A8"/>
    <w:rsid w:val="7761477F"/>
    <w:rsid w:val="776A7337"/>
    <w:rsid w:val="777F1553"/>
    <w:rsid w:val="77A7936F"/>
    <w:rsid w:val="77B41026"/>
    <w:rsid w:val="77B92EBE"/>
    <w:rsid w:val="77BAB242"/>
    <w:rsid w:val="77DB8DFD"/>
    <w:rsid w:val="77ED4CA7"/>
    <w:rsid w:val="77F7656E"/>
    <w:rsid w:val="78041F2B"/>
    <w:rsid w:val="782D5A55"/>
    <w:rsid w:val="78700E16"/>
    <w:rsid w:val="78787717"/>
    <w:rsid w:val="78AB6CF2"/>
    <w:rsid w:val="78C85065"/>
    <w:rsid w:val="78CB54A2"/>
    <w:rsid w:val="78F85823"/>
    <w:rsid w:val="78FF40FB"/>
    <w:rsid w:val="793122E3"/>
    <w:rsid w:val="794857A6"/>
    <w:rsid w:val="79585961"/>
    <w:rsid w:val="79614897"/>
    <w:rsid w:val="79617D09"/>
    <w:rsid w:val="79680FED"/>
    <w:rsid w:val="796F1C36"/>
    <w:rsid w:val="79BB2545"/>
    <w:rsid w:val="79C008CD"/>
    <w:rsid w:val="7A4F7B07"/>
    <w:rsid w:val="7A5101BC"/>
    <w:rsid w:val="7A640DEF"/>
    <w:rsid w:val="7A685998"/>
    <w:rsid w:val="7AC96B81"/>
    <w:rsid w:val="7AD727B2"/>
    <w:rsid w:val="7AD7A1FA"/>
    <w:rsid w:val="7ADE96DB"/>
    <w:rsid w:val="7AFD5349"/>
    <w:rsid w:val="7B063D79"/>
    <w:rsid w:val="7B0E3DF2"/>
    <w:rsid w:val="7B0F0EC6"/>
    <w:rsid w:val="7B286B9A"/>
    <w:rsid w:val="7B334FEE"/>
    <w:rsid w:val="7B3B3EC1"/>
    <w:rsid w:val="7B7114EB"/>
    <w:rsid w:val="7B766521"/>
    <w:rsid w:val="7B9A6B24"/>
    <w:rsid w:val="7B9A6FC5"/>
    <w:rsid w:val="7BA269EE"/>
    <w:rsid w:val="7BBB08F9"/>
    <w:rsid w:val="7BC47376"/>
    <w:rsid w:val="7BEB30F6"/>
    <w:rsid w:val="7BFFA655"/>
    <w:rsid w:val="7C00147E"/>
    <w:rsid w:val="7C0E1600"/>
    <w:rsid w:val="7C3717CE"/>
    <w:rsid w:val="7C691183"/>
    <w:rsid w:val="7C9537CE"/>
    <w:rsid w:val="7D0D2D49"/>
    <w:rsid w:val="7D203553"/>
    <w:rsid w:val="7D3638F1"/>
    <w:rsid w:val="7D4441A2"/>
    <w:rsid w:val="7D9948DF"/>
    <w:rsid w:val="7D9C56A0"/>
    <w:rsid w:val="7DBA0B08"/>
    <w:rsid w:val="7DC47C61"/>
    <w:rsid w:val="7DD76F8A"/>
    <w:rsid w:val="7DDB5147"/>
    <w:rsid w:val="7E00744C"/>
    <w:rsid w:val="7E1F5D8A"/>
    <w:rsid w:val="7E27194F"/>
    <w:rsid w:val="7E53DB8D"/>
    <w:rsid w:val="7E5D471B"/>
    <w:rsid w:val="7E93527C"/>
    <w:rsid w:val="7EA64368"/>
    <w:rsid w:val="7EA7CF43"/>
    <w:rsid w:val="7EC17537"/>
    <w:rsid w:val="7EED3DCE"/>
    <w:rsid w:val="7EFF54EF"/>
    <w:rsid w:val="7EFFBE69"/>
    <w:rsid w:val="7F0969F7"/>
    <w:rsid w:val="7F2C38B2"/>
    <w:rsid w:val="7F4033B0"/>
    <w:rsid w:val="7F4B17C2"/>
    <w:rsid w:val="7F63180E"/>
    <w:rsid w:val="7F65074C"/>
    <w:rsid w:val="7F6B1C88"/>
    <w:rsid w:val="7F6EDAEE"/>
    <w:rsid w:val="7F7513EC"/>
    <w:rsid w:val="7F8F6F36"/>
    <w:rsid w:val="7FA7A97F"/>
    <w:rsid w:val="7FAA5858"/>
    <w:rsid w:val="7FAF3BDF"/>
    <w:rsid w:val="7FAFC216"/>
    <w:rsid w:val="7FBB2037"/>
    <w:rsid w:val="7FBDD174"/>
    <w:rsid w:val="7FEFA79C"/>
    <w:rsid w:val="7FF8015F"/>
    <w:rsid w:val="7FFD8A9D"/>
    <w:rsid w:val="8BFDCE5E"/>
    <w:rsid w:val="975F7B5B"/>
    <w:rsid w:val="9FBA7136"/>
    <w:rsid w:val="9FCF587D"/>
    <w:rsid w:val="9FD7F4D0"/>
    <w:rsid w:val="A7BE5D65"/>
    <w:rsid w:val="A9EFB07C"/>
    <w:rsid w:val="ABFB8D5C"/>
    <w:rsid w:val="ADFD5579"/>
    <w:rsid w:val="AE521328"/>
    <w:rsid w:val="AED671AF"/>
    <w:rsid w:val="AF85341E"/>
    <w:rsid w:val="AFDA5E24"/>
    <w:rsid w:val="B2AF928D"/>
    <w:rsid w:val="B6374D86"/>
    <w:rsid w:val="B75B6B07"/>
    <w:rsid w:val="B7A34307"/>
    <w:rsid w:val="B7DF6BCE"/>
    <w:rsid w:val="B814F49D"/>
    <w:rsid w:val="B97C0B21"/>
    <w:rsid w:val="BAFE2844"/>
    <w:rsid w:val="BB7F4F81"/>
    <w:rsid w:val="BCFF7F26"/>
    <w:rsid w:val="BE7F8010"/>
    <w:rsid w:val="BEDDF782"/>
    <w:rsid w:val="BEFD1EBF"/>
    <w:rsid w:val="BEFDB907"/>
    <w:rsid w:val="BF7F50E4"/>
    <w:rsid w:val="CEFFE737"/>
    <w:rsid w:val="CFB32512"/>
    <w:rsid w:val="CFDB96F1"/>
    <w:rsid w:val="D3DEF757"/>
    <w:rsid w:val="D4FC2746"/>
    <w:rsid w:val="D6B758C4"/>
    <w:rsid w:val="D7AE11A9"/>
    <w:rsid w:val="D7FB917C"/>
    <w:rsid w:val="D89BD63B"/>
    <w:rsid w:val="DBB62C97"/>
    <w:rsid w:val="DDEB0CA7"/>
    <w:rsid w:val="DFDB03BE"/>
    <w:rsid w:val="DFF10D5D"/>
    <w:rsid w:val="DFF33081"/>
    <w:rsid w:val="DFF45A85"/>
    <w:rsid w:val="DFF916DC"/>
    <w:rsid w:val="DFFE5912"/>
    <w:rsid w:val="E1F6E432"/>
    <w:rsid w:val="E5FF3585"/>
    <w:rsid w:val="E6E73CA6"/>
    <w:rsid w:val="E76AE2C3"/>
    <w:rsid w:val="E775C37B"/>
    <w:rsid w:val="E79BBD20"/>
    <w:rsid w:val="EBEFFE61"/>
    <w:rsid w:val="EC6DBE59"/>
    <w:rsid w:val="EDB70AA8"/>
    <w:rsid w:val="EDBC2E8F"/>
    <w:rsid w:val="EF6BB7E2"/>
    <w:rsid w:val="EFEDC775"/>
    <w:rsid w:val="EFF946E3"/>
    <w:rsid w:val="F1DF50E3"/>
    <w:rsid w:val="F373B128"/>
    <w:rsid w:val="F57E6084"/>
    <w:rsid w:val="F5CCC4D5"/>
    <w:rsid w:val="F5F5150A"/>
    <w:rsid w:val="F5F9438B"/>
    <w:rsid w:val="F79BD332"/>
    <w:rsid w:val="F7BBC0E3"/>
    <w:rsid w:val="F8FDF5EE"/>
    <w:rsid w:val="F95AB7B5"/>
    <w:rsid w:val="F9FBABE3"/>
    <w:rsid w:val="FA7115EA"/>
    <w:rsid w:val="FB6F8943"/>
    <w:rsid w:val="FBDF0A69"/>
    <w:rsid w:val="FBDFEA72"/>
    <w:rsid w:val="FBF43FF7"/>
    <w:rsid w:val="FBFB3417"/>
    <w:rsid w:val="FC9688DB"/>
    <w:rsid w:val="FDB7BC72"/>
    <w:rsid w:val="FDEFB6F8"/>
    <w:rsid w:val="FDFDFBD6"/>
    <w:rsid w:val="FDFEA3E0"/>
    <w:rsid w:val="FEDE21EF"/>
    <w:rsid w:val="FEF572BD"/>
    <w:rsid w:val="FF1F7650"/>
    <w:rsid w:val="FF7EA94C"/>
    <w:rsid w:val="FFDF9A7C"/>
    <w:rsid w:val="FFEE4ECE"/>
    <w:rsid w:val="FFEF25B5"/>
    <w:rsid w:val="FFEF48B7"/>
    <w:rsid w:val="FFEF9705"/>
    <w:rsid w:val="FFFB66C8"/>
    <w:rsid w:val="FFFF0C42"/>
    <w:rsid w:val="FFFF27D7"/>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6"/>
    <w:qFormat/>
    <w:uiPriority w:val="0"/>
    <w:pPr>
      <w:keepNext/>
      <w:keepLines/>
      <w:spacing w:before="340" w:beforeLines="0" w:after="330" w:afterLines="0" w:line="578" w:lineRule="auto"/>
      <w:outlineLvl w:val="0"/>
    </w:pPr>
    <w:rPr>
      <w:b/>
      <w:bCs/>
      <w:kern w:val="44"/>
      <w:sz w:val="44"/>
      <w:szCs w:val="44"/>
    </w:rPr>
  </w:style>
  <w:style w:type="paragraph" w:styleId="4">
    <w:name w:val="heading 2"/>
    <w:basedOn w:val="1"/>
    <w:next w:val="1"/>
    <w:link w:val="57"/>
    <w:qFormat/>
    <w:uiPriority w:val="0"/>
    <w:pPr>
      <w:keepNext/>
      <w:keepLines/>
      <w:spacing w:line="360" w:lineRule="auto"/>
      <w:ind w:firstLine="540" w:firstLineChars="192"/>
      <w:jc w:val="center"/>
      <w:outlineLvl w:val="1"/>
    </w:pPr>
    <w:rPr>
      <w:rFonts w:ascii="Arial" w:hAnsi="Arial"/>
      <w:b/>
      <w:bCs/>
      <w:color w:val="FF0000"/>
      <w:sz w:val="28"/>
      <w:szCs w:val="32"/>
    </w:rPr>
  </w:style>
  <w:style w:type="paragraph" w:styleId="5">
    <w:name w:val="heading 3"/>
    <w:basedOn w:val="1"/>
    <w:next w:val="1"/>
    <w:link w:val="59"/>
    <w:qFormat/>
    <w:uiPriority w:val="0"/>
    <w:pPr>
      <w:numPr>
        <w:ilvl w:val="5"/>
        <w:numId w:val="1"/>
      </w:numPr>
      <w:spacing w:before="260" w:after="260" w:line="416" w:lineRule="auto"/>
      <w:outlineLvl w:val="2"/>
    </w:pPr>
    <w:rPr>
      <w:b/>
      <w:bCs/>
      <w:sz w:val="32"/>
      <w:szCs w:val="32"/>
    </w:rPr>
  </w:style>
  <w:style w:type="paragraph" w:styleId="6">
    <w:name w:val="heading 4"/>
    <w:basedOn w:val="1"/>
    <w:next w:val="1"/>
    <w:link w:val="61"/>
    <w:qFormat/>
    <w:uiPriority w:val="0"/>
    <w:pPr>
      <w:keepNext/>
      <w:keepLines/>
      <w:spacing w:before="280" w:beforeLines="0" w:after="290" w:afterLines="0" w:line="376" w:lineRule="auto"/>
      <w:outlineLvl w:val="3"/>
    </w:pPr>
    <w:rPr>
      <w:rFonts w:ascii="Arial" w:hAnsi="Arial" w:eastAsia="黑体"/>
      <w:b/>
      <w:bCs/>
      <w:sz w:val="28"/>
      <w:szCs w:val="28"/>
    </w:rPr>
  </w:style>
  <w:style w:type="paragraph" w:styleId="7">
    <w:name w:val="heading 5"/>
    <w:basedOn w:val="1"/>
    <w:next w:val="1"/>
    <w:qFormat/>
    <w:uiPriority w:val="0"/>
    <w:pPr>
      <w:keepNext/>
      <w:keepLines/>
      <w:numPr>
        <w:ilvl w:val="4"/>
        <w:numId w:val="2"/>
      </w:numPr>
      <w:adjustRightInd w:val="0"/>
      <w:spacing w:before="280" w:after="290" w:line="376" w:lineRule="atLeast"/>
      <w:textAlignment w:val="baseline"/>
      <w:outlineLvl w:val="4"/>
    </w:pPr>
    <w:rPr>
      <w:b/>
      <w:kern w:val="0"/>
      <w:sz w:val="28"/>
      <w:szCs w:val="20"/>
    </w:rPr>
  </w:style>
  <w:style w:type="paragraph" w:styleId="8">
    <w:name w:val="heading 6"/>
    <w:basedOn w:val="1"/>
    <w:next w:val="1"/>
    <w:qFormat/>
    <w:uiPriority w:val="0"/>
    <w:pPr>
      <w:keepNext/>
      <w:keepLines/>
      <w:widowControl/>
      <w:numPr>
        <w:ilvl w:val="5"/>
        <w:numId w:val="1"/>
      </w:numPr>
      <w:spacing w:before="240" w:after="64" w:line="320" w:lineRule="auto"/>
      <w:jc w:val="left"/>
      <w:outlineLvl w:val="5"/>
    </w:pPr>
    <w:rPr>
      <w:rFonts w:ascii="Arial" w:hAnsi="Arial" w:eastAsia="黑体"/>
      <w:b/>
      <w:bCs/>
      <w:kern w:val="0"/>
      <w:sz w:val="24"/>
    </w:rPr>
  </w:style>
  <w:style w:type="paragraph" w:styleId="9">
    <w:name w:val="heading 7"/>
    <w:basedOn w:val="1"/>
    <w:next w:val="1"/>
    <w:qFormat/>
    <w:uiPriority w:val="0"/>
    <w:pPr>
      <w:keepNext/>
      <w:keepLines/>
      <w:widowControl/>
      <w:numPr>
        <w:ilvl w:val="6"/>
        <w:numId w:val="1"/>
      </w:numPr>
      <w:spacing w:before="240" w:after="64" w:line="320" w:lineRule="auto"/>
      <w:jc w:val="left"/>
      <w:outlineLvl w:val="6"/>
    </w:pPr>
    <w:rPr>
      <w:b/>
      <w:bCs/>
      <w:kern w:val="0"/>
      <w:sz w:val="24"/>
    </w:rPr>
  </w:style>
  <w:style w:type="paragraph" w:styleId="10">
    <w:name w:val="heading 8"/>
    <w:basedOn w:val="1"/>
    <w:next w:val="1"/>
    <w:qFormat/>
    <w:uiPriority w:val="0"/>
    <w:pPr>
      <w:keepNext/>
      <w:keepLines/>
      <w:widowControl/>
      <w:numPr>
        <w:ilvl w:val="7"/>
        <w:numId w:val="1"/>
      </w:numPr>
      <w:spacing w:before="240" w:after="64" w:line="320" w:lineRule="auto"/>
      <w:jc w:val="left"/>
      <w:outlineLvl w:val="7"/>
    </w:pPr>
    <w:rPr>
      <w:rFonts w:ascii="Arial" w:hAnsi="Arial" w:eastAsia="黑体"/>
      <w:kern w:val="0"/>
      <w:sz w:val="24"/>
    </w:rPr>
  </w:style>
  <w:style w:type="paragraph" w:styleId="11">
    <w:name w:val="heading 9"/>
    <w:basedOn w:val="1"/>
    <w:next w:val="1"/>
    <w:link w:val="62"/>
    <w:qFormat/>
    <w:uiPriority w:val="0"/>
    <w:pPr>
      <w:keepNext/>
      <w:keepLines/>
      <w:widowControl/>
      <w:numPr>
        <w:ilvl w:val="8"/>
        <w:numId w:val="1"/>
      </w:numPr>
      <w:spacing w:before="240" w:after="64" w:line="320" w:lineRule="auto"/>
      <w:jc w:val="left"/>
      <w:outlineLvl w:val="8"/>
    </w:pPr>
    <w:rPr>
      <w:rFonts w:ascii="Arial" w:hAnsi="Arial" w:eastAsia="黑体"/>
      <w:kern w:val="0"/>
      <w:szCs w:val="21"/>
    </w:rPr>
  </w:style>
  <w:style w:type="character" w:default="1" w:styleId="43">
    <w:name w:val="Default Paragraph Font"/>
    <w:link w:val="44"/>
    <w:qFormat/>
    <w:uiPriority w:val="0"/>
    <w:rPr>
      <w:rFonts w:ascii="宋体" w:hAnsi="宋体"/>
      <w:kern w:val="0"/>
      <w:szCs w:val="21"/>
    </w:rPr>
  </w:style>
  <w:style w:type="table" w:default="1" w:styleId="41">
    <w:name w:val="Normal Table"/>
    <w:unhideWhenUsed/>
    <w:qFormat/>
    <w:uiPriority w:val="99"/>
    <w:tblPr>
      <w:tblCellMar>
        <w:top w:w="0" w:type="dxa"/>
        <w:left w:w="108" w:type="dxa"/>
        <w:bottom w:w="0" w:type="dxa"/>
        <w:right w:w="108" w:type="dxa"/>
      </w:tblCellMar>
    </w:tblPr>
  </w:style>
  <w:style w:type="paragraph" w:styleId="2">
    <w:name w:val="Body Text"/>
    <w:basedOn w:val="1"/>
    <w:next w:val="1"/>
    <w:link w:val="55"/>
    <w:qFormat/>
    <w:uiPriority w:val="0"/>
    <w:pPr>
      <w:jc w:val="center"/>
    </w:pPr>
    <w:rPr>
      <w:sz w:val="52"/>
    </w:rPr>
  </w:style>
  <w:style w:type="paragraph" w:styleId="12">
    <w:name w:val="toc 7"/>
    <w:basedOn w:val="1"/>
    <w:next w:val="1"/>
    <w:qFormat/>
    <w:uiPriority w:val="39"/>
    <w:pPr>
      <w:ind w:left="1260"/>
      <w:jc w:val="left"/>
    </w:pPr>
    <w:rPr>
      <w:rFonts w:ascii="Calibri" w:hAnsi="Calibri" w:cs="Calibri"/>
      <w:sz w:val="18"/>
      <w:szCs w:val="18"/>
    </w:rPr>
  </w:style>
  <w:style w:type="paragraph" w:styleId="13">
    <w:name w:val="Normal Indent"/>
    <w:basedOn w:val="1"/>
    <w:link w:val="60"/>
    <w:qFormat/>
    <w:uiPriority w:val="0"/>
    <w:pPr>
      <w:widowControl/>
      <w:ind w:firstLine="420"/>
      <w:jc w:val="left"/>
    </w:pPr>
    <w:rPr>
      <w:kern w:val="0"/>
      <w:sz w:val="20"/>
      <w:szCs w:val="20"/>
    </w:rPr>
  </w:style>
  <w:style w:type="paragraph" w:styleId="14">
    <w:name w:val="caption"/>
    <w:basedOn w:val="1"/>
    <w:next w:val="1"/>
    <w:qFormat/>
    <w:uiPriority w:val="0"/>
    <w:rPr>
      <w:rFonts w:ascii="Arial" w:hAnsi="Arial" w:eastAsia="黑体"/>
      <w:sz w:val="20"/>
    </w:rPr>
  </w:style>
  <w:style w:type="paragraph" w:styleId="15">
    <w:name w:val="Document Map"/>
    <w:basedOn w:val="1"/>
    <w:link w:val="63"/>
    <w:qFormat/>
    <w:uiPriority w:val="0"/>
    <w:pPr>
      <w:shd w:val="clear" w:color="auto" w:fill="000080"/>
    </w:pPr>
  </w:style>
  <w:style w:type="paragraph" w:styleId="16">
    <w:name w:val="annotation text"/>
    <w:basedOn w:val="1"/>
    <w:link w:val="64"/>
    <w:qFormat/>
    <w:uiPriority w:val="99"/>
    <w:pPr>
      <w:adjustRightInd w:val="0"/>
      <w:spacing w:line="360" w:lineRule="atLeast"/>
      <w:jc w:val="left"/>
      <w:textAlignment w:val="baseline"/>
    </w:pPr>
    <w:rPr>
      <w:kern w:val="0"/>
      <w:sz w:val="24"/>
      <w:szCs w:val="20"/>
    </w:rPr>
  </w:style>
  <w:style w:type="paragraph" w:styleId="17">
    <w:name w:val="Body Text 3"/>
    <w:basedOn w:val="1"/>
    <w:link w:val="65"/>
    <w:qFormat/>
    <w:uiPriority w:val="0"/>
    <w:pPr>
      <w:spacing w:line="440" w:lineRule="exact"/>
    </w:pPr>
    <w:rPr>
      <w:sz w:val="24"/>
    </w:rPr>
  </w:style>
  <w:style w:type="paragraph" w:styleId="18">
    <w:name w:val="Body Text Indent"/>
    <w:basedOn w:val="1"/>
    <w:qFormat/>
    <w:uiPriority w:val="0"/>
    <w:pPr>
      <w:spacing w:line="400" w:lineRule="exact"/>
      <w:ind w:firstLine="560" w:firstLineChars="200"/>
    </w:pPr>
    <w:rPr>
      <w:sz w:val="28"/>
      <w:u w:val="single"/>
    </w:rPr>
  </w:style>
  <w:style w:type="paragraph" w:styleId="19">
    <w:name w:val="toc 5"/>
    <w:basedOn w:val="1"/>
    <w:next w:val="1"/>
    <w:qFormat/>
    <w:uiPriority w:val="39"/>
    <w:pPr>
      <w:ind w:left="840"/>
      <w:jc w:val="left"/>
    </w:pPr>
    <w:rPr>
      <w:rFonts w:ascii="Calibri" w:hAnsi="Calibri" w:cs="Calibri"/>
      <w:sz w:val="18"/>
      <w:szCs w:val="18"/>
    </w:rPr>
  </w:style>
  <w:style w:type="paragraph" w:styleId="20">
    <w:name w:val="toc 3"/>
    <w:basedOn w:val="1"/>
    <w:next w:val="1"/>
    <w:qFormat/>
    <w:uiPriority w:val="39"/>
    <w:pPr>
      <w:ind w:left="420"/>
      <w:jc w:val="left"/>
    </w:pPr>
    <w:rPr>
      <w:rFonts w:ascii="Calibri" w:hAnsi="Calibri" w:cs="Calibri"/>
      <w:i/>
      <w:iCs/>
      <w:sz w:val="20"/>
      <w:szCs w:val="20"/>
    </w:rPr>
  </w:style>
  <w:style w:type="paragraph" w:styleId="21">
    <w:name w:val="Plain Text"/>
    <w:basedOn w:val="1"/>
    <w:link w:val="66"/>
    <w:qFormat/>
    <w:uiPriority w:val="0"/>
    <w:rPr>
      <w:rFonts w:ascii="宋体" w:hAnsi="Courier New"/>
      <w:szCs w:val="20"/>
    </w:rPr>
  </w:style>
  <w:style w:type="paragraph" w:styleId="22">
    <w:name w:val="toc 8"/>
    <w:basedOn w:val="1"/>
    <w:next w:val="1"/>
    <w:qFormat/>
    <w:uiPriority w:val="39"/>
    <w:pPr>
      <w:ind w:left="1470"/>
      <w:jc w:val="left"/>
    </w:pPr>
    <w:rPr>
      <w:rFonts w:ascii="Calibri" w:hAnsi="Calibri" w:cs="Calibri"/>
      <w:sz w:val="18"/>
      <w:szCs w:val="18"/>
    </w:rPr>
  </w:style>
  <w:style w:type="paragraph" w:styleId="23">
    <w:name w:val="Date"/>
    <w:basedOn w:val="1"/>
    <w:next w:val="1"/>
    <w:qFormat/>
    <w:uiPriority w:val="0"/>
    <w:pPr>
      <w:ind w:left="100" w:leftChars="2500"/>
    </w:pPr>
  </w:style>
  <w:style w:type="paragraph" w:styleId="24">
    <w:name w:val="Body Text Indent 2"/>
    <w:basedOn w:val="1"/>
    <w:qFormat/>
    <w:uiPriority w:val="0"/>
    <w:pPr>
      <w:spacing w:line="400" w:lineRule="exact"/>
      <w:ind w:firstLine="560" w:firstLineChars="200"/>
    </w:pPr>
    <w:rPr>
      <w:sz w:val="28"/>
    </w:rPr>
  </w:style>
  <w:style w:type="paragraph" w:styleId="25">
    <w:name w:val="Balloon Text"/>
    <w:basedOn w:val="1"/>
    <w:link w:val="67"/>
    <w:qFormat/>
    <w:uiPriority w:val="0"/>
    <w:rPr>
      <w:sz w:val="18"/>
      <w:szCs w:val="18"/>
    </w:rPr>
  </w:style>
  <w:style w:type="paragraph" w:styleId="26">
    <w:name w:val="footer"/>
    <w:basedOn w:val="1"/>
    <w:link w:val="68"/>
    <w:qFormat/>
    <w:uiPriority w:val="99"/>
    <w:pPr>
      <w:tabs>
        <w:tab w:val="center" w:pos="4153"/>
        <w:tab w:val="right" w:pos="8306"/>
      </w:tabs>
      <w:snapToGrid w:val="0"/>
      <w:jc w:val="left"/>
    </w:pPr>
    <w:rPr>
      <w:sz w:val="18"/>
      <w:szCs w:val="18"/>
    </w:rPr>
  </w:style>
  <w:style w:type="paragraph" w:styleId="27">
    <w:name w:val="header"/>
    <w:basedOn w:val="1"/>
    <w:link w:val="69"/>
    <w:qFormat/>
    <w:uiPriority w:val="99"/>
    <w:pPr>
      <w:pBdr>
        <w:bottom w:val="single" w:color="auto" w:sz="6" w:space="1"/>
      </w:pBdr>
      <w:tabs>
        <w:tab w:val="center" w:pos="4153"/>
        <w:tab w:val="right" w:pos="8306"/>
      </w:tabs>
      <w:snapToGrid w:val="0"/>
      <w:jc w:val="center"/>
    </w:pPr>
    <w:rPr>
      <w:sz w:val="18"/>
      <w:szCs w:val="18"/>
    </w:rPr>
  </w:style>
  <w:style w:type="paragraph" w:styleId="28">
    <w:name w:val="toc 1"/>
    <w:basedOn w:val="1"/>
    <w:next w:val="1"/>
    <w:qFormat/>
    <w:uiPriority w:val="39"/>
    <w:pPr>
      <w:spacing w:before="120" w:after="120"/>
      <w:jc w:val="left"/>
    </w:pPr>
    <w:rPr>
      <w:rFonts w:ascii="Calibri" w:hAnsi="Calibri" w:cs="Calibri"/>
      <w:b/>
      <w:bCs/>
      <w:caps/>
      <w:sz w:val="20"/>
      <w:szCs w:val="20"/>
    </w:rPr>
  </w:style>
  <w:style w:type="paragraph" w:styleId="29">
    <w:name w:val="toc 4"/>
    <w:basedOn w:val="1"/>
    <w:next w:val="1"/>
    <w:qFormat/>
    <w:uiPriority w:val="39"/>
    <w:pPr>
      <w:ind w:left="630"/>
      <w:jc w:val="left"/>
    </w:pPr>
    <w:rPr>
      <w:rFonts w:ascii="Calibri" w:hAnsi="Calibri" w:cs="Calibri"/>
      <w:sz w:val="18"/>
      <w:szCs w:val="18"/>
    </w:rPr>
  </w:style>
  <w:style w:type="paragraph" w:styleId="30">
    <w:name w:val="List"/>
    <w:basedOn w:val="1"/>
    <w:qFormat/>
    <w:uiPriority w:val="0"/>
    <w:pPr>
      <w:ind w:left="200" w:hanging="200" w:hangingChars="200"/>
    </w:pPr>
    <w:rPr>
      <w:szCs w:val="20"/>
    </w:rPr>
  </w:style>
  <w:style w:type="paragraph" w:styleId="31">
    <w:name w:val="toc 6"/>
    <w:basedOn w:val="1"/>
    <w:next w:val="1"/>
    <w:qFormat/>
    <w:uiPriority w:val="39"/>
    <w:pPr>
      <w:ind w:left="1050"/>
      <w:jc w:val="left"/>
    </w:pPr>
    <w:rPr>
      <w:rFonts w:ascii="Calibri" w:hAnsi="Calibri" w:cs="Calibri"/>
      <w:sz w:val="18"/>
      <w:szCs w:val="18"/>
    </w:rPr>
  </w:style>
  <w:style w:type="paragraph" w:styleId="32">
    <w:name w:val="Body Text Indent 3"/>
    <w:basedOn w:val="1"/>
    <w:qFormat/>
    <w:uiPriority w:val="0"/>
    <w:pPr>
      <w:spacing w:line="500" w:lineRule="exact"/>
      <w:ind w:firstLine="570"/>
    </w:pPr>
    <w:rPr>
      <w:rFonts w:eastAsia="黑体"/>
      <w:sz w:val="28"/>
    </w:rPr>
  </w:style>
  <w:style w:type="paragraph" w:styleId="33">
    <w:name w:val="toc 2"/>
    <w:basedOn w:val="1"/>
    <w:next w:val="1"/>
    <w:qFormat/>
    <w:uiPriority w:val="39"/>
    <w:pPr>
      <w:ind w:left="210"/>
      <w:jc w:val="left"/>
    </w:pPr>
    <w:rPr>
      <w:rFonts w:ascii="Calibri" w:hAnsi="Calibri" w:cs="Calibri"/>
      <w:smallCaps/>
      <w:sz w:val="20"/>
      <w:szCs w:val="20"/>
    </w:rPr>
  </w:style>
  <w:style w:type="paragraph" w:styleId="34">
    <w:name w:val="toc 9"/>
    <w:basedOn w:val="1"/>
    <w:next w:val="1"/>
    <w:qFormat/>
    <w:uiPriority w:val="39"/>
    <w:pPr>
      <w:ind w:left="1680"/>
      <w:jc w:val="left"/>
    </w:pPr>
    <w:rPr>
      <w:rFonts w:ascii="Calibri" w:hAnsi="Calibri" w:cs="Calibri"/>
      <w:sz w:val="18"/>
      <w:szCs w:val="18"/>
    </w:rPr>
  </w:style>
  <w:style w:type="paragraph" w:styleId="35">
    <w:name w:val="Body Text 2"/>
    <w:basedOn w:val="1"/>
    <w:qFormat/>
    <w:uiPriority w:val="0"/>
    <w:rPr>
      <w:sz w:val="28"/>
    </w:rPr>
  </w:style>
  <w:style w:type="paragraph" w:styleId="36">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37">
    <w:name w:val="Title"/>
    <w:basedOn w:val="1"/>
    <w:link w:val="70"/>
    <w:qFormat/>
    <w:uiPriority w:val="0"/>
    <w:pPr>
      <w:adjustRightInd w:val="0"/>
      <w:spacing w:before="240" w:beforeLines="0" w:after="60" w:afterLines="0" w:line="312" w:lineRule="atLeast"/>
      <w:jc w:val="center"/>
      <w:textAlignment w:val="baseline"/>
    </w:pPr>
    <w:rPr>
      <w:rFonts w:ascii="Arial" w:hAnsi="Arial"/>
      <w:b/>
      <w:kern w:val="28"/>
      <w:sz w:val="32"/>
      <w:szCs w:val="20"/>
    </w:rPr>
  </w:style>
  <w:style w:type="paragraph" w:styleId="38">
    <w:name w:val="annotation subject"/>
    <w:basedOn w:val="16"/>
    <w:next w:val="16"/>
    <w:link w:val="71"/>
    <w:qFormat/>
    <w:uiPriority w:val="0"/>
    <w:pPr>
      <w:adjustRightInd/>
      <w:spacing w:line="240" w:lineRule="auto"/>
      <w:textAlignment w:val="auto"/>
    </w:pPr>
    <w:rPr>
      <w:b/>
      <w:bCs/>
      <w:kern w:val="2"/>
      <w:sz w:val="21"/>
      <w:szCs w:val="24"/>
    </w:rPr>
  </w:style>
  <w:style w:type="paragraph" w:styleId="39">
    <w:name w:val="Body Text First Indent"/>
    <w:basedOn w:val="2"/>
    <w:qFormat/>
    <w:uiPriority w:val="0"/>
    <w:pPr>
      <w:ind w:firstLine="420" w:firstLineChars="100"/>
    </w:pPr>
    <w:rPr>
      <w:rFonts w:ascii="Times New Roman" w:hAnsi="Times New Roman" w:eastAsia="宋体"/>
    </w:rPr>
  </w:style>
  <w:style w:type="paragraph" w:styleId="40">
    <w:name w:val="Body Text First Indent 2"/>
    <w:basedOn w:val="2"/>
    <w:next w:val="1"/>
    <w:qFormat/>
    <w:uiPriority w:val="0"/>
    <w:pPr>
      <w:ind w:firstLine="420" w:firstLineChars="200"/>
    </w:pPr>
    <w:rPr>
      <w:rFonts w:ascii="Arial" w:hAnsi="Arial"/>
      <w:snapToGrid w:val="0"/>
      <w:kern w:val="0"/>
      <w:sz w:val="20"/>
    </w:rPr>
  </w:style>
  <w:style w:type="table" w:styleId="42">
    <w:name w:val="Table Grid"/>
    <w:basedOn w:val="41"/>
    <w:qFormat/>
    <w:uiPriority w:val="39"/>
    <w:pPr>
      <w:widowControl w:val="0"/>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44">
    <w:name w:val="Char2 Char Char Char1 Char Char Char Char Char Char Char Char1 Char1 Char Char1 Char"/>
    <w:basedOn w:val="1"/>
    <w:link w:val="43"/>
    <w:qFormat/>
    <w:uiPriority w:val="0"/>
    <w:pPr>
      <w:spacing w:line="240" w:lineRule="auto"/>
    </w:pPr>
    <w:rPr>
      <w:rFonts w:ascii="宋体" w:hAnsi="宋体"/>
      <w:kern w:val="0"/>
      <w:szCs w:val="21"/>
    </w:rPr>
  </w:style>
  <w:style w:type="character" w:styleId="45">
    <w:name w:val="Strong"/>
    <w:qFormat/>
    <w:uiPriority w:val="0"/>
    <w:rPr>
      <w:rFonts w:cs="Times New Roman"/>
      <w:b/>
    </w:rPr>
  </w:style>
  <w:style w:type="character" w:styleId="46">
    <w:name w:val="page number"/>
    <w:qFormat/>
    <w:uiPriority w:val="0"/>
  </w:style>
  <w:style w:type="character" w:styleId="47">
    <w:name w:val="FollowedHyperlink"/>
    <w:qFormat/>
    <w:uiPriority w:val="0"/>
    <w:rPr>
      <w:color w:val="333333"/>
      <w:u w:val="none"/>
    </w:rPr>
  </w:style>
  <w:style w:type="character" w:styleId="48">
    <w:name w:val="Emphasis"/>
    <w:qFormat/>
    <w:uiPriority w:val="20"/>
  </w:style>
  <w:style w:type="character" w:styleId="49">
    <w:name w:val="HTML Definition"/>
    <w:unhideWhenUsed/>
    <w:qFormat/>
    <w:uiPriority w:val="99"/>
    <w:rPr>
      <w:i/>
      <w:iCs/>
    </w:rPr>
  </w:style>
  <w:style w:type="character" w:styleId="50">
    <w:name w:val="Hyperlink"/>
    <w:qFormat/>
    <w:uiPriority w:val="99"/>
    <w:rPr>
      <w:color w:val="333333"/>
      <w:u w:val="none"/>
    </w:rPr>
  </w:style>
  <w:style w:type="character" w:styleId="51">
    <w:name w:val="HTML Code"/>
    <w:unhideWhenUsed/>
    <w:qFormat/>
    <w:uiPriority w:val="99"/>
    <w:rPr>
      <w:rFonts w:hint="default" w:ascii="Consolas" w:hAnsi="Consolas" w:eastAsia="Consolas" w:cs="Consolas"/>
      <w:color w:val="C7254E"/>
      <w:sz w:val="21"/>
      <w:szCs w:val="21"/>
      <w:shd w:val="clear" w:color="auto" w:fill="F9F2F4"/>
    </w:rPr>
  </w:style>
  <w:style w:type="character" w:styleId="52">
    <w:name w:val="annotation reference"/>
    <w:qFormat/>
    <w:uiPriority w:val="0"/>
    <w:rPr>
      <w:sz w:val="21"/>
      <w:szCs w:val="21"/>
    </w:rPr>
  </w:style>
  <w:style w:type="character" w:styleId="53">
    <w:name w:val="HTML Keyboard"/>
    <w:unhideWhenUsed/>
    <w:qFormat/>
    <w:uiPriority w:val="99"/>
    <w:rPr>
      <w:rFonts w:hint="default" w:ascii="Consolas" w:hAnsi="Consolas" w:eastAsia="Consolas" w:cs="Consolas"/>
      <w:color w:val="FFFFFF"/>
      <w:sz w:val="21"/>
      <w:szCs w:val="21"/>
      <w:shd w:val="clear" w:color="auto" w:fill="333333"/>
    </w:rPr>
  </w:style>
  <w:style w:type="character" w:styleId="54">
    <w:name w:val="HTML Sample"/>
    <w:unhideWhenUsed/>
    <w:qFormat/>
    <w:uiPriority w:val="99"/>
    <w:rPr>
      <w:rFonts w:ascii="Consolas" w:hAnsi="Consolas" w:eastAsia="Consolas" w:cs="Consolas"/>
      <w:sz w:val="21"/>
      <w:szCs w:val="21"/>
    </w:rPr>
  </w:style>
  <w:style w:type="character" w:customStyle="1" w:styleId="55">
    <w:name w:val="正文文本 字符"/>
    <w:link w:val="2"/>
    <w:qFormat/>
    <w:locked/>
    <w:uiPriority w:val="0"/>
    <w:rPr>
      <w:kern w:val="2"/>
      <w:sz w:val="52"/>
      <w:szCs w:val="24"/>
    </w:rPr>
  </w:style>
  <w:style w:type="character" w:customStyle="1" w:styleId="56">
    <w:name w:val="标题 1 字符"/>
    <w:link w:val="3"/>
    <w:qFormat/>
    <w:locked/>
    <w:uiPriority w:val="0"/>
    <w:rPr>
      <w:b/>
      <w:bCs/>
      <w:kern w:val="44"/>
      <w:sz w:val="44"/>
      <w:szCs w:val="44"/>
    </w:rPr>
  </w:style>
  <w:style w:type="character" w:customStyle="1" w:styleId="57">
    <w:name w:val="标题 2 字符"/>
    <w:link w:val="4"/>
    <w:qFormat/>
    <w:locked/>
    <w:uiPriority w:val="0"/>
    <w:rPr>
      <w:rFonts w:ascii="Arial" w:hAnsi="Arial"/>
      <w:b/>
      <w:bCs/>
      <w:color w:val="FF0000"/>
      <w:kern w:val="2"/>
      <w:sz w:val="28"/>
      <w:szCs w:val="32"/>
    </w:rPr>
  </w:style>
  <w:style w:type="paragraph" w:customStyle="1" w:styleId="58">
    <w:name w:val="标题 60"/>
    <w:basedOn w:val="8"/>
    <w:qFormat/>
    <w:uiPriority w:val="0"/>
    <w:pPr>
      <w:spacing w:line="319" w:lineRule="auto"/>
      <w:ind w:firstLine="200" w:firstLineChars="200"/>
    </w:pPr>
    <w:rPr>
      <w:b w:val="0"/>
      <w:bCs w:val="0"/>
    </w:rPr>
  </w:style>
  <w:style w:type="character" w:customStyle="1" w:styleId="59">
    <w:name w:val="标题 3 字符"/>
    <w:link w:val="5"/>
    <w:qFormat/>
    <w:uiPriority w:val="0"/>
    <w:rPr>
      <w:b/>
      <w:bCs/>
      <w:kern w:val="2"/>
      <w:sz w:val="32"/>
      <w:szCs w:val="32"/>
    </w:rPr>
  </w:style>
  <w:style w:type="character" w:customStyle="1" w:styleId="60">
    <w:name w:val="正文缩进 字符"/>
    <w:link w:val="13"/>
    <w:qFormat/>
    <w:uiPriority w:val="0"/>
  </w:style>
  <w:style w:type="character" w:customStyle="1" w:styleId="61">
    <w:name w:val="标题 4 字符"/>
    <w:link w:val="6"/>
    <w:qFormat/>
    <w:uiPriority w:val="0"/>
    <w:rPr>
      <w:rFonts w:ascii="Arial" w:hAnsi="Arial" w:eastAsia="黑体"/>
      <w:b/>
      <w:bCs/>
      <w:kern w:val="2"/>
      <w:sz w:val="28"/>
      <w:szCs w:val="28"/>
    </w:rPr>
  </w:style>
  <w:style w:type="character" w:customStyle="1" w:styleId="62">
    <w:name w:val="标题 9 字符"/>
    <w:link w:val="11"/>
    <w:qFormat/>
    <w:uiPriority w:val="0"/>
    <w:rPr>
      <w:rFonts w:ascii="Arial" w:hAnsi="Arial" w:eastAsia="黑体"/>
      <w:sz w:val="21"/>
      <w:szCs w:val="21"/>
    </w:rPr>
  </w:style>
  <w:style w:type="character" w:customStyle="1" w:styleId="63">
    <w:name w:val="文档结构图 字符"/>
    <w:link w:val="15"/>
    <w:qFormat/>
    <w:uiPriority w:val="0"/>
    <w:rPr>
      <w:kern w:val="2"/>
      <w:sz w:val="21"/>
      <w:szCs w:val="24"/>
      <w:shd w:val="clear" w:color="auto" w:fill="000080"/>
    </w:rPr>
  </w:style>
  <w:style w:type="character" w:customStyle="1" w:styleId="64">
    <w:name w:val="批注文字 字符1"/>
    <w:link w:val="16"/>
    <w:qFormat/>
    <w:locked/>
    <w:uiPriority w:val="99"/>
    <w:rPr>
      <w:sz w:val="24"/>
    </w:rPr>
  </w:style>
  <w:style w:type="character" w:customStyle="1" w:styleId="65">
    <w:name w:val="正文文本 3 字符"/>
    <w:link w:val="17"/>
    <w:qFormat/>
    <w:uiPriority w:val="0"/>
    <w:rPr>
      <w:kern w:val="2"/>
      <w:sz w:val="24"/>
      <w:szCs w:val="24"/>
    </w:rPr>
  </w:style>
  <w:style w:type="character" w:customStyle="1" w:styleId="66">
    <w:name w:val="纯文本 字符"/>
    <w:link w:val="21"/>
    <w:qFormat/>
    <w:uiPriority w:val="0"/>
    <w:rPr>
      <w:rFonts w:ascii="宋体" w:hAnsi="Courier New"/>
      <w:kern w:val="2"/>
      <w:sz w:val="21"/>
    </w:rPr>
  </w:style>
  <w:style w:type="character" w:customStyle="1" w:styleId="67">
    <w:name w:val="批注框文本 字符"/>
    <w:link w:val="25"/>
    <w:qFormat/>
    <w:locked/>
    <w:uiPriority w:val="0"/>
    <w:rPr>
      <w:kern w:val="2"/>
      <w:sz w:val="18"/>
      <w:szCs w:val="18"/>
    </w:rPr>
  </w:style>
  <w:style w:type="character" w:customStyle="1" w:styleId="68">
    <w:name w:val="页脚 字符"/>
    <w:link w:val="26"/>
    <w:qFormat/>
    <w:uiPriority w:val="99"/>
    <w:rPr>
      <w:kern w:val="2"/>
      <w:sz w:val="18"/>
      <w:szCs w:val="18"/>
    </w:rPr>
  </w:style>
  <w:style w:type="character" w:customStyle="1" w:styleId="69">
    <w:name w:val="页眉 字符"/>
    <w:link w:val="27"/>
    <w:qFormat/>
    <w:locked/>
    <w:uiPriority w:val="99"/>
    <w:rPr>
      <w:kern w:val="2"/>
      <w:sz w:val="18"/>
      <w:szCs w:val="18"/>
    </w:rPr>
  </w:style>
  <w:style w:type="character" w:customStyle="1" w:styleId="70">
    <w:name w:val="标题 字符"/>
    <w:link w:val="37"/>
    <w:qFormat/>
    <w:locked/>
    <w:uiPriority w:val="0"/>
    <w:rPr>
      <w:rFonts w:ascii="Arial" w:hAnsi="Arial"/>
      <w:b/>
      <w:kern w:val="28"/>
      <w:sz w:val="32"/>
    </w:rPr>
  </w:style>
  <w:style w:type="character" w:customStyle="1" w:styleId="71">
    <w:name w:val="批注主题 字符"/>
    <w:link w:val="38"/>
    <w:qFormat/>
    <w:locked/>
    <w:uiPriority w:val="0"/>
    <w:rPr>
      <w:b/>
      <w:bCs/>
      <w:kern w:val="2"/>
      <w:sz w:val="21"/>
      <w:szCs w:val="24"/>
    </w:rPr>
  </w:style>
  <w:style w:type="character" w:customStyle="1" w:styleId="72">
    <w:name w:val="bd-close2"/>
    <w:qFormat/>
    <w:uiPriority w:val="0"/>
    <w:rPr>
      <w:vanish/>
    </w:rPr>
  </w:style>
  <w:style w:type="character" w:customStyle="1" w:styleId="73">
    <w:name w:val="left"/>
    <w:qFormat/>
    <w:uiPriority w:val="0"/>
    <w:rPr>
      <w:color w:val="FF4700"/>
    </w:rPr>
  </w:style>
  <w:style w:type="character" w:customStyle="1" w:styleId="74">
    <w:name w:val="first-child"/>
    <w:qFormat/>
    <w:uiPriority w:val="0"/>
  </w:style>
  <w:style w:type="character" w:customStyle="1" w:styleId="75">
    <w:name w:val="bd-close"/>
    <w:qFormat/>
    <w:uiPriority w:val="0"/>
    <w:rPr>
      <w:vanish/>
    </w:rPr>
  </w:style>
  <w:style w:type="character" w:customStyle="1" w:styleId="76">
    <w:name w:val="left2"/>
    <w:qFormat/>
    <w:uiPriority w:val="0"/>
    <w:rPr>
      <w:color w:val="FF4700"/>
    </w:rPr>
  </w:style>
  <w:style w:type="character" w:customStyle="1" w:styleId="77">
    <w:name w:val="edui-clickable2"/>
    <w:qFormat/>
    <w:uiPriority w:val="0"/>
    <w:rPr>
      <w:color w:val="0000FF"/>
      <w:u w:val="single"/>
    </w:rPr>
  </w:style>
  <w:style w:type="character" w:customStyle="1" w:styleId="78">
    <w:name w:val="Footer Char"/>
    <w:qFormat/>
    <w:locked/>
    <w:uiPriority w:val="0"/>
    <w:rPr>
      <w:rFonts w:ascii="Calibri" w:hAnsi="Calibri" w:eastAsia="宋体"/>
      <w:sz w:val="18"/>
    </w:rPr>
  </w:style>
  <w:style w:type="character" w:customStyle="1" w:styleId="79">
    <w:name w:val="Header Char"/>
    <w:qFormat/>
    <w:locked/>
    <w:uiPriority w:val="0"/>
    <w:rPr>
      <w:rFonts w:ascii="Calibri" w:hAnsi="Calibri" w:eastAsia="宋体"/>
      <w:sz w:val="18"/>
    </w:rPr>
  </w:style>
  <w:style w:type="character" w:customStyle="1" w:styleId="80">
    <w:name w:val="标题2 Char"/>
    <w:link w:val="81"/>
    <w:qFormat/>
    <w:uiPriority w:val="0"/>
    <w:rPr>
      <w:rFonts w:ascii="黑体" w:hAnsi="宋体" w:cs="黑体"/>
      <w:b/>
      <w:bCs/>
      <w:sz w:val="28"/>
      <w:szCs w:val="28"/>
    </w:rPr>
  </w:style>
  <w:style w:type="paragraph" w:customStyle="1" w:styleId="81">
    <w:name w:val="标题2"/>
    <w:basedOn w:val="6"/>
    <w:next w:val="1"/>
    <w:link w:val="80"/>
    <w:qFormat/>
    <w:uiPriority w:val="0"/>
    <w:pPr>
      <w:spacing w:before="0" w:beforeLines="50" w:after="0" w:afterLines="50" w:line="360" w:lineRule="auto"/>
      <w:ind w:firstLine="397"/>
      <w:jc w:val="left"/>
    </w:pPr>
    <w:rPr>
      <w:rFonts w:ascii="黑体" w:hAnsi="宋体" w:eastAsia="宋体" w:cs="黑体"/>
      <w:kern w:val="0"/>
    </w:rPr>
  </w:style>
  <w:style w:type="character" w:customStyle="1" w:styleId="82">
    <w:name w:val="中文正文、 Char Char"/>
    <w:link w:val="83"/>
    <w:qFormat/>
    <w:uiPriority w:val="0"/>
    <w:rPr>
      <w:kern w:val="2"/>
      <w:sz w:val="21"/>
      <w:szCs w:val="21"/>
    </w:rPr>
  </w:style>
  <w:style w:type="paragraph" w:customStyle="1" w:styleId="83">
    <w:name w:val="中文正文、"/>
    <w:basedOn w:val="1"/>
    <w:link w:val="82"/>
    <w:qFormat/>
    <w:uiPriority w:val="0"/>
    <w:pPr>
      <w:adjustRightInd/>
      <w:spacing w:line="360" w:lineRule="auto"/>
      <w:ind w:firstLine="420" w:firstLineChars="200"/>
    </w:pPr>
    <w:rPr>
      <w:szCs w:val="21"/>
    </w:rPr>
  </w:style>
  <w:style w:type="character" w:customStyle="1" w:styleId="84">
    <w:name w:val="批注主题 Char"/>
    <w:link w:val="85"/>
    <w:qFormat/>
    <w:locked/>
    <w:uiPriority w:val="0"/>
    <w:rPr>
      <w:b/>
      <w:sz w:val="24"/>
    </w:rPr>
  </w:style>
  <w:style w:type="paragraph" w:customStyle="1" w:styleId="85">
    <w:name w:val="批注主题1"/>
    <w:basedOn w:val="16"/>
    <w:next w:val="16"/>
    <w:link w:val="84"/>
    <w:qFormat/>
    <w:uiPriority w:val="0"/>
    <w:pPr>
      <w:adjustRightInd/>
      <w:spacing w:line="240" w:lineRule="auto"/>
      <w:textAlignment w:val="auto"/>
    </w:pPr>
    <w:rPr>
      <w:b/>
    </w:rPr>
  </w:style>
  <w:style w:type="character" w:customStyle="1" w:styleId="86">
    <w:name w:val="16"/>
    <w:qFormat/>
    <w:uiPriority w:val="0"/>
    <w:rPr>
      <w:rFonts w:hint="default" w:ascii="Times New Roman" w:hAnsi="Times New Roman" w:cs="Times New Roman"/>
    </w:rPr>
  </w:style>
  <w:style w:type="character" w:customStyle="1" w:styleId="87">
    <w:name w:val="封面标题 Char"/>
    <w:link w:val="88"/>
    <w:qFormat/>
    <w:uiPriority w:val="0"/>
    <w:rPr>
      <w:rFonts w:ascii="黑体" w:eastAsia="黑体"/>
      <w:sz w:val="52"/>
      <w:szCs w:val="52"/>
    </w:rPr>
  </w:style>
  <w:style w:type="paragraph" w:customStyle="1" w:styleId="88">
    <w:name w:val="封面标题"/>
    <w:basedOn w:val="1"/>
    <w:link w:val="87"/>
    <w:qFormat/>
    <w:uiPriority w:val="0"/>
    <w:pPr>
      <w:spacing w:line="276" w:lineRule="auto"/>
      <w:jc w:val="center"/>
    </w:pPr>
    <w:rPr>
      <w:rFonts w:ascii="黑体" w:eastAsia="黑体"/>
      <w:kern w:val="0"/>
      <w:sz w:val="52"/>
      <w:szCs w:val="52"/>
    </w:rPr>
  </w:style>
  <w:style w:type="character" w:customStyle="1" w:styleId="89">
    <w:name w:val="edui-unclickable"/>
    <w:qFormat/>
    <w:uiPriority w:val="0"/>
    <w:rPr>
      <w:color w:val="808080"/>
    </w:rPr>
  </w:style>
  <w:style w:type="character" w:customStyle="1" w:styleId="90">
    <w:name w:val="15"/>
    <w:qFormat/>
    <w:uiPriority w:val="0"/>
    <w:rPr>
      <w:rFonts w:hint="eastAsia" w:ascii="宋体" w:hAnsi="宋体" w:eastAsia="宋体"/>
      <w:sz w:val="24"/>
      <w:szCs w:val="24"/>
    </w:rPr>
  </w:style>
  <w:style w:type="character" w:customStyle="1" w:styleId="91">
    <w:name w:val="封面副标题 Char"/>
    <w:link w:val="92"/>
    <w:qFormat/>
    <w:uiPriority w:val="0"/>
    <w:rPr>
      <w:rFonts w:ascii="黑体" w:eastAsia="黑体"/>
      <w:sz w:val="28"/>
      <w:szCs w:val="28"/>
    </w:rPr>
  </w:style>
  <w:style w:type="paragraph" w:customStyle="1" w:styleId="92">
    <w:name w:val="封面副标题"/>
    <w:basedOn w:val="1"/>
    <w:link w:val="91"/>
    <w:qFormat/>
    <w:uiPriority w:val="0"/>
    <w:pPr>
      <w:spacing w:line="276" w:lineRule="auto"/>
      <w:ind w:firstLine="199" w:firstLineChars="71"/>
      <w:jc w:val="center"/>
    </w:pPr>
    <w:rPr>
      <w:rFonts w:ascii="黑体" w:eastAsia="黑体"/>
      <w:kern w:val="0"/>
      <w:sz w:val="28"/>
      <w:szCs w:val="28"/>
    </w:rPr>
  </w:style>
  <w:style w:type="character" w:customStyle="1" w:styleId="93">
    <w:name w:val="文档结构图 Char"/>
    <w:link w:val="94"/>
    <w:qFormat/>
    <w:locked/>
    <w:uiPriority w:val="0"/>
    <w:rPr>
      <w:rFonts w:ascii="宋体" w:hAnsi="Calibri"/>
      <w:sz w:val="18"/>
    </w:rPr>
  </w:style>
  <w:style w:type="paragraph" w:customStyle="1" w:styleId="94">
    <w:name w:val="文档结构图1"/>
    <w:basedOn w:val="1"/>
    <w:link w:val="93"/>
    <w:qFormat/>
    <w:uiPriority w:val="0"/>
    <w:rPr>
      <w:rFonts w:ascii="宋体" w:hAnsi="Calibri"/>
      <w:kern w:val="0"/>
      <w:sz w:val="18"/>
      <w:szCs w:val="20"/>
    </w:rPr>
  </w:style>
  <w:style w:type="character" w:customStyle="1" w:styleId="95">
    <w:name w:val="纯文本 Char"/>
    <w:qFormat/>
    <w:locked/>
    <w:uiPriority w:val="0"/>
    <w:rPr>
      <w:rFonts w:ascii="Calibri" w:hAnsi="Calibri" w:cs="Calibri"/>
    </w:rPr>
  </w:style>
  <w:style w:type="character" w:customStyle="1" w:styleId="96">
    <w:name w:val="font31"/>
    <w:qFormat/>
    <w:uiPriority w:val="0"/>
    <w:rPr>
      <w:rFonts w:hint="eastAsia" w:ascii="仿宋" w:hAnsi="仿宋" w:eastAsia="仿宋" w:cs="仿宋"/>
      <w:color w:val="000000"/>
      <w:kern w:val="0"/>
      <w:sz w:val="20"/>
      <w:szCs w:val="20"/>
      <w:u w:val="none"/>
    </w:rPr>
  </w:style>
  <w:style w:type="character" w:customStyle="1" w:styleId="97">
    <w:name w:val="button"/>
    <w:qFormat/>
    <w:uiPriority w:val="0"/>
  </w:style>
  <w:style w:type="character" w:customStyle="1" w:styleId="98">
    <w:name w:val="bd-open"/>
    <w:qFormat/>
    <w:uiPriority w:val="0"/>
  </w:style>
  <w:style w:type="character" w:customStyle="1" w:styleId="99">
    <w:name w:val="tmpztreemove_arrow"/>
    <w:qFormat/>
    <w:uiPriority w:val="0"/>
  </w:style>
  <w:style w:type="character" w:customStyle="1" w:styleId="100">
    <w:name w:val="Comment Text Char"/>
    <w:qFormat/>
    <w:locked/>
    <w:uiPriority w:val="0"/>
    <w:rPr>
      <w:rFonts w:ascii="Times New Roman" w:hAnsi="Times New Roman" w:eastAsia="宋体"/>
      <w:sz w:val="24"/>
    </w:rPr>
  </w:style>
  <w:style w:type="character" w:customStyle="1" w:styleId="101">
    <w:name w:val="A表格文字 Char"/>
    <w:link w:val="102"/>
    <w:qFormat/>
    <w:uiPriority w:val="0"/>
    <w:rPr>
      <w:rFonts w:ascii="宋体" w:hAnsi="宋体"/>
      <w:kern w:val="21"/>
      <w:sz w:val="21"/>
    </w:rPr>
  </w:style>
  <w:style w:type="paragraph" w:customStyle="1" w:styleId="102">
    <w:name w:val="A表格文字"/>
    <w:basedOn w:val="1"/>
    <w:link w:val="101"/>
    <w:qFormat/>
    <w:uiPriority w:val="0"/>
    <w:pPr>
      <w:adjustRightInd w:val="0"/>
      <w:snapToGrid w:val="0"/>
      <w:spacing w:before="40" w:after="40"/>
      <w:jc w:val="left"/>
    </w:pPr>
    <w:rPr>
      <w:rFonts w:ascii="宋体" w:hAnsi="宋体"/>
      <w:kern w:val="21"/>
      <w:szCs w:val="20"/>
    </w:rPr>
  </w:style>
  <w:style w:type="character" w:customStyle="1" w:styleId="103">
    <w:name w:val="layui-layer-tabnow"/>
    <w:qFormat/>
    <w:uiPriority w:val="0"/>
    <w:rPr>
      <w:bdr w:val="single" w:color="CCCCCC" w:sz="6" w:space="0"/>
      <w:shd w:val="clear" w:color="auto" w:fill="FFFFFF"/>
    </w:rPr>
  </w:style>
  <w:style w:type="character" w:customStyle="1" w:styleId="104">
    <w:name w:val="批注文字 Char2"/>
    <w:qFormat/>
    <w:uiPriority w:val="99"/>
    <w:rPr>
      <w:kern w:val="2"/>
      <w:sz w:val="21"/>
    </w:rPr>
  </w:style>
  <w:style w:type="character" w:customStyle="1" w:styleId="105">
    <w:name w:val="bd-open2"/>
    <w:qFormat/>
    <w:uiPriority w:val="0"/>
  </w:style>
  <w:style w:type="character" w:customStyle="1" w:styleId="106">
    <w:name w:val="font51"/>
    <w:qFormat/>
    <w:uiPriority w:val="0"/>
    <w:rPr>
      <w:rFonts w:hint="eastAsia" w:ascii="仿宋" w:hAnsi="仿宋" w:eastAsia="仿宋" w:cs="仿宋"/>
      <w:b/>
      <w:bCs/>
      <w:color w:val="000000"/>
      <w:sz w:val="21"/>
      <w:szCs w:val="21"/>
      <w:u w:val="none"/>
    </w:rPr>
  </w:style>
  <w:style w:type="character" w:customStyle="1" w:styleId="107">
    <w:name w:val="列表段落 字符"/>
    <w:link w:val="108"/>
    <w:qFormat/>
    <w:locked/>
    <w:uiPriority w:val="34"/>
    <w:rPr>
      <w:rFonts w:cs="Calibri"/>
      <w:kern w:val="2"/>
      <w:sz w:val="21"/>
      <w:szCs w:val="24"/>
    </w:rPr>
  </w:style>
  <w:style w:type="paragraph" w:styleId="108">
    <w:name w:val="List Paragraph"/>
    <w:basedOn w:val="1"/>
    <w:link w:val="107"/>
    <w:qFormat/>
    <w:uiPriority w:val="34"/>
    <w:pPr>
      <w:ind w:firstLine="420" w:firstLineChars="200"/>
    </w:pPr>
    <w:rPr>
      <w:rFonts w:ascii="Calibri" w:hAnsi="Calibri" w:cs="Calibri"/>
    </w:rPr>
  </w:style>
  <w:style w:type="character" w:customStyle="1" w:styleId="109">
    <w:name w:val="Title Char"/>
    <w:qFormat/>
    <w:locked/>
    <w:uiPriority w:val="0"/>
    <w:rPr>
      <w:rFonts w:ascii="Cambria" w:hAnsi="Cambria" w:eastAsia="宋体"/>
      <w:b/>
      <w:sz w:val="32"/>
    </w:rPr>
  </w:style>
  <w:style w:type="character" w:customStyle="1" w:styleId="110">
    <w:name w:val="批注文字 Char1"/>
    <w:qFormat/>
    <w:uiPriority w:val="0"/>
    <w:rPr>
      <w:kern w:val="2"/>
      <w:sz w:val="21"/>
    </w:rPr>
  </w:style>
  <w:style w:type="character" w:customStyle="1" w:styleId="111">
    <w:name w:val="彩色列表 - 强调文字颜色 1 Char"/>
    <w:link w:val="112"/>
    <w:qFormat/>
    <w:uiPriority w:val="34"/>
    <w:rPr>
      <w:rFonts w:ascii="Calibri" w:hAnsi="Calibri"/>
      <w:kern w:val="2"/>
      <w:sz w:val="21"/>
      <w:szCs w:val="22"/>
    </w:rPr>
  </w:style>
  <w:style w:type="paragraph" w:customStyle="1" w:styleId="112">
    <w:name w:val="彩色列表 - 强调文字颜色 11"/>
    <w:basedOn w:val="1"/>
    <w:link w:val="111"/>
    <w:qFormat/>
    <w:uiPriority w:val="34"/>
    <w:pPr>
      <w:ind w:firstLine="420" w:firstLineChars="200"/>
    </w:pPr>
    <w:rPr>
      <w:rFonts w:ascii="Calibri" w:hAnsi="Calibri"/>
      <w:szCs w:val="22"/>
    </w:rPr>
  </w:style>
  <w:style w:type="character" w:customStyle="1" w:styleId="113">
    <w:name w:val="列出段落 字符"/>
    <w:qFormat/>
    <w:uiPriority w:val="34"/>
    <w:rPr>
      <w:kern w:val="2"/>
      <w:sz w:val="21"/>
      <w:szCs w:val="24"/>
    </w:rPr>
  </w:style>
  <w:style w:type="character" w:customStyle="1" w:styleId="114">
    <w:name w:val="批注引用1"/>
    <w:qFormat/>
    <w:uiPriority w:val="0"/>
    <w:rPr>
      <w:sz w:val="21"/>
    </w:rPr>
  </w:style>
  <w:style w:type="character" w:customStyle="1" w:styleId="115">
    <w:name w:val="Balloon Text Char"/>
    <w:qFormat/>
    <w:locked/>
    <w:uiPriority w:val="0"/>
    <w:rPr>
      <w:rFonts w:ascii="Calibri" w:hAnsi="Calibri" w:eastAsia="宋体"/>
      <w:sz w:val="18"/>
    </w:rPr>
  </w:style>
  <w:style w:type="character" w:customStyle="1" w:styleId="116">
    <w:name w:val="A表格文字左对齐 Char"/>
    <w:link w:val="117"/>
    <w:qFormat/>
    <w:uiPriority w:val="0"/>
    <w:rPr>
      <w:rFonts w:ascii="宋体" w:hAnsi="宋体"/>
      <w:kern w:val="2"/>
      <w:sz w:val="21"/>
    </w:rPr>
  </w:style>
  <w:style w:type="paragraph" w:customStyle="1" w:styleId="117">
    <w:name w:val="A表格文字左对齐"/>
    <w:basedOn w:val="1"/>
    <w:link w:val="116"/>
    <w:qFormat/>
    <w:uiPriority w:val="0"/>
    <w:pPr>
      <w:adjustRightInd w:val="0"/>
      <w:spacing w:before="40" w:after="4"/>
      <w:jc w:val="left"/>
    </w:pPr>
    <w:rPr>
      <w:rFonts w:ascii="宋体" w:hAnsi="宋体"/>
      <w:szCs w:val="20"/>
    </w:rPr>
  </w:style>
  <w:style w:type="character" w:customStyle="1" w:styleId="118">
    <w:name w:val="font11"/>
    <w:qFormat/>
    <w:uiPriority w:val="0"/>
    <w:rPr>
      <w:rFonts w:hint="eastAsia" w:ascii="仿宋" w:hAnsi="仿宋" w:eastAsia="仿宋" w:cs="仿宋"/>
      <w:color w:val="FF0000"/>
      <w:sz w:val="20"/>
      <w:szCs w:val="20"/>
      <w:u w:val="none"/>
      <w:lang w:val="en-US" w:eastAsia="zh-CN" w:bidi="ar-SA"/>
    </w:rPr>
  </w:style>
  <w:style w:type="character" w:customStyle="1" w:styleId="119">
    <w:name w:val="right"/>
    <w:qFormat/>
    <w:uiPriority w:val="0"/>
  </w:style>
  <w:style w:type="character" w:customStyle="1" w:styleId="120">
    <w:name w:val="批注文字 字符"/>
    <w:qFormat/>
    <w:uiPriority w:val="99"/>
    <w:rPr>
      <w:kern w:val="2"/>
      <w:sz w:val="21"/>
    </w:rPr>
  </w:style>
  <w:style w:type="character" w:customStyle="1" w:styleId="121">
    <w:name w:val="font21"/>
    <w:qFormat/>
    <w:uiPriority w:val="0"/>
    <w:rPr>
      <w:rFonts w:hint="default" w:ascii="仿宋_GB2312" w:hAnsi="宋体" w:eastAsia="仿宋_GB2312" w:cs="仿宋_GB2312"/>
      <w:color w:val="FF0000"/>
      <w:kern w:val="0"/>
      <w:sz w:val="24"/>
      <w:szCs w:val="24"/>
      <w:u w:val="none"/>
    </w:rPr>
  </w:style>
  <w:style w:type="character" w:customStyle="1" w:styleId="122">
    <w:name w:val="日期 Char"/>
    <w:link w:val="123"/>
    <w:qFormat/>
    <w:locked/>
    <w:uiPriority w:val="0"/>
    <w:rPr>
      <w:rFonts w:ascii="Calibri" w:hAnsi="Calibri"/>
    </w:rPr>
  </w:style>
  <w:style w:type="paragraph" w:customStyle="1" w:styleId="123">
    <w:name w:val="日期1"/>
    <w:basedOn w:val="1"/>
    <w:next w:val="1"/>
    <w:link w:val="122"/>
    <w:qFormat/>
    <w:uiPriority w:val="0"/>
    <w:pPr>
      <w:ind w:left="100" w:leftChars="2500"/>
    </w:pPr>
    <w:rPr>
      <w:rFonts w:ascii="Calibri" w:hAnsi="Calibri"/>
      <w:kern w:val="0"/>
      <w:sz w:val="20"/>
      <w:szCs w:val="20"/>
    </w:rPr>
  </w:style>
  <w:style w:type="character" w:customStyle="1" w:styleId="124">
    <w:name w:val="封面合同编号 Char"/>
    <w:link w:val="125"/>
    <w:qFormat/>
    <w:uiPriority w:val="0"/>
    <w:rPr>
      <w:rFonts w:ascii="Calibri" w:hAnsi="Calibri"/>
      <w:kern w:val="2"/>
      <w:sz w:val="21"/>
      <w:szCs w:val="22"/>
    </w:rPr>
  </w:style>
  <w:style w:type="paragraph" w:customStyle="1" w:styleId="125">
    <w:name w:val="封面合同编号"/>
    <w:basedOn w:val="1"/>
    <w:link w:val="124"/>
    <w:qFormat/>
    <w:uiPriority w:val="0"/>
    <w:pPr>
      <w:spacing w:line="276" w:lineRule="auto"/>
      <w:ind w:right="1701"/>
      <w:jc w:val="right"/>
    </w:pPr>
    <w:rPr>
      <w:rFonts w:ascii="Calibri" w:hAnsi="Calibri"/>
      <w:szCs w:val="22"/>
    </w:rPr>
  </w:style>
  <w:style w:type="paragraph" w:customStyle="1" w:styleId="126">
    <w:name w:val="_Style 124"/>
    <w:unhideWhenUsed/>
    <w:qFormat/>
    <w:uiPriority w:val="99"/>
    <w:rPr>
      <w:rFonts w:ascii="Times New Roman" w:hAnsi="Times New Roman" w:eastAsia="宋体" w:cs="Times New Roman"/>
      <w:kern w:val="2"/>
      <w:sz w:val="21"/>
      <w:szCs w:val="24"/>
      <w:lang w:val="en-US" w:eastAsia="zh-CN" w:bidi="ar-SA"/>
    </w:rPr>
  </w:style>
  <w:style w:type="paragraph" w:customStyle="1" w:styleId="127">
    <w:name w:val="1正文"/>
    <w:basedOn w:val="1"/>
    <w:qFormat/>
    <w:uiPriority w:val="0"/>
    <w:pPr>
      <w:spacing w:line="560" w:lineRule="exact"/>
      <w:ind w:firstLine="200" w:firstLineChars="200"/>
    </w:pPr>
    <w:rPr>
      <w:rFonts w:eastAsia="Cambria Math"/>
      <w:sz w:val="32"/>
    </w:rPr>
  </w:style>
  <w:style w:type="paragraph" w:customStyle="1" w:styleId="12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29">
    <w:name w:val="无间隔1"/>
    <w:qFormat/>
    <w:uiPriority w:val="1"/>
    <w:rPr>
      <w:rFonts w:ascii="Times New Roman" w:hAnsi="Times New Roman" w:eastAsia="宋体" w:cs="Times New Roman"/>
      <w:sz w:val="22"/>
      <w:lang w:val="en-US" w:eastAsia="zh-CN" w:bidi="ar-SA"/>
    </w:rPr>
  </w:style>
  <w:style w:type="paragraph" w:customStyle="1" w:styleId="130">
    <w:name w:val="表格正文"/>
    <w:basedOn w:val="1"/>
    <w:qFormat/>
    <w:uiPriority w:val="0"/>
    <w:pPr>
      <w:widowControl/>
      <w:snapToGrid w:val="0"/>
      <w:spacing w:line="300" w:lineRule="auto"/>
      <w:jc w:val="left"/>
    </w:pPr>
    <w:rPr>
      <w:rFonts w:ascii="Calibri" w:hAnsi="Calibri"/>
      <w:sz w:val="24"/>
    </w:rPr>
  </w:style>
  <w:style w:type="paragraph" w:customStyle="1" w:styleId="131">
    <w:name w:val="_Style 129"/>
    <w:basedOn w:val="1"/>
    <w:next w:val="1"/>
    <w:qFormat/>
    <w:uiPriority w:val="0"/>
    <w:pPr>
      <w:pBdr>
        <w:top w:val="single" w:color="auto" w:sz="6" w:space="1"/>
      </w:pBdr>
      <w:jc w:val="center"/>
    </w:pPr>
    <w:rPr>
      <w:rFonts w:ascii="Arial" w:eastAsia="宋体"/>
      <w:vanish/>
      <w:sz w:val="16"/>
    </w:rPr>
  </w:style>
  <w:style w:type="paragraph" w:customStyle="1" w:styleId="132">
    <w:name w:val="text-only"/>
    <w:basedOn w:val="1"/>
    <w:qFormat/>
    <w:uiPriority w:val="0"/>
    <w:pPr>
      <w:pBdr>
        <w:top w:val="none" w:color="auto" w:sz="0" w:space="0"/>
        <w:left w:val="none" w:color="auto" w:sz="0" w:space="0"/>
        <w:bottom w:val="none" w:color="auto" w:sz="0" w:space="0"/>
        <w:right w:val="none" w:color="auto" w:sz="0" w:space="0"/>
      </w:pBdr>
      <w:spacing w:after="300" w:afterAutospacing="0" w:line="420" w:lineRule="atLeast"/>
      <w:jc w:val="left"/>
    </w:pPr>
    <w:rPr>
      <w:kern w:val="0"/>
      <w:lang w:val="en-US" w:eastAsia="zh-CN" w:bidi="ar"/>
    </w:rPr>
  </w:style>
  <w:style w:type="paragraph" w:customStyle="1" w:styleId="133">
    <w:name w:val="Level 2"/>
    <w:basedOn w:val="1"/>
    <w:qFormat/>
    <w:uiPriority w:val="0"/>
    <w:rPr>
      <w:rFonts w:ascii="Calibri" w:hAnsi="Calibri"/>
      <w:szCs w:val="22"/>
    </w:rPr>
  </w:style>
  <w:style w:type="paragraph" w:customStyle="1" w:styleId="134">
    <w:name w:val="列出段落2"/>
    <w:basedOn w:val="1"/>
    <w:qFormat/>
    <w:uiPriority w:val="0"/>
    <w:pPr>
      <w:ind w:firstLine="420" w:firstLineChars="200"/>
    </w:pPr>
    <w:rPr>
      <w:rFonts w:ascii="Calibri" w:hAnsi="Calibri"/>
      <w:szCs w:val="22"/>
    </w:rPr>
  </w:style>
  <w:style w:type="paragraph" w:customStyle="1" w:styleId="135">
    <w:name w:val="样式 标题 1卷标题H1章标题 1 1TITRE1L1 Heading 1h11st levelh111st...3"/>
    <w:basedOn w:val="3"/>
    <w:qFormat/>
    <w:uiPriority w:val="0"/>
    <w:pPr>
      <w:spacing w:before="120" w:after="120" w:line="360" w:lineRule="auto"/>
      <w:jc w:val="center"/>
    </w:pPr>
    <w:rPr>
      <w:rFonts w:ascii="宋体" w:hAnsi="宋体"/>
      <w:sz w:val="36"/>
      <w:szCs w:val="20"/>
    </w:rPr>
  </w:style>
  <w:style w:type="paragraph" w:customStyle="1" w:styleId="136">
    <w:name w:val="样式 样式 首行缩进:  2 字符1 + 首行缩进:  2 字符"/>
    <w:basedOn w:val="137"/>
    <w:qFormat/>
    <w:uiPriority w:val="0"/>
    <w:pPr>
      <w:ind w:firstLine="480"/>
    </w:pPr>
  </w:style>
  <w:style w:type="paragraph" w:customStyle="1" w:styleId="137">
    <w:name w:val="样式 首行缩进:  2 字符1"/>
    <w:basedOn w:val="1"/>
    <w:qFormat/>
    <w:uiPriority w:val="0"/>
    <w:pPr>
      <w:spacing w:after="0" w:line="360" w:lineRule="auto"/>
      <w:ind w:firstLine="200" w:firstLineChars="200"/>
      <w:jc w:val="both"/>
    </w:pPr>
    <w:rPr>
      <w:rFonts w:eastAsia="宋体" w:cs="Times New Roman"/>
      <w:color w:val="auto"/>
      <w:kern w:val="0"/>
      <w:sz w:val="24"/>
      <w:szCs w:val="20"/>
    </w:rPr>
  </w:style>
  <w:style w:type="paragraph" w:customStyle="1" w:styleId="138">
    <w:name w:val="正文文本 32"/>
    <w:basedOn w:val="1"/>
    <w:qFormat/>
    <w:uiPriority w:val="0"/>
    <w:pPr>
      <w:spacing w:line="312" w:lineRule="auto"/>
    </w:pPr>
    <w:rPr>
      <w:rFonts w:ascii="宋体" w:hAnsi="Times New Roman"/>
      <w:sz w:val="24"/>
      <w:szCs w:val="20"/>
    </w:rPr>
  </w:style>
  <w:style w:type="paragraph" w:customStyle="1" w:styleId="139">
    <w:name w:val="xl88"/>
    <w:basedOn w:val="1"/>
    <w:qFormat/>
    <w:uiPriority w:val="0"/>
    <w:pPr>
      <w:widowControl/>
      <w:pBdr>
        <w:bottom w:val="single" w:color="auto" w:sz="4" w:space="0"/>
      </w:pBdr>
      <w:spacing w:before="100" w:beforeAutospacing="1" w:after="100" w:afterAutospacing="1"/>
      <w:jc w:val="center"/>
    </w:pPr>
    <w:rPr>
      <w:rFonts w:hint="eastAsia" w:ascii="楷体_GB2312" w:hAnsi="Arial Unicode MS" w:eastAsia="楷体_GB2312"/>
      <w:kern w:val="0"/>
      <w:sz w:val="24"/>
    </w:rPr>
  </w:style>
  <w:style w:type="paragraph" w:customStyle="1" w:styleId="140">
    <w:name w:val="Body Text 3"/>
    <w:basedOn w:val="1"/>
    <w:qFormat/>
    <w:uiPriority w:val="0"/>
    <w:rPr>
      <w:rFonts w:ascii="宋体"/>
      <w:sz w:val="24"/>
    </w:rPr>
  </w:style>
  <w:style w:type="paragraph" w:customStyle="1" w:styleId="141">
    <w:name w:val="Level 4"/>
    <w:basedOn w:val="1"/>
    <w:qFormat/>
    <w:uiPriority w:val="0"/>
    <w:pPr>
      <w:tabs>
        <w:tab w:val="left" w:pos="2440"/>
      </w:tabs>
      <w:ind w:left="2041" w:hanging="765"/>
    </w:pPr>
    <w:rPr>
      <w:rFonts w:ascii="Calibri" w:hAnsi="Calibri"/>
      <w:szCs w:val="22"/>
    </w:rPr>
  </w:style>
  <w:style w:type="paragraph" w:customStyle="1" w:styleId="142">
    <w:name w:val="1"/>
    <w:basedOn w:val="1"/>
    <w:next w:val="24"/>
    <w:qFormat/>
    <w:uiPriority w:val="0"/>
    <w:pPr>
      <w:tabs>
        <w:tab w:val="left" w:pos="3060"/>
      </w:tabs>
      <w:spacing w:line="140" w:lineRule="atLeast"/>
      <w:ind w:firstLine="560" w:firstLineChars="200"/>
    </w:pPr>
    <w:rPr>
      <w:sz w:val="28"/>
    </w:rPr>
  </w:style>
  <w:style w:type="paragraph" w:customStyle="1" w:styleId="143">
    <w:name w:val="样式 左侧:  0.74 厘米1"/>
    <w:basedOn w:val="1"/>
    <w:qFormat/>
    <w:uiPriority w:val="0"/>
    <w:pPr>
      <w:widowControl w:val="0"/>
      <w:spacing w:after="0" w:afterLines="0" w:line="240" w:lineRule="auto"/>
      <w:ind w:left="620" w:hanging="200" w:hangingChars="200"/>
      <w:jc w:val="both"/>
    </w:pPr>
    <w:rPr>
      <w:rFonts w:ascii="Times New Roman" w:hAnsi="Times New Roman" w:eastAsia="宋体" w:cs="Times New Roman"/>
      <w:color w:val="auto"/>
      <w:sz w:val="21"/>
      <w:szCs w:val="20"/>
    </w:rPr>
  </w:style>
  <w:style w:type="paragraph" w:customStyle="1" w:styleId="144">
    <w:name w:val="Char1"/>
    <w:basedOn w:val="1"/>
    <w:qFormat/>
    <w:uiPriority w:val="0"/>
    <w:pPr>
      <w:widowControl/>
      <w:spacing w:after="160" w:afterLines="0" w:line="240" w:lineRule="exact"/>
      <w:jc w:val="left"/>
    </w:pPr>
    <w:rPr>
      <w:rFonts w:ascii="Verdana" w:hAnsi="Verdana"/>
      <w:kern w:val="0"/>
      <w:sz w:val="20"/>
      <w:szCs w:val="20"/>
      <w:lang w:eastAsia="en-US"/>
    </w:rPr>
  </w:style>
  <w:style w:type="paragraph" w:customStyle="1" w:styleId="145">
    <w:name w:val="样式 四号 首行缩进:  1厘米 行距: 1.5 倍行距"/>
    <w:basedOn w:val="1"/>
    <w:qFormat/>
    <w:uiPriority w:val="0"/>
    <w:pPr>
      <w:spacing w:line="360" w:lineRule="auto"/>
      <w:ind w:firstLine="570"/>
    </w:pPr>
    <w:rPr>
      <w:sz w:val="28"/>
      <w:szCs w:val="20"/>
    </w:rPr>
  </w:style>
  <w:style w:type="paragraph" w:customStyle="1" w:styleId="146">
    <w:name w:val="样式 标题 1 + (西文) Times New Roman (中文) 仿宋 小四 黑色 居中 左侧:  0 厘米 ..."/>
    <w:basedOn w:val="3"/>
    <w:qFormat/>
    <w:uiPriority w:val="0"/>
    <w:pPr>
      <w:tabs>
        <w:tab w:val="left" w:pos="680"/>
      </w:tabs>
      <w:spacing w:before="0" w:after="240" w:line="300" w:lineRule="auto"/>
      <w:ind w:left="680" w:hanging="680"/>
      <w:jc w:val="center"/>
    </w:pPr>
    <w:rPr>
      <w:rFonts w:hAnsi="仿宋" w:eastAsia="仿宋" w:cs="宋体"/>
      <w:color w:val="000000"/>
      <w:sz w:val="24"/>
      <w:szCs w:val="20"/>
    </w:rPr>
  </w:style>
  <w:style w:type="paragraph" w:customStyle="1" w:styleId="147">
    <w:name w:val="TOC 标题1"/>
    <w:basedOn w:val="3"/>
    <w:next w:val="1"/>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148">
    <w:name w:val="样式1"/>
    <w:basedOn w:val="1"/>
    <w:qFormat/>
    <w:uiPriority w:val="0"/>
    <w:pPr>
      <w:numPr>
        <w:ilvl w:val="0"/>
        <w:numId w:val="3"/>
      </w:numPr>
      <w:spacing w:line="360" w:lineRule="auto"/>
      <w:ind w:left="1253" w:hanging="680"/>
    </w:pPr>
    <w:rPr>
      <w:sz w:val="28"/>
      <w:szCs w:val="28"/>
    </w:rPr>
  </w:style>
  <w:style w:type="paragraph" w:customStyle="1" w:styleId="149">
    <w:name w:val="Level 1"/>
    <w:basedOn w:val="1"/>
    <w:qFormat/>
    <w:uiPriority w:val="0"/>
    <w:rPr>
      <w:rFonts w:ascii="Calibri" w:hAnsi="Calibri"/>
      <w:szCs w:val="22"/>
    </w:rPr>
  </w:style>
  <w:style w:type="paragraph" w:customStyle="1" w:styleId="150">
    <w:name w:val="p16"/>
    <w:basedOn w:val="1"/>
    <w:qFormat/>
    <w:uiPriority w:val="0"/>
    <w:pPr>
      <w:widowControl/>
    </w:pPr>
    <w:rPr>
      <w:rFonts w:ascii="宋体" w:hAnsi="宋体"/>
      <w:kern w:val="0"/>
      <w:sz w:val="24"/>
      <w:szCs w:val="20"/>
    </w:rPr>
  </w:style>
  <w:style w:type="paragraph" w:customStyle="1" w:styleId="151">
    <w:name w:val="List Paragraph1"/>
    <w:basedOn w:val="1"/>
    <w:qFormat/>
    <w:uiPriority w:val="34"/>
    <w:pPr>
      <w:ind w:firstLine="420" w:firstLineChars="200"/>
    </w:pPr>
  </w:style>
  <w:style w:type="paragraph" w:customStyle="1" w:styleId="152">
    <w:name w:val="正文 A"/>
    <w:qFormat/>
    <w:uiPriority w:val="0"/>
    <w:pPr>
      <w:widowControl w:val="0"/>
      <w:jc w:val="both"/>
    </w:pPr>
    <w:rPr>
      <w:rFonts w:ascii="Times New Roman" w:hAnsi="Times New Roman" w:eastAsia="Arial Unicode MS" w:cs="Arial Unicode MS"/>
      <w:color w:val="000000"/>
      <w:kern w:val="2"/>
      <w:sz w:val="21"/>
      <w:szCs w:val="21"/>
      <w:u w:val="none" w:color="000000"/>
      <w:lang w:val="en-US" w:eastAsia="zh-CN" w:bidi="ar-SA"/>
    </w:rPr>
  </w:style>
  <w:style w:type="paragraph" w:customStyle="1" w:styleId="153">
    <w:name w:val="_Style 1"/>
    <w:basedOn w:val="1"/>
    <w:qFormat/>
    <w:uiPriority w:val="34"/>
    <w:pPr>
      <w:widowControl w:val="0"/>
      <w:spacing w:after="0" w:line="240" w:lineRule="auto"/>
      <w:ind w:firstLine="420" w:firstLineChars="200"/>
      <w:jc w:val="both"/>
    </w:pPr>
    <w:rPr>
      <w:rFonts w:ascii="Times New Roman" w:hAnsi="Times New Roman" w:eastAsia="宋体" w:cs="Times New Roman"/>
      <w:color w:val="auto"/>
      <w:sz w:val="21"/>
      <w:szCs w:val="20"/>
    </w:rPr>
  </w:style>
  <w:style w:type="paragraph" w:customStyle="1" w:styleId="154">
    <w:name w:val="标题4"/>
    <w:basedOn w:val="1"/>
    <w:qFormat/>
    <w:uiPriority w:val="0"/>
    <w:pPr>
      <w:spacing w:before="156" w:beforeLines="50" w:after="156" w:afterLines="50"/>
      <w:jc w:val="left"/>
    </w:pPr>
    <w:rPr>
      <w:rFonts w:eastAsia="黑体"/>
      <w:b/>
      <w:kern w:val="0"/>
      <w:sz w:val="30"/>
    </w:rPr>
  </w:style>
  <w:style w:type="paragraph" w:customStyle="1" w:styleId="155">
    <w:name w:val="Default"/>
    <w:qFormat/>
    <w:uiPriority w:val="0"/>
    <w:pPr>
      <w:widowControl w:val="0"/>
      <w:autoSpaceDE w:val="0"/>
      <w:autoSpaceDN w:val="0"/>
      <w:adjustRightInd w:val="0"/>
    </w:pPr>
    <w:rPr>
      <w:rFonts w:ascii="Arial Unicode MS" w:hAnsi="Times New Roman" w:eastAsia="Arial Unicode MS" w:cs="Arial Unicode MS"/>
      <w:color w:val="000000"/>
      <w:sz w:val="24"/>
      <w:szCs w:val="24"/>
      <w:lang w:val="en-US" w:eastAsia="zh-CN" w:bidi="ar-SA"/>
    </w:rPr>
  </w:style>
  <w:style w:type="paragraph" w:customStyle="1" w:styleId="156">
    <w:name w:val="列出段落1"/>
    <w:basedOn w:val="1"/>
    <w:qFormat/>
    <w:uiPriority w:val="34"/>
    <w:pPr>
      <w:ind w:firstLine="420" w:firstLineChars="200"/>
    </w:pPr>
    <w:rPr>
      <w:rFonts w:ascii="Calibri" w:hAnsi="Calibri" w:cs="Calibri"/>
      <w:szCs w:val="21"/>
    </w:rPr>
  </w:style>
  <w:style w:type="paragraph" w:customStyle="1" w:styleId="157">
    <w:name w:val="p0"/>
    <w:basedOn w:val="1"/>
    <w:qFormat/>
    <w:uiPriority w:val="0"/>
    <w:pPr>
      <w:widowControl/>
    </w:pPr>
    <w:rPr>
      <w:kern w:val="0"/>
      <w:szCs w:val="21"/>
    </w:rPr>
  </w:style>
  <w:style w:type="paragraph" w:customStyle="1" w:styleId="158">
    <w:name w:val="Char Char Char Char Char Char Char Char Char Char Char Char Char"/>
    <w:basedOn w:val="1"/>
    <w:qFormat/>
    <w:uiPriority w:val="0"/>
    <w:pPr>
      <w:snapToGrid w:val="0"/>
      <w:spacing w:line="360" w:lineRule="auto"/>
      <w:ind w:firstLine="200" w:firstLineChars="200"/>
    </w:pPr>
    <w:rPr>
      <w:rFonts w:eastAsia="仿宋_GB2312"/>
      <w:sz w:val="24"/>
    </w:rPr>
  </w:style>
  <w:style w:type="paragraph" w:customStyle="1" w:styleId="159">
    <w:name w:val="Char Char Char Char Char Char Char Char Char Char Char Char Char Char Char"/>
    <w:basedOn w:val="1"/>
    <w:qFormat/>
    <w:uiPriority w:val="0"/>
    <w:pPr>
      <w:widowControl/>
      <w:spacing w:after="160" w:afterLines="0" w:line="240" w:lineRule="exact"/>
      <w:jc w:val="left"/>
    </w:pPr>
    <w:rPr>
      <w:szCs w:val="20"/>
    </w:rPr>
  </w:style>
  <w:style w:type="paragraph" w:customStyle="1" w:styleId="160">
    <w:name w:val="修订1"/>
    <w:semiHidden/>
    <w:qFormat/>
    <w:uiPriority w:val="0"/>
    <w:rPr>
      <w:rFonts w:ascii="Times New Roman" w:hAnsi="Times New Roman" w:eastAsia="宋体" w:cs="Times New Roman"/>
      <w:kern w:val="2"/>
      <w:sz w:val="21"/>
      <w:szCs w:val="22"/>
      <w:lang w:val="en-US" w:eastAsia="zh-CN" w:bidi="ar-SA"/>
    </w:rPr>
  </w:style>
  <w:style w:type="paragraph" w:customStyle="1" w:styleId="161">
    <w:name w:val="_Style 12"/>
    <w:basedOn w:val="1"/>
    <w:next w:val="18"/>
    <w:qFormat/>
    <w:uiPriority w:val="0"/>
    <w:pPr>
      <w:spacing w:line="360" w:lineRule="auto"/>
      <w:ind w:firstLine="540"/>
    </w:pPr>
    <w:rPr>
      <w:sz w:val="28"/>
      <w:szCs w:val="20"/>
    </w:rPr>
  </w:style>
  <w:style w:type="paragraph" w:customStyle="1" w:styleId="162">
    <w:name w:val="_Style 160"/>
    <w:basedOn w:val="1"/>
    <w:next w:val="108"/>
    <w:qFormat/>
    <w:uiPriority w:val="0"/>
    <w:pPr>
      <w:pBdr>
        <w:bottom w:val="single" w:color="auto" w:sz="6" w:space="1"/>
      </w:pBdr>
      <w:jc w:val="center"/>
    </w:pPr>
    <w:rPr>
      <w:rFonts w:ascii="Arial" w:eastAsia="宋体"/>
      <w:vanish/>
      <w:sz w:val="16"/>
    </w:rPr>
  </w:style>
  <w:style w:type="paragraph" w:customStyle="1" w:styleId="163">
    <w:name w:val="Level 5"/>
    <w:basedOn w:val="1"/>
    <w:qFormat/>
    <w:uiPriority w:val="0"/>
    <w:pPr>
      <w:tabs>
        <w:tab w:val="left" w:pos="2552"/>
      </w:tabs>
      <w:ind w:left="2552" w:hanging="567"/>
    </w:pPr>
    <w:rPr>
      <w:rFonts w:ascii="Calibri" w:hAnsi="Calibri"/>
      <w:szCs w:val="22"/>
    </w:rPr>
  </w:style>
  <w:style w:type="paragraph" w:customStyle="1" w:styleId="164">
    <w:name w:val="样式 标题 2 +"/>
    <w:basedOn w:val="4"/>
    <w:qFormat/>
    <w:uiPriority w:val="0"/>
    <w:pPr>
      <w:numPr>
        <w:ilvl w:val="1"/>
        <w:numId w:val="0"/>
      </w:numPr>
      <w:tabs>
        <w:tab w:val="left" w:pos="652"/>
      </w:tabs>
      <w:spacing w:before="260" w:after="260" w:line="416" w:lineRule="auto"/>
      <w:ind w:left="567" w:hanging="567"/>
      <w:jc w:val="both"/>
    </w:pPr>
    <w:rPr>
      <w:rFonts w:eastAsia="黑体"/>
      <w:color w:val="auto"/>
      <w:kern w:val="0"/>
      <w:sz w:val="24"/>
    </w:rPr>
  </w:style>
  <w:style w:type="paragraph" w:customStyle="1" w:styleId="165">
    <w:name w:val="_Style 246"/>
    <w:basedOn w:val="1"/>
    <w:next w:val="151"/>
    <w:qFormat/>
    <w:uiPriority w:val="34"/>
    <w:pPr>
      <w:widowControl w:val="0"/>
      <w:spacing w:after="0" w:line="240" w:lineRule="auto"/>
      <w:ind w:firstLine="420" w:firstLineChars="200"/>
      <w:jc w:val="both"/>
    </w:pPr>
    <w:rPr>
      <w:rFonts w:ascii="Times New Roman" w:hAnsi="Times New Roman" w:eastAsia="宋体" w:cs="Times New Roman"/>
      <w:color w:val="auto"/>
      <w:sz w:val="21"/>
      <w:szCs w:val="20"/>
    </w:rPr>
  </w:style>
  <w:style w:type="paragraph" w:customStyle="1" w:styleId="166">
    <w:name w:val="列出段落11"/>
    <w:basedOn w:val="1"/>
    <w:qFormat/>
    <w:uiPriority w:val="0"/>
    <w:pPr>
      <w:ind w:firstLine="420" w:firstLineChars="200"/>
    </w:pPr>
    <w:rPr>
      <w:rFonts w:ascii="Calibri" w:hAnsi="Calibri"/>
      <w:szCs w:val="22"/>
    </w:rPr>
  </w:style>
  <w:style w:type="paragraph" w:customStyle="1" w:styleId="167">
    <w:name w:val="Char Char Char"/>
    <w:basedOn w:val="1"/>
    <w:qFormat/>
    <w:uiPriority w:val="0"/>
  </w:style>
  <w:style w:type="paragraph" w:customStyle="1" w:styleId="168">
    <w:name w:val="表格首行"/>
    <w:basedOn w:val="1"/>
    <w:qFormat/>
    <w:uiPriority w:val="0"/>
    <w:pPr>
      <w:widowControl/>
      <w:jc w:val="center"/>
    </w:pPr>
    <w:rPr>
      <w:rFonts w:hint="eastAsia" w:ascii="宋体" w:hAnsi="宋体"/>
      <w:sz w:val="24"/>
    </w:rPr>
  </w:style>
  <w:style w:type="paragraph" w:customStyle="1" w:styleId="169">
    <w:name w:val="Level 3"/>
    <w:basedOn w:val="1"/>
    <w:qFormat/>
    <w:uiPriority w:val="0"/>
    <w:pPr>
      <w:tabs>
        <w:tab w:val="left" w:pos="2808"/>
      </w:tabs>
      <w:ind w:left="2808" w:hanging="681"/>
    </w:pPr>
    <w:rPr>
      <w:rFonts w:ascii="Calibri" w:hAnsi="Calibri"/>
      <w:szCs w:val="22"/>
    </w:rPr>
  </w:style>
  <w:style w:type="paragraph" w:customStyle="1" w:styleId="170">
    <w:name w:val="_Style 168"/>
    <w:basedOn w:val="3"/>
    <w:next w:val="1"/>
    <w:qFormat/>
    <w:uiPriority w:val="39"/>
    <w:pPr>
      <w:widowControl/>
      <w:spacing w:before="480" w:after="0" w:line="276" w:lineRule="auto"/>
      <w:jc w:val="left"/>
      <w:outlineLvl w:val="9"/>
    </w:pPr>
    <w:rPr>
      <w:rFonts w:ascii="Cambria" w:hAnsi="Cambria" w:eastAsia="宋体" w:cs="Times New Roman"/>
      <w:color w:val="365F91"/>
      <w:kern w:val="0"/>
      <w:sz w:val="28"/>
      <w:szCs w:val="28"/>
      <w:lang w:val="en-US" w:eastAsia="zh-CN"/>
    </w:rPr>
  </w:style>
  <w:style w:type="paragraph" w:customStyle="1" w:styleId="171">
    <w:name w:val="彩色底纹 - 强调文字颜色 11"/>
    <w:semiHidden/>
    <w:qFormat/>
    <w:uiPriority w:val="99"/>
    <w:rPr>
      <w:rFonts w:ascii="Times New Roman" w:hAnsi="Times New Roman" w:eastAsia="宋体" w:cs="Times New Roman"/>
      <w:kern w:val="2"/>
      <w:sz w:val="21"/>
      <w:szCs w:val="22"/>
      <w:lang w:val="en-US" w:eastAsia="zh-CN" w:bidi="ar-SA"/>
    </w:rPr>
  </w:style>
  <w:style w:type="paragraph" w:customStyle="1" w:styleId="172">
    <w:name w:val="Char Char Char Char"/>
    <w:basedOn w:val="1"/>
    <w:qFormat/>
    <w:uiPriority w:val="0"/>
    <w:pPr>
      <w:tabs>
        <w:tab w:val="left" w:pos="360"/>
      </w:tabs>
    </w:pPr>
    <w:rPr>
      <w:szCs w:val="20"/>
    </w:rPr>
  </w:style>
  <w:style w:type="paragraph" w:customStyle="1" w:styleId="173">
    <w:name w:val="Heading 2 + 宋体"/>
    <w:basedOn w:val="3"/>
    <w:qFormat/>
    <w:uiPriority w:val="0"/>
    <w:pPr>
      <w:keepLines w:val="0"/>
      <w:widowControl/>
      <w:tabs>
        <w:tab w:val="left" w:pos="1515"/>
      </w:tabs>
      <w:spacing w:before="130" w:after="120" w:line="280" w:lineRule="atLeast"/>
      <w:jc w:val="left"/>
    </w:pPr>
    <w:rPr>
      <w:bCs w:val="0"/>
      <w:kern w:val="0"/>
      <w:sz w:val="28"/>
      <w:szCs w:val="28"/>
      <w:lang w:val="en-GB"/>
    </w:rPr>
  </w:style>
  <w:style w:type="paragraph" w:customStyle="1" w:styleId="174">
    <w:name w:val="Level 6"/>
    <w:basedOn w:val="1"/>
    <w:qFormat/>
    <w:uiPriority w:val="0"/>
    <w:pPr>
      <w:tabs>
        <w:tab w:val="left" w:pos="3289"/>
      </w:tabs>
      <w:ind w:left="3289" w:hanging="681"/>
    </w:pPr>
    <w:rPr>
      <w:rFonts w:ascii="Calibri" w:hAnsi="Calibri"/>
      <w:szCs w:val="22"/>
    </w:rPr>
  </w:style>
  <w:style w:type="paragraph" w:customStyle="1" w:styleId="175">
    <w:name w:val="正文文本 33"/>
    <w:basedOn w:val="1"/>
    <w:qFormat/>
    <w:uiPriority w:val="0"/>
    <w:rPr>
      <w:rFonts w:ascii="宋体" w:hAnsi="Times New Roman" w:cs="Times New Roman"/>
      <w:sz w:val="24"/>
    </w:rPr>
  </w:style>
  <w:style w:type="character" w:customStyle="1" w:styleId="176">
    <w:name w:val="正文缩进 字符1"/>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image" Target="media/image4.png"/><Relationship Id="rId21" Type="http://schemas.openxmlformats.org/officeDocument/2006/relationships/image" Target="media/image3.png"/><Relationship Id="rId20" Type="http://schemas.openxmlformats.org/officeDocument/2006/relationships/image" Target="media/image2.png"/><Relationship Id="rId2" Type="http://schemas.openxmlformats.org/officeDocument/2006/relationships/settings" Target="settings.xml"/><Relationship Id="rId19" Type="http://schemas.openxmlformats.org/officeDocument/2006/relationships/image" Target="media/image1.wmf"/><Relationship Id="rId18" Type="http://schemas.openxmlformats.org/officeDocument/2006/relationships/control" Target="activeX/activeX1.xml"/><Relationship Id="rId17" Type="http://schemas.openxmlformats.org/officeDocument/2006/relationships/theme" Target="theme/theme1.xml"/><Relationship Id="rId16" Type="http://schemas.openxmlformats.org/officeDocument/2006/relationships/header" Target="header6.xml"/><Relationship Id="rId15" Type="http://schemas.openxmlformats.org/officeDocument/2006/relationships/header" Target="header5.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C-5CC6-11CF-8D67-00AA00BDCE1D}" r:id="rId1" ax:persistence="persistStorage"/>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90</Pages>
  <Words>7782</Words>
  <Characters>8338</Characters>
  <Lines>198</Lines>
  <Paragraphs>55</Paragraphs>
  <TotalTime>16</TotalTime>
  <ScaleCrop>false</ScaleCrop>
  <LinksUpToDate>false</LinksUpToDate>
  <CharactersWithSpaces>8458</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2024-08-22T08:50:00Z</dcterms:created>
  <dc:creator>ssz</dc:creator>
  <cp:lastModifiedBy>ZSY</cp:lastModifiedBy>
  <cp:lastPrinted>2018-07-16T11:27:00Z</cp:lastPrinted>
  <dcterms:modified xsi:type="dcterms:W3CDTF">2025-10-23T03:15:49Z</dcterms:modified>
  <dc:title>山西医科大学第一医院住院楼土建施工及安装工程招标文件</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6DD98FE23953474F8D56C5682FAF95F8_13</vt:lpwstr>
  </property>
  <property fmtid="{D5CDD505-2E9C-101B-9397-08002B2CF9AE}" pid="4" name="KSOTemplateDocerSaveRecord">
    <vt:lpwstr>eyJoZGlkIjoiOWI4Yjg3ZjlkZjc0NWJjM2QxMmQxMDBkNmUzYjA1ZmMiLCJ1c2VySWQiOiIxMzg4NDU0NDk5In0=</vt:lpwstr>
  </property>
</Properties>
</file>