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28"/>
          <w:szCs w:val="28"/>
        </w:rPr>
      </w:pPr>
      <w:r>
        <w:rPr>
          <w:rFonts w:hint="eastAsia" w:ascii="黑体" w:hAnsi="黑体" w:eastAsia="黑体" w:cs="黑体"/>
          <w:sz w:val="28"/>
          <w:szCs w:val="28"/>
          <w:lang w:val="en-US" w:eastAsia="zh-CN"/>
        </w:rPr>
        <w:t>关于</w:t>
      </w:r>
      <w:r>
        <w:rPr>
          <w:rFonts w:hint="eastAsia" w:ascii="黑体" w:hAnsi="黑体" w:eastAsia="黑体" w:cs="黑体"/>
          <w:sz w:val="28"/>
          <w:szCs w:val="28"/>
        </w:rPr>
        <w:t>人保财险新疆阿拉尔支公司各营销服务部</w:t>
      </w:r>
      <w:r>
        <w:rPr>
          <w:rFonts w:hint="eastAsia" w:ascii="黑体" w:hAnsi="黑体" w:eastAsia="黑体" w:cs="黑体"/>
          <w:sz w:val="28"/>
          <w:szCs w:val="28"/>
          <w:lang w:val="en-US" w:eastAsia="zh-CN"/>
        </w:rPr>
        <w:t>营业职场</w:t>
      </w:r>
      <w:r>
        <w:rPr>
          <w:rFonts w:hint="eastAsia" w:ascii="黑体" w:hAnsi="黑体" w:eastAsia="黑体" w:cs="黑体"/>
          <w:sz w:val="28"/>
          <w:szCs w:val="28"/>
        </w:rPr>
        <w:t>维修改造采购项目招标公告</w:t>
      </w:r>
    </w:p>
    <w:p>
      <w:pPr>
        <w:keepNext w:val="0"/>
        <w:keepLines w:val="0"/>
        <w:pageBreakBefore w:val="0"/>
        <w:widowControl w:val="0"/>
        <w:kinsoku/>
        <w:wordWrap/>
        <w:overflowPunct/>
        <w:topLinePunct w:val="0"/>
        <w:autoSpaceDE/>
        <w:autoSpaceDN/>
        <w:bidi w:val="0"/>
        <w:adjustRightInd/>
        <w:snapToGrid/>
        <w:spacing w:line="400" w:lineRule="exact"/>
        <w:ind w:lef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我公司各营销服务部营业职场维修改造采购项目已启动，现征集优秀供应商，征集时间自2025年11月3日10:00至2025年11月8日20:00截止，欢迎参与。</w:t>
      </w:r>
    </w:p>
    <w:p>
      <w:pPr>
        <w:pStyle w:val="3"/>
        <w:pageBreakBefore w:val="0"/>
        <w:numPr>
          <w:ilvl w:val="0"/>
          <w:numId w:val="2"/>
        </w:numPr>
        <w:kinsoku/>
        <w:wordWrap/>
        <w:overflowPunct/>
        <w:topLinePunct w:val="0"/>
        <w:autoSpaceDE/>
        <w:autoSpaceDN/>
        <w:bidi w:val="0"/>
        <w:adjustRightInd/>
        <w:snapToGrid/>
        <w:spacing w:before="0" w:beforeLines="0" w:after="0" w:afterLines="0" w:line="400" w:lineRule="exact"/>
        <w:ind w:left="0"/>
        <w:textAlignment w:val="auto"/>
        <w:rPr>
          <w:rFonts w:hint="eastAsia" w:ascii="仿宋" w:hAnsi="仿宋" w:eastAsia="仿宋" w:cs="仿宋"/>
          <w:b w:val="0"/>
          <w:spacing w:val="0"/>
          <w:kern w:val="2"/>
          <w:sz w:val="28"/>
          <w:szCs w:val="28"/>
          <w:lang w:val="en-US" w:eastAsia="zh-CN" w:bidi="ar-SA"/>
        </w:rPr>
      </w:pPr>
      <w:r>
        <w:rPr>
          <w:rFonts w:hint="eastAsia" w:ascii="仿宋" w:hAnsi="仿宋" w:eastAsia="仿宋" w:cs="仿宋"/>
          <w:sz w:val="28"/>
          <w:szCs w:val="28"/>
          <w:lang w:val="en-US" w:eastAsia="zh-CN"/>
        </w:rPr>
        <w:t>采购单位：</w:t>
      </w:r>
      <w:r>
        <w:rPr>
          <w:rFonts w:hint="eastAsia" w:ascii="仿宋" w:hAnsi="仿宋" w:eastAsia="仿宋" w:cs="仿宋"/>
          <w:b w:val="0"/>
          <w:spacing w:val="0"/>
          <w:kern w:val="2"/>
          <w:sz w:val="28"/>
          <w:szCs w:val="28"/>
          <w:lang w:val="en-US" w:eastAsia="zh-CN" w:bidi="ar-SA"/>
        </w:rPr>
        <w:t>中国人民财产保险股份有限公司</w:t>
      </w:r>
      <w:bookmarkStart w:id="0" w:name="_GoBack"/>
      <w:bookmarkEnd w:id="0"/>
      <w:r>
        <w:rPr>
          <w:rFonts w:hint="eastAsia" w:ascii="仿宋" w:hAnsi="仿宋" w:eastAsia="仿宋" w:cs="仿宋"/>
          <w:b w:val="0"/>
          <w:spacing w:val="0"/>
          <w:kern w:val="2"/>
          <w:sz w:val="28"/>
          <w:szCs w:val="28"/>
          <w:lang w:val="en-US" w:eastAsia="zh-CN" w:bidi="ar-SA"/>
        </w:rPr>
        <w:t>阿拉尔支公司</w:t>
      </w:r>
    </w:p>
    <w:p>
      <w:pPr>
        <w:pStyle w:val="3"/>
        <w:pageBreakBefore w:val="0"/>
        <w:numPr>
          <w:ilvl w:val="0"/>
          <w:numId w:val="2"/>
        </w:numPr>
        <w:kinsoku/>
        <w:wordWrap/>
        <w:overflowPunct/>
        <w:topLinePunct w:val="0"/>
        <w:autoSpaceDE/>
        <w:autoSpaceDN/>
        <w:bidi w:val="0"/>
        <w:adjustRightInd/>
        <w:snapToGrid/>
        <w:spacing w:before="0" w:beforeLines="0" w:after="0" w:afterLines="0" w:line="400" w:lineRule="exact"/>
        <w:ind w:left="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采购需求</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b/>
          <w:bCs/>
          <w:spacing w:val="0"/>
          <w:sz w:val="28"/>
          <w:szCs w:val="28"/>
          <w:lang w:val="en-US" w:eastAsia="zh-CN"/>
        </w:rPr>
        <w:t>（一）服务内容：</w:t>
      </w:r>
      <w:r>
        <w:rPr>
          <w:rFonts w:hint="eastAsia" w:ascii="仿宋" w:hAnsi="仿宋" w:eastAsia="仿宋" w:cs="仿宋"/>
          <w:spacing w:val="0"/>
          <w:sz w:val="28"/>
          <w:szCs w:val="28"/>
          <w:lang w:val="en-US" w:eastAsia="zh-CN"/>
        </w:rPr>
        <w:t>本项目拟选定1家供应商，为阿拉尔支公司各营销服务部</w:t>
      </w:r>
      <w:r>
        <w:rPr>
          <w:rFonts w:hint="eastAsia" w:ascii="仿宋" w:hAnsi="仿宋" w:eastAsia="仿宋" w:cs="仿宋"/>
          <w:spacing w:val="0"/>
          <w:sz w:val="28"/>
          <w:szCs w:val="28"/>
          <w:lang w:val="en-US" w:eastAsia="zh-CN"/>
        </w:rPr>
        <w:t>提供营业职场维修改造</w:t>
      </w:r>
      <w:r>
        <w:rPr>
          <w:rFonts w:hint="eastAsia" w:ascii="仿宋" w:hAnsi="仿宋" w:eastAsia="仿宋" w:cs="仿宋"/>
          <w:spacing w:val="0"/>
          <w:sz w:val="28"/>
          <w:szCs w:val="28"/>
          <w:lang w:val="en-US" w:eastAsia="zh-CN"/>
        </w:rPr>
        <w:t>服务。</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维修改造标准：</w:t>
      </w:r>
    </w:p>
    <w:tbl>
      <w:tblPr>
        <w:tblStyle w:val="4"/>
        <w:tblW w:w="83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0"/>
        <w:gridCol w:w="3318"/>
        <w:gridCol w:w="1185"/>
        <w:gridCol w:w="1335"/>
        <w:gridCol w:w="1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3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单价（元） </w:t>
            </w:r>
          </w:p>
        </w:tc>
        <w:tc>
          <w:tcPr>
            <w:tcW w:w="192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33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92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室内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内墙面刷乳胶漆：&lt;商务米&gt;；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1.本项目为综合单价，包含：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墙面基层清理、刮腻子、打磨。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刷封闭底漆一遍。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刷面层乳胶漆两遍。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2.计量：按实测面积计算。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35.00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隔断墙；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主龙骨采用75系列轻钢龙骨，厚度不低于0.6mm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天地龙骨、竖向龙骨间距不大于400mm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门口、洞口处需设置加强龙骨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2.石膏板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双面封贴12mm厚耐火石膏板（品牌要求：可龙/拉法基/圣戈班或同等品质）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石膏板接缝需错开龙骨中心线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 自攻螺丝固定，间距不大于200mm</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木质套装门安装；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1.材质工艺：采用符合公司VI手册标准的高品质实木或复合门，表面处理与品牌形象一致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2.安装精度：门框垂直度偏差不超过2mm，门扇与门框间隙均匀，开启顺畅无卡顿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3.功能要求：配备品牌统一标识的五金配件，合页承重能力强，锁具安全可靠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4.视觉呈现：安装完成后门扇与门框接缝平整，整体效果整洁美观，符合企业VI手册中的空间形象标准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800.00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柜台制作：&lt;大厅&gt;；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1.基层柜体：18mm厚E0级生态板制作，所有截面密封处理。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2.台面：20mm厚优质大理石（，前口做磨圆边处理，接缝处无缝抛光。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870.00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LED嵌装式平板灯；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1.600x600mm 超薄LED平板灯，36W，4000K，Ra≥80，无频闪。</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90.00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给排水改造；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1.采用标准PP-R水管，热熔连接；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2.管道暗敷设在墙内/地面垫层内；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3.试验压力0.8MPa，稳压30分钟，压力降不超过0.05MPa。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1.PVC穿线管暗埋，管内穿国标BV线；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2.照明用2.5平方线，普通插座用2.5平方线；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3.86型暗装插座/开关面板安装；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4.报价含线管、电线、底盒、插座、插排、灯具，人工及所有辅料。</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企业形象LOGO背景墙制作；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1.材质标准：使用环保等级材料，防火性能达到B1级以上；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2.尺寸精度：整体误差不超过±2mm，接缝处平整无明显缝隙；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3.色彩标准：严格遵循公司VI标准色值，色差ΔE≤2。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4.安装标准：结构牢固，承重能力满足设计要求，安装后无明显变形。</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2,500.00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洗手池；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1.材质：陶瓷或不锈钢，表面光滑无瑕疵；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2.尺寸：深度≥15cm，宽度≥45cm；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3.功能：排水通畅，水龙头无渗漏；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4.安装：稳固平整，与台面密封严密。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仪容镜；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1.材质：高清防雾玻璃，厚度不低于5mm；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2.尺寸：高度不低于120cm，宽度不低于60cm；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3.安装：垂直固定，离地高度适合使用者视线水平；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4.边框：圆角处理，确保安全无锐角。</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马桶坐便器；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1.类型：落地式，根据空间需求选择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2.尺寸：标准长度60-70cm，宽度35-40cm，高度40-45cm；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3.冲水系统：节水型，冲水量不超过6L/次；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4.材质：陶瓷釉面光滑，易清洁，防污防霉；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5.安装：排水口中心距墙30-35cm，确保与墙体垂直固定。</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1.类型：传统蹲便器或节水型蹲便器；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2.尺寸：长度约45-55cm，宽度约30-35cm，高度约20-25cm；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3.排水方式：前排水或后排水，根据管道布局选择；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4.材质：陶瓷釉面，防污防滑，易清洁。</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冲水箱；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1.容量：标准冲水量为6-9升，节水型可控制在4.5-6升；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2.冲水方式：按键式；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3.材质：优质陶瓷或工程塑料，耐腐蚀、不易老化；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4.安装高度：箱距地面700mm-1000mm；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5.密封性能：确保冲水阀和进水阀无渗漏，使用寿命不少于5年。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卫生间防水制作；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1.基层处理：基层应平整、坚实、干净、无浮灰、油污、空鼓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2.防水材料：采用符合国家标准的聚氨酯防水涂料，厚度不小于1.5mm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3.施工工艺：墙面全做防水，高度不低于1.8m；地面全做防水，墙面翻边不低于300mm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4.细部处理：阴阳角、管根、地漏等部位应做附加层处理。</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1,700.00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百叶窗帘；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1.调光性能：通过调节叶片角度，可以灵活控制室内光线强度，既能保证隐私又能获得自然光照；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2.通风效果：叶片间有适当间隙，允许空气流通，保持室内空气新鲜；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3.易于清洁：表面平滑，灰尘不易积聚，清洁维护简便。</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130.00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门头</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门头标识制作安装；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一、铝塑板底板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1.龙骨：安装牢固，间距均匀，保证承重。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2.安装：板面平整，接缝严密，无鼓包、无划痕。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3.外观：表面平整，颜色均匀，无色差。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二、亚克力字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1.材质：用户外亚克力板，厚度按尺寸定（通常10-20mm）。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2.工艺：激光切割，边缘抛光，字形精准光滑。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3.颜色：使用企业标准色，无色差，符合公司VI手册标准。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4.安装：固定牢固，排列整齐，发光均匀（如适用）。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righ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400.00 </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最终验收以符合公司VI手册为准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c>
          <w:tcPr>
            <w:tcW w:w="7759"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注:以上报价为参考，具体以实际发生为准</w:t>
            </w:r>
          </w:p>
        </w:tc>
      </w:tr>
    </w:tbl>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b/>
          <w:bCs/>
          <w:spacing w:val="0"/>
          <w:sz w:val="28"/>
          <w:szCs w:val="28"/>
          <w:lang w:val="zh-CN" w:eastAsia="zh-CN"/>
        </w:rPr>
      </w:pPr>
      <w:r>
        <w:rPr>
          <w:rFonts w:hint="eastAsia" w:ascii="仿宋" w:hAnsi="仿宋" w:eastAsia="仿宋" w:cs="仿宋"/>
          <w:b/>
          <w:bCs/>
          <w:spacing w:val="0"/>
          <w:sz w:val="28"/>
          <w:szCs w:val="28"/>
          <w:lang w:val="en-US" w:eastAsia="zh-CN"/>
        </w:rPr>
        <w:t>（二）</w:t>
      </w:r>
      <w:r>
        <w:rPr>
          <w:rFonts w:hint="eastAsia" w:ascii="楷体" w:hAnsi="楷体" w:eastAsia="楷体" w:cs="楷体"/>
          <w:b/>
          <w:bCs/>
          <w:sz w:val="32"/>
          <w:szCs w:val="32"/>
          <w:lang w:val="en-US" w:eastAsia="zh-CN"/>
        </w:rPr>
        <w:t>工程技术标准和要求</w:t>
      </w:r>
      <w:r>
        <w:rPr>
          <w:rFonts w:hint="eastAsia" w:ascii="仿宋" w:hAnsi="仿宋" w:eastAsia="仿宋" w:cs="仿宋"/>
          <w:b/>
          <w:bCs/>
          <w:spacing w:val="0"/>
          <w:sz w:val="28"/>
          <w:szCs w:val="28"/>
          <w:lang w:val="zh-CN" w:eastAsia="zh-CN"/>
        </w:rPr>
        <w:t>及付款安排</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（1）工程技术标准和要求</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1.建筑法规：维修必须符合当地的建筑法规，包括建筑结构、消防安全、电气安全等方面的规定。</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2.环保要求：维修材料应符合环保要求，尽量选择无甲醛、无污染的材料，减少对室内空气质量的影响。</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3.施工工艺：维修施工应按照相关的工艺要求进行，包括墙面处理、地面铺装、水电安装等方面的工艺。</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4.安全规范：维修过程中应注意施工安全，避免发生意外事故，如悬挂物品要牢固固定，电线要正确接地等。</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5.功能布局：维修设计应合理布局，满足办公的功能需求，布局要合理。</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6.电气规范：电气安装应符合相关的电气规范，如线路走向要合理、插座开关要安装在合适的位置等。</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7.防水防潮：维修过程中应注意防水防潮，特别是食堂要采取防水措施，避免漏水和潮湿问题。</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8.照明通风：维修设计应考虑照明和通风的问题，保证室内光线充足，空气流通。</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9.维修质量：维修施工应保证质量，如墙面平整、地面平整、门窗安装牢固等。</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（2）付款安排</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付款单位分两次向合同签署单位付款，每次付款前合同签署单位须向付款单位提供合法有效的增值税普通发票。</w:t>
      </w:r>
    </w:p>
    <w:p>
      <w:pPr>
        <w:pStyle w:val="3"/>
        <w:pageBreakBefore w:val="0"/>
        <w:numPr>
          <w:ilvl w:val="0"/>
          <w:numId w:val="2"/>
        </w:numPr>
        <w:kinsoku/>
        <w:wordWrap/>
        <w:overflowPunct/>
        <w:topLinePunct w:val="0"/>
        <w:autoSpaceDE/>
        <w:autoSpaceDN/>
        <w:bidi w:val="0"/>
        <w:adjustRightInd/>
        <w:snapToGrid/>
        <w:spacing w:before="0" w:beforeLines="0" w:after="0" w:afterLines="0" w:line="400" w:lineRule="exact"/>
        <w:ind w:left="0" w:leftChars="0"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供应商资质要求</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1.在中华人民共和国境内注册，能够提供本次服务的法人、其他组织或自然人（包括但不限于公司、非公司企业法人、合伙企业、个人独资企业、个体工商户），需提供有效的营业执照或执业许可证明复印件；</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 xml:space="preserve">2.具有良好的商业信誉和健全的财务会计制度； </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3.具有履行合同所必需的设备和专业技术能力；</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4.有依法缴纳税收和社会保障资金的良好记录；</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5.参加此项采购活动最近三年没有出现违法违规或失信行为，没有骗取中标和严重违约的行为；</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6.单位负责人为同一人或存在控股、管理关系的不同单位，不得参加同一采购项目；</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default"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7.未被列入公司供应商黑名单或已不在禁入期内。</w:t>
      </w:r>
    </w:p>
    <w:p>
      <w:pPr>
        <w:pageBreakBefore w:val="0"/>
        <w:widowControl/>
        <w:kinsoku/>
        <w:wordWrap/>
        <w:overflowPunct/>
        <w:topLinePunct w:val="0"/>
        <w:autoSpaceDE/>
        <w:autoSpaceDN/>
        <w:bidi w:val="0"/>
        <w:adjustRightInd/>
        <w:snapToGrid/>
        <w:spacing w:line="400" w:lineRule="exact"/>
        <w:ind w:left="0" w:firstLine="640"/>
        <w:jc w:val="left"/>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8.本项目不接受联合体。</w:t>
      </w:r>
    </w:p>
    <w:p>
      <w:pPr>
        <w:pStyle w:val="3"/>
        <w:pageBreakBefore w:val="0"/>
        <w:kinsoku/>
        <w:wordWrap/>
        <w:overflowPunct/>
        <w:topLinePunct w:val="0"/>
        <w:autoSpaceDE/>
        <w:autoSpaceDN/>
        <w:bidi w:val="0"/>
        <w:adjustRightInd/>
        <w:snapToGrid/>
        <w:spacing w:before="0" w:beforeLines="0" w:after="0" w:afterLines="0" w:line="400" w:lineRule="exact"/>
        <w:ind w:left="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四、供应商报名方式</w:t>
      </w:r>
    </w:p>
    <w:p>
      <w:pPr>
        <w:keepNext w:val="0"/>
        <w:keepLines w:val="0"/>
        <w:pageBreakBefore w:val="0"/>
        <w:widowControl/>
        <w:kinsoku/>
        <w:wordWrap/>
        <w:overflowPunct/>
        <w:topLinePunct w:val="0"/>
        <w:autoSpaceDE/>
        <w:autoSpaceDN/>
        <w:bidi w:val="0"/>
        <w:adjustRightInd/>
        <w:snapToGrid/>
        <w:spacing w:line="400" w:lineRule="exact"/>
        <w:ind w:left="0" w:firstLine="560" w:firstLineChars="200"/>
        <w:jc w:val="left"/>
        <w:textAlignment w:val="auto"/>
        <w:rPr>
          <w:rFonts w:hint="default"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（一）报名资料：凡有意向参加该采购项目的供应商，需提供满足资质要求的相应证明资料。</w:t>
      </w:r>
      <w:r>
        <w:rPr>
          <w:rFonts w:hint="eastAsia" w:ascii="仿宋" w:hAnsi="仿宋" w:eastAsia="仿宋" w:cs="仿宋"/>
          <w:spacing w:val="0"/>
          <w:sz w:val="28"/>
          <w:szCs w:val="28"/>
          <w:lang w:val="en-US" w:eastAsia="zh-CN"/>
        </w:rPr>
        <w:br w:type="textWrapping"/>
      </w:r>
      <w:r>
        <w:rPr>
          <w:rFonts w:hint="eastAsia" w:ascii="仿宋" w:hAnsi="仿宋" w:eastAsia="仿宋" w:cs="仿宋"/>
          <w:spacing w:val="0"/>
          <w:sz w:val="28"/>
          <w:szCs w:val="28"/>
          <w:lang w:val="en-US" w:eastAsia="zh-CN"/>
        </w:rPr>
        <w:t xml:space="preserve">    （二）报名方式：拟报名参加的供应商，登录“人保e采”外网（https://ec.picc.com）申请注册入库，审核通过后进行项目报名，具体注册入库流程可在</w:t>
      </w:r>
      <w:r>
        <w:rPr>
          <w:rFonts w:ascii="仿宋" w:hAnsi="仿宋" w:eastAsia="仿宋" w:cs="仿宋"/>
          <w:i w:val="0"/>
          <w:iCs w:val="0"/>
          <w:caps w:val="0"/>
          <w:color w:val="000000"/>
          <w:spacing w:val="0"/>
          <w:sz w:val="28"/>
          <w:szCs w:val="28"/>
          <w:shd w:val="clear" w:fill="FFFFFF"/>
        </w:rPr>
        <w:t>“</w:t>
      </w:r>
      <w:r>
        <w:rPr>
          <w:rFonts w:hint="eastAsia" w:ascii="仿宋" w:hAnsi="仿宋" w:eastAsia="仿宋" w:cs="仿宋"/>
          <w:spacing w:val="0"/>
          <w:sz w:val="28"/>
          <w:szCs w:val="28"/>
          <w:lang w:val="en-US" w:eastAsia="zh-CN"/>
        </w:rPr>
        <w:t>人保e采”外网门户查阅《人保e采管理系统供应商入库操作指南》。采购方审核通过后，将通过供应商预留邮箱发送采购文件。</w:t>
      </w:r>
    </w:p>
    <w:p>
      <w:pPr>
        <w:pStyle w:val="3"/>
        <w:pageBreakBefore w:val="0"/>
        <w:kinsoku/>
        <w:wordWrap/>
        <w:overflowPunct/>
        <w:topLinePunct w:val="0"/>
        <w:autoSpaceDE/>
        <w:autoSpaceDN/>
        <w:bidi w:val="0"/>
        <w:adjustRightInd/>
        <w:snapToGrid/>
        <w:spacing w:before="0" w:beforeLines="0" w:after="0" w:afterLines="0" w:line="400" w:lineRule="exact"/>
        <w:ind w:left="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五、采购人员信息</w:t>
      </w:r>
    </w:p>
    <w:p>
      <w:pPr>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b w:val="0"/>
          <w:spacing w:val="0"/>
          <w:kern w:val="2"/>
          <w:sz w:val="28"/>
          <w:szCs w:val="28"/>
          <w:lang w:val="en-US" w:eastAsia="zh-CN" w:bidi="ar-SA"/>
        </w:rPr>
      </w:pPr>
      <w:r>
        <w:rPr>
          <w:rFonts w:hint="eastAsia" w:ascii="仿宋" w:hAnsi="仿宋" w:eastAsia="仿宋" w:cs="仿宋"/>
          <w:b w:val="0"/>
          <w:spacing w:val="0"/>
          <w:kern w:val="2"/>
          <w:sz w:val="28"/>
          <w:szCs w:val="28"/>
          <w:lang w:val="en-US" w:eastAsia="zh-CN" w:bidi="ar-SA"/>
        </w:rPr>
        <w:t>采购人：中国人民财产保险股份有限公司阿克苏地区分公司阿拉尔支公司</w:t>
      </w:r>
    </w:p>
    <w:p>
      <w:pPr>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b w:val="0"/>
          <w:spacing w:val="0"/>
          <w:kern w:val="2"/>
          <w:sz w:val="28"/>
          <w:szCs w:val="28"/>
          <w:lang w:val="en-US" w:eastAsia="zh-CN" w:bidi="ar-SA"/>
        </w:rPr>
      </w:pPr>
      <w:r>
        <w:rPr>
          <w:rFonts w:hint="eastAsia" w:ascii="仿宋" w:hAnsi="仿宋" w:eastAsia="仿宋" w:cs="仿宋"/>
          <w:b w:val="0"/>
          <w:spacing w:val="0"/>
          <w:kern w:val="2"/>
          <w:sz w:val="28"/>
          <w:szCs w:val="28"/>
          <w:lang w:val="en-US" w:eastAsia="zh-CN" w:bidi="ar-SA"/>
        </w:rPr>
        <w:t>地址：新疆阿拉尔市阿拉尔大街815号中国人民财产保险股份有限公司阿拉尔支公司</w:t>
      </w:r>
    </w:p>
    <w:p>
      <w:pPr>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b w:val="0"/>
          <w:spacing w:val="0"/>
          <w:kern w:val="2"/>
          <w:sz w:val="28"/>
          <w:szCs w:val="28"/>
          <w:lang w:val="en-US" w:eastAsia="zh-CN" w:bidi="ar-SA"/>
        </w:rPr>
      </w:pPr>
      <w:r>
        <w:rPr>
          <w:rFonts w:hint="eastAsia" w:ascii="仿宋" w:hAnsi="仿宋" w:eastAsia="仿宋" w:cs="仿宋"/>
          <w:b w:val="0"/>
          <w:spacing w:val="0"/>
          <w:kern w:val="2"/>
          <w:sz w:val="28"/>
          <w:szCs w:val="28"/>
          <w:lang w:val="en-US" w:eastAsia="zh-CN" w:bidi="ar-SA"/>
        </w:rPr>
        <w:t>项目报名联系人：李金红</w:t>
      </w:r>
    </w:p>
    <w:p>
      <w:pPr>
        <w:pageBreakBefore w:val="0"/>
        <w:kinsoku/>
        <w:wordWrap/>
        <w:overflowPunct/>
        <w:topLinePunct w:val="0"/>
        <w:autoSpaceDE/>
        <w:autoSpaceDN/>
        <w:bidi w:val="0"/>
        <w:adjustRightInd/>
        <w:snapToGrid/>
        <w:spacing w:line="400" w:lineRule="exact"/>
        <w:textAlignment w:val="auto"/>
        <w:rPr>
          <w:rFonts w:hint="default" w:ascii="仿宋" w:hAnsi="仿宋" w:eastAsia="仿宋" w:cs="仿宋"/>
          <w:b w:val="0"/>
          <w:spacing w:val="0"/>
          <w:kern w:val="2"/>
          <w:sz w:val="28"/>
          <w:szCs w:val="28"/>
          <w:lang w:val="en-US" w:eastAsia="zh-CN" w:bidi="ar-SA"/>
        </w:rPr>
      </w:pPr>
      <w:r>
        <w:rPr>
          <w:rFonts w:hint="eastAsia" w:ascii="仿宋" w:hAnsi="仿宋" w:eastAsia="仿宋" w:cs="仿宋"/>
          <w:b w:val="0"/>
          <w:spacing w:val="0"/>
          <w:kern w:val="2"/>
          <w:sz w:val="28"/>
          <w:szCs w:val="28"/>
          <w:lang w:val="en-US" w:eastAsia="zh-CN" w:bidi="ar-SA"/>
        </w:rPr>
        <w:t>电话：18419031303</w:t>
      </w:r>
    </w:p>
    <w:p>
      <w:pPr>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b w:val="0"/>
          <w:spacing w:val="0"/>
          <w:kern w:val="2"/>
          <w:sz w:val="28"/>
          <w:szCs w:val="28"/>
          <w:lang w:val="en-US" w:eastAsia="zh-CN" w:bidi="ar-SA"/>
        </w:rPr>
      </w:pPr>
      <w:r>
        <w:rPr>
          <w:rFonts w:hint="eastAsia" w:ascii="仿宋" w:hAnsi="仿宋" w:eastAsia="仿宋" w:cs="仿宋"/>
          <w:b w:val="0"/>
          <w:spacing w:val="0"/>
          <w:kern w:val="2"/>
          <w:sz w:val="28"/>
          <w:szCs w:val="28"/>
          <w:lang w:val="en-US" w:eastAsia="zh-CN" w:bidi="ar-SA"/>
        </w:rPr>
        <w:t>特此公告</w:t>
      </w:r>
    </w:p>
    <w:p>
      <w:pPr>
        <w:pageBreakBefore w:val="0"/>
        <w:kinsoku/>
        <w:wordWrap/>
        <w:overflowPunct/>
        <w:topLinePunct w:val="0"/>
        <w:autoSpaceDE/>
        <w:autoSpaceDN/>
        <w:bidi w:val="0"/>
        <w:adjustRightInd/>
        <w:snapToGrid/>
        <w:spacing w:line="400" w:lineRule="exact"/>
        <w:textAlignment w:val="auto"/>
        <w:rPr>
          <w:rFonts w:hint="eastAsia"/>
          <w:lang w:val="en-US" w:eastAsia="zh-CN"/>
        </w:rPr>
      </w:pPr>
    </w:p>
    <w:p>
      <w:pPr>
        <w:pageBreakBefore w:val="0"/>
        <w:kinsoku/>
        <w:wordWrap/>
        <w:overflowPunct/>
        <w:topLinePunct w:val="0"/>
        <w:autoSpaceDE/>
        <w:autoSpaceDN/>
        <w:bidi w:val="0"/>
        <w:adjustRightInd/>
        <w:snapToGrid/>
        <w:spacing w:line="400" w:lineRule="exact"/>
        <w:textAlignment w:val="auto"/>
        <w:rPr>
          <w:rFonts w:hint="eastAsia"/>
          <w:lang w:val="en-US" w:eastAsia="zh-CN"/>
        </w:rPr>
      </w:pPr>
    </w:p>
    <w:p>
      <w:pPr>
        <w:pageBreakBefore w:val="0"/>
        <w:kinsoku/>
        <w:wordWrap/>
        <w:overflowPunct/>
        <w:topLinePunct w:val="0"/>
        <w:autoSpaceDE/>
        <w:autoSpaceDN/>
        <w:bidi w:val="0"/>
        <w:adjustRightInd/>
        <w:snapToGrid/>
        <w:spacing w:line="400" w:lineRule="exact"/>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400" w:lineRule="exact"/>
        <w:ind w:left="0" w:leftChars="0" w:firstLine="2100" w:firstLineChars="750"/>
        <w:jc w:val="center"/>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中国人民财产保险股份有限公司阿克苏地区分公司</w:t>
      </w:r>
    </w:p>
    <w:p>
      <w:pPr>
        <w:keepNext w:val="0"/>
        <w:keepLines w:val="0"/>
        <w:pageBreakBefore w:val="0"/>
        <w:widowControl/>
        <w:kinsoku/>
        <w:wordWrap/>
        <w:overflowPunct/>
        <w:topLinePunct w:val="0"/>
        <w:autoSpaceDE/>
        <w:autoSpaceDN/>
        <w:bidi w:val="0"/>
        <w:adjustRightInd/>
        <w:snapToGrid/>
        <w:spacing w:line="400" w:lineRule="exact"/>
        <w:ind w:left="0" w:leftChars="0" w:firstLine="2100" w:firstLineChars="750"/>
        <w:jc w:val="center"/>
        <w:textAlignment w:val="auto"/>
        <w:rPr>
          <w:rFonts w:hint="eastAsia"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阿拉尔支公司</w:t>
      </w:r>
    </w:p>
    <w:p>
      <w:pPr>
        <w:keepNext w:val="0"/>
        <w:keepLines w:val="0"/>
        <w:pageBreakBefore w:val="0"/>
        <w:widowControl/>
        <w:kinsoku/>
        <w:wordWrap/>
        <w:overflowPunct/>
        <w:topLinePunct w:val="0"/>
        <w:autoSpaceDE/>
        <w:autoSpaceDN/>
        <w:bidi w:val="0"/>
        <w:adjustRightInd/>
        <w:snapToGrid/>
        <w:spacing w:line="400" w:lineRule="exact"/>
        <w:ind w:left="0" w:leftChars="0" w:firstLine="2100" w:firstLineChars="750"/>
        <w:jc w:val="center"/>
        <w:textAlignment w:val="auto"/>
        <w:rPr>
          <w:rFonts w:hint="default" w:ascii="仿宋" w:hAnsi="仿宋" w:eastAsia="仿宋" w:cs="仿宋"/>
          <w:spacing w:val="0"/>
          <w:sz w:val="28"/>
          <w:szCs w:val="28"/>
          <w:lang w:val="en-US" w:eastAsia="zh-CN"/>
        </w:rPr>
      </w:pPr>
      <w:r>
        <w:rPr>
          <w:rFonts w:hint="eastAsia" w:ascii="仿宋" w:hAnsi="仿宋" w:eastAsia="仿宋" w:cs="仿宋"/>
          <w:spacing w:val="0"/>
          <w:sz w:val="28"/>
          <w:szCs w:val="28"/>
          <w:lang w:val="en-US" w:eastAsia="zh-CN"/>
        </w:rPr>
        <w:t>2025年11月3日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A81A2E"/>
    <w:multiLevelType w:val="singleLevel"/>
    <w:tmpl w:val="20A81A2E"/>
    <w:lvl w:ilvl="0" w:tentative="0">
      <w:start w:val="1"/>
      <w:numFmt w:val="chineseCounting"/>
      <w:suff w:val="nothing"/>
      <w:lvlText w:val="%1、"/>
      <w:lvlJc w:val="left"/>
      <w:rPr>
        <w:rFonts w:hint="eastAsia"/>
      </w:rPr>
    </w:lvl>
  </w:abstractNum>
  <w:abstractNum w:abstractNumId="1">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D2A2A"/>
    <w:rsid w:val="0E08174E"/>
    <w:rsid w:val="1C2778D7"/>
    <w:rsid w:val="1CD54AA9"/>
    <w:rsid w:val="1D067983"/>
    <w:rsid w:val="2CC92D44"/>
    <w:rsid w:val="50E146CF"/>
    <w:rsid w:val="50F3426D"/>
    <w:rsid w:val="6AC93BE4"/>
    <w:rsid w:val="6B2A354C"/>
    <w:rsid w:val="6D926EE7"/>
    <w:rsid w:val="72150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2025-06-30T03:42:00Z</dcterms:created>
  <dc:creator>Admin</dc:creator>
  <cp:lastModifiedBy>李金红</cp:lastModifiedBy>
  <dcterms:modified xsi:type="dcterms:W3CDTF">2025-11-03T11:33:02Z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