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spacing w:before="0" w:after="0" w:line="480" w:lineRule="auto"/>
        <w:rPr>
          <w:rFonts w:hint="eastAsia" w:ascii="仿宋" w:hAnsi="仿宋" w:cs="仿宋"/>
        </w:rPr>
      </w:pPr>
      <w:bookmarkStart w:id="0" w:name="_Toc17197"/>
      <w:bookmarkStart w:id="41" w:name="_GoBack"/>
      <w:r>
        <w:rPr>
          <w:rFonts w:hint="eastAsia" w:ascii="仿宋" w:hAnsi="仿宋" w:cs="仿宋"/>
        </w:rPr>
        <w:t>第一章 招标公告</w:t>
      </w:r>
      <w:bookmarkEnd w:id="0"/>
    </w:p>
    <w:p>
      <w:pPr>
        <w:pStyle w:val="4"/>
        <w:rPr>
          <w:rFonts w:hint="eastAsia" w:ascii="仿宋" w:hAnsi="仿宋" w:cs="仿宋"/>
          <w:szCs w:val="24"/>
        </w:rPr>
      </w:pPr>
      <w:bookmarkStart w:id="1" w:name="_Toc10131"/>
      <w:bookmarkStart w:id="2" w:name="_Toc25200"/>
      <w:bookmarkStart w:id="3" w:name="_Toc24950"/>
      <w:bookmarkStart w:id="4" w:name="_Toc23271"/>
      <w:bookmarkStart w:id="5" w:name="_Toc30593"/>
      <w:bookmarkStart w:id="6" w:name="_Toc109124223"/>
      <w:bookmarkStart w:id="7" w:name="_Toc65682913"/>
      <w:r>
        <w:rPr>
          <w:rFonts w:hint="eastAsia" w:ascii="仿宋" w:hAnsi="仿宋" w:cs="仿宋"/>
          <w:szCs w:val="24"/>
        </w:rPr>
        <w:t>一、</w:t>
      </w:r>
      <w:bookmarkEnd w:id="1"/>
      <w:bookmarkEnd w:id="2"/>
      <w:bookmarkEnd w:id="3"/>
      <w:r>
        <w:rPr>
          <w:rFonts w:hint="eastAsia" w:ascii="仿宋" w:hAnsi="仿宋" w:cs="仿宋"/>
          <w:szCs w:val="24"/>
        </w:rPr>
        <w:t>招标条件</w:t>
      </w:r>
      <w:bookmarkEnd w:id="4"/>
      <w:bookmarkEnd w:id="5"/>
      <w:bookmarkEnd w:id="6"/>
      <w:bookmarkEnd w:id="7"/>
    </w:p>
    <w:p>
      <w:pPr>
        <w:wordWrap w:val="0"/>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本招标项目</w:t>
      </w:r>
      <w:r>
        <w:rPr>
          <w:rFonts w:hint="eastAsia" w:ascii="仿宋" w:hAnsi="仿宋" w:eastAsia="仿宋" w:cs="仿宋"/>
          <w:sz w:val="24"/>
          <w:szCs w:val="24"/>
          <w:u w:val="single"/>
          <w:lang w:eastAsia="zh-CN"/>
        </w:rPr>
        <w:t>2026年-2027年度车险第三者物损维修服务企业招标项目</w:t>
      </w:r>
      <w:r>
        <w:rPr>
          <w:rFonts w:hint="eastAsia" w:ascii="仿宋" w:hAnsi="仿宋" w:eastAsia="仿宋" w:cs="仿宋"/>
          <w:sz w:val="24"/>
          <w:szCs w:val="24"/>
        </w:rPr>
        <w:t>（</w:t>
      </w:r>
      <w:r>
        <w:rPr>
          <w:rFonts w:hint="eastAsia" w:ascii="仿宋" w:hAnsi="仿宋" w:eastAsia="仿宋" w:cs="仿宋"/>
          <w:sz w:val="24"/>
        </w:rPr>
        <w:t>招标代理编号</w:t>
      </w:r>
      <w:r>
        <w:rPr>
          <w:rFonts w:hint="eastAsia" w:ascii="仿宋" w:hAnsi="仿宋" w:eastAsia="仿宋" w:cs="仿宋"/>
          <w:sz w:val="24"/>
          <w:szCs w:val="24"/>
        </w:rPr>
        <w:t>： </w:t>
      </w:r>
      <w:r>
        <w:rPr>
          <w:rFonts w:hint="eastAsia" w:ascii="仿宋" w:hAnsi="仿宋" w:eastAsia="仿宋" w:cs="仿宋"/>
          <w:sz w:val="24"/>
          <w:szCs w:val="24"/>
          <w:lang w:eastAsia="zh-CN"/>
        </w:rPr>
        <w:t>07-10-04A-2025-D-F-E27329</w:t>
      </w:r>
      <w:r>
        <w:rPr>
          <w:rFonts w:hint="eastAsia" w:ascii="仿宋" w:hAnsi="仿宋" w:eastAsia="仿宋" w:cs="仿宋"/>
          <w:sz w:val="24"/>
          <w:szCs w:val="24"/>
        </w:rPr>
        <w:t>）</w:t>
      </w:r>
      <w:bookmarkStart w:id="8" w:name="_Hlk69906010"/>
      <w:r>
        <w:rPr>
          <w:rFonts w:hint="eastAsia" w:ascii="仿宋" w:hAnsi="仿宋" w:eastAsia="仿宋" w:cs="仿宋"/>
          <w:sz w:val="24"/>
          <w:szCs w:val="24"/>
        </w:rPr>
        <w:t>由</w:t>
      </w:r>
      <w:r>
        <w:rPr>
          <w:rFonts w:hint="eastAsia" w:ascii="仿宋" w:hAnsi="仿宋" w:eastAsia="仿宋" w:cs="仿宋"/>
          <w:sz w:val="24"/>
          <w:szCs w:val="24"/>
          <w:u w:val="single"/>
        </w:rPr>
        <w:t>中国人民财产保险股份有限公司海南省分公司</w:t>
      </w:r>
      <w:r>
        <w:rPr>
          <w:rFonts w:hint="eastAsia" w:ascii="仿宋" w:hAnsi="仿宋" w:eastAsia="仿宋" w:cs="仿宋"/>
          <w:sz w:val="24"/>
          <w:szCs w:val="24"/>
        </w:rPr>
        <w:t>（以下简称“招标人”）批准并落实资金，组织本项目的相关招标工作，采购合同由</w:t>
      </w:r>
      <w:r>
        <w:rPr>
          <w:rFonts w:hint="eastAsia" w:ascii="仿宋" w:hAnsi="仿宋" w:eastAsia="仿宋" w:cs="仿宋"/>
          <w:sz w:val="24"/>
          <w:szCs w:val="24"/>
          <w:u w:val="single"/>
        </w:rPr>
        <w:t>中国人民财产保险股份有限公司海南省分公司</w:t>
      </w:r>
      <w:r>
        <w:rPr>
          <w:rFonts w:hint="eastAsia" w:ascii="仿宋" w:hAnsi="仿宋" w:eastAsia="仿宋" w:cs="仿宋"/>
          <w:sz w:val="24"/>
          <w:szCs w:val="24"/>
        </w:rPr>
        <w:t>（以下简称“人保财险海南分公司”）根据中标结果与中标人签署。</w:t>
      </w:r>
      <w:bookmarkEnd w:id="8"/>
      <w:r>
        <w:rPr>
          <w:rFonts w:hint="eastAsia" w:ascii="仿宋" w:hAnsi="仿宋" w:eastAsia="仿宋" w:cs="仿宋"/>
          <w:sz w:val="24"/>
          <w:szCs w:val="24"/>
        </w:rPr>
        <w:t>现委托</w:t>
      </w:r>
      <w:r>
        <w:rPr>
          <w:rFonts w:hint="eastAsia" w:ascii="仿宋" w:hAnsi="仿宋" w:eastAsia="仿宋" w:cs="仿宋"/>
          <w:sz w:val="24"/>
          <w:szCs w:val="24"/>
          <w:u w:val="single"/>
        </w:rPr>
        <w:t xml:space="preserve"> 公诚管理咨询有限公司 </w:t>
      </w:r>
      <w:r>
        <w:rPr>
          <w:rFonts w:hint="eastAsia" w:ascii="仿宋" w:hAnsi="仿宋" w:eastAsia="仿宋" w:cs="仿宋"/>
          <w:sz w:val="24"/>
          <w:szCs w:val="24"/>
        </w:rPr>
        <w:t>（以下简称“招标代理机构”）进行公开招标，有意向且具有提供标的物能力的潜在投标人（以下简称“投标人”）可前来投标。</w:t>
      </w:r>
    </w:p>
    <w:p>
      <w:pPr>
        <w:pStyle w:val="4"/>
        <w:rPr>
          <w:rFonts w:hint="eastAsia" w:ascii="仿宋" w:hAnsi="仿宋" w:cs="仿宋"/>
          <w:szCs w:val="24"/>
        </w:rPr>
      </w:pPr>
      <w:bookmarkStart w:id="9" w:name="_Toc109124224"/>
      <w:bookmarkStart w:id="10" w:name="_Toc15393"/>
      <w:bookmarkStart w:id="11" w:name="_Toc65682914"/>
      <w:bookmarkStart w:id="12" w:name="_Toc18478"/>
      <w:r>
        <w:rPr>
          <w:rFonts w:hint="eastAsia" w:ascii="仿宋" w:hAnsi="仿宋" w:cs="仿宋"/>
          <w:szCs w:val="24"/>
        </w:rPr>
        <w:t>二、项目概况与招标范围</w:t>
      </w:r>
      <w:bookmarkEnd w:id="9"/>
      <w:bookmarkEnd w:id="10"/>
      <w:bookmarkEnd w:id="11"/>
      <w:bookmarkEnd w:id="12"/>
    </w:p>
    <w:p>
      <w:pPr>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2.1项目名称：</w:t>
      </w:r>
      <w:r>
        <w:rPr>
          <w:rFonts w:hint="eastAsia" w:ascii="仿宋" w:hAnsi="仿宋" w:eastAsia="仿宋" w:cs="仿宋"/>
          <w:sz w:val="24"/>
          <w:szCs w:val="24"/>
          <w:u w:val="single"/>
          <w:lang w:eastAsia="zh-CN"/>
        </w:rPr>
        <w:t>2026年-2027年度车险第三者物损维修服务企业招标项目</w:t>
      </w:r>
      <w:r>
        <w:rPr>
          <w:rFonts w:hint="eastAsia" w:ascii="仿宋" w:hAnsi="仿宋" w:eastAsia="仿宋" w:cs="仿宋"/>
          <w:sz w:val="24"/>
          <w:szCs w:val="24"/>
        </w:rPr>
        <w:t>。</w:t>
      </w:r>
    </w:p>
    <w:p>
      <w:pPr>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2.2实施背景：</w:t>
      </w:r>
      <w:r>
        <w:rPr>
          <w:rFonts w:hint="eastAsia" w:ascii="仿宋" w:hAnsi="仿宋" w:eastAsia="仿宋" w:cs="仿宋"/>
          <w:sz w:val="24"/>
          <w:szCs w:val="24"/>
          <w:lang w:eastAsia="zh-CN"/>
        </w:rPr>
        <w:t>第三者物损涉及房屋建筑、电力通信、市政工程、园林绿化等，具有范围广，种类多，专业强等特点，一直是定损工作的难点和痛点，定损不准确，不合理，极易导致超赔和投诉，甚至诉讼</w:t>
      </w:r>
      <w:r>
        <w:rPr>
          <w:rFonts w:hint="eastAsia" w:ascii="仿宋" w:hAnsi="仿宋" w:eastAsia="仿宋" w:cs="仿宋"/>
          <w:sz w:val="24"/>
          <w:szCs w:val="24"/>
        </w:rPr>
        <w:t>。</w:t>
      </w:r>
    </w:p>
    <w:p>
      <w:pPr>
        <w:spacing w:line="360" w:lineRule="auto"/>
        <w:ind w:firstLine="480" w:firstLineChars="200"/>
        <w:textAlignment w:val="baseline"/>
        <w:rPr>
          <w:rFonts w:hint="eastAsia" w:ascii="仿宋" w:hAnsi="仿宋" w:eastAsia="仿宋" w:cs="仿宋"/>
          <w:sz w:val="24"/>
          <w:szCs w:val="24"/>
        </w:rPr>
      </w:pPr>
      <w:bookmarkStart w:id="13" w:name="_Hlk69456893"/>
      <w:r>
        <w:rPr>
          <w:rFonts w:hint="eastAsia" w:ascii="仿宋" w:hAnsi="仿宋" w:eastAsia="仿宋" w:cs="仿宋"/>
          <w:sz w:val="24"/>
          <w:szCs w:val="24"/>
        </w:rPr>
        <w:t>2.3项目性质：服务。</w:t>
      </w:r>
    </w:p>
    <w:p>
      <w:pPr>
        <w:spacing w:line="360" w:lineRule="auto"/>
        <w:ind w:firstLine="480" w:firstLineChars="200"/>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rPr>
        <w:t>2.4标包划分：本次遴选设为</w:t>
      </w:r>
      <w:r>
        <w:rPr>
          <w:rFonts w:hint="eastAsia" w:ascii="仿宋" w:hAnsi="仿宋" w:eastAsia="仿宋" w:cs="仿宋"/>
          <w:sz w:val="24"/>
          <w:szCs w:val="24"/>
          <w:highlight w:val="none"/>
          <w:lang w:val="en-US" w:eastAsia="zh-CN"/>
        </w:rPr>
        <w:t>四</w:t>
      </w:r>
      <w:r>
        <w:rPr>
          <w:rFonts w:hint="eastAsia" w:ascii="仿宋" w:hAnsi="仿宋" w:eastAsia="仿宋" w:cs="仿宋"/>
          <w:sz w:val="24"/>
          <w:szCs w:val="24"/>
          <w:highlight w:val="none"/>
        </w:rPr>
        <w:t>个标包，分为包1一般物损类服务商6家、包2摩托车维修服务商</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家、包3电动自行车维修服务商</w:t>
      </w:r>
      <w:r>
        <w:rPr>
          <w:rFonts w:hint="eastAsia" w:ascii="仿宋" w:hAnsi="仿宋" w:eastAsia="仿宋" w:cs="仿宋"/>
          <w:sz w:val="24"/>
          <w:szCs w:val="24"/>
          <w:highlight w:val="none"/>
          <w:lang w:val="en-US" w:eastAsia="zh-CN"/>
        </w:rPr>
        <w:t>2家、包4</w:t>
      </w:r>
      <w:r>
        <w:rPr>
          <w:rFonts w:hint="eastAsia" w:ascii="仿宋" w:hAnsi="仿宋" w:eastAsia="仿宋" w:cs="仿宋"/>
          <w:sz w:val="24"/>
          <w:szCs w:val="24"/>
          <w:highlight w:val="none"/>
        </w:rPr>
        <w:t>机动车车衣维修服务商</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家。</w:t>
      </w:r>
    </w:p>
    <w:p>
      <w:pPr>
        <w:spacing w:line="360" w:lineRule="auto"/>
        <w:ind w:firstLine="480" w:firstLineChars="200"/>
        <w:textAlignment w:val="baseline"/>
        <w:rPr>
          <w:rFonts w:hint="eastAsia" w:ascii="仿宋" w:hAnsi="仿宋" w:eastAsia="仿宋" w:cs="仿宋"/>
          <w:sz w:val="24"/>
          <w:szCs w:val="24"/>
          <w:highlight w:val="none"/>
        </w:rPr>
      </w:pPr>
      <w:bookmarkStart w:id="14" w:name="_Toc65682915"/>
      <w:bookmarkStart w:id="15" w:name="_Toc17299"/>
      <w:r>
        <w:rPr>
          <w:rFonts w:hint="eastAsia" w:ascii="仿宋" w:hAnsi="仿宋" w:eastAsia="仿宋" w:cs="仿宋"/>
          <w:sz w:val="24"/>
          <w:szCs w:val="24"/>
          <w:highlight w:val="none"/>
        </w:rPr>
        <w:t>2.5服务期限：自合同签订之日起一年,期满后可根据合作情况续签,最多不超过3年。</w:t>
      </w:r>
    </w:p>
    <w:p>
      <w:pPr>
        <w:spacing w:line="360" w:lineRule="auto"/>
        <w:ind w:firstLine="480" w:firstLineChars="200"/>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rPr>
        <w:t>2.6服务地点：海南省（招标人指定地点）</w:t>
      </w:r>
    </w:p>
    <w:p>
      <w:pPr>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2.7项目预算:</w:t>
      </w:r>
      <w:r>
        <w:rPr>
          <w:rFonts w:hint="eastAsia" w:ascii="仿宋" w:hAnsi="仿宋" w:eastAsia="仿宋" w:cs="仿宋"/>
          <w:sz w:val="24"/>
          <w:szCs w:val="24"/>
          <w:lang w:val="en-US" w:eastAsia="zh-CN"/>
        </w:rPr>
        <w:t>900</w:t>
      </w:r>
      <w:r>
        <w:rPr>
          <w:rFonts w:hint="eastAsia" w:ascii="仿宋" w:hAnsi="仿宋" w:eastAsia="仿宋" w:cs="仿宋"/>
          <w:sz w:val="24"/>
          <w:szCs w:val="24"/>
        </w:rPr>
        <w:t>万元/年，物损赔付为理赔直接赔款。</w:t>
      </w:r>
      <w:r>
        <w:rPr>
          <w:rFonts w:hint="eastAsia" w:ascii="仿宋" w:hAnsi="仿宋" w:eastAsia="仿宋" w:cs="仿宋"/>
          <w:sz w:val="24"/>
          <w:szCs w:val="24"/>
          <w:lang w:val="en-US" w:eastAsia="zh-CN"/>
        </w:rPr>
        <w:t>其中包1占比75%，占比包2包3占比20%，包4占比5%，</w:t>
      </w:r>
      <w:r>
        <w:rPr>
          <w:rFonts w:hint="eastAsia" w:ascii="仿宋" w:hAnsi="仿宋" w:eastAsia="仿宋" w:cs="仿宋"/>
          <w:sz w:val="24"/>
          <w:szCs w:val="24"/>
        </w:rPr>
        <w:t>本项目所涉及费用为直接理赔款，理赔个案在理赔计算书中列支赔付，本项目预算为预估量，实际任务量以招标人实际需求为准，招标人对中标人后期任务量不作出任何承诺，若招标人后期下达的任务量不足采购数额，或入库中标人未竞争中选获得项目任务，中标人不得追究招标人的违约责任，所有本项目的应答及服务成本风险由中标人自行承担。</w:t>
      </w:r>
      <w:bookmarkEnd w:id="13"/>
    </w:p>
    <w:p>
      <w:pPr>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2.8本项目</w:t>
      </w:r>
      <w:r>
        <w:rPr>
          <w:rFonts w:hint="eastAsia" w:ascii="仿宋" w:hAnsi="仿宋" w:eastAsia="仿宋" w:cs="仿宋"/>
          <w:sz w:val="24"/>
          <w:szCs w:val="24"/>
          <w:lang w:val="en-US" w:eastAsia="zh-CN"/>
        </w:rPr>
        <w:t>包1包4不</w:t>
      </w:r>
      <w:r>
        <w:rPr>
          <w:rFonts w:hint="eastAsia" w:ascii="仿宋" w:hAnsi="仿宋" w:eastAsia="仿宋" w:cs="仿宋"/>
          <w:sz w:val="24"/>
          <w:szCs w:val="24"/>
        </w:rPr>
        <w:t>兼投</w:t>
      </w:r>
      <w:r>
        <w:rPr>
          <w:rFonts w:hint="eastAsia" w:ascii="仿宋" w:hAnsi="仿宋" w:eastAsia="仿宋" w:cs="仿宋"/>
          <w:sz w:val="24"/>
          <w:szCs w:val="24"/>
          <w:lang w:val="en-US" w:eastAsia="zh-CN"/>
        </w:rPr>
        <w:t>不</w:t>
      </w:r>
      <w:r>
        <w:rPr>
          <w:rFonts w:hint="eastAsia" w:ascii="仿宋" w:hAnsi="仿宋" w:eastAsia="仿宋" w:cs="仿宋"/>
          <w:sz w:val="24"/>
          <w:szCs w:val="24"/>
        </w:rPr>
        <w:t>兼中</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包2包3可兼</w:t>
      </w:r>
      <w:r>
        <w:rPr>
          <w:rFonts w:hint="eastAsia" w:ascii="仿宋" w:hAnsi="仿宋" w:eastAsia="仿宋" w:cs="仿宋"/>
          <w:sz w:val="24"/>
          <w:szCs w:val="24"/>
          <w:highlight w:val="none"/>
          <w:lang w:val="en-US" w:eastAsia="zh-CN"/>
        </w:rPr>
        <w:t>投</w:t>
      </w:r>
      <w:r>
        <w:rPr>
          <w:rFonts w:hint="eastAsia" w:ascii="仿宋" w:hAnsi="仿宋" w:eastAsia="仿宋" w:cs="仿宋"/>
          <w:sz w:val="24"/>
          <w:szCs w:val="24"/>
          <w:lang w:val="en-US" w:eastAsia="zh-CN"/>
        </w:rPr>
        <w:t>兼中</w:t>
      </w:r>
      <w:r>
        <w:rPr>
          <w:rFonts w:hint="eastAsia" w:ascii="仿宋" w:hAnsi="仿宋" w:eastAsia="仿宋" w:cs="仿宋"/>
          <w:sz w:val="24"/>
          <w:szCs w:val="24"/>
        </w:rPr>
        <w:t>。除服务项目外，各包在招标内容中所涉及的其他要求均为一致性要求，不做区分。</w:t>
      </w:r>
    </w:p>
    <w:p>
      <w:pPr>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2.9本项目不得转包、分包，若中标机构出现转保、分包情形，分公司将依法根据与</w:t>
      </w:r>
      <w:r>
        <w:rPr>
          <w:rFonts w:hint="eastAsia" w:ascii="仿宋" w:hAnsi="仿宋" w:eastAsia="仿宋" w:cs="仿宋"/>
          <w:sz w:val="24"/>
          <w:szCs w:val="24"/>
          <w:highlight w:val="none"/>
          <w:lang w:val="en-US" w:eastAsia="zh-CN"/>
        </w:rPr>
        <w:t>物损维修服务商</w:t>
      </w:r>
      <w:r>
        <w:rPr>
          <w:rFonts w:hint="eastAsia" w:ascii="仿宋" w:hAnsi="仿宋" w:eastAsia="仿宋" w:cs="仿宋"/>
          <w:sz w:val="24"/>
          <w:szCs w:val="24"/>
        </w:rPr>
        <w:t>签订的协议进行协议终止。</w:t>
      </w:r>
    </w:p>
    <w:p>
      <w:pPr>
        <w:pStyle w:val="4"/>
        <w:rPr>
          <w:rFonts w:hint="eastAsia" w:ascii="仿宋" w:hAnsi="仿宋" w:cs="仿宋"/>
          <w:szCs w:val="24"/>
        </w:rPr>
      </w:pPr>
      <w:bookmarkStart w:id="16" w:name="_Toc109124225"/>
      <w:bookmarkStart w:id="17" w:name="_Toc22744"/>
      <w:r>
        <w:rPr>
          <w:rFonts w:hint="eastAsia" w:ascii="仿宋" w:hAnsi="仿宋" w:cs="仿宋"/>
          <w:szCs w:val="24"/>
        </w:rPr>
        <w:t>三、投标人资格要求</w:t>
      </w:r>
      <w:bookmarkEnd w:id="14"/>
      <w:bookmarkEnd w:id="15"/>
      <w:bookmarkEnd w:id="16"/>
      <w:bookmarkEnd w:id="17"/>
    </w:p>
    <w:p>
      <w:pPr>
        <w:pStyle w:val="2"/>
        <w:ind w:firstLine="480" w:firstLineChars="200"/>
        <w:rPr>
          <w:rFonts w:hint="eastAsia" w:ascii="仿宋" w:hAnsi="仿宋" w:eastAsia="仿宋" w:cs="仿宋"/>
          <w:szCs w:val="21"/>
        </w:rPr>
      </w:pPr>
      <w:r>
        <w:rPr>
          <w:rFonts w:hint="eastAsia" w:ascii="仿宋" w:hAnsi="仿宋" w:eastAsia="仿宋" w:cs="仿宋"/>
          <w:sz w:val="24"/>
          <w:szCs w:val="24"/>
        </w:rPr>
        <w:t>3.1</w:t>
      </w:r>
      <w:r>
        <w:rPr>
          <w:rFonts w:hint="eastAsia" w:ascii="仿宋" w:hAnsi="仿宋" w:eastAsia="仿宋" w:cs="仿宋"/>
          <w:b/>
          <w:bCs/>
          <w:sz w:val="24"/>
          <w:szCs w:val="24"/>
        </w:rPr>
        <w:t>在中华人民共和国境内依法登记的法人或其他组织，</w:t>
      </w:r>
      <w:r>
        <w:rPr>
          <w:rFonts w:hint="eastAsia" w:ascii="仿宋" w:hAnsi="仿宋" w:eastAsia="仿宋" w:cs="仿宋"/>
          <w:b/>
          <w:sz w:val="24"/>
          <w:szCs w:val="24"/>
        </w:rPr>
        <w:t>具有独立承担民事责任的能力</w:t>
      </w:r>
      <w:r>
        <w:rPr>
          <w:rFonts w:hint="eastAsia" w:ascii="仿宋" w:hAnsi="仿宋" w:eastAsia="仿宋" w:cs="仿宋"/>
          <w:sz w:val="24"/>
          <w:szCs w:val="24"/>
        </w:rPr>
        <w:t>，投标人如为企业法人，须提供企业法人营业执照</w:t>
      </w:r>
      <w:r>
        <w:rPr>
          <w:rFonts w:hint="eastAsia" w:ascii="仿宋" w:hAnsi="仿宋" w:eastAsia="仿宋" w:cs="仿宋"/>
          <w:sz w:val="24"/>
        </w:rPr>
        <w:t>（复印件）</w:t>
      </w:r>
      <w:r>
        <w:rPr>
          <w:rFonts w:hint="eastAsia" w:ascii="仿宋" w:hAnsi="仿宋" w:eastAsia="仿宋" w:cs="仿宋"/>
          <w:sz w:val="24"/>
          <w:szCs w:val="24"/>
        </w:rPr>
        <w:t>；投标人如为事业单位或其他组织，须提供事业单位法人证书或登记证或组织机构代码证或其他有效证明文件（复印件）。</w:t>
      </w:r>
    </w:p>
    <w:p>
      <w:pPr>
        <w:spacing w:line="360" w:lineRule="auto"/>
        <w:ind w:firstLine="480" w:firstLineChars="200"/>
        <w:textAlignment w:val="baseline"/>
        <w:rPr>
          <w:rFonts w:hint="eastAsia" w:ascii="仿宋" w:hAnsi="仿宋" w:eastAsia="仿宋" w:cs="仿宋"/>
        </w:rPr>
      </w:pPr>
      <w:r>
        <w:rPr>
          <w:rFonts w:hint="eastAsia" w:ascii="仿宋" w:hAnsi="仿宋" w:eastAsia="仿宋" w:cs="仿宋"/>
          <w:sz w:val="24"/>
          <w:szCs w:val="24"/>
        </w:rPr>
        <w:t>3.2</w:t>
      </w:r>
      <w:r>
        <w:rPr>
          <w:rFonts w:hint="eastAsia" w:ascii="仿宋" w:hAnsi="仿宋" w:eastAsia="仿宋" w:cs="仿宋"/>
          <w:b/>
          <w:sz w:val="24"/>
          <w:szCs w:val="24"/>
        </w:rPr>
        <w:t>具有良好的商业信誉和健全的财务会计制度</w:t>
      </w:r>
      <w:r>
        <w:rPr>
          <w:rFonts w:hint="eastAsia" w:ascii="仿宋" w:hAnsi="仿宋" w:eastAsia="仿宋" w:cs="仿宋"/>
          <w:sz w:val="24"/>
          <w:szCs w:val="24"/>
        </w:rPr>
        <w:t>，需提供2024年度经会计师事务所或审计机构审计的财务审计报告及财务报表（至少包含会计师事务所或审计机构签章页、资产负债表、现金流量表、损益表/利润表）或2024年6月至今任意一个季度的财务报表（需相关负责人签字）或开标日前6个月内开具的银行资信证明。</w:t>
      </w:r>
    </w:p>
    <w:p>
      <w:pPr>
        <w:spacing w:line="360" w:lineRule="auto"/>
        <w:ind w:firstLine="480" w:firstLineChars="200"/>
        <w:textAlignment w:val="baseline"/>
        <w:rPr>
          <w:rFonts w:hint="eastAsia" w:ascii="仿宋" w:hAnsi="仿宋" w:eastAsia="仿宋" w:cs="仿宋"/>
        </w:rPr>
      </w:pPr>
      <w:r>
        <w:rPr>
          <w:rFonts w:hint="eastAsia" w:ascii="仿宋" w:hAnsi="仿宋" w:eastAsia="仿宋" w:cs="仿宋"/>
          <w:sz w:val="24"/>
          <w:szCs w:val="24"/>
        </w:rPr>
        <w:t xml:space="preserve">3.3 </w:t>
      </w:r>
      <w:r>
        <w:rPr>
          <w:rFonts w:hint="eastAsia" w:ascii="仿宋" w:hAnsi="仿宋" w:eastAsia="仿宋" w:cs="仿宋"/>
          <w:b/>
          <w:sz w:val="24"/>
          <w:szCs w:val="24"/>
        </w:rPr>
        <w:t>具有履行合同所必需的设备和专业技术能力</w:t>
      </w:r>
      <w:r>
        <w:rPr>
          <w:rFonts w:hint="eastAsia" w:ascii="仿宋" w:hAnsi="仿宋" w:eastAsia="仿宋" w:cs="仿宋"/>
          <w:sz w:val="24"/>
          <w:szCs w:val="24"/>
        </w:rPr>
        <w:t>（提供承诺书）</w:t>
      </w:r>
      <w:r>
        <w:rPr>
          <w:rFonts w:hint="eastAsia" w:ascii="仿宋" w:hAnsi="仿宋" w:eastAsia="仿宋" w:cs="仿宋"/>
          <w:sz w:val="24"/>
        </w:rPr>
        <w:t>。</w:t>
      </w:r>
    </w:p>
    <w:p>
      <w:pPr>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 xml:space="preserve">3.4 </w:t>
      </w:r>
      <w:r>
        <w:rPr>
          <w:rFonts w:hint="eastAsia" w:ascii="仿宋" w:hAnsi="仿宋" w:eastAsia="仿宋" w:cs="仿宋"/>
          <w:b/>
          <w:sz w:val="24"/>
          <w:szCs w:val="24"/>
        </w:rPr>
        <w:t>具有依法缴纳税收的良好记录</w:t>
      </w:r>
      <w:r>
        <w:rPr>
          <w:rFonts w:hint="eastAsia" w:ascii="仿宋" w:hAnsi="仿宋" w:eastAsia="仿宋" w:cs="仿宋"/>
          <w:sz w:val="24"/>
          <w:szCs w:val="24"/>
        </w:rPr>
        <w:t>，需提供2024年6月至今任意连续3个月的企业纳税证明复印件加盖公章，以银行付款凭证或完税证明为准，如依法免税的，提供相应证明材料。</w:t>
      </w:r>
    </w:p>
    <w:p>
      <w:pPr>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3.5</w:t>
      </w:r>
      <w:r>
        <w:rPr>
          <w:rFonts w:hint="eastAsia" w:ascii="仿宋" w:hAnsi="仿宋" w:eastAsia="仿宋" w:cs="仿宋"/>
          <w:b/>
          <w:bCs/>
          <w:sz w:val="24"/>
          <w:szCs w:val="24"/>
        </w:rPr>
        <w:t>具有依法缴纳社会保障资金的良好记录，</w:t>
      </w:r>
      <w:r>
        <w:rPr>
          <w:rFonts w:hint="eastAsia" w:ascii="仿宋" w:hAnsi="仿宋" w:eastAsia="仿宋" w:cs="仿宋"/>
          <w:sz w:val="24"/>
          <w:szCs w:val="24"/>
        </w:rPr>
        <w:t>需提供2024年6月至今任意连续3个月的社会保障缴费记录复印件加盖公章，以银行付款凭证或完税证明为准。</w:t>
      </w:r>
    </w:p>
    <w:p>
      <w:pPr>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3.6</w:t>
      </w:r>
      <w:r>
        <w:rPr>
          <w:rFonts w:hint="eastAsia" w:ascii="仿宋" w:hAnsi="仿宋" w:eastAsia="仿宋" w:cs="仿宋"/>
          <w:b/>
          <w:sz w:val="24"/>
          <w:szCs w:val="24"/>
        </w:rPr>
        <w:t>投标人应经营状况良好，且近三年内（2022年1月1日至今）无违法违规记录。</w:t>
      </w:r>
      <w:r>
        <w:rPr>
          <w:rFonts w:hint="eastAsia" w:ascii="仿宋" w:hAnsi="仿宋" w:eastAsia="仿宋" w:cs="仿宋"/>
          <w:sz w:val="24"/>
          <w:szCs w:val="24"/>
        </w:rPr>
        <w:t>违法违规记录是指被“信用中国”列入失信被执行人、重大税收违法失信主体、政府采购严重违法失信行为记录名单。投标人需提供自招标公告发布之日至投标截止之日期间对以上三项内容的查询截图。</w:t>
      </w:r>
    </w:p>
    <w:p>
      <w:pPr>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信用中国查询网址：https://www.creditchina.gov.cn/xinyongfuwu/?navPage=5</w:t>
      </w:r>
    </w:p>
    <w:p>
      <w:pPr>
        <w:spacing w:line="360" w:lineRule="auto"/>
        <w:ind w:firstLine="480" w:firstLineChars="200"/>
        <w:textAlignment w:val="baseline"/>
        <w:rPr>
          <w:rFonts w:hint="eastAsia" w:ascii="仿宋" w:hAnsi="仿宋" w:eastAsia="仿宋" w:cs="仿宋"/>
          <w:b/>
          <w:sz w:val="24"/>
          <w:szCs w:val="24"/>
        </w:rPr>
      </w:pPr>
      <w:r>
        <w:rPr>
          <w:rFonts w:hint="eastAsia" w:ascii="仿宋" w:hAnsi="仿宋" w:eastAsia="仿宋" w:cs="仿宋"/>
          <w:sz w:val="24"/>
          <w:szCs w:val="24"/>
        </w:rPr>
        <w:t xml:space="preserve">3.7 </w:t>
      </w:r>
      <w:r>
        <w:rPr>
          <w:rFonts w:hint="eastAsia" w:ascii="仿宋" w:hAnsi="仿宋" w:eastAsia="仿宋" w:cs="仿宋"/>
          <w:b/>
          <w:sz w:val="24"/>
          <w:szCs w:val="24"/>
        </w:rPr>
        <w:t>严禁列入招标人及其所隶属的中国人民保险各级机构的供应商黑名单且在禁入期内的供应商参与采购活动。</w:t>
      </w:r>
    </w:p>
    <w:p>
      <w:pPr>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3.8单位负责人为同一人或存在控股、管理关系的不同单位，不得参加同一标段/标包投标或未划分标段/标包的同一招标项目投标，需填写《投标人控股及管理关系情况申报表》。</w:t>
      </w:r>
    </w:p>
    <w:p>
      <w:pPr>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3.9 本项目不接受联合体投标</w:t>
      </w:r>
    </w:p>
    <w:p>
      <w:pPr>
        <w:pStyle w:val="8"/>
        <w:rPr>
          <w:rFonts w:hint="default" w:eastAsia="仿宋"/>
          <w:lang w:val="en-US" w:eastAsia="zh-CN"/>
        </w:rPr>
      </w:pPr>
      <w:r>
        <w:rPr>
          <w:rFonts w:hint="eastAsia" w:ascii="仿宋" w:hAnsi="仿宋" w:eastAsia="仿宋" w:cs="仿宋"/>
          <w:sz w:val="24"/>
          <w:szCs w:val="24"/>
          <w:lang w:val="en-US" w:eastAsia="zh-CN"/>
        </w:rPr>
        <w:t xml:space="preserve">    3.10 本次招标各标包服务业务需覆盖海南全省各市县（除三沙市）（提供承诺函加盖公章）</w:t>
      </w:r>
    </w:p>
    <w:p>
      <w:pPr>
        <w:pStyle w:val="4"/>
        <w:rPr>
          <w:rFonts w:hint="eastAsia" w:ascii="仿宋" w:hAnsi="仿宋" w:cs="仿宋"/>
        </w:rPr>
      </w:pPr>
      <w:bookmarkStart w:id="18" w:name="_Toc21224"/>
      <w:bookmarkStart w:id="19" w:name="_Toc109124226"/>
      <w:bookmarkStart w:id="20" w:name="_Toc65682916"/>
      <w:bookmarkStart w:id="21" w:name="_Toc21658"/>
      <w:r>
        <w:rPr>
          <w:rFonts w:hint="eastAsia" w:ascii="仿宋" w:hAnsi="仿宋" w:cs="仿宋"/>
        </w:rPr>
        <w:t>四、资格审查方法</w:t>
      </w:r>
      <w:bookmarkEnd w:id="18"/>
      <w:bookmarkEnd w:id="19"/>
      <w:bookmarkEnd w:id="20"/>
      <w:bookmarkEnd w:id="21"/>
    </w:p>
    <w:p>
      <w:pPr>
        <w:spacing w:line="360" w:lineRule="auto"/>
        <w:ind w:firstLine="480" w:firstLineChars="200"/>
        <w:textAlignment w:val="baseline"/>
        <w:rPr>
          <w:rFonts w:hint="eastAsia" w:ascii="仿宋" w:hAnsi="仿宋" w:eastAsia="仿宋" w:cs="仿宋"/>
          <w:sz w:val="24"/>
          <w:szCs w:val="24"/>
        </w:rPr>
      </w:pPr>
      <w:bookmarkStart w:id="22" w:name="_Toc65682917"/>
      <w:bookmarkStart w:id="23" w:name="_Toc32460"/>
      <w:r>
        <w:rPr>
          <w:rFonts w:hint="eastAsia" w:ascii="仿宋" w:hAnsi="仿宋" w:eastAsia="仿宋" w:cs="仿宋"/>
          <w:sz w:val="24"/>
          <w:szCs w:val="24"/>
        </w:rPr>
        <w:t>本项目将进行资格后审，资格审查方法为合格制，资格审查标准和内容见招标文件第三章“评标办法”。未通过资格后审的投标人，投标将被否决。</w:t>
      </w:r>
    </w:p>
    <w:p>
      <w:pPr>
        <w:pStyle w:val="4"/>
        <w:rPr>
          <w:rFonts w:hint="eastAsia" w:ascii="仿宋" w:hAnsi="仿宋" w:cs="仿宋"/>
          <w:szCs w:val="24"/>
        </w:rPr>
      </w:pPr>
      <w:bookmarkStart w:id="24" w:name="_Toc30356"/>
      <w:bookmarkStart w:id="25" w:name="_Toc109124227"/>
      <w:r>
        <w:rPr>
          <w:rFonts w:hint="eastAsia" w:ascii="仿宋" w:hAnsi="仿宋" w:cs="仿宋"/>
          <w:szCs w:val="24"/>
        </w:rPr>
        <w:t>五、招标文件的获取</w:t>
      </w:r>
      <w:bookmarkEnd w:id="22"/>
      <w:bookmarkEnd w:id="23"/>
      <w:bookmarkEnd w:id="24"/>
      <w:bookmarkEnd w:id="25"/>
    </w:p>
    <w:p>
      <w:pPr>
        <w:pStyle w:val="5"/>
        <w:spacing w:line="360" w:lineRule="auto"/>
        <w:ind w:firstLine="480" w:firstLineChars="200"/>
        <w:rPr>
          <w:rFonts w:hint="eastAsia" w:ascii="仿宋" w:hAnsi="仿宋" w:eastAsia="仿宋" w:cs="仿宋"/>
          <w:sz w:val="24"/>
        </w:rPr>
      </w:pPr>
      <w:r>
        <w:rPr>
          <w:rFonts w:hint="eastAsia" w:ascii="仿宋" w:hAnsi="仿宋" w:eastAsia="仿宋" w:cs="仿宋"/>
          <w:sz w:val="24"/>
        </w:rPr>
        <w:t>5.1请于2025年1</w:t>
      </w:r>
      <w:r>
        <w:rPr>
          <w:rFonts w:hint="eastAsia" w:ascii="仿宋" w:hAnsi="仿宋" w:eastAsia="仿宋" w:cs="仿宋"/>
          <w:sz w:val="24"/>
          <w:lang w:val="en-US" w:eastAsia="zh-CN"/>
        </w:rPr>
        <w:t>1</w:t>
      </w:r>
      <w:r>
        <w:rPr>
          <w:rFonts w:hint="eastAsia" w:ascii="仿宋" w:hAnsi="仿宋" w:eastAsia="仿宋" w:cs="仿宋"/>
          <w:sz w:val="24"/>
        </w:rPr>
        <w:t>月</w:t>
      </w:r>
      <w:r>
        <w:rPr>
          <w:rFonts w:hint="eastAsia" w:ascii="仿宋" w:hAnsi="仿宋" w:eastAsia="仿宋" w:cs="仿宋"/>
          <w:sz w:val="24"/>
          <w:lang w:val="en-US" w:eastAsia="zh-CN"/>
        </w:rPr>
        <w:t>19</w:t>
      </w:r>
      <w:r>
        <w:rPr>
          <w:rFonts w:hint="eastAsia" w:ascii="仿宋" w:hAnsi="仿宋" w:eastAsia="仿宋" w:cs="仿宋"/>
          <w:sz w:val="24"/>
        </w:rPr>
        <w:t>日至2025年1</w:t>
      </w:r>
      <w:r>
        <w:rPr>
          <w:rFonts w:hint="eastAsia" w:ascii="仿宋" w:hAnsi="仿宋" w:eastAsia="仿宋" w:cs="仿宋"/>
          <w:sz w:val="24"/>
          <w:lang w:val="en-US" w:eastAsia="zh-CN"/>
        </w:rPr>
        <w:t>1</w:t>
      </w:r>
      <w:r>
        <w:rPr>
          <w:rFonts w:hint="eastAsia" w:ascii="仿宋" w:hAnsi="仿宋" w:eastAsia="仿宋" w:cs="仿宋"/>
          <w:sz w:val="24"/>
        </w:rPr>
        <w:t>月</w:t>
      </w:r>
      <w:r>
        <w:rPr>
          <w:rFonts w:hint="eastAsia" w:ascii="仿宋" w:hAnsi="仿宋" w:eastAsia="仿宋" w:cs="仿宋"/>
          <w:sz w:val="24"/>
          <w:lang w:val="en-US" w:eastAsia="zh-CN"/>
        </w:rPr>
        <w:t>26</w:t>
      </w:r>
      <w:r>
        <w:rPr>
          <w:rFonts w:hint="eastAsia" w:ascii="仿宋" w:hAnsi="仿宋" w:eastAsia="仿宋" w:cs="仿宋"/>
          <w:sz w:val="24"/>
        </w:rPr>
        <w:t>日，每日上午9：00时至12：00时，下午14：30时至17：00时（北京时间，工作日）购买招标文件。</w:t>
      </w:r>
    </w:p>
    <w:p>
      <w:pPr>
        <w:pStyle w:val="5"/>
        <w:spacing w:line="360" w:lineRule="auto"/>
        <w:ind w:firstLine="480" w:firstLineChars="200"/>
        <w:rPr>
          <w:rFonts w:hint="eastAsia" w:ascii="仿宋" w:hAnsi="仿宋" w:eastAsia="仿宋" w:cs="仿宋"/>
          <w:sz w:val="24"/>
        </w:rPr>
      </w:pPr>
      <w:r>
        <w:rPr>
          <w:rFonts w:hint="eastAsia" w:ascii="仿宋" w:hAnsi="仿宋" w:eastAsia="仿宋" w:cs="仿宋"/>
          <w:sz w:val="24"/>
        </w:rPr>
        <w:t>5.2招标文件售价300元/标包，售后不退。未在报名截止时间前按要求购买及支付招标文件费用的潜在供应商不具备参与本项目报价的资格。</w:t>
      </w:r>
    </w:p>
    <w:p>
      <w:pPr>
        <w:pStyle w:val="5"/>
        <w:spacing w:line="360" w:lineRule="auto"/>
        <w:ind w:firstLine="480" w:firstLineChars="200"/>
        <w:rPr>
          <w:rFonts w:hint="eastAsia" w:ascii="仿宋" w:hAnsi="仿宋" w:eastAsia="仿宋" w:cs="仿宋"/>
          <w:sz w:val="24"/>
        </w:rPr>
      </w:pPr>
      <w:r>
        <w:rPr>
          <w:rFonts w:hint="eastAsia" w:ascii="仿宋" w:hAnsi="仿宋" w:eastAsia="仿宋" w:cs="仿宋"/>
          <w:sz w:val="24"/>
        </w:rPr>
        <w:t>5.3供应商通过“诚E招电子采购交易平台”（网址：https://www.chengezhao.com/）完成本项目的报名、招标文件的购买与下载。</w:t>
      </w:r>
    </w:p>
    <w:p>
      <w:pPr>
        <w:pStyle w:val="5"/>
        <w:spacing w:line="360" w:lineRule="auto"/>
        <w:ind w:firstLine="480" w:firstLineChars="200"/>
        <w:rPr>
          <w:rFonts w:hint="eastAsia" w:ascii="仿宋" w:hAnsi="仿宋" w:eastAsia="仿宋" w:cs="仿宋"/>
          <w:sz w:val="24"/>
        </w:rPr>
      </w:pPr>
      <w:r>
        <w:rPr>
          <w:rFonts w:hint="eastAsia" w:ascii="仿宋" w:hAnsi="仿宋" w:eastAsia="仿宋" w:cs="仿宋"/>
          <w:sz w:val="24"/>
        </w:rPr>
        <w:t>(1)注册：</w:t>
      </w:r>
    </w:p>
    <w:p>
      <w:pPr>
        <w:pStyle w:val="5"/>
        <w:spacing w:line="360" w:lineRule="auto"/>
        <w:ind w:firstLine="480" w:firstLineChars="200"/>
        <w:rPr>
          <w:rFonts w:hint="eastAsia" w:ascii="仿宋" w:hAnsi="仿宋" w:eastAsia="仿宋" w:cs="仿宋"/>
          <w:sz w:val="24"/>
        </w:rPr>
      </w:pPr>
      <w:r>
        <w:rPr>
          <w:rFonts w:hint="eastAsia" w:ascii="仿宋" w:hAnsi="仿宋" w:eastAsia="仿宋" w:cs="仿宋"/>
          <w:sz w:val="24"/>
        </w:rPr>
        <w:t>输入网址，点击【新用户注册】（注册步骤详见门户网站：【供应商操作指南】-【注册指引】）。登录账号后点击【常用文件】，下载《供应商&amp;供应商操作手册》。</w:t>
      </w:r>
    </w:p>
    <w:p>
      <w:pPr>
        <w:pStyle w:val="5"/>
        <w:spacing w:line="360" w:lineRule="auto"/>
        <w:ind w:firstLine="480" w:firstLineChars="200"/>
        <w:rPr>
          <w:rFonts w:hint="eastAsia" w:ascii="仿宋" w:hAnsi="仿宋" w:eastAsia="仿宋" w:cs="仿宋"/>
          <w:sz w:val="24"/>
        </w:rPr>
      </w:pPr>
      <w:r>
        <w:rPr>
          <w:rFonts w:hint="eastAsia" w:ascii="仿宋" w:hAnsi="仿宋" w:eastAsia="仿宋" w:cs="仿宋"/>
          <w:sz w:val="24"/>
        </w:rPr>
        <w:t>(2)报名、购买与下载：</w:t>
      </w:r>
    </w:p>
    <w:p>
      <w:pPr>
        <w:pStyle w:val="5"/>
        <w:spacing w:line="360" w:lineRule="auto"/>
        <w:ind w:firstLine="480" w:firstLineChars="200"/>
        <w:rPr>
          <w:rFonts w:hint="eastAsia" w:ascii="仿宋" w:hAnsi="仿宋" w:eastAsia="仿宋" w:cs="仿宋"/>
          <w:sz w:val="24"/>
        </w:rPr>
      </w:pPr>
      <w:r>
        <w:rPr>
          <w:rFonts w:hint="eastAsia" w:ascii="仿宋" w:hAnsi="仿宋" w:eastAsia="仿宋" w:cs="仿宋"/>
          <w:sz w:val="24"/>
        </w:rPr>
        <w:t>注册成功后登录平台，点击【商机发现】，报名需上传下列材料：</w:t>
      </w:r>
    </w:p>
    <w:p>
      <w:pPr>
        <w:pStyle w:val="5"/>
        <w:spacing w:line="360" w:lineRule="auto"/>
        <w:ind w:firstLine="480" w:firstLineChars="200"/>
        <w:rPr>
          <w:rFonts w:hint="eastAsia" w:ascii="仿宋" w:hAnsi="仿宋" w:eastAsia="仿宋" w:cs="仿宋"/>
          <w:sz w:val="24"/>
        </w:rPr>
      </w:pPr>
      <w:r>
        <w:rPr>
          <w:rFonts w:hint="eastAsia" w:ascii="仿宋" w:hAnsi="仿宋" w:eastAsia="仿宋" w:cs="仿宋"/>
          <w:sz w:val="24"/>
        </w:rPr>
        <w:t>A、营业执照副本复印件（需加盖公章）。</w:t>
      </w:r>
    </w:p>
    <w:p>
      <w:pPr>
        <w:pStyle w:val="5"/>
        <w:spacing w:line="360" w:lineRule="auto"/>
        <w:ind w:firstLine="480" w:firstLineChars="200"/>
        <w:rPr>
          <w:rFonts w:hint="eastAsia" w:ascii="仿宋" w:hAnsi="仿宋" w:eastAsia="仿宋" w:cs="仿宋"/>
          <w:sz w:val="24"/>
        </w:rPr>
      </w:pPr>
      <w:r>
        <w:rPr>
          <w:rFonts w:hint="eastAsia" w:ascii="仿宋" w:hAnsi="仿宋" w:eastAsia="仿宋" w:cs="仿宋"/>
          <w:sz w:val="24"/>
        </w:rPr>
        <w:t>B、法定代表人证明或其授权委托书复印件，内附经办人身份证正反面（需加盖公章）。</w:t>
      </w:r>
    </w:p>
    <w:p>
      <w:pPr>
        <w:pStyle w:val="5"/>
        <w:spacing w:line="360" w:lineRule="auto"/>
        <w:ind w:firstLine="480" w:firstLineChars="200"/>
        <w:rPr>
          <w:rFonts w:hint="eastAsia" w:ascii="仿宋" w:hAnsi="仿宋" w:eastAsia="仿宋" w:cs="仿宋"/>
          <w:sz w:val="24"/>
        </w:rPr>
      </w:pPr>
      <w:r>
        <w:rPr>
          <w:rFonts w:hint="eastAsia" w:ascii="仿宋" w:hAnsi="仿宋" w:eastAsia="仿宋" w:cs="仿宋"/>
          <w:sz w:val="24"/>
        </w:rPr>
        <w:t>上传成功后，请等待报名审核。（采购代理机构审核人：王秋妹/邓家福，联系电话：13519892441/18708926210）</w:t>
      </w:r>
    </w:p>
    <w:p>
      <w:pPr>
        <w:pStyle w:val="5"/>
        <w:spacing w:line="360" w:lineRule="auto"/>
        <w:ind w:firstLine="480" w:firstLineChars="200"/>
        <w:rPr>
          <w:rFonts w:hint="eastAsia" w:ascii="仿宋" w:hAnsi="仿宋" w:eastAsia="仿宋" w:cs="仿宋"/>
          <w:sz w:val="24"/>
        </w:rPr>
      </w:pPr>
      <w:r>
        <w:rPr>
          <w:rFonts w:hint="eastAsia" w:ascii="仿宋" w:hAnsi="仿宋" w:eastAsia="仿宋" w:cs="仿宋"/>
          <w:sz w:val="24"/>
        </w:rPr>
        <w:t>(3)支付方式（二选一）：①网上支付（微信/支付宝扫码）、②电汇（须上传汇款凭证）。支付完成后请及时下载招标文件。</w:t>
      </w:r>
    </w:p>
    <w:p>
      <w:pPr>
        <w:pStyle w:val="5"/>
        <w:spacing w:line="360" w:lineRule="auto"/>
        <w:ind w:firstLine="480" w:firstLineChars="200"/>
        <w:rPr>
          <w:rFonts w:hint="eastAsia" w:ascii="仿宋" w:hAnsi="仿宋" w:eastAsia="仿宋" w:cs="仿宋"/>
          <w:sz w:val="24"/>
        </w:rPr>
      </w:pPr>
      <w:r>
        <w:rPr>
          <w:rFonts w:hint="eastAsia" w:ascii="仿宋" w:hAnsi="仿宋" w:eastAsia="仿宋" w:cs="仿宋"/>
          <w:sz w:val="24"/>
        </w:rPr>
        <w:t>(4)疑问反馈：具体操作若有疑问，可致电客服热线：020-89524219。服务时间8:30-17:30（工作日）。</w:t>
      </w:r>
    </w:p>
    <w:p>
      <w:pPr>
        <w:pStyle w:val="5"/>
        <w:spacing w:line="360" w:lineRule="auto"/>
        <w:ind w:firstLine="480" w:firstLineChars="200"/>
        <w:rPr>
          <w:rFonts w:hint="eastAsia" w:ascii="仿宋" w:hAnsi="仿宋" w:eastAsia="仿宋" w:cs="仿宋"/>
          <w:sz w:val="24"/>
        </w:rPr>
      </w:pPr>
      <w:r>
        <w:rPr>
          <w:rFonts w:hint="eastAsia" w:ascii="仿宋" w:hAnsi="仿宋" w:eastAsia="仿宋" w:cs="仿宋"/>
          <w:sz w:val="24"/>
        </w:rPr>
        <w:t>(5) 免责声明：</w:t>
      </w:r>
    </w:p>
    <w:p>
      <w:pPr>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rPr>
        <w:t>“诚E招电子采购交易平台”（网址：https://www.chengezhao.com/）为本项目报名的唯一网络渠道，其他平台的报名及支付均属无效）</w:t>
      </w:r>
      <w:r>
        <w:rPr>
          <w:rFonts w:hint="eastAsia" w:ascii="仿宋" w:hAnsi="仿宋" w:eastAsia="仿宋" w:cs="仿宋"/>
          <w:sz w:val="24"/>
          <w:szCs w:val="24"/>
        </w:rPr>
        <w:t>。</w:t>
      </w:r>
    </w:p>
    <w:p>
      <w:pPr>
        <w:pStyle w:val="4"/>
        <w:rPr>
          <w:rFonts w:hint="eastAsia" w:ascii="仿宋" w:hAnsi="仿宋" w:cs="仿宋"/>
        </w:rPr>
      </w:pPr>
      <w:bookmarkStart w:id="26" w:name="_Toc7435"/>
      <w:bookmarkStart w:id="27" w:name="_Toc109124228"/>
      <w:bookmarkStart w:id="28" w:name="_Toc28699"/>
      <w:r>
        <w:rPr>
          <w:rFonts w:hint="eastAsia" w:ascii="仿宋" w:hAnsi="仿宋" w:cs="仿宋"/>
        </w:rPr>
        <w:t>六、投标文件的递交</w:t>
      </w:r>
      <w:bookmarkEnd w:id="26"/>
      <w:bookmarkEnd w:id="27"/>
      <w:bookmarkEnd w:id="28"/>
    </w:p>
    <w:p>
      <w:pPr>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6.1投标文件递交截止时间：</w:t>
      </w:r>
      <w:r>
        <w:rPr>
          <w:rFonts w:hint="eastAsia" w:ascii="仿宋" w:hAnsi="仿宋" w:eastAsia="仿宋" w:cs="仿宋"/>
          <w:sz w:val="24"/>
          <w:szCs w:val="24"/>
          <w:u w:val="single"/>
        </w:rPr>
        <w:t>2025年1</w:t>
      </w:r>
      <w:r>
        <w:rPr>
          <w:rFonts w:hint="eastAsia" w:ascii="仿宋" w:hAnsi="仿宋" w:eastAsia="仿宋" w:cs="仿宋"/>
          <w:sz w:val="24"/>
          <w:szCs w:val="24"/>
          <w:u w:val="single"/>
          <w:lang w:val="en-US" w:eastAsia="zh-CN"/>
        </w:rPr>
        <w:t>2</w:t>
      </w:r>
      <w:r>
        <w:rPr>
          <w:rFonts w:hint="eastAsia" w:ascii="仿宋" w:hAnsi="仿宋" w:eastAsia="仿宋" w:cs="仿宋"/>
          <w:sz w:val="24"/>
          <w:szCs w:val="24"/>
          <w:u w:val="single"/>
        </w:rPr>
        <w:t>月</w:t>
      </w:r>
      <w:r>
        <w:rPr>
          <w:rFonts w:hint="eastAsia" w:ascii="仿宋" w:hAnsi="仿宋" w:eastAsia="仿宋" w:cs="仿宋"/>
          <w:sz w:val="24"/>
          <w:szCs w:val="24"/>
          <w:u w:val="single"/>
          <w:lang w:val="en-US" w:eastAsia="zh-CN"/>
        </w:rPr>
        <w:t>11</w:t>
      </w:r>
      <w:r>
        <w:rPr>
          <w:rFonts w:hint="eastAsia" w:ascii="仿宋" w:hAnsi="仿宋" w:eastAsia="仿宋" w:cs="仿宋"/>
          <w:sz w:val="24"/>
          <w:szCs w:val="24"/>
          <w:u w:val="single"/>
        </w:rPr>
        <w:t>日09时30分00秒</w:t>
      </w:r>
      <w:r>
        <w:rPr>
          <w:rFonts w:hint="eastAsia" w:ascii="仿宋" w:hAnsi="仿宋" w:eastAsia="仿宋" w:cs="仿宋"/>
          <w:sz w:val="24"/>
          <w:szCs w:val="24"/>
        </w:rPr>
        <w:t>。</w:t>
      </w:r>
    </w:p>
    <w:p>
      <w:pPr>
        <w:spacing w:line="360" w:lineRule="auto"/>
        <w:ind w:firstLine="480" w:firstLineChars="200"/>
        <w:textAlignment w:val="baseline"/>
        <w:rPr>
          <w:rFonts w:hint="eastAsia" w:ascii="仿宋" w:hAnsi="仿宋" w:eastAsia="仿宋" w:cs="仿宋"/>
          <w:b/>
          <w:bCs/>
          <w:sz w:val="24"/>
          <w:szCs w:val="24"/>
        </w:rPr>
      </w:pPr>
      <w:r>
        <w:rPr>
          <w:rFonts w:hint="eastAsia" w:ascii="仿宋" w:hAnsi="仿宋" w:eastAsia="仿宋" w:cs="仿宋"/>
          <w:sz w:val="24"/>
          <w:szCs w:val="24"/>
        </w:rPr>
        <w:t>6.2投标文件递交地点：须现场递交至</w:t>
      </w:r>
      <w:r>
        <w:rPr>
          <w:rFonts w:hint="eastAsia" w:ascii="仿宋" w:hAnsi="仿宋" w:eastAsia="仿宋" w:cs="仿宋"/>
          <w:sz w:val="24"/>
          <w:szCs w:val="24"/>
          <w:u w:val="single"/>
        </w:rPr>
        <w:t>海口市龙华区滨海大道103号财富广场写字楼25楼（公诚管理咨询有限公司）会议室</w:t>
      </w:r>
      <w:r>
        <w:rPr>
          <w:rFonts w:hint="eastAsia" w:ascii="仿宋" w:hAnsi="仿宋" w:eastAsia="仿宋" w:cs="仿宋"/>
          <w:sz w:val="24"/>
          <w:szCs w:val="24"/>
        </w:rPr>
        <w:t>，</w:t>
      </w:r>
      <w:r>
        <w:rPr>
          <w:rFonts w:hint="eastAsia" w:ascii="仿宋" w:hAnsi="仿宋" w:eastAsia="仿宋" w:cs="仿宋"/>
          <w:b/>
          <w:bCs/>
          <w:sz w:val="24"/>
          <w:szCs w:val="24"/>
        </w:rPr>
        <w:t>逾期送达或者未送达指定地点或者未按照招标文件要求封装的纸质投标文件不予接收。</w:t>
      </w:r>
      <w:bookmarkStart w:id="29" w:name="_Toc109124229"/>
      <w:bookmarkStart w:id="30" w:name="_Toc3941"/>
    </w:p>
    <w:p>
      <w:pPr>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6.3</w:t>
      </w:r>
      <w:r>
        <w:rPr>
          <w:rFonts w:hint="eastAsia" w:ascii="仿宋" w:hAnsi="仿宋" w:eastAsia="仿宋" w:cs="仿宋"/>
          <w:b/>
          <w:bCs/>
          <w:sz w:val="24"/>
          <w:szCs w:val="24"/>
        </w:rPr>
        <w:t>本项目将于上述同一时间、地点进行开标</w:t>
      </w:r>
      <w:r>
        <w:rPr>
          <w:rFonts w:hint="eastAsia" w:ascii="仿宋" w:hAnsi="仿宋" w:eastAsia="仿宋" w:cs="仿宋"/>
          <w:sz w:val="24"/>
          <w:szCs w:val="24"/>
        </w:rPr>
        <w:t>，招标人/招标代理机构邀请投标人代表准时参加。</w:t>
      </w:r>
    </w:p>
    <w:p>
      <w:pPr>
        <w:spacing w:line="360" w:lineRule="auto"/>
        <w:ind w:firstLine="480" w:firstLineChars="200"/>
        <w:textAlignment w:val="baseline"/>
        <w:rPr>
          <w:rFonts w:hint="eastAsia" w:ascii="仿宋" w:hAnsi="仿宋" w:eastAsia="仿宋" w:cs="仿宋"/>
          <w:b/>
          <w:bCs/>
          <w:sz w:val="24"/>
          <w:szCs w:val="24"/>
        </w:rPr>
      </w:pPr>
      <w:r>
        <w:rPr>
          <w:rFonts w:hint="eastAsia" w:ascii="仿宋" w:hAnsi="仿宋" w:eastAsia="仿宋" w:cs="仿宋"/>
          <w:sz w:val="24"/>
          <w:szCs w:val="24"/>
        </w:rPr>
        <w:t>6.4</w:t>
      </w:r>
      <w:r>
        <w:rPr>
          <w:rFonts w:hint="eastAsia" w:ascii="仿宋" w:hAnsi="仿宋" w:eastAsia="仿宋" w:cs="仿宋"/>
          <w:b/>
          <w:bCs/>
          <w:sz w:val="24"/>
          <w:szCs w:val="24"/>
        </w:rPr>
        <w:t>出现以下情形之一时，招标人/招标代理机构不予接收投标文件：</w:t>
      </w:r>
    </w:p>
    <w:p>
      <w:pPr>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6.4.1  逾期送达或者未送达指定地点的；</w:t>
      </w:r>
    </w:p>
    <w:p>
      <w:pPr>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6.4.2  未按照招标文件要求密封的；</w:t>
      </w:r>
    </w:p>
    <w:p>
      <w:pPr>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6.4.3  未按照招标公告要求获取招标文件的。</w:t>
      </w:r>
    </w:p>
    <w:p>
      <w:pPr>
        <w:pStyle w:val="4"/>
        <w:rPr>
          <w:rFonts w:hint="eastAsia" w:ascii="仿宋" w:hAnsi="仿宋" w:cs="仿宋"/>
        </w:rPr>
      </w:pPr>
      <w:bookmarkStart w:id="31" w:name="_Toc18324"/>
      <w:r>
        <w:rPr>
          <w:rFonts w:hint="eastAsia" w:ascii="仿宋" w:hAnsi="仿宋" w:cs="仿宋"/>
        </w:rPr>
        <w:t>七、发布公告的媒介</w:t>
      </w:r>
      <w:bookmarkEnd w:id="29"/>
      <w:bookmarkEnd w:id="30"/>
      <w:bookmarkEnd w:id="31"/>
    </w:p>
    <w:p>
      <w:pPr>
        <w:wordWrap w:val="0"/>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本项目招标公告同时在</w:t>
      </w:r>
      <w:r>
        <w:rPr>
          <w:rFonts w:hint="eastAsia" w:ascii="仿宋" w:hAnsi="仿宋" w:eastAsia="仿宋" w:cs="仿宋"/>
          <w:sz w:val="24"/>
          <w:u w:val="single"/>
        </w:rPr>
        <w:t>“人保e采”外网门户（https://ec.picc.com/）、中国招标投标公共服务平台（http://www.cebpubservice.com/）、中国采购与招标网（http://www.chinabidding.com.cn）</w:t>
      </w:r>
      <w:r>
        <w:rPr>
          <w:rFonts w:hint="eastAsia" w:ascii="仿宋" w:hAnsi="仿宋" w:eastAsia="仿宋" w:cs="仿宋"/>
          <w:sz w:val="24"/>
          <w:szCs w:val="24"/>
        </w:rPr>
        <w:t>上发布，除上述外，招标人/招标代理机构不在其他任何网站、论坛等媒介上发布任何招标采购信息，其他任何媒介上转载的、以招标人/招标代理机构为采购主体的招标采购信息均为非法转载，均为无效。对于非法转载、篡改招标公告信息的组织或个人，招标人/招标代理机构保留追究其法律责任的权利。</w:t>
      </w:r>
    </w:p>
    <w:p>
      <w:pPr>
        <w:pStyle w:val="4"/>
        <w:rPr>
          <w:rFonts w:hint="eastAsia" w:ascii="仿宋" w:hAnsi="仿宋" w:cs="仿宋"/>
        </w:rPr>
      </w:pPr>
      <w:bookmarkStart w:id="32" w:name="_Toc15050"/>
      <w:bookmarkStart w:id="33" w:name="_Toc15776"/>
      <w:bookmarkStart w:id="34" w:name="_Toc3501"/>
      <w:bookmarkStart w:id="35" w:name="_Toc24589"/>
      <w:bookmarkStart w:id="36" w:name="_Toc20415"/>
      <w:bookmarkStart w:id="37" w:name="_Toc26408"/>
      <w:bookmarkStart w:id="38" w:name="_Toc109124230"/>
      <w:bookmarkStart w:id="39" w:name="_Toc7046"/>
      <w:r>
        <w:rPr>
          <w:rFonts w:hint="eastAsia" w:ascii="仿宋" w:hAnsi="仿宋" w:cs="仿宋"/>
        </w:rPr>
        <w:t>七、其他重要说明</w:t>
      </w:r>
      <w:bookmarkEnd w:id="32"/>
      <w:bookmarkEnd w:id="33"/>
      <w:bookmarkEnd w:id="34"/>
    </w:p>
    <w:p>
      <w:pPr>
        <w:spacing w:line="360" w:lineRule="auto"/>
        <w:ind w:firstLine="480" w:firstLineChars="200"/>
        <w:rPr>
          <w:rFonts w:hint="eastAsia" w:ascii="仿宋" w:hAnsi="仿宋" w:eastAsia="仿宋" w:cs="仿宋"/>
          <w:sz w:val="24"/>
          <w:szCs w:val="22"/>
        </w:rPr>
      </w:pPr>
      <w:r>
        <w:rPr>
          <w:rFonts w:hint="eastAsia" w:ascii="仿宋" w:hAnsi="仿宋" w:eastAsia="仿宋" w:cs="仿宋"/>
          <w:sz w:val="24"/>
          <w:szCs w:val="22"/>
        </w:rPr>
        <w:t>供应商须在公开征集期内在“人保e采”外网门户（https://ec.picc.com/）完成供应商注册登记，具体注册入库流程可在人保e采”外网门户查阅《人保e采管理系统供应商入库操作指南》，供应商需及时向采购代理机构反馈注册结果（请将在“人保e采”外网门户通过注册审批的截图发送至gczbhn@163.com）。</w:t>
      </w:r>
    </w:p>
    <w:p>
      <w:pPr>
        <w:pStyle w:val="4"/>
        <w:rPr>
          <w:rFonts w:hint="eastAsia" w:ascii="仿宋" w:hAnsi="仿宋" w:cs="仿宋"/>
        </w:rPr>
      </w:pPr>
      <w:bookmarkStart w:id="40" w:name="_Toc19398"/>
      <w:r>
        <w:rPr>
          <w:rFonts w:hint="eastAsia" w:ascii="仿宋" w:hAnsi="仿宋" w:cs="仿宋"/>
        </w:rPr>
        <w:t>八、联系方式</w:t>
      </w:r>
      <w:bookmarkEnd w:id="35"/>
      <w:bookmarkEnd w:id="36"/>
      <w:bookmarkEnd w:id="37"/>
      <w:bookmarkEnd w:id="38"/>
      <w:bookmarkEnd w:id="39"/>
      <w:bookmarkEnd w:id="40"/>
    </w:p>
    <w:p>
      <w:pPr>
        <w:spacing w:line="360" w:lineRule="auto"/>
        <w:ind w:firstLine="482" w:firstLineChars="200"/>
        <w:textAlignment w:val="baseline"/>
        <w:rPr>
          <w:rFonts w:hint="eastAsia" w:ascii="仿宋" w:hAnsi="仿宋" w:eastAsia="仿宋" w:cs="仿宋"/>
          <w:sz w:val="24"/>
          <w:szCs w:val="24"/>
        </w:rPr>
      </w:pPr>
      <w:r>
        <w:rPr>
          <w:rFonts w:hint="eastAsia" w:ascii="仿宋" w:hAnsi="仿宋" w:eastAsia="仿宋" w:cs="仿宋"/>
          <w:b/>
          <w:bCs/>
          <w:sz w:val="24"/>
          <w:szCs w:val="24"/>
        </w:rPr>
        <w:t>招标人：中国人民财产保险股份有限公司海南省分公司</w:t>
      </w:r>
    </w:p>
    <w:p>
      <w:pPr>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地址：海南省海口市龙华区国贸一横路2号人保大厦</w:t>
      </w:r>
    </w:p>
    <w:p>
      <w:pPr>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联系人：</w:t>
      </w:r>
      <w:r>
        <w:rPr>
          <w:rFonts w:hint="eastAsia" w:ascii="仿宋" w:hAnsi="仿宋" w:eastAsia="仿宋" w:cs="仿宋"/>
          <w:sz w:val="24"/>
          <w:szCs w:val="24"/>
          <w:lang w:val="en-US" w:eastAsia="zh-CN"/>
        </w:rPr>
        <w:t>李</w:t>
      </w:r>
      <w:r>
        <w:rPr>
          <w:rFonts w:hint="eastAsia" w:ascii="仿宋" w:hAnsi="仿宋" w:eastAsia="仿宋" w:cs="仿宋"/>
          <w:sz w:val="24"/>
          <w:szCs w:val="24"/>
        </w:rPr>
        <w:t>先生</w:t>
      </w:r>
    </w:p>
    <w:p>
      <w:pPr>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电  话：</w:t>
      </w:r>
      <w:r>
        <w:rPr>
          <w:rFonts w:hint="eastAsia" w:ascii="仿宋" w:hAnsi="仿宋" w:eastAsia="仿宋" w:cs="仿宋"/>
          <w:sz w:val="24"/>
        </w:rPr>
        <w:t>17786901332</w:t>
      </w:r>
    </w:p>
    <w:p>
      <w:pPr>
        <w:spacing w:line="360" w:lineRule="auto"/>
        <w:ind w:firstLine="482" w:firstLineChars="200"/>
        <w:textAlignment w:val="baseline"/>
        <w:rPr>
          <w:rFonts w:hint="eastAsia" w:ascii="仿宋" w:hAnsi="仿宋" w:eastAsia="仿宋" w:cs="仿宋"/>
          <w:bCs/>
          <w:sz w:val="24"/>
          <w:szCs w:val="24"/>
        </w:rPr>
      </w:pPr>
      <w:r>
        <w:rPr>
          <w:rFonts w:hint="eastAsia" w:ascii="仿宋" w:hAnsi="仿宋" w:eastAsia="仿宋" w:cs="仿宋"/>
          <w:b/>
          <w:sz w:val="24"/>
          <w:szCs w:val="24"/>
        </w:rPr>
        <w:t>采购代理机构：公诚管理咨询有限公司</w:t>
      </w:r>
    </w:p>
    <w:p>
      <w:pPr>
        <w:spacing w:line="360" w:lineRule="auto"/>
        <w:ind w:firstLine="480" w:firstLineChars="200"/>
        <w:textAlignment w:val="baseline"/>
        <w:rPr>
          <w:rFonts w:hint="eastAsia" w:ascii="仿宋" w:hAnsi="仿宋" w:eastAsia="仿宋" w:cs="仿宋"/>
          <w:bCs/>
          <w:sz w:val="24"/>
          <w:szCs w:val="24"/>
        </w:rPr>
      </w:pPr>
      <w:r>
        <w:rPr>
          <w:rFonts w:hint="eastAsia" w:ascii="仿宋" w:hAnsi="仿宋" w:eastAsia="仿宋" w:cs="仿宋"/>
          <w:bCs/>
          <w:sz w:val="24"/>
          <w:szCs w:val="24"/>
        </w:rPr>
        <w:t xml:space="preserve">地址：海口市龙华区滨海大道103号财富广场写字楼25楼（公诚管理咨询有限公司） </w:t>
      </w:r>
    </w:p>
    <w:p>
      <w:pPr>
        <w:spacing w:line="360" w:lineRule="auto"/>
        <w:ind w:firstLine="480" w:firstLineChars="200"/>
        <w:textAlignment w:val="baseline"/>
        <w:rPr>
          <w:rFonts w:hint="eastAsia" w:ascii="仿宋" w:hAnsi="仿宋" w:eastAsia="仿宋" w:cs="仿宋"/>
          <w:bCs/>
          <w:sz w:val="24"/>
          <w:szCs w:val="24"/>
        </w:rPr>
      </w:pPr>
      <w:r>
        <w:rPr>
          <w:rFonts w:hint="eastAsia" w:ascii="仿宋" w:hAnsi="仿宋" w:eastAsia="仿宋" w:cs="仿宋"/>
          <w:bCs/>
          <w:sz w:val="24"/>
          <w:szCs w:val="24"/>
        </w:rPr>
        <w:t>联系人：王秋妹、邓家福</w:t>
      </w:r>
    </w:p>
    <w:p>
      <w:pPr>
        <w:spacing w:line="360" w:lineRule="auto"/>
        <w:ind w:firstLine="480" w:firstLineChars="200"/>
        <w:textAlignment w:val="baseline"/>
        <w:rPr>
          <w:rFonts w:hint="eastAsia" w:ascii="仿宋" w:hAnsi="仿宋" w:eastAsia="仿宋" w:cs="仿宋"/>
          <w:bCs/>
          <w:sz w:val="24"/>
          <w:szCs w:val="24"/>
        </w:rPr>
      </w:pPr>
      <w:r>
        <w:rPr>
          <w:rFonts w:hint="eastAsia" w:ascii="仿宋" w:hAnsi="仿宋" w:eastAsia="仿宋" w:cs="仿宋"/>
          <w:bCs/>
          <w:sz w:val="24"/>
          <w:szCs w:val="24"/>
        </w:rPr>
        <w:t>电话：13519892441、18708926210</w:t>
      </w:r>
    </w:p>
    <w:p>
      <w:pPr>
        <w:spacing w:line="360" w:lineRule="auto"/>
        <w:ind w:firstLine="480" w:firstLineChars="200"/>
        <w:textAlignment w:val="baseline"/>
        <w:rPr>
          <w:rFonts w:hint="eastAsia" w:ascii="仿宋" w:hAnsi="仿宋" w:eastAsia="仿宋" w:cs="仿宋"/>
          <w:bCs/>
          <w:sz w:val="24"/>
          <w:szCs w:val="24"/>
        </w:rPr>
      </w:pPr>
      <w:r>
        <w:rPr>
          <w:rFonts w:hint="eastAsia" w:ascii="仿宋" w:hAnsi="仿宋" w:eastAsia="仿宋" w:cs="仿宋"/>
          <w:bCs/>
          <w:sz w:val="24"/>
          <w:szCs w:val="24"/>
        </w:rPr>
        <w:t>电子邮件：gczbhn@163.com</w:t>
      </w:r>
    </w:p>
    <w:p>
      <w:pPr>
        <w:spacing w:line="360" w:lineRule="auto"/>
        <w:ind w:firstLine="480" w:firstLineChars="200"/>
        <w:textAlignment w:val="baseline"/>
        <w:rPr>
          <w:rFonts w:hint="eastAsia" w:ascii="仿宋" w:hAnsi="仿宋" w:eastAsia="仿宋" w:cs="仿宋"/>
          <w:bCs/>
          <w:sz w:val="24"/>
          <w:szCs w:val="24"/>
        </w:rPr>
      </w:pPr>
      <w:r>
        <w:rPr>
          <w:rFonts w:hint="eastAsia" w:ascii="仿宋" w:hAnsi="仿宋" w:eastAsia="仿宋" w:cs="仿宋"/>
          <w:bCs/>
          <w:sz w:val="24"/>
          <w:szCs w:val="24"/>
        </w:rPr>
        <w:t xml:space="preserve">开户银行：中信银行广州花园支行   </w:t>
      </w:r>
    </w:p>
    <w:p>
      <w:pPr>
        <w:spacing w:line="360" w:lineRule="auto"/>
        <w:ind w:firstLine="480" w:firstLineChars="200"/>
        <w:textAlignment w:val="baseline"/>
        <w:rPr>
          <w:rFonts w:hint="eastAsia" w:ascii="仿宋" w:hAnsi="仿宋" w:eastAsia="仿宋" w:cs="仿宋"/>
          <w:bCs/>
          <w:sz w:val="24"/>
          <w:szCs w:val="24"/>
          <w:lang w:eastAsia="zh-CN"/>
        </w:rPr>
      </w:pPr>
      <w:r>
        <w:rPr>
          <w:rFonts w:hint="eastAsia" w:ascii="仿宋" w:hAnsi="仿宋" w:eastAsia="仿宋" w:cs="仿宋"/>
          <w:bCs/>
          <w:sz w:val="24"/>
          <w:szCs w:val="24"/>
        </w:rPr>
        <w:t>账号：</w:t>
      </w:r>
      <w:r>
        <w:rPr>
          <w:rFonts w:hint="eastAsia" w:ascii="仿宋" w:hAnsi="仿宋" w:eastAsia="仿宋" w:cs="仿宋"/>
          <w:bCs/>
          <w:sz w:val="24"/>
          <w:szCs w:val="24"/>
          <w:lang w:eastAsia="zh-CN"/>
        </w:rPr>
        <w:t>3110910037672527329</w:t>
      </w:r>
    </w:p>
    <w:p>
      <w:pPr>
        <w:spacing w:line="360" w:lineRule="auto"/>
        <w:ind w:firstLine="420"/>
        <w:rPr>
          <w:rFonts w:hint="eastAsia" w:ascii="仿宋" w:hAnsi="仿宋" w:eastAsia="仿宋" w:cs="仿宋"/>
          <w:sz w:val="24"/>
          <w:szCs w:val="24"/>
        </w:rPr>
      </w:pPr>
    </w:p>
    <w:p>
      <w:pPr>
        <w:spacing w:line="360" w:lineRule="auto"/>
        <w:ind w:firstLine="480" w:firstLineChars="200"/>
        <w:jc w:val="right"/>
        <w:textAlignment w:val="baseline"/>
        <w:rPr>
          <w:rFonts w:hint="eastAsia" w:ascii="仿宋" w:hAnsi="仿宋" w:eastAsia="仿宋" w:cs="仿宋"/>
          <w:sz w:val="24"/>
          <w:szCs w:val="24"/>
        </w:rPr>
      </w:pPr>
      <w:r>
        <w:rPr>
          <w:rFonts w:hint="eastAsia" w:ascii="仿宋" w:hAnsi="仿宋" w:eastAsia="仿宋" w:cs="仿宋"/>
          <w:sz w:val="24"/>
          <w:szCs w:val="24"/>
        </w:rPr>
        <w:t>招标人：中国人民财产保险股份有限公司海南省分公司</w:t>
      </w:r>
    </w:p>
    <w:p>
      <w:pPr>
        <w:spacing w:line="360" w:lineRule="auto"/>
        <w:ind w:firstLine="480" w:firstLineChars="200"/>
        <w:jc w:val="right"/>
        <w:textAlignment w:val="baseline"/>
        <w:rPr>
          <w:rFonts w:hint="eastAsia" w:ascii="仿宋" w:hAnsi="仿宋" w:eastAsia="仿宋" w:cs="仿宋"/>
          <w:sz w:val="24"/>
          <w:szCs w:val="24"/>
        </w:rPr>
      </w:pPr>
      <w:r>
        <w:rPr>
          <w:rFonts w:hint="eastAsia" w:ascii="仿宋" w:hAnsi="仿宋" w:eastAsia="仿宋" w:cs="仿宋"/>
          <w:sz w:val="24"/>
          <w:szCs w:val="24"/>
        </w:rPr>
        <w:t>招标代理机构：公诚管理咨询有限公司</w:t>
      </w:r>
    </w:p>
    <w:p>
      <w:pPr>
        <w:ind w:firstLine="6240" w:firstLineChars="2600"/>
      </w:pPr>
      <w:r>
        <w:rPr>
          <w:rFonts w:hint="eastAsia" w:ascii="仿宋" w:hAnsi="仿宋" w:eastAsia="仿宋" w:cs="仿宋"/>
          <w:sz w:val="24"/>
          <w:szCs w:val="24"/>
        </w:rPr>
        <w:t>2025年1</w:t>
      </w:r>
      <w:r>
        <w:rPr>
          <w:rFonts w:hint="eastAsia" w:ascii="仿宋" w:hAnsi="仿宋" w:eastAsia="仿宋" w:cs="仿宋"/>
          <w:sz w:val="24"/>
          <w:szCs w:val="24"/>
          <w:lang w:val="en-US" w:eastAsia="zh-CN"/>
        </w:rPr>
        <w:t>1</w:t>
      </w:r>
      <w:r>
        <w:rPr>
          <w:rFonts w:hint="eastAsia" w:ascii="仿宋" w:hAnsi="仿宋" w:eastAsia="仿宋" w:cs="仿宋"/>
          <w:sz w:val="24"/>
          <w:szCs w:val="24"/>
        </w:rPr>
        <w:t>月</w:t>
      </w:r>
      <w:r>
        <w:rPr>
          <w:rFonts w:hint="eastAsia" w:ascii="仿宋" w:hAnsi="仿宋" w:eastAsia="仿宋" w:cs="仿宋"/>
          <w:sz w:val="24"/>
          <w:szCs w:val="24"/>
          <w:lang w:val="en-US" w:eastAsia="zh-CN"/>
        </w:rPr>
        <w:t>19</w:t>
      </w:r>
      <w:r>
        <w:rPr>
          <w:rFonts w:hint="eastAsia" w:ascii="仿宋" w:hAnsi="仿宋" w:eastAsia="仿宋" w:cs="仿宋"/>
          <w:sz w:val="24"/>
          <w:szCs w:val="24"/>
        </w:rPr>
        <w:t>日</w:t>
      </w:r>
    </w:p>
    <w:bookmarkEnd w:id="41"/>
    <w:sectPr>
      <w:pgSz w:w="11906" w:h="16838"/>
      <w:pgMar w:top="1440" w:right="1080" w:bottom="1440" w:left="108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12" w:lineRule="auto"/>
      </w:pPr>
      <w:r>
        <w:separator/>
      </w:r>
    </w:p>
  </w:footnote>
  <w:footnote w:type="continuationSeparator" w:id="1">
    <w:p>
      <w:pPr>
        <w:spacing w:line="312"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3430FFA"/>
    <w:rsid w:val="27005F54"/>
    <w:rsid w:val="63430FF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iPriority="99"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12" w:lineRule="auto"/>
      <w:jc w:val="both"/>
    </w:pPr>
    <w:rPr>
      <w:rFonts w:ascii="Calibri" w:hAnsi="Calibri" w:eastAsia="宋体" w:cs="Calibri"/>
      <w:kern w:val="2"/>
      <w:sz w:val="21"/>
      <w:lang w:val="en-US" w:eastAsia="zh-CN" w:bidi="ar-SA"/>
    </w:rPr>
  </w:style>
  <w:style w:type="paragraph" w:styleId="3">
    <w:name w:val="heading 1"/>
    <w:basedOn w:val="1"/>
    <w:next w:val="1"/>
    <w:qFormat/>
    <w:uiPriority w:val="0"/>
    <w:pPr>
      <w:keepNext/>
      <w:keepLines/>
      <w:spacing w:before="340" w:after="330" w:line="576" w:lineRule="auto"/>
      <w:jc w:val="center"/>
      <w:outlineLvl w:val="0"/>
    </w:pPr>
    <w:rPr>
      <w:rFonts w:eastAsia="仿宋"/>
      <w:b/>
      <w:kern w:val="44"/>
      <w:sz w:val="28"/>
    </w:rPr>
  </w:style>
  <w:style w:type="paragraph" w:styleId="4">
    <w:name w:val="heading 2"/>
    <w:basedOn w:val="1"/>
    <w:next w:val="1"/>
    <w:qFormat/>
    <w:uiPriority w:val="0"/>
    <w:pPr>
      <w:keepNext/>
      <w:keepLines/>
      <w:adjustRightInd w:val="0"/>
      <w:snapToGrid w:val="0"/>
      <w:spacing w:before="120" w:after="120" w:line="360" w:lineRule="auto"/>
      <w:jc w:val="left"/>
      <w:outlineLvl w:val="1"/>
    </w:pPr>
    <w:rPr>
      <w:rFonts w:ascii="宋体" w:hAnsi="Arial" w:eastAsia="仿宋"/>
      <w:b/>
      <w:sz w:val="24"/>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w:basedOn w:val="1"/>
    <w:unhideWhenUsed/>
    <w:qFormat/>
    <w:uiPriority w:val="99"/>
    <w:pPr>
      <w:spacing w:after="120"/>
    </w:pPr>
  </w:style>
  <w:style w:type="paragraph" w:styleId="5">
    <w:name w:val="Normal Indent"/>
    <w:basedOn w:val="1"/>
    <w:qFormat/>
    <w:uiPriority w:val="0"/>
    <w:pPr>
      <w:ind w:firstLine="420"/>
    </w:p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pPr>
    <w:rPr>
      <w:sz w:val="18"/>
    </w:rPr>
  </w:style>
  <w:style w:type="paragraph" w:styleId="8">
    <w:name w:val="Body Text 2"/>
    <w:basedOn w:val="1"/>
    <w:semiHidden/>
    <w:unhideWhenUsed/>
    <w:qFormat/>
    <w:uiPriority w:val="99"/>
    <w:pPr>
      <w:spacing w:after="120" w:line="480" w:lineRule="auto"/>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3</TotalTime>
  <ScaleCrop>false</ScaleCrop>
  <LinksUpToDate>false</LinksUpToDate>
  <CharactersWithSpaces>0</CharactersWithSpaces>
  <Application>WPS Office_11.8.2.12086_F1E327BC-269C-435d-A152-05C5408002CA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2025-11-17T08:31:00Z</dcterms:created>
  <dc:creator>王大娃</dc:creator>
  <cp:lastModifiedBy>陈泽琼</cp:lastModifiedBy>
  <dcterms:modified xsi:type="dcterms:W3CDTF">2025-11-17T08:55:37Z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2052-11.8.2.12086</vt:lpwstr>
  </property>
  <property fmtid="{D5CDD505-2E9C-101B-9397-08002B2CF9AE}" pid="3" name="ICV">
    <vt:lpwstr>844D4E1533064E97B458614EBE2C0382</vt:lpwstr>
  </property>
  <property fmtid="{D5CDD505-2E9C-101B-9397-08002B2CF9AE}" pid="4" name="KSOTemplateDocerSaveRecord">
    <vt:lpwstr>eyJoZGlkIjoiZTQ3ZjA3NDk4MjEyYTYyOGVhZjJkNDUzYTE2NjMzYjciLCJ1c2VySWQiOiIzMjQ5NjYwMjAifQ==</vt:lpwstr>
  </property>
</Properties>
</file>