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52"/>
          <w:color w:val="auto"/>
          <w:sz w:val="36"/>
          <w:szCs w:val="36"/>
        </w:rPr>
      </w:pPr>
      <w:r>
        <w:rPr>
          <w:rFonts w:hint="eastAsia" w:ascii="仿宋" w:hAnsi="仿宋" w:eastAsia="仿宋" w:cs="宋体"/>
          <w:b/>
          <w:color w:val="auto"/>
          <w:spacing w:val="40"/>
          <w:sz w:val="36"/>
          <w:szCs w:val="36"/>
        </w:rPr>
        <w:t>人保财险南充嘉陵支公司办公楼装饰工程采购项目</w:t>
      </w:r>
    </w:p>
    <w:p>
      <w:pPr>
        <w:jc w:val="center"/>
        <w:rPr>
          <w:rFonts w:ascii="仿宋" w:hAnsi="仿宋" w:eastAsia="仿宋" w:cs="宋体"/>
          <w:b/>
          <w:color w:val="auto"/>
          <w:spacing w:val="40"/>
          <w:sz w:val="36"/>
          <w:szCs w:val="36"/>
        </w:rPr>
      </w:pPr>
    </w:p>
    <w:p>
      <w:pPr>
        <w:jc w:val="center"/>
        <w:rPr>
          <w:rFonts w:ascii="仿宋" w:hAnsi="仿宋" w:eastAsia="仿宋" w:cs="宋体"/>
          <w:b/>
          <w:color w:val="auto"/>
          <w:sz w:val="36"/>
          <w:szCs w:val="36"/>
          <w:u w:val="single"/>
        </w:rPr>
      </w:pPr>
      <w:r>
        <w:rPr>
          <w:rFonts w:hint="eastAsia" w:ascii="仿宋" w:hAnsi="仿宋" w:eastAsia="仿宋" w:cs="宋体"/>
          <w:b/>
          <w:color w:val="auto"/>
          <w:sz w:val="36"/>
          <w:szCs w:val="36"/>
        </w:rPr>
        <w:t>招标代理项目编号：SC-HDZB(GK)-2025-032</w:t>
      </w:r>
    </w:p>
    <w:p>
      <w:pPr>
        <w:jc w:val="center"/>
        <w:rPr>
          <w:rFonts w:ascii="仿宋" w:hAnsi="仿宋" w:eastAsia="仿宋" w:cs="宋体"/>
          <w:b/>
          <w:color w:val="auto"/>
          <w:sz w:val="28"/>
          <w:szCs w:val="28"/>
          <w:u w:val="single"/>
        </w:rPr>
      </w:pPr>
    </w:p>
    <w:p>
      <w:pPr>
        <w:jc w:val="center"/>
        <w:rPr>
          <w:rFonts w:ascii="仿宋" w:hAnsi="仿宋" w:eastAsia="仿宋" w:cs="宋体"/>
          <w:b/>
          <w:color w:val="auto"/>
          <w:sz w:val="28"/>
          <w:szCs w:val="28"/>
          <w:u w:val="single"/>
        </w:rPr>
      </w:pPr>
    </w:p>
    <w:p>
      <w:pPr>
        <w:pStyle w:val="2"/>
        <w:rPr>
          <w:rFonts w:ascii="仿宋" w:hAnsi="仿宋" w:eastAsia="仿宋" w:cs="宋体"/>
          <w:b/>
          <w:color w:val="auto"/>
          <w:sz w:val="28"/>
          <w:szCs w:val="28"/>
          <w:u w:val="single"/>
        </w:rPr>
      </w:pPr>
    </w:p>
    <w:p>
      <w:pPr>
        <w:pStyle w:val="2"/>
        <w:rPr>
          <w:rFonts w:ascii="仿宋" w:hAnsi="仿宋" w:eastAsia="仿宋" w:cs="宋体"/>
          <w:b/>
          <w:color w:val="auto"/>
          <w:sz w:val="28"/>
          <w:szCs w:val="28"/>
          <w:u w:val="single"/>
        </w:rPr>
      </w:pPr>
    </w:p>
    <w:p>
      <w:pPr>
        <w:pStyle w:val="2"/>
        <w:rPr>
          <w:rFonts w:ascii="仿宋" w:hAnsi="仿宋" w:eastAsia="仿宋" w:cs="宋体"/>
          <w:b/>
          <w:color w:val="auto"/>
          <w:sz w:val="28"/>
          <w:szCs w:val="28"/>
          <w:u w:val="single"/>
        </w:rPr>
      </w:pPr>
    </w:p>
    <w:p>
      <w:pPr>
        <w:jc w:val="center"/>
        <w:rPr>
          <w:rFonts w:ascii="仿宋" w:hAnsi="仿宋" w:eastAsia="仿宋" w:cs="宋体"/>
          <w:b/>
          <w:color w:val="auto"/>
          <w:spacing w:val="40"/>
          <w:sz w:val="96"/>
          <w:szCs w:val="96"/>
        </w:rPr>
      </w:pPr>
      <w:r>
        <w:rPr>
          <w:rFonts w:hint="eastAsia" w:ascii="仿宋" w:hAnsi="仿宋" w:eastAsia="仿宋" w:cs="宋体"/>
          <w:b/>
          <w:color w:val="auto"/>
          <w:spacing w:val="40"/>
          <w:sz w:val="96"/>
          <w:szCs w:val="96"/>
        </w:rPr>
        <w:t>招标文件</w:t>
      </w:r>
    </w:p>
    <w:p>
      <w:pPr>
        <w:spacing w:after="120" w:line="400" w:lineRule="exact"/>
        <w:jc w:val="center"/>
        <w:rPr>
          <w:rFonts w:ascii="仿宋" w:hAnsi="仿宋" w:eastAsia="仿宋" w:cs="宋体"/>
          <w:b/>
          <w:color w:val="auto"/>
          <w:sz w:val="28"/>
          <w:szCs w:val="28"/>
        </w:rPr>
      </w:pPr>
    </w:p>
    <w:p>
      <w:pPr>
        <w:spacing w:after="120" w:line="400" w:lineRule="exact"/>
        <w:jc w:val="center"/>
        <w:rPr>
          <w:rFonts w:ascii="仿宋" w:hAnsi="仿宋" w:eastAsia="仿宋" w:cs="宋体"/>
          <w:b/>
          <w:color w:val="auto"/>
          <w:sz w:val="28"/>
          <w:szCs w:val="28"/>
        </w:rPr>
      </w:pPr>
    </w:p>
    <w:p>
      <w:pPr>
        <w:spacing w:after="120" w:line="400" w:lineRule="exact"/>
        <w:jc w:val="center"/>
        <w:rPr>
          <w:rFonts w:ascii="仿宋" w:hAnsi="仿宋" w:eastAsia="仿宋" w:cs="宋体"/>
          <w:b/>
          <w:color w:val="auto"/>
          <w:sz w:val="28"/>
          <w:szCs w:val="28"/>
        </w:rPr>
      </w:pPr>
    </w:p>
    <w:p>
      <w:pPr>
        <w:spacing w:after="120" w:line="400" w:lineRule="exact"/>
        <w:jc w:val="center"/>
        <w:rPr>
          <w:rFonts w:ascii="仿宋" w:hAnsi="仿宋" w:eastAsia="仿宋" w:cs="宋体"/>
          <w:b/>
          <w:color w:val="auto"/>
          <w:sz w:val="28"/>
          <w:szCs w:val="28"/>
        </w:rPr>
      </w:pPr>
    </w:p>
    <w:p>
      <w:pPr>
        <w:spacing w:after="120" w:line="400" w:lineRule="exact"/>
        <w:jc w:val="center"/>
        <w:rPr>
          <w:rFonts w:ascii="仿宋" w:hAnsi="仿宋" w:eastAsia="仿宋" w:cs="宋体"/>
          <w:b/>
          <w:color w:val="auto"/>
          <w:sz w:val="28"/>
          <w:szCs w:val="28"/>
        </w:rPr>
      </w:pPr>
    </w:p>
    <w:p>
      <w:pPr>
        <w:spacing w:after="120" w:line="400" w:lineRule="exact"/>
        <w:jc w:val="center"/>
        <w:rPr>
          <w:rFonts w:ascii="仿宋" w:hAnsi="仿宋" w:eastAsia="仿宋" w:cs="宋体"/>
          <w:b/>
          <w:color w:val="auto"/>
          <w:sz w:val="28"/>
          <w:szCs w:val="28"/>
        </w:rPr>
      </w:pPr>
    </w:p>
    <w:p>
      <w:pPr>
        <w:spacing w:after="120" w:line="400" w:lineRule="exact"/>
        <w:jc w:val="center"/>
        <w:rPr>
          <w:rFonts w:ascii="仿宋" w:hAnsi="仿宋" w:eastAsia="仿宋" w:cs="宋体"/>
          <w:b/>
          <w:color w:val="auto"/>
          <w:sz w:val="28"/>
          <w:szCs w:val="28"/>
        </w:rPr>
      </w:pPr>
    </w:p>
    <w:p>
      <w:pPr>
        <w:spacing w:after="120" w:line="360" w:lineRule="auto"/>
        <w:jc w:val="left"/>
        <w:rPr>
          <w:rFonts w:ascii="仿宋" w:hAnsi="仿宋" w:eastAsia="仿宋" w:cs="宋体"/>
          <w:b/>
          <w:color w:val="auto"/>
          <w:sz w:val="32"/>
          <w:szCs w:val="22"/>
        </w:rPr>
      </w:pPr>
      <w:r>
        <w:rPr>
          <w:rFonts w:hint="eastAsia" w:ascii="仿宋" w:hAnsi="仿宋" w:eastAsia="仿宋" w:cs="宋体"/>
          <w:b/>
          <w:color w:val="auto"/>
          <w:sz w:val="32"/>
          <w:szCs w:val="22"/>
        </w:rPr>
        <w:t>招标人：中国人民财产保险股份有限公司南充市分公司</w:t>
      </w:r>
    </w:p>
    <w:p>
      <w:pPr>
        <w:spacing w:after="120" w:line="360" w:lineRule="auto"/>
        <w:jc w:val="left"/>
        <w:rPr>
          <w:rFonts w:ascii="仿宋" w:hAnsi="仿宋" w:eastAsia="仿宋" w:cs="宋体"/>
          <w:b/>
          <w:color w:val="auto"/>
          <w:sz w:val="32"/>
          <w:szCs w:val="22"/>
        </w:rPr>
      </w:pPr>
      <w:r>
        <w:rPr>
          <w:rFonts w:hint="eastAsia" w:ascii="仿宋" w:hAnsi="仿宋" w:eastAsia="仿宋" w:cs="宋体"/>
          <w:b/>
          <w:color w:val="auto"/>
          <w:sz w:val="32"/>
          <w:szCs w:val="22"/>
        </w:rPr>
        <w:t>招标代理机构：四川省盛世宏达工程咨询有限公司</w:t>
      </w:r>
    </w:p>
    <w:p>
      <w:pPr>
        <w:spacing w:after="120" w:line="360" w:lineRule="auto"/>
        <w:jc w:val="left"/>
        <w:rPr>
          <w:rFonts w:ascii="仿宋" w:hAnsi="仿宋" w:eastAsia="仿宋" w:cs="宋体"/>
          <w:b/>
          <w:color w:val="auto"/>
          <w:sz w:val="32"/>
          <w:szCs w:val="22"/>
        </w:rPr>
        <w:sectPr>
          <w:headerReference r:id="rId6" w:type="first"/>
          <w:footerReference r:id="rId8" w:type="first"/>
          <w:headerReference r:id="rId5" w:type="default"/>
          <w:footerReference r:id="rId7" w:type="default"/>
          <w:pgSz w:w="11906" w:h="16838"/>
          <w:pgMar w:top="1440" w:right="1800" w:bottom="1440" w:left="1800" w:header="851" w:footer="992" w:gutter="0"/>
          <w:cols w:space="720" w:num="1"/>
          <w:titlePg/>
        </w:sectPr>
      </w:pPr>
      <w:r>
        <w:rPr>
          <w:rFonts w:hint="eastAsia" w:ascii="仿宋" w:hAnsi="仿宋" w:eastAsia="仿宋" w:cs="宋体"/>
          <w:b/>
          <w:color w:val="auto"/>
          <w:sz w:val="32"/>
          <w:szCs w:val="22"/>
        </w:rPr>
        <w:t>日期：2025年1</w:t>
      </w:r>
      <w:r>
        <w:rPr>
          <w:rFonts w:hint="eastAsia" w:ascii="仿宋" w:hAnsi="仿宋" w:eastAsia="仿宋" w:cs="宋体"/>
          <w:b/>
          <w:color w:val="auto"/>
          <w:sz w:val="32"/>
          <w:szCs w:val="22"/>
          <w:lang w:val="en-US" w:eastAsia="zh-CN"/>
        </w:rPr>
        <w:t>2</w:t>
      </w:r>
      <w:r>
        <w:rPr>
          <w:rFonts w:hint="eastAsia" w:ascii="仿宋" w:hAnsi="仿宋" w:eastAsia="仿宋" w:cs="宋体"/>
          <w:b/>
          <w:color w:val="auto"/>
          <w:sz w:val="32"/>
          <w:szCs w:val="22"/>
        </w:rPr>
        <w:t>月</w:t>
      </w:r>
    </w:p>
    <w:p>
      <w:pPr>
        <w:jc w:val="center"/>
        <w:rPr>
          <w:rFonts w:ascii="仿宋" w:hAnsi="仿宋" w:eastAsia="仿宋" w:cs="宋体"/>
          <w:b/>
          <w:color w:val="auto"/>
          <w:sz w:val="32"/>
          <w:szCs w:val="32"/>
        </w:rPr>
      </w:pPr>
      <w:r>
        <w:rPr>
          <w:rFonts w:hint="eastAsia" w:ascii="仿宋" w:hAnsi="仿宋" w:eastAsia="仿宋" w:cs="宋体"/>
          <w:b/>
          <w:color w:val="auto"/>
          <w:sz w:val="32"/>
          <w:szCs w:val="32"/>
        </w:rPr>
        <w:t>目  录</w:t>
      </w:r>
    </w:p>
    <w:p>
      <w:pPr>
        <w:pStyle w:val="28"/>
        <w:tabs>
          <w:tab w:val="right" w:leader="dot" w:pos="9638"/>
        </w:tabs>
        <w:spacing w:line="240" w:lineRule="auto"/>
        <w:rPr>
          <w:rFonts w:ascii="仿宋" w:hAnsi="仿宋" w:eastAsia="仿宋" w:cs="仿宋"/>
          <w:color w:val="auto"/>
          <w:sz w:val="22"/>
          <w:szCs w:val="21"/>
        </w:rPr>
      </w:pPr>
      <w:r>
        <w:rPr>
          <w:rFonts w:hint="eastAsia" w:ascii="仿宋" w:hAnsi="仿宋" w:eastAsia="仿宋" w:cs="仿宋"/>
          <w:color w:val="auto"/>
          <w:sz w:val="22"/>
          <w:szCs w:val="22"/>
        </w:rPr>
        <w:fldChar w:fldCharType="begin"/>
      </w:r>
      <w:r>
        <w:rPr>
          <w:rFonts w:hint="eastAsia" w:ascii="仿宋" w:hAnsi="仿宋" w:eastAsia="仿宋" w:cs="仿宋"/>
          <w:color w:val="auto"/>
          <w:sz w:val="22"/>
          <w:szCs w:val="22"/>
        </w:rPr>
        <w:instrText xml:space="preserve">TOC \o "1-3" \h  \u </w:instrText>
      </w:r>
      <w:r>
        <w:rPr>
          <w:rFonts w:hint="eastAsia" w:ascii="仿宋" w:hAnsi="仿宋" w:eastAsia="仿宋" w:cs="仿宋"/>
          <w:color w:val="auto"/>
          <w:sz w:val="22"/>
          <w:szCs w:val="22"/>
        </w:rPr>
        <w:fldChar w:fldCharType="separate"/>
      </w:r>
      <w:r>
        <w:rPr>
          <w:color w:val="auto"/>
        </w:rPr>
        <w:fldChar w:fldCharType="begin"/>
      </w:r>
      <w:r>
        <w:rPr>
          <w:color w:val="auto"/>
        </w:rPr>
        <w:instrText xml:space="preserve"> HYPERLINK \l "_Toc8790" </w:instrText>
      </w:r>
      <w:r>
        <w:rPr>
          <w:color w:val="auto"/>
        </w:rPr>
        <w:fldChar w:fldCharType="separate"/>
      </w:r>
      <w:r>
        <w:rPr>
          <w:rFonts w:hint="eastAsia" w:ascii="仿宋" w:hAnsi="仿宋" w:eastAsia="仿宋" w:cs="仿宋"/>
          <w:color w:val="auto"/>
          <w:sz w:val="22"/>
          <w:szCs w:val="21"/>
        </w:rPr>
        <w:t>第一章 招标公告</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_Toc8790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"_Toc13923" </w:instrText>
      </w:r>
      <w:r>
        <w:rPr>
          <w:color w:val="auto"/>
        </w:rPr>
        <w:fldChar w:fldCharType="separate"/>
      </w:r>
      <w:r>
        <w:rPr>
          <w:rFonts w:hint="eastAsia" w:ascii="仿宋" w:hAnsi="仿宋" w:eastAsia="仿宋" w:cs="仿宋"/>
          <w:color w:val="auto"/>
          <w:sz w:val="22"/>
          <w:szCs w:val="28"/>
        </w:rPr>
        <w:t>一、招标条件</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_Toc13923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"_Toc30531" </w:instrText>
      </w:r>
      <w:r>
        <w:rPr>
          <w:color w:val="auto"/>
        </w:rPr>
        <w:fldChar w:fldCharType="separate"/>
      </w:r>
      <w:r>
        <w:rPr>
          <w:rFonts w:hint="eastAsia" w:ascii="仿宋" w:hAnsi="仿宋" w:eastAsia="仿宋" w:cs="仿宋"/>
          <w:color w:val="auto"/>
          <w:sz w:val="22"/>
          <w:szCs w:val="28"/>
        </w:rPr>
        <w:t>二、项目概况与招标范围</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_Toc30531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"_Toc6528" </w:instrText>
      </w:r>
      <w:r>
        <w:rPr>
          <w:color w:val="auto"/>
        </w:rPr>
        <w:fldChar w:fldCharType="separate"/>
      </w:r>
      <w:r>
        <w:rPr>
          <w:rFonts w:hint="eastAsia" w:ascii="仿宋" w:hAnsi="仿宋" w:eastAsia="仿宋" w:cs="仿宋"/>
          <w:color w:val="auto"/>
          <w:sz w:val="22"/>
          <w:szCs w:val="28"/>
        </w:rPr>
        <w:t>三、投标人资格要求</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_Toc6528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"_Toc12385" </w:instrText>
      </w:r>
      <w:r>
        <w:rPr>
          <w:color w:val="auto"/>
        </w:rPr>
        <w:fldChar w:fldCharType="separate"/>
      </w:r>
      <w:r>
        <w:rPr>
          <w:rFonts w:hint="eastAsia" w:ascii="仿宋" w:hAnsi="仿宋" w:eastAsia="仿宋" w:cs="仿宋"/>
          <w:color w:val="auto"/>
          <w:sz w:val="22"/>
          <w:szCs w:val="21"/>
        </w:rPr>
        <w:t>四、资格审查方法</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_Toc12385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"_Toc11877" </w:instrText>
      </w:r>
      <w:r>
        <w:rPr>
          <w:color w:val="auto"/>
        </w:rPr>
        <w:fldChar w:fldCharType="separate"/>
      </w:r>
      <w:r>
        <w:rPr>
          <w:rFonts w:hint="eastAsia" w:ascii="仿宋" w:hAnsi="仿宋" w:eastAsia="仿宋" w:cs="仿宋"/>
          <w:color w:val="auto"/>
          <w:sz w:val="22"/>
          <w:szCs w:val="28"/>
        </w:rPr>
        <w:t>五、招标文件的获取</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_Toc11877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"_Toc31250" </w:instrText>
      </w:r>
      <w:r>
        <w:rPr>
          <w:color w:val="auto"/>
        </w:rPr>
        <w:fldChar w:fldCharType="separate"/>
      </w:r>
      <w:r>
        <w:rPr>
          <w:rFonts w:hint="eastAsia" w:ascii="仿宋" w:hAnsi="仿宋" w:eastAsia="仿宋" w:cs="仿宋"/>
          <w:color w:val="auto"/>
          <w:sz w:val="22"/>
          <w:szCs w:val="21"/>
        </w:rPr>
        <w:t>六、投标文件的递交</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_Toc31250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7</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"_Toc23758" </w:instrText>
      </w:r>
      <w:r>
        <w:rPr>
          <w:color w:val="auto"/>
        </w:rPr>
        <w:fldChar w:fldCharType="separate"/>
      </w:r>
      <w:r>
        <w:rPr>
          <w:rFonts w:hint="eastAsia" w:ascii="仿宋" w:hAnsi="仿宋" w:eastAsia="仿宋" w:cs="仿宋"/>
          <w:color w:val="auto"/>
          <w:sz w:val="22"/>
          <w:szCs w:val="21"/>
        </w:rPr>
        <w:t>七、发布公告的媒介</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_Toc23758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7</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"_Toc24187" </w:instrText>
      </w:r>
      <w:r>
        <w:rPr>
          <w:color w:val="auto"/>
        </w:rPr>
        <w:fldChar w:fldCharType="separate"/>
      </w:r>
      <w:r>
        <w:rPr>
          <w:rFonts w:hint="eastAsia" w:ascii="仿宋" w:hAnsi="仿宋" w:eastAsia="仿宋" w:cs="仿宋"/>
          <w:color w:val="auto"/>
          <w:sz w:val="22"/>
          <w:szCs w:val="21"/>
        </w:rPr>
        <w:t>八、联系方式</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_Toc24187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7</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28"/>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"_Toc10818" </w:instrText>
      </w:r>
      <w:r>
        <w:rPr>
          <w:color w:val="auto"/>
        </w:rPr>
        <w:fldChar w:fldCharType="separate"/>
      </w:r>
      <w:r>
        <w:rPr>
          <w:rFonts w:hint="eastAsia" w:ascii="仿宋" w:hAnsi="仿宋" w:eastAsia="仿宋" w:cs="仿宋"/>
          <w:color w:val="auto"/>
          <w:sz w:val="22"/>
          <w:szCs w:val="21"/>
        </w:rPr>
        <w:t>第二章 投标人须知</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_Toc10818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"_Toc10551" </w:instrText>
      </w:r>
      <w:r>
        <w:rPr>
          <w:color w:val="auto"/>
        </w:rPr>
        <w:fldChar w:fldCharType="separate"/>
      </w:r>
      <w:r>
        <w:rPr>
          <w:rFonts w:hint="eastAsia" w:ascii="仿宋" w:hAnsi="仿宋" w:eastAsia="仿宋" w:cs="仿宋"/>
          <w:color w:val="auto"/>
          <w:sz w:val="22"/>
          <w:szCs w:val="28"/>
        </w:rPr>
        <w:t>投标人须知前附表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_Toc10551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"_Toc18287" </w:instrText>
      </w:r>
      <w:r>
        <w:rPr>
          <w:color w:val="auto"/>
        </w:rPr>
        <w:fldChar w:fldCharType="separate"/>
      </w:r>
      <w:r>
        <w:rPr>
          <w:rFonts w:hint="eastAsia" w:ascii="仿宋" w:hAnsi="仿宋" w:eastAsia="仿宋" w:cs="仿宋"/>
          <w:color w:val="auto"/>
          <w:sz w:val="22"/>
          <w:szCs w:val="28"/>
        </w:rPr>
        <w:t>1.总则</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_Toc18287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"_Toc5548" </w:instrText>
      </w:r>
      <w:r>
        <w:rPr>
          <w:color w:val="auto"/>
        </w:rPr>
        <w:fldChar w:fldCharType="separate"/>
      </w:r>
      <w:r>
        <w:rPr>
          <w:rFonts w:hint="eastAsia" w:ascii="仿宋" w:hAnsi="仿宋" w:eastAsia="仿宋" w:cs="仿宋"/>
          <w:color w:val="auto"/>
          <w:sz w:val="22"/>
          <w:szCs w:val="21"/>
        </w:rPr>
        <w:t>1.1 项目概况</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_Toc5548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"_Toc438" </w:instrText>
      </w:r>
      <w:r>
        <w:rPr>
          <w:color w:val="auto"/>
        </w:rPr>
        <w:fldChar w:fldCharType="separate"/>
      </w:r>
      <w:r>
        <w:rPr>
          <w:rFonts w:hint="eastAsia" w:ascii="仿宋" w:hAnsi="仿宋" w:eastAsia="仿宋" w:cs="仿宋"/>
          <w:color w:val="auto"/>
          <w:sz w:val="22"/>
          <w:szCs w:val="21"/>
        </w:rPr>
        <w:t>1.2 资金来源和落实情况</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_Toc438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"_Toc1291" </w:instrText>
      </w:r>
      <w:r>
        <w:rPr>
          <w:color w:val="auto"/>
        </w:rPr>
        <w:fldChar w:fldCharType="separate"/>
      </w:r>
      <w:r>
        <w:rPr>
          <w:rFonts w:hint="eastAsia" w:ascii="仿宋" w:hAnsi="仿宋" w:eastAsia="仿宋" w:cs="仿宋"/>
          <w:color w:val="auto"/>
          <w:sz w:val="22"/>
          <w:szCs w:val="21"/>
        </w:rPr>
        <w:t>1.3招标方式</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_Toc1291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"_Toc421" </w:instrText>
      </w:r>
      <w:r>
        <w:rPr>
          <w:color w:val="auto"/>
        </w:rPr>
        <w:fldChar w:fldCharType="separate"/>
      </w:r>
      <w:r>
        <w:rPr>
          <w:rFonts w:hint="eastAsia" w:ascii="仿宋" w:hAnsi="仿宋" w:eastAsia="仿宋" w:cs="仿宋"/>
          <w:color w:val="auto"/>
          <w:sz w:val="22"/>
          <w:szCs w:val="21"/>
        </w:rPr>
        <w:t>1.4招标组织形式</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_Toc421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"_Toc8509" </w:instrText>
      </w:r>
      <w:r>
        <w:rPr>
          <w:color w:val="auto"/>
        </w:rPr>
        <w:fldChar w:fldCharType="separate"/>
      </w:r>
      <w:r>
        <w:rPr>
          <w:rFonts w:hint="eastAsia" w:ascii="仿宋" w:hAnsi="仿宋" w:eastAsia="仿宋" w:cs="仿宋"/>
          <w:color w:val="auto"/>
          <w:sz w:val="22"/>
          <w:szCs w:val="21"/>
        </w:rPr>
        <w:t>1.5资格审查</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_Toc8509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"_Toc18097" </w:instrText>
      </w:r>
      <w:r>
        <w:rPr>
          <w:color w:val="auto"/>
        </w:rPr>
        <w:fldChar w:fldCharType="separate"/>
      </w:r>
      <w:r>
        <w:rPr>
          <w:rFonts w:hint="eastAsia" w:ascii="仿宋" w:hAnsi="仿宋" w:eastAsia="仿宋" w:cs="仿宋"/>
          <w:color w:val="auto"/>
          <w:sz w:val="22"/>
          <w:szCs w:val="21"/>
        </w:rPr>
        <w:t>1.6投标费用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_Toc18097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"_Toc15437" </w:instrText>
      </w:r>
      <w:r>
        <w:rPr>
          <w:color w:val="auto"/>
        </w:rPr>
        <w:fldChar w:fldCharType="separate"/>
      </w:r>
      <w:r>
        <w:rPr>
          <w:rFonts w:hint="eastAsia" w:ascii="仿宋" w:hAnsi="仿宋" w:eastAsia="仿宋" w:cs="仿宋"/>
          <w:color w:val="auto"/>
          <w:sz w:val="22"/>
          <w:szCs w:val="21"/>
        </w:rPr>
        <w:t>1.7保密</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_Toc15437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"_Toc4477" </w:instrText>
      </w:r>
      <w:r>
        <w:rPr>
          <w:color w:val="auto"/>
        </w:rPr>
        <w:fldChar w:fldCharType="separate"/>
      </w:r>
      <w:r>
        <w:rPr>
          <w:rFonts w:hint="eastAsia" w:ascii="仿宋" w:hAnsi="仿宋" w:eastAsia="仿宋" w:cs="仿宋"/>
          <w:color w:val="auto"/>
          <w:sz w:val="22"/>
          <w:szCs w:val="21"/>
        </w:rPr>
        <w:t>1.8计量单位</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_Toc4477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"_Toc30737" </w:instrText>
      </w:r>
      <w:r>
        <w:rPr>
          <w:color w:val="auto"/>
        </w:rPr>
        <w:fldChar w:fldCharType="separate"/>
      </w:r>
      <w:r>
        <w:rPr>
          <w:rFonts w:hint="eastAsia" w:ascii="仿宋" w:hAnsi="仿宋" w:eastAsia="仿宋" w:cs="仿宋"/>
          <w:color w:val="auto"/>
          <w:sz w:val="22"/>
          <w:szCs w:val="21"/>
        </w:rPr>
        <w:t>2.招标文件</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_Toc30737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"_Toc14683" </w:instrText>
      </w:r>
      <w:r>
        <w:rPr>
          <w:color w:val="auto"/>
        </w:rPr>
        <w:fldChar w:fldCharType="separate"/>
      </w:r>
      <w:r>
        <w:rPr>
          <w:rFonts w:hint="eastAsia" w:ascii="仿宋" w:hAnsi="仿宋" w:eastAsia="仿宋" w:cs="仿宋"/>
          <w:color w:val="auto"/>
          <w:sz w:val="22"/>
          <w:szCs w:val="21"/>
        </w:rPr>
        <w:t>2.1招标文件的组成</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_Toc14683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"_Toc24602" </w:instrText>
      </w:r>
      <w:r>
        <w:rPr>
          <w:color w:val="auto"/>
        </w:rPr>
        <w:fldChar w:fldCharType="separate"/>
      </w:r>
      <w:r>
        <w:rPr>
          <w:rFonts w:hint="eastAsia" w:ascii="仿宋" w:hAnsi="仿宋" w:eastAsia="仿宋" w:cs="仿宋"/>
          <w:color w:val="auto"/>
          <w:sz w:val="22"/>
          <w:szCs w:val="21"/>
        </w:rPr>
        <w:t>2.2踏勘现场</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_Toc24602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"_Toc3833" </w:instrText>
      </w:r>
      <w:r>
        <w:rPr>
          <w:color w:val="auto"/>
        </w:rPr>
        <w:fldChar w:fldCharType="separate"/>
      </w:r>
      <w:r>
        <w:rPr>
          <w:rFonts w:hint="eastAsia" w:ascii="仿宋" w:hAnsi="仿宋" w:eastAsia="仿宋" w:cs="仿宋"/>
          <w:color w:val="auto"/>
          <w:sz w:val="22"/>
          <w:szCs w:val="21"/>
        </w:rPr>
        <w:t>2.3投标预备会</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_Toc3833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"_Toc12345" </w:instrText>
      </w:r>
      <w:r>
        <w:rPr>
          <w:color w:val="auto"/>
        </w:rPr>
        <w:fldChar w:fldCharType="separate"/>
      </w:r>
      <w:r>
        <w:rPr>
          <w:rFonts w:hint="eastAsia" w:ascii="仿宋" w:hAnsi="仿宋" w:eastAsia="仿宋" w:cs="仿宋"/>
          <w:color w:val="auto"/>
          <w:sz w:val="22"/>
          <w:szCs w:val="21"/>
        </w:rPr>
        <w:t>2.4招标文件的修改</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_Toc12345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"_Toc15701" </w:instrText>
      </w:r>
      <w:r>
        <w:rPr>
          <w:color w:val="auto"/>
        </w:rPr>
        <w:fldChar w:fldCharType="separate"/>
      </w:r>
      <w:r>
        <w:rPr>
          <w:rFonts w:hint="eastAsia" w:ascii="仿宋" w:hAnsi="仿宋" w:eastAsia="仿宋" w:cs="仿宋"/>
          <w:color w:val="auto"/>
          <w:sz w:val="22"/>
          <w:szCs w:val="21"/>
        </w:rPr>
        <w:t>2.5招标文件的异议</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_Toc15701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"_Toc5145" </w:instrText>
      </w:r>
      <w:r>
        <w:rPr>
          <w:color w:val="auto"/>
        </w:rPr>
        <w:fldChar w:fldCharType="separate"/>
      </w:r>
      <w:r>
        <w:rPr>
          <w:rFonts w:hint="eastAsia" w:ascii="仿宋" w:hAnsi="仿宋" w:eastAsia="仿宋" w:cs="仿宋"/>
          <w:color w:val="auto"/>
          <w:sz w:val="22"/>
          <w:szCs w:val="21"/>
        </w:rPr>
        <w:t>3.投标文件</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_Toc5145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"_Toc25453" </w:instrText>
      </w:r>
      <w:r>
        <w:rPr>
          <w:color w:val="auto"/>
        </w:rPr>
        <w:fldChar w:fldCharType="separate"/>
      </w:r>
      <w:r>
        <w:rPr>
          <w:rFonts w:hint="eastAsia" w:ascii="仿宋" w:hAnsi="仿宋" w:eastAsia="仿宋" w:cs="仿宋"/>
          <w:color w:val="auto"/>
          <w:sz w:val="22"/>
          <w:szCs w:val="21"/>
        </w:rPr>
        <w:t>3.1 投标文件的组成</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_Toc25453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"_Toc20674" </w:instrText>
      </w:r>
      <w:r>
        <w:rPr>
          <w:color w:val="auto"/>
        </w:rPr>
        <w:fldChar w:fldCharType="separate"/>
      </w:r>
      <w:r>
        <w:rPr>
          <w:rFonts w:hint="eastAsia" w:ascii="仿宋" w:hAnsi="仿宋" w:eastAsia="仿宋" w:cs="仿宋"/>
          <w:color w:val="auto"/>
          <w:sz w:val="22"/>
          <w:szCs w:val="21"/>
        </w:rPr>
        <w:t>3.2 投标文件的编制</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_Toc20674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17</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"_Toc13378" </w:instrText>
      </w:r>
      <w:r>
        <w:rPr>
          <w:color w:val="auto"/>
        </w:rPr>
        <w:fldChar w:fldCharType="separate"/>
      </w:r>
      <w:r>
        <w:rPr>
          <w:rFonts w:hint="eastAsia" w:ascii="仿宋" w:hAnsi="仿宋" w:eastAsia="仿宋" w:cs="仿宋"/>
          <w:color w:val="auto"/>
          <w:sz w:val="22"/>
          <w:szCs w:val="21"/>
        </w:rPr>
        <w:t>3.3 投标报价</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_Toc13378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17</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"_Toc3831" </w:instrText>
      </w:r>
      <w:r>
        <w:rPr>
          <w:color w:val="auto"/>
        </w:rPr>
        <w:fldChar w:fldCharType="separate"/>
      </w:r>
      <w:r>
        <w:rPr>
          <w:rFonts w:hint="eastAsia" w:ascii="仿宋" w:hAnsi="仿宋" w:eastAsia="仿宋" w:cs="仿宋"/>
          <w:color w:val="auto"/>
          <w:sz w:val="22"/>
          <w:szCs w:val="21"/>
        </w:rPr>
        <w:t>3.4 投标有效期</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_Toc3831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17</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"_Toc6186" </w:instrText>
      </w:r>
      <w:r>
        <w:rPr>
          <w:color w:val="auto"/>
        </w:rPr>
        <w:fldChar w:fldCharType="separate"/>
      </w:r>
      <w:r>
        <w:rPr>
          <w:rFonts w:hint="eastAsia" w:ascii="仿宋" w:hAnsi="仿宋" w:eastAsia="仿宋" w:cs="仿宋"/>
          <w:color w:val="auto"/>
          <w:sz w:val="22"/>
          <w:szCs w:val="21"/>
        </w:rPr>
        <w:t>3.5 投标保证金</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_Toc6186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18</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"_Toc30161" </w:instrText>
      </w:r>
      <w:r>
        <w:rPr>
          <w:color w:val="auto"/>
        </w:rPr>
        <w:fldChar w:fldCharType="separate"/>
      </w:r>
      <w:r>
        <w:rPr>
          <w:rFonts w:hint="eastAsia" w:ascii="仿宋" w:hAnsi="仿宋" w:eastAsia="仿宋" w:cs="仿宋"/>
          <w:color w:val="auto"/>
          <w:sz w:val="22"/>
          <w:szCs w:val="21"/>
        </w:rPr>
        <w:t>3.6 备选投标方案</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_Toc30161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18</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"_Toc24967" </w:instrText>
      </w:r>
      <w:r>
        <w:rPr>
          <w:color w:val="auto"/>
        </w:rPr>
        <w:fldChar w:fldCharType="separate"/>
      </w:r>
      <w:r>
        <w:rPr>
          <w:rFonts w:hint="eastAsia" w:ascii="仿宋" w:hAnsi="仿宋" w:eastAsia="仿宋" w:cs="仿宋"/>
          <w:color w:val="auto"/>
          <w:sz w:val="22"/>
          <w:szCs w:val="21"/>
        </w:rPr>
        <w:t>3.7 纸质投标文件的式样、密封和标记</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_Toc24967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18</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"_Toc32531" </w:instrText>
      </w:r>
      <w:r>
        <w:rPr>
          <w:color w:val="auto"/>
        </w:rPr>
        <w:fldChar w:fldCharType="separate"/>
      </w:r>
      <w:r>
        <w:rPr>
          <w:rFonts w:hint="eastAsia" w:ascii="仿宋" w:hAnsi="仿宋" w:eastAsia="仿宋" w:cs="仿宋"/>
          <w:color w:val="auto"/>
          <w:sz w:val="22"/>
          <w:szCs w:val="21"/>
        </w:rPr>
        <w:t>3.8 电子招投标的投标文件上传形式</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_Toc32531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"_Toc30810" </w:instrText>
      </w:r>
      <w:r>
        <w:rPr>
          <w:color w:val="auto"/>
        </w:rPr>
        <w:fldChar w:fldCharType="separate"/>
      </w:r>
      <w:r>
        <w:rPr>
          <w:rFonts w:hint="eastAsia" w:ascii="仿宋" w:hAnsi="仿宋" w:eastAsia="仿宋" w:cs="仿宋"/>
          <w:color w:val="auto"/>
          <w:sz w:val="22"/>
          <w:szCs w:val="21"/>
        </w:rPr>
        <w:t>4.投标</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_Toc30810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"_Toc31475" </w:instrText>
      </w:r>
      <w:r>
        <w:rPr>
          <w:color w:val="auto"/>
        </w:rPr>
        <w:fldChar w:fldCharType="separate"/>
      </w:r>
      <w:r>
        <w:rPr>
          <w:rFonts w:hint="eastAsia" w:ascii="仿宋" w:hAnsi="仿宋" w:eastAsia="仿宋" w:cs="仿宋"/>
          <w:color w:val="auto"/>
          <w:sz w:val="22"/>
          <w:szCs w:val="21"/>
        </w:rPr>
        <w:t>4.1 投标文件的递交</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_Toc31475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"_Toc15182" </w:instrText>
      </w:r>
      <w:r>
        <w:rPr>
          <w:color w:val="auto"/>
        </w:rPr>
        <w:fldChar w:fldCharType="separate"/>
      </w:r>
      <w:r>
        <w:rPr>
          <w:rFonts w:hint="eastAsia" w:ascii="仿宋" w:hAnsi="仿宋" w:eastAsia="仿宋" w:cs="仿宋"/>
          <w:color w:val="auto"/>
          <w:sz w:val="22"/>
          <w:szCs w:val="21"/>
        </w:rPr>
        <w:t>4.2 投标文件的修改、撤回和撤销</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_Toc15182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"_Toc10106" </w:instrText>
      </w:r>
      <w:r>
        <w:rPr>
          <w:color w:val="auto"/>
        </w:rPr>
        <w:fldChar w:fldCharType="separate"/>
      </w:r>
      <w:r>
        <w:rPr>
          <w:rFonts w:hint="eastAsia" w:ascii="仿宋" w:hAnsi="仿宋" w:eastAsia="仿宋" w:cs="仿宋"/>
          <w:color w:val="auto"/>
          <w:sz w:val="22"/>
          <w:szCs w:val="21"/>
        </w:rPr>
        <w:t>5.开标</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_Toc10106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"_Toc2603" </w:instrText>
      </w:r>
      <w:r>
        <w:rPr>
          <w:color w:val="auto"/>
        </w:rPr>
        <w:fldChar w:fldCharType="separate"/>
      </w:r>
      <w:r>
        <w:rPr>
          <w:rFonts w:hint="eastAsia" w:ascii="仿宋" w:hAnsi="仿宋" w:eastAsia="仿宋" w:cs="仿宋"/>
          <w:color w:val="auto"/>
          <w:sz w:val="22"/>
          <w:szCs w:val="21"/>
        </w:rPr>
        <w:t>5.1 开标时间</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_Toc2603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"_Toc8110" </w:instrText>
      </w:r>
      <w:r>
        <w:rPr>
          <w:color w:val="auto"/>
        </w:rPr>
        <w:fldChar w:fldCharType="separate"/>
      </w:r>
      <w:r>
        <w:rPr>
          <w:rFonts w:hint="eastAsia" w:ascii="仿宋" w:hAnsi="仿宋" w:eastAsia="仿宋" w:cs="仿宋"/>
          <w:color w:val="auto"/>
          <w:sz w:val="22"/>
          <w:szCs w:val="21"/>
        </w:rPr>
        <w:t>5.2 开标程序</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_Toc8110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19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"_Toc19665" </w:instrText>
      </w:r>
      <w:r>
        <w:rPr>
          <w:color w:val="auto"/>
        </w:rPr>
        <w:fldChar w:fldCharType="separate"/>
      </w:r>
      <w:r>
        <w:rPr>
          <w:rFonts w:hint="eastAsia" w:ascii="仿宋" w:hAnsi="仿宋" w:eastAsia="仿宋" w:cs="仿宋"/>
          <w:color w:val="auto"/>
          <w:sz w:val="22"/>
          <w:szCs w:val="21"/>
        </w:rPr>
        <w:t>5.3 开标异议</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_Toc19665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20</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"_Toc18709" </w:instrText>
      </w:r>
      <w:r>
        <w:rPr>
          <w:color w:val="auto"/>
        </w:rPr>
        <w:fldChar w:fldCharType="separate"/>
      </w:r>
      <w:r>
        <w:rPr>
          <w:rFonts w:hint="eastAsia" w:ascii="仿宋" w:hAnsi="仿宋" w:eastAsia="仿宋" w:cs="仿宋"/>
          <w:color w:val="auto"/>
          <w:sz w:val="22"/>
          <w:szCs w:val="21"/>
        </w:rPr>
        <w:t>5.4 电子招投标的其他开标要求及异常处理</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_Toc18709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20</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"_Toc9008" </w:instrText>
      </w:r>
      <w:r>
        <w:rPr>
          <w:color w:val="auto"/>
        </w:rPr>
        <w:fldChar w:fldCharType="separate"/>
      </w:r>
      <w:r>
        <w:rPr>
          <w:rFonts w:hint="eastAsia" w:ascii="仿宋" w:hAnsi="仿宋" w:eastAsia="仿宋" w:cs="仿宋"/>
          <w:color w:val="auto"/>
          <w:sz w:val="22"/>
          <w:szCs w:val="21"/>
        </w:rPr>
        <w:t>5.5不得开标的情形</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_Toc9008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20</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"_Toc23132" </w:instrText>
      </w:r>
      <w:r>
        <w:rPr>
          <w:color w:val="auto"/>
        </w:rPr>
        <w:fldChar w:fldCharType="separate"/>
      </w:r>
      <w:r>
        <w:rPr>
          <w:rFonts w:hint="eastAsia" w:ascii="仿宋" w:hAnsi="仿宋" w:eastAsia="仿宋" w:cs="仿宋"/>
          <w:color w:val="auto"/>
          <w:sz w:val="22"/>
          <w:szCs w:val="21"/>
        </w:rPr>
        <w:t>6.评标</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_Toc23132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20</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"_Toc3541" </w:instrText>
      </w:r>
      <w:r>
        <w:rPr>
          <w:color w:val="auto"/>
        </w:rPr>
        <w:fldChar w:fldCharType="separate"/>
      </w:r>
      <w:r>
        <w:rPr>
          <w:rFonts w:hint="eastAsia" w:ascii="仿宋" w:hAnsi="仿宋" w:eastAsia="仿宋" w:cs="仿宋"/>
          <w:color w:val="auto"/>
          <w:sz w:val="22"/>
          <w:szCs w:val="21"/>
        </w:rPr>
        <w:t>6.1 评标委员会</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_Toc3541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20</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"_Toc11297" </w:instrText>
      </w:r>
      <w:r>
        <w:rPr>
          <w:color w:val="auto"/>
        </w:rPr>
        <w:fldChar w:fldCharType="separate"/>
      </w:r>
      <w:r>
        <w:rPr>
          <w:rFonts w:hint="eastAsia" w:ascii="仿宋" w:hAnsi="仿宋" w:eastAsia="仿宋" w:cs="仿宋"/>
          <w:color w:val="auto"/>
          <w:sz w:val="22"/>
          <w:szCs w:val="21"/>
        </w:rPr>
        <w:t>6.2 评标原则</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_Toc11297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20</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"_Toc7172" </w:instrText>
      </w:r>
      <w:r>
        <w:rPr>
          <w:color w:val="auto"/>
        </w:rPr>
        <w:fldChar w:fldCharType="separate"/>
      </w:r>
      <w:r>
        <w:rPr>
          <w:rFonts w:hint="eastAsia" w:ascii="仿宋" w:hAnsi="仿宋" w:eastAsia="仿宋" w:cs="仿宋"/>
          <w:color w:val="auto"/>
          <w:sz w:val="22"/>
          <w:szCs w:val="21"/>
        </w:rPr>
        <w:t>6.3 评标方法</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_Toc7172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"_Toc19769" </w:instrText>
      </w:r>
      <w:r>
        <w:rPr>
          <w:color w:val="auto"/>
        </w:rPr>
        <w:fldChar w:fldCharType="separate"/>
      </w:r>
      <w:r>
        <w:rPr>
          <w:rFonts w:hint="eastAsia" w:ascii="仿宋" w:hAnsi="仿宋" w:eastAsia="仿宋" w:cs="仿宋"/>
          <w:color w:val="auto"/>
          <w:sz w:val="22"/>
          <w:szCs w:val="21"/>
        </w:rPr>
        <w:t>6.4 中标候选人推荐原则</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_Toc19769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"_Toc21364" </w:instrText>
      </w:r>
      <w:r>
        <w:rPr>
          <w:color w:val="auto"/>
        </w:rPr>
        <w:fldChar w:fldCharType="separate"/>
      </w:r>
      <w:r>
        <w:rPr>
          <w:rFonts w:hint="eastAsia" w:ascii="仿宋" w:hAnsi="仿宋" w:eastAsia="仿宋" w:cs="仿宋"/>
          <w:color w:val="auto"/>
          <w:sz w:val="22"/>
          <w:szCs w:val="21"/>
        </w:rPr>
        <w:t>6.5 评标报告</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_Toc21364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"_Toc24032" </w:instrText>
      </w:r>
      <w:r>
        <w:rPr>
          <w:color w:val="auto"/>
        </w:rPr>
        <w:fldChar w:fldCharType="separate"/>
      </w:r>
      <w:r>
        <w:rPr>
          <w:rFonts w:hint="eastAsia" w:ascii="仿宋" w:hAnsi="仿宋" w:eastAsia="仿宋" w:cs="仿宋"/>
          <w:color w:val="auto"/>
          <w:sz w:val="22"/>
          <w:szCs w:val="21"/>
        </w:rPr>
        <w:t>7.中标</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_Toc24032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"_Toc26416" </w:instrText>
      </w:r>
      <w:r>
        <w:rPr>
          <w:color w:val="auto"/>
        </w:rPr>
        <w:fldChar w:fldCharType="separate"/>
      </w:r>
      <w:r>
        <w:rPr>
          <w:rFonts w:hint="eastAsia" w:ascii="仿宋" w:hAnsi="仿宋" w:eastAsia="仿宋" w:cs="仿宋"/>
          <w:color w:val="auto"/>
          <w:sz w:val="22"/>
          <w:szCs w:val="21"/>
        </w:rPr>
        <w:t>7.1 中标候选人公示</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_Toc26416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"_Toc4538" </w:instrText>
      </w:r>
      <w:r>
        <w:rPr>
          <w:color w:val="auto"/>
        </w:rPr>
        <w:fldChar w:fldCharType="separate"/>
      </w:r>
      <w:r>
        <w:rPr>
          <w:rFonts w:hint="eastAsia" w:ascii="仿宋" w:hAnsi="仿宋" w:eastAsia="仿宋" w:cs="仿宋"/>
          <w:color w:val="auto"/>
          <w:sz w:val="22"/>
          <w:szCs w:val="21"/>
        </w:rPr>
        <w:t>7.2 确定中标人</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_Toc4538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22</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"_Toc15904" </w:instrText>
      </w:r>
      <w:r>
        <w:rPr>
          <w:color w:val="auto"/>
        </w:rPr>
        <w:fldChar w:fldCharType="separate"/>
      </w:r>
      <w:r>
        <w:rPr>
          <w:rFonts w:hint="eastAsia" w:ascii="仿宋" w:hAnsi="仿宋" w:eastAsia="仿宋" w:cs="仿宋"/>
          <w:color w:val="auto"/>
          <w:sz w:val="22"/>
          <w:szCs w:val="21"/>
        </w:rPr>
        <w:t>7.3 中标结果公示</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_Toc15904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22</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"_Toc30350" </w:instrText>
      </w:r>
      <w:r>
        <w:rPr>
          <w:color w:val="auto"/>
        </w:rPr>
        <w:fldChar w:fldCharType="separate"/>
      </w:r>
      <w:r>
        <w:rPr>
          <w:rFonts w:hint="eastAsia" w:ascii="仿宋" w:hAnsi="仿宋" w:eastAsia="仿宋" w:cs="仿宋"/>
          <w:color w:val="auto"/>
          <w:sz w:val="22"/>
          <w:szCs w:val="21"/>
        </w:rPr>
        <w:t>7.4 中标通知</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_Toc30350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22</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"_Toc3918" </w:instrText>
      </w:r>
      <w:r>
        <w:rPr>
          <w:color w:val="auto"/>
        </w:rPr>
        <w:fldChar w:fldCharType="separate"/>
      </w:r>
      <w:r>
        <w:rPr>
          <w:rFonts w:hint="eastAsia" w:ascii="仿宋" w:hAnsi="仿宋" w:eastAsia="仿宋" w:cs="仿宋"/>
          <w:color w:val="auto"/>
          <w:sz w:val="22"/>
          <w:szCs w:val="21"/>
        </w:rPr>
        <w:t>8.合同签订</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_Toc3918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23</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"_Toc20000" </w:instrText>
      </w:r>
      <w:r>
        <w:rPr>
          <w:color w:val="auto"/>
        </w:rPr>
        <w:fldChar w:fldCharType="separate"/>
      </w:r>
      <w:r>
        <w:rPr>
          <w:rFonts w:hint="eastAsia" w:ascii="仿宋" w:hAnsi="仿宋" w:eastAsia="仿宋" w:cs="仿宋"/>
          <w:color w:val="auto"/>
          <w:sz w:val="22"/>
          <w:szCs w:val="21"/>
        </w:rPr>
        <w:t>8.1 履约保证金</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_Toc20000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23</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"_Toc18661" </w:instrText>
      </w:r>
      <w:r>
        <w:rPr>
          <w:color w:val="auto"/>
        </w:rPr>
        <w:fldChar w:fldCharType="separate"/>
      </w:r>
      <w:r>
        <w:rPr>
          <w:rFonts w:hint="eastAsia" w:ascii="仿宋" w:hAnsi="仿宋" w:eastAsia="仿宋" w:cs="仿宋"/>
          <w:color w:val="auto"/>
          <w:sz w:val="22"/>
          <w:szCs w:val="21"/>
        </w:rPr>
        <w:t>8.2 合同签订</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_Toc18661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23</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"_Toc31639" </w:instrText>
      </w:r>
      <w:r>
        <w:rPr>
          <w:color w:val="auto"/>
        </w:rPr>
        <w:fldChar w:fldCharType="separate"/>
      </w:r>
      <w:r>
        <w:rPr>
          <w:rFonts w:hint="eastAsia" w:ascii="仿宋" w:hAnsi="仿宋" w:eastAsia="仿宋" w:cs="仿宋"/>
          <w:color w:val="auto"/>
          <w:sz w:val="22"/>
          <w:szCs w:val="21"/>
        </w:rPr>
        <w:t>9.招标代理服务费</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_Toc31639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23</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"_Toc24687" </w:instrText>
      </w:r>
      <w:r>
        <w:rPr>
          <w:color w:val="auto"/>
        </w:rPr>
        <w:fldChar w:fldCharType="separate"/>
      </w:r>
      <w:r>
        <w:rPr>
          <w:rFonts w:hint="eastAsia" w:ascii="仿宋" w:hAnsi="仿宋" w:eastAsia="仿宋" w:cs="仿宋"/>
          <w:color w:val="auto"/>
          <w:sz w:val="22"/>
          <w:szCs w:val="21"/>
        </w:rPr>
        <w:t>10.纪律和监督</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_Toc24687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23</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"_Toc18766" </w:instrText>
      </w:r>
      <w:r>
        <w:rPr>
          <w:color w:val="auto"/>
        </w:rPr>
        <w:fldChar w:fldCharType="separate"/>
      </w:r>
      <w:r>
        <w:rPr>
          <w:rFonts w:hint="eastAsia" w:ascii="仿宋" w:hAnsi="仿宋" w:eastAsia="仿宋" w:cs="仿宋"/>
          <w:color w:val="auto"/>
          <w:sz w:val="22"/>
          <w:szCs w:val="21"/>
        </w:rPr>
        <w:t>10.1 对招标人的纪律要求</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_Toc18766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23</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"_Toc24046" </w:instrText>
      </w:r>
      <w:r>
        <w:rPr>
          <w:color w:val="auto"/>
        </w:rPr>
        <w:fldChar w:fldCharType="separate"/>
      </w:r>
      <w:r>
        <w:rPr>
          <w:rFonts w:hint="eastAsia" w:ascii="仿宋" w:hAnsi="仿宋" w:eastAsia="仿宋" w:cs="仿宋"/>
          <w:color w:val="auto"/>
          <w:sz w:val="22"/>
          <w:szCs w:val="21"/>
        </w:rPr>
        <w:t>10.2 对投标人的纪律要求</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_Toc24046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"_Toc12807" </w:instrText>
      </w:r>
      <w:r>
        <w:rPr>
          <w:color w:val="auto"/>
        </w:rPr>
        <w:fldChar w:fldCharType="separate"/>
      </w:r>
      <w:r>
        <w:rPr>
          <w:rFonts w:hint="eastAsia" w:ascii="仿宋" w:hAnsi="仿宋" w:eastAsia="仿宋" w:cs="仿宋"/>
          <w:color w:val="auto"/>
          <w:sz w:val="22"/>
          <w:szCs w:val="21"/>
        </w:rPr>
        <w:t>10.3 对评标委员会成员的纪律要求</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_Toc12807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"_Toc16571" </w:instrText>
      </w:r>
      <w:r>
        <w:rPr>
          <w:color w:val="auto"/>
        </w:rPr>
        <w:fldChar w:fldCharType="separate"/>
      </w:r>
      <w:r>
        <w:rPr>
          <w:rFonts w:hint="eastAsia" w:ascii="仿宋" w:hAnsi="仿宋" w:eastAsia="仿宋" w:cs="仿宋"/>
          <w:color w:val="auto"/>
          <w:sz w:val="22"/>
          <w:szCs w:val="21"/>
        </w:rPr>
        <w:t>10.4 对招标代理机构的纪律要求</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_Toc16571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"_Toc28887" </w:instrText>
      </w:r>
      <w:r>
        <w:rPr>
          <w:color w:val="auto"/>
        </w:rPr>
        <w:fldChar w:fldCharType="separate"/>
      </w:r>
      <w:r>
        <w:rPr>
          <w:rFonts w:hint="eastAsia" w:ascii="仿宋" w:hAnsi="仿宋" w:eastAsia="仿宋" w:cs="仿宋"/>
          <w:color w:val="auto"/>
          <w:sz w:val="22"/>
          <w:szCs w:val="21"/>
        </w:rPr>
        <w:t>10.5 对与评标活动有关的工作人员的纪律要求</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_Toc28887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"_Toc5195" </w:instrText>
      </w:r>
      <w:r>
        <w:rPr>
          <w:color w:val="auto"/>
        </w:rPr>
        <w:fldChar w:fldCharType="separate"/>
      </w:r>
      <w:r>
        <w:rPr>
          <w:rFonts w:hint="eastAsia" w:ascii="仿宋" w:hAnsi="仿宋" w:eastAsia="仿宋" w:cs="仿宋"/>
          <w:color w:val="auto"/>
          <w:sz w:val="22"/>
          <w:szCs w:val="21"/>
        </w:rPr>
        <w:t>11. 需要补充的其他内容</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_Toc5195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28"/>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"_Toc30018" </w:instrText>
      </w:r>
      <w:r>
        <w:rPr>
          <w:color w:val="auto"/>
        </w:rPr>
        <w:fldChar w:fldCharType="separate"/>
      </w:r>
      <w:r>
        <w:rPr>
          <w:rFonts w:hint="eastAsia" w:ascii="仿宋" w:hAnsi="仿宋" w:eastAsia="仿宋" w:cs="仿宋"/>
          <w:color w:val="auto"/>
          <w:sz w:val="22"/>
          <w:szCs w:val="21"/>
        </w:rPr>
        <w:t>第三章 评标办法</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_Toc30018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"_Toc31831" </w:instrText>
      </w:r>
      <w:r>
        <w:rPr>
          <w:color w:val="auto"/>
        </w:rPr>
        <w:fldChar w:fldCharType="separate"/>
      </w:r>
      <w:r>
        <w:rPr>
          <w:rFonts w:hint="eastAsia" w:ascii="仿宋" w:hAnsi="仿宋" w:eastAsia="仿宋" w:cs="仿宋"/>
          <w:color w:val="auto"/>
          <w:sz w:val="22"/>
          <w:szCs w:val="28"/>
        </w:rPr>
        <w:t>评标办法前附表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_Toc31831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"_Toc1372" </w:instrText>
      </w:r>
      <w:r>
        <w:rPr>
          <w:color w:val="auto"/>
        </w:rPr>
        <w:fldChar w:fldCharType="separate"/>
      </w:r>
      <w:r>
        <w:rPr>
          <w:rFonts w:hint="eastAsia" w:ascii="仿宋" w:hAnsi="仿宋" w:eastAsia="仿宋" w:cs="仿宋"/>
          <w:color w:val="auto"/>
          <w:sz w:val="22"/>
          <w:szCs w:val="21"/>
        </w:rPr>
        <w:t>1、初步评审标准</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_Toc1372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"_Toc31474" </w:instrText>
      </w:r>
      <w:r>
        <w:rPr>
          <w:color w:val="auto"/>
        </w:rPr>
        <w:fldChar w:fldCharType="separate"/>
      </w:r>
      <w:r>
        <w:rPr>
          <w:rFonts w:hint="eastAsia" w:ascii="仿宋" w:hAnsi="仿宋" w:eastAsia="仿宋" w:cs="仿宋"/>
          <w:color w:val="auto"/>
          <w:sz w:val="22"/>
          <w:szCs w:val="21"/>
        </w:rPr>
        <w:t>2、否决投标情形汇总</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_Toc31474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28</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"_Toc26101" </w:instrText>
      </w:r>
      <w:r>
        <w:rPr>
          <w:color w:val="auto"/>
        </w:rPr>
        <w:fldChar w:fldCharType="separate"/>
      </w:r>
      <w:r>
        <w:rPr>
          <w:rFonts w:hint="eastAsia" w:ascii="仿宋" w:hAnsi="仿宋" w:eastAsia="仿宋" w:cs="仿宋"/>
          <w:color w:val="auto"/>
          <w:sz w:val="22"/>
          <w:szCs w:val="21"/>
        </w:rPr>
        <w:t>3、详细评审标准</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_Toc26101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30</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"_Toc2188" </w:instrText>
      </w:r>
      <w:r>
        <w:rPr>
          <w:color w:val="auto"/>
        </w:rPr>
        <w:fldChar w:fldCharType="separate"/>
      </w:r>
      <w:r>
        <w:rPr>
          <w:rFonts w:hint="eastAsia" w:ascii="仿宋" w:hAnsi="仿宋" w:eastAsia="仿宋" w:cs="仿宋"/>
          <w:color w:val="auto"/>
          <w:sz w:val="22"/>
          <w:szCs w:val="28"/>
        </w:rPr>
        <w:t>一、评标方法</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_Toc2188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"_Toc24853" </w:instrText>
      </w:r>
      <w:r>
        <w:rPr>
          <w:color w:val="auto"/>
        </w:rPr>
        <w:fldChar w:fldCharType="separate"/>
      </w:r>
      <w:r>
        <w:rPr>
          <w:rFonts w:hint="eastAsia" w:ascii="仿宋" w:hAnsi="仿宋" w:eastAsia="仿宋" w:cs="仿宋"/>
          <w:color w:val="auto"/>
          <w:sz w:val="22"/>
          <w:szCs w:val="28"/>
        </w:rPr>
        <w:t>二、评审标准</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_Toc24853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"_Toc5379" </w:instrText>
      </w:r>
      <w:r>
        <w:rPr>
          <w:color w:val="auto"/>
        </w:rPr>
        <w:fldChar w:fldCharType="separate"/>
      </w:r>
      <w:r>
        <w:rPr>
          <w:rFonts w:hint="eastAsia" w:ascii="仿宋" w:hAnsi="仿宋" w:eastAsia="仿宋" w:cs="仿宋"/>
          <w:color w:val="auto"/>
          <w:sz w:val="22"/>
          <w:szCs w:val="28"/>
        </w:rPr>
        <w:t>三、评标程序</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_Toc5379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"_Toc1356" </w:instrText>
      </w:r>
      <w:r>
        <w:rPr>
          <w:color w:val="auto"/>
        </w:rPr>
        <w:fldChar w:fldCharType="separate"/>
      </w:r>
      <w:r>
        <w:rPr>
          <w:rFonts w:hint="eastAsia" w:ascii="仿宋" w:hAnsi="仿宋" w:eastAsia="仿宋" w:cs="仿宋"/>
          <w:color w:val="auto"/>
          <w:sz w:val="22"/>
          <w:szCs w:val="21"/>
        </w:rPr>
        <w:t>3.1初步评审</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_Toc1356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"_Toc549" </w:instrText>
      </w:r>
      <w:r>
        <w:rPr>
          <w:color w:val="auto"/>
        </w:rPr>
        <w:fldChar w:fldCharType="separate"/>
      </w:r>
      <w:r>
        <w:rPr>
          <w:rFonts w:hint="eastAsia" w:ascii="仿宋" w:hAnsi="仿宋" w:eastAsia="仿宋" w:cs="仿宋"/>
          <w:color w:val="auto"/>
          <w:sz w:val="22"/>
          <w:szCs w:val="21"/>
        </w:rPr>
        <w:t>3.2 详细评审</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_Toc549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32</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"_Toc3245" </w:instrText>
      </w:r>
      <w:r>
        <w:rPr>
          <w:color w:val="auto"/>
        </w:rPr>
        <w:fldChar w:fldCharType="separate"/>
      </w:r>
      <w:r>
        <w:rPr>
          <w:rFonts w:hint="eastAsia" w:ascii="仿宋" w:hAnsi="仿宋" w:eastAsia="仿宋" w:cs="仿宋"/>
          <w:color w:val="auto"/>
          <w:sz w:val="22"/>
          <w:szCs w:val="21"/>
        </w:rPr>
        <w:t>3.3 投标文件的澄清、说明</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_Toc3245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32</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"_Toc27472" </w:instrText>
      </w:r>
      <w:r>
        <w:rPr>
          <w:color w:val="auto"/>
        </w:rPr>
        <w:fldChar w:fldCharType="separate"/>
      </w:r>
      <w:r>
        <w:rPr>
          <w:rFonts w:hint="eastAsia" w:ascii="仿宋" w:hAnsi="仿宋" w:eastAsia="仿宋" w:cs="仿宋"/>
          <w:color w:val="auto"/>
          <w:sz w:val="22"/>
          <w:szCs w:val="21"/>
        </w:rPr>
        <w:t>3.4 中标候选人推荐原则</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_Toc27472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33</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"_Toc4198" </w:instrText>
      </w:r>
      <w:r>
        <w:rPr>
          <w:color w:val="auto"/>
        </w:rPr>
        <w:fldChar w:fldCharType="separate"/>
      </w:r>
      <w:r>
        <w:rPr>
          <w:rFonts w:hint="eastAsia" w:ascii="仿宋" w:hAnsi="仿宋" w:eastAsia="仿宋" w:cs="仿宋"/>
          <w:color w:val="auto"/>
          <w:sz w:val="22"/>
          <w:szCs w:val="21"/>
        </w:rPr>
        <w:t>3.5 评标结果</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_Toc4198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33</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28"/>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"_Toc27416" </w:instrText>
      </w:r>
      <w:r>
        <w:rPr>
          <w:color w:val="auto"/>
        </w:rPr>
        <w:fldChar w:fldCharType="separate"/>
      </w:r>
      <w:r>
        <w:rPr>
          <w:rFonts w:hint="eastAsia" w:ascii="仿宋" w:hAnsi="仿宋" w:eastAsia="仿宋" w:cs="仿宋"/>
          <w:color w:val="auto"/>
          <w:sz w:val="22"/>
          <w:szCs w:val="21"/>
        </w:rPr>
        <w:t>第四章 合同条款</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_Toc27416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28"/>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"_Toc5715" </w:instrText>
      </w:r>
      <w:r>
        <w:rPr>
          <w:color w:val="auto"/>
        </w:rPr>
        <w:fldChar w:fldCharType="separate"/>
      </w:r>
      <w:r>
        <w:rPr>
          <w:rFonts w:hint="eastAsia" w:ascii="仿宋" w:hAnsi="仿宋" w:eastAsia="仿宋" w:cs="仿宋"/>
          <w:color w:val="auto"/>
          <w:sz w:val="22"/>
          <w:szCs w:val="21"/>
        </w:rPr>
        <w:t>第五章 技术规范书</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_Toc5715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28"/>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"_Toc22300" </w:instrText>
      </w:r>
      <w:r>
        <w:rPr>
          <w:color w:val="auto"/>
        </w:rPr>
        <w:fldChar w:fldCharType="separate"/>
      </w:r>
      <w:r>
        <w:rPr>
          <w:rFonts w:hint="eastAsia" w:ascii="仿宋" w:hAnsi="仿宋" w:eastAsia="仿宋" w:cs="仿宋"/>
          <w:color w:val="auto"/>
          <w:sz w:val="22"/>
          <w:szCs w:val="22"/>
        </w:rPr>
        <w:t>第六章 投标文件格式</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_Toc22300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"_Toc12294" </w:instrText>
      </w:r>
      <w:r>
        <w:rPr>
          <w:color w:val="auto"/>
        </w:rPr>
        <w:fldChar w:fldCharType="separate"/>
      </w:r>
      <w:r>
        <w:rPr>
          <w:rFonts w:hint="eastAsia" w:ascii="仿宋" w:hAnsi="仿宋" w:eastAsia="仿宋" w:cs="仿宋"/>
          <w:color w:val="auto"/>
          <w:sz w:val="22"/>
          <w:szCs w:val="21"/>
        </w:rPr>
        <w:t>一、商务文件</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_Toc12294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37</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"_Toc27497" </w:instrText>
      </w:r>
      <w:r>
        <w:rPr>
          <w:color w:val="auto"/>
        </w:rPr>
        <w:fldChar w:fldCharType="separate"/>
      </w:r>
      <w:r>
        <w:rPr>
          <w:rFonts w:hint="eastAsia" w:ascii="仿宋" w:hAnsi="仿宋" w:eastAsia="仿宋" w:cs="仿宋"/>
          <w:color w:val="auto"/>
          <w:sz w:val="22"/>
          <w:szCs w:val="21"/>
        </w:rPr>
        <w:t>初步评审索引表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_Toc27497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37</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"_Toc24334" </w:instrText>
      </w:r>
      <w:r>
        <w:rPr>
          <w:color w:val="auto"/>
        </w:rPr>
        <w:fldChar w:fldCharType="separate"/>
      </w:r>
      <w:r>
        <w:rPr>
          <w:rFonts w:hint="eastAsia" w:ascii="仿宋" w:hAnsi="仿宋" w:eastAsia="仿宋" w:cs="仿宋"/>
          <w:color w:val="auto"/>
          <w:sz w:val="22"/>
          <w:szCs w:val="21"/>
        </w:rPr>
        <w:t>详细评审索引表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_Toc24334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38</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"_Toc27171" </w:instrText>
      </w:r>
      <w:r>
        <w:rPr>
          <w:color w:val="auto"/>
        </w:rPr>
        <w:fldChar w:fldCharType="separate"/>
      </w:r>
      <w:r>
        <w:rPr>
          <w:rFonts w:hint="eastAsia" w:ascii="仿宋" w:hAnsi="仿宋" w:eastAsia="仿宋" w:cs="仿宋"/>
          <w:color w:val="auto"/>
          <w:sz w:val="22"/>
          <w:szCs w:val="28"/>
        </w:rPr>
        <w:t>（二）法定代表人（负责人）身份证明</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_Toc27171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40</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"_Toc20619" </w:instrText>
      </w:r>
      <w:r>
        <w:rPr>
          <w:color w:val="auto"/>
        </w:rPr>
        <w:fldChar w:fldCharType="separate"/>
      </w:r>
      <w:r>
        <w:rPr>
          <w:rFonts w:hint="eastAsia" w:ascii="仿宋" w:hAnsi="仿宋" w:eastAsia="仿宋" w:cs="仿宋"/>
          <w:color w:val="auto"/>
          <w:sz w:val="22"/>
          <w:szCs w:val="28"/>
        </w:rPr>
        <w:t>（三）法定代表人（负责人）授权委托书</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_Toc20619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41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"_Toc6476" </w:instrText>
      </w:r>
      <w:r>
        <w:rPr>
          <w:color w:val="auto"/>
        </w:rPr>
        <w:fldChar w:fldCharType="separate"/>
      </w:r>
      <w:r>
        <w:rPr>
          <w:rFonts w:hint="eastAsia" w:ascii="仿宋" w:hAnsi="仿宋" w:eastAsia="仿宋" w:cs="仿宋"/>
          <w:color w:val="auto"/>
          <w:sz w:val="22"/>
          <w:szCs w:val="28"/>
        </w:rPr>
        <w:t>（四）资格证明文件</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_Toc6476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42</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"_Toc21072" </w:instrText>
      </w:r>
      <w:r>
        <w:rPr>
          <w:color w:val="auto"/>
        </w:rPr>
        <w:fldChar w:fldCharType="separate"/>
      </w:r>
      <w:r>
        <w:rPr>
          <w:rFonts w:hint="eastAsia" w:ascii="仿宋" w:hAnsi="仿宋" w:eastAsia="仿宋" w:cs="仿宋"/>
          <w:color w:val="auto"/>
          <w:sz w:val="22"/>
          <w:szCs w:val="28"/>
        </w:rPr>
        <w:t>（五）投标人须知应答偏离表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_Toc21072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"_Toc6107" </w:instrText>
      </w:r>
      <w:r>
        <w:rPr>
          <w:color w:val="auto"/>
        </w:rPr>
        <w:fldChar w:fldCharType="separate"/>
      </w:r>
      <w:r>
        <w:rPr>
          <w:rFonts w:hint="eastAsia" w:ascii="仿宋" w:hAnsi="仿宋" w:eastAsia="仿宋" w:cs="仿宋"/>
          <w:color w:val="auto"/>
          <w:sz w:val="22"/>
          <w:szCs w:val="28"/>
        </w:rPr>
        <w:t>（六）合同条款应答偏离表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_Toc6107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52</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"_Toc13858" </w:instrText>
      </w:r>
      <w:r>
        <w:rPr>
          <w:color w:val="auto"/>
        </w:rPr>
        <w:fldChar w:fldCharType="separate"/>
      </w:r>
      <w:r>
        <w:rPr>
          <w:rFonts w:hint="eastAsia" w:ascii="仿宋" w:hAnsi="仿宋" w:eastAsia="仿宋" w:cs="仿宋"/>
          <w:color w:val="auto"/>
          <w:sz w:val="22"/>
          <w:szCs w:val="28"/>
        </w:rPr>
        <w:t>（七）供应商行为准则承诺书</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_Toc13858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53</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"_Toc3210" </w:instrText>
      </w:r>
      <w:r>
        <w:rPr>
          <w:color w:val="auto"/>
        </w:rPr>
        <w:fldChar w:fldCharType="separate"/>
      </w:r>
      <w:r>
        <w:rPr>
          <w:rFonts w:hint="eastAsia" w:ascii="仿宋" w:hAnsi="仿宋" w:eastAsia="仿宋" w:cs="仿宋"/>
          <w:color w:val="auto"/>
          <w:sz w:val="22"/>
          <w:szCs w:val="21"/>
        </w:rPr>
        <w:t>（八）供应商廉洁诚信承诺书</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_Toc3210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"_Toc15311" </w:instrText>
      </w:r>
      <w:r>
        <w:rPr>
          <w:color w:val="auto"/>
        </w:rPr>
        <w:fldChar w:fldCharType="separate"/>
      </w:r>
      <w:r>
        <w:rPr>
          <w:rFonts w:hint="eastAsia" w:ascii="仿宋" w:hAnsi="仿宋" w:eastAsia="仿宋" w:cs="仿宋"/>
          <w:color w:val="auto"/>
          <w:sz w:val="22"/>
          <w:szCs w:val="28"/>
        </w:rPr>
        <w:t>（九）其他材料</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_Toc15311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58</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"_Toc1018" </w:instrText>
      </w:r>
      <w:r>
        <w:rPr>
          <w:color w:val="auto"/>
        </w:rPr>
        <w:fldChar w:fldCharType="separate"/>
      </w:r>
      <w:r>
        <w:rPr>
          <w:rFonts w:hint="eastAsia" w:ascii="仿宋" w:hAnsi="仿宋" w:eastAsia="仿宋" w:cs="仿宋"/>
          <w:color w:val="auto"/>
          <w:sz w:val="22"/>
          <w:szCs w:val="28"/>
        </w:rPr>
        <w:t>二、技术文件</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_Toc1018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"_Toc8506" </w:instrText>
      </w:r>
      <w:r>
        <w:rPr>
          <w:color w:val="auto"/>
        </w:rPr>
        <w:fldChar w:fldCharType="separate"/>
      </w:r>
      <w:r>
        <w:rPr>
          <w:rFonts w:hint="eastAsia" w:ascii="仿宋" w:hAnsi="仿宋" w:eastAsia="仿宋" w:cs="仿宋"/>
          <w:color w:val="auto"/>
          <w:sz w:val="22"/>
          <w:szCs w:val="21"/>
        </w:rPr>
        <w:t>详细评审索引表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_Toc8506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59</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"_Toc16677" </w:instrText>
      </w:r>
      <w:r>
        <w:rPr>
          <w:color w:val="auto"/>
        </w:rPr>
        <w:fldChar w:fldCharType="separate"/>
      </w:r>
      <w:r>
        <w:rPr>
          <w:rFonts w:hint="eastAsia" w:ascii="仿宋" w:hAnsi="仿宋" w:eastAsia="仿宋" w:cs="仿宋"/>
          <w:color w:val="auto"/>
          <w:sz w:val="22"/>
          <w:szCs w:val="28"/>
        </w:rPr>
        <w:t>（一）技术规范书应答偏离表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_Toc16677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60</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"_Toc12176" </w:instrText>
      </w:r>
      <w:r>
        <w:rPr>
          <w:color w:val="auto"/>
        </w:rPr>
        <w:fldChar w:fldCharType="separate"/>
      </w:r>
      <w:r>
        <w:rPr>
          <w:rFonts w:hint="eastAsia" w:ascii="仿宋" w:hAnsi="仿宋" w:eastAsia="仿宋" w:cs="仿宋"/>
          <w:color w:val="auto"/>
          <w:sz w:val="22"/>
          <w:szCs w:val="28"/>
        </w:rPr>
        <w:t>（二）技术方案</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_Toc12176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61</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"_Toc6712" </w:instrText>
      </w:r>
      <w:r>
        <w:rPr>
          <w:color w:val="auto"/>
        </w:rPr>
        <w:fldChar w:fldCharType="separate"/>
      </w:r>
      <w:r>
        <w:rPr>
          <w:rFonts w:hint="eastAsia" w:ascii="仿宋" w:hAnsi="仿宋" w:eastAsia="仿宋" w:cs="仿宋"/>
          <w:color w:val="auto"/>
          <w:sz w:val="22"/>
          <w:szCs w:val="28"/>
        </w:rPr>
        <w:t>（三）其他材料</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_Toc6712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64</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36"/>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"_Toc5944" </w:instrText>
      </w:r>
      <w:r>
        <w:rPr>
          <w:color w:val="auto"/>
        </w:rPr>
        <w:fldChar w:fldCharType="separate"/>
      </w:r>
      <w:r>
        <w:rPr>
          <w:rFonts w:hint="eastAsia" w:ascii="仿宋" w:hAnsi="仿宋" w:eastAsia="仿宋" w:cs="仿宋"/>
          <w:color w:val="auto"/>
          <w:sz w:val="22"/>
          <w:szCs w:val="28"/>
        </w:rPr>
        <w:t>三、报价文件</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_Toc5944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65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"_Toc3391" </w:instrText>
      </w:r>
      <w:r>
        <w:rPr>
          <w:color w:val="auto"/>
        </w:rPr>
        <w:fldChar w:fldCharType="separate"/>
      </w:r>
      <w:r>
        <w:rPr>
          <w:rFonts w:hint="eastAsia" w:ascii="仿宋" w:hAnsi="仿宋" w:eastAsia="仿宋" w:cs="仿宋"/>
          <w:color w:val="auto"/>
          <w:sz w:val="22"/>
          <w:szCs w:val="28"/>
        </w:rPr>
        <w:t>（一）投标一览表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_Toc3391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65</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pStyle w:val="19"/>
        <w:tabs>
          <w:tab w:val="right" w:leader="dot" w:pos="9638"/>
        </w:tabs>
        <w:spacing w:line="240" w:lineRule="auto"/>
        <w:rPr>
          <w:rFonts w:ascii="仿宋" w:hAnsi="仿宋" w:eastAsia="仿宋" w:cs="仿宋"/>
          <w:color w:val="auto"/>
          <w:sz w:val="22"/>
          <w:szCs w:val="21"/>
        </w:rPr>
      </w:pPr>
      <w:r>
        <w:rPr>
          <w:color w:val="auto"/>
        </w:rPr>
        <w:fldChar w:fldCharType="begin"/>
      </w:r>
      <w:r>
        <w:rPr>
          <w:color w:val="auto"/>
        </w:rPr>
        <w:instrText xml:space="preserve"> HYPERLINK \l "_Toc14404" </w:instrText>
      </w:r>
      <w:r>
        <w:rPr>
          <w:color w:val="auto"/>
        </w:rPr>
        <w:fldChar w:fldCharType="separate"/>
      </w:r>
      <w:r>
        <w:rPr>
          <w:rFonts w:hint="eastAsia" w:ascii="仿宋" w:hAnsi="仿宋" w:eastAsia="仿宋" w:cs="仿宋"/>
          <w:color w:val="auto"/>
          <w:sz w:val="22"/>
          <w:szCs w:val="28"/>
        </w:rPr>
        <w:t>（二）分项报价表</w:t>
      </w:r>
      <w:r>
        <w:rPr>
          <w:rFonts w:hint="eastAsia" w:ascii="仿宋" w:hAnsi="仿宋" w:eastAsia="仿宋" w:cs="仿宋"/>
          <w:color w:val="auto"/>
          <w:sz w:val="22"/>
          <w:szCs w:val="21"/>
        </w:rPr>
        <w:tab/>
      </w:r>
      <w:r>
        <w:rPr>
          <w:rFonts w:hint="eastAsia" w:ascii="仿宋" w:hAnsi="仿宋" w:eastAsia="仿宋" w:cs="仿宋"/>
          <w:color w:val="auto"/>
          <w:sz w:val="22"/>
          <w:szCs w:val="21"/>
        </w:rPr>
        <w:fldChar w:fldCharType="begin"/>
      </w:r>
      <w:r>
        <w:rPr>
          <w:rFonts w:hint="eastAsia" w:ascii="仿宋" w:hAnsi="仿宋" w:eastAsia="仿宋" w:cs="仿宋"/>
          <w:color w:val="auto"/>
          <w:sz w:val="22"/>
          <w:szCs w:val="21"/>
        </w:rPr>
        <w:instrText xml:space="preserve"> PAGEREF _Toc14404 \h </w:instrText>
      </w:r>
      <w:r>
        <w:rPr>
          <w:rFonts w:hint="eastAsia" w:ascii="仿宋" w:hAnsi="仿宋" w:eastAsia="仿宋" w:cs="仿宋"/>
          <w:color w:val="auto"/>
          <w:sz w:val="22"/>
          <w:szCs w:val="21"/>
        </w:rPr>
        <w:fldChar w:fldCharType="separate"/>
      </w:r>
      <w:r>
        <w:rPr>
          <w:rFonts w:hint="eastAsia" w:ascii="仿宋" w:hAnsi="仿宋" w:eastAsia="仿宋" w:cs="仿宋"/>
          <w:color w:val="auto"/>
          <w:sz w:val="22"/>
          <w:szCs w:val="21"/>
        </w:rPr>
        <w:t>66</w:t>
      </w:r>
      <w:r>
        <w:rPr>
          <w:rFonts w:hint="eastAsia" w:ascii="仿宋" w:hAnsi="仿宋" w:eastAsia="仿宋" w:cs="仿宋"/>
          <w:color w:val="auto"/>
          <w:sz w:val="22"/>
          <w:szCs w:val="21"/>
        </w:rPr>
        <w:fldChar w:fldCharType="end"/>
      </w:r>
      <w:r>
        <w:rPr>
          <w:rFonts w:hint="eastAsia" w:ascii="仿宋" w:hAnsi="仿宋" w:eastAsia="仿宋" w:cs="仿宋"/>
          <w:color w:val="auto"/>
          <w:sz w:val="22"/>
          <w:szCs w:val="21"/>
        </w:rPr>
        <w:fldChar w:fldCharType="end"/>
      </w:r>
    </w:p>
    <w:p>
      <w:pPr>
        <w:tabs>
          <w:tab w:val="right" w:leader="dot" w:pos="8296"/>
        </w:tabs>
        <w:spacing w:line="360" w:lineRule="auto"/>
        <w:rPr>
          <w:rFonts w:ascii="仿宋" w:hAnsi="仿宋" w:eastAsia="仿宋" w:cs="仿宋"/>
          <w:color w:val="auto"/>
          <w:sz w:val="22"/>
          <w:szCs w:val="22"/>
        </w:rPr>
      </w:pPr>
      <w:r>
        <w:rPr>
          <w:rFonts w:hint="eastAsia" w:ascii="仿宋" w:hAnsi="仿宋" w:eastAsia="仿宋" w:cs="仿宋"/>
          <w:color w:val="auto"/>
          <w:sz w:val="22"/>
          <w:szCs w:val="22"/>
        </w:rPr>
        <w:fldChar w:fldCharType="end"/>
      </w:r>
    </w:p>
    <w:p>
      <w:pPr>
        <w:pStyle w:val="3"/>
        <w:spacing w:before="0" w:after="0" w:line="480" w:lineRule="auto"/>
        <w:rPr>
          <w:rFonts w:ascii="仿宋" w:hAnsi="仿宋" w:cs="宋体"/>
          <w:color w:val="auto"/>
        </w:rPr>
      </w:pPr>
      <w:r>
        <w:rPr>
          <w:rFonts w:hint="eastAsia" w:ascii="仿宋" w:hAnsi="仿宋" w:cs="宋体"/>
          <w:b w:val="0"/>
          <w:color w:val="auto"/>
        </w:rPr>
        <w:br w:type="page" w:clear="all"/>
      </w:r>
      <w:bookmarkStart w:id="0" w:name="_Toc14796"/>
      <w:bookmarkStart w:id="1" w:name="_Toc9208"/>
      <w:bookmarkStart w:id="2" w:name="_Toc9649"/>
      <w:bookmarkStart w:id="3" w:name="_Toc109124222"/>
      <w:bookmarkStart w:id="4" w:name="_Toc7914"/>
      <w:bookmarkStart w:id="5" w:name="_Toc8790"/>
      <w:bookmarkStart w:id="6" w:name="_Toc65682912"/>
      <w:r>
        <w:rPr>
          <w:rFonts w:hint="eastAsia" w:ascii="仿宋" w:hAnsi="仿宋" w:cs="宋体"/>
          <w:color w:val="auto"/>
        </w:rPr>
        <w:t xml:space="preserve">第一章 </w:t>
      </w:r>
      <w:bookmarkEnd w:id="0"/>
      <w:bookmarkEnd w:id="1"/>
      <w:bookmarkEnd w:id="2"/>
      <w:r>
        <w:rPr>
          <w:rFonts w:hint="eastAsia" w:ascii="仿宋" w:hAnsi="仿宋" w:cs="宋体"/>
          <w:color w:val="auto"/>
        </w:rPr>
        <w:t>招标公告</w:t>
      </w:r>
      <w:bookmarkEnd w:id="3"/>
      <w:bookmarkEnd w:id="4"/>
      <w:bookmarkEnd w:id="5"/>
      <w:bookmarkEnd w:id="6"/>
    </w:p>
    <w:p>
      <w:pPr>
        <w:pStyle w:val="4"/>
        <w:spacing w:line="288" w:lineRule="auto"/>
        <w:rPr>
          <w:rFonts w:ascii="仿宋" w:hAnsi="仿宋" w:cs="仿宋"/>
          <w:color w:val="auto"/>
          <w:szCs w:val="24"/>
        </w:rPr>
      </w:pPr>
      <w:bookmarkStart w:id="7" w:name="_Toc10131"/>
      <w:bookmarkStart w:id="8" w:name="_Toc24950"/>
      <w:bookmarkStart w:id="9" w:name="_Toc25200"/>
      <w:bookmarkStart w:id="10" w:name="_Toc23271"/>
      <w:bookmarkStart w:id="11" w:name="_Toc13923"/>
      <w:bookmarkStart w:id="12" w:name="_Toc65682913"/>
      <w:bookmarkStart w:id="13" w:name="_Toc109124223"/>
      <w:r>
        <w:rPr>
          <w:rFonts w:hint="eastAsia" w:ascii="仿宋" w:hAnsi="仿宋" w:cs="仿宋"/>
          <w:color w:val="auto"/>
          <w:szCs w:val="24"/>
        </w:rPr>
        <w:t>一、</w:t>
      </w:r>
      <w:bookmarkEnd w:id="7"/>
      <w:bookmarkEnd w:id="8"/>
      <w:bookmarkEnd w:id="9"/>
      <w:r>
        <w:rPr>
          <w:rFonts w:hint="eastAsia" w:ascii="仿宋" w:hAnsi="仿宋" w:cs="仿宋"/>
          <w:color w:val="auto"/>
          <w:szCs w:val="24"/>
        </w:rPr>
        <w:t>招标条件</w:t>
      </w:r>
      <w:bookmarkEnd w:id="10"/>
      <w:bookmarkEnd w:id="11"/>
      <w:bookmarkEnd w:id="12"/>
      <w:bookmarkEnd w:id="13"/>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本招标项目</w:t>
      </w:r>
      <w:r>
        <w:rPr>
          <w:rFonts w:hint="eastAsia" w:ascii="仿宋" w:hAnsi="仿宋" w:eastAsia="仿宋" w:cs="仿宋"/>
          <w:color w:val="auto"/>
          <w:sz w:val="24"/>
          <w:szCs w:val="24"/>
          <w:u w:val="single"/>
        </w:rPr>
        <w:t>人保财险南充嘉陵支公司办公楼装饰工程采购项目</w:t>
      </w:r>
      <w:r>
        <w:rPr>
          <w:rFonts w:hint="eastAsia" w:ascii="仿宋" w:hAnsi="仿宋" w:eastAsia="仿宋" w:cs="仿宋"/>
          <w:color w:val="auto"/>
          <w:sz w:val="24"/>
          <w:szCs w:val="24"/>
        </w:rPr>
        <w:t>（招标代理项目编号：SC-HDZB(GK)-2025-032）</w:t>
      </w:r>
      <w:bookmarkStart w:id="14" w:name="_Hlk69906010"/>
      <w:r>
        <w:rPr>
          <w:rFonts w:hint="eastAsia" w:ascii="仿宋" w:hAnsi="仿宋" w:eastAsia="仿宋" w:cs="仿宋"/>
          <w:color w:val="auto"/>
          <w:sz w:val="24"/>
          <w:szCs w:val="24"/>
        </w:rPr>
        <w:t>由</w:t>
      </w:r>
      <w:r>
        <w:rPr>
          <w:rFonts w:hint="eastAsia" w:ascii="仿宋" w:hAnsi="仿宋" w:eastAsia="仿宋" w:cs="仿宋"/>
          <w:color w:val="auto"/>
          <w:sz w:val="24"/>
          <w:szCs w:val="24"/>
          <w:u w:val="single"/>
        </w:rPr>
        <w:t>中国人民财产保险股份有限公司南充市分公司</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以下简称“招标人”</w:t>
      </w:r>
      <w:r>
        <w:rPr>
          <w:rFonts w:hint="eastAsia" w:ascii="仿宋" w:hAnsi="仿宋" w:eastAsia="仿宋" w:cs="仿宋"/>
          <w:color w:val="auto"/>
          <w:sz w:val="24"/>
          <w:szCs w:val="24"/>
        </w:rPr>
        <w:t>）批准并落实资金，组织本项目的相关招标工作，采购合同由</w:t>
      </w:r>
      <w:r>
        <w:rPr>
          <w:rFonts w:hint="eastAsia" w:ascii="仿宋" w:hAnsi="仿宋" w:eastAsia="仿宋" w:cs="仿宋"/>
          <w:color w:val="auto"/>
          <w:sz w:val="24"/>
          <w:szCs w:val="24"/>
          <w:u w:val="single"/>
        </w:rPr>
        <w:t>中国人民财产保险股份有限公司南充市分公司</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以下简称“人保财险南充市分公司”</w:t>
      </w:r>
      <w:r>
        <w:rPr>
          <w:rFonts w:hint="eastAsia" w:ascii="仿宋" w:hAnsi="仿宋" w:eastAsia="仿宋" w:cs="仿宋"/>
          <w:color w:val="auto"/>
          <w:sz w:val="24"/>
          <w:szCs w:val="24"/>
        </w:rPr>
        <w:t>）根据中标结果与中标人签署。</w:t>
      </w:r>
      <w:bookmarkEnd w:id="14"/>
      <w:r>
        <w:rPr>
          <w:rFonts w:hint="eastAsia" w:ascii="仿宋" w:hAnsi="仿宋" w:eastAsia="仿宋" w:cs="仿宋"/>
          <w:color w:val="auto"/>
          <w:sz w:val="24"/>
          <w:szCs w:val="24"/>
        </w:rPr>
        <w:t>现委托</w:t>
      </w:r>
      <w:r>
        <w:rPr>
          <w:rFonts w:hint="eastAsia" w:ascii="仿宋" w:hAnsi="仿宋" w:eastAsia="仿宋" w:cs="仿宋"/>
          <w:color w:val="auto"/>
          <w:sz w:val="24"/>
          <w:szCs w:val="24"/>
          <w:u w:val="single"/>
        </w:rPr>
        <w:t>四川省盛世宏达工程咨询有限公司</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以下简称“招标代理机构”</w:t>
      </w:r>
      <w:r>
        <w:rPr>
          <w:rFonts w:hint="eastAsia" w:ascii="仿宋" w:hAnsi="仿宋" w:eastAsia="仿宋" w:cs="仿宋"/>
          <w:color w:val="auto"/>
          <w:sz w:val="24"/>
          <w:szCs w:val="24"/>
        </w:rPr>
        <w:t>）进行公开招标，有意向且具有提供标的物能力的潜在投标人（</w:t>
      </w:r>
      <w:r>
        <w:rPr>
          <w:rFonts w:hint="eastAsia" w:ascii="仿宋" w:hAnsi="仿宋" w:eastAsia="仿宋" w:cs="仿宋"/>
          <w:color w:val="auto"/>
          <w:sz w:val="24"/>
          <w:szCs w:val="24"/>
          <w:u w:val="single"/>
        </w:rPr>
        <w:t>以下简称“投标人”</w:t>
      </w:r>
      <w:r>
        <w:rPr>
          <w:rFonts w:hint="eastAsia" w:ascii="仿宋" w:hAnsi="仿宋" w:eastAsia="仿宋" w:cs="仿宋"/>
          <w:color w:val="auto"/>
          <w:sz w:val="24"/>
          <w:szCs w:val="24"/>
        </w:rPr>
        <w:t>）可前来投标。</w:t>
      </w:r>
    </w:p>
    <w:p>
      <w:pPr>
        <w:pStyle w:val="4"/>
        <w:spacing w:line="288" w:lineRule="auto"/>
        <w:rPr>
          <w:rFonts w:ascii="仿宋" w:hAnsi="仿宋" w:cs="仿宋"/>
          <w:color w:val="auto"/>
          <w:szCs w:val="24"/>
        </w:rPr>
      </w:pPr>
      <w:bookmarkStart w:id="15" w:name="_Toc109124224"/>
      <w:bookmarkStart w:id="16" w:name="_Toc65682914"/>
      <w:bookmarkStart w:id="17" w:name="_Toc18478"/>
      <w:bookmarkStart w:id="18" w:name="_Toc30531"/>
      <w:r>
        <w:rPr>
          <w:rFonts w:hint="eastAsia" w:ascii="仿宋" w:hAnsi="仿宋" w:cs="仿宋"/>
          <w:color w:val="auto"/>
          <w:szCs w:val="24"/>
        </w:rPr>
        <w:t>二、项目概况与招标范围</w:t>
      </w:r>
      <w:bookmarkEnd w:id="15"/>
      <w:bookmarkEnd w:id="16"/>
      <w:bookmarkEnd w:id="17"/>
      <w:bookmarkEnd w:id="18"/>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2.1项目名称：人保财险南充嘉陵支公司办公楼装饰工程采购项目。</w:t>
      </w:r>
    </w:p>
    <w:p>
      <w:pPr>
        <w:spacing w:line="288" w:lineRule="auto"/>
        <w:ind w:firstLine="480"/>
        <w:rPr>
          <w:rFonts w:ascii="仿宋" w:hAnsi="仿宋" w:eastAsia="仿宋" w:cs="仿宋"/>
          <w:color w:val="auto"/>
          <w:sz w:val="24"/>
          <w:szCs w:val="24"/>
          <w:lang w:bidi="ar"/>
        </w:rPr>
      </w:pPr>
      <w:r>
        <w:rPr>
          <w:rFonts w:hint="eastAsia" w:ascii="仿宋" w:hAnsi="仿宋" w:eastAsia="仿宋" w:cs="仿宋"/>
          <w:color w:val="auto"/>
          <w:sz w:val="24"/>
          <w:szCs w:val="24"/>
        </w:rPr>
        <w:t>2.2招标范围：</w:t>
      </w:r>
      <w:bookmarkStart w:id="19" w:name="_Hlk69456860"/>
      <w:r>
        <w:rPr>
          <w:rFonts w:hint="eastAsia" w:ascii="仿宋" w:hAnsi="仿宋" w:eastAsia="仿宋" w:cs="仿宋"/>
          <w:color w:val="auto"/>
          <w:sz w:val="24"/>
          <w:szCs w:val="24"/>
        </w:rPr>
        <w:t>本项目拟采购</w:t>
      </w:r>
      <w:bookmarkEnd w:id="19"/>
      <w:r>
        <w:rPr>
          <w:rFonts w:hint="eastAsia" w:ascii="仿宋" w:hAnsi="仿宋" w:eastAsia="仿宋" w:cs="仿宋"/>
          <w:color w:val="auto"/>
          <w:sz w:val="24"/>
          <w:szCs w:val="24"/>
        </w:rPr>
        <w:t>人保财险南充嘉陵支公司办公楼装饰工程</w:t>
      </w:r>
      <w:r>
        <w:rPr>
          <w:rFonts w:hint="eastAsia" w:ascii="仿宋" w:hAnsi="仿宋" w:eastAsia="仿宋" w:cs="仿宋"/>
          <w:color w:val="auto"/>
          <w:sz w:val="24"/>
          <w:szCs w:val="24"/>
          <w:lang w:bidi="ar"/>
        </w:rPr>
        <w:t>。</w:t>
      </w:r>
      <w:r>
        <w:rPr>
          <w:rFonts w:hint="eastAsia" w:ascii="仿宋" w:hAnsi="仿宋" w:eastAsia="仿宋" w:cs="仿宋"/>
          <w:color w:val="auto"/>
          <w:sz w:val="24"/>
          <w:szCs w:val="24"/>
        </w:rPr>
        <w:t>具体内容及要求见招标文件第五章技术规范书</w:t>
      </w:r>
      <w:r>
        <w:rPr>
          <w:rFonts w:hint="eastAsia" w:ascii="仿宋" w:hAnsi="仿宋" w:eastAsia="仿宋" w:cs="仿宋"/>
          <w:color w:val="auto"/>
          <w:sz w:val="24"/>
          <w:szCs w:val="24"/>
          <w:lang w:bidi="ar"/>
        </w:rPr>
        <w:t>。</w:t>
      </w:r>
    </w:p>
    <w:p>
      <w:pPr>
        <w:spacing w:line="288" w:lineRule="auto"/>
        <w:ind w:firstLine="480"/>
        <w:rPr>
          <w:rFonts w:ascii="仿宋" w:hAnsi="仿宋" w:eastAsia="仿宋" w:cs="仿宋"/>
          <w:color w:val="auto"/>
          <w:sz w:val="24"/>
          <w:szCs w:val="24"/>
        </w:rPr>
      </w:pPr>
      <w:bookmarkStart w:id="20" w:name="_Hlk69456893"/>
      <w:r>
        <w:rPr>
          <w:rFonts w:hint="eastAsia" w:ascii="仿宋" w:hAnsi="仿宋" w:eastAsia="仿宋" w:cs="仿宋"/>
          <w:color w:val="auto"/>
          <w:sz w:val="24"/>
          <w:szCs w:val="24"/>
        </w:rPr>
        <w:t>2.3项目性质：工程。</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2.4标包划分：本项目不划分标包，情况如下：</w:t>
      </w:r>
    </w:p>
    <w:tbl>
      <w:tblPr>
        <w:tblStyle w:val="41"/>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7"/>
        <w:gridCol w:w="2450"/>
        <w:gridCol w:w="2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15" w:type="pct"/>
            <w:vAlign w:val="center"/>
          </w:tcPr>
          <w:p>
            <w:pPr>
              <w:widowControl/>
              <w:spacing w:line="288" w:lineRule="auto"/>
              <w:jc w:val="center"/>
              <w:rPr>
                <w:rFonts w:ascii="仿宋" w:hAnsi="仿宋" w:eastAsia="仿宋" w:cs="仿宋"/>
                <w:b/>
                <w:bCs/>
                <w:color w:val="auto"/>
                <w:sz w:val="24"/>
                <w:szCs w:val="24"/>
              </w:rPr>
            </w:pPr>
            <w:r>
              <w:rPr>
                <w:rFonts w:hint="eastAsia" w:ascii="仿宋" w:hAnsi="仿宋" w:eastAsia="仿宋" w:cs="仿宋"/>
                <w:b/>
                <w:bCs/>
                <w:color w:val="auto"/>
                <w:sz w:val="24"/>
                <w:szCs w:val="24"/>
              </w:rPr>
              <w:t>项目名称</w:t>
            </w:r>
          </w:p>
        </w:tc>
        <w:tc>
          <w:tcPr>
            <w:tcW w:w="1295" w:type="pct"/>
            <w:vAlign w:val="center"/>
          </w:tcPr>
          <w:p>
            <w:pPr>
              <w:widowControl/>
              <w:spacing w:line="288" w:lineRule="auto"/>
              <w:jc w:val="center"/>
              <w:rPr>
                <w:rFonts w:ascii="仿宋" w:hAnsi="仿宋" w:eastAsia="仿宋" w:cs="仿宋"/>
                <w:b/>
                <w:bCs/>
                <w:color w:val="auto"/>
                <w:sz w:val="24"/>
                <w:szCs w:val="24"/>
              </w:rPr>
            </w:pPr>
            <w:r>
              <w:rPr>
                <w:rFonts w:hint="eastAsia" w:ascii="仿宋" w:hAnsi="仿宋" w:eastAsia="仿宋" w:cs="仿宋"/>
                <w:b/>
                <w:bCs/>
                <w:color w:val="auto"/>
                <w:sz w:val="24"/>
                <w:szCs w:val="24"/>
              </w:rPr>
              <w:t>采购金额（万元）</w:t>
            </w:r>
          </w:p>
        </w:tc>
        <w:tc>
          <w:tcPr>
            <w:tcW w:w="1189" w:type="pct"/>
            <w:vAlign w:val="center"/>
          </w:tcPr>
          <w:p>
            <w:pPr>
              <w:widowControl/>
              <w:spacing w:line="288" w:lineRule="auto"/>
              <w:jc w:val="center"/>
              <w:rPr>
                <w:rFonts w:ascii="仿宋" w:hAnsi="仿宋" w:eastAsia="仿宋" w:cs="仿宋"/>
                <w:b/>
                <w:bCs/>
                <w:color w:val="auto"/>
                <w:sz w:val="24"/>
                <w:szCs w:val="24"/>
              </w:rPr>
            </w:pPr>
            <w:r>
              <w:rPr>
                <w:rFonts w:hint="eastAsia" w:ascii="仿宋" w:hAnsi="仿宋" w:eastAsia="仿宋" w:cs="仿宋"/>
                <w:b/>
                <w:bCs/>
                <w:color w:val="auto"/>
                <w:sz w:val="24"/>
                <w:szCs w:val="24"/>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15" w:type="pct"/>
            <w:vAlign w:val="center"/>
          </w:tcPr>
          <w:p>
            <w:pPr>
              <w:widowControl/>
              <w:spacing w:line="288" w:lineRule="auto"/>
              <w:jc w:val="center"/>
              <w:rPr>
                <w:rFonts w:ascii="仿宋" w:hAnsi="仿宋" w:eastAsia="仿宋" w:cs="仿宋"/>
                <w:color w:val="auto"/>
                <w:sz w:val="24"/>
                <w:szCs w:val="24"/>
              </w:rPr>
            </w:pPr>
            <w:r>
              <w:rPr>
                <w:rFonts w:hint="eastAsia" w:ascii="仿宋" w:hAnsi="仿宋" w:eastAsia="仿宋" w:cs="仿宋"/>
                <w:b/>
                <w:bCs/>
                <w:color w:val="auto"/>
                <w:sz w:val="24"/>
                <w:szCs w:val="24"/>
              </w:rPr>
              <w:t>人保财险南充嘉陵支公司办公楼装饰工程</w:t>
            </w:r>
          </w:p>
        </w:tc>
        <w:tc>
          <w:tcPr>
            <w:tcW w:w="1295" w:type="pct"/>
            <w:vAlign w:val="center"/>
          </w:tcPr>
          <w:p>
            <w:pPr>
              <w:widowControl/>
              <w:spacing w:line="288" w:lineRule="auto"/>
              <w:jc w:val="center"/>
              <w:rPr>
                <w:rFonts w:ascii="仿宋" w:hAnsi="仿宋" w:eastAsia="仿宋" w:cs="仿宋"/>
                <w:color w:val="auto"/>
                <w:sz w:val="24"/>
                <w:szCs w:val="24"/>
              </w:rPr>
            </w:pPr>
            <w:r>
              <w:rPr>
                <w:rFonts w:hint="eastAsia" w:ascii="仿宋" w:hAnsi="仿宋" w:eastAsia="仿宋" w:cs="仿宋"/>
                <w:b/>
                <w:bCs/>
                <w:color w:val="auto"/>
                <w:sz w:val="24"/>
                <w:szCs w:val="24"/>
              </w:rPr>
              <w:t>85.29</w:t>
            </w:r>
          </w:p>
        </w:tc>
        <w:tc>
          <w:tcPr>
            <w:tcW w:w="1189" w:type="pct"/>
            <w:vAlign w:val="center"/>
          </w:tcPr>
          <w:p>
            <w:pPr>
              <w:widowControl/>
              <w:spacing w:line="288" w:lineRule="auto"/>
              <w:jc w:val="center"/>
              <w:rPr>
                <w:rFonts w:ascii="仿宋" w:hAnsi="仿宋" w:eastAsia="仿宋" w:cs="仿宋"/>
                <w:color w:val="auto"/>
                <w:sz w:val="24"/>
                <w:szCs w:val="24"/>
              </w:rPr>
            </w:pPr>
            <w:r>
              <w:rPr>
                <w:rFonts w:hint="eastAsia" w:ascii="仿宋" w:hAnsi="仿宋" w:eastAsia="仿宋" w:cs="仿宋"/>
                <w:color w:val="auto"/>
                <w:sz w:val="24"/>
                <w:szCs w:val="24"/>
              </w:rPr>
              <w:t>1个</w:t>
            </w:r>
          </w:p>
        </w:tc>
      </w:tr>
    </w:tbl>
    <w:p>
      <w:pPr>
        <w:spacing w:line="288" w:lineRule="auto"/>
        <w:ind w:firstLine="480"/>
        <w:rPr>
          <w:rFonts w:ascii="仿宋" w:hAnsi="仿宋" w:eastAsia="仿宋" w:cs="仿宋"/>
          <w:color w:val="auto"/>
          <w:sz w:val="24"/>
          <w:szCs w:val="24"/>
        </w:rPr>
      </w:pPr>
      <w:bookmarkStart w:id="21" w:name="_Toc65682915"/>
      <w:bookmarkStart w:id="22" w:name="_Toc17299"/>
      <w:r>
        <w:rPr>
          <w:rFonts w:hint="eastAsia" w:ascii="仿宋" w:hAnsi="仿宋" w:eastAsia="仿宋" w:cs="仿宋"/>
          <w:color w:val="auto"/>
          <w:sz w:val="24"/>
          <w:szCs w:val="24"/>
        </w:rPr>
        <w:t>2.5服务期限：自合同签订之日起</w:t>
      </w:r>
      <w:r>
        <w:rPr>
          <w:rFonts w:hint="eastAsia" w:ascii="仿宋" w:hAnsi="仿宋" w:eastAsia="仿宋" w:cs="仿宋"/>
          <w:b/>
          <w:bCs/>
          <w:color w:val="FF0000"/>
          <w:sz w:val="24"/>
          <w:szCs w:val="24"/>
          <w:highlight w:val="yellow"/>
          <w:lang w:val="en-US" w:eastAsia="zh-CN"/>
        </w:rPr>
        <w:t>90个日历</w:t>
      </w:r>
      <w:r>
        <w:rPr>
          <w:rFonts w:hint="eastAsia" w:ascii="仿宋" w:hAnsi="仿宋" w:eastAsia="仿宋" w:cs="仿宋"/>
          <w:b/>
          <w:bCs/>
          <w:color w:val="FF0000"/>
          <w:sz w:val="24"/>
          <w:szCs w:val="24"/>
          <w:highlight w:val="yellow"/>
        </w:rPr>
        <w:t>天</w:t>
      </w:r>
      <w:r>
        <w:rPr>
          <w:rFonts w:hint="eastAsia" w:ascii="仿宋" w:hAnsi="仿宋" w:eastAsia="仿宋" w:cs="仿宋"/>
          <w:color w:val="auto"/>
          <w:sz w:val="24"/>
          <w:szCs w:val="24"/>
        </w:rPr>
        <w:t>。</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2.6服务地点：人保财险南充嘉陵支公司办公楼。</w:t>
      </w:r>
      <w:bookmarkEnd w:id="20"/>
    </w:p>
    <w:p>
      <w:pPr>
        <w:pStyle w:val="4"/>
        <w:spacing w:line="288" w:lineRule="auto"/>
        <w:rPr>
          <w:rFonts w:ascii="仿宋" w:hAnsi="仿宋" w:cs="仿宋"/>
          <w:color w:val="auto"/>
          <w:szCs w:val="24"/>
        </w:rPr>
      </w:pPr>
      <w:bookmarkStart w:id="23" w:name="_Toc109124225"/>
      <w:bookmarkStart w:id="24" w:name="_Toc6528"/>
      <w:r>
        <w:rPr>
          <w:rFonts w:hint="eastAsia" w:ascii="仿宋" w:hAnsi="仿宋" w:cs="仿宋"/>
          <w:color w:val="auto"/>
          <w:szCs w:val="24"/>
        </w:rPr>
        <w:t>三、投标人资格要求</w:t>
      </w:r>
      <w:bookmarkEnd w:id="21"/>
      <w:bookmarkEnd w:id="22"/>
      <w:bookmarkEnd w:id="23"/>
      <w:bookmarkEnd w:id="24"/>
    </w:p>
    <w:p>
      <w:pPr>
        <w:spacing w:line="288" w:lineRule="auto"/>
        <w:ind w:firstLine="480"/>
        <w:rPr>
          <w:rFonts w:ascii="仿宋" w:hAnsi="仿宋" w:eastAsia="仿宋" w:cs="仿宋"/>
          <w:color w:val="auto"/>
          <w:sz w:val="24"/>
          <w:szCs w:val="24"/>
        </w:rPr>
      </w:pPr>
      <w:bookmarkStart w:id="25" w:name="_Toc12385"/>
      <w:bookmarkStart w:id="26" w:name="_Toc109124226"/>
      <w:bookmarkStart w:id="27" w:name="_Toc65682916"/>
      <w:bookmarkStart w:id="28" w:name="_Toc21224"/>
      <w:r>
        <w:rPr>
          <w:rFonts w:hint="eastAsia" w:ascii="仿宋" w:hAnsi="仿宋" w:eastAsia="仿宋" w:cs="仿宋"/>
          <w:color w:val="auto"/>
          <w:sz w:val="24"/>
          <w:szCs w:val="24"/>
        </w:rPr>
        <w:t>3.1</w:t>
      </w:r>
      <w:r>
        <w:rPr>
          <w:rFonts w:hint="eastAsia" w:ascii="仿宋" w:hAnsi="仿宋" w:eastAsia="仿宋" w:cs="仿宋"/>
          <w:b/>
          <w:bCs/>
          <w:color w:val="auto"/>
          <w:sz w:val="24"/>
          <w:szCs w:val="24"/>
        </w:rPr>
        <w:t>在中华人民共和国境内依法登记的法人或其他组织，具有独立承担民事责任的能力，</w:t>
      </w:r>
      <w:r>
        <w:rPr>
          <w:rFonts w:hint="eastAsia" w:ascii="仿宋" w:hAnsi="仿宋" w:eastAsia="仿宋" w:cs="仿宋"/>
          <w:color w:val="auto"/>
          <w:sz w:val="24"/>
          <w:szCs w:val="24"/>
        </w:rPr>
        <w:t>供应商如为企业法人，须提供企业法人营业执照（复印件）；供应商如为事业单位或其他组织，须提供事业单位法人证书或登记证或组织机构代码证或其他有效证明文件（复印件）。</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3.2</w:t>
      </w:r>
      <w:r>
        <w:rPr>
          <w:rFonts w:hint="eastAsia" w:ascii="仿宋" w:hAnsi="仿宋" w:eastAsia="仿宋" w:cs="仿宋"/>
          <w:b/>
          <w:bCs/>
          <w:color w:val="auto"/>
          <w:sz w:val="24"/>
          <w:szCs w:val="24"/>
        </w:rPr>
        <w:t>具有良好的商业信誉和健全的财务会计制度</w:t>
      </w:r>
      <w:r>
        <w:rPr>
          <w:rFonts w:hint="eastAsia" w:ascii="仿宋" w:hAnsi="仿宋" w:eastAsia="仿宋" w:cs="仿宋"/>
          <w:color w:val="auto"/>
          <w:sz w:val="24"/>
          <w:szCs w:val="24"/>
        </w:rPr>
        <w:t>，需提供2022年以来任一年度经会计师事务所</w:t>
      </w:r>
      <w:r>
        <w:rPr>
          <w:rFonts w:hint="eastAsia" w:ascii="仿宋" w:hAnsi="仿宋" w:eastAsia="仿宋" w:cs="仿宋"/>
          <w:b/>
          <w:bCs/>
          <w:color w:val="auto"/>
          <w:sz w:val="24"/>
          <w:szCs w:val="24"/>
          <w:highlight w:val="yellow"/>
        </w:rPr>
        <w:t>或</w:t>
      </w:r>
      <w:r>
        <w:rPr>
          <w:rFonts w:hint="eastAsia" w:ascii="仿宋" w:hAnsi="仿宋" w:eastAsia="仿宋" w:cs="仿宋"/>
          <w:color w:val="auto"/>
          <w:sz w:val="24"/>
          <w:szCs w:val="24"/>
        </w:rPr>
        <w:t>审计机构审计的财务审计报告及财务报表（至少包含会计师事务所或</w:t>
      </w:r>
      <w:r>
        <w:rPr>
          <w:rFonts w:hint="eastAsia" w:ascii="仿宋" w:hAnsi="仿宋" w:eastAsia="仿宋" w:cs="宋体"/>
          <w:color w:val="auto"/>
          <w:sz w:val="24"/>
          <w:szCs w:val="24"/>
        </w:rPr>
        <w:t>审计机构签章页、资产负债表、现金流量表、损益表/利润表）或开标日前</w:t>
      </w:r>
      <w:r>
        <w:rPr>
          <w:rFonts w:ascii="仿宋" w:hAnsi="仿宋" w:eastAsia="仿宋" w:cs="宋体"/>
          <w:color w:val="auto"/>
          <w:sz w:val="24"/>
          <w:szCs w:val="24"/>
        </w:rPr>
        <w:t>6</w:t>
      </w:r>
      <w:r>
        <w:rPr>
          <w:rFonts w:hint="eastAsia" w:ascii="仿宋" w:hAnsi="仿宋" w:eastAsia="仿宋" w:cs="宋体"/>
          <w:color w:val="auto"/>
          <w:sz w:val="24"/>
          <w:szCs w:val="24"/>
        </w:rPr>
        <w:t>个月内开具的银行资信证明</w:t>
      </w:r>
      <w:r>
        <w:rPr>
          <w:rFonts w:hint="eastAsia" w:ascii="仿宋" w:hAnsi="仿宋" w:eastAsia="仿宋" w:cs="仿宋"/>
          <w:color w:val="auto"/>
          <w:sz w:val="24"/>
          <w:szCs w:val="24"/>
        </w:rPr>
        <w:t>。</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 xml:space="preserve">3.3 </w:t>
      </w:r>
      <w:r>
        <w:rPr>
          <w:rFonts w:hint="eastAsia" w:ascii="仿宋" w:hAnsi="仿宋" w:eastAsia="仿宋" w:cs="仿宋"/>
          <w:b/>
          <w:bCs/>
          <w:color w:val="auto"/>
          <w:sz w:val="24"/>
          <w:szCs w:val="24"/>
        </w:rPr>
        <w:t>供应商应具有履行合同所必需的设备和专业技术能力</w:t>
      </w:r>
      <w:r>
        <w:rPr>
          <w:rFonts w:hint="eastAsia" w:ascii="仿宋" w:hAnsi="仿宋" w:eastAsia="仿宋" w:cs="仿宋"/>
          <w:color w:val="auto"/>
          <w:sz w:val="24"/>
          <w:szCs w:val="24"/>
        </w:rPr>
        <w:t>。需提供</w:t>
      </w:r>
      <w:r>
        <w:rPr>
          <w:rFonts w:hint="eastAsia" w:ascii="仿宋" w:hAnsi="仿宋" w:eastAsia="仿宋" w:cs="宋体"/>
          <w:color w:val="auto"/>
          <w:sz w:val="24"/>
          <w:szCs w:val="24"/>
        </w:rPr>
        <w:t>近三年</w:t>
      </w:r>
      <w:r>
        <w:rPr>
          <w:rFonts w:hint="eastAsia" w:ascii="仿宋" w:hAnsi="仿宋" w:eastAsia="仿宋" w:cs="仿宋"/>
          <w:color w:val="auto"/>
          <w:sz w:val="24"/>
          <w:szCs w:val="24"/>
        </w:rPr>
        <w:t>（2022年1月1日--至今</w:t>
      </w:r>
      <w:r>
        <w:rPr>
          <w:rFonts w:hint="eastAsia" w:ascii="仿宋" w:hAnsi="仿宋" w:eastAsia="仿宋" w:cs="宋体"/>
          <w:color w:val="auto"/>
          <w:sz w:val="24"/>
          <w:szCs w:val="24"/>
        </w:rPr>
        <w:t>）至少应具有1</w:t>
      </w:r>
      <w:r>
        <w:rPr>
          <w:rFonts w:hint="eastAsia" w:ascii="仿宋" w:hAnsi="仿宋" w:eastAsia="仿宋" w:cs="宋体"/>
          <w:iCs/>
          <w:color w:val="auto"/>
          <w:sz w:val="24"/>
          <w:szCs w:val="24"/>
        </w:rPr>
        <w:t>个</w:t>
      </w:r>
      <w:r>
        <w:rPr>
          <w:rFonts w:hint="eastAsia" w:ascii="仿宋" w:hAnsi="仿宋" w:eastAsia="仿宋" w:cs="宋体"/>
          <w:color w:val="auto"/>
          <w:sz w:val="24"/>
          <w:szCs w:val="24"/>
        </w:rPr>
        <w:t>同类项目实施案例，并提供</w:t>
      </w:r>
      <w:r>
        <w:rPr>
          <w:rFonts w:hint="eastAsia" w:ascii="仿宋" w:hAnsi="仿宋" w:eastAsia="仿宋" w:cs="宋体"/>
          <w:color w:val="auto"/>
          <w:sz w:val="24"/>
        </w:rPr>
        <w:t>符合上述要求的</w:t>
      </w:r>
      <w:r>
        <w:rPr>
          <w:rFonts w:hint="eastAsia" w:ascii="仿宋" w:hAnsi="仿宋" w:eastAsia="仿宋" w:cs="宋体"/>
          <w:color w:val="auto"/>
          <w:sz w:val="24"/>
          <w:szCs w:val="24"/>
        </w:rPr>
        <w:t>合同关键页作为有效的业绩证明材料。合同关键页</w:t>
      </w:r>
      <w:r>
        <w:rPr>
          <w:rFonts w:hint="eastAsia" w:ascii="仿宋" w:hAnsi="仿宋" w:eastAsia="仿宋" w:cs="宋体"/>
          <w:color w:val="auto"/>
          <w:sz w:val="24"/>
        </w:rPr>
        <w:t>包含但不限于合同首页、</w:t>
      </w:r>
      <w:r>
        <w:rPr>
          <w:rFonts w:hint="eastAsia" w:ascii="仿宋" w:hAnsi="仿宋" w:eastAsia="仿宋" w:cs="宋体"/>
          <w:color w:val="auto"/>
          <w:sz w:val="24"/>
          <w:szCs w:val="24"/>
        </w:rPr>
        <w:t>合同标的页</w:t>
      </w:r>
      <w:r>
        <w:rPr>
          <w:rFonts w:hint="eastAsia" w:ascii="仿宋" w:hAnsi="仿宋" w:eastAsia="仿宋" w:cs="宋体"/>
          <w:color w:val="auto"/>
          <w:sz w:val="24"/>
        </w:rPr>
        <w:t>、签署日期页及盖章页等。如合同为框架协议类，须同时提供该框架协议下经双方确认的、发生具体采购/服务事项的相关材料。</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3.4</w:t>
      </w:r>
      <w:r>
        <w:rPr>
          <w:rFonts w:hint="eastAsia" w:ascii="仿宋" w:hAnsi="仿宋" w:eastAsia="仿宋" w:cs="仿宋"/>
          <w:b/>
          <w:bCs/>
          <w:color w:val="auto"/>
          <w:sz w:val="24"/>
          <w:szCs w:val="24"/>
        </w:rPr>
        <w:t>具有依法缴纳税收和社会保障资金的良好记录</w:t>
      </w:r>
      <w:r>
        <w:rPr>
          <w:rFonts w:hint="eastAsia" w:ascii="仿宋" w:hAnsi="仿宋" w:eastAsia="仿宋" w:cs="仿宋"/>
          <w:color w:val="auto"/>
          <w:sz w:val="24"/>
          <w:szCs w:val="24"/>
        </w:rPr>
        <w:t>，提供近6个月任意一个月的税收和社会保障资金缴纳凭证。</w:t>
      </w:r>
    </w:p>
    <w:p>
      <w:pPr>
        <w:spacing w:line="288" w:lineRule="auto"/>
        <w:ind w:firstLine="480"/>
        <w:jc w:val="left"/>
        <w:rPr>
          <w:rFonts w:ascii="仿宋" w:hAnsi="仿宋" w:eastAsia="仿宋" w:cs="仿宋"/>
          <w:color w:val="auto"/>
          <w:sz w:val="24"/>
          <w:szCs w:val="24"/>
        </w:rPr>
      </w:pPr>
      <w:r>
        <w:rPr>
          <w:rFonts w:hint="eastAsia" w:ascii="仿宋" w:hAnsi="仿宋" w:eastAsia="仿宋" w:cs="仿宋"/>
          <w:color w:val="auto"/>
          <w:sz w:val="24"/>
          <w:szCs w:val="24"/>
        </w:rPr>
        <w:t>3.5</w:t>
      </w:r>
      <w:r>
        <w:rPr>
          <w:rFonts w:hint="eastAsia" w:ascii="仿宋" w:hAnsi="仿宋" w:eastAsia="仿宋" w:cs="仿宋"/>
          <w:b/>
          <w:bCs/>
          <w:color w:val="auto"/>
          <w:sz w:val="24"/>
          <w:szCs w:val="24"/>
        </w:rPr>
        <w:t>供应商应经营状况良好，且近三年内（2022年5月1日至今）无违法违规记录。</w:t>
      </w:r>
      <w:r>
        <w:rPr>
          <w:rFonts w:hint="eastAsia" w:ascii="仿宋" w:hAnsi="仿宋" w:eastAsia="仿宋" w:cs="仿宋"/>
          <w:color w:val="auto"/>
          <w:sz w:val="24"/>
          <w:szCs w:val="24"/>
        </w:rPr>
        <w:t>违法违规记录是指被“信用中国”列入失信被执行人、重大税收违法失信主体、政府采购严重违法失信行为记录名单。供应商需提供自招标公告发布之日至响应文件递交截止之日期间对以上三项内容的查询截图。信用中国查询网址：</w:t>
      </w:r>
      <w:r>
        <w:rPr>
          <w:rFonts w:hint="eastAsia" w:ascii="仿宋" w:hAnsi="仿宋" w:eastAsia="仿宋" w:cs="仿宋"/>
          <w:color w:val="auto"/>
          <w:sz w:val="24"/>
          <w:szCs w:val="24"/>
          <w:u w:val="single"/>
        </w:rPr>
        <w:t xml:space="preserve">https://www.creditchina.gov.cn/zhuanxiangchaxun/ </w:t>
      </w:r>
      <w:r>
        <w:rPr>
          <w:rFonts w:hint="eastAsia" w:ascii="仿宋" w:hAnsi="仿宋" w:eastAsia="仿宋" w:cs="仿宋"/>
          <w:color w:val="auto"/>
          <w:sz w:val="24"/>
          <w:szCs w:val="24"/>
        </w:rPr>
        <w:t>。</w:t>
      </w:r>
    </w:p>
    <w:p>
      <w:pPr>
        <w:spacing w:line="288" w:lineRule="auto"/>
        <w:ind w:firstLine="480"/>
        <w:rPr>
          <w:rFonts w:ascii="仿宋" w:hAnsi="仿宋" w:eastAsia="仿宋" w:cs="仿宋"/>
          <w:b/>
          <w:bCs/>
          <w:color w:val="auto"/>
          <w:sz w:val="24"/>
          <w:szCs w:val="24"/>
        </w:rPr>
      </w:pPr>
      <w:r>
        <w:rPr>
          <w:rFonts w:hint="eastAsia" w:ascii="仿宋" w:hAnsi="仿宋" w:eastAsia="仿宋" w:cs="仿宋"/>
          <w:color w:val="auto"/>
          <w:sz w:val="24"/>
          <w:szCs w:val="24"/>
        </w:rPr>
        <w:t xml:space="preserve">3.6 </w:t>
      </w:r>
      <w:r>
        <w:rPr>
          <w:rFonts w:hint="eastAsia" w:ascii="仿宋" w:hAnsi="仿宋" w:eastAsia="仿宋" w:cs="仿宋"/>
          <w:b/>
          <w:bCs/>
          <w:color w:val="auto"/>
          <w:sz w:val="24"/>
          <w:szCs w:val="24"/>
        </w:rPr>
        <w:t>严禁列入采购人及其所隶属的中国人民保险各级机构的供应商黑名单且在禁入期内的供应商参与采购活动。</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3.7单位负责人为同一人或存在控股、管理关系的不同单位，不得参加同一标段/标包投标或未划分标段/标包的同一招标项目投标，需填写《投标人控股及管理关系情况申报表》。</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3.8本项目不接受联合体投标。</w:t>
      </w:r>
    </w:p>
    <w:p>
      <w:pPr>
        <w:spacing w:line="288" w:lineRule="auto"/>
        <w:ind w:firstLine="482"/>
        <w:rPr>
          <w:rFonts w:ascii="仿宋" w:hAnsi="仿宋" w:eastAsia="仿宋" w:cs="仿宋"/>
          <w:b/>
          <w:bCs/>
          <w:color w:val="auto"/>
          <w:sz w:val="24"/>
          <w:szCs w:val="24"/>
        </w:rPr>
      </w:pPr>
      <w:r>
        <w:rPr>
          <w:rFonts w:hint="eastAsia" w:ascii="仿宋" w:hAnsi="仿宋" w:eastAsia="仿宋" w:cs="仿宋"/>
          <w:b/>
          <w:bCs/>
          <w:color w:val="auto"/>
          <w:sz w:val="24"/>
          <w:szCs w:val="24"/>
        </w:rPr>
        <w:t>3.9其它资格要求</w:t>
      </w:r>
    </w:p>
    <w:p>
      <w:pPr>
        <w:spacing w:line="288" w:lineRule="auto"/>
        <w:ind w:firstLine="482"/>
        <w:rPr>
          <w:rFonts w:ascii="仿宋" w:hAnsi="仿宋" w:eastAsia="仿宋" w:cs="仿宋"/>
          <w:b/>
          <w:bCs/>
          <w:color w:val="auto"/>
          <w:sz w:val="24"/>
          <w:szCs w:val="24"/>
          <w:highlight w:val="yellow"/>
        </w:rPr>
      </w:pPr>
      <w:r>
        <w:rPr>
          <w:rFonts w:hint="eastAsia" w:ascii="仿宋" w:hAnsi="仿宋" w:eastAsia="仿宋" w:cs="仿宋"/>
          <w:b/>
          <w:bCs/>
          <w:color w:val="auto"/>
          <w:sz w:val="24"/>
          <w:szCs w:val="24"/>
          <w:highlight w:val="yellow"/>
        </w:rPr>
        <w:t>3.9.1供应商须具有建筑工程施工总承包叁级及以上资质或建筑装修装饰工程专业承包贰级及以上资质。</w:t>
      </w:r>
    </w:p>
    <w:p>
      <w:pPr>
        <w:spacing w:line="288" w:lineRule="auto"/>
        <w:ind w:firstLine="482"/>
        <w:rPr>
          <w:rFonts w:ascii="仿宋" w:hAnsi="仿宋" w:eastAsia="仿宋" w:cs="仿宋"/>
          <w:b/>
          <w:bCs/>
          <w:color w:val="auto"/>
          <w:sz w:val="24"/>
          <w:szCs w:val="24"/>
          <w:highlight w:val="yellow"/>
        </w:rPr>
      </w:pPr>
      <w:r>
        <w:rPr>
          <w:rFonts w:hint="eastAsia" w:ascii="仿宋" w:hAnsi="仿宋" w:eastAsia="仿宋" w:cs="仿宋"/>
          <w:b/>
          <w:bCs/>
          <w:color w:val="auto"/>
          <w:sz w:val="24"/>
          <w:szCs w:val="24"/>
          <w:highlight w:val="yellow"/>
        </w:rPr>
        <w:t>3.9.2供应商须具备建设行政主管部门颁发的有效的《安全生产许可证》。</w:t>
      </w:r>
    </w:p>
    <w:p>
      <w:pPr>
        <w:pStyle w:val="4"/>
        <w:spacing w:line="288" w:lineRule="auto"/>
        <w:rPr>
          <w:rFonts w:ascii="仿宋" w:hAnsi="仿宋" w:cs="仿宋"/>
          <w:color w:val="auto"/>
          <w:szCs w:val="24"/>
        </w:rPr>
      </w:pPr>
      <w:r>
        <w:rPr>
          <w:rFonts w:hint="eastAsia" w:ascii="仿宋" w:hAnsi="仿宋" w:cs="仿宋"/>
          <w:color w:val="auto"/>
          <w:szCs w:val="24"/>
        </w:rPr>
        <w:t>四、资格审查方法</w:t>
      </w:r>
      <w:bookmarkEnd w:id="25"/>
      <w:bookmarkEnd w:id="26"/>
      <w:bookmarkEnd w:id="27"/>
      <w:bookmarkEnd w:id="28"/>
    </w:p>
    <w:p>
      <w:pPr>
        <w:spacing w:line="288" w:lineRule="auto"/>
        <w:ind w:firstLine="480"/>
        <w:rPr>
          <w:rFonts w:ascii="仿宋" w:hAnsi="仿宋" w:eastAsia="仿宋" w:cs="仿宋"/>
          <w:color w:val="auto"/>
          <w:sz w:val="24"/>
          <w:szCs w:val="24"/>
        </w:rPr>
      </w:pPr>
      <w:bookmarkStart w:id="29" w:name="_Toc65682917"/>
      <w:bookmarkStart w:id="30" w:name="_Toc32460"/>
      <w:r>
        <w:rPr>
          <w:rFonts w:hint="eastAsia" w:ascii="仿宋" w:hAnsi="仿宋" w:eastAsia="仿宋" w:cs="仿宋"/>
          <w:color w:val="auto"/>
          <w:sz w:val="24"/>
          <w:szCs w:val="24"/>
        </w:rPr>
        <w:t>本项目将进行资格后审，资格审查方法为合格制，资格审查标准和内容见招标文件第三章“评标办法”。未通过资格后审的投标人，投标将被否决。</w:t>
      </w:r>
    </w:p>
    <w:p>
      <w:pPr>
        <w:pStyle w:val="4"/>
        <w:spacing w:line="288" w:lineRule="auto"/>
        <w:rPr>
          <w:rFonts w:ascii="仿宋" w:hAnsi="仿宋" w:cs="仿宋"/>
          <w:color w:val="auto"/>
          <w:szCs w:val="24"/>
        </w:rPr>
      </w:pPr>
      <w:bookmarkStart w:id="31" w:name="_Toc11877"/>
      <w:bookmarkStart w:id="32" w:name="_Toc109124227"/>
      <w:r>
        <w:rPr>
          <w:rFonts w:hint="eastAsia" w:ascii="仿宋" w:hAnsi="仿宋" w:cs="仿宋"/>
          <w:color w:val="auto"/>
          <w:szCs w:val="24"/>
        </w:rPr>
        <w:t>五、招标文件的获取</w:t>
      </w:r>
      <w:bookmarkEnd w:id="29"/>
      <w:bookmarkEnd w:id="30"/>
      <w:bookmarkEnd w:id="31"/>
      <w:bookmarkEnd w:id="32"/>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5.1招标文件获取时间：</w:t>
      </w:r>
      <w:r>
        <w:rPr>
          <w:rFonts w:hint="eastAsia" w:ascii="仿宋" w:hAnsi="仿宋" w:eastAsia="仿宋" w:cs="仿宋"/>
          <w:b/>
          <w:color w:val="auto"/>
          <w:sz w:val="24"/>
          <w:szCs w:val="24"/>
          <w:u w:val="single"/>
        </w:rPr>
        <w:t>2025年1</w:t>
      </w:r>
      <w:r>
        <w:rPr>
          <w:rFonts w:hint="eastAsia" w:ascii="仿宋" w:hAnsi="仿宋" w:eastAsia="仿宋" w:cs="仿宋"/>
          <w:b/>
          <w:color w:val="auto"/>
          <w:sz w:val="24"/>
          <w:szCs w:val="24"/>
          <w:u w:val="single"/>
          <w:lang w:val="en-US" w:eastAsia="zh-CN"/>
        </w:rPr>
        <w:t>2</w:t>
      </w:r>
      <w:r>
        <w:rPr>
          <w:rFonts w:hint="eastAsia" w:ascii="仿宋" w:hAnsi="仿宋" w:eastAsia="仿宋" w:cs="仿宋"/>
          <w:b/>
          <w:color w:val="auto"/>
          <w:sz w:val="24"/>
          <w:szCs w:val="24"/>
          <w:u w:val="single"/>
        </w:rPr>
        <w:t>月</w:t>
      </w:r>
      <w:r>
        <w:rPr>
          <w:rFonts w:hint="eastAsia" w:ascii="仿宋" w:hAnsi="仿宋" w:eastAsia="仿宋" w:cs="仿宋"/>
          <w:b/>
          <w:color w:val="auto"/>
          <w:sz w:val="24"/>
          <w:szCs w:val="24"/>
          <w:u w:val="single"/>
          <w:lang w:val="en-US" w:eastAsia="zh-CN"/>
        </w:rPr>
        <w:t>23</w:t>
      </w:r>
      <w:r>
        <w:rPr>
          <w:rFonts w:hint="eastAsia" w:ascii="仿宋" w:hAnsi="仿宋" w:eastAsia="仿宋" w:cs="仿宋"/>
          <w:b/>
          <w:color w:val="auto"/>
          <w:sz w:val="24"/>
          <w:szCs w:val="24"/>
          <w:u w:val="single"/>
        </w:rPr>
        <w:t>日</w:t>
      </w:r>
      <w:r>
        <w:rPr>
          <w:rFonts w:hint="eastAsia" w:ascii="仿宋" w:hAnsi="仿宋" w:eastAsia="仿宋" w:cs="仿宋"/>
          <w:b/>
          <w:color w:val="auto"/>
          <w:sz w:val="24"/>
          <w:szCs w:val="24"/>
        </w:rPr>
        <w:t>至</w:t>
      </w:r>
      <w:r>
        <w:rPr>
          <w:rFonts w:hint="eastAsia" w:ascii="仿宋" w:hAnsi="仿宋" w:eastAsia="仿宋" w:cs="仿宋"/>
          <w:b/>
          <w:color w:val="auto"/>
          <w:sz w:val="24"/>
          <w:szCs w:val="24"/>
          <w:u w:val="single"/>
        </w:rPr>
        <w:t>2025年</w:t>
      </w:r>
      <w:r>
        <w:rPr>
          <w:rFonts w:hint="eastAsia" w:ascii="仿宋" w:hAnsi="仿宋" w:eastAsia="仿宋" w:cs="仿宋"/>
          <w:b/>
          <w:color w:val="auto"/>
          <w:sz w:val="24"/>
          <w:szCs w:val="24"/>
          <w:u w:val="single"/>
          <w:lang w:val="en-US" w:eastAsia="zh-CN"/>
        </w:rPr>
        <w:t>12</w:t>
      </w:r>
      <w:r>
        <w:rPr>
          <w:rFonts w:hint="eastAsia" w:ascii="仿宋" w:hAnsi="仿宋" w:eastAsia="仿宋" w:cs="仿宋"/>
          <w:b/>
          <w:color w:val="auto"/>
          <w:sz w:val="24"/>
          <w:szCs w:val="24"/>
          <w:u w:val="single"/>
        </w:rPr>
        <w:t>月</w:t>
      </w:r>
      <w:r>
        <w:rPr>
          <w:rFonts w:hint="eastAsia" w:ascii="仿宋" w:hAnsi="仿宋" w:eastAsia="仿宋" w:cs="仿宋"/>
          <w:b/>
          <w:color w:val="auto"/>
          <w:sz w:val="24"/>
          <w:szCs w:val="24"/>
          <w:u w:val="single"/>
          <w:lang w:val="en-US" w:eastAsia="zh-CN"/>
        </w:rPr>
        <w:t>29</w:t>
      </w:r>
      <w:r>
        <w:rPr>
          <w:rFonts w:hint="eastAsia" w:ascii="仿宋" w:hAnsi="仿宋" w:eastAsia="仿宋" w:cs="仿宋"/>
          <w:b/>
          <w:color w:val="auto"/>
          <w:sz w:val="24"/>
          <w:szCs w:val="24"/>
          <w:u w:val="single"/>
        </w:rPr>
        <w:t>日，</w:t>
      </w:r>
      <w:r>
        <w:rPr>
          <w:rFonts w:hint="eastAsia" w:ascii="仿宋" w:hAnsi="仿宋" w:eastAsia="仿宋" w:cs="仿宋"/>
          <w:color w:val="auto"/>
          <w:sz w:val="24"/>
          <w:szCs w:val="24"/>
        </w:rPr>
        <w:t>上午09时至12时，下午14时至17时（北京时间，下同）。</w:t>
      </w:r>
    </w:p>
    <w:p>
      <w:pPr>
        <w:spacing w:line="288" w:lineRule="auto"/>
        <w:ind w:firstLine="480"/>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rPr>
        <w:t>5.2 招标文件获取方式：</w:t>
      </w:r>
      <w:r>
        <w:rPr>
          <w:rFonts w:hint="eastAsia" w:ascii="仿宋" w:hAnsi="仿宋" w:eastAsia="仿宋" w:cs="仿宋"/>
          <w:color w:val="FF0000"/>
          <w:sz w:val="24"/>
          <w:szCs w:val="24"/>
          <w:highlight w:val="yellow"/>
          <w:lang w:eastAsia="zh-CN"/>
        </w:rPr>
        <w:t>招标文件</w:t>
      </w:r>
      <w:r>
        <w:rPr>
          <w:rFonts w:hint="eastAsia" w:ascii="仿宋" w:hAnsi="仿宋" w:eastAsia="仿宋" w:cs="仿宋"/>
          <w:color w:val="FF0000"/>
          <w:sz w:val="24"/>
          <w:szCs w:val="24"/>
          <w:highlight w:val="yellow"/>
        </w:rPr>
        <w:t>自</w:t>
      </w:r>
      <w:r>
        <w:rPr>
          <w:rFonts w:hint="eastAsia" w:ascii="仿宋" w:hAnsi="仿宋" w:eastAsia="仿宋" w:cs="仿宋"/>
          <w:color w:val="FF0000"/>
          <w:sz w:val="24"/>
          <w:szCs w:val="24"/>
          <w:highlight w:val="yellow"/>
          <w:lang w:eastAsia="zh-CN"/>
        </w:rPr>
        <w:t>202</w:t>
      </w:r>
      <w:r>
        <w:rPr>
          <w:rFonts w:hint="eastAsia" w:ascii="仿宋" w:hAnsi="仿宋" w:eastAsia="仿宋" w:cs="仿宋"/>
          <w:color w:val="FF0000"/>
          <w:sz w:val="24"/>
          <w:szCs w:val="24"/>
          <w:highlight w:val="yellow"/>
          <w:lang w:val="en-US" w:eastAsia="zh-CN"/>
        </w:rPr>
        <w:t>5</w:t>
      </w:r>
      <w:r>
        <w:rPr>
          <w:rFonts w:hint="eastAsia" w:ascii="仿宋" w:hAnsi="仿宋" w:eastAsia="仿宋" w:cs="仿宋"/>
          <w:color w:val="FF0000"/>
          <w:sz w:val="24"/>
          <w:szCs w:val="24"/>
          <w:highlight w:val="yellow"/>
          <w:lang w:eastAsia="zh-CN"/>
        </w:rPr>
        <w:t>年</w:t>
      </w:r>
      <w:r>
        <w:rPr>
          <w:rFonts w:hint="eastAsia" w:ascii="仿宋" w:hAnsi="仿宋" w:eastAsia="仿宋" w:cs="仿宋"/>
          <w:color w:val="FF0000"/>
          <w:sz w:val="24"/>
          <w:szCs w:val="24"/>
          <w:highlight w:val="yellow"/>
          <w:lang w:val="en-US" w:eastAsia="zh-CN"/>
        </w:rPr>
        <w:t>12</w:t>
      </w:r>
      <w:r>
        <w:rPr>
          <w:rFonts w:hint="eastAsia" w:ascii="仿宋" w:hAnsi="仿宋" w:eastAsia="仿宋" w:cs="仿宋"/>
          <w:color w:val="FF0000"/>
          <w:sz w:val="24"/>
          <w:szCs w:val="24"/>
          <w:highlight w:val="yellow"/>
          <w:lang w:eastAsia="zh-CN"/>
        </w:rPr>
        <w:t>月</w:t>
      </w:r>
      <w:r>
        <w:rPr>
          <w:rFonts w:hint="eastAsia" w:ascii="仿宋" w:hAnsi="仿宋" w:eastAsia="仿宋" w:cs="仿宋"/>
          <w:color w:val="FF0000"/>
          <w:sz w:val="24"/>
          <w:szCs w:val="24"/>
          <w:highlight w:val="yellow"/>
          <w:lang w:val="en-US" w:eastAsia="zh-CN"/>
        </w:rPr>
        <w:t>23</w:t>
      </w:r>
      <w:r>
        <w:rPr>
          <w:rFonts w:hint="eastAsia" w:ascii="仿宋" w:hAnsi="仿宋" w:eastAsia="仿宋" w:cs="仿宋"/>
          <w:color w:val="FF0000"/>
          <w:sz w:val="24"/>
          <w:szCs w:val="24"/>
          <w:highlight w:val="yellow"/>
        </w:rPr>
        <w:t>日至</w:t>
      </w:r>
      <w:r>
        <w:rPr>
          <w:rFonts w:hint="eastAsia" w:ascii="仿宋" w:hAnsi="仿宋" w:eastAsia="仿宋" w:cs="仿宋"/>
          <w:color w:val="FF0000"/>
          <w:sz w:val="24"/>
          <w:szCs w:val="24"/>
          <w:highlight w:val="yellow"/>
          <w:lang w:eastAsia="zh-CN"/>
        </w:rPr>
        <w:t>202</w:t>
      </w:r>
      <w:r>
        <w:rPr>
          <w:rFonts w:hint="eastAsia" w:ascii="仿宋" w:hAnsi="仿宋" w:eastAsia="仿宋" w:cs="仿宋"/>
          <w:color w:val="FF0000"/>
          <w:sz w:val="24"/>
          <w:szCs w:val="24"/>
          <w:highlight w:val="yellow"/>
          <w:lang w:val="en-US" w:eastAsia="zh-CN"/>
        </w:rPr>
        <w:t>5</w:t>
      </w:r>
      <w:r>
        <w:rPr>
          <w:rFonts w:hint="eastAsia" w:ascii="仿宋" w:hAnsi="仿宋" w:eastAsia="仿宋" w:cs="仿宋"/>
          <w:color w:val="FF0000"/>
          <w:sz w:val="24"/>
          <w:szCs w:val="24"/>
          <w:highlight w:val="yellow"/>
          <w:lang w:eastAsia="zh-CN"/>
        </w:rPr>
        <w:t>年</w:t>
      </w:r>
      <w:r>
        <w:rPr>
          <w:rFonts w:hint="eastAsia" w:ascii="仿宋" w:hAnsi="仿宋" w:eastAsia="仿宋" w:cs="仿宋"/>
          <w:color w:val="FF0000"/>
          <w:sz w:val="24"/>
          <w:szCs w:val="24"/>
          <w:highlight w:val="yellow"/>
          <w:lang w:val="en-US" w:eastAsia="zh-CN"/>
        </w:rPr>
        <w:t>12</w:t>
      </w:r>
      <w:r>
        <w:rPr>
          <w:rFonts w:hint="eastAsia" w:ascii="仿宋" w:hAnsi="仿宋" w:eastAsia="仿宋" w:cs="仿宋"/>
          <w:color w:val="FF0000"/>
          <w:sz w:val="24"/>
          <w:szCs w:val="24"/>
          <w:highlight w:val="yellow"/>
          <w:lang w:eastAsia="zh-CN"/>
        </w:rPr>
        <w:t>月</w:t>
      </w:r>
      <w:r>
        <w:rPr>
          <w:rFonts w:hint="eastAsia" w:ascii="仿宋" w:hAnsi="仿宋" w:eastAsia="仿宋" w:cs="仿宋"/>
          <w:color w:val="FF0000"/>
          <w:sz w:val="24"/>
          <w:szCs w:val="24"/>
          <w:highlight w:val="yellow"/>
          <w:lang w:val="en-US" w:eastAsia="zh-CN"/>
        </w:rPr>
        <w:t>29</w:t>
      </w:r>
      <w:r>
        <w:rPr>
          <w:rFonts w:hint="eastAsia" w:ascii="仿宋" w:hAnsi="仿宋" w:eastAsia="仿宋" w:cs="仿宋"/>
          <w:color w:val="FF0000"/>
          <w:sz w:val="24"/>
          <w:szCs w:val="24"/>
          <w:highlight w:val="yellow"/>
        </w:rPr>
        <w:t>日每日上午09:00时至1</w:t>
      </w:r>
      <w:r>
        <w:rPr>
          <w:rFonts w:hint="eastAsia" w:ascii="仿宋" w:hAnsi="仿宋" w:eastAsia="仿宋" w:cs="仿宋"/>
          <w:color w:val="FF0000"/>
          <w:sz w:val="24"/>
          <w:szCs w:val="24"/>
          <w:highlight w:val="yellow"/>
          <w:lang w:val="en-US" w:eastAsia="zh-CN"/>
        </w:rPr>
        <w:t>2</w:t>
      </w:r>
      <w:r>
        <w:rPr>
          <w:rFonts w:hint="eastAsia" w:ascii="仿宋" w:hAnsi="仿宋" w:eastAsia="仿宋" w:cs="仿宋"/>
          <w:color w:val="FF0000"/>
          <w:sz w:val="24"/>
          <w:szCs w:val="24"/>
          <w:highlight w:val="yellow"/>
        </w:rPr>
        <w:t>:</w:t>
      </w:r>
      <w:r>
        <w:rPr>
          <w:rFonts w:hint="eastAsia" w:ascii="仿宋" w:hAnsi="仿宋" w:eastAsia="仿宋" w:cs="仿宋"/>
          <w:color w:val="FF0000"/>
          <w:sz w:val="24"/>
          <w:szCs w:val="24"/>
          <w:highlight w:val="yellow"/>
          <w:lang w:val="en-US" w:eastAsia="zh-CN"/>
        </w:rPr>
        <w:t>0</w:t>
      </w:r>
      <w:r>
        <w:rPr>
          <w:rFonts w:hint="eastAsia" w:ascii="仿宋" w:hAnsi="仿宋" w:eastAsia="仿宋" w:cs="仿宋"/>
          <w:color w:val="FF0000"/>
          <w:sz w:val="24"/>
          <w:szCs w:val="24"/>
          <w:highlight w:val="yellow"/>
        </w:rPr>
        <w:t>0时，下午1</w:t>
      </w:r>
      <w:r>
        <w:rPr>
          <w:rFonts w:hint="eastAsia" w:ascii="仿宋" w:hAnsi="仿宋" w:eastAsia="仿宋" w:cs="仿宋"/>
          <w:color w:val="FF0000"/>
          <w:sz w:val="24"/>
          <w:szCs w:val="24"/>
          <w:highlight w:val="yellow"/>
          <w:lang w:val="en-US" w:eastAsia="zh-CN"/>
        </w:rPr>
        <w:t>4</w:t>
      </w:r>
      <w:r>
        <w:rPr>
          <w:rFonts w:hint="eastAsia" w:ascii="仿宋" w:hAnsi="仿宋" w:eastAsia="仿宋" w:cs="仿宋"/>
          <w:color w:val="FF0000"/>
          <w:sz w:val="24"/>
          <w:szCs w:val="24"/>
          <w:highlight w:val="yellow"/>
        </w:rPr>
        <w:t>:00时至1</w:t>
      </w:r>
      <w:r>
        <w:rPr>
          <w:rFonts w:hint="eastAsia" w:ascii="仿宋" w:hAnsi="仿宋" w:eastAsia="仿宋" w:cs="仿宋"/>
          <w:color w:val="FF0000"/>
          <w:sz w:val="24"/>
          <w:szCs w:val="24"/>
          <w:highlight w:val="yellow"/>
          <w:lang w:val="en-US" w:eastAsia="zh-CN"/>
        </w:rPr>
        <w:t>7</w:t>
      </w:r>
      <w:r>
        <w:rPr>
          <w:rFonts w:hint="eastAsia" w:ascii="仿宋" w:hAnsi="仿宋" w:eastAsia="仿宋" w:cs="仿宋"/>
          <w:color w:val="FF0000"/>
          <w:sz w:val="24"/>
          <w:szCs w:val="24"/>
          <w:highlight w:val="yellow"/>
        </w:rPr>
        <w:t>:</w:t>
      </w:r>
      <w:r>
        <w:rPr>
          <w:rFonts w:hint="eastAsia" w:ascii="仿宋" w:hAnsi="仿宋" w:eastAsia="仿宋" w:cs="仿宋"/>
          <w:color w:val="FF0000"/>
          <w:sz w:val="24"/>
          <w:szCs w:val="24"/>
          <w:highlight w:val="yellow"/>
          <w:lang w:val="en-US" w:eastAsia="zh-CN"/>
        </w:rPr>
        <w:t>0</w:t>
      </w:r>
      <w:r>
        <w:rPr>
          <w:rFonts w:hint="eastAsia" w:ascii="仿宋" w:hAnsi="仿宋" w:eastAsia="仿宋" w:cs="仿宋"/>
          <w:color w:val="FF0000"/>
          <w:sz w:val="24"/>
          <w:szCs w:val="24"/>
          <w:highlight w:val="yellow"/>
        </w:rPr>
        <w:t>0时（北京时间，法定节假日除外）在四川省南充市顺庆区潆华南路二段68号北岭颐园物管中心侧四川省盛世宏达工程咨询有限公司获取。</w:t>
      </w:r>
    </w:p>
    <w:p>
      <w:pPr>
        <w:spacing w:line="288" w:lineRule="auto"/>
        <w:ind w:firstLine="480"/>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lang w:eastAsia="zh-CN"/>
        </w:rPr>
        <w:t>招标文件</w:t>
      </w:r>
      <w:r>
        <w:rPr>
          <w:rFonts w:hint="eastAsia" w:ascii="仿宋" w:hAnsi="仿宋" w:eastAsia="仿宋" w:cs="仿宋"/>
          <w:color w:val="FF0000"/>
          <w:sz w:val="24"/>
          <w:szCs w:val="24"/>
          <w:highlight w:val="yellow"/>
        </w:rPr>
        <w:t>售价:人民币</w:t>
      </w:r>
      <w:r>
        <w:rPr>
          <w:rFonts w:hint="eastAsia" w:ascii="仿宋" w:hAnsi="仿宋" w:eastAsia="仿宋" w:cs="仿宋"/>
          <w:color w:val="FF0000"/>
          <w:sz w:val="24"/>
          <w:szCs w:val="24"/>
          <w:highlight w:val="yellow"/>
          <w:u w:val="single"/>
          <w:lang w:val="en-US" w:eastAsia="zh-CN"/>
        </w:rPr>
        <w:t>4</w:t>
      </w:r>
      <w:r>
        <w:rPr>
          <w:rFonts w:hint="eastAsia" w:ascii="仿宋" w:hAnsi="仿宋" w:eastAsia="仿宋" w:cs="仿宋"/>
          <w:color w:val="FF0000"/>
          <w:sz w:val="24"/>
          <w:szCs w:val="24"/>
          <w:highlight w:val="yellow"/>
          <w:u w:val="single"/>
        </w:rPr>
        <w:t>00</w:t>
      </w:r>
      <w:r>
        <w:rPr>
          <w:rFonts w:hint="eastAsia" w:ascii="仿宋" w:hAnsi="仿宋" w:eastAsia="仿宋" w:cs="仿宋"/>
          <w:color w:val="FF0000"/>
          <w:sz w:val="24"/>
          <w:szCs w:val="24"/>
          <w:highlight w:val="yellow"/>
        </w:rPr>
        <w:t>元/</w:t>
      </w:r>
      <w:r>
        <w:rPr>
          <w:rFonts w:hint="eastAsia" w:ascii="仿宋" w:hAnsi="仿宋" w:eastAsia="仿宋" w:cs="仿宋"/>
          <w:color w:val="FF0000"/>
          <w:sz w:val="24"/>
          <w:szCs w:val="24"/>
          <w:highlight w:val="yellow"/>
          <w:lang w:eastAsia="zh-CN"/>
        </w:rPr>
        <w:t>包</w:t>
      </w:r>
      <w:r>
        <w:rPr>
          <w:rFonts w:hint="eastAsia" w:ascii="仿宋" w:hAnsi="仿宋" w:eastAsia="仿宋" w:cs="仿宋"/>
          <w:color w:val="FF0000"/>
          <w:sz w:val="24"/>
          <w:szCs w:val="24"/>
          <w:highlight w:val="yellow"/>
        </w:rPr>
        <w:t>，（</w:t>
      </w:r>
      <w:r>
        <w:rPr>
          <w:rFonts w:hint="eastAsia" w:ascii="仿宋" w:hAnsi="仿宋" w:eastAsia="仿宋" w:cs="仿宋"/>
          <w:color w:val="FF0000"/>
          <w:sz w:val="24"/>
          <w:szCs w:val="24"/>
          <w:highlight w:val="yellow"/>
          <w:lang w:eastAsia="zh-CN"/>
        </w:rPr>
        <w:t>招标文件</w:t>
      </w:r>
      <w:r>
        <w:rPr>
          <w:rFonts w:hint="eastAsia" w:ascii="仿宋" w:hAnsi="仿宋" w:eastAsia="仿宋" w:cs="仿宋"/>
          <w:color w:val="FF0000"/>
          <w:sz w:val="24"/>
          <w:szCs w:val="24"/>
          <w:highlight w:val="yellow"/>
        </w:rPr>
        <w:t>售后不退,</w:t>
      </w:r>
      <w:r>
        <w:rPr>
          <w:rFonts w:hint="eastAsia" w:ascii="仿宋" w:hAnsi="仿宋" w:eastAsia="仿宋" w:cs="仿宋"/>
          <w:color w:val="FF0000"/>
          <w:sz w:val="24"/>
          <w:szCs w:val="24"/>
          <w:highlight w:val="yellow"/>
          <w:lang w:eastAsia="zh-CN"/>
        </w:rPr>
        <w:t>投标资格</w:t>
      </w:r>
      <w:r>
        <w:rPr>
          <w:rFonts w:hint="eastAsia" w:ascii="仿宋" w:hAnsi="仿宋" w:eastAsia="仿宋" w:cs="仿宋"/>
          <w:color w:val="FF0000"/>
          <w:sz w:val="24"/>
          <w:szCs w:val="24"/>
          <w:highlight w:val="yellow"/>
        </w:rPr>
        <w:t>不能转让）。</w:t>
      </w:r>
    </w:p>
    <w:p>
      <w:pPr>
        <w:spacing w:line="288" w:lineRule="auto"/>
        <w:ind w:firstLine="480"/>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lang w:val="en-US" w:eastAsia="zh-CN"/>
        </w:rPr>
        <w:t>5.2.1</w:t>
      </w:r>
      <w:r>
        <w:rPr>
          <w:rFonts w:hint="eastAsia" w:ascii="仿宋" w:hAnsi="仿宋" w:eastAsia="仿宋" w:cs="仿宋"/>
          <w:color w:val="FF0000"/>
          <w:sz w:val="24"/>
          <w:szCs w:val="24"/>
          <w:highlight w:val="yellow"/>
        </w:rPr>
        <w:t>现场获取：获取</w:t>
      </w:r>
      <w:r>
        <w:rPr>
          <w:rFonts w:hint="eastAsia" w:ascii="仿宋" w:hAnsi="仿宋" w:eastAsia="仿宋" w:cs="仿宋"/>
          <w:color w:val="FF0000"/>
          <w:sz w:val="24"/>
          <w:szCs w:val="24"/>
          <w:highlight w:val="yellow"/>
          <w:lang w:eastAsia="zh-CN"/>
        </w:rPr>
        <w:t>谈判文件</w:t>
      </w:r>
      <w:r>
        <w:rPr>
          <w:rFonts w:hint="eastAsia" w:ascii="仿宋" w:hAnsi="仿宋" w:eastAsia="仿宋" w:cs="仿宋"/>
          <w:color w:val="FF0000"/>
          <w:sz w:val="24"/>
          <w:szCs w:val="24"/>
          <w:highlight w:val="yellow"/>
        </w:rPr>
        <w:t>时，经办人员应当现场提交以下资料：供应商为法人或者其他组织的，需提供单位介绍信或法人授权书（需注明项目名称、招标编号）、授权代表身份证（验原件，留加盖公司公章的复印件）、报名登记表；供应商为自然人的，需提供本人身份证明（验原件，留本人签字的复印件）。</w:t>
      </w:r>
    </w:p>
    <w:p>
      <w:pPr>
        <w:spacing w:line="288" w:lineRule="auto"/>
        <w:ind w:firstLine="480"/>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lang w:val="en-US" w:eastAsia="zh-CN"/>
        </w:rPr>
        <w:t>5.2.2</w:t>
      </w:r>
      <w:r>
        <w:rPr>
          <w:rFonts w:hint="eastAsia" w:ascii="仿宋" w:hAnsi="仿宋" w:eastAsia="仿宋" w:cs="仿宋"/>
          <w:color w:val="FF0000"/>
          <w:sz w:val="24"/>
          <w:szCs w:val="24"/>
          <w:highlight w:val="yellow"/>
        </w:rPr>
        <w:t>网络获取：经办人员应当将报名资料扫描成PDF多页格式发送至邮箱：</w:t>
      </w:r>
      <w:r>
        <w:rPr>
          <w:rFonts w:hint="eastAsia" w:ascii="仿宋" w:hAnsi="仿宋" w:eastAsia="仿宋" w:cs="仿宋"/>
          <w:color w:val="FF0000"/>
          <w:sz w:val="24"/>
          <w:szCs w:val="24"/>
          <w:highlight w:val="yellow"/>
          <w:lang w:val="en-US" w:eastAsia="zh-CN"/>
        </w:rPr>
        <w:fldChar w:fldCharType="begin"/>
      </w:r>
      <w:r>
        <w:rPr>
          <w:rFonts w:hint="eastAsia" w:ascii="仿宋" w:hAnsi="仿宋" w:eastAsia="仿宋" w:cs="仿宋"/>
          <w:color w:val="FF0000"/>
          <w:sz w:val="24"/>
          <w:szCs w:val="24"/>
          <w:highlight w:val="yellow"/>
          <w:lang w:val="en-US" w:eastAsia="zh-CN"/>
        </w:rPr>
        <w:instrText xml:space="preserve"> HYPERLINK "mailto:2696822907@qq.com" </w:instrText>
      </w:r>
      <w:r>
        <w:rPr>
          <w:rFonts w:hint="eastAsia" w:ascii="仿宋" w:hAnsi="仿宋" w:eastAsia="仿宋" w:cs="仿宋"/>
          <w:color w:val="FF0000"/>
          <w:sz w:val="24"/>
          <w:szCs w:val="24"/>
          <w:highlight w:val="yellow"/>
          <w:lang w:val="en-US" w:eastAsia="zh-CN"/>
        </w:rPr>
        <w:fldChar w:fldCharType="separate"/>
      </w:r>
      <w:r>
        <w:rPr>
          <w:rFonts w:hint="eastAsia" w:ascii="仿宋" w:hAnsi="仿宋" w:eastAsia="仿宋" w:cs="仿宋"/>
          <w:color w:val="FF0000"/>
          <w:sz w:val="24"/>
          <w:szCs w:val="24"/>
          <w:highlight w:val="yellow"/>
          <w:lang w:val="en-US" w:eastAsia="zh-CN"/>
        </w:rPr>
        <w:t>2696822907@qq.com</w:t>
      </w:r>
      <w:r>
        <w:rPr>
          <w:rFonts w:hint="eastAsia" w:ascii="仿宋" w:hAnsi="仿宋" w:eastAsia="仿宋" w:cs="仿宋"/>
          <w:color w:val="FF0000"/>
          <w:sz w:val="24"/>
          <w:szCs w:val="24"/>
          <w:highlight w:val="yellow"/>
          <w:lang w:val="en-US" w:eastAsia="zh-CN"/>
        </w:rPr>
        <w:fldChar w:fldCharType="end"/>
      </w:r>
      <w:r>
        <w:rPr>
          <w:rFonts w:hint="eastAsia" w:ascii="仿宋" w:hAnsi="仿宋" w:eastAsia="仿宋" w:cs="仿宋"/>
          <w:color w:val="FF0000"/>
          <w:sz w:val="24"/>
          <w:szCs w:val="24"/>
          <w:highlight w:val="yellow"/>
        </w:rPr>
        <w:t>，并电话通知采购代理机构</w:t>
      </w:r>
      <w:r>
        <w:rPr>
          <w:rFonts w:hint="eastAsia" w:ascii="仿宋" w:hAnsi="仿宋" w:eastAsia="仿宋" w:cs="仿宋"/>
          <w:color w:val="FF0000"/>
          <w:sz w:val="24"/>
          <w:szCs w:val="24"/>
          <w:highlight w:val="yellow"/>
          <w:lang w:eastAsia="zh-CN"/>
        </w:rPr>
        <w:t>，</w:t>
      </w:r>
      <w:r>
        <w:rPr>
          <w:rFonts w:hint="eastAsia" w:ascii="仿宋" w:hAnsi="仿宋" w:eastAsia="仿宋" w:cs="仿宋"/>
          <w:color w:val="FF0000"/>
          <w:sz w:val="24"/>
          <w:szCs w:val="24"/>
          <w:highlight w:val="yellow"/>
        </w:rPr>
        <w:t>待采购代理机构邮件通知审核资料结果无误后可进行转账。</w:t>
      </w:r>
    </w:p>
    <w:p>
      <w:pPr>
        <w:spacing w:line="288" w:lineRule="auto"/>
        <w:ind w:firstLine="480"/>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rPr>
        <w:t>注：①供应商报名时须如实填写项目信息及供应商信息，如信息有变更请于报名截止时间前书面通知代理机构进行变更登记，如因供应商提供的信息错误导致对其参加的采购活动有影响，后果由供应商自行承担。②报名资料的递交时间以邮件到达时间为准，报</w:t>
      </w:r>
      <w:bookmarkStart w:id="33" w:name="第二章__投标人须知"/>
      <w:bookmarkEnd w:id="33"/>
      <w:r>
        <w:rPr>
          <w:rFonts w:hint="eastAsia" w:ascii="仿宋" w:hAnsi="仿宋" w:eastAsia="仿宋" w:cs="仿宋"/>
          <w:color w:val="FF0000"/>
          <w:sz w:val="24"/>
          <w:szCs w:val="24"/>
          <w:highlight w:val="yellow"/>
        </w:rPr>
        <w:t>名完成以转账到账时间为准；文件售卖截止时间邮件未到达的供应商或文件售卖截止时间未转账的供应商不得参加本次采购活动。提交资料包括：供应商为法人或者其他组织的，需提供单位介绍信或法人授权书（需注明项目名称、招标编号）、授权代表身份证复印件并加盖公司公章、报名登记表；供应商为自然人的，需提供本人身份证明复印件。</w:t>
      </w:r>
    </w:p>
    <w:p>
      <w:pPr>
        <w:pStyle w:val="4"/>
        <w:spacing w:line="288" w:lineRule="auto"/>
        <w:rPr>
          <w:rFonts w:ascii="仿宋" w:hAnsi="仿宋" w:cs="仿宋"/>
          <w:color w:val="auto"/>
          <w:szCs w:val="24"/>
        </w:rPr>
      </w:pPr>
      <w:bookmarkStart w:id="34" w:name="_Toc109124228"/>
      <w:bookmarkStart w:id="35" w:name="_Toc31250"/>
      <w:bookmarkStart w:id="36" w:name="_Toc7435"/>
      <w:r>
        <w:rPr>
          <w:rFonts w:hint="eastAsia" w:ascii="仿宋" w:hAnsi="仿宋" w:cs="仿宋"/>
          <w:color w:val="auto"/>
          <w:szCs w:val="24"/>
        </w:rPr>
        <w:t>六、投标文件的递交</w:t>
      </w:r>
      <w:bookmarkEnd w:id="34"/>
      <w:bookmarkEnd w:id="35"/>
      <w:bookmarkEnd w:id="36"/>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6.1投标文件递交截止时间：</w:t>
      </w:r>
      <w:r>
        <w:rPr>
          <w:rFonts w:hint="eastAsia" w:ascii="仿宋" w:hAnsi="仿宋" w:eastAsia="仿宋" w:cs="仿宋"/>
          <w:b/>
          <w:bCs w:val="0"/>
          <w:color w:val="auto"/>
          <w:sz w:val="24"/>
          <w:szCs w:val="24"/>
          <w:u w:val="single"/>
        </w:rPr>
        <w:t>202</w:t>
      </w:r>
      <w:r>
        <w:rPr>
          <w:rFonts w:hint="eastAsia" w:ascii="仿宋" w:hAnsi="仿宋" w:eastAsia="仿宋" w:cs="仿宋"/>
          <w:b/>
          <w:bCs w:val="0"/>
          <w:color w:val="auto"/>
          <w:sz w:val="24"/>
          <w:szCs w:val="24"/>
          <w:u w:val="single"/>
          <w:lang w:val="en-US" w:eastAsia="zh-CN"/>
        </w:rPr>
        <w:t>6</w:t>
      </w:r>
      <w:r>
        <w:rPr>
          <w:rFonts w:hint="eastAsia" w:ascii="仿宋" w:hAnsi="仿宋" w:eastAsia="仿宋" w:cs="仿宋"/>
          <w:b/>
          <w:bCs w:val="0"/>
          <w:color w:val="auto"/>
          <w:sz w:val="24"/>
          <w:szCs w:val="24"/>
          <w:u w:val="single"/>
        </w:rPr>
        <w:t>年</w:t>
      </w:r>
      <w:r>
        <w:rPr>
          <w:rFonts w:hint="eastAsia" w:ascii="仿宋" w:hAnsi="仿宋" w:eastAsia="仿宋" w:cs="仿宋"/>
          <w:b/>
          <w:bCs w:val="0"/>
          <w:color w:val="auto"/>
          <w:sz w:val="24"/>
          <w:szCs w:val="24"/>
          <w:u w:val="single"/>
          <w:lang w:val="en-US" w:eastAsia="zh-CN"/>
        </w:rPr>
        <w:t>01</w:t>
      </w:r>
      <w:r>
        <w:rPr>
          <w:rFonts w:hint="eastAsia" w:ascii="仿宋" w:hAnsi="仿宋" w:eastAsia="仿宋" w:cs="仿宋"/>
          <w:b/>
          <w:bCs w:val="0"/>
          <w:color w:val="auto"/>
          <w:sz w:val="24"/>
          <w:szCs w:val="24"/>
          <w:u w:val="single"/>
        </w:rPr>
        <w:t>月</w:t>
      </w:r>
      <w:r>
        <w:rPr>
          <w:rFonts w:hint="eastAsia" w:ascii="仿宋" w:hAnsi="仿宋" w:eastAsia="仿宋" w:cs="仿宋"/>
          <w:b/>
          <w:bCs w:val="0"/>
          <w:color w:val="auto"/>
          <w:sz w:val="24"/>
          <w:szCs w:val="24"/>
          <w:u w:val="single"/>
          <w:lang w:val="en-US" w:eastAsia="zh-CN"/>
        </w:rPr>
        <w:t>13</w:t>
      </w:r>
      <w:r>
        <w:rPr>
          <w:rFonts w:hint="eastAsia" w:ascii="仿宋" w:hAnsi="仿宋" w:eastAsia="仿宋" w:cs="仿宋"/>
          <w:b/>
          <w:bCs w:val="0"/>
          <w:color w:val="auto"/>
          <w:sz w:val="24"/>
          <w:szCs w:val="24"/>
          <w:u w:val="single"/>
        </w:rPr>
        <w:t>日</w:t>
      </w:r>
      <w:r>
        <w:rPr>
          <w:rFonts w:hint="eastAsia" w:ascii="仿宋" w:hAnsi="仿宋" w:eastAsia="仿宋" w:cs="仿宋"/>
          <w:b/>
          <w:bCs w:val="0"/>
          <w:color w:val="auto"/>
          <w:sz w:val="24"/>
          <w:szCs w:val="24"/>
          <w:u w:val="single"/>
          <w:lang w:val="en-US" w:eastAsia="zh-CN"/>
        </w:rPr>
        <w:t>10</w:t>
      </w:r>
      <w:r>
        <w:rPr>
          <w:rFonts w:hint="eastAsia" w:ascii="仿宋" w:hAnsi="仿宋" w:eastAsia="仿宋" w:cs="仿宋"/>
          <w:b/>
          <w:bCs w:val="0"/>
          <w:color w:val="auto"/>
          <w:sz w:val="24"/>
          <w:szCs w:val="24"/>
          <w:u w:val="single"/>
        </w:rPr>
        <w:t>时</w:t>
      </w:r>
      <w:r>
        <w:rPr>
          <w:rFonts w:hint="eastAsia" w:ascii="仿宋" w:hAnsi="仿宋" w:eastAsia="仿宋" w:cs="仿宋"/>
          <w:b/>
          <w:bCs w:val="0"/>
          <w:color w:val="auto"/>
          <w:sz w:val="24"/>
          <w:szCs w:val="24"/>
          <w:u w:val="single"/>
          <w:lang w:val="en-US" w:eastAsia="zh-CN"/>
        </w:rPr>
        <w:t>00</w:t>
      </w:r>
      <w:r>
        <w:rPr>
          <w:rFonts w:hint="eastAsia" w:ascii="仿宋" w:hAnsi="仿宋" w:eastAsia="仿宋" w:cs="仿宋"/>
          <w:b/>
          <w:bCs w:val="0"/>
          <w:color w:val="auto"/>
          <w:sz w:val="24"/>
          <w:szCs w:val="24"/>
          <w:u w:val="single"/>
        </w:rPr>
        <w:t>分00秒</w:t>
      </w:r>
      <w:r>
        <w:rPr>
          <w:rFonts w:hint="eastAsia" w:ascii="仿宋" w:hAnsi="仿宋" w:eastAsia="仿宋" w:cs="仿宋"/>
          <w:color w:val="auto"/>
          <w:sz w:val="24"/>
          <w:szCs w:val="24"/>
        </w:rPr>
        <w:t>。</w:t>
      </w:r>
    </w:p>
    <w:p>
      <w:pPr>
        <w:spacing w:line="288" w:lineRule="auto"/>
        <w:ind w:firstLine="480"/>
        <w:rPr>
          <w:rFonts w:ascii="仿宋" w:hAnsi="仿宋" w:eastAsia="仿宋" w:cs="仿宋"/>
          <w:b/>
          <w:bCs/>
          <w:color w:val="auto"/>
          <w:sz w:val="24"/>
          <w:szCs w:val="24"/>
        </w:rPr>
      </w:pPr>
      <w:r>
        <w:rPr>
          <w:rFonts w:hint="eastAsia" w:ascii="仿宋" w:hAnsi="仿宋" w:eastAsia="仿宋" w:cs="仿宋"/>
          <w:color w:val="auto"/>
          <w:sz w:val="24"/>
          <w:szCs w:val="24"/>
        </w:rPr>
        <w:t>6.2投标文件递交地点：</w:t>
      </w:r>
      <w:r>
        <w:rPr>
          <w:rFonts w:hint="eastAsia" w:ascii="仿宋" w:hAnsi="仿宋" w:eastAsia="仿宋" w:cs="仿宋"/>
          <w:color w:val="auto"/>
          <w:sz w:val="24"/>
          <w:szCs w:val="24"/>
          <w:shd w:val="clear" w:color="auto" w:fill="FFFFFF"/>
          <w:lang w:bidi="ar"/>
        </w:rPr>
        <w:t>须现场递交至</w:t>
      </w:r>
      <w:r>
        <w:rPr>
          <w:rFonts w:hint="eastAsia" w:ascii="仿宋" w:hAnsi="仿宋" w:eastAsia="仿宋" w:cs="仿宋"/>
          <w:color w:val="auto"/>
          <w:sz w:val="24"/>
          <w:szCs w:val="24"/>
          <w:u w:val="single"/>
          <w:shd w:val="clear" w:color="auto" w:fill="FFFFFF"/>
          <w:lang w:bidi="ar"/>
        </w:rPr>
        <w:t>南充市顺庆区潆华南路二段68号北岭颐园北区1栋四川省盛世宏达工程咨询有限公司</w:t>
      </w:r>
      <w:r>
        <w:rPr>
          <w:rFonts w:hint="eastAsia" w:ascii="仿宋" w:hAnsi="仿宋" w:eastAsia="仿宋" w:cs="仿宋"/>
          <w:color w:val="auto"/>
          <w:sz w:val="24"/>
          <w:szCs w:val="24"/>
        </w:rPr>
        <w:t>，</w:t>
      </w:r>
      <w:r>
        <w:rPr>
          <w:rFonts w:hint="eastAsia" w:ascii="仿宋" w:hAnsi="仿宋" w:eastAsia="仿宋" w:cs="仿宋"/>
          <w:b/>
          <w:bCs/>
          <w:color w:val="auto"/>
          <w:sz w:val="24"/>
          <w:szCs w:val="24"/>
        </w:rPr>
        <w:t>逾期送达或者未送达指定地点或者未按照招标文件要求封装的纸质投标文件不予接收。</w:t>
      </w:r>
      <w:bookmarkStart w:id="37" w:name="_Toc3941"/>
      <w:bookmarkStart w:id="38" w:name="_Toc109124229"/>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6.3</w:t>
      </w:r>
      <w:r>
        <w:rPr>
          <w:rFonts w:hint="eastAsia" w:ascii="仿宋" w:hAnsi="仿宋" w:eastAsia="仿宋" w:cs="仿宋"/>
          <w:b/>
          <w:bCs/>
          <w:color w:val="auto"/>
          <w:sz w:val="24"/>
          <w:szCs w:val="24"/>
        </w:rPr>
        <w:t>本项目将于上述同一时间、地点进行开标</w:t>
      </w:r>
      <w:r>
        <w:rPr>
          <w:rFonts w:hint="eastAsia" w:ascii="仿宋" w:hAnsi="仿宋" w:eastAsia="仿宋" w:cs="仿宋"/>
          <w:color w:val="auto"/>
          <w:sz w:val="24"/>
          <w:szCs w:val="24"/>
        </w:rPr>
        <w:t>，招标代理机构邀请投标人代表准时参加。</w:t>
      </w:r>
    </w:p>
    <w:p>
      <w:pPr>
        <w:spacing w:line="288" w:lineRule="auto"/>
        <w:ind w:firstLine="480"/>
        <w:rPr>
          <w:rFonts w:ascii="仿宋" w:hAnsi="仿宋" w:eastAsia="仿宋" w:cs="仿宋"/>
          <w:b/>
          <w:bCs/>
          <w:color w:val="auto"/>
          <w:sz w:val="24"/>
          <w:szCs w:val="24"/>
        </w:rPr>
      </w:pPr>
      <w:r>
        <w:rPr>
          <w:rFonts w:hint="eastAsia" w:ascii="仿宋" w:hAnsi="仿宋" w:eastAsia="仿宋" w:cs="仿宋"/>
          <w:color w:val="auto"/>
          <w:sz w:val="24"/>
          <w:szCs w:val="24"/>
        </w:rPr>
        <w:t>6.4</w:t>
      </w:r>
      <w:r>
        <w:rPr>
          <w:rFonts w:hint="eastAsia" w:ascii="仿宋" w:hAnsi="仿宋" w:eastAsia="仿宋" w:cs="仿宋"/>
          <w:b/>
          <w:bCs/>
          <w:color w:val="auto"/>
          <w:sz w:val="24"/>
          <w:szCs w:val="24"/>
        </w:rPr>
        <w:t>出现以下情形之一时，招标代理机构不予接收投标文件：</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6.4.1  逾期送达或者未送达指定地点的；</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6.4.2  未按照招标文件要求密封的；</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6.4.3  未按照招标公告要求获取招标文件的。</w:t>
      </w:r>
    </w:p>
    <w:p>
      <w:pPr>
        <w:pStyle w:val="4"/>
        <w:spacing w:line="288" w:lineRule="auto"/>
        <w:rPr>
          <w:rFonts w:ascii="仿宋" w:hAnsi="仿宋" w:cs="仿宋"/>
          <w:color w:val="auto"/>
          <w:szCs w:val="24"/>
        </w:rPr>
      </w:pPr>
      <w:bookmarkStart w:id="39" w:name="_Toc23758"/>
      <w:r>
        <w:rPr>
          <w:rFonts w:hint="eastAsia" w:ascii="仿宋" w:hAnsi="仿宋" w:cs="仿宋"/>
          <w:color w:val="auto"/>
          <w:szCs w:val="24"/>
        </w:rPr>
        <w:t>七、发布公告的媒介</w:t>
      </w:r>
      <w:bookmarkEnd w:id="37"/>
      <w:bookmarkEnd w:id="38"/>
      <w:bookmarkEnd w:id="39"/>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本项目招标公告同时在</w:t>
      </w:r>
      <w:r>
        <w:rPr>
          <w:rFonts w:hint="eastAsia" w:ascii="仿宋" w:hAnsi="仿宋" w:eastAsia="仿宋" w:cs="仿宋"/>
          <w:color w:val="auto"/>
          <w:sz w:val="24"/>
          <w:szCs w:val="24"/>
          <w:u w:val="single"/>
        </w:rPr>
        <w:t>“人保e采”外网门户（https://ec.picc.com/）、四川招投标网（www.scbid.com</w:t>
      </w:r>
      <w:r>
        <w:rPr>
          <w:rFonts w:hint="eastAsia" w:ascii="仿宋" w:hAnsi="仿宋" w:eastAsia="仿宋" w:cs="仿宋"/>
          <w:color w:val="auto"/>
          <w:sz w:val="24"/>
          <w:szCs w:val="24"/>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pPr>
        <w:pStyle w:val="4"/>
        <w:spacing w:line="288" w:lineRule="auto"/>
        <w:rPr>
          <w:rFonts w:ascii="仿宋" w:hAnsi="仿宋" w:cs="仿宋"/>
          <w:color w:val="auto"/>
          <w:szCs w:val="24"/>
        </w:rPr>
      </w:pPr>
      <w:bookmarkStart w:id="40" w:name="_Toc24589"/>
      <w:bookmarkStart w:id="41" w:name="_Toc109124230"/>
      <w:bookmarkStart w:id="42" w:name="_Toc24187"/>
      <w:bookmarkStart w:id="43" w:name="_Toc20415"/>
      <w:bookmarkStart w:id="44" w:name="_Toc26408"/>
      <w:bookmarkStart w:id="45" w:name="_Toc7046"/>
      <w:r>
        <w:rPr>
          <w:rFonts w:hint="eastAsia" w:ascii="仿宋" w:hAnsi="仿宋" w:cs="仿宋"/>
          <w:color w:val="auto"/>
          <w:szCs w:val="24"/>
        </w:rPr>
        <w:t>八、联系方式</w:t>
      </w:r>
      <w:bookmarkEnd w:id="40"/>
      <w:bookmarkEnd w:id="41"/>
      <w:bookmarkEnd w:id="42"/>
      <w:bookmarkEnd w:id="43"/>
      <w:bookmarkEnd w:id="44"/>
      <w:bookmarkEnd w:id="45"/>
    </w:p>
    <w:p>
      <w:pPr>
        <w:widowControl/>
        <w:spacing w:line="288" w:lineRule="auto"/>
        <w:ind w:firstLine="426"/>
        <w:rPr>
          <w:rFonts w:ascii="仿宋" w:hAnsi="仿宋" w:eastAsia="仿宋" w:cs="仿宋"/>
          <w:b/>
          <w:bCs/>
          <w:color w:val="auto"/>
          <w:sz w:val="24"/>
          <w:szCs w:val="24"/>
        </w:rPr>
      </w:pPr>
      <w:bookmarkStart w:id="46" w:name="_Toc23286"/>
      <w:bookmarkStart w:id="47" w:name="_Toc11197"/>
      <w:bookmarkStart w:id="48" w:name="_Toc65682922"/>
      <w:bookmarkStart w:id="49" w:name="_Toc25626"/>
      <w:bookmarkStart w:id="50" w:name="_Toc109124231"/>
      <w:bookmarkStart w:id="51" w:name="_Toc1946"/>
      <w:r>
        <w:rPr>
          <w:rFonts w:hint="eastAsia" w:ascii="仿宋" w:hAnsi="仿宋" w:eastAsia="仿宋" w:cs="仿宋"/>
          <w:b/>
          <w:bCs/>
          <w:color w:val="auto"/>
          <w:sz w:val="24"/>
          <w:szCs w:val="24"/>
        </w:rPr>
        <w:t>采购人：中国人民财产保险股份有限公司南充市分公司</w:t>
      </w:r>
    </w:p>
    <w:p>
      <w:pPr>
        <w:widowControl/>
        <w:spacing w:line="288" w:lineRule="auto"/>
        <w:ind w:firstLine="424"/>
        <w:rPr>
          <w:rFonts w:ascii="仿宋" w:hAnsi="仿宋" w:eastAsia="仿宋" w:cs="仿宋"/>
          <w:color w:val="auto"/>
          <w:sz w:val="24"/>
          <w:szCs w:val="24"/>
          <w:highlight w:val="yellow"/>
        </w:rPr>
      </w:pPr>
      <w:r>
        <w:rPr>
          <w:rFonts w:hint="eastAsia" w:ascii="仿宋" w:hAnsi="仿宋" w:eastAsia="仿宋" w:cs="仿宋"/>
          <w:color w:val="auto"/>
          <w:sz w:val="24"/>
          <w:szCs w:val="24"/>
          <w:highlight w:val="yellow"/>
        </w:rPr>
        <w:t>地址：四川省南充市顺庆区西河北路1号</w:t>
      </w:r>
    </w:p>
    <w:p>
      <w:pPr>
        <w:widowControl/>
        <w:spacing w:line="288" w:lineRule="auto"/>
        <w:ind w:firstLine="424"/>
        <w:rPr>
          <w:rFonts w:ascii="仿宋" w:hAnsi="仿宋" w:eastAsia="仿宋" w:cs="仿宋"/>
          <w:color w:val="auto"/>
          <w:sz w:val="24"/>
          <w:szCs w:val="24"/>
          <w:highlight w:val="yellow"/>
        </w:rPr>
      </w:pPr>
      <w:r>
        <w:rPr>
          <w:rFonts w:hint="eastAsia" w:ascii="仿宋" w:hAnsi="仿宋" w:eastAsia="仿宋" w:cs="仿宋"/>
          <w:color w:val="auto"/>
          <w:sz w:val="24"/>
          <w:szCs w:val="24"/>
          <w:highlight w:val="yellow"/>
        </w:rPr>
        <w:t>联系人：唐女士</w:t>
      </w:r>
    </w:p>
    <w:p>
      <w:pPr>
        <w:widowControl/>
        <w:spacing w:line="288" w:lineRule="auto"/>
        <w:ind w:firstLine="424"/>
        <w:rPr>
          <w:rFonts w:ascii="仿宋" w:hAnsi="仿宋" w:eastAsia="仿宋" w:cs="仿宋"/>
          <w:color w:val="auto"/>
          <w:sz w:val="24"/>
          <w:szCs w:val="24"/>
          <w:highlight w:val="yellow"/>
        </w:rPr>
      </w:pPr>
      <w:r>
        <w:rPr>
          <w:rFonts w:hint="eastAsia" w:ascii="仿宋" w:hAnsi="仿宋" w:eastAsia="仿宋" w:cs="仿宋"/>
          <w:color w:val="auto"/>
          <w:sz w:val="24"/>
          <w:szCs w:val="24"/>
          <w:highlight w:val="yellow"/>
        </w:rPr>
        <w:t>电话：0817-3636013</w:t>
      </w:r>
    </w:p>
    <w:p>
      <w:pPr>
        <w:spacing w:after="120" w:line="288" w:lineRule="auto"/>
        <w:ind w:firstLine="489"/>
        <w:rPr>
          <w:rFonts w:ascii="仿宋" w:hAnsi="仿宋" w:eastAsia="仿宋" w:cs="仿宋"/>
          <w:color w:val="auto"/>
          <w:sz w:val="24"/>
          <w:szCs w:val="24"/>
        </w:rPr>
      </w:pPr>
      <w:r>
        <w:rPr>
          <w:rFonts w:hint="eastAsia" w:ascii="仿宋" w:hAnsi="仿宋" w:eastAsia="仿宋" w:cs="仿宋"/>
          <w:b/>
          <w:color w:val="auto"/>
          <w:sz w:val="24"/>
          <w:szCs w:val="24"/>
        </w:rPr>
        <w:t>采购代理机构：四川省盛世宏达工程咨询有限公司</w:t>
      </w:r>
    </w:p>
    <w:p>
      <w:pPr>
        <w:pStyle w:val="302"/>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通讯地址：南充市顺庆区潆华南路二段68号北岭颐园北区1栋</w:t>
      </w:r>
    </w:p>
    <w:p>
      <w:pPr>
        <w:pStyle w:val="302"/>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邮    编：610096</w:t>
      </w:r>
    </w:p>
    <w:p>
      <w:pPr>
        <w:pStyle w:val="302"/>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联 系 人：陈女士</w:t>
      </w:r>
    </w:p>
    <w:p>
      <w:pPr>
        <w:pStyle w:val="302"/>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联系电话：0817-2808336</w:t>
      </w:r>
    </w:p>
    <w:p>
      <w:pPr>
        <w:pStyle w:val="302"/>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电子邮件：2696822907@qq.com</w:t>
      </w:r>
    </w:p>
    <w:p>
      <w:pPr>
        <w:pStyle w:val="302"/>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 xml:space="preserve">开户银行：中国工商银行股份有限公司成都星辉中路支行  </w:t>
      </w:r>
    </w:p>
    <w:p>
      <w:pPr>
        <w:pStyle w:val="302"/>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银行账号：4402003609100062028</w:t>
      </w:r>
    </w:p>
    <w:p>
      <w:pPr>
        <w:spacing w:line="288" w:lineRule="auto"/>
        <w:ind w:firstLine="480"/>
        <w:jc w:val="right"/>
        <w:rPr>
          <w:rFonts w:ascii="仿宋" w:hAnsi="仿宋" w:eastAsia="仿宋" w:cs="仿宋"/>
          <w:color w:val="auto"/>
          <w:sz w:val="24"/>
          <w:szCs w:val="24"/>
        </w:rPr>
      </w:pPr>
      <w:r>
        <w:rPr>
          <w:rFonts w:hint="eastAsia" w:ascii="仿宋" w:hAnsi="仿宋" w:eastAsia="仿宋" w:cs="仿宋"/>
          <w:color w:val="auto"/>
          <w:sz w:val="24"/>
          <w:szCs w:val="24"/>
        </w:rPr>
        <w:t>采购人：中国人民财产保险股份有限公司南充市分公司</w:t>
      </w:r>
    </w:p>
    <w:p>
      <w:pPr>
        <w:spacing w:line="288" w:lineRule="auto"/>
        <w:ind w:firstLine="480"/>
        <w:jc w:val="right"/>
        <w:rPr>
          <w:rFonts w:ascii="仿宋" w:hAnsi="仿宋" w:eastAsia="仿宋" w:cs="仿宋"/>
          <w:color w:val="auto"/>
          <w:sz w:val="24"/>
          <w:szCs w:val="24"/>
        </w:rPr>
      </w:pPr>
      <w:r>
        <w:rPr>
          <w:rFonts w:hint="eastAsia" w:ascii="仿宋" w:hAnsi="仿宋" w:eastAsia="仿宋" w:cs="仿宋"/>
          <w:color w:val="auto"/>
          <w:sz w:val="24"/>
          <w:szCs w:val="24"/>
        </w:rPr>
        <w:t>采购代理机构：四川省盛世宏达工程咨询有限公司</w:t>
      </w:r>
    </w:p>
    <w:p>
      <w:pPr>
        <w:spacing w:line="288" w:lineRule="auto"/>
        <w:ind w:firstLine="480"/>
        <w:jc w:val="right"/>
        <w:rPr>
          <w:rFonts w:ascii="仿宋" w:hAnsi="仿宋" w:eastAsia="仿宋" w:cs="仿宋"/>
          <w:color w:val="auto"/>
          <w:sz w:val="24"/>
          <w:szCs w:val="24"/>
        </w:rPr>
      </w:pPr>
      <w:r>
        <w:rPr>
          <w:rFonts w:hint="eastAsia" w:ascii="仿宋" w:hAnsi="仿宋" w:eastAsia="仿宋" w:cs="仿宋"/>
          <w:color w:val="auto"/>
          <w:sz w:val="24"/>
          <w:szCs w:val="24"/>
        </w:rPr>
        <w:t>2025年11月</w:t>
      </w:r>
    </w:p>
    <w:p>
      <w:pPr>
        <w:pStyle w:val="3"/>
        <w:spacing w:before="0" w:after="0" w:line="480" w:lineRule="auto"/>
        <w:rPr>
          <w:rFonts w:ascii="仿宋" w:hAnsi="仿宋" w:cs="宋体"/>
          <w:color w:val="auto"/>
          <w:sz w:val="32"/>
          <w:szCs w:val="32"/>
        </w:rPr>
      </w:pPr>
      <w:r>
        <w:rPr>
          <w:rFonts w:hint="eastAsia" w:ascii="仿宋" w:hAnsi="仿宋" w:cs="宋体"/>
          <w:color w:val="auto"/>
        </w:rPr>
        <w:br w:type="page" w:clear="all"/>
      </w:r>
      <w:bookmarkStart w:id="52" w:name="_Toc10818"/>
      <w:r>
        <w:rPr>
          <w:rFonts w:hint="eastAsia" w:ascii="仿宋" w:hAnsi="仿宋" w:cs="宋体"/>
          <w:color w:val="auto"/>
          <w:sz w:val="32"/>
          <w:szCs w:val="32"/>
        </w:rPr>
        <w:t>第二章 投标人须知</w:t>
      </w:r>
      <w:bookmarkEnd w:id="46"/>
      <w:bookmarkEnd w:id="47"/>
      <w:bookmarkEnd w:id="48"/>
      <w:bookmarkEnd w:id="49"/>
      <w:bookmarkEnd w:id="50"/>
      <w:bookmarkEnd w:id="51"/>
      <w:bookmarkEnd w:id="52"/>
    </w:p>
    <w:p>
      <w:pPr>
        <w:pStyle w:val="4"/>
        <w:jc w:val="center"/>
        <w:rPr>
          <w:rFonts w:ascii="仿宋" w:hAnsi="仿宋" w:cs="宋体"/>
          <w:color w:val="auto"/>
          <w:sz w:val="28"/>
          <w:szCs w:val="28"/>
        </w:rPr>
      </w:pPr>
      <w:bookmarkStart w:id="53" w:name="_Toc26332"/>
      <w:bookmarkStart w:id="54" w:name="_Toc10064"/>
      <w:bookmarkStart w:id="55" w:name="_Toc31194"/>
      <w:bookmarkStart w:id="56" w:name="_Toc750"/>
      <w:bookmarkStart w:id="57" w:name="_Toc10551"/>
      <w:bookmarkStart w:id="58" w:name="_Toc109124232"/>
      <w:bookmarkStart w:id="59" w:name="_Toc65682923"/>
      <w:r>
        <w:rPr>
          <w:rFonts w:hint="eastAsia" w:ascii="仿宋" w:hAnsi="仿宋" w:cs="宋体"/>
          <w:color w:val="auto"/>
          <w:sz w:val="28"/>
          <w:szCs w:val="28"/>
        </w:rPr>
        <w:t>投标人须知前附表</w:t>
      </w:r>
      <w:bookmarkEnd w:id="53"/>
      <w:bookmarkEnd w:id="54"/>
      <w:bookmarkEnd w:id="55"/>
      <w:bookmarkEnd w:id="56"/>
      <w:bookmarkEnd w:id="57"/>
      <w:bookmarkEnd w:id="58"/>
      <w:bookmarkEnd w:id="59"/>
    </w:p>
    <w:p>
      <w:pPr>
        <w:spacing w:line="240" w:lineRule="auto"/>
        <w:rPr>
          <w:rFonts w:ascii="仿宋" w:hAnsi="仿宋" w:eastAsia="仿宋" w:cs="宋体"/>
          <w:b/>
          <w:color w:val="auto"/>
          <w:sz w:val="24"/>
          <w:szCs w:val="24"/>
        </w:rPr>
      </w:pPr>
      <w:r>
        <w:rPr>
          <w:rFonts w:hint="eastAsia" w:ascii="仿宋" w:hAnsi="仿宋" w:eastAsia="仿宋" w:cs="宋体"/>
          <w:b/>
          <w:color w:val="auto"/>
          <w:sz w:val="24"/>
          <w:szCs w:val="24"/>
        </w:rPr>
        <w:t>本投标人须知前附表是对投标人须知正文的具体补充和修改，如有矛盾，以本前附表为准。</w:t>
      </w:r>
    </w:p>
    <w:tbl>
      <w:tblPr>
        <w:tblStyle w:val="41"/>
        <w:tblW w:w="5119" w:type="pct"/>
        <w:jc w:val="center"/>
        <w:tblLayout w:type="fixed"/>
        <w:tblCellMar>
          <w:top w:w="0" w:type="dxa"/>
          <w:left w:w="108" w:type="dxa"/>
          <w:bottom w:w="0" w:type="dxa"/>
          <w:right w:w="108" w:type="dxa"/>
        </w:tblCellMar>
      </w:tblPr>
      <w:tblGrid>
        <w:gridCol w:w="734"/>
        <w:gridCol w:w="1831"/>
        <w:gridCol w:w="6160"/>
      </w:tblGrid>
      <w:tr>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spacing w:before="62" w:after="62" w:line="240" w:lineRule="auto"/>
              <w:jc w:val="center"/>
              <w:rPr>
                <w:rFonts w:ascii="仿宋" w:hAnsi="仿宋" w:eastAsia="仿宋" w:cs="宋体"/>
                <w:b/>
                <w:color w:val="auto"/>
                <w:szCs w:val="21"/>
              </w:rPr>
            </w:pPr>
            <w:r>
              <w:rPr>
                <w:rFonts w:hint="eastAsia" w:ascii="仿宋" w:hAnsi="仿宋" w:eastAsia="仿宋" w:cs="宋体"/>
                <w:b/>
                <w:color w:val="auto"/>
                <w:szCs w:val="21"/>
              </w:rPr>
              <w:t>条款号</w:t>
            </w: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line="240" w:lineRule="auto"/>
              <w:jc w:val="center"/>
              <w:rPr>
                <w:rFonts w:ascii="仿宋" w:hAnsi="仿宋" w:eastAsia="仿宋" w:cs="宋体"/>
                <w:b/>
                <w:color w:val="auto"/>
                <w:szCs w:val="21"/>
              </w:rPr>
            </w:pPr>
            <w:r>
              <w:rPr>
                <w:rFonts w:hint="eastAsia" w:ascii="仿宋" w:hAnsi="仿宋" w:eastAsia="仿宋" w:cs="宋体"/>
                <w:b/>
                <w:color w:val="auto"/>
                <w:szCs w:val="21"/>
              </w:rPr>
              <w:t>条款名称</w:t>
            </w:r>
          </w:p>
        </w:tc>
        <w:tc>
          <w:tcPr>
            <w:tcW w:w="3529" w:type="pct"/>
            <w:tcBorders>
              <w:top w:val="single" w:color="auto" w:sz="4" w:space="0"/>
              <w:left w:val="single" w:color="auto" w:sz="4" w:space="0"/>
              <w:bottom w:val="single" w:color="auto" w:sz="4" w:space="0"/>
              <w:right w:val="single" w:color="auto" w:sz="4" w:space="0"/>
            </w:tcBorders>
            <w:vAlign w:val="center"/>
          </w:tcPr>
          <w:p>
            <w:pPr>
              <w:spacing w:before="62" w:after="62" w:line="240" w:lineRule="auto"/>
              <w:jc w:val="center"/>
              <w:rPr>
                <w:rFonts w:ascii="仿宋" w:hAnsi="仿宋" w:eastAsia="仿宋" w:cs="宋体"/>
                <w:b/>
                <w:color w:val="auto"/>
                <w:szCs w:val="21"/>
              </w:rPr>
            </w:pPr>
            <w:r>
              <w:rPr>
                <w:rFonts w:hint="eastAsia" w:ascii="仿宋" w:hAnsi="仿宋" w:eastAsia="仿宋" w:cs="宋体"/>
                <w:b/>
                <w:color w:val="auto"/>
                <w:szCs w:val="21"/>
              </w:rPr>
              <w:t>编列内容</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资金来源及比例</w:t>
            </w:r>
          </w:p>
        </w:tc>
        <w:tc>
          <w:tcPr>
            <w:tcW w:w="3529" w:type="pct"/>
            <w:tcBorders>
              <w:top w:val="single" w:color="auto" w:sz="4" w:space="0"/>
              <w:left w:val="single" w:color="auto" w:sz="4" w:space="0"/>
              <w:bottom w:val="single" w:color="auto" w:sz="4" w:space="0"/>
              <w:right w:val="single" w:color="auto" w:sz="4" w:space="0"/>
            </w:tcBorders>
            <w:vAlign w:val="center"/>
          </w:tcPr>
          <w:p>
            <w:pPr>
              <w:spacing w:before="62" w:after="62"/>
              <w:rPr>
                <w:rFonts w:ascii="仿宋" w:hAnsi="仿宋" w:eastAsia="仿宋" w:cs="宋体"/>
                <w:color w:val="auto"/>
                <w:szCs w:val="21"/>
              </w:rPr>
            </w:pPr>
            <w:r>
              <w:rPr>
                <w:rFonts w:hint="eastAsia" w:ascii="仿宋" w:hAnsi="仿宋" w:eastAsia="仿宋" w:cs="仿宋"/>
                <w:color w:val="auto"/>
                <w:szCs w:val="21"/>
              </w:rPr>
              <w:t>■</w:t>
            </w:r>
            <w:r>
              <w:rPr>
                <w:rFonts w:hint="eastAsia" w:ascii="仿宋" w:hAnsi="仿宋" w:eastAsia="仿宋" w:cs="宋体"/>
                <w:color w:val="auto"/>
                <w:szCs w:val="21"/>
              </w:rPr>
              <w:t>招标人或其子公司（含分支机构）自筹（比例100%）</w:t>
            </w:r>
          </w:p>
          <w:p>
            <w:pPr>
              <w:spacing w:before="62" w:after="62"/>
              <w:rPr>
                <w:rFonts w:ascii="仿宋" w:hAnsi="仿宋" w:eastAsia="仿宋" w:cs="宋体"/>
                <w:color w:val="auto"/>
                <w:szCs w:val="21"/>
              </w:rPr>
            </w:pPr>
            <w:r>
              <w:rPr>
                <w:rFonts w:hint="eastAsia" w:ascii="仿宋" w:hAnsi="仿宋" w:eastAsia="仿宋" w:cs="宋体"/>
                <w:color w:val="auto"/>
                <w:szCs w:val="21"/>
              </w:rPr>
              <w:t>□使用财政资金</w:t>
            </w:r>
          </w:p>
          <w:p>
            <w:pPr>
              <w:spacing w:before="62" w:after="62"/>
              <w:rPr>
                <w:rFonts w:ascii="仿宋" w:hAnsi="仿宋" w:eastAsia="仿宋" w:cs="宋体"/>
                <w:color w:val="auto"/>
                <w:szCs w:val="21"/>
              </w:rPr>
            </w:pPr>
            <w:r>
              <w:rPr>
                <w:rFonts w:hint="eastAsia" w:ascii="仿宋" w:hAnsi="仿宋" w:eastAsia="仿宋" w:cs="宋体"/>
                <w:color w:val="auto"/>
                <w:szCs w:val="21"/>
              </w:rPr>
              <w:t>□银行贷款</w:t>
            </w:r>
          </w:p>
          <w:p>
            <w:pPr>
              <w:spacing w:before="62" w:after="62"/>
              <w:rPr>
                <w:rFonts w:ascii="仿宋" w:hAnsi="仿宋" w:eastAsia="仿宋" w:cs="宋体"/>
                <w:color w:val="auto"/>
                <w:szCs w:val="21"/>
              </w:rPr>
            </w:pPr>
            <w:r>
              <w:rPr>
                <w:rFonts w:hint="eastAsia" w:ascii="仿宋" w:hAnsi="仿宋" w:eastAsia="仿宋" w:cs="宋体"/>
                <w:color w:val="auto"/>
                <w:szCs w:val="21"/>
              </w:rPr>
              <w:t>□国家融资</w:t>
            </w:r>
          </w:p>
          <w:p>
            <w:pPr>
              <w:spacing w:before="62" w:after="62"/>
              <w:rPr>
                <w:rFonts w:ascii="仿宋" w:hAnsi="仿宋" w:eastAsia="仿宋" w:cs="宋体"/>
                <w:color w:val="auto"/>
                <w:szCs w:val="21"/>
              </w:rPr>
            </w:pPr>
            <w:r>
              <w:rPr>
                <w:rFonts w:hint="eastAsia" w:ascii="仿宋" w:hAnsi="仿宋" w:eastAsia="仿宋" w:cs="宋体"/>
                <w:color w:val="auto"/>
                <w:szCs w:val="21"/>
              </w:rPr>
              <w:t>□其他：</w:t>
            </w:r>
            <w:r>
              <w:rPr>
                <w:rFonts w:hint="eastAsia" w:ascii="仿宋" w:hAnsi="仿宋" w:eastAsia="仿宋" w:cs="宋体"/>
                <w:color w:val="auto"/>
                <w:szCs w:val="21"/>
                <w:u w:val="single"/>
              </w:rPr>
              <w:t xml:space="preserve">       </w:t>
            </w:r>
          </w:p>
        </w:tc>
      </w:tr>
      <w:tr>
        <w:tblPrEx>
          <w:tblCellMar>
            <w:top w:w="0" w:type="dxa"/>
            <w:left w:w="108" w:type="dxa"/>
            <w:bottom w:w="0" w:type="dxa"/>
            <w:right w:w="108" w:type="dxa"/>
          </w:tblCellMar>
        </w:tblPrEx>
        <w:trPr>
          <w:trHeight w:val="274"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招标方式</w:t>
            </w:r>
          </w:p>
        </w:tc>
        <w:tc>
          <w:tcPr>
            <w:tcW w:w="3529" w:type="pct"/>
            <w:tcBorders>
              <w:top w:val="single" w:color="auto" w:sz="4" w:space="0"/>
              <w:left w:val="single" w:color="auto" w:sz="4" w:space="0"/>
              <w:bottom w:val="single" w:color="auto" w:sz="4" w:space="0"/>
              <w:right w:val="single" w:color="auto" w:sz="4" w:space="0"/>
            </w:tcBorders>
            <w:vAlign w:val="center"/>
          </w:tcPr>
          <w:p>
            <w:pPr>
              <w:spacing w:before="62" w:after="62"/>
              <w:rPr>
                <w:rFonts w:ascii="仿宋" w:hAnsi="仿宋" w:eastAsia="仿宋" w:cs="宋体"/>
                <w:color w:val="auto"/>
                <w:szCs w:val="21"/>
              </w:rPr>
            </w:pPr>
            <w:r>
              <w:rPr>
                <w:rFonts w:hint="eastAsia" w:ascii="仿宋" w:hAnsi="仿宋" w:eastAsia="仿宋" w:cs="仿宋"/>
                <w:color w:val="auto"/>
                <w:szCs w:val="21"/>
              </w:rPr>
              <w:t>■</w:t>
            </w:r>
            <w:r>
              <w:rPr>
                <w:rFonts w:hint="eastAsia" w:ascii="仿宋" w:hAnsi="仿宋" w:eastAsia="仿宋" w:cs="宋体"/>
                <w:color w:val="auto"/>
                <w:szCs w:val="21"/>
              </w:rPr>
              <w:t>公开招标</w:t>
            </w:r>
          </w:p>
          <w:p>
            <w:pPr>
              <w:spacing w:before="62" w:after="62"/>
              <w:rPr>
                <w:rFonts w:ascii="仿宋" w:hAnsi="仿宋" w:eastAsia="仿宋" w:cs="宋体"/>
                <w:color w:val="auto"/>
                <w:szCs w:val="21"/>
              </w:rPr>
            </w:pPr>
            <w:r>
              <w:rPr>
                <w:rFonts w:hint="eastAsia" w:ascii="仿宋" w:hAnsi="仿宋" w:eastAsia="仿宋" w:cs="宋体"/>
                <w:color w:val="auto"/>
                <w:szCs w:val="21"/>
              </w:rPr>
              <w:t>□邀请招标</w:t>
            </w:r>
          </w:p>
        </w:tc>
      </w:tr>
      <w:tr>
        <w:tblPrEx>
          <w:tblCellMar>
            <w:top w:w="0" w:type="dxa"/>
            <w:left w:w="108" w:type="dxa"/>
            <w:bottom w:w="0" w:type="dxa"/>
            <w:right w:w="108" w:type="dxa"/>
          </w:tblCellMar>
        </w:tblPrEx>
        <w:trPr>
          <w:trHeight w:val="425"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招标组织形式</w:t>
            </w:r>
          </w:p>
        </w:tc>
        <w:tc>
          <w:tcPr>
            <w:tcW w:w="3529" w:type="pct"/>
            <w:tcBorders>
              <w:top w:val="single" w:color="auto" w:sz="4" w:space="0"/>
              <w:left w:val="single" w:color="auto" w:sz="4" w:space="0"/>
              <w:bottom w:val="single" w:color="auto" w:sz="4" w:space="0"/>
              <w:right w:val="single" w:color="auto" w:sz="4" w:space="0"/>
            </w:tcBorders>
            <w:vAlign w:val="center"/>
          </w:tcPr>
          <w:p>
            <w:pPr>
              <w:pStyle w:val="278"/>
              <w:spacing w:before="62" w:after="62"/>
              <w:rPr>
                <w:rFonts w:ascii="仿宋" w:hAnsi="仿宋" w:eastAsia="仿宋" w:cs="宋体"/>
                <w:color w:val="auto"/>
                <w:sz w:val="21"/>
                <w:szCs w:val="21"/>
              </w:rPr>
            </w:pPr>
            <w:r>
              <w:rPr>
                <w:rFonts w:hint="eastAsia" w:ascii="仿宋" w:hAnsi="仿宋" w:eastAsia="仿宋" w:cs="宋体"/>
                <w:color w:val="auto"/>
                <w:sz w:val="21"/>
                <w:szCs w:val="21"/>
              </w:rPr>
              <w:t>□自行招标</w:t>
            </w:r>
          </w:p>
          <w:p>
            <w:pPr>
              <w:pStyle w:val="278"/>
              <w:spacing w:before="62" w:after="62"/>
              <w:rPr>
                <w:rFonts w:ascii="仿宋" w:hAnsi="仿宋" w:eastAsia="仿宋" w:cs="宋体"/>
                <w:color w:val="auto"/>
                <w:sz w:val="21"/>
                <w:szCs w:val="21"/>
              </w:rPr>
            </w:pPr>
            <w:r>
              <w:rPr>
                <w:rFonts w:hint="eastAsia" w:ascii="仿宋" w:hAnsi="仿宋" w:eastAsia="仿宋" w:cs="仿宋"/>
                <w:color w:val="auto"/>
                <w:szCs w:val="21"/>
              </w:rPr>
              <w:t>■</w:t>
            </w:r>
            <w:r>
              <w:rPr>
                <w:rFonts w:hint="eastAsia" w:ascii="仿宋" w:hAnsi="仿宋" w:eastAsia="仿宋" w:cs="宋体"/>
                <w:color w:val="auto"/>
                <w:sz w:val="21"/>
                <w:szCs w:val="21"/>
              </w:rPr>
              <w:t xml:space="preserve">委托招标代理机构代理招标 </w:t>
            </w:r>
          </w:p>
          <w:p>
            <w:pPr>
              <w:pStyle w:val="278"/>
              <w:spacing w:before="62" w:after="62"/>
              <w:rPr>
                <w:rFonts w:hAnsi="Times New Roman" w:cs="Times New Roman"/>
                <w:color w:val="auto"/>
              </w:rPr>
            </w:pPr>
            <w:r>
              <w:rPr>
                <w:rFonts w:hint="eastAsia" w:ascii="仿宋" w:hAnsi="仿宋" w:eastAsia="仿宋" w:cs="宋体"/>
                <w:color w:val="auto"/>
                <w:sz w:val="21"/>
                <w:szCs w:val="21"/>
              </w:rPr>
              <w:t>招标代理机构名称：四川省盛世宏达工程咨询有限公司</w:t>
            </w:r>
          </w:p>
        </w:tc>
      </w:tr>
      <w:tr>
        <w:tblPrEx>
          <w:tblCellMar>
            <w:top w:w="0" w:type="dxa"/>
            <w:left w:w="108" w:type="dxa"/>
            <w:bottom w:w="0" w:type="dxa"/>
            <w:right w:w="108" w:type="dxa"/>
          </w:tblCellMar>
        </w:tblPrEx>
        <w:trPr>
          <w:trHeight w:val="646"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资格审查方式</w:t>
            </w:r>
          </w:p>
        </w:tc>
        <w:tc>
          <w:tcPr>
            <w:tcW w:w="3529" w:type="pct"/>
            <w:tcBorders>
              <w:top w:val="single" w:color="auto" w:sz="4" w:space="0"/>
              <w:left w:val="single" w:color="auto" w:sz="4" w:space="0"/>
              <w:bottom w:val="single" w:color="auto" w:sz="4" w:space="0"/>
              <w:right w:val="single" w:color="auto" w:sz="4" w:space="0"/>
            </w:tcBorders>
            <w:vAlign w:val="center"/>
          </w:tcPr>
          <w:p>
            <w:pPr>
              <w:pStyle w:val="278"/>
              <w:spacing w:before="62" w:after="62"/>
              <w:rPr>
                <w:rFonts w:ascii="仿宋" w:hAnsi="仿宋" w:eastAsia="仿宋" w:cs="宋体"/>
                <w:color w:val="auto"/>
                <w:sz w:val="21"/>
                <w:szCs w:val="21"/>
              </w:rPr>
            </w:pPr>
            <w:r>
              <w:rPr>
                <w:rFonts w:hint="eastAsia" w:ascii="仿宋" w:hAnsi="仿宋" w:eastAsia="仿宋" w:cs="宋体"/>
                <w:color w:val="auto"/>
                <w:sz w:val="21"/>
                <w:szCs w:val="21"/>
              </w:rPr>
              <w:t>□资格预审</w:t>
            </w:r>
          </w:p>
          <w:p>
            <w:pPr>
              <w:pStyle w:val="278"/>
              <w:spacing w:before="62" w:after="62"/>
              <w:rPr>
                <w:rFonts w:ascii="仿宋" w:hAnsi="仿宋" w:eastAsia="仿宋" w:cs="宋体"/>
                <w:color w:val="auto"/>
                <w:sz w:val="21"/>
                <w:szCs w:val="21"/>
              </w:rPr>
            </w:pPr>
            <w:r>
              <w:rPr>
                <w:rFonts w:hint="eastAsia" w:ascii="仿宋" w:hAnsi="仿宋" w:eastAsia="仿宋" w:cs="仿宋"/>
                <w:color w:val="auto"/>
                <w:szCs w:val="21"/>
              </w:rPr>
              <w:t>■</w:t>
            </w:r>
            <w:r>
              <w:rPr>
                <w:rFonts w:hint="eastAsia" w:ascii="仿宋" w:hAnsi="仿宋" w:eastAsia="仿宋" w:cs="宋体"/>
                <w:color w:val="auto"/>
                <w:sz w:val="21"/>
                <w:szCs w:val="21"/>
              </w:rPr>
              <w:t>资格后审</w:t>
            </w:r>
          </w:p>
        </w:tc>
      </w:tr>
      <w:tr>
        <w:tblPrEx>
          <w:tblCellMar>
            <w:top w:w="0" w:type="dxa"/>
            <w:left w:w="108" w:type="dxa"/>
            <w:bottom w:w="0" w:type="dxa"/>
            <w:right w:w="108" w:type="dxa"/>
          </w:tblCellMar>
        </w:tblPrEx>
        <w:trPr>
          <w:trHeight w:val="646"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招标文件的组成</w:t>
            </w:r>
          </w:p>
        </w:tc>
        <w:tc>
          <w:tcPr>
            <w:tcW w:w="3529" w:type="pct"/>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仿宋" w:hAnsi="仿宋" w:eastAsia="仿宋" w:cs="宋体"/>
                <w:color w:val="auto"/>
                <w:szCs w:val="21"/>
              </w:rPr>
            </w:pPr>
            <w:r>
              <w:rPr>
                <w:rFonts w:hint="eastAsia" w:ascii="仿宋" w:hAnsi="仿宋" w:eastAsia="仿宋" w:cs="宋体"/>
                <w:color w:val="auto"/>
                <w:szCs w:val="21"/>
              </w:rPr>
              <w:t>本招标文件由以下部分组成：</w:t>
            </w:r>
          </w:p>
          <w:p>
            <w:pPr>
              <w:widowControl/>
              <w:spacing w:line="360" w:lineRule="auto"/>
              <w:rPr>
                <w:rFonts w:ascii="仿宋" w:hAnsi="仿宋" w:eastAsia="仿宋" w:cs="宋体"/>
                <w:color w:val="auto"/>
                <w:szCs w:val="21"/>
              </w:rPr>
            </w:pPr>
            <w:r>
              <w:rPr>
                <w:rFonts w:hint="eastAsia" w:ascii="仿宋" w:hAnsi="仿宋" w:eastAsia="仿宋" w:cs="宋体"/>
                <w:color w:val="auto"/>
                <w:szCs w:val="21"/>
              </w:rPr>
              <w:t>第一章  招标公告</w:t>
            </w:r>
          </w:p>
          <w:p>
            <w:pPr>
              <w:widowControl/>
              <w:spacing w:line="360" w:lineRule="auto"/>
              <w:rPr>
                <w:rFonts w:ascii="仿宋" w:hAnsi="仿宋" w:eastAsia="仿宋" w:cs="宋体"/>
                <w:color w:val="auto"/>
                <w:szCs w:val="21"/>
              </w:rPr>
            </w:pPr>
            <w:r>
              <w:rPr>
                <w:rFonts w:hint="eastAsia" w:ascii="仿宋" w:hAnsi="仿宋" w:eastAsia="仿宋" w:cs="宋体"/>
                <w:color w:val="auto"/>
                <w:szCs w:val="21"/>
              </w:rPr>
              <w:t>第二章  投标人须知</w:t>
            </w:r>
          </w:p>
          <w:p>
            <w:pPr>
              <w:widowControl/>
              <w:spacing w:line="360" w:lineRule="auto"/>
              <w:rPr>
                <w:rFonts w:ascii="仿宋" w:hAnsi="仿宋" w:eastAsia="仿宋" w:cs="宋体"/>
                <w:color w:val="auto"/>
                <w:szCs w:val="21"/>
              </w:rPr>
            </w:pPr>
            <w:r>
              <w:rPr>
                <w:rFonts w:hint="eastAsia" w:ascii="仿宋" w:hAnsi="仿宋" w:eastAsia="仿宋" w:cs="宋体"/>
                <w:color w:val="auto"/>
                <w:szCs w:val="21"/>
              </w:rPr>
              <w:t>第三章  评标办法</w:t>
            </w:r>
          </w:p>
          <w:p>
            <w:pPr>
              <w:widowControl/>
              <w:spacing w:line="360" w:lineRule="auto"/>
              <w:rPr>
                <w:rFonts w:ascii="仿宋" w:hAnsi="仿宋" w:eastAsia="仿宋" w:cs="宋体"/>
                <w:color w:val="auto"/>
                <w:szCs w:val="21"/>
              </w:rPr>
            </w:pPr>
            <w:r>
              <w:rPr>
                <w:rFonts w:hint="eastAsia" w:ascii="仿宋" w:hAnsi="仿宋" w:eastAsia="仿宋" w:cs="宋体"/>
                <w:color w:val="auto"/>
                <w:szCs w:val="21"/>
              </w:rPr>
              <w:t>第四章  合同条款</w:t>
            </w:r>
          </w:p>
          <w:p>
            <w:pPr>
              <w:widowControl/>
              <w:spacing w:line="360" w:lineRule="auto"/>
              <w:rPr>
                <w:rFonts w:ascii="仿宋" w:hAnsi="仿宋" w:eastAsia="仿宋" w:cs="宋体"/>
                <w:color w:val="auto"/>
                <w:szCs w:val="21"/>
              </w:rPr>
            </w:pPr>
            <w:r>
              <w:rPr>
                <w:rFonts w:hint="eastAsia" w:ascii="仿宋" w:hAnsi="仿宋" w:eastAsia="仿宋" w:cs="宋体"/>
                <w:color w:val="auto"/>
                <w:szCs w:val="21"/>
              </w:rPr>
              <w:t>第五章  技术规范书</w:t>
            </w:r>
          </w:p>
          <w:p>
            <w:pPr>
              <w:pStyle w:val="278"/>
              <w:spacing w:before="62" w:after="62"/>
              <w:rPr>
                <w:rFonts w:ascii="仿宋" w:hAnsi="仿宋" w:eastAsia="仿宋" w:cs="宋体"/>
                <w:color w:val="auto"/>
                <w:sz w:val="21"/>
                <w:szCs w:val="21"/>
              </w:rPr>
            </w:pPr>
            <w:r>
              <w:rPr>
                <w:rFonts w:hint="eastAsia" w:ascii="仿宋" w:hAnsi="仿宋" w:eastAsia="仿宋" w:cs="宋体"/>
                <w:color w:val="auto"/>
                <w:sz w:val="21"/>
                <w:szCs w:val="21"/>
              </w:rPr>
              <w:t>第六章  投标文件格式</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★实质性要求的标识</w:t>
            </w:r>
          </w:p>
        </w:tc>
        <w:tc>
          <w:tcPr>
            <w:tcW w:w="3529" w:type="pct"/>
            <w:tcBorders>
              <w:top w:val="single" w:color="auto" w:sz="4" w:space="0"/>
              <w:left w:val="single" w:color="auto" w:sz="4" w:space="0"/>
              <w:bottom w:val="single" w:color="auto" w:sz="4" w:space="0"/>
              <w:right w:val="single" w:color="auto" w:sz="4" w:space="0"/>
            </w:tcBorders>
            <w:vAlign w:val="center"/>
          </w:tcPr>
          <w:p>
            <w:pPr>
              <w:pStyle w:val="278"/>
              <w:spacing w:before="62" w:after="62"/>
              <w:rPr>
                <w:rFonts w:ascii="仿宋" w:hAnsi="仿宋" w:eastAsia="仿宋" w:cs="宋体"/>
                <w:color w:val="auto"/>
                <w:sz w:val="21"/>
                <w:szCs w:val="21"/>
              </w:rPr>
            </w:pPr>
            <w:r>
              <w:rPr>
                <w:rFonts w:hint="eastAsia" w:ascii="仿宋" w:hAnsi="仿宋" w:eastAsia="仿宋" w:cs="宋体"/>
                <w:color w:val="auto"/>
                <w:sz w:val="21"/>
                <w:szCs w:val="21"/>
                <w:u w:val="single"/>
              </w:rPr>
              <w:t>招标文件中标识“★”条款、注明“投标将被否决”等的条款</w:t>
            </w:r>
            <w:r>
              <w:rPr>
                <w:rFonts w:hint="eastAsia" w:ascii="仿宋" w:hAnsi="仿宋" w:eastAsia="仿宋" w:cs="宋体"/>
                <w:color w:val="auto"/>
                <w:sz w:val="21"/>
                <w:szCs w:val="21"/>
              </w:rPr>
              <w:t>，均为实质性条款，</w:t>
            </w:r>
            <w:r>
              <w:rPr>
                <w:rFonts w:hint="eastAsia" w:ascii="仿宋" w:hAnsi="仿宋" w:eastAsia="仿宋" w:cs="宋体"/>
                <w:b/>
                <w:color w:val="auto"/>
                <w:sz w:val="21"/>
                <w:szCs w:val="21"/>
              </w:rPr>
              <w:t>不满足任意一项实质性条款的投标将被否决。</w:t>
            </w:r>
          </w:p>
        </w:tc>
      </w:tr>
      <w:tr>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踏勘现场</w:t>
            </w:r>
          </w:p>
        </w:tc>
        <w:tc>
          <w:tcPr>
            <w:tcW w:w="3529" w:type="pct"/>
            <w:tcBorders>
              <w:top w:val="single" w:color="auto" w:sz="4" w:space="0"/>
              <w:left w:val="single" w:color="auto" w:sz="4" w:space="0"/>
              <w:bottom w:val="single" w:color="auto" w:sz="4" w:space="0"/>
              <w:right w:val="single" w:color="auto" w:sz="4" w:space="0"/>
            </w:tcBorders>
            <w:vAlign w:val="center"/>
          </w:tcPr>
          <w:p>
            <w:pPr>
              <w:pStyle w:val="278"/>
              <w:spacing w:before="62" w:after="62"/>
              <w:rPr>
                <w:rFonts w:ascii="仿宋" w:hAnsi="仿宋" w:eastAsia="仿宋" w:cs="宋体"/>
                <w:color w:val="auto"/>
                <w:sz w:val="21"/>
                <w:szCs w:val="21"/>
              </w:rPr>
            </w:pPr>
            <w:r>
              <w:rPr>
                <w:rFonts w:hint="eastAsia" w:ascii="仿宋" w:hAnsi="仿宋" w:eastAsia="仿宋" w:cs="仿宋"/>
                <w:color w:val="auto"/>
                <w:sz w:val="21"/>
                <w:szCs w:val="21"/>
              </w:rPr>
              <w:t>■</w:t>
            </w:r>
            <w:r>
              <w:rPr>
                <w:rFonts w:hint="eastAsia" w:ascii="仿宋" w:hAnsi="仿宋" w:eastAsia="仿宋" w:cs="宋体"/>
                <w:color w:val="auto"/>
                <w:sz w:val="21"/>
                <w:szCs w:val="21"/>
              </w:rPr>
              <w:t>不组织</w:t>
            </w:r>
          </w:p>
          <w:p>
            <w:pPr>
              <w:pStyle w:val="278"/>
              <w:spacing w:before="62" w:after="62"/>
              <w:rPr>
                <w:rFonts w:ascii="仿宋" w:hAnsi="仿宋" w:eastAsia="仿宋" w:cs="宋体"/>
                <w:color w:val="auto"/>
                <w:sz w:val="21"/>
                <w:szCs w:val="21"/>
              </w:rPr>
            </w:pPr>
            <w:r>
              <w:rPr>
                <w:rFonts w:hint="eastAsia" w:ascii="仿宋" w:hAnsi="仿宋" w:eastAsia="仿宋" w:cs="宋体"/>
                <w:color w:val="auto"/>
                <w:sz w:val="21"/>
                <w:szCs w:val="21"/>
              </w:rPr>
              <w:t>□组织，踏勘现场时间、地点：</w:t>
            </w:r>
            <w:r>
              <w:rPr>
                <w:rFonts w:hint="eastAsia" w:ascii="仿宋" w:hAnsi="仿宋" w:eastAsia="仿宋" w:cs="宋体"/>
                <w:color w:val="auto"/>
                <w:sz w:val="21"/>
                <w:szCs w:val="21"/>
                <w:u w:val="single"/>
              </w:rPr>
              <w:t xml:space="preserve">       </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投标预备会</w:t>
            </w:r>
          </w:p>
        </w:tc>
        <w:tc>
          <w:tcPr>
            <w:tcW w:w="3529" w:type="pct"/>
            <w:tcBorders>
              <w:top w:val="single" w:color="auto" w:sz="4" w:space="0"/>
              <w:left w:val="single" w:color="auto" w:sz="4" w:space="0"/>
              <w:bottom w:val="single" w:color="auto" w:sz="4" w:space="0"/>
              <w:right w:val="single" w:color="auto" w:sz="4" w:space="0"/>
            </w:tcBorders>
            <w:vAlign w:val="center"/>
          </w:tcPr>
          <w:p>
            <w:pPr>
              <w:pStyle w:val="278"/>
              <w:spacing w:before="62" w:after="62"/>
              <w:rPr>
                <w:rFonts w:ascii="仿宋" w:hAnsi="仿宋" w:eastAsia="仿宋" w:cs="宋体"/>
                <w:color w:val="auto"/>
                <w:sz w:val="21"/>
                <w:szCs w:val="21"/>
              </w:rPr>
            </w:pPr>
            <w:r>
              <w:rPr>
                <w:rFonts w:hint="eastAsia" w:ascii="仿宋" w:hAnsi="仿宋" w:eastAsia="仿宋" w:cs="仿宋"/>
                <w:color w:val="auto"/>
                <w:sz w:val="21"/>
                <w:szCs w:val="21"/>
              </w:rPr>
              <w:t>■</w:t>
            </w:r>
            <w:r>
              <w:rPr>
                <w:rFonts w:hint="eastAsia" w:ascii="仿宋" w:hAnsi="仿宋" w:eastAsia="仿宋" w:cs="宋体"/>
                <w:color w:val="auto"/>
                <w:sz w:val="21"/>
                <w:szCs w:val="21"/>
              </w:rPr>
              <w:t>不召开</w:t>
            </w:r>
          </w:p>
          <w:p>
            <w:pPr>
              <w:pStyle w:val="278"/>
              <w:spacing w:before="62" w:after="62"/>
              <w:rPr>
                <w:rFonts w:ascii="仿宋" w:hAnsi="仿宋" w:eastAsia="仿宋" w:cs="宋体"/>
                <w:color w:val="auto"/>
                <w:sz w:val="21"/>
                <w:szCs w:val="21"/>
              </w:rPr>
            </w:pPr>
            <w:r>
              <w:rPr>
                <w:rFonts w:ascii="Wingdings 2" w:hAnsi="Wingdings 2" w:eastAsia="Wingdings 2" w:cs="Wingdings 2"/>
                <w:color w:val="auto"/>
                <w:sz w:val="21"/>
                <w:szCs w:val="21"/>
              </w:rPr>
              <w:t></w:t>
            </w:r>
            <w:r>
              <w:rPr>
                <w:rFonts w:hint="eastAsia" w:ascii="仿宋" w:hAnsi="仿宋" w:eastAsia="仿宋" w:cs="宋体"/>
                <w:color w:val="auto"/>
                <w:sz w:val="21"/>
                <w:szCs w:val="21"/>
              </w:rPr>
              <w:t xml:space="preserve">召开，召开投标预备会的时间、地点： </w:t>
            </w:r>
            <w:r>
              <w:rPr>
                <w:rFonts w:hint="eastAsia" w:ascii="仿宋" w:hAnsi="仿宋" w:eastAsia="仿宋" w:cs="宋体"/>
                <w:color w:val="auto"/>
                <w:sz w:val="21"/>
                <w:szCs w:val="21"/>
                <w:u w:val="single"/>
              </w:rPr>
              <w:t xml:space="preserve">       </w:t>
            </w:r>
            <w:r>
              <w:rPr>
                <w:rFonts w:hint="eastAsia" w:ascii="仿宋" w:hAnsi="仿宋" w:eastAsia="仿宋" w:cs="宋体"/>
                <w:color w:val="auto"/>
                <w:sz w:val="21"/>
                <w:szCs w:val="21"/>
              </w:rPr>
              <w:t xml:space="preserve">                      </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line="240" w:lineRule="auto"/>
              <w:jc w:val="center"/>
              <w:rPr>
                <w:rFonts w:ascii="仿宋" w:hAnsi="仿宋" w:eastAsia="仿宋" w:cs="宋体"/>
                <w:color w:val="auto"/>
                <w:szCs w:val="21"/>
              </w:rPr>
            </w:pPr>
            <w:r>
              <w:rPr>
                <w:rFonts w:hint="eastAsia" w:ascii="仿宋" w:hAnsi="仿宋" w:eastAsia="仿宋" w:cs="宋体"/>
                <w:color w:val="auto"/>
                <w:szCs w:val="21"/>
              </w:rPr>
              <w:t>投标人提出澄清的截止时间和方式</w:t>
            </w:r>
          </w:p>
        </w:tc>
        <w:tc>
          <w:tcPr>
            <w:tcW w:w="3529" w:type="pct"/>
            <w:tcBorders>
              <w:top w:val="single" w:color="auto" w:sz="4" w:space="0"/>
              <w:left w:val="single" w:color="auto" w:sz="4" w:space="0"/>
              <w:bottom w:val="single" w:color="auto" w:sz="4" w:space="0"/>
              <w:right w:val="single" w:color="auto" w:sz="4" w:space="0"/>
            </w:tcBorders>
            <w:vAlign w:val="center"/>
          </w:tcPr>
          <w:p>
            <w:pPr>
              <w:pStyle w:val="278"/>
              <w:spacing w:before="62" w:after="62"/>
              <w:rPr>
                <w:rFonts w:ascii="仿宋" w:hAnsi="仿宋" w:eastAsia="仿宋" w:cs="宋体"/>
                <w:color w:val="auto"/>
                <w:sz w:val="22"/>
                <w:szCs w:val="22"/>
              </w:rPr>
            </w:pPr>
            <w:r>
              <w:rPr>
                <w:rFonts w:hint="eastAsia" w:ascii="仿宋" w:hAnsi="仿宋" w:eastAsia="仿宋" w:cs="宋体"/>
                <w:b/>
                <w:color w:val="auto"/>
                <w:sz w:val="22"/>
                <w:szCs w:val="22"/>
              </w:rPr>
              <w:t>截止时间：</w:t>
            </w:r>
            <w:r>
              <w:rPr>
                <w:rFonts w:hint="eastAsia" w:ascii="仿宋" w:hAnsi="仿宋" w:eastAsia="仿宋" w:cs="宋体"/>
                <w:b/>
                <w:color w:val="auto"/>
                <w:sz w:val="22"/>
                <w:szCs w:val="22"/>
                <w:u w:val="single"/>
              </w:rPr>
              <w:t>20</w:t>
            </w:r>
            <w:r>
              <w:rPr>
                <w:rFonts w:hint="eastAsia" w:ascii="仿宋" w:hAnsi="仿宋" w:eastAsia="仿宋" w:cs="宋体"/>
                <w:b/>
                <w:color w:val="auto"/>
                <w:sz w:val="22"/>
                <w:szCs w:val="22"/>
                <w:u w:val="single"/>
                <w:lang w:val="en-US" w:eastAsia="zh-CN"/>
              </w:rPr>
              <w:t>25</w:t>
            </w:r>
            <w:r>
              <w:rPr>
                <w:rFonts w:hint="eastAsia" w:ascii="仿宋" w:hAnsi="仿宋" w:eastAsia="仿宋" w:cs="宋体"/>
                <w:b/>
                <w:color w:val="auto"/>
                <w:sz w:val="22"/>
                <w:szCs w:val="22"/>
                <w:u w:val="single"/>
              </w:rPr>
              <w:t>年</w:t>
            </w:r>
            <w:r>
              <w:rPr>
                <w:rFonts w:hint="eastAsia" w:ascii="仿宋" w:hAnsi="仿宋" w:eastAsia="仿宋" w:cs="宋体"/>
                <w:b/>
                <w:color w:val="auto"/>
                <w:sz w:val="22"/>
                <w:szCs w:val="22"/>
                <w:u w:val="single"/>
                <w:lang w:val="en-US" w:eastAsia="zh-CN"/>
              </w:rPr>
              <w:t>12</w:t>
            </w:r>
            <w:r>
              <w:rPr>
                <w:rFonts w:hint="eastAsia" w:ascii="仿宋" w:hAnsi="仿宋" w:eastAsia="仿宋" w:cs="宋体"/>
                <w:b/>
                <w:color w:val="auto"/>
                <w:sz w:val="22"/>
                <w:szCs w:val="22"/>
                <w:u w:val="single"/>
              </w:rPr>
              <w:t>月</w:t>
            </w:r>
            <w:r>
              <w:rPr>
                <w:rFonts w:hint="eastAsia" w:ascii="仿宋" w:hAnsi="仿宋" w:eastAsia="仿宋" w:cs="宋体"/>
                <w:b/>
                <w:color w:val="auto"/>
                <w:sz w:val="22"/>
                <w:szCs w:val="22"/>
                <w:u w:val="single"/>
                <w:lang w:val="en-US" w:eastAsia="zh-CN"/>
              </w:rPr>
              <w:t>31</w:t>
            </w:r>
            <w:r>
              <w:rPr>
                <w:rFonts w:hint="eastAsia" w:ascii="仿宋" w:hAnsi="仿宋" w:eastAsia="仿宋" w:cs="宋体"/>
                <w:b/>
                <w:color w:val="auto"/>
                <w:sz w:val="22"/>
                <w:szCs w:val="22"/>
                <w:u w:val="single"/>
              </w:rPr>
              <w:t xml:space="preserve">日 </w:t>
            </w:r>
            <w:r>
              <w:rPr>
                <w:rFonts w:hint="eastAsia" w:ascii="仿宋" w:hAnsi="仿宋" w:eastAsia="仿宋" w:cs="宋体"/>
                <w:b/>
                <w:color w:val="auto"/>
                <w:sz w:val="22"/>
                <w:szCs w:val="22"/>
                <w:u w:val="single"/>
                <w:lang w:val="en-US" w:eastAsia="zh-CN"/>
              </w:rPr>
              <w:t>24</w:t>
            </w:r>
            <w:r>
              <w:rPr>
                <w:rFonts w:hint="eastAsia" w:ascii="仿宋" w:hAnsi="仿宋" w:eastAsia="仿宋" w:cs="宋体"/>
                <w:b/>
                <w:color w:val="auto"/>
                <w:sz w:val="22"/>
                <w:szCs w:val="22"/>
                <w:u w:val="single"/>
              </w:rPr>
              <w:t xml:space="preserve">时 </w:t>
            </w:r>
            <w:r>
              <w:rPr>
                <w:rFonts w:hint="eastAsia" w:ascii="仿宋" w:hAnsi="仿宋" w:eastAsia="仿宋" w:cs="宋体"/>
                <w:b/>
                <w:color w:val="auto"/>
                <w:sz w:val="22"/>
                <w:szCs w:val="22"/>
                <w:u w:val="single"/>
                <w:lang w:val="en-US" w:eastAsia="zh-CN"/>
              </w:rPr>
              <w:t>00</w:t>
            </w:r>
            <w:r>
              <w:rPr>
                <w:rFonts w:hint="eastAsia" w:ascii="仿宋" w:hAnsi="仿宋" w:eastAsia="仿宋" w:cs="宋体"/>
                <w:b/>
                <w:color w:val="auto"/>
                <w:sz w:val="22"/>
                <w:szCs w:val="22"/>
                <w:u w:val="single"/>
              </w:rPr>
              <w:t>分</w:t>
            </w:r>
          </w:p>
          <w:p>
            <w:pPr>
              <w:pStyle w:val="278"/>
              <w:spacing w:before="62" w:after="62"/>
              <w:rPr>
                <w:rFonts w:ascii="仿宋" w:hAnsi="仿宋" w:eastAsia="仿宋" w:cs="宋体"/>
                <w:color w:val="auto"/>
                <w:sz w:val="21"/>
                <w:szCs w:val="21"/>
                <w:u w:val="single"/>
              </w:rPr>
            </w:pPr>
            <w:r>
              <w:rPr>
                <w:rFonts w:hint="eastAsia" w:ascii="仿宋" w:hAnsi="仿宋" w:eastAsia="仿宋" w:cs="宋体"/>
                <w:b/>
                <w:bCs/>
                <w:color w:val="auto"/>
                <w:sz w:val="21"/>
                <w:szCs w:val="21"/>
              </w:rPr>
              <w:t>提出澄清的方式：</w:t>
            </w:r>
            <w:r>
              <w:rPr>
                <w:rFonts w:hint="eastAsia" w:ascii="仿宋" w:hAnsi="仿宋" w:eastAsia="仿宋" w:cs="仿宋"/>
                <w:b/>
                <w:bCs/>
                <w:color w:val="auto"/>
                <w:szCs w:val="24"/>
              </w:rPr>
              <w:t>书面方式。</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投标人确认收到澄清或修改的截止时间和方式</w:t>
            </w:r>
          </w:p>
        </w:tc>
        <w:tc>
          <w:tcPr>
            <w:tcW w:w="3529" w:type="pct"/>
            <w:tcBorders>
              <w:top w:val="single" w:color="auto" w:sz="4" w:space="0"/>
              <w:left w:val="single" w:color="auto" w:sz="4" w:space="0"/>
              <w:bottom w:val="single" w:color="auto" w:sz="4" w:space="0"/>
              <w:right w:val="single" w:color="auto" w:sz="4" w:space="0"/>
            </w:tcBorders>
            <w:vAlign w:val="center"/>
          </w:tcPr>
          <w:p>
            <w:pPr>
              <w:pStyle w:val="278"/>
              <w:spacing w:before="62" w:after="62"/>
              <w:rPr>
                <w:rFonts w:ascii="仿宋" w:hAnsi="仿宋" w:eastAsia="仿宋" w:cs="宋体"/>
                <w:bCs/>
                <w:color w:val="auto"/>
                <w:sz w:val="21"/>
                <w:szCs w:val="21"/>
                <w:u w:val="single"/>
              </w:rPr>
            </w:pPr>
            <w:r>
              <w:rPr>
                <w:rFonts w:hint="eastAsia" w:ascii="仿宋" w:hAnsi="仿宋" w:eastAsia="仿宋" w:cs="宋体"/>
                <w:b/>
                <w:color w:val="auto"/>
                <w:sz w:val="21"/>
                <w:szCs w:val="21"/>
              </w:rPr>
              <w:t>确认收到澄清或修改的时间：</w:t>
            </w:r>
            <w:r>
              <w:rPr>
                <w:rFonts w:hint="eastAsia" w:ascii="仿宋" w:hAnsi="仿宋" w:eastAsia="仿宋" w:cs="宋体"/>
                <w:bCs/>
                <w:color w:val="auto"/>
                <w:sz w:val="21"/>
                <w:szCs w:val="21"/>
                <w:u w:val="single"/>
              </w:rPr>
              <w:t>收到招标文件澄清或修改通知后3个工作日内。</w:t>
            </w:r>
          </w:p>
          <w:p>
            <w:pPr>
              <w:pStyle w:val="278"/>
              <w:spacing w:before="62" w:after="62"/>
              <w:rPr>
                <w:rFonts w:ascii="仿宋" w:hAnsi="仿宋" w:eastAsia="仿宋" w:cs="宋体"/>
                <w:color w:val="auto"/>
                <w:sz w:val="21"/>
                <w:szCs w:val="21"/>
                <w:u w:val="single"/>
                <w:lang w:eastAsia="zh-Hans"/>
              </w:rPr>
            </w:pPr>
            <w:r>
              <w:rPr>
                <w:rFonts w:hint="eastAsia" w:ascii="仿宋" w:hAnsi="仿宋" w:eastAsia="仿宋" w:cs="宋体"/>
                <w:bCs/>
                <w:color w:val="auto"/>
                <w:sz w:val="21"/>
                <w:szCs w:val="21"/>
              </w:rPr>
              <w:t>确认收到澄清或修改文件的方式：</w:t>
            </w:r>
            <w:r>
              <w:rPr>
                <w:rFonts w:hint="eastAsia" w:ascii="仿宋" w:hAnsi="仿宋" w:eastAsia="仿宋" w:cs="仿宋"/>
                <w:b/>
                <w:bCs/>
                <w:color w:val="auto"/>
                <w:szCs w:val="24"/>
              </w:rPr>
              <w:t>书面方式。</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投标文件的组成</w:t>
            </w:r>
          </w:p>
        </w:tc>
        <w:tc>
          <w:tcPr>
            <w:tcW w:w="3529" w:type="pct"/>
            <w:tcBorders>
              <w:top w:val="single" w:color="auto" w:sz="4" w:space="0"/>
              <w:left w:val="single" w:color="auto" w:sz="4" w:space="0"/>
              <w:bottom w:val="single" w:color="auto" w:sz="4" w:space="0"/>
              <w:right w:val="single" w:color="auto" w:sz="4" w:space="0"/>
            </w:tcBorders>
            <w:vAlign w:val="center"/>
          </w:tcPr>
          <w:p>
            <w:pPr>
              <w:pStyle w:val="279"/>
              <w:rPr>
                <w:rFonts w:ascii="仿宋" w:hAnsi="仿宋" w:eastAsia="仿宋" w:cs="宋体"/>
                <w:b/>
                <w:bCs/>
                <w:color w:val="auto"/>
                <w:sz w:val="21"/>
                <w:szCs w:val="21"/>
              </w:rPr>
            </w:pPr>
            <w:r>
              <w:rPr>
                <w:rFonts w:hint="eastAsia" w:ascii="仿宋" w:hAnsi="仿宋" w:eastAsia="仿宋" w:cs="宋体"/>
                <w:b/>
                <w:bCs/>
                <w:color w:val="auto"/>
                <w:sz w:val="21"/>
                <w:szCs w:val="21"/>
              </w:rPr>
              <w:t>投标文件按照以下架构分成三册并顺序编制，如同时参与多个标包的投标，需独立编制各个标包的投标文件（本条款十分重要，请遵照办理）。</w:t>
            </w:r>
          </w:p>
          <w:p>
            <w:pPr>
              <w:pStyle w:val="279"/>
              <w:rPr>
                <w:rFonts w:ascii="仿宋" w:hAnsi="仿宋" w:eastAsia="仿宋" w:cs="宋体"/>
                <w:b/>
                <w:color w:val="auto"/>
                <w:szCs w:val="21"/>
              </w:rPr>
            </w:pPr>
            <w:r>
              <w:rPr>
                <w:rFonts w:hint="eastAsia" w:ascii="仿宋" w:hAnsi="仿宋" w:eastAsia="仿宋" w:cs="宋体"/>
                <w:b/>
                <w:bCs/>
                <w:color w:val="auto"/>
                <w:sz w:val="21"/>
                <w:szCs w:val="21"/>
              </w:rPr>
              <w:t>★所有报价文件务必单独成册并密封，不得与商务册、技术册文件合并装订，并且商务册、技术册文件不得有任何明示、暗示投标报价的内容，否则投标将被否决。</w:t>
            </w:r>
          </w:p>
          <w:p>
            <w:pPr>
              <w:pStyle w:val="279"/>
              <w:spacing w:before="62" w:after="62"/>
              <w:rPr>
                <w:rFonts w:ascii="仿宋" w:hAnsi="仿宋" w:eastAsia="仿宋" w:cs="宋体"/>
                <w:b/>
                <w:color w:val="auto"/>
                <w:sz w:val="21"/>
                <w:szCs w:val="21"/>
              </w:rPr>
            </w:pPr>
            <w:r>
              <w:rPr>
                <w:rFonts w:hint="eastAsia" w:ascii="仿宋" w:hAnsi="仿宋" w:eastAsia="仿宋" w:cs="宋体"/>
                <w:b/>
                <w:color w:val="auto"/>
                <w:sz w:val="21"/>
                <w:szCs w:val="21"/>
              </w:rPr>
              <w:t>一、商务文件</w:t>
            </w:r>
          </w:p>
          <w:p>
            <w:pPr>
              <w:pStyle w:val="279"/>
              <w:spacing w:before="62" w:after="62"/>
              <w:rPr>
                <w:rFonts w:ascii="仿宋" w:hAnsi="仿宋" w:eastAsia="仿宋" w:cs="宋体"/>
                <w:b/>
                <w:color w:val="auto"/>
                <w:sz w:val="21"/>
                <w:szCs w:val="21"/>
              </w:rPr>
            </w:pPr>
            <w:r>
              <w:rPr>
                <w:rFonts w:hint="eastAsia" w:ascii="仿宋" w:hAnsi="仿宋" w:eastAsia="仿宋" w:cs="宋体"/>
                <w:b/>
                <w:color w:val="auto"/>
                <w:sz w:val="21"/>
                <w:szCs w:val="21"/>
              </w:rPr>
              <w:t>初步评审索引表</w:t>
            </w:r>
          </w:p>
          <w:p>
            <w:pPr>
              <w:pStyle w:val="279"/>
              <w:spacing w:before="62" w:after="62"/>
              <w:rPr>
                <w:rFonts w:ascii="仿宋" w:hAnsi="仿宋" w:eastAsia="仿宋" w:cs="宋体"/>
                <w:b/>
                <w:color w:val="auto"/>
                <w:sz w:val="21"/>
                <w:szCs w:val="21"/>
              </w:rPr>
            </w:pPr>
            <w:r>
              <w:rPr>
                <w:rFonts w:hint="eastAsia" w:ascii="仿宋" w:hAnsi="仿宋" w:eastAsia="仿宋" w:cs="宋体"/>
                <w:b/>
                <w:color w:val="auto"/>
                <w:sz w:val="21"/>
                <w:szCs w:val="21"/>
              </w:rPr>
              <w:t>详细评审索引表</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（一）投标函</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（四）资格证明文件</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（五）投标人须知应答偏离表</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（六）合同条款应答偏离表</w:t>
            </w:r>
          </w:p>
          <w:p>
            <w:pPr>
              <w:pStyle w:val="279"/>
              <w:spacing w:before="62" w:after="62"/>
              <w:rPr>
                <w:rFonts w:ascii="仿宋" w:hAnsi="仿宋" w:eastAsia="仿宋" w:cs="仿宋"/>
                <w:color w:val="auto"/>
                <w:sz w:val="21"/>
                <w:szCs w:val="21"/>
              </w:rPr>
            </w:pPr>
            <w:r>
              <w:rPr>
                <w:rFonts w:hint="eastAsia" w:ascii="仿宋" w:hAnsi="仿宋" w:eastAsia="仿宋" w:cs="仿宋"/>
                <w:color w:val="auto"/>
                <w:sz w:val="21"/>
                <w:szCs w:val="21"/>
              </w:rPr>
              <w:t>（七）供应商</w:t>
            </w:r>
            <w:r>
              <w:rPr>
                <w:rFonts w:ascii="仿宋" w:hAnsi="仿宋" w:eastAsia="仿宋" w:cs="仿宋"/>
                <w:color w:val="auto"/>
                <w:sz w:val="21"/>
                <w:szCs w:val="21"/>
              </w:rPr>
              <w:t>行为准则</w:t>
            </w:r>
            <w:r>
              <w:rPr>
                <w:rFonts w:hint="eastAsia" w:ascii="仿宋" w:hAnsi="仿宋" w:eastAsia="仿宋" w:cs="仿宋"/>
                <w:color w:val="auto"/>
                <w:sz w:val="21"/>
                <w:szCs w:val="21"/>
              </w:rPr>
              <w:t>承诺书</w:t>
            </w:r>
          </w:p>
          <w:p>
            <w:pPr>
              <w:pStyle w:val="279"/>
              <w:spacing w:before="62" w:after="62"/>
              <w:rPr>
                <w:rFonts w:ascii="仿宋" w:hAnsi="仿宋" w:eastAsia="仿宋" w:cs="仿宋"/>
                <w:color w:val="auto"/>
                <w:sz w:val="21"/>
                <w:szCs w:val="21"/>
              </w:rPr>
            </w:pPr>
            <w:r>
              <w:rPr>
                <w:rFonts w:hint="eastAsia" w:ascii="仿宋" w:hAnsi="仿宋" w:eastAsia="仿宋" w:cs="宋体"/>
                <w:color w:val="auto"/>
                <w:sz w:val="21"/>
                <w:szCs w:val="21"/>
              </w:rPr>
              <w:t>（八）供应商廉洁诚信承诺书</w:t>
            </w:r>
          </w:p>
          <w:p>
            <w:pPr>
              <w:pStyle w:val="279"/>
              <w:spacing w:before="62" w:after="62"/>
              <w:rPr>
                <w:rFonts w:ascii="仿宋" w:hAnsi="仿宋" w:eastAsia="仿宋" w:cs="宋体"/>
                <w:color w:val="auto"/>
                <w:sz w:val="21"/>
                <w:szCs w:val="21"/>
              </w:rPr>
            </w:pPr>
            <w:r>
              <w:rPr>
                <w:rFonts w:hint="eastAsia" w:ascii="仿宋" w:hAnsi="仿宋" w:eastAsia="仿宋" w:cs="仿宋"/>
                <w:color w:val="auto"/>
                <w:sz w:val="21"/>
                <w:szCs w:val="21"/>
              </w:rPr>
              <w:t>（九）其他材料</w:t>
            </w:r>
            <w:r>
              <w:rPr>
                <w:rFonts w:hint="eastAsia" w:ascii="仿宋" w:hAnsi="仿宋" w:eastAsia="仿宋" w:cs="宋体"/>
                <w:color w:val="auto"/>
                <w:sz w:val="21"/>
                <w:szCs w:val="21"/>
              </w:rPr>
              <w:t>（如有）</w:t>
            </w:r>
          </w:p>
          <w:p>
            <w:pPr>
              <w:pStyle w:val="279"/>
              <w:spacing w:before="62" w:after="62"/>
              <w:rPr>
                <w:rFonts w:ascii="仿宋" w:hAnsi="仿宋" w:eastAsia="仿宋" w:cs="宋体"/>
                <w:b/>
                <w:bCs/>
                <w:color w:val="auto"/>
                <w:szCs w:val="21"/>
              </w:rPr>
            </w:pPr>
            <w:r>
              <w:rPr>
                <w:rFonts w:hint="eastAsia" w:ascii="仿宋" w:hAnsi="仿宋" w:eastAsia="仿宋" w:cs="宋体"/>
                <w:b/>
                <w:bCs/>
                <w:color w:val="auto"/>
                <w:szCs w:val="21"/>
              </w:rPr>
              <w:t>二、技术文件</w:t>
            </w:r>
          </w:p>
          <w:p>
            <w:pPr>
              <w:pStyle w:val="279"/>
              <w:spacing w:before="62" w:after="62"/>
              <w:rPr>
                <w:rFonts w:ascii="仿宋" w:hAnsi="仿宋" w:eastAsia="仿宋" w:cs="宋体"/>
                <w:b/>
                <w:color w:val="auto"/>
                <w:sz w:val="21"/>
                <w:szCs w:val="21"/>
              </w:rPr>
            </w:pPr>
            <w:r>
              <w:rPr>
                <w:rFonts w:hint="eastAsia" w:ascii="仿宋" w:hAnsi="仿宋" w:eastAsia="仿宋" w:cs="宋体"/>
                <w:b/>
                <w:color w:val="auto"/>
                <w:sz w:val="21"/>
                <w:szCs w:val="21"/>
              </w:rPr>
              <w:t>详细评审索引表</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（一）技术规范书应答偏离表</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（二）技术方案</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（三）其他材料（如有）</w:t>
            </w:r>
          </w:p>
          <w:p>
            <w:pPr>
              <w:pStyle w:val="279"/>
              <w:spacing w:before="62" w:after="62"/>
              <w:rPr>
                <w:rFonts w:ascii="仿宋" w:hAnsi="仿宋" w:eastAsia="仿宋" w:cs="宋体"/>
                <w:b/>
                <w:bCs/>
                <w:color w:val="auto"/>
                <w:szCs w:val="21"/>
              </w:rPr>
            </w:pPr>
            <w:r>
              <w:rPr>
                <w:rFonts w:hint="eastAsia" w:ascii="仿宋" w:hAnsi="仿宋" w:eastAsia="仿宋" w:cs="宋体"/>
                <w:b/>
                <w:bCs/>
                <w:color w:val="auto"/>
                <w:szCs w:val="21"/>
              </w:rPr>
              <w:t>三、报价文件</w:t>
            </w:r>
          </w:p>
          <w:p>
            <w:pPr>
              <w:pStyle w:val="279"/>
              <w:spacing w:before="62" w:after="62"/>
              <w:rPr>
                <w:rFonts w:ascii="仿宋" w:hAnsi="仿宋" w:eastAsia="仿宋" w:cs="宋体"/>
                <w:color w:val="auto"/>
                <w:sz w:val="21"/>
                <w:szCs w:val="21"/>
              </w:rPr>
            </w:pPr>
            <w:r>
              <w:rPr>
                <w:rFonts w:hint="eastAsia" w:ascii="仿宋" w:hAnsi="仿宋" w:eastAsia="仿宋" w:cs="宋体"/>
                <w:color w:val="auto"/>
                <w:sz w:val="21"/>
                <w:szCs w:val="21"/>
              </w:rPr>
              <w:t>（一）投标一览表</w:t>
            </w:r>
          </w:p>
          <w:p>
            <w:pPr>
              <w:pStyle w:val="279"/>
              <w:spacing w:before="62" w:after="62"/>
              <w:rPr>
                <w:rFonts w:cs="Times New Roman"/>
                <w:color w:val="auto"/>
              </w:rPr>
            </w:pPr>
            <w:r>
              <w:rPr>
                <w:rFonts w:hint="eastAsia" w:ascii="仿宋" w:hAnsi="仿宋" w:eastAsia="仿宋" w:cs="宋体"/>
                <w:color w:val="auto"/>
                <w:sz w:val="21"/>
                <w:szCs w:val="21"/>
              </w:rPr>
              <w:t>（二）分项报价表（如有）</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投标文件应答和编写</w:t>
            </w:r>
          </w:p>
        </w:tc>
        <w:tc>
          <w:tcPr>
            <w:tcW w:w="3529" w:type="pct"/>
            <w:tcBorders>
              <w:top w:val="single" w:color="auto" w:sz="4" w:space="0"/>
              <w:left w:val="single" w:color="auto" w:sz="4" w:space="0"/>
              <w:bottom w:val="single" w:color="auto" w:sz="4" w:space="0"/>
              <w:right w:val="single" w:color="auto" w:sz="4" w:space="0"/>
            </w:tcBorders>
            <w:vAlign w:val="center"/>
          </w:tcPr>
          <w:p>
            <w:pPr>
              <w:tabs>
                <w:tab w:val="left" w:pos="318"/>
              </w:tabs>
              <w:spacing w:before="62" w:after="62"/>
              <w:rPr>
                <w:rFonts w:ascii="仿宋" w:hAnsi="仿宋" w:eastAsia="仿宋" w:cs="仿宋"/>
                <w:color w:val="auto"/>
              </w:rPr>
            </w:pPr>
            <w:r>
              <w:rPr>
                <w:rFonts w:hint="eastAsia" w:ascii="仿宋" w:hAnsi="仿宋" w:eastAsia="仿宋" w:cs="仿宋"/>
                <w:color w:val="auto"/>
              </w:rPr>
              <w:t>（1）投标人应当逐条对照第二章投标人须知、第四章合同条款进行偏离表应答，只能使用“满足”和“不满足”进行应答。如有“不满足”项，在偏离表中标明条款序号，应答“不满足”并加以详细的解释说明；</w:t>
            </w:r>
            <w:r>
              <w:rPr>
                <w:rFonts w:hint="eastAsia" w:ascii="仿宋" w:hAnsi="仿宋" w:eastAsia="仿宋" w:cs="仿宋"/>
                <w:b/>
                <w:bCs/>
                <w:color w:val="auto"/>
              </w:rPr>
              <w:t>如全部满足，在偏离表中应答“全部满足”即可</w:t>
            </w:r>
            <w:r>
              <w:rPr>
                <w:rFonts w:hint="eastAsia" w:ascii="仿宋" w:hAnsi="仿宋" w:eastAsia="仿宋" w:cs="仿宋"/>
                <w:color w:val="auto"/>
              </w:rPr>
              <w:t>，不应再附加任何说明（招标文件中要求进行解释或提出建议的除外）。</w:t>
            </w:r>
          </w:p>
          <w:p>
            <w:pPr>
              <w:tabs>
                <w:tab w:val="left" w:pos="318"/>
              </w:tabs>
              <w:spacing w:before="62" w:after="62"/>
              <w:rPr>
                <w:rFonts w:ascii="仿宋" w:hAnsi="仿宋" w:eastAsia="仿宋" w:cs="仿宋"/>
                <w:color w:val="auto"/>
              </w:rPr>
            </w:pPr>
            <w:r>
              <w:rPr>
                <w:rFonts w:hint="eastAsia" w:ascii="仿宋" w:hAnsi="仿宋" w:eastAsia="仿宋" w:cs="仿宋"/>
                <w:color w:val="auto"/>
              </w:rPr>
              <w:t>（2）投标人应当逐条对照第五章技术规范书进行偏离表应答。只能使用“满足”和“不满足”进行应答，不得使用“明白”、“理解”等词语。投标人认为满足并优于技术规范书要求的条款，应答“满足”并解释说明优于的具体程度；如有“不满足”项，在偏离表中标明条款序号，应答“不满足”并加以详细的解释说明；</w:t>
            </w:r>
            <w:r>
              <w:rPr>
                <w:rFonts w:hint="eastAsia" w:ascii="仿宋" w:hAnsi="仿宋" w:eastAsia="仿宋" w:cs="仿宋"/>
                <w:b/>
                <w:bCs/>
                <w:color w:val="auto"/>
              </w:rPr>
              <w:t>如全部满足，在偏离表中应答“全部满足”即可</w:t>
            </w:r>
            <w:r>
              <w:rPr>
                <w:rFonts w:hint="eastAsia" w:ascii="仿宋" w:hAnsi="仿宋" w:eastAsia="仿宋" w:cs="仿宋"/>
                <w:color w:val="auto"/>
              </w:rPr>
              <w:t>，不应再附加任何说明（招标文件中要求进行解释或提出建议的除外）。</w:t>
            </w:r>
          </w:p>
          <w:p>
            <w:pPr>
              <w:spacing w:line="276" w:lineRule="auto"/>
              <w:rPr>
                <w:rFonts w:ascii="Times New Roman" w:hAnsi="Times New Roman" w:cs="Times New Roman"/>
                <w:color w:val="auto"/>
              </w:rPr>
            </w:pPr>
            <w:r>
              <w:rPr>
                <w:rFonts w:hint="eastAsia" w:ascii="仿宋" w:hAnsi="仿宋" w:eastAsia="仿宋" w:cs="宋体"/>
                <w:bCs/>
                <w:color w:val="auto"/>
                <w:szCs w:val="21"/>
              </w:rPr>
              <w:t>（3）</w:t>
            </w:r>
            <w:bookmarkStart w:id="60" w:name="_Hlk173251213"/>
            <w:r>
              <w:rPr>
                <w:rFonts w:hint="eastAsia" w:ascii="仿宋" w:hAnsi="仿宋" w:eastAsia="仿宋" w:cs="宋体"/>
                <w:bCs/>
                <w:color w:val="auto"/>
                <w:szCs w:val="21"/>
              </w:rPr>
              <w:t>对于招标文件中提及的原件或复印件要求，照片件、扫描件、影印件、截图件等与其具有同等效力（招标文件有特殊要求的除外）。</w:t>
            </w:r>
            <w:bookmarkEnd w:id="60"/>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★投标文件的盖章或签字要求</w:t>
            </w:r>
          </w:p>
        </w:tc>
        <w:tc>
          <w:tcPr>
            <w:tcW w:w="3529" w:type="pct"/>
            <w:tcBorders>
              <w:top w:val="single" w:color="auto" w:sz="4" w:space="0"/>
              <w:left w:val="single" w:color="auto" w:sz="4" w:space="0"/>
              <w:bottom w:val="single" w:color="auto" w:sz="4" w:space="0"/>
              <w:right w:val="single" w:color="auto" w:sz="4" w:space="0"/>
            </w:tcBorders>
            <w:vAlign w:val="center"/>
          </w:tcPr>
          <w:p>
            <w:pPr>
              <w:pStyle w:val="278"/>
              <w:spacing w:before="62" w:after="62"/>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278"/>
              <w:spacing w:before="62" w:after="62"/>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278"/>
              <w:spacing w:before="62" w:after="62"/>
              <w:rPr>
                <w:rFonts w:ascii="仿宋" w:hAnsi="仿宋" w:eastAsia="仿宋" w:cs="宋体"/>
                <w:color w:val="auto"/>
                <w:sz w:val="21"/>
                <w:szCs w:val="21"/>
              </w:rPr>
            </w:pPr>
            <w:r>
              <w:rPr>
                <w:rFonts w:hint="eastAsia" w:ascii="仿宋" w:hAnsi="仿宋" w:eastAsia="仿宋" w:cs="宋体"/>
                <w:color w:val="auto"/>
                <w:sz w:val="21"/>
                <w:szCs w:val="21"/>
              </w:rPr>
              <w:t>（3）投标文件格式中其他有落款的文件，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278"/>
              <w:spacing w:before="62" w:after="62"/>
              <w:rPr>
                <w:rFonts w:ascii="仿宋" w:hAnsi="仿宋" w:eastAsia="仿宋" w:cs="宋体"/>
                <w:color w:val="auto"/>
                <w:sz w:val="21"/>
                <w:szCs w:val="21"/>
                <w:lang w:eastAsia="zh-Hans"/>
              </w:rPr>
            </w:pPr>
            <w:r>
              <w:rPr>
                <w:rFonts w:hint="eastAsia" w:ascii="仿宋" w:hAnsi="仿宋" w:eastAsia="仿宋" w:cs="宋体"/>
                <w:color w:val="auto"/>
                <w:sz w:val="21"/>
                <w:szCs w:val="21"/>
              </w:rPr>
              <w:t>（4）投标文件的所有签字处均指手写签字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★最高投标限价</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 w:val="22"/>
                <w:szCs w:val="22"/>
              </w:rPr>
            </w:pPr>
            <w:r>
              <w:rPr>
                <w:rFonts w:hint="eastAsia" w:ascii="仿宋" w:hAnsi="仿宋" w:eastAsia="仿宋" w:cs="宋体"/>
                <w:color w:val="auto"/>
                <w:sz w:val="22"/>
                <w:szCs w:val="22"/>
              </w:rPr>
              <w:t>□不设置最高投标限价</w:t>
            </w:r>
          </w:p>
          <w:p>
            <w:pPr>
              <w:pStyle w:val="274"/>
              <w:spacing w:before="62" w:after="62"/>
              <w:rPr>
                <w:rFonts w:ascii="仿宋" w:hAnsi="仿宋" w:eastAsia="仿宋" w:cs="宋体"/>
                <w:color w:val="auto"/>
                <w:spacing w:val="-4"/>
                <w:sz w:val="22"/>
                <w:szCs w:val="22"/>
              </w:rPr>
            </w:pPr>
            <w:r>
              <w:rPr>
                <w:rFonts w:hint="eastAsia" w:ascii="仿宋" w:hAnsi="仿宋" w:eastAsia="仿宋" w:cs="宋体"/>
                <w:color w:val="auto"/>
                <w:sz w:val="22"/>
                <w:szCs w:val="22"/>
              </w:rPr>
              <w:t>☑</w:t>
            </w:r>
            <w:r>
              <w:rPr>
                <w:rFonts w:hint="eastAsia" w:ascii="仿宋" w:hAnsi="仿宋" w:eastAsia="仿宋" w:cs="宋体"/>
                <w:color w:val="auto"/>
                <w:spacing w:val="-4"/>
                <w:sz w:val="22"/>
                <w:szCs w:val="22"/>
              </w:rPr>
              <w:t xml:space="preserve">设置最高投标限价    </w:t>
            </w:r>
          </w:p>
          <w:p>
            <w:pPr>
              <w:pStyle w:val="274"/>
              <w:spacing w:before="62" w:after="62"/>
              <w:rPr>
                <w:rFonts w:ascii="仿宋" w:hAnsi="仿宋" w:eastAsia="仿宋" w:cs="宋体"/>
                <w:color w:val="auto"/>
                <w:szCs w:val="21"/>
                <w:u w:val="single"/>
              </w:rPr>
            </w:pPr>
            <w:r>
              <w:rPr>
                <w:rFonts w:hint="eastAsia" w:ascii="仿宋" w:hAnsi="仿宋" w:eastAsia="仿宋" w:cs="宋体"/>
                <w:color w:val="auto"/>
                <w:spacing w:val="-4"/>
                <w:sz w:val="22"/>
                <w:szCs w:val="22"/>
              </w:rPr>
              <w:t>本项目最高投标限价为</w:t>
            </w:r>
            <w:r>
              <w:rPr>
                <w:rFonts w:hint="eastAsia" w:ascii="仿宋" w:hAnsi="仿宋" w:eastAsia="仿宋" w:cs="宋体"/>
                <w:b/>
                <w:bCs/>
                <w:color w:val="auto"/>
                <w:spacing w:val="-4"/>
                <w:sz w:val="22"/>
                <w:szCs w:val="22"/>
                <w:u w:val="single"/>
              </w:rPr>
              <w:t>85.29</w:t>
            </w:r>
            <w:r>
              <w:rPr>
                <w:rFonts w:hint="eastAsia" w:ascii="仿宋" w:hAnsi="仿宋" w:eastAsia="仿宋" w:cs="宋体"/>
                <w:color w:val="auto"/>
                <w:spacing w:val="-4"/>
                <w:sz w:val="22"/>
                <w:szCs w:val="22"/>
                <w:u w:val="single"/>
              </w:rPr>
              <w:t>万元</w:t>
            </w:r>
            <w:r>
              <w:rPr>
                <w:rFonts w:hint="eastAsia" w:ascii="仿宋" w:hAnsi="仿宋" w:eastAsia="仿宋" w:cs="宋体"/>
                <w:color w:val="auto"/>
                <w:spacing w:val="-4"/>
                <w:sz w:val="22"/>
                <w:szCs w:val="22"/>
              </w:rPr>
              <w:t>，投标报价超过最高投标限价的，</w:t>
            </w:r>
            <w:r>
              <w:rPr>
                <w:rFonts w:hint="eastAsia" w:ascii="仿宋" w:hAnsi="仿宋" w:eastAsia="仿宋" w:cs="宋体"/>
                <w:b/>
                <w:color w:val="auto"/>
                <w:spacing w:val="-4"/>
                <w:sz w:val="22"/>
                <w:szCs w:val="22"/>
              </w:rPr>
              <w:t>投标将被否决。</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投标报价的具体要求</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宋体"/>
                <w:color w:val="auto"/>
                <w:szCs w:val="21"/>
              </w:rPr>
              <w:t>本条款增加以下内容：</w:t>
            </w:r>
          </w:p>
          <w:p>
            <w:pPr>
              <w:pStyle w:val="274"/>
              <w:spacing w:before="62" w:after="62"/>
              <w:rPr>
                <w:rFonts w:ascii="仿宋" w:hAnsi="仿宋" w:eastAsia="仿宋" w:cs="宋体"/>
                <w:color w:val="auto"/>
                <w:szCs w:val="21"/>
              </w:rPr>
            </w:pPr>
            <w:r>
              <w:rPr>
                <w:rFonts w:hint="eastAsia" w:ascii="仿宋" w:hAnsi="仿宋" w:eastAsia="仿宋" w:cs="宋体"/>
                <w:color w:val="auto"/>
                <w:szCs w:val="21"/>
              </w:rPr>
              <w:t>（1）投标总价为完成本项目规定工作所需的全部税费，包括但不限于产品费用、提供技术服务人员、必要工具设备的所有费用及税金等，除此之外，招标人不再支付任何费用。</w:t>
            </w:r>
          </w:p>
          <w:p>
            <w:pPr>
              <w:pStyle w:val="274"/>
              <w:spacing w:before="62" w:after="62"/>
              <w:rPr>
                <w:rFonts w:ascii="仿宋" w:hAnsi="仿宋" w:eastAsia="仿宋" w:cs="宋体"/>
                <w:b/>
                <w:color w:val="auto"/>
                <w:szCs w:val="21"/>
              </w:rPr>
            </w:pPr>
            <w:r>
              <w:rPr>
                <w:rFonts w:hint="eastAsia" w:ascii="仿宋" w:hAnsi="仿宋" w:eastAsia="仿宋" w:cs="宋体"/>
                <w:color w:val="auto"/>
                <w:szCs w:val="21"/>
              </w:rPr>
              <w:t>（2）投标人应根据技术规范书的要求并遵照“第六章 投标文件格式”给出的投标一览表、分项报价表进行报价，</w:t>
            </w:r>
            <w:r>
              <w:rPr>
                <w:rFonts w:hint="eastAsia" w:ascii="仿宋" w:hAnsi="仿宋" w:eastAsia="仿宋" w:cs="宋体"/>
                <w:b/>
                <w:color w:val="auto"/>
                <w:szCs w:val="21"/>
              </w:rPr>
              <w:t>不得缺省或回避填写，否则视为非实质性响应，投标将被否决。</w:t>
            </w:r>
          </w:p>
          <w:p>
            <w:pPr>
              <w:pStyle w:val="274"/>
              <w:spacing w:before="62" w:after="62"/>
              <w:rPr>
                <w:rFonts w:ascii="仿宋" w:hAnsi="仿宋" w:eastAsia="仿宋" w:cs="宋体"/>
                <w:b/>
                <w:color w:val="auto"/>
                <w:szCs w:val="21"/>
              </w:rPr>
            </w:pPr>
            <w:r>
              <w:rPr>
                <w:rFonts w:hint="eastAsia" w:ascii="仿宋" w:hAnsi="仿宋" w:eastAsia="仿宋" w:cs="宋体"/>
                <w:color w:val="auto"/>
                <w:szCs w:val="21"/>
              </w:rPr>
              <w:t>（3）如国家后续对增值税税率进行调整，在不含税（单）价报价不变的基础上，按照新税率重新计算含税（总）价。</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★投标有效期</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宋体"/>
                <w:color w:val="auto"/>
                <w:szCs w:val="21"/>
              </w:rPr>
              <w:t>投标有效期：</w:t>
            </w:r>
            <w:r>
              <w:rPr>
                <w:rFonts w:hint="eastAsia" w:ascii="仿宋" w:hAnsi="仿宋" w:eastAsia="仿宋" w:cs="宋体"/>
                <w:color w:val="auto"/>
                <w:szCs w:val="21"/>
                <w:u w:val="single"/>
              </w:rPr>
              <w:t>120天。</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★投标保证金的金额</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u w:val="single"/>
              </w:rPr>
            </w:pPr>
            <w:r>
              <w:rPr>
                <w:rFonts w:hint="eastAsia" w:ascii="仿宋" w:hAnsi="仿宋" w:eastAsia="仿宋" w:cs="宋体"/>
                <w:color w:val="auto"/>
                <w:szCs w:val="21"/>
              </w:rPr>
              <w:t>本项目不收取投标保证金。</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★投标保证金的形式</w:t>
            </w:r>
          </w:p>
        </w:tc>
        <w:tc>
          <w:tcPr>
            <w:tcW w:w="3529" w:type="pct"/>
            <w:tcBorders>
              <w:top w:val="single" w:color="auto" w:sz="4" w:space="0"/>
              <w:left w:val="single" w:color="auto" w:sz="4" w:space="0"/>
              <w:bottom w:val="single" w:color="auto" w:sz="4" w:space="0"/>
              <w:right w:val="single" w:color="auto" w:sz="4" w:space="0"/>
            </w:tcBorders>
            <w:vAlign w:val="center"/>
          </w:tcPr>
          <w:p>
            <w:pPr>
              <w:jc w:val="left"/>
              <w:rPr>
                <w:rFonts w:ascii="仿宋" w:hAnsi="仿宋" w:eastAsia="仿宋" w:cs="宋体"/>
                <w:b/>
                <w:bCs/>
                <w:color w:val="auto"/>
                <w:szCs w:val="21"/>
                <w:lang w:eastAsia="zh-Hans"/>
              </w:rPr>
            </w:pPr>
            <w:r>
              <w:rPr>
                <w:rFonts w:hint="eastAsia" w:ascii="仿宋" w:hAnsi="仿宋" w:eastAsia="仿宋" w:cs="宋体"/>
                <w:color w:val="auto"/>
                <w:szCs w:val="21"/>
              </w:rPr>
              <w:t>本项目不收取投标保证金。</w:t>
            </w:r>
          </w:p>
        </w:tc>
      </w:tr>
      <w:tr>
        <w:tblPrEx>
          <w:tblCellMar>
            <w:top w:w="0" w:type="dxa"/>
            <w:left w:w="108" w:type="dxa"/>
            <w:bottom w:w="0" w:type="dxa"/>
            <w:right w:w="108" w:type="dxa"/>
          </w:tblCellMar>
        </w:tblPrEx>
        <w:trPr>
          <w:trHeight w:val="907"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★投标保证金不予退还情形</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宋体"/>
                <w:color w:val="auto"/>
                <w:szCs w:val="21"/>
              </w:rPr>
              <w:t>本项目不收取投标保证金。</w:t>
            </w:r>
          </w:p>
        </w:tc>
      </w:tr>
      <w:tr>
        <w:tblPrEx>
          <w:tblCellMar>
            <w:top w:w="0" w:type="dxa"/>
            <w:left w:w="108" w:type="dxa"/>
            <w:bottom w:w="0" w:type="dxa"/>
            <w:right w:w="108" w:type="dxa"/>
          </w:tblCellMar>
        </w:tblPrEx>
        <w:trPr>
          <w:trHeight w:val="907"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备选投标方案</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仿宋"/>
                <w:color w:val="auto"/>
                <w:szCs w:val="21"/>
              </w:rPr>
              <w:t>■</w:t>
            </w:r>
            <w:r>
              <w:rPr>
                <w:rFonts w:hint="eastAsia" w:ascii="仿宋" w:hAnsi="仿宋" w:eastAsia="仿宋" w:cs="宋体"/>
                <w:color w:val="auto"/>
                <w:szCs w:val="21"/>
              </w:rPr>
              <w:t>不允许</w:t>
            </w:r>
          </w:p>
          <w:p>
            <w:pPr>
              <w:pStyle w:val="274"/>
              <w:spacing w:before="62" w:after="62"/>
              <w:rPr>
                <w:rFonts w:ascii="仿宋" w:hAnsi="仿宋" w:eastAsia="仿宋" w:cs="宋体"/>
                <w:color w:val="auto"/>
                <w:szCs w:val="21"/>
              </w:rPr>
            </w:pPr>
            <w:r>
              <w:rPr>
                <w:rFonts w:hint="eastAsia" w:ascii="仿宋" w:hAnsi="仿宋" w:eastAsia="仿宋" w:cs="宋体"/>
                <w:color w:val="auto"/>
                <w:szCs w:val="21"/>
              </w:rPr>
              <w:t>□允许</w:t>
            </w:r>
          </w:p>
        </w:tc>
      </w:tr>
      <w:tr>
        <w:tblPrEx>
          <w:tblCellMar>
            <w:top w:w="0" w:type="dxa"/>
            <w:left w:w="108" w:type="dxa"/>
            <w:bottom w:w="0" w:type="dxa"/>
            <w:right w:w="108" w:type="dxa"/>
          </w:tblCellMar>
        </w:tblPrEx>
        <w:trPr>
          <w:trHeight w:val="411"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投标文件的份数</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宋体"/>
                <w:color w:val="auto"/>
                <w:szCs w:val="21"/>
              </w:rPr>
              <w:t>纸质文件正本</w:t>
            </w:r>
            <w:r>
              <w:rPr>
                <w:rFonts w:hint="eastAsia" w:ascii="仿宋" w:hAnsi="仿宋" w:eastAsia="仿宋" w:cs="宋体"/>
                <w:color w:val="auto"/>
                <w:szCs w:val="21"/>
                <w:u w:val="single"/>
              </w:rPr>
              <w:t xml:space="preserve"> 1 </w:t>
            </w:r>
            <w:r>
              <w:rPr>
                <w:rFonts w:hint="eastAsia" w:ascii="仿宋" w:hAnsi="仿宋" w:eastAsia="仿宋" w:cs="宋体"/>
                <w:color w:val="auto"/>
                <w:szCs w:val="21"/>
              </w:rPr>
              <w:t>份，副本</w:t>
            </w:r>
            <w:r>
              <w:rPr>
                <w:rFonts w:ascii="仿宋" w:hAnsi="仿宋" w:eastAsia="仿宋" w:cs="宋体"/>
                <w:color w:val="auto"/>
                <w:szCs w:val="21"/>
                <w:u w:val="single"/>
              </w:rPr>
              <w:t xml:space="preserve"> </w:t>
            </w:r>
            <w:r>
              <w:rPr>
                <w:rFonts w:hint="eastAsia" w:ascii="仿宋" w:hAnsi="仿宋" w:eastAsia="仿宋" w:cs="宋体"/>
                <w:color w:val="auto"/>
                <w:szCs w:val="21"/>
                <w:u w:val="single"/>
              </w:rPr>
              <w:t xml:space="preserve">4 </w:t>
            </w:r>
            <w:r>
              <w:rPr>
                <w:rFonts w:hint="eastAsia" w:ascii="仿宋" w:hAnsi="仿宋" w:eastAsia="仿宋" w:cs="宋体"/>
                <w:color w:val="auto"/>
                <w:szCs w:val="21"/>
              </w:rPr>
              <w:t>份。</w:t>
            </w:r>
          </w:p>
        </w:tc>
      </w:tr>
      <w:tr>
        <w:tblPrEx>
          <w:tblCellMar>
            <w:top w:w="0" w:type="dxa"/>
            <w:left w:w="108" w:type="dxa"/>
            <w:bottom w:w="0" w:type="dxa"/>
            <w:right w:w="108" w:type="dxa"/>
          </w:tblCellMar>
        </w:tblPrEx>
        <w:trPr>
          <w:trHeight w:val="907"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纸质投标文件的密封、标记要求</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bCs/>
                <w:color w:val="auto"/>
                <w:szCs w:val="21"/>
              </w:rPr>
            </w:pPr>
            <w:r>
              <w:rPr>
                <w:rFonts w:hint="eastAsia" w:ascii="仿宋" w:hAnsi="仿宋" w:eastAsia="仿宋" w:cs="宋体"/>
                <w:color w:val="auto"/>
                <w:szCs w:val="21"/>
              </w:rPr>
              <w:t>（1）采用A4纸胶装，双面打印，商务、技术、报价文件分别装订成册，密封粘接缝隙加盖投标人公章</w:t>
            </w:r>
            <w:r>
              <w:rPr>
                <w:rFonts w:hint="eastAsia" w:ascii="仿宋" w:hAnsi="仿宋" w:eastAsia="仿宋" w:cs="宋体"/>
                <w:b/>
                <w:bCs/>
                <w:color w:val="auto"/>
                <w:szCs w:val="21"/>
              </w:rPr>
              <w:t>或</w:t>
            </w:r>
            <w:r>
              <w:rPr>
                <w:rFonts w:hint="eastAsia" w:ascii="仿宋" w:hAnsi="仿宋" w:eastAsia="仿宋" w:cs="宋体"/>
                <w:color w:val="auto"/>
                <w:szCs w:val="21"/>
              </w:rPr>
              <w:t>由法定代表人（负责人）</w:t>
            </w:r>
            <w:r>
              <w:rPr>
                <w:rFonts w:hint="eastAsia" w:ascii="仿宋" w:hAnsi="仿宋" w:eastAsia="仿宋" w:cs="宋体"/>
                <w:b/>
                <w:bCs/>
                <w:color w:val="auto"/>
                <w:szCs w:val="21"/>
              </w:rPr>
              <w:t>或</w:t>
            </w:r>
            <w:r>
              <w:rPr>
                <w:rFonts w:hint="eastAsia" w:ascii="仿宋" w:hAnsi="仿宋" w:eastAsia="仿宋" w:cs="宋体"/>
                <w:color w:val="auto"/>
                <w:szCs w:val="21"/>
              </w:rPr>
              <w:t>其委托代理人签字。</w:t>
            </w:r>
            <w:r>
              <w:rPr>
                <w:rFonts w:hint="eastAsia" w:ascii="仿宋" w:hAnsi="仿宋" w:eastAsia="仿宋" w:cs="宋体"/>
                <w:b/>
                <w:color w:val="auto"/>
                <w:szCs w:val="21"/>
              </w:rPr>
              <w:t>未按要求密封的</w:t>
            </w:r>
            <w:r>
              <w:rPr>
                <w:rFonts w:hint="eastAsia" w:ascii="仿宋" w:hAnsi="仿宋" w:eastAsia="仿宋" w:cs="宋体"/>
                <w:b/>
                <w:color w:val="auto"/>
                <w:szCs w:val="21"/>
                <w:lang w:eastAsia="zh-Hans"/>
              </w:rPr>
              <w:t>纸质</w:t>
            </w:r>
            <w:r>
              <w:rPr>
                <w:rFonts w:hint="eastAsia" w:ascii="仿宋" w:hAnsi="仿宋" w:eastAsia="仿宋" w:cs="宋体"/>
                <w:b/>
                <w:color w:val="auto"/>
                <w:szCs w:val="21"/>
              </w:rPr>
              <w:t>投标文件不予接收。</w:t>
            </w:r>
          </w:p>
          <w:p>
            <w:pPr>
              <w:pStyle w:val="274"/>
              <w:spacing w:before="62" w:after="62"/>
              <w:rPr>
                <w:rFonts w:ascii="仿宋" w:hAnsi="仿宋" w:eastAsia="仿宋" w:cs="宋体"/>
                <w:color w:val="auto"/>
              </w:rPr>
            </w:pPr>
            <w:r>
              <w:rPr>
                <w:rFonts w:hint="eastAsia" w:ascii="仿宋" w:hAnsi="仿宋" w:eastAsia="仿宋" w:cs="宋体"/>
                <w:bCs/>
                <w:color w:val="auto"/>
                <w:szCs w:val="21"/>
              </w:rPr>
              <w:t>（2）</w:t>
            </w:r>
            <w:r>
              <w:rPr>
                <w:rFonts w:hint="eastAsia" w:ascii="仿宋" w:hAnsi="仿宋" w:eastAsia="仿宋" w:cs="宋体"/>
                <w:color w:val="auto"/>
                <w:szCs w:val="21"/>
              </w:rPr>
              <w:t>外层包封具体样式如下：</w:t>
            </w:r>
          </w:p>
          <w:p>
            <w:pPr>
              <w:pStyle w:val="274"/>
              <w:spacing w:before="62" w:after="62"/>
              <w:rPr>
                <w:rFonts w:ascii="仿宋" w:hAnsi="仿宋" w:eastAsia="仿宋" w:cs="宋体"/>
                <w:b/>
                <w:color w:val="auto"/>
                <w:szCs w:val="21"/>
                <w:lang w:eastAsia="zh-Hans"/>
              </w:rPr>
            </w:pPr>
            <w:r>
              <w:rPr>
                <w:rFonts w:hint="eastAsia" w:ascii="仿宋" w:hAnsi="仿宋" w:eastAsia="仿宋" w:cs="宋体"/>
                <w:color w:val="auto"/>
                <w:szCs w:val="21"/>
              </w:rPr>
              <mc:AlternateContent>
                <mc:Choice Requires="wps">
                  <w:drawing>
                    <wp:inline distT="0" distB="0" distL="0" distR="0">
                      <wp:extent cx="3823970" cy="2676525"/>
                      <wp:effectExtent l="4445" t="4445" r="6985" b="11430"/>
                      <wp:docPr id="3" name="文本框 25"/>
                      <wp:cNvGraphicFramePr/>
                      <a:graphic xmlns:a="http://schemas.openxmlformats.org/drawingml/2006/main">
                        <a:graphicData uri="http://schemas.microsoft.com/office/word/2010/wordprocessingShape">
                          <wps:wsp>
                            <wps:cNvSpPr txBox="1">
                              <a:spLocks noRot="1"/>
                            </wps:cNvSpPr>
                            <wps:spPr bwMode="auto">
                              <a:xfrm>
                                <a:off x="0" y="0"/>
                                <a:ext cx="3823970" cy="267652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仿宋" w:hAnsi="仿宋" w:eastAsia="仿宋" w:cs="仿宋"/>
                                      <w:szCs w:val="21"/>
                                      <w:u w:val="single"/>
                                    </w:rPr>
                                  </w:pPr>
                                  <w:r>
                                    <w:rPr>
                                      <w:rFonts w:hint="eastAsia" w:ascii="仿宋" w:hAnsi="仿宋" w:eastAsia="仿宋" w:cs="仿宋"/>
                                      <w:szCs w:val="21"/>
                                    </w:rPr>
                                    <w:t>项目名称：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pPr>
                                    <w:rPr>
                                      <w:rFonts w:ascii="仿宋" w:hAnsi="仿宋" w:eastAsia="仿宋" w:cs="仿宋"/>
                                      <w:szCs w:val="21"/>
                                      <w:u w:val="single"/>
                                    </w:rPr>
                                  </w:pPr>
                                  <w:r>
                                    <w:rPr>
                                      <w:rFonts w:hint="eastAsia" w:ascii="仿宋" w:hAnsi="仿宋" w:eastAsia="仿宋" w:cs="仿宋"/>
                                      <w:szCs w:val="21"/>
                                    </w:rPr>
                                    <w:t>招标人名称：</w:t>
                                  </w:r>
                                  <w:r>
                                    <w:rPr>
                                      <w:rFonts w:hint="eastAsia" w:ascii="仿宋" w:hAnsi="仿宋" w:eastAsia="仿宋" w:cs="仿宋"/>
                                      <w:szCs w:val="21"/>
                                      <w:u w:val="single"/>
                                    </w:rPr>
                                    <w:t xml:space="preserve">                 </w:t>
                                  </w:r>
                                </w:p>
                                <w:p>
                                  <w:pPr>
                                    <w:rPr>
                                      <w:rFonts w:ascii="仿宋" w:hAnsi="仿宋" w:eastAsia="仿宋" w:cs="仿宋"/>
                                      <w:szCs w:val="21"/>
                                      <w:u w:val="single"/>
                                    </w:rPr>
                                  </w:pPr>
                                  <w:r>
                                    <w:rPr>
                                      <w:rFonts w:hint="eastAsia" w:ascii="仿宋" w:hAnsi="仿宋" w:eastAsia="仿宋" w:cs="仿宋"/>
                                      <w:szCs w:val="21"/>
                                    </w:rPr>
                                    <w:t>招标人地址：</w:t>
                                  </w:r>
                                  <w:r>
                                    <w:rPr>
                                      <w:rFonts w:hint="eastAsia" w:ascii="仿宋" w:hAnsi="仿宋" w:eastAsia="仿宋" w:cs="仿宋"/>
                                      <w:szCs w:val="21"/>
                                      <w:u w:val="single"/>
                                    </w:rPr>
                                    <w:t xml:space="preserve">                 </w:t>
                                  </w:r>
                                </w:p>
                                <w:p>
                                  <w:pPr>
                                    <w:jc w:val="center"/>
                                    <w:rPr>
                                      <w:rFonts w:ascii="仿宋" w:hAnsi="仿宋" w:eastAsia="仿宋" w:cs="仿宋"/>
                                      <w:szCs w:val="21"/>
                                    </w:rPr>
                                  </w:pPr>
                                  <w:r>
                                    <w:rPr>
                                      <w:rFonts w:hint="eastAsia" w:ascii="仿宋" w:hAnsi="仿宋" w:eastAsia="仿宋" w:cs="仿宋"/>
                                      <w:szCs w:val="21"/>
                                    </w:rPr>
                                    <w:t>本文件于【</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01</w:t>
                                  </w:r>
                                  <w:r>
                                    <w:rPr>
                                      <w:rFonts w:hint="eastAsia" w:ascii="仿宋" w:hAnsi="仿宋" w:eastAsia="仿宋" w:cs="仿宋"/>
                                      <w:szCs w:val="21"/>
                                    </w:rPr>
                                    <w:t>】月【</w:t>
                                  </w:r>
                                  <w:r>
                                    <w:rPr>
                                      <w:rFonts w:hint="eastAsia" w:ascii="仿宋" w:hAnsi="仿宋" w:eastAsia="仿宋" w:cs="仿宋"/>
                                      <w:szCs w:val="21"/>
                                      <w:u w:val="single"/>
                                      <w:lang w:val="en-US" w:eastAsia="zh-CN"/>
                                    </w:rPr>
                                    <w:t>13</w:t>
                                  </w:r>
                                  <w:r>
                                    <w:rPr>
                                      <w:rFonts w:hint="eastAsia" w:ascii="仿宋" w:hAnsi="仿宋" w:eastAsia="仿宋" w:cs="仿宋"/>
                                      <w:szCs w:val="21"/>
                                    </w:rPr>
                                    <w:t>】日【</w:t>
                                  </w:r>
                                  <w:r>
                                    <w:rPr>
                                      <w:rFonts w:hint="eastAsia" w:ascii="仿宋" w:hAnsi="仿宋" w:eastAsia="仿宋" w:cs="仿宋"/>
                                      <w:szCs w:val="21"/>
                                      <w:u w:val="single"/>
                                      <w:lang w:val="en-US" w:eastAsia="zh-CN"/>
                                    </w:rPr>
                                    <w:t>10</w:t>
                                  </w:r>
                                  <w:r>
                                    <w:rPr>
                                      <w:rFonts w:hint="eastAsia" w:ascii="仿宋" w:hAnsi="仿宋" w:eastAsia="仿宋" w:cs="仿宋"/>
                                      <w:szCs w:val="21"/>
                                    </w:rPr>
                                    <w:t>】时【</w:t>
                                  </w:r>
                                  <w:r>
                                    <w:rPr>
                                      <w:rFonts w:hint="eastAsia" w:ascii="仿宋" w:hAnsi="仿宋" w:eastAsia="仿宋" w:cs="仿宋"/>
                                      <w:szCs w:val="21"/>
                                      <w:u w:val="single"/>
                                      <w:lang w:val="en-US" w:eastAsia="zh-CN"/>
                                    </w:rPr>
                                    <w:t>00</w:t>
                                  </w:r>
                                  <w:r>
                                    <w:rPr>
                                      <w:rFonts w:hint="eastAsia" w:ascii="仿宋" w:hAnsi="仿宋" w:eastAsia="仿宋" w:cs="仿宋"/>
                                      <w:szCs w:val="21"/>
                                    </w:rPr>
                                    <w:t>】分（北京时间）（开标时间）前不得开封</w:t>
                                  </w:r>
                                </w:p>
                                <w:p>
                                  <w:pPr>
                                    <w:rPr>
                                      <w:rFonts w:ascii="仿宋" w:hAnsi="仿宋" w:eastAsia="仿宋" w:cs="仿宋"/>
                                      <w:szCs w:val="21"/>
                                    </w:rPr>
                                  </w:pPr>
                                  <w:r>
                                    <w:rPr>
                                      <w:rFonts w:hint="eastAsia" w:ascii="仿宋" w:hAnsi="仿宋" w:eastAsia="仿宋" w:cs="仿宋"/>
                                      <w:szCs w:val="21"/>
                                    </w:rPr>
                                    <w:t>投标人名称：</w:t>
                                  </w:r>
                                  <w:r>
                                    <w:rPr>
                                      <w:rFonts w:hint="eastAsia" w:ascii="仿宋" w:hAnsi="仿宋" w:eastAsia="仿宋" w:cs="仿宋"/>
                                      <w:szCs w:val="21"/>
                                      <w:u w:val="single"/>
                                    </w:rPr>
                                    <w:t xml:space="preserve">               </w:t>
                                  </w:r>
                                  <w:r>
                                    <w:rPr>
                                      <w:rFonts w:hint="eastAsia" w:ascii="仿宋" w:hAnsi="仿宋" w:eastAsia="仿宋" w:cs="仿宋"/>
                                      <w:szCs w:val="21"/>
                                    </w:rPr>
                                    <w:t>（公章）</w:t>
                                  </w:r>
                                </w:p>
                                <w:p>
                                  <w:pPr>
                                    <w:rPr>
                                      <w:rFonts w:ascii="仿宋" w:hAnsi="仿宋" w:eastAsia="仿宋" w:cs="仿宋"/>
                                      <w:szCs w:val="21"/>
                                      <w:u w:val="single"/>
                                    </w:rPr>
                                  </w:pPr>
                                  <w:r>
                                    <w:rPr>
                                      <w:rFonts w:hint="eastAsia" w:ascii="仿宋" w:hAnsi="仿宋" w:eastAsia="仿宋" w:cs="仿宋"/>
                                      <w:szCs w:val="21"/>
                                    </w:rPr>
                                    <w:t>投标人地址：</w:t>
                                  </w:r>
                                  <w:r>
                                    <w:rPr>
                                      <w:rFonts w:hint="eastAsia" w:ascii="仿宋" w:hAnsi="仿宋" w:eastAsia="仿宋" w:cs="仿宋"/>
                                      <w:szCs w:val="21"/>
                                      <w:u w:val="single"/>
                                    </w:rPr>
                                    <w:t xml:space="preserve">                 </w:t>
                                  </w:r>
                                </w:p>
                                <w:p>
                                  <w:pPr>
                                    <w:rPr>
                                      <w:rFonts w:ascii="仿宋" w:hAnsi="仿宋" w:eastAsia="仿宋" w:cs="仿宋"/>
                                      <w:szCs w:val="21"/>
                                      <w:u w:val="single"/>
                                    </w:rPr>
                                  </w:pPr>
                                  <w:r>
                                    <w:rPr>
                                      <w:rFonts w:hint="eastAsia" w:ascii="仿宋" w:hAnsi="仿宋" w:eastAsia="仿宋" w:cs="仿宋"/>
                                      <w:szCs w:val="21"/>
                                    </w:rPr>
                                    <w:t>封装文件内容：</w:t>
                                  </w:r>
                                  <w:r>
                                    <w:rPr>
                                      <w:rFonts w:hint="eastAsia" w:ascii="仿宋" w:hAnsi="仿宋" w:eastAsia="仿宋" w:cs="仿宋"/>
                                      <w:szCs w:val="21"/>
                                      <w:u w:val="single"/>
                                    </w:rPr>
                                    <w:t xml:space="preserve">                 </w:t>
                                  </w:r>
                                </w:p>
                                <w:p>
                                  <w:pPr>
                                    <w:rPr>
                                      <w:rFonts w:ascii="仿宋" w:hAnsi="仿宋" w:eastAsia="仿宋" w:cs="仿宋"/>
                                    </w:rPr>
                                  </w:pPr>
                                  <w:r>
                                    <w:rPr>
                                      <w:rFonts w:hint="eastAsia" w:ascii="仿宋" w:hAnsi="仿宋" w:eastAsia="仿宋" w:cs="仿宋"/>
                                      <w:szCs w:val="21"/>
                                    </w:rPr>
                                    <w:t>投标人联系人及联系电话：</w:t>
                                  </w:r>
                                  <w:r>
                                    <w:rPr>
                                      <w:rFonts w:hint="eastAsia" w:ascii="仿宋" w:hAnsi="仿宋" w:eastAsia="仿宋" w:cs="仿宋"/>
                                      <w:szCs w:val="21"/>
                                      <w:u w:val="single"/>
                                    </w:rPr>
                                    <w:t xml:space="preserve">                 </w:t>
                                  </w:r>
                                </w:p>
                              </w:txbxContent>
                            </wps:txbx>
                            <wps:bodyPr wrap="square" upright="1">
                              <a:spAutoFit/>
                            </wps:bodyPr>
                          </wps:wsp>
                        </a:graphicData>
                      </a:graphic>
                    </wp:inline>
                  </w:drawing>
                </mc:Choice>
                <mc:Fallback>
                  <w:pict>
                    <v:shape id="文本框 25" o:spid="_x0000_s1026" o:spt="202" type="#_x0000_t202" style="height:210.75pt;width:301.1pt;" fillcolor="#FFFFFF" filled="t" stroked="t" coordsize="21600,21600" o:gfxdata="UEsDBAoAAAAAAIdO4kAAAAAAAAAAAAAAAAAEAAAAZHJzL1BLAwQUAAAACACHTuJAUL3AYtUAAAAF&#10;AQAADwAAAGRycy9kb3ducmV2LnhtbE2PwW7CMBBE70j8g7WVeit2ooKqNA6HIs6ltFLVm2MvcUS8&#10;DrEJ0K+vywUuK41mNPO2XJ5dx0YcQutJQjYTwJC0Ny01Er4+108vwEJUZFTnCSVcMMCymk5KVRh/&#10;og8ct7FhqYRCoSTYGPuC86AtOhVmvkdK3s4PTsUkh4abQZ1Suet4LsSCO9VSWrCqxzeLer89Oglh&#10;tTn0erep99Zcft9X41x/r3+kfHzIxCuwiOd4C8M/fkKHKjHV/kgmsE5CeiReb/IWIs+B1RKe82wO&#10;vCr5PX31B1BLAwQUAAAACACHTuJA1Je0GToCAACRBAAADgAAAGRycy9lMm9Eb2MueG1srVRLjhMx&#10;EN0jcQfLe9L5aDIzrXRGQAib4SMGDlCx3WkL/7CddOcCcANWbNhzrpyDsjuTGQWQsqAXrXK76lXV&#10;e1U9u+m0Ilvhg7SmoqPBkBJhmOXSrCv66ePy2RUlIYLhoKwRFd2JQG/mT5/MWleKsW2s4sITBDGh&#10;bF1FmxhdWRSBNUJDGFgnDF7W1muIePTrgntoEV2rYjwcTovWeu68ZSIE/LroL+kB0Z8DaOtaMrGw&#10;bKOFiT2qFwoithQa6QKd52rrWrD4rq6DiERVFDuN+Y1J0F6ldzGfQbn24BrJDiXAOSWc9KRBGkx6&#10;hFpABLLx8g8oLZm3wdZxwKwu+kYyI9jFaHjCzV0DTuRekOrgjqSH/wfL3m7feyJ5RSeUGNAo+P77&#10;t/2PX/ufX8n4IvHTulCi251Dx9i9sB1OTe41uFvLPgdi7AeLxI6Sc/HIuw8NKW7VvrEcsWETbY7t&#10;aq8TX8gAQUCUY3eUQ3SRMPw4uRpPri/xiuHdeHo5vegLKqC8D3c+xNfCapKMinrUO8PD9jbEVA6U&#10;9y4pW7BK8qVUKh/8evVSebIFnI1lfnIHJ27KkLai1yk3YYADX+OgoakdkhbMuqfin8DD/PwNOBW2&#10;gND0BeTSkhuUWkbhs9UI4K8MJ3HnkDyD+0hTMVpwSpTA9U1W9owg1TmeSIgyB5mSMr1GsVt1CJO0&#10;W1m+Q8FaXAls78sGPObcOC/XTdY4M+eeo45LmRl+CDrA4qRm4g9blVbh8Tl7PfxJ5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UL3AYtUAAAAFAQAADwAAAAAAAAABACAAAAAiAAAAZHJzL2Rvd25y&#10;ZXYueG1sUEsBAhQAFAAAAAgAh07iQNSXtBk6AgAAkQQAAA4AAAAAAAAAAQAgAAAAJAEAAGRycy9l&#10;Mm9Eb2MueG1sUEsFBgAAAAAGAAYAWQEAANAFAAAAAA==&#10;">
                      <v:fill on="t" focussize="0,0"/>
                      <v:stroke color="#000000" joinstyle="miter"/>
                      <v:imagedata o:title=""/>
                      <o:lock v:ext="edit" rotation="t" aspectratio="f"/>
                      <v:textbox style="mso-fit-shape-to-text:t;">
                        <w:txbxContent>
                          <w:p>
                            <w:pPr>
                              <w:rPr>
                                <w:rFonts w:ascii="仿宋" w:hAnsi="仿宋" w:eastAsia="仿宋" w:cs="仿宋"/>
                                <w:szCs w:val="21"/>
                                <w:u w:val="single"/>
                              </w:rPr>
                            </w:pPr>
                            <w:r>
                              <w:rPr>
                                <w:rFonts w:hint="eastAsia" w:ascii="仿宋" w:hAnsi="仿宋" w:eastAsia="仿宋" w:cs="仿宋"/>
                                <w:szCs w:val="21"/>
                              </w:rPr>
                              <w:t>项目名称：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pPr>
                              <w:rPr>
                                <w:rFonts w:ascii="仿宋" w:hAnsi="仿宋" w:eastAsia="仿宋" w:cs="仿宋"/>
                                <w:szCs w:val="21"/>
                                <w:u w:val="single"/>
                              </w:rPr>
                            </w:pPr>
                            <w:r>
                              <w:rPr>
                                <w:rFonts w:hint="eastAsia" w:ascii="仿宋" w:hAnsi="仿宋" w:eastAsia="仿宋" w:cs="仿宋"/>
                                <w:szCs w:val="21"/>
                              </w:rPr>
                              <w:t>招标人名称：</w:t>
                            </w:r>
                            <w:r>
                              <w:rPr>
                                <w:rFonts w:hint="eastAsia" w:ascii="仿宋" w:hAnsi="仿宋" w:eastAsia="仿宋" w:cs="仿宋"/>
                                <w:szCs w:val="21"/>
                                <w:u w:val="single"/>
                              </w:rPr>
                              <w:t xml:space="preserve">                 </w:t>
                            </w:r>
                          </w:p>
                          <w:p>
                            <w:pPr>
                              <w:rPr>
                                <w:rFonts w:ascii="仿宋" w:hAnsi="仿宋" w:eastAsia="仿宋" w:cs="仿宋"/>
                                <w:szCs w:val="21"/>
                                <w:u w:val="single"/>
                              </w:rPr>
                            </w:pPr>
                            <w:r>
                              <w:rPr>
                                <w:rFonts w:hint="eastAsia" w:ascii="仿宋" w:hAnsi="仿宋" w:eastAsia="仿宋" w:cs="仿宋"/>
                                <w:szCs w:val="21"/>
                              </w:rPr>
                              <w:t>招标人地址：</w:t>
                            </w:r>
                            <w:r>
                              <w:rPr>
                                <w:rFonts w:hint="eastAsia" w:ascii="仿宋" w:hAnsi="仿宋" w:eastAsia="仿宋" w:cs="仿宋"/>
                                <w:szCs w:val="21"/>
                                <w:u w:val="single"/>
                              </w:rPr>
                              <w:t xml:space="preserve">                 </w:t>
                            </w:r>
                          </w:p>
                          <w:p>
                            <w:pPr>
                              <w:jc w:val="center"/>
                              <w:rPr>
                                <w:rFonts w:ascii="仿宋" w:hAnsi="仿宋" w:eastAsia="仿宋" w:cs="仿宋"/>
                                <w:szCs w:val="21"/>
                              </w:rPr>
                            </w:pPr>
                            <w:r>
                              <w:rPr>
                                <w:rFonts w:hint="eastAsia" w:ascii="仿宋" w:hAnsi="仿宋" w:eastAsia="仿宋" w:cs="仿宋"/>
                                <w:szCs w:val="21"/>
                              </w:rPr>
                              <w:t>本文件于【</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01</w:t>
                            </w:r>
                            <w:r>
                              <w:rPr>
                                <w:rFonts w:hint="eastAsia" w:ascii="仿宋" w:hAnsi="仿宋" w:eastAsia="仿宋" w:cs="仿宋"/>
                                <w:szCs w:val="21"/>
                              </w:rPr>
                              <w:t>】月【</w:t>
                            </w:r>
                            <w:r>
                              <w:rPr>
                                <w:rFonts w:hint="eastAsia" w:ascii="仿宋" w:hAnsi="仿宋" w:eastAsia="仿宋" w:cs="仿宋"/>
                                <w:szCs w:val="21"/>
                                <w:u w:val="single"/>
                                <w:lang w:val="en-US" w:eastAsia="zh-CN"/>
                              </w:rPr>
                              <w:t>13</w:t>
                            </w:r>
                            <w:r>
                              <w:rPr>
                                <w:rFonts w:hint="eastAsia" w:ascii="仿宋" w:hAnsi="仿宋" w:eastAsia="仿宋" w:cs="仿宋"/>
                                <w:szCs w:val="21"/>
                              </w:rPr>
                              <w:t>】日【</w:t>
                            </w:r>
                            <w:r>
                              <w:rPr>
                                <w:rFonts w:hint="eastAsia" w:ascii="仿宋" w:hAnsi="仿宋" w:eastAsia="仿宋" w:cs="仿宋"/>
                                <w:szCs w:val="21"/>
                                <w:u w:val="single"/>
                                <w:lang w:val="en-US" w:eastAsia="zh-CN"/>
                              </w:rPr>
                              <w:t>10</w:t>
                            </w:r>
                            <w:r>
                              <w:rPr>
                                <w:rFonts w:hint="eastAsia" w:ascii="仿宋" w:hAnsi="仿宋" w:eastAsia="仿宋" w:cs="仿宋"/>
                                <w:szCs w:val="21"/>
                              </w:rPr>
                              <w:t>】时【</w:t>
                            </w:r>
                            <w:r>
                              <w:rPr>
                                <w:rFonts w:hint="eastAsia" w:ascii="仿宋" w:hAnsi="仿宋" w:eastAsia="仿宋" w:cs="仿宋"/>
                                <w:szCs w:val="21"/>
                                <w:u w:val="single"/>
                                <w:lang w:val="en-US" w:eastAsia="zh-CN"/>
                              </w:rPr>
                              <w:t>00</w:t>
                            </w:r>
                            <w:r>
                              <w:rPr>
                                <w:rFonts w:hint="eastAsia" w:ascii="仿宋" w:hAnsi="仿宋" w:eastAsia="仿宋" w:cs="仿宋"/>
                                <w:szCs w:val="21"/>
                              </w:rPr>
                              <w:t>】分（北京时间）（开标时间）前不得开封</w:t>
                            </w:r>
                          </w:p>
                          <w:p>
                            <w:pPr>
                              <w:rPr>
                                <w:rFonts w:ascii="仿宋" w:hAnsi="仿宋" w:eastAsia="仿宋" w:cs="仿宋"/>
                                <w:szCs w:val="21"/>
                              </w:rPr>
                            </w:pPr>
                            <w:r>
                              <w:rPr>
                                <w:rFonts w:hint="eastAsia" w:ascii="仿宋" w:hAnsi="仿宋" w:eastAsia="仿宋" w:cs="仿宋"/>
                                <w:szCs w:val="21"/>
                              </w:rPr>
                              <w:t>投标人名称：</w:t>
                            </w:r>
                            <w:r>
                              <w:rPr>
                                <w:rFonts w:hint="eastAsia" w:ascii="仿宋" w:hAnsi="仿宋" w:eastAsia="仿宋" w:cs="仿宋"/>
                                <w:szCs w:val="21"/>
                                <w:u w:val="single"/>
                              </w:rPr>
                              <w:t xml:space="preserve">               </w:t>
                            </w:r>
                            <w:r>
                              <w:rPr>
                                <w:rFonts w:hint="eastAsia" w:ascii="仿宋" w:hAnsi="仿宋" w:eastAsia="仿宋" w:cs="仿宋"/>
                                <w:szCs w:val="21"/>
                              </w:rPr>
                              <w:t>（公章）</w:t>
                            </w:r>
                          </w:p>
                          <w:p>
                            <w:pPr>
                              <w:rPr>
                                <w:rFonts w:ascii="仿宋" w:hAnsi="仿宋" w:eastAsia="仿宋" w:cs="仿宋"/>
                                <w:szCs w:val="21"/>
                                <w:u w:val="single"/>
                              </w:rPr>
                            </w:pPr>
                            <w:r>
                              <w:rPr>
                                <w:rFonts w:hint="eastAsia" w:ascii="仿宋" w:hAnsi="仿宋" w:eastAsia="仿宋" w:cs="仿宋"/>
                                <w:szCs w:val="21"/>
                              </w:rPr>
                              <w:t>投标人地址：</w:t>
                            </w:r>
                            <w:r>
                              <w:rPr>
                                <w:rFonts w:hint="eastAsia" w:ascii="仿宋" w:hAnsi="仿宋" w:eastAsia="仿宋" w:cs="仿宋"/>
                                <w:szCs w:val="21"/>
                                <w:u w:val="single"/>
                              </w:rPr>
                              <w:t xml:space="preserve">                 </w:t>
                            </w:r>
                          </w:p>
                          <w:p>
                            <w:pPr>
                              <w:rPr>
                                <w:rFonts w:ascii="仿宋" w:hAnsi="仿宋" w:eastAsia="仿宋" w:cs="仿宋"/>
                                <w:szCs w:val="21"/>
                                <w:u w:val="single"/>
                              </w:rPr>
                            </w:pPr>
                            <w:r>
                              <w:rPr>
                                <w:rFonts w:hint="eastAsia" w:ascii="仿宋" w:hAnsi="仿宋" w:eastAsia="仿宋" w:cs="仿宋"/>
                                <w:szCs w:val="21"/>
                              </w:rPr>
                              <w:t>封装文件内容：</w:t>
                            </w:r>
                            <w:r>
                              <w:rPr>
                                <w:rFonts w:hint="eastAsia" w:ascii="仿宋" w:hAnsi="仿宋" w:eastAsia="仿宋" w:cs="仿宋"/>
                                <w:szCs w:val="21"/>
                                <w:u w:val="single"/>
                              </w:rPr>
                              <w:t xml:space="preserve">                 </w:t>
                            </w:r>
                          </w:p>
                          <w:p>
                            <w:pPr>
                              <w:rPr>
                                <w:rFonts w:ascii="仿宋" w:hAnsi="仿宋" w:eastAsia="仿宋" w:cs="仿宋"/>
                              </w:rPr>
                            </w:pPr>
                            <w:r>
                              <w:rPr>
                                <w:rFonts w:hint="eastAsia" w:ascii="仿宋" w:hAnsi="仿宋" w:eastAsia="仿宋" w:cs="仿宋"/>
                                <w:szCs w:val="21"/>
                              </w:rPr>
                              <w:t>投标人联系人及联系电话：</w:t>
                            </w:r>
                            <w:r>
                              <w:rPr>
                                <w:rFonts w:hint="eastAsia" w:ascii="仿宋" w:hAnsi="仿宋" w:eastAsia="仿宋" w:cs="仿宋"/>
                                <w:szCs w:val="21"/>
                                <w:u w:val="single"/>
                              </w:rPr>
                              <w:t xml:space="preserve">                 </w:t>
                            </w:r>
                          </w:p>
                        </w:txbxContent>
                      </v:textbox>
                      <w10:wrap type="none"/>
                      <w10:anchorlock/>
                    </v:shape>
                  </w:pict>
                </mc:Fallback>
              </mc:AlternateContent>
            </w:r>
          </w:p>
        </w:tc>
      </w:tr>
      <w:tr>
        <w:tblPrEx>
          <w:tblCellMar>
            <w:top w:w="0" w:type="dxa"/>
            <w:left w:w="108" w:type="dxa"/>
            <w:bottom w:w="0" w:type="dxa"/>
            <w:right w:w="108" w:type="dxa"/>
          </w:tblCellMar>
        </w:tblPrEx>
        <w:trPr>
          <w:trHeight w:val="907"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pacing w:val="-6"/>
                <w:szCs w:val="21"/>
              </w:rPr>
            </w:pPr>
            <w:r>
              <w:rPr>
                <w:rFonts w:hint="eastAsia" w:ascii="仿宋" w:hAnsi="仿宋" w:eastAsia="仿宋" w:cs="宋体"/>
                <w:color w:val="auto"/>
                <w:spacing w:val="-6"/>
                <w:szCs w:val="21"/>
              </w:rPr>
              <w:t>投标文件递交截止时间</w:t>
            </w:r>
          </w:p>
        </w:tc>
        <w:tc>
          <w:tcPr>
            <w:tcW w:w="3529" w:type="pct"/>
            <w:tcBorders>
              <w:top w:val="single" w:color="auto" w:sz="4" w:space="0"/>
              <w:left w:val="single" w:color="auto" w:sz="4" w:space="0"/>
              <w:bottom w:val="single" w:color="auto" w:sz="4" w:space="0"/>
              <w:right w:val="single" w:color="auto" w:sz="4" w:space="0"/>
            </w:tcBorders>
            <w:vAlign w:val="center"/>
          </w:tcPr>
          <w:p>
            <w:pPr>
              <w:spacing w:before="62" w:after="62"/>
              <w:rPr>
                <w:rFonts w:ascii="仿宋" w:hAnsi="仿宋" w:eastAsia="仿宋" w:cs="宋体"/>
                <w:b/>
                <w:color w:val="auto"/>
                <w:szCs w:val="21"/>
              </w:rPr>
            </w:pPr>
            <w:r>
              <w:rPr>
                <w:rFonts w:hint="eastAsia" w:ascii="仿宋" w:hAnsi="仿宋" w:eastAsia="仿宋" w:cs="宋体"/>
                <w:color w:val="auto"/>
                <w:szCs w:val="21"/>
              </w:rPr>
              <w:t>详见第一章 招标公告“六、投标文件的递交”</w:t>
            </w:r>
          </w:p>
        </w:tc>
      </w:tr>
      <w:tr>
        <w:tblPrEx>
          <w:tblCellMar>
            <w:top w:w="0" w:type="dxa"/>
            <w:left w:w="108" w:type="dxa"/>
            <w:bottom w:w="0" w:type="dxa"/>
            <w:right w:w="108" w:type="dxa"/>
          </w:tblCellMar>
        </w:tblPrEx>
        <w:trPr>
          <w:trHeight w:val="907"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投标文件递交地点</w:t>
            </w:r>
          </w:p>
        </w:tc>
        <w:tc>
          <w:tcPr>
            <w:tcW w:w="3529" w:type="pct"/>
            <w:tcBorders>
              <w:top w:val="single" w:color="auto" w:sz="4" w:space="0"/>
              <w:left w:val="single" w:color="auto" w:sz="4" w:space="0"/>
              <w:bottom w:val="single" w:color="auto" w:sz="4" w:space="0"/>
              <w:right w:val="single" w:color="auto" w:sz="4" w:space="0"/>
            </w:tcBorders>
            <w:vAlign w:val="center"/>
          </w:tcPr>
          <w:p>
            <w:pPr>
              <w:spacing w:before="62" w:after="62"/>
              <w:rPr>
                <w:rFonts w:ascii="仿宋" w:hAnsi="仿宋" w:eastAsia="仿宋" w:cs="宋体"/>
                <w:b/>
                <w:color w:val="auto"/>
                <w:szCs w:val="21"/>
              </w:rPr>
            </w:pPr>
            <w:r>
              <w:rPr>
                <w:rFonts w:hint="eastAsia" w:ascii="仿宋" w:hAnsi="仿宋" w:eastAsia="仿宋" w:cs="宋体"/>
                <w:color w:val="auto"/>
                <w:szCs w:val="21"/>
              </w:rPr>
              <w:t>详见第一章 招标公告“六、投标文件的递交”</w:t>
            </w:r>
          </w:p>
        </w:tc>
      </w:tr>
      <w:tr>
        <w:tblPrEx>
          <w:tblCellMar>
            <w:top w:w="0" w:type="dxa"/>
            <w:left w:w="108" w:type="dxa"/>
            <w:bottom w:w="0" w:type="dxa"/>
            <w:right w:w="108" w:type="dxa"/>
          </w:tblCellMar>
        </w:tblPrEx>
        <w:trPr>
          <w:trHeight w:val="907" w:hRule="atLeast"/>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投标文件退还</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仿宋"/>
                <w:color w:val="auto"/>
                <w:szCs w:val="21"/>
              </w:rPr>
              <w:t>■</w:t>
            </w:r>
            <w:r>
              <w:rPr>
                <w:rFonts w:hint="eastAsia" w:ascii="仿宋" w:hAnsi="仿宋" w:eastAsia="仿宋" w:cs="宋体"/>
                <w:color w:val="auto"/>
                <w:szCs w:val="21"/>
              </w:rPr>
              <w:t>不退还</w:t>
            </w:r>
          </w:p>
          <w:p>
            <w:pPr>
              <w:pStyle w:val="279"/>
              <w:spacing w:before="62" w:after="62" w:line="312" w:lineRule="auto"/>
              <w:rPr>
                <w:rFonts w:ascii="仿宋" w:hAnsi="仿宋" w:eastAsia="仿宋" w:cs="宋体"/>
                <w:color w:val="auto"/>
                <w:sz w:val="21"/>
                <w:szCs w:val="21"/>
                <w:u w:val="single"/>
              </w:rPr>
            </w:pPr>
            <w:r>
              <w:rPr>
                <w:rFonts w:hint="eastAsia" w:ascii="仿宋" w:hAnsi="仿宋" w:eastAsia="仿宋" w:cs="宋体"/>
                <w:color w:val="auto"/>
                <w:sz w:val="21"/>
                <w:szCs w:val="21"/>
              </w:rPr>
              <w:t>□退还</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评标委员会组成人数</w:t>
            </w:r>
          </w:p>
        </w:tc>
        <w:tc>
          <w:tcPr>
            <w:tcW w:w="3529" w:type="pct"/>
            <w:tcBorders>
              <w:top w:val="single" w:color="auto" w:sz="4" w:space="0"/>
              <w:left w:val="single" w:color="auto" w:sz="4" w:space="0"/>
              <w:bottom w:val="single" w:color="auto" w:sz="4" w:space="0"/>
              <w:right w:val="single" w:color="auto" w:sz="4" w:space="0"/>
            </w:tcBorders>
            <w:vAlign w:val="center"/>
          </w:tcPr>
          <w:p>
            <w:pPr>
              <w:spacing w:before="62" w:after="62"/>
              <w:rPr>
                <w:rFonts w:ascii="仿宋" w:hAnsi="仿宋" w:eastAsia="仿宋" w:cs="宋体"/>
                <w:color w:val="auto"/>
                <w:szCs w:val="21"/>
              </w:rPr>
            </w:pPr>
            <w:r>
              <w:rPr>
                <w:rFonts w:hint="eastAsia" w:ascii="仿宋" w:hAnsi="仿宋" w:eastAsia="仿宋" w:cs="宋体"/>
                <w:color w:val="auto"/>
                <w:szCs w:val="21"/>
                <w:u w:val="single"/>
              </w:rPr>
              <w:t xml:space="preserve"> </w:t>
            </w:r>
            <w:r>
              <w:rPr>
                <w:rFonts w:hint="eastAsia" w:ascii="仿宋" w:hAnsi="仿宋" w:eastAsia="仿宋" w:cs="宋体"/>
                <w:color w:val="auto"/>
                <w:szCs w:val="21"/>
                <w:u w:val="single"/>
                <w:lang w:val="en-US" w:eastAsia="zh-CN"/>
              </w:rPr>
              <w:t>7</w:t>
            </w:r>
            <w:r>
              <w:rPr>
                <w:rFonts w:hint="eastAsia" w:ascii="仿宋" w:hAnsi="仿宋" w:eastAsia="仿宋" w:cs="宋体"/>
                <w:color w:val="auto"/>
                <w:szCs w:val="21"/>
                <w:u w:val="single"/>
              </w:rPr>
              <w:t xml:space="preserve"> </w:t>
            </w:r>
            <w:r>
              <w:rPr>
                <w:rFonts w:hint="eastAsia" w:ascii="仿宋" w:hAnsi="仿宋" w:eastAsia="仿宋" w:cs="宋体"/>
                <w:color w:val="auto"/>
                <w:szCs w:val="21"/>
              </w:rPr>
              <w:t>人</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评标方法</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宋体"/>
                <w:color w:val="auto"/>
                <w:szCs w:val="21"/>
              </w:rPr>
              <w:t>□经评审的最低投标价法</w:t>
            </w:r>
          </w:p>
          <w:p>
            <w:pPr>
              <w:pStyle w:val="274"/>
              <w:spacing w:before="62" w:after="62"/>
              <w:rPr>
                <w:rFonts w:ascii="仿宋" w:hAnsi="仿宋" w:eastAsia="仿宋" w:cs="宋体"/>
                <w:color w:val="auto"/>
                <w:szCs w:val="21"/>
              </w:rPr>
            </w:pPr>
            <w:r>
              <w:rPr>
                <w:rFonts w:hint="eastAsia" w:ascii="仿宋" w:hAnsi="仿宋" w:eastAsia="仿宋" w:cs="仿宋"/>
                <w:color w:val="auto"/>
                <w:szCs w:val="21"/>
              </w:rPr>
              <w:t>■综合评分法</w:t>
            </w:r>
          </w:p>
          <w:p>
            <w:pPr>
              <w:pStyle w:val="274"/>
              <w:spacing w:before="62" w:after="62"/>
              <w:rPr>
                <w:rFonts w:ascii="仿宋" w:hAnsi="仿宋" w:eastAsia="仿宋" w:cs="宋体"/>
                <w:color w:val="auto"/>
                <w:szCs w:val="21"/>
              </w:rPr>
            </w:pPr>
            <w:r>
              <w:rPr>
                <w:rFonts w:hint="eastAsia" w:ascii="仿宋" w:hAnsi="仿宋" w:eastAsia="仿宋" w:cs="宋体"/>
                <w:color w:val="auto"/>
                <w:szCs w:val="21"/>
              </w:rPr>
              <w:t>□其他：</w:t>
            </w:r>
            <w:r>
              <w:rPr>
                <w:rFonts w:hint="eastAsia" w:ascii="仿宋" w:hAnsi="仿宋" w:eastAsia="仿宋" w:cs="宋体"/>
                <w:color w:val="auto"/>
                <w:szCs w:val="21"/>
                <w:u w:val="single"/>
              </w:rPr>
              <w:t xml:space="preserve">   </w:t>
            </w:r>
            <w:r>
              <w:rPr>
                <w:rFonts w:ascii="仿宋" w:hAnsi="仿宋" w:eastAsia="仿宋" w:cs="宋体"/>
                <w:color w:val="auto"/>
                <w:szCs w:val="21"/>
                <w:u w:val="single"/>
              </w:rPr>
              <w:t xml:space="preserve"> </w:t>
            </w:r>
            <w:r>
              <w:rPr>
                <w:rFonts w:hint="eastAsia" w:ascii="仿宋" w:hAnsi="仿宋" w:eastAsia="仿宋" w:cs="宋体"/>
                <w:color w:val="auto"/>
                <w:szCs w:val="21"/>
                <w:u w:val="single"/>
              </w:rPr>
              <w:t xml:space="preserve">   </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中标人候选人推荐原则</w:t>
            </w:r>
          </w:p>
        </w:tc>
        <w:tc>
          <w:tcPr>
            <w:tcW w:w="3529" w:type="pct"/>
            <w:tcBorders>
              <w:top w:val="single" w:color="auto" w:sz="4" w:space="0"/>
              <w:left w:val="single" w:color="auto" w:sz="4" w:space="0"/>
              <w:bottom w:val="single" w:color="auto" w:sz="4" w:space="0"/>
              <w:right w:val="single" w:color="auto" w:sz="4" w:space="0"/>
            </w:tcBorders>
            <w:vAlign w:val="center"/>
          </w:tcPr>
          <w:p>
            <w:pPr>
              <w:spacing w:before="62" w:after="62"/>
              <w:rPr>
                <w:rFonts w:ascii="仿宋" w:hAnsi="仿宋" w:eastAsia="仿宋" w:cs="宋体"/>
                <w:color w:val="auto"/>
                <w:szCs w:val="21"/>
              </w:rPr>
            </w:pPr>
            <w:r>
              <w:rPr>
                <w:rFonts w:hint="eastAsia" w:ascii="仿宋" w:hAnsi="仿宋" w:eastAsia="仿宋" w:cs="宋体"/>
                <w:color w:val="auto"/>
                <w:szCs w:val="21"/>
              </w:rPr>
              <w:t>评标委员会根据有效投标人综合得分由高至低排出的名次，顺序推荐</w:t>
            </w:r>
            <w:r>
              <w:rPr>
                <w:rFonts w:hint="eastAsia" w:ascii="仿宋" w:hAnsi="仿宋" w:eastAsia="仿宋" w:cs="宋体"/>
                <w:color w:val="auto"/>
                <w:szCs w:val="21"/>
                <w:u w:val="single"/>
              </w:rPr>
              <w:t>综合得分前3名</w:t>
            </w:r>
            <w:r>
              <w:rPr>
                <w:rFonts w:hint="eastAsia" w:ascii="仿宋" w:hAnsi="仿宋" w:eastAsia="仿宋" w:cs="宋体"/>
                <w:color w:val="auto"/>
                <w:szCs w:val="21"/>
              </w:rPr>
              <w:t>为中标候选人。综合得分相同时，价格得分高者排名优先；价格得分也相同时，</w:t>
            </w:r>
            <w:r>
              <w:rPr>
                <w:rFonts w:hint="eastAsia" w:ascii="仿宋" w:hAnsi="仿宋" w:eastAsia="仿宋" w:cs="宋体"/>
                <w:color w:val="auto"/>
                <w:szCs w:val="21"/>
                <w:u w:val="single"/>
              </w:rPr>
              <w:t>技术</w:t>
            </w:r>
            <w:r>
              <w:rPr>
                <w:rFonts w:hint="eastAsia" w:ascii="仿宋" w:hAnsi="仿宋" w:eastAsia="仿宋" w:cs="宋体"/>
                <w:color w:val="auto"/>
                <w:szCs w:val="21"/>
              </w:rPr>
              <w:t>得分高者排名优先。</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中标人确定</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宋体"/>
                <w:color w:val="auto"/>
                <w:szCs w:val="21"/>
              </w:rPr>
              <w:t>□评标委员会直接确定中标人，中标人数量：</w:t>
            </w:r>
            <w:r>
              <w:rPr>
                <w:rFonts w:hint="eastAsia" w:ascii="仿宋" w:hAnsi="仿宋" w:eastAsia="仿宋" w:cs="宋体"/>
                <w:color w:val="auto"/>
                <w:szCs w:val="21"/>
                <w:u w:val="single"/>
              </w:rPr>
              <w:t xml:space="preserve"> 1 </w:t>
            </w:r>
            <w:r>
              <w:rPr>
                <w:rFonts w:hint="eastAsia" w:ascii="仿宋" w:hAnsi="仿宋" w:eastAsia="仿宋" w:cs="宋体"/>
                <w:color w:val="auto"/>
                <w:szCs w:val="21"/>
              </w:rPr>
              <w:t>个</w:t>
            </w:r>
          </w:p>
          <w:p>
            <w:pPr>
              <w:pStyle w:val="274"/>
              <w:spacing w:before="62" w:after="62"/>
              <w:rPr>
                <w:rFonts w:ascii="仿宋" w:hAnsi="仿宋" w:eastAsia="仿宋" w:cs="宋体"/>
                <w:color w:val="auto"/>
                <w:szCs w:val="21"/>
              </w:rPr>
            </w:pPr>
            <w:r>
              <w:rPr>
                <w:rFonts w:hint="eastAsia" w:ascii="仿宋" w:hAnsi="仿宋" w:eastAsia="仿宋" w:cs="仿宋"/>
                <w:color w:val="auto"/>
                <w:szCs w:val="21"/>
              </w:rPr>
              <w:t>■</w:t>
            </w:r>
            <w:r>
              <w:rPr>
                <w:rFonts w:hint="eastAsia" w:ascii="仿宋" w:hAnsi="仿宋" w:eastAsia="仿宋" w:cs="宋体"/>
                <w:color w:val="auto"/>
                <w:szCs w:val="21"/>
              </w:rPr>
              <w:t>招标人根据评标委员会推荐的中标候选人名单确定中标人，中标人数量：</w:t>
            </w:r>
            <w:r>
              <w:rPr>
                <w:rFonts w:hint="eastAsia" w:ascii="仿宋" w:hAnsi="仿宋" w:eastAsia="仿宋" w:cs="宋体"/>
                <w:color w:val="auto"/>
                <w:szCs w:val="21"/>
                <w:u w:val="single"/>
              </w:rPr>
              <w:t xml:space="preserve"> 1个</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中标原则</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宋体"/>
                <w:color w:val="auto"/>
                <w:szCs w:val="21"/>
              </w:rPr>
              <w:t>招标人根据评标委员会推荐的中标候选人名单确定</w:t>
            </w:r>
            <w:r>
              <w:rPr>
                <w:rFonts w:hint="eastAsia" w:ascii="仿宋" w:hAnsi="仿宋" w:eastAsia="仿宋" w:cs="宋体"/>
                <w:color w:val="auto"/>
                <w:szCs w:val="21"/>
                <w:u w:val="single"/>
              </w:rPr>
              <w:t>综合排名第一</w:t>
            </w:r>
            <w:r>
              <w:rPr>
                <w:rFonts w:hint="eastAsia" w:ascii="仿宋" w:hAnsi="仿宋" w:eastAsia="仿宋" w:cs="宋体"/>
                <w:color w:val="auto"/>
                <w:szCs w:val="21"/>
              </w:rPr>
              <w:t>为中标人。</w:t>
            </w:r>
            <w:r>
              <w:rPr>
                <w:rFonts w:hint="eastAsia" w:ascii="仿宋" w:hAnsi="仿宋" w:eastAsia="仿宋" w:cs="宋体"/>
                <w:color w:val="auto"/>
                <w:szCs w:val="21"/>
                <w:u w:val="single"/>
              </w:rPr>
              <w:t>综合排名第一</w:t>
            </w:r>
            <w:r>
              <w:rPr>
                <w:rFonts w:hint="eastAsia" w:ascii="仿宋" w:hAnsi="仿宋" w:eastAsia="仿宋" w:cs="宋体"/>
                <w:color w:val="auto"/>
                <w:szCs w:val="21"/>
              </w:rPr>
              <w:t>中标候选人放弃中标、因不可抗力不能履行合同、不按照招标文件要求提交履约保证金、存在重大经营或法律风险，或者被查实存在影响中标结果的违法行为等情形，不符合中标条件的，招标人按照评标委员会提出的中标候选人名单排序依次确定其他中标候选人为中标人，或者重新招标。</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r>
              <w:rPr>
                <w:rFonts w:hint="eastAsia" w:ascii="仿宋" w:hAnsi="仿宋" w:eastAsia="仿宋" w:cs="宋体"/>
                <w:color w:val="auto"/>
                <w:szCs w:val="21"/>
              </w:rPr>
              <w:t>履约保证金金额和方式</w:t>
            </w:r>
          </w:p>
        </w:tc>
        <w:tc>
          <w:tcPr>
            <w:tcW w:w="3529" w:type="pct"/>
            <w:tcBorders>
              <w:top w:val="single" w:color="auto" w:sz="4" w:space="0"/>
              <w:left w:val="single" w:color="auto" w:sz="4" w:space="0"/>
              <w:bottom w:val="single" w:color="auto" w:sz="4" w:space="0"/>
              <w:right w:val="single" w:color="auto" w:sz="4" w:space="0"/>
            </w:tcBorders>
            <w:vAlign w:val="center"/>
          </w:tcPr>
          <w:p>
            <w:pPr>
              <w:pStyle w:val="274"/>
              <w:spacing w:before="62" w:after="62"/>
              <w:rPr>
                <w:rFonts w:ascii="仿宋" w:hAnsi="仿宋" w:eastAsia="仿宋" w:cs="宋体"/>
                <w:color w:val="auto"/>
                <w:szCs w:val="21"/>
              </w:rPr>
            </w:pPr>
            <w:r>
              <w:rPr>
                <w:rFonts w:hint="eastAsia" w:ascii="仿宋" w:hAnsi="仿宋" w:eastAsia="仿宋" w:cs="宋体"/>
                <w:b/>
                <w:bCs/>
                <w:color w:val="auto"/>
                <w:sz w:val="24"/>
                <w:szCs w:val="24"/>
              </w:rPr>
              <w:t>本项目不收取履约保证金</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招标代理服务费</w:t>
            </w:r>
          </w:p>
        </w:tc>
        <w:tc>
          <w:tcPr>
            <w:tcW w:w="3529" w:type="pct"/>
            <w:tcBorders>
              <w:top w:val="single" w:color="auto" w:sz="4" w:space="0"/>
              <w:left w:val="single" w:color="auto" w:sz="4" w:space="0"/>
              <w:bottom w:val="single" w:color="auto" w:sz="4" w:space="0"/>
              <w:right w:val="single" w:color="auto" w:sz="4" w:space="0"/>
            </w:tcBorders>
            <w:vAlign w:val="center"/>
          </w:tcPr>
          <w:p>
            <w:pPr>
              <w:spacing w:line="240" w:lineRule="auto"/>
              <w:ind w:firstLine="480"/>
              <w:rPr>
                <w:rFonts w:ascii="仿宋" w:hAnsi="仿宋" w:eastAsia="仿宋" w:cs="仿宋"/>
                <w:color w:val="auto"/>
                <w:sz w:val="22"/>
                <w:szCs w:val="22"/>
                <w:highlight w:val="yellow"/>
              </w:rPr>
            </w:pPr>
            <w:r>
              <w:rPr>
                <w:rFonts w:hint="eastAsia" w:ascii="仿宋" w:hAnsi="仿宋" w:eastAsia="仿宋" w:cs="仿宋"/>
                <w:color w:val="auto"/>
                <w:sz w:val="22"/>
                <w:szCs w:val="22"/>
                <w:highlight w:val="yellow"/>
              </w:rPr>
              <w:t>1.收费依据：</w:t>
            </w:r>
            <w:r>
              <w:rPr>
                <w:rFonts w:hint="eastAsia" w:ascii="仿宋" w:hAnsi="仿宋" w:eastAsia="仿宋" w:cs="仿宋"/>
                <w:color w:val="auto"/>
                <w:sz w:val="22"/>
                <w:szCs w:val="22"/>
                <w:highlight w:val="yellow"/>
                <w:u w:val="single"/>
              </w:rPr>
              <w:t>参考原国家发展计划委员会《采购代理服务收费管理暂行办法》(计价格[2002]1980号文)、国家发展改革委员会办公厅发布的关于《采购代理服务收费有关问题的通知》(发改办[2003]857号文)和国家发展改革委《关于降低部分建设项目收费标准规范收费行为等有关问题的通知》(发改价格[2011]534号)的规定下浮12%计取，</w:t>
            </w:r>
            <w:r>
              <w:rPr>
                <w:rFonts w:hint="eastAsia" w:ascii="仿宋" w:hAnsi="仿宋" w:eastAsia="仿宋" w:cs="宋体"/>
                <w:color w:val="auto"/>
                <w:sz w:val="22"/>
                <w:szCs w:val="22"/>
                <w:highlight w:val="yellow"/>
                <w:u w:val="single"/>
              </w:rPr>
              <w:t>按照计价格[2002]1980号对应的招标代理服务规定计算费用不足5000元，按照5000元收取（含税价）</w:t>
            </w:r>
          </w:p>
          <w:p>
            <w:pPr>
              <w:spacing w:line="240" w:lineRule="auto"/>
              <w:ind w:firstLine="480"/>
              <w:rPr>
                <w:rFonts w:hint="eastAsia" w:ascii="仿宋" w:hAnsi="仿宋" w:eastAsia="仿宋" w:cs="仿宋"/>
                <w:b/>
                <w:color w:val="auto"/>
                <w:sz w:val="22"/>
                <w:szCs w:val="22"/>
                <w:lang w:val="en-US" w:eastAsia="zh-CN"/>
              </w:rPr>
            </w:pPr>
            <w:r>
              <w:rPr>
                <w:rFonts w:hint="eastAsia" w:ascii="仿宋" w:hAnsi="仿宋" w:eastAsia="仿宋" w:cs="仿宋"/>
                <w:color w:val="auto"/>
                <w:sz w:val="22"/>
                <w:szCs w:val="22"/>
              </w:rPr>
              <w:t>2.本项目服务费金额：</w:t>
            </w:r>
            <w:r>
              <w:rPr>
                <w:rFonts w:hint="eastAsia" w:ascii="仿宋" w:hAnsi="仿宋" w:eastAsia="仿宋" w:cs="仿宋"/>
                <w:color w:val="auto"/>
                <w:sz w:val="22"/>
                <w:szCs w:val="22"/>
                <w:u w:val="single"/>
              </w:rPr>
              <w:t>中标金额*1%*0.88</w:t>
            </w:r>
            <w:r>
              <w:rPr>
                <w:rFonts w:hint="eastAsia" w:ascii="仿宋" w:hAnsi="仿宋" w:eastAsia="仿宋" w:cs="仿宋"/>
                <w:color w:val="auto"/>
                <w:sz w:val="22"/>
                <w:szCs w:val="22"/>
                <w:u w:val="single"/>
                <w:lang w:eastAsia="zh-CN"/>
              </w:rPr>
              <w:t>。</w:t>
            </w:r>
          </w:p>
          <w:p>
            <w:pPr>
              <w:ind w:firstLine="480"/>
              <w:rPr>
                <w:rFonts w:ascii="仿宋" w:hAnsi="仿宋" w:eastAsia="仿宋" w:cs="宋体"/>
                <w:color w:val="auto"/>
                <w:szCs w:val="21"/>
              </w:rPr>
            </w:pPr>
            <w:r>
              <w:rPr>
                <w:rFonts w:hint="eastAsia" w:ascii="仿宋" w:hAnsi="仿宋" w:eastAsia="仿宋" w:cs="仿宋"/>
                <w:color w:val="auto"/>
                <w:sz w:val="22"/>
                <w:szCs w:val="22"/>
              </w:rPr>
              <w:t>3.缴纳时限：中标人在收到招标代理服务费付款通知书后5日内，向招标代理机构一次性支付。</w:t>
            </w:r>
          </w:p>
        </w:tc>
      </w:tr>
      <w:tr>
        <w:tblPrEx>
          <w:tblCellMar>
            <w:top w:w="0" w:type="dxa"/>
            <w:left w:w="108" w:type="dxa"/>
            <w:bottom w:w="0" w:type="dxa"/>
            <w:right w:w="108" w:type="dxa"/>
          </w:tblCellMar>
        </w:tblPrEx>
        <w:trPr>
          <w:jc w:val="center"/>
        </w:trPr>
        <w:tc>
          <w:tcPr>
            <w:tcW w:w="421" w:type="pct"/>
            <w:tcBorders>
              <w:top w:val="single" w:color="auto" w:sz="4" w:space="0"/>
              <w:left w:val="single" w:color="auto" w:sz="4" w:space="0"/>
              <w:bottom w:val="single" w:color="auto" w:sz="4" w:space="0"/>
              <w:right w:val="single" w:color="auto" w:sz="4" w:space="0"/>
            </w:tcBorders>
            <w:vAlign w:val="center"/>
          </w:tcPr>
          <w:p>
            <w:pPr>
              <w:pStyle w:val="274"/>
              <w:spacing w:before="62" w:after="62"/>
              <w:jc w:val="center"/>
              <w:rPr>
                <w:rFonts w:ascii="仿宋" w:hAnsi="仿宋" w:eastAsia="仿宋" w:cs="宋体"/>
                <w:color w:val="auto"/>
                <w:szCs w:val="21"/>
              </w:rPr>
            </w:pPr>
          </w:p>
        </w:tc>
        <w:tc>
          <w:tcPr>
            <w:tcW w:w="1049"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宋体"/>
                <w:color w:val="auto"/>
                <w:szCs w:val="21"/>
              </w:rPr>
            </w:pPr>
            <w:r>
              <w:rPr>
                <w:rFonts w:hint="eastAsia" w:ascii="仿宋" w:hAnsi="仿宋" w:eastAsia="仿宋" w:cs="宋体"/>
                <w:color w:val="auto"/>
                <w:szCs w:val="21"/>
              </w:rPr>
              <w:t>其他说明</w:t>
            </w:r>
          </w:p>
        </w:tc>
        <w:tc>
          <w:tcPr>
            <w:tcW w:w="3529" w:type="pct"/>
            <w:tcBorders>
              <w:top w:val="single" w:color="auto" w:sz="4" w:space="0"/>
              <w:left w:val="single" w:color="auto" w:sz="4" w:space="0"/>
              <w:bottom w:val="single" w:color="auto" w:sz="4" w:space="0"/>
              <w:right w:val="single" w:color="auto" w:sz="4" w:space="0"/>
            </w:tcBorders>
            <w:vAlign w:val="center"/>
          </w:tcPr>
          <w:p>
            <w:pPr>
              <w:ind w:firstLine="420"/>
              <w:rPr>
                <w:rFonts w:ascii="仿宋" w:hAnsi="仿宋" w:eastAsia="仿宋" w:cs="仿宋"/>
                <w:color w:val="auto"/>
                <w:sz w:val="24"/>
                <w:szCs w:val="24"/>
              </w:rPr>
            </w:pPr>
            <w:r>
              <w:rPr>
                <w:rFonts w:hint="eastAsia" w:ascii="仿宋" w:hAnsi="仿宋" w:eastAsia="仿宋" w:cs="宋体"/>
                <w:color w:val="auto"/>
                <w:szCs w:val="21"/>
              </w:rPr>
              <w:t>本项目招标为企业招标行为，非政府采购行为，其适用的法律法规、规章、制度与政府采购不同；投标人应按照招标文件规定以及列明的相关法律法规参与本次投标，自行承担因对招标性质认知偏差所引发的一切责任。</w:t>
            </w:r>
          </w:p>
        </w:tc>
      </w:tr>
    </w:tbl>
    <w:p>
      <w:pPr>
        <w:rPr>
          <w:rFonts w:ascii="仿宋" w:hAnsi="仿宋" w:eastAsia="仿宋" w:cs="宋体"/>
          <w:color w:val="auto"/>
        </w:rPr>
      </w:pPr>
    </w:p>
    <w:p>
      <w:pPr>
        <w:pStyle w:val="4"/>
        <w:rPr>
          <w:rFonts w:ascii="仿宋" w:hAnsi="仿宋" w:cs="宋体"/>
          <w:color w:val="auto"/>
          <w:szCs w:val="24"/>
        </w:rPr>
      </w:pPr>
      <w:bookmarkStart w:id="61" w:name="_Toc65682924"/>
      <w:bookmarkStart w:id="62" w:name="_Toc24060"/>
      <w:bookmarkStart w:id="63" w:name="_Toc18287"/>
      <w:bookmarkStart w:id="64" w:name="_Toc109124233"/>
      <w:r>
        <w:rPr>
          <w:rFonts w:hint="eastAsia" w:ascii="仿宋" w:hAnsi="仿宋" w:cs="宋体"/>
          <w:color w:val="auto"/>
          <w:szCs w:val="24"/>
        </w:rPr>
        <w:t>1.总则</w:t>
      </w:r>
      <w:bookmarkEnd w:id="61"/>
      <w:bookmarkEnd w:id="62"/>
      <w:bookmarkEnd w:id="63"/>
      <w:bookmarkEnd w:id="64"/>
    </w:p>
    <w:p>
      <w:pPr>
        <w:pStyle w:val="5"/>
        <w:rPr>
          <w:rFonts w:hint="default" w:ascii="仿宋" w:hAnsi="仿宋" w:cs="宋体"/>
          <w:color w:val="auto"/>
        </w:rPr>
      </w:pPr>
      <w:bookmarkStart w:id="65" w:name="_Toc332188169"/>
      <w:bookmarkStart w:id="66" w:name="_Toc246996919"/>
      <w:bookmarkStart w:id="67" w:name="_Toc246996176"/>
      <w:bookmarkStart w:id="68" w:name="_Toc5548"/>
      <w:bookmarkStart w:id="69" w:name="_Toc144974498"/>
      <w:bookmarkStart w:id="70" w:name="_Toc66390001"/>
      <w:bookmarkStart w:id="71" w:name="_Toc334766923"/>
      <w:bookmarkStart w:id="72" w:name="_Toc152045530"/>
      <w:bookmarkStart w:id="73" w:name="_Toc326223536"/>
      <w:bookmarkStart w:id="74" w:name="_Toc179632547"/>
      <w:bookmarkStart w:id="75" w:name="_Toc152042306"/>
      <w:bookmarkStart w:id="76" w:name="_Toc71191953"/>
      <w:bookmarkStart w:id="77" w:name="_Toc31396"/>
      <w:bookmarkStart w:id="78" w:name="_Toc109124234"/>
      <w:bookmarkStart w:id="79" w:name="_Toc60224320"/>
      <w:bookmarkStart w:id="80" w:name="_Toc247085690"/>
      <w:bookmarkStart w:id="81" w:name="_Toc65682925"/>
      <w:r>
        <w:rPr>
          <w:rFonts w:ascii="仿宋" w:hAnsi="仿宋" w:cs="宋体"/>
          <w:color w:val="auto"/>
        </w:rPr>
        <w:t>1.1 项目概况</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pPr>
        <w:widowControl/>
        <w:spacing w:line="360" w:lineRule="auto"/>
        <w:ind w:firstLine="480"/>
        <w:rPr>
          <w:rFonts w:ascii="仿宋" w:hAnsi="仿宋" w:eastAsia="仿宋" w:cs="宋体"/>
          <w:color w:val="auto"/>
          <w:sz w:val="24"/>
          <w:szCs w:val="24"/>
        </w:rPr>
      </w:pPr>
      <w:bookmarkStart w:id="82" w:name="_Toc326223537"/>
      <w:bookmarkStart w:id="83" w:name="_Toc246996920"/>
      <w:bookmarkStart w:id="84" w:name="_Toc332188170"/>
      <w:bookmarkStart w:id="85" w:name="_Toc179632548"/>
      <w:bookmarkStart w:id="86" w:name="_Toc247085691"/>
      <w:bookmarkStart w:id="87" w:name="_Toc152045531"/>
      <w:bookmarkStart w:id="88" w:name="_Toc246996177"/>
      <w:bookmarkStart w:id="89" w:name="_Toc152042307"/>
      <w:bookmarkStart w:id="90" w:name="_Toc334766924"/>
      <w:bookmarkStart w:id="91" w:name="_Toc144974499"/>
      <w:bookmarkStart w:id="92" w:name="_Toc327739994"/>
      <w:bookmarkStart w:id="93" w:name="_Toc327827316"/>
      <w:r>
        <w:rPr>
          <w:rFonts w:hint="eastAsia" w:ascii="仿宋" w:hAnsi="仿宋" w:eastAsia="仿宋" w:cs="宋体"/>
          <w:color w:val="auto"/>
          <w:sz w:val="24"/>
          <w:szCs w:val="24"/>
        </w:rPr>
        <w:t>根据《中华人民共和国招标投标法》、《中华人民共和国招标投标法实施条例》、《国有金融企业集中采购管理暂行规定》等有关法律、法规和规章以及招标人采购管理制度的规定，本招标项目已具备招标条件，现对本项目进行招标。</w:t>
      </w:r>
    </w:p>
    <w:p>
      <w:pPr>
        <w:pStyle w:val="5"/>
        <w:rPr>
          <w:rFonts w:hint="default" w:ascii="仿宋" w:hAnsi="仿宋" w:cs="宋体"/>
          <w:color w:val="auto"/>
        </w:rPr>
      </w:pPr>
      <w:bookmarkStart w:id="94" w:name="_Toc109124235"/>
      <w:bookmarkStart w:id="95" w:name="_Toc19949"/>
      <w:bookmarkStart w:id="96" w:name="_Toc71191954"/>
      <w:bookmarkStart w:id="97" w:name="_Toc60224321"/>
      <w:bookmarkStart w:id="98" w:name="_Toc438"/>
      <w:r>
        <w:rPr>
          <w:rFonts w:ascii="仿宋" w:hAnsi="仿宋" w:cs="宋体"/>
          <w:color w:val="auto"/>
        </w:rPr>
        <w:t>1.2 资金来源和落实情况</w:t>
      </w:r>
      <w:bookmarkEnd w:id="82"/>
      <w:bookmarkEnd w:id="83"/>
      <w:bookmarkEnd w:id="84"/>
      <w:bookmarkEnd w:id="85"/>
      <w:bookmarkEnd w:id="86"/>
      <w:bookmarkEnd w:id="87"/>
      <w:bookmarkEnd w:id="88"/>
      <w:bookmarkEnd w:id="89"/>
      <w:bookmarkEnd w:id="90"/>
      <w:bookmarkEnd w:id="91"/>
      <w:bookmarkEnd w:id="94"/>
      <w:bookmarkEnd w:id="95"/>
      <w:bookmarkEnd w:id="96"/>
      <w:bookmarkEnd w:id="97"/>
      <w:bookmarkEnd w:id="98"/>
    </w:p>
    <w:p>
      <w:pPr>
        <w:spacing w:line="360" w:lineRule="auto"/>
        <w:ind w:firstLine="480"/>
        <w:rPr>
          <w:rFonts w:ascii="仿宋" w:hAnsi="仿宋" w:eastAsia="仿宋" w:cs="宋体"/>
          <w:color w:val="auto"/>
          <w:sz w:val="24"/>
          <w:szCs w:val="24"/>
        </w:rPr>
      </w:pPr>
      <w:bookmarkStart w:id="99" w:name="_Hlk136962920"/>
      <w:r>
        <w:rPr>
          <w:rFonts w:hint="eastAsia" w:ascii="仿宋" w:hAnsi="仿宋" w:eastAsia="仿宋" w:cs="宋体"/>
          <w:color w:val="auto"/>
          <w:sz w:val="24"/>
          <w:szCs w:val="24"/>
        </w:rPr>
        <w:t>本招标项目的资金已落实</w:t>
      </w:r>
      <w:bookmarkEnd w:id="99"/>
      <w:r>
        <w:rPr>
          <w:rFonts w:hint="eastAsia" w:ascii="仿宋" w:hAnsi="仿宋" w:eastAsia="仿宋" w:cs="宋体"/>
          <w:color w:val="auto"/>
          <w:sz w:val="24"/>
          <w:szCs w:val="24"/>
        </w:rPr>
        <w:t>。</w:t>
      </w:r>
    </w:p>
    <w:p>
      <w:pPr>
        <w:pStyle w:val="5"/>
        <w:rPr>
          <w:rFonts w:hint="default" w:ascii="仿宋" w:hAnsi="仿宋" w:cs="宋体"/>
          <w:color w:val="auto"/>
        </w:rPr>
      </w:pPr>
      <w:bookmarkStart w:id="100" w:name="_Toc1291"/>
      <w:bookmarkStart w:id="101" w:name="_Toc112068331"/>
      <w:bookmarkStart w:id="102" w:name="_Toc144741546"/>
      <w:bookmarkStart w:id="103" w:name="_Toc12184"/>
      <w:bookmarkStart w:id="104" w:name="_Toc152045532"/>
      <w:bookmarkStart w:id="105" w:name="_Toc179632549"/>
      <w:bookmarkStart w:id="106" w:name="_Toc60224322"/>
      <w:bookmarkStart w:id="107" w:name="_Toc326223538"/>
      <w:bookmarkStart w:id="108" w:name="_Toc247085692"/>
      <w:bookmarkStart w:id="109" w:name="_Toc109124236"/>
      <w:bookmarkStart w:id="110" w:name="_Toc152042308"/>
      <w:bookmarkStart w:id="111" w:name="_Toc246996178"/>
      <w:bookmarkStart w:id="112" w:name="_Toc71191955"/>
      <w:bookmarkStart w:id="113" w:name="_Toc144974500"/>
      <w:bookmarkStart w:id="114" w:name="_Toc246996921"/>
      <w:bookmarkStart w:id="115" w:name="_Toc332188171"/>
      <w:bookmarkStart w:id="116" w:name="_Toc334766925"/>
      <w:r>
        <w:rPr>
          <w:rFonts w:ascii="仿宋" w:hAnsi="仿宋" w:cs="宋体"/>
          <w:color w:val="auto"/>
        </w:rPr>
        <w:t>1.</w:t>
      </w:r>
      <w:r>
        <w:rPr>
          <w:rFonts w:hint="default" w:ascii="仿宋" w:hAnsi="仿宋" w:cs="宋体"/>
          <w:color w:val="auto"/>
        </w:rPr>
        <w:t>3</w:t>
      </w:r>
      <w:r>
        <w:rPr>
          <w:rFonts w:ascii="仿宋" w:hAnsi="仿宋" w:cs="宋体"/>
          <w:color w:val="auto"/>
        </w:rPr>
        <w:t>招标方式</w:t>
      </w:r>
      <w:bookmarkEnd w:id="100"/>
      <w:bookmarkEnd w:id="101"/>
      <w:bookmarkEnd w:id="102"/>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3</w:t>
      </w:r>
      <w:r>
        <w:rPr>
          <w:rFonts w:hint="eastAsia" w:ascii="仿宋" w:hAnsi="仿宋" w:eastAsia="仿宋" w:cs="宋体"/>
          <w:color w:val="auto"/>
          <w:sz w:val="24"/>
          <w:szCs w:val="24"/>
        </w:rPr>
        <w:t>.1 公开招标：是指招标人以招标公告的方式邀请不特定的法人或者其他组织投标。</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3</w:t>
      </w:r>
      <w:r>
        <w:rPr>
          <w:rFonts w:hint="eastAsia" w:ascii="仿宋" w:hAnsi="仿宋" w:eastAsia="仿宋" w:cs="宋体"/>
          <w:color w:val="auto"/>
          <w:sz w:val="24"/>
          <w:szCs w:val="24"/>
        </w:rPr>
        <w:t>.2 邀请招标：是指招标人以投标邀请函的方式邀请特定的法人或者其他组织投标。</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3</w:t>
      </w:r>
      <w:r>
        <w:rPr>
          <w:rFonts w:hint="eastAsia" w:ascii="仿宋" w:hAnsi="仿宋" w:eastAsia="仿宋" w:cs="宋体"/>
          <w:color w:val="auto"/>
          <w:sz w:val="24"/>
          <w:szCs w:val="24"/>
        </w:rPr>
        <w:t>.3 本项目招标方式见投标人须知前附表。</w:t>
      </w:r>
    </w:p>
    <w:p>
      <w:pPr>
        <w:pStyle w:val="5"/>
        <w:rPr>
          <w:rFonts w:hint="default" w:ascii="仿宋" w:hAnsi="仿宋" w:cs="宋体"/>
          <w:color w:val="auto"/>
        </w:rPr>
      </w:pPr>
      <w:bookmarkStart w:id="117" w:name="_Toc421"/>
      <w:bookmarkStart w:id="118" w:name="_Toc144741547"/>
      <w:bookmarkStart w:id="119" w:name="_Toc112068332"/>
      <w:r>
        <w:rPr>
          <w:rFonts w:ascii="仿宋" w:hAnsi="仿宋" w:cs="宋体"/>
          <w:color w:val="auto"/>
        </w:rPr>
        <w:t>1.</w:t>
      </w:r>
      <w:r>
        <w:rPr>
          <w:rFonts w:hint="default" w:ascii="仿宋" w:hAnsi="仿宋" w:cs="宋体"/>
          <w:color w:val="auto"/>
        </w:rPr>
        <w:t>4</w:t>
      </w:r>
      <w:r>
        <w:rPr>
          <w:rFonts w:ascii="仿宋" w:hAnsi="仿宋" w:cs="宋体"/>
          <w:color w:val="auto"/>
        </w:rPr>
        <w:t>招标组织形式</w:t>
      </w:r>
      <w:bookmarkEnd w:id="117"/>
      <w:bookmarkEnd w:id="118"/>
      <w:bookmarkEnd w:id="119"/>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本次招标由招标人自行组织/委托招标代理机构采用代理招标的方式进行，招标组织形式、代理机构名称见投标人须知前附表。</w:t>
      </w:r>
    </w:p>
    <w:p>
      <w:pPr>
        <w:pStyle w:val="5"/>
        <w:rPr>
          <w:rFonts w:hint="default" w:ascii="仿宋" w:hAnsi="仿宋" w:cs="宋体"/>
          <w:color w:val="auto"/>
        </w:rPr>
      </w:pPr>
      <w:bookmarkStart w:id="120" w:name="_Toc144741548"/>
      <w:bookmarkStart w:id="121" w:name="_Toc8509"/>
      <w:bookmarkStart w:id="122" w:name="_Toc112068333"/>
      <w:r>
        <w:rPr>
          <w:rFonts w:ascii="仿宋" w:hAnsi="仿宋" w:cs="宋体"/>
          <w:color w:val="auto"/>
        </w:rPr>
        <w:t>1.</w:t>
      </w:r>
      <w:r>
        <w:rPr>
          <w:rFonts w:hint="default" w:ascii="仿宋" w:hAnsi="仿宋" w:cs="宋体"/>
          <w:color w:val="auto"/>
        </w:rPr>
        <w:t>5</w:t>
      </w:r>
      <w:r>
        <w:rPr>
          <w:rFonts w:ascii="仿宋" w:hAnsi="仿宋" w:cs="宋体"/>
          <w:color w:val="auto"/>
        </w:rPr>
        <w:t>资格审查</w:t>
      </w:r>
      <w:bookmarkEnd w:id="120"/>
      <w:bookmarkEnd w:id="121"/>
      <w:bookmarkEnd w:id="122"/>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5</w:t>
      </w:r>
      <w:r>
        <w:rPr>
          <w:rFonts w:hint="eastAsia" w:ascii="仿宋" w:hAnsi="仿宋" w:eastAsia="仿宋" w:cs="宋体"/>
          <w:color w:val="auto"/>
          <w:sz w:val="24"/>
          <w:szCs w:val="24"/>
        </w:rPr>
        <w:t>.1资格预审：是指在投标前对潜在投标人进行的资格审查。采用资格预审方式的，资格条件已经在招标文件发出前的“资格预审文件”中作出规定。</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5</w:t>
      </w:r>
      <w:r>
        <w:rPr>
          <w:rFonts w:hint="eastAsia" w:ascii="仿宋" w:hAnsi="仿宋" w:eastAsia="仿宋" w:cs="宋体"/>
          <w:color w:val="auto"/>
          <w:sz w:val="24"/>
          <w:szCs w:val="24"/>
        </w:rPr>
        <w:t>.2资格后审：是指在开标后由评标委员会根据招标文件的规定对投标人进行的资格审查。采用资格后审方式的，招标人必须在招标文件中详细规定资格审查标准和方法，</w:t>
      </w:r>
      <w:bookmarkStart w:id="123" w:name="_Hlk136963129"/>
      <w:r>
        <w:rPr>
          <w:rFonts w:hint="eastAsia" w:ascii="仿宋" w:hAnsi="仿宋" w:eastAsia="仿宋" w:cs="宋体"/>
          <w:color w:val="auto"/>
          <w:sz w:val="24"/>
          <w:szCs w:val="24"/>
        </w:rPr>
        <w:t>投标人应具备的资格条件见第一章“招标公告”或“投标邀请书”。</w:t>
      </w:r>
      <w:bookmarkEnd w:id="123"/>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1.5.3资格后审不合格的投标人，评标委员会应否决其投标。</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5</w:t>
      </w:r>
      <w:r>
        <w:rPr>
          <w:rFonts w:hint="eastAsia" w:ascii="仿宋" w:hAnsi="仿宋" w:eastAsia="仿宋" w:cs="宋体"/>
          <w:color w:val="auto"/>
          <w:sz w:val="24"/>
          <w:szCs w:val="24"/>
        </w:rPr>
        <w:t>.4本项目资格审查方式见投标人须知前附表。</w:t>
      </w:r>
    </w:p>
    <w:p>
      <w:pPr>
        <w:pStyle w:val="5"/>
        <w:rPr>
          <w:rFonts w:hint="default" w:ascii="仿宋" w:hAnsi="仿宋" w:cs="宋体"/>
          <w:color w:val="auto"/>
        </w:rPr>
      </w:pPr>
      <w:bookmarkStart w:id="124" w:name="_Toc112068335"/>
      <w:bookmarkStart w:id="125" w:name="_Toc144741549"/>
      <w:bookmarkStart w:id="126" w:name="_Toc18097"/>
      <w:r>
        <w:rPr>
          <w:rFonts w:ascii="仿宋" w:hAnsi="仿宋" w:cs="宋体"/>
          <w:color w:val="auto"/>
        </w:rPr>
        <w:t>1.</w:t>
      </w:r>
      <w:r>
        <w:rPr>
          <w:rFonts w:hint="default" w:ascii="仿宋" w:hAnsi="仿宋" w:cs="宋体"/>
          <w:color w:val="auto"/>
        </w:rPr>
        <w:t>6</w:t>
      </w:r>
      <w:r>
        <w:rPr>
          <w:rFonts w:ascii="仿宋" w:hAnsi="仿宋" w:cs="宋体"/>
          <w:color w:val="auto"/>
        </w:rPr>
        <w:t>投标费用</w:t>
      </w:r>
      <w:bookmarkEnd w:id="124"/>
      <w:bookmarkEnd w:id="125"/>
      <w:bookmarkEnd w:id="126"/>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不论结果如何，投标人自行承担所有准备和参与投标有关的费用。</w:t>
      </w:r>
    </w:p>
    <w:p>
      <w:pPr>
        <w:pStyle w:val="5"/>
        <w:rPr>
          <w:rFonts w:hint="default" w:ascii="仿宋" w:hAnsi="仿宋" w:cs="宋体"/>
          <w:color w:val="auto"/>
        </w:rPr>
      </w:pPr>
      <w:bookmarkStart w:id="127" w:name="_Toc144741550"/>
      <w:bookmarkStart w:id="128" w:name="_Toc112068336"/>
      <w:bookmarkStart w:id="129" w:name="_Toc15437"/>
      <w:bookmarkStart w:id="130" w:name="_Hlk136963192"/>
      <w:r>
        <w:rPr>
          <w:rFonts w:ascii="仿宋" w:hAnsi="仿宋" w:cs="宋体"/>
          <w:color w:val="auto"/>
        </w:rPr>
        <w:t>1.</w:t>
      </w:r>
      <w:r>
        <w:rPr>
          <w:rFonts w:hint="default" w:ascii="仿宋" w:hAnsi="仿宋" w:cs="宋体"/>
          <w:color w:val="auto"/>
        </w:rPr>
        <w:t>7</w:t>
      </w:r>
      <w:r>
        <w:rPr>
          <w:rFonts w:ascii="仿宋" w:hAnsi="仿宋" w:cs="宋体"/>
          <w:color w:val="auto"/>
        </w:rPr>
        <w:t>保密</w:t>
      </w:r>
      <w:bookmarkEnd w:id="127"/>
      <w:bookmarkEnd w:id="128"/>
      <w:bookmarkEnd w:id="129"/>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参与招标投标活动的各方应对招标文件和投标文件中的商业和技术等秘密保密，违者应对由此造成的后果承担法律责任。</w:t>
      </w:r>
    </w:p>
    <w:p>
      <w:pPr>
        <w:pStyle w:val="5"/>
        <w:rPr>
          <w:rFonts w:hint="default" w:ascii="仿宋" w:hAnsi="仿宋" w:cs="宋体"/>
          <w:color w:val="auto"/>
        </w:rPr>
      </w:pPr>
      <w:bookmarkStart w:id="131" w:name="_Toc144741551"/>
      <w:bookmarkStart w:id="132" w:name="_Toc112068337"/>
      <w:bookmarkStart w:id="133" w:name="_Toc4477"/>
      <w:r>
        <w:rPr>
          <w:rFonts w:ascii="仿宋" w:hAnsi="仿宋" w:cs="宋体"/>
          <w:color w:val="auto"/>
        </w:rPr>
        <w:t>1.</w:t>
      </w:r>
      <w:r>
        <w:rPr>
          <w:rFonts w:hint="default" w:ascii="仿宋" w:hAnsi="仿宋" w:cs="宋体"/>
          <w:color w:val="auto"/>
        </w:rPr>
        <w:t>8</w:t>
      </w:r>
      <w:r>
        <w:rPr>
          <w:rFonts w:ascii="仿宋" w:hAnsi="仿宋" w:cs="宋体"/>
          <w:color w:val="auto"/>
        </w:rPr>
        <w:t>计量单位</w:t>
      </w:r>
      <w:bookmarkEnd w:id="131"/>
      <w:bookmarkEnd w:id="132"/>
      <w:bookmarkEnd w:id="133"/>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所有计量均采用中华人民共和国法定计量单位。</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30"/>
    </w:p>
    <w:p>
      <w:pPr>
        <w:pStyle w:val="4"/>
        <w:rPr>
          <w:color w:val="auto"/>
        </w:rPr>
      </w:pPr>
      <w:bookmarkStart w:id="134" w:name="_Toc152042318"/>
      <w:bookmarkStart w:id="135" w:name="_Toc247085701"/>
      <w:bookmarkStart w:id="136" w:name="_Toc179632560"/>
      <w:bookmarkStart w:id="137" w:name="_Toc109124244"/>
      <w:bookmarkStart w:id="138" w:name="_Toc246996930"/>
      <w:bookmarkStart w:id="139" w:name="_Toc30737"/>
      <w:bookmarkStart w:id="140" w:name="_Toc171"/>
      <w:bookmarkStart w:id="141" w:name="_Toc152045542"/>
      <w:bookmarkStart w:id="142" w:name="_Toc144974510"/>
      <w:bookmarkStart w:id="143" w:name="_Toc246996187"/>
      <w:r>
        <w:rPr>
          <w:rFonts w:hint="eastAsia"/>
          <w:color w:val="auto"/>
        </w:rPr>
        <w:t>2.招标文件</w:t>
      </w:r>
      <w:bookmarkEnd w:id="134"/>
      <w:bookmarkEnd w:id="135"/>
      <w:bookmarkEnd w:id="136"/>
      <w:bookmarkEnd w:id="137"/>
      <w:bookmarkEnd w:id="138"/>
      <w:bookmarkEnd w:id="139"/>
      <w:bookmarkEnd w:id="140"/>
      <w:bookmarkEnd w:id="141"/>
      <w:bookmarkEnd w:id="142"/>
      <w:bookmarkEnd w:id="143"/>
    </w:p>
    <w:p>
      <w:pPr>
        <w:pStyle w:val="5"/>
        <w:rPr>
          <w:rFonts w:hint="default" w:ascii="仿宋" w:hAnsi="仿宋" w:cs="宋体"/>
          <w:color w:val="auto"/>
        </w:rPr>
      </w:pPr>
      <w:bookmarkStart w:id="144" w:name="_Toc14683"/>
      <w:bookmarkStart w:id="145" w:name="_Toc247085702"/>
      <w:bookmarkStart w:id="146" w:name="_Toc152042319"/>
      <w:bookmarkStart w:id="147" w:name="_Toc326223548"/>
      <w:bookmarkStart w:id="148" w:name="_Toc246996931"/>
      <w:bookmarkStart w:id="149" w:name="_Toc60224332"/>
      <w:bookmarkStart w:id="150" w:name="_Toc152045543"/>
      <w:bookmarkStart w:id="151" w:name="_Toc332188181"/>
      <w:bookmarkStart w:id="152" w:name="_Toc144974511"/>
      <w:bookmarkStart w:id="153" w:name="_Toc334766935"/>
      <w:bookmarkStart w:id="154" w:name="_Toc16024"/>
      <w:bookmarkStart w:id="155" w:name="_Toc246996188"/>
      <w:bookmarkStart w:id="156" w:name="_Toc109124245"/>
      <w:bookmarkStart w:id="157" w:name="_Toc179632561"/>
      <w:bookmarkStart w:id="158" w:name="_Toc71191964"/>
      <w:r>
        <w:rPr>
          <w:rFonts w:ascii="仿宋" w:hAnsi="仿宋" w:cs="宋体"/>
          <w:color w:val="auto"/>
        </w:rPr>
        <w:t>2.1招标文件的组成</w:t>
      </w:r>
      <w:bookmarkEnd w:id="144"/>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2.1.1招标人应当根据招标项目的特点和需要编制招标文件。招标文件应当包括招标项目的技术要求、对投标人资格审查的标准、投标报价要求和评标标准等所有实质性要求和条件以及拟签订合同的主要条款。招标文件的组成见投标人须知前附表。</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2.1.2 招标文件对同一内容的表述应当一致。第一章 “招标公告”或者“投标邀请书”与招标文件在同一内容的表述上有矛盾或冲突时，以第一章 “招标公告”或者“投标邀请书”为准；投标人须知前附表与投标人须知正文在同一内容的表述上有矛盾或冲突时，以投标人须知前附表为准。</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2.1.3招标人在招标文件中以显著的方式标明实质性要求、条件以及不满足实质性要求和条件的投标将被否决的提示，实质性要求的标识见投标人须知前附表。</w:t>
      </w:r>
    </w:p>
    <w:p>
      <w:pPr>
        <w:pStyle w:val="5"/>
        <w:rPr>
          <w:rFonts w:hint="default" w:ascii="仿宋" w:hAnsi="仿宋" w:cs="宋体"/>
          <w:color w:val="auto"/>
        </w:rPr>
      </w:pPr>
      <w:bookmarkStart w:id="159" w:name="_Toc24602"/>
      <w:r>
        <w:rPr>
          <w:rFonts w:ascii="仿宋" w:hAnsi="仿宋" w:cs="宋体"/>
          <w:color w:val="auto"/>
        </w:rPr>
        <w:t>2.2踏勘现场</w:t>
      </w:r>
      <w:bookmarkEnd w:id="159"/>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2.2.1招标人根据招标项目的具体情况，可以按照投标人须知前附表规定的时间和地点组织潜在投标人踏勘项目现场。招标人不得组织单个或者部分潜在投标人踏勘项目现场。</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2.2.2投标人应全面踏勘项目现场，应对可能影响投标报价及技术管理方案的现场条件进行全面踏勘。</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2.2.3投标人根据踏勘项目现场做出的投标分析、推论和判断，应当自行负责，招标人不对投标人据此作出的判断和决策负责。</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2.2.4投标人踏勘现场发生的费用自理。除招标人的原因外，投标人自行负责在踏勘现场中所发生的人员伤亡和财产损失。</w:t>
      </w:r>
    </w:p>
    <w:p>
      <w:pPr>
        <w:pStyle w:val="5"/>
        <w:rPr>
          <w:rFonts w:hint="default" w:ascii="仿宋" w:hAnsi="仿宋" w:cs="宋体"/>
          <w:color w:val="auto"/>
        </w:rPr>
      </w:pPr>
      <w:bookmarkStart w:id="160" w:name="_Toc3833"/>
      <w:r>
        <w:rPr>
          <w:rFonts w:ascii="仿宋" w:hAnsi="仿宋" w:cs="宋体"/>
          <w:color w:val="auto"/>
        </w:rPr>
        <w:t>2.3投标预备会</w:t>
      </w:r>
      <w:bookmarkEnd w:id="160"/>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招标人认为必要时，将按照投标人须知前附表规定的时间和地点召开投标预备会(标前会)，公开解答潜在投标人对招标文件提出的疑问。</w:t>
      </w:r>
    </w:p>
    <w:p>
      <w:pPr>
        <w:pStyle w:val="5"/>
        <w:rPr>
          <w:rFonts w:hint="default" w:ascii="仿宋" w:hAnsi="仿宋" w:cs="宋体"/>
          <w:color w:val="auto"/>
        </w:rPr>
      </w:pPr>
      <w:bookmarkStart w:id="161" w:name="_Toc12345"/>
      <w:r>
        <w:rPr>
          <w:rFonts w:ascii="仿宋" w:hAnsi="仿宋" w:cs="宋体"/>
          <w:color w:val="auto"/>
        </w:rPr>
        <w:t>2.4招标文件的修改</w:t>
      </w:r>
      <w:bookmarkEnd w:id="161"/>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2.4.1投标人对招标文件有疑问的，应当按照投标人须知前附表规定的时间和方式，要求招标人对招标文件进行澄清。</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2.4.2招标人可以对已发出的招标文件进行必要的澄清或者修改。澄清或修改内容可能影响投标文件编制的，招标人应当在投标截止时间至少15日前，以书面形式通知所有获取招标文件的潜在投标人，不足15日的，招标人应相应顺延提交投标文件的截止时间。</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2.4.</w:t>
      </w:r>
      <w:r>
        <w:rPr>
          <w:rFonts w:ascii="仿宋" w:hAnsi="仿宋" w:eastAsia="仿宋" w:cs="宋体"/>
          <w:color w:val="auto"/>
          <w:sz w:val="24"/>
          <w:szCs w:val="24"/>
        </w:rPr>
        <w:t>3</w:t>
      </w:r>
      <w:r>
        <w:rPr>
          <w:rFonts w:hint="eastAsia" w:ascii="仿宋" w:hAnsi="仿宋" w:eastAsia="仿宋" w:cs="宋体"/>
          <w:color w:val="auto"/>
          <w:sz w:val="24"/>
          <w:szCs w:val="24"/>
        </w:rPr>
        <w:t>投标人收到澄清或修改后，应当按照投标人须知前附表规定的时间和方式通知招标人，确认已收到该澄清或修改。</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2.4.</w:t>
      </w:r>
      <w:r>
        <w:rPr>
          <w:rFonts w:ascii="仿宋" w:hAnsi="仿宋" w:eastAsia="仿宋" w:cs="宋体"/>
          <w:color w:val="auto"/>
          <w:sz w:val="24"/>
          <w:szCs w:val="24"/>
        </w:rPr>
        <w:t>4</w:t>
      </w:r>
      <w:r>
        <w:rPr>
          <w:rFonts w:hint="eastAsia" w:ascii="仿宋" w:hAnsi="仿宋" w:eastAsia="仿宋" w:cs="宋体"/>
          <w:color w:val="auto"/>
          <w:sz w:val="24"/>
          <w:szCs w:val="24"/>
        </w:rPr>
        <w:t>所有关于招标文件的澄清和修改均作为招标文件的组成部分。当招标文件、招标文件的澄清或修改等在同一内容的表述上不一致时，以最后发出的书面文件为准。</w:t>
      </w:r>
    </w:p>
    <w:p>
      <w:pPr>
        <w:pStyle w:val="5"/>
        <w:rPr>
          <w:rFonts w:hint="default" w:ascii="仿宋" w:hAnsi="仿宋" w:cs="宋体"/>
          <w:color w:val="auto"/>
        </w:rPr>
      </w:pPr>
      <w:bookmarkStart w:id="162" w:name="_Toc15701"/>
      <w:r>
        <w:rPr>
          <w:rFonts w:ascii="仿宋" w:hAnsi="仿宋" w:cs="宋体"/>
          <w:color w:val="auto"/>
        </w:rPr>
        <w:t>2.5招标文件的异议</w:t>
      </w:r>
      <w:bookmarkEnd w:id="162"/>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潜在投标人或者其他利害关系人（是与招标项目或者招标活动有直接或者间接利益关系的法人、其他组织和自然人）对招标文件有异议的，应当在投标截止时间10日前提出。招标人应当自收到异议之日起3日内作出答复。作出答复前，应当暂停招标投标活动。</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pPr>
        <w:pStyle w:val="4"/>
        <w:rPr>
          <w:color w:val="auto"/>
        </w:rPr>
      </w:pPr>
      <w:bookmarkStart w:id="163" w:name="_Toc247085705"/>
      <w:bookmarkStart w:id="164" w:name="_Toc5145"/>
      <w:bookmarkStart w:id="165" w:name="_Toc179632564"/>
      <w:bookmarkStart w:id="166" w:name="_Toc246996934"/>
      <w:bookmarkStart w:id="167" w:name="_Toc152045546"/>
      <w:bookmarkStart w:id="168" w:name="_Toc109124250"/>
      <w:bookmarkStart w:id="169" w:name="_Toc246996191"/>
      <w:bookmarkStart w:id="170" w:name="_Toc15396"/>
      <w:bookmarkStart w:id="171" w:name="_Toc144974514"/>
      <w:bookmarkStart w:id="172" w:name="_Toc152042322"/>
      <w:r>
        <w:rPr>
          <w:rFonts w:hint="eastAsia"/>
          <w:color w:val="auto"/>
        </w:rPr>
        <w:t>3.投标文件</w:t>
      </w:r>
      <w:bookmarkEnd w:id="163"/>
      <w:bookmarkEnd w:id="164"/>
      <w:bookmarkEnd w:id="165"/>
      <w:bookmarkEnd w:id="166"/>
      <w:bookmarkEnd w:id="167"/>
      <w:bookmarkEnd w:id="168"/>
      <w:bookmarkEnd w:id="169"/>
      <w:bookmarkEnd w:id="170"/>
      <w:bookmarkEnd w:id="171"/>
      <w:bookmarkEnd w:id="172"/>
    </w:p>
    <w:p>
      <w:pPr>
        <w:pStyle w:val="5"/>
        <w:rPr>
          <w:rFonts w:hint="default" w:ascii="仿宋" w:hAnsi="仿宋" w:cs="宋体"/>
          <w:color w:val="auto"/>
        </w:rPr>
      </w:pPr>
      <w:bookmarkStart w:id="173" w:name="_Toc109124251"/>
      <w:bookmarkStart w:id="174" w:name="_Toc246996192"/>
      <w:bookmarkStart w:id="175" w:name="_Toc60224337"/>
      <w:bookmarkStart w:id="176" w:name="_Toc71191970"/>
      <w:bookmarkStart w:id="177" w:name="_Toc179632565"/>
      <w:bookmarkStart w:id="178" w:name="_Toc152042323"/>
      <w:bookmarkStart w:id="179" w:name="_Toc332188185"/>
      <w:bookmarkStart w:id="180" w:name="_Toc246996935"/>
      <w:bookmarkStart w:id="181" w:name="_Toc334766939"/>
      <w:bookmarkStart w:id="182" w:name="_Toc25453"/>
      <w:bookmarkStart w:id="183" w:name="_Toc152045547"/>
      <w:bookmarkStart w:id="184" w:name="_Toc247085706"/>
      <w:bookmarkStart w:id="185" w:name="_Toc19843"/>
      <w:bookmarkStart w:id="186" w:name="_Toc144974515"/>
      <w:bookmarkStart w:id="187" w:name="_Toc326223552"/>
      <w:r>
        <w:rPr>
          <w:rFonts w:ascii="仿宋" w:hAnsi="仿宋" w:cs="宋体"/>
          <w:color w:val="auto"/>
        </w:rPr>
        <w:t>3.1 投标文件的组成</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pPr>
        <w:spacing w:line="360" w:lineRule="auto"/>
        <w:ind w:firstLine="480"/>
        <w:rPr>
          <w:rFonts w:ascii="仿宋" w:hAnsi="仿宋" w:eastAsia="仿宋" w:cs="宋体"/>
          <w:color w:val="auto"/>
          <w:sz w:val="24"/>
          <w:szCs w:val="24"/>
        </w:rPr>
      </w:pPr>
      <w:bookmarkStart w:id="188" w:name="_Toc144974516"/>
      <w:bookmarkStart w:id="189" w:name="_Toc246996936"/>
      <w:bookmarkStart w:id="190" w:name="_Toc247085707"/>
      <w:bookmarkStart w:id="191" w:name="_Toc152042324"/>
      <w:bookmarkStart w:id="192" w:name="_Toc326223553"/>
      <w:bookmarkStart w:id="193" w:name="_Toc334766940"/>
      <w:bookmarkStart w:id="194" w:name="_Toc179632566"/>
      <w:bookmarkStart w:id="195" w:name="_Toc246996193"/>
      <w:bookmarkStart w:id="196" w:name="_Toc152045548"/>
      <w:bookmarkStart w:id="197" w:name="_Toc332188186"/>
      <w:r>
        <w:rPr>
          <w:rFonts w:hint="eastAsia" w:ascii="仿宋" w:hAnsi="仿宋" w:eastAsia="仿宋" w:cs="宋体"/>
          <w:color w:val="auto"/>
          <w:sz w:val="24"/>
          <w:szCs w:val="24"/>
        </w:rPr>
        <w:t>投标人应当按照投标人须知前附表的要求制作并提交投标文件。投标文件的组成见投标人须知前附表。</w:t>
      </w:r>
    </w:p>
    <w:p>
      <w:pPr>
        <w:pStyle w:val="5"/>
        <w:rPr>
          <w:rFonts w:hint="default" w:ascii="仿宋" w:hAnsi="仿宋" w:cs="宋体"/>
          <w:color w:val="auto"/>
        </w:rPr>
      </w:pPr>
      <w:bookmarkStart w:id="198" w:name="_Toc109124252"/>
      <w:bookmarkStart w:id="199" w:name="_Toc20674"/>
      <w:bookmarkStart w:id="200" w:name="_Toc71191971"/>
      <w:bookmarkStart w:id="201" w:name="_Toc60224338"/>
      <w:bookmarkStart w:id="202" w:name="_Toc28066"/>
      <w:r>
        <w:rPr>
          <w:rFonts w:ascii="仿宋" w:hAnsi="仿宋" w:cs="宋体"/>
          <w:color w:val="auto"/>
        </w:rPr>
        <w:t xml:space="preserve">3.2 </w:t>
      </w:r>
      <w:bookmarkEnd w:id="188"/>
      <w:bookmarkEnd w:id="189"/>
      <w:bookmarkEnd w:id="190"/>
      <w:bookmarkEnd w:id="191"/>
      <w:bookmarkEnd w:id="192"/>
      <w:bookmarkEnd w:id="193"/>
      <w:bookmarkEnd w:id="194"/>
      <w:bookmarkEnd w:id="195"/>
      <w:bookmarkEnd w:id="196"/>
      <w:bookmarkEnd w:id="197"/>
      <w:r>
        <w:rPr>
          <w:rFonts w:ascii="仿宋" w:hAnsi="仿宋" w:cs="宋体"/>
          <w:color w:val="auto"/>
        </w:rPr>
        <w:t>投标文件的编制</w:t>
      </w:r>
      <w:bookmarkEnd w:id="198"/>
      <w:bookmarkEnd w:id="199"/>
      <w:bookmarkEnd w:id="200"/>
      <w:bookmarkEnd w:id="201"/>
      <w:bookmarkEnd w:id="202"/>
    </w:p>
    <w:p>
      <w:pPr>
        <w:spacing w:line="360" w:lineRule="auto"/>
        <w:ind w:firstLine="480"/>
        <w:rPr>
          <w:rFonts w:ascii="仿宋" w:hAnsi="仿宋" w:eastAsia="仿宋" w:cs="宋体"/>
          <w:color w:val="auto"/>
          <w:sz w:val="24"/>
          <w:szCs w:val="24"/>
        </w:rPr>
      </w:pPr>
      <w:bookmarkStart w:id="203" w:name="_Toc334766941"/>
      <w:bookmarkStart w:id="204" w:name="_Toc246996937"/>
      <w:bookmarkStart w:id="205" w:name="_Toc152042325"/>
      <w:bookmarkStart w:id="206" w:name="_Toc246996194"/>
      <w:bookmarkStart w:id="207" w:name="_Toc332188187"/>
      <w:bookmarkStart w:id="208" w:name="_Toc326223554"/>
      <w:bookmarkStart w:id="209" w:name="_Toc152045549"/>
      <w:bookmarkStart w:id="210" w:name="_Toc179632567"/>
      <w:bookmarkStart w:id="211" w:name="_Toc144974517"/>
      <w:bookmarkStart w:id="212" w:name="_Toc247085708"/>
      <w:r>
        <w:rPr>
          <w:rFonts w:hint="eastAsia" w:ascii="仿宋" w:hAnsi="仿宋" w:eastAsia="仿宋" w:cs="宋体"/>
          <w:color w:val="auto"/>
          <w:sz w:val="24"/>
          <w:szCs w:val="24"/>
        </w:rPr>
        <w:t xml:space="preserve">3.2.1投标人应当按照招标文件的要求编制投标文件，并对其投标文件的真实性、合法性承担法律责任，投标文件应当对招标文件提出的实质性要求和条件作出响应。 </w:t>
      </w:r>
    </w:p>
    <w:p>
      <w:pPr>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3.2.2投标人应认真阅读招标文件中所有的事项、格式、条款和技术规范等。投标人没有按照招标文件要求递交全部资料，或者投标人没有对招标文件在各方面都作出实质性响应是投标人的风险，并可能导致其投标被否决。投标文件应答和编写的具体要求见投标人须知前附表。</w:t>
      </w:r>
    </w:p>
    <w:p>
      <w:pPr>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3.2.3投标人提交的投标文件以及投标人与招标人就有关投标的所有往来函电均应使用中文。投标人提交的证明文件和印刷的文献可以使用另一种语言，但相应内容应当译成中文，在解释投标文件时以中文译本为准。</w:t>
      </w:r>
    </w:p>
    <w:p>
      <w:pPr>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3.2.4纸质投标文件应当使用不褪色的材料书写或打印，并加盖公章或者由投标人的法定代表人（负责人）或者其委托代理人签字。委托代理人签字的，投标文件应当附法定代表人（负责人）签署的授权委托书。投标文件应尽量避免涂改、行间插字或删除。如果出现上述情况，改动之处应当加盖公章或由投标人的法定代表人（负责人）或其委托代理人签字确认。电子投标文件的签章要求及纸质投标文件盖章或者签字另有要求的，见投标人须知前附表。</w:t>
      </w:r>
    </w:p>
    <w:p>
      <w:pPr>
        <w:pStyle w:val="5"/>
        <w:rPr>
          <w:rFonts w:hint="default" w:ascii="仿宋" w:hAnsi="仿宋" w:cs="宋体"/>
          <w:color w:val="auto"/>
        </w:rPr>
      </w:pPr>
      <w:bookmarkStart w:id="213" w:name="_Toc71191972"/>
      <w:bookmarkStart w:id="214" w:name="_Toc109124253"/>
      <w:bookmarkStart w:id="215" w:name="_Toc13378"/>
      <w:bookmarkStart w:id="216" w:name="_Toc18181"/>
      <w:bookmarkStart w:id="217" w:name="_Toc60224339"/>
      <w:r>
        <w:rPr>
          <w:rFonts w:ascii="仿宋" w:hAnsi="仿宋" w:cs="宋体"/>
          <w:color w:val="auto"/>
        </w:rPr>
        <w:t>3.3 投标报价</w:t>
      </w:r>
      <w:bookmarkEnd w:id="213"/>
      <w:bookmarkEnd w:id="214"/>
      <w:bookmarkEnd w:id="215"/>
      <w:bookmarkEnd w:id="216"/>
      <w:bookmarkEnd w:id="217"/>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3.3.1投标人应当根据招标文件要求进行报价，投标人应当报出符合招标文件要求的拟提供投标货物或服务的单价、总价、费率、税率等内容。</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3.3.2 除招标文件另有规定外，投标报价一律用人民币填报，招标人不接受任何非人民币币种的投标报价。</w:t>
      </w:r>
    </w:p>
    <w:p>
      <w:pPr>
        <w:widowControl/>
        <w:spacing w:line="360" w:lineRule="auto"/>
        <w:ind w:firstLine="480"/>
        <w:rPr>
          <w:rFonts w:ascii="仿宋" w:hAnsi="仿宋" w:eastAsia="仿宋" w:cs="宋体"/>
          <w:color w:val="auto"/>
          <w:sz w:val="24"/>
          <w:szCs w:val="24"/>
        </w:rPr>
      </w:pPr>
      <w:r>
        <w:rPr>
          <w:rFonts w:ascii="仿宋" w:hAnsi="仿宋" w:eastAsia="仿宋" w:cs="宋体"/>
          <w:color w:val="auto"/>
          <w:sz w:val="24"/>
          <w:szCs w:val="24"/>
        </w:rPr>
        <w:t>3.3.3</w:t>
      </w:r>
      <w:r>
        <w:rPr>
          <w:rFonts w:hint="eastAsia" w:ascii="仿宋" w:hAnsi="仿宋" w:eastAsia="仿宋" w:cs="宋体"/>
          <w:color w:val="auto"/>
          <w:sz w:val="24"/>
          <w:szCs w:val="24"/>
        </w:rPr>
        <w:t>除招标文件另有规定外，投标人对每种货物或服务只允许有一个报价，招标人不接受有任何选择的报价。</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3.3.</w:t>
      </w:r>
      <w:r>
        <w:rPr>
          <w:rFonts w:ascii="仿宋" w:hAnsi="仿宋" w:eastAsia="仿宋" w:cs="宋体"/>
          <w:color w:val="auto"/>
          <w:sz w:val="24"/>
          <w:szCs w:val="24"/>
        </w:rPr>
        <w:t>4</w:t>
      </w:r>
      <w:r>
        <w:rPr>
          <w:rFonts w:hint="eastAsia" w:ascii="仿宋" w:hAnsi="仿宋" w:eastAsia="仿宋" w:cs="宋体"/>
          <w:color w:val="auto"/>
          <w:sz w:val="24"/>
          <w:szCs w:val="24"/>
        </w:rPr>
        <w:t>招标人设有最高投标限价的，投标人的投标报价不得超过最高投标限价，否则其投标将被否决。最高投标限价或者其计算方法见投标人须知前附表。</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3.3.</w:t>
      </w:r>
      <w:r>
        <w:rPr>
          <w:rFonts w:ascii="仿宋" w:hAnsi="仿宋" w:eastAsia="仿宋" w:cs="宋体"/>
          <w:color w:val="auto"/>
          <w:sz w:val="24"/>
          <w:szCs w:val="24"/>
        </w:rPr>
        <w:t>5</w:t>
      </w:r>
      <w:r>
        <w:rPr>
          <w:rFonts w:hint="eastAsia" w:ascii="仿宋" w:hAnsi="仿宋" w:eastAsia="仿宋" w:cs="宋体"/>
          <w:color w:val="auto"/>
          <w:sz w:val="24"/>
          <w:szCs w:val="24"/>
        </w:rPr>
        <w:t xml:space="preserve">投标报价的具体要求见投标人须知前附表。 </w:t>
      </w:r>
    </w:p>
    <w:p>
      <w:pPr>
        <w:pStyle w:val="5"/>
        <w:rPr>
          <w:rFonts w:hint="default" w:ascii="仿宋" w:hAnsi="仿宋" w:cs="宋体"/>
          <w:color w:val="auto"/>
        </w:rPr>
      </w:pPr>
      <w:bookmarkStart w:id="218" w:name="_Toc10829"/>
      <w:bookmarkStart w:id="219" w:name="_Toc60224340"/>
      <w:bookmarkStart w:id="220" w:name="_Toc109124254"/>
      <w:bookmarkStart w:id="221" w:name="_Toc71191973"/>
      <w:bookmarkStart w:id="222" w:name="_Toc3831"/>
      <w:r>
        <w:rPr>
          <w:rFonts w:ascii="仿宋" w:hAnsi="仿宋" w:cs="宋体"/>
          <w:color w:val="auto"/>
        </w:rPr>
        <w:t xml:space="preserve">3.4 </w:t>
      </w:r>
      <w:bookmarkEnd w:id="203"/>
      <w:bookmarkEnd w:id="204"/>
      <w:bookmarkEnd w:id="205"/>
      <w:bookmarkEnd w:id="206"/>
      <w:bookmarkEnd w:id="207"/>
      <w:bookmarkEnd w:id="208"/>
      <w:bookmarkEnd w:id="209"/>
      <w:bookmarkEnd w:id="210"/>
      <w:bookmarkEnd w:id="211"/>
      <w:bookmarkEnd w:id="212"/>
      <w:r>
        <w:rPr>
          <w:rFonts w:ascii="仿宋" w:hAnsi="仿宋" w:cs="宋体"/>
          <w:color w:val="auto"/>
        </w:rPr>
        <w:t>投标有效期</w:t>
      </w:r>
      <w:bookmarkEnd w:id="218"/>
      <w:bookmarkEnd w:id="219"/>
      <w:bookmarkEnd w:id="220"/>
      <w:bookmarkEnd w:id="221"/>
      <w:bookmarkEnd w:id="222"/>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3.4.1投标有效期从提交投标文件的截止之日起算，投标有效期的具体时间见投标人须知前附表。投标人承诺的投标有效期必须不短于招标文件规定的投标有效期，否则将构成对招标文件的非实质性响应，投标将被否决。</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3.4.2在原投标有效期结束前，出现特殊情况的，招标人可以书面形式要求所有投标人延长投标有效期。投标人同意延长的，不得要求或被允许修改其投标文件的实质性内容。投标人拒绝延长投标有效期的，其投标失效。</w:t>
      </w:r>
    </w:p>
    <w:p>
      <w:pPr>
        <w:pStyle w:val="5"/>
        <w:rPr>
          <w:rFonts w:hint="default" w:ascii="仿宋" w:hAnsi="仿宋" w:cs="宋体"/>
          <w:color w:val="auto"/>
        </w:rPr>
      </w:pPr>
      <w:bookmarkStart w:id="223" w:name="_Toc246996195"/>
      <w:bookmarkStart w:id="224" w:name="_Toc246996938"/>
      <w:bookmarkStart w:id="225" w:name="_Toc152045550"/>
      <w:bookmarkStart w:id="226" w:name="_Toc247085709"/>
      <w:bookmarkStart w:id="227" w:name="_Toc334766942"/>
      <w:bookmarkStart w:id="228" w:name="_Toc332188188"/>
      <w:bookmarkStart w:id="229" w:name="_Toc179632568"/>
      <w:bookmarkStart w:id="230" w:name="_Toc71191974"/>
      <w:bookmarkStart w:id="231" w:name="_Toc6186"/>
      <w:bookmarkStart w:id="232" w:name="_Toc60224341"/>
      <w:bookmarkStart w:id="233" w:name="_Toc7184"/>
      <w:bookmarkStart w:id="234" w:name="_Toc109124255"/>
      <w:bookmarkStart w:id="235" w:name="_Toc326223555"/>
      <w:bookmarkStart w:id="236" w:name="_Toc152042326"/>
      <w:bookmarkStart w:id="237" w:name="_Toc144974518"/>
      <w:r>
        <w:rPr>
          <w:rFonts w:ascii="仿宋" w:hAnsi="仿宋" w:cs="宋体"/>
          <w:color w:val="auto"/>
        </w:rPr>
        <w:t>3.5 投标保证金</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pPr>
        <w:widowControl/>
        <w:spacing w:line="360" w:lineRule="auto"/>
        <w:ind w:firstLine="480"/>
        <w:rPr>
          <w:rFonts w:ascii="仿宋" w:hAnsi="仿宋" w:eastAsia="仿宋" w:cs="宋体"/>
          <w:color w:val="auto"/>
          <w:sz w:val="24"/>
          <w:szCs w:val="24"/>
        </w:rPr>
      </w:pPr>
      <w:bookmarkStart w:id="238" w:name="_Hlk112074683"/>
      <w:bookmarkStart w:id="239" w:name="_Toc246996196"/>
      <w:bookmarkStart w:id="240" w:name="_Toc152045552"/>
      <w:bookmarkStart w:id="241" w:name="_Toc334766943"/>
      <w:bookmarkStart w:id="242" w:name="_Toc247085710"/>
      <w:bookmarkStart w:id="243" w:name="_Toc246996939"/>
      <w:bookmarkStart w:id="244" w:name="_Toc144974520"/>
      <w:bookmarkStart w:id="245" w:name="_Toc326223556"/>
      <w:bookmarkStart w:id="246" w:name="_Toc332188189"/>
      <w:bookmarkStart w:id="247" w:name="_Toc152042328"/>
      <w:bookmarkStart w:id="248" w:name="_Toc179632570"/>
      <w:r>
        <w:rPr>
          <w:rFonts w:hint="eastAsia" w:ascii="仿宋" w:hAnsi="仿宋" w:eastAsia="仿宋" w:cs="宋体"/>
          <w:color w:val="auto"/>
          <w:sz w:val="24"/>
          <w:szCs w:val="24"/>
        </w:rPr>
        <w:t>3.5.1招标人要求投标人提交投标保证金的，投标保证金不得超过招标项目估算价的2%，且不超过人民币8</w:t>
      </w:r>
      <w:r>
        <w:rPr>
          <w:rFonts w:ascii="仿宋" w:hAnsi="仿宋" w:eastAsia="仿宋" w:cs="宋体"/>
          <w:color w:val="auto"/>
          <w:sz w:val="24"/>
          <w:szCs w:val="24"/>
        </w:rPr>
        <w:t>0</w:t>
      </w:r>
      <w:r>
        <w:rPr>
          <w:rFonts w:hint="eastAsia" w:ascii="仿宋" w:hAnsi="仿宋" w:eastAsia="仿宋" w:cs="宋体"/>
          <w:color w:val="auto"/>
          <w:sz w:val="24"/>
          <w:szCs w:val="24"/>
        </w:rPr>
        <w:t>万元。投标保证金有效期与投标有效期一致。本招标项目的投标保证金金额、形式见投标人须知前附表。</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3.5.2</w:t>
      </w:r>
      <w:bookmarkStart w:id="249" w:name="_Hlk142926284"/>
      <w:r>
        <w:rPr>
          <w:rFonts w:hint="eastAsia" w:ascii="仿宋" w:hAnsi="仿宋" w:eastAsia="仿宋" w:cs="宋体"/>
          <w:color w:val="auto"/>
          <w:sz w:val="24"/>
          <w:szCs w:val="24"/>
        </w:rPr>
        <w:t>投标人或中标人出现下列行为之一，投标保证金不予退还：</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（1）投标人在投标截止后至投标有效期期满前,要求撤回已递交的投标文件；</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（2）中标后放弃中标的；</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（3）中标或中标后无正当理由不与招标人订立合同的；</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（4）中标人在签订合同时向招标人提出附加条件或要求变更实质性合同条款的；</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（5）中标人不按照招标文件要求提交履约保证金的；</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（6）投标人有恶意欺诈、弄虚作假、围标串标、哄抬标价、徇私行贿等法律法规中所列违规行为的。</w:t>
      </w:r>
      <w:bookmarkEnd w:id="238"/>
      <w:bookmarkEnd w:id="249"/>
    </w:p>
    <w:p>
      <w:pPr>
        <w:pStyle w:val="5"/>
        <w:rPr>
          <w:rFonts w:hint="default" w:ascii="仿宋" w:hAnsi="仿宋" w:cs="宋体"/>
          <w:color w:val="auto"/>
        </w:rPr>
      </w:pPr>
      <w:bookmarkStart w:id="250" w:name="_Toc30245"/>
      <w:bookmarkStart w:id="251" w:name="_Toc109124256"/>
      <w:bookmarkStart w:id="252" w:name="_Toc30161"/>
      <w:bookmarkStart w:id="253" w:name="_Toc71191975"/>
      <w:bookmarkStart w:id="254" w:name="_Toc60224342"/>
      <w:r>
        <w:rPr>
          <w:rFonts w:ascii="仿宋" w:hAnsi="仿宋" w:cs="宋体"/>
          <w:color w:val="auto"/>
        </w:rPr>
        <w:t xml:space="preserve">3.6 </w:t>
      </w:r>
      <w:bookmarkEnd w:id="239"/>
      <w:bookmarkEnd w:id="240"/>
      <w:bookmarkEnd w:id="241"/>
      <w:bookmarkEnd w:id="242"/>
      <w:bookmarkEnd w:id="243"/>
      <w:bookmarkEnd w:id="244"/>
      <w:bookmarkEnd w:id="245"/>
      <w:bookmarkEnd w:id="246"/>
      <w:bookmarkEnd w:id="247"/>
      <w:bookmarkEnd w:id="248"/>
      <w:r>
        <w:rPr>
          <w:rFonts w:ascii="仿宋" w:hAnsi="仿宋" w:cs="宋体"/>
          <w:color w:val="auto"/>
        </w:rPr>
        <w:t>备选投标方案</w:t>
      </w:r>
      <w:bookmarkEnd w:id="250"/>
      <w:bookmarkEnd w:id="251"/>
      <w:bookmarkEnd w:id="252"/>
      <w:bookmarkEnd w:id="253"/>
      <w:bookmarkEnd w:id="254"/>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招标人可以要求投标人在提交符合招标文件规定要求的投标文件外，提交备选投标方案，但应当在招标文件中做出说明，并提出相应的评审和比较办法。除投标人须知前附表另有规定外，投标人不得递交备选投标方案。</w:t>
      </w:r>
    </w:p>
    <w:p>
      <w:pPr>
        <w:pStyle w:val="5"/>
        <w:rPr>
          <w:rFonts w:hint="default" w:ascii="仿宋" w:hAnsi="仿宋" w:cs="宋体"/>
          <w:color w:val="auto"/>
        </w:rPr>
      </w:pPr>
      <w:bookmarkStart w:id="255" w:name="_Toc334766944"/>
      <w:bookmarkStart w:id="256" w:name="_Toc332188190"/>
      <w:bookmarkStart w:id="257" w:name="_Toc326223557"/>
      <w:bookmarkStart w:id="258" w:name="_Toc71191976"/>
      <w:bookmarkStart w:id="259" w:name="_Toc24967"/>
      <w:bookmarkStart w:id="260" w:name="_Toc4921"/>
      <w:bookmarkStart w:id="261" w:name="_Toc60224343"/>
      <w:bookmarkStart w:id="262" w:name="_Toc109124257"/>
      <w:r>
        <w:rPr>
          <w:rFonts w:ascii="仿宋" w:hAnsi="仿宋" w:cs="宋体"/>
          <w:color w:val="auto"/>
        </w:rPr>
        <w:t xml:space="preserve">3.7 </w:t>
      </w:r>
      <w:bookmarkEnd w:id="255"/>
      <w:bookmarkEnd w:id="256"/>
      <w:bookmarkEnd w:id="257"/>
      <w:r>
        <w:rPr>
          <w:rFonts w:ascii="仿宋" w:hAnsi="仿宋" w:cs="宋体"/>
          <w:color w:val="auto"/>
        </w:rPr>
        <w:t>纸质投标文件的式样、密封和标记</w:t>
      </w:r>
      <w:bookmarkEnd w:id="258"/>
      <w:bookmarkEnd w:id="259"/>
      <w:bookmarkEnd w:id="260"/>
      <w:bookmarkEnd w:id="261"/>
      <w:bookmarkEnd w:id="262"/>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3.7.1 投标人应当编制一份投标文件“正本”和投标人须知前附表所述份数的“副本”，副本为正本复印件。纸质文件正本与副本不一致时，以正本为准。</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3.7.2 投标文件的正本、副本应当分别装订，并于封面上明确标明“正本”“副本”字样。</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3.7.3 纸质投标文件应当按照招标文件规定密封包装，外层包封应当写明招标人名称、地址、项目名称、招标编号以及投标人的名称、地址、邮政编码等信息，明确标明“正本”“副本”字样，注明“开标时间以前不得开封”。招标人对于纸质投标文件密封、标记另有要求的，见投标人须知前附表。</w:t>
      </w:r>
    </w:p>
    <w:p>
      <w:pPr>
        <w:pStyle w:val="5"/>
        <w:rPr>
          <w:rFonts w:hint="default" w:ascii="仿宋" w:hAnsi="仿宋" w:cs="宋体"/>
          <w:color w:val="auto"/>
        </w:rPr>
      </w:pPr>
      <w:bookmarkStart w:id="263" w:name="_Toc109124258"/>
      <w:bookmarkStart w:id="264" w:name="_Toc19897"/>
      <w:bookmarkStart w:id="265" w:name="_Toc71191977"/>
      <w:bookmarkStart w:id="266" w:name="_Toc32531"/>
      <w:bookmarkStart w:id="267" w:name="_Toc60224344"/>
      <w:bookmarkStart w:id="268" w:name="_Toc179632571"/>
      <w:bookmarkStart w:id="269" w:name="_Toc152045553"/>
      <w:bookmarkStart w:id="270" w:name="_Toc144974521"/>
      <w:bookmarkStart w:id="271" w:name="_Toc247085711"/>
      <w:bookmarkStart w:id="272" w:name="_Toc152042329"/>
      <w:bookmarkStart w:id="273" w:name="_Toc246996940"/>
      <w:bookmarkStart w:id="274" w:name="_Toc246996197"/>
      <w:r>
        <w:rPr>
          <w:rFonts w:ascii="仿宋" w:hAnsi="仿宋" w:cs="宋体"/>
          <w:color w:val="auto"/>
        </w:rPr>
        <w:t>3.8 电子招投标的投标文件上传形式</w:t>
      </w:r>
      <w:bookmarkEnd w:id="263"/>
      <w:bookmarkEnd w:id="264"/>
      <w:bookmarkEnd w:id="265"/>
      <w:bookmarkEnd w:id="266"/>
      <w:bookmarkEnd w:id="267"/>
    </w:p>
    <w:p>
      <w:pPr>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投标文件应当按照投标人须知前附表要求的形式上传。</w:t>
      </w:r>
      <w:bookmarkEnd w:id="268"/>
      <w:bookmarkEnd w:id="269"/>
      <w:bookmarkEnd w:id="270"/>
      <w:bookmarkEnd w:id="271"/>
      <w:bookmarkEnd w:id="272"/>
      <w:bookmarkEnd w:id="273"/>
      <w:bookmarkEnd w:id="274"/>
    </w:p>
    <w:p>
      <w:pPr>
        <w:pStyle w:val="4"/>
        <w:rPr>
          <w:color w:val="auto"/>
        </w:rPr>
      </w:pPr>
      <w:bookmarkStart w:id="275" w:name="_Toc246996199"/>
      <w:bookmarkStart w:id="276" w:name="_Toc28146"/>
      <w:bookmarkStart w:id="277" w:name="_Toc246996942"/>
      <w:bookmarkStart w:id="278" w:name="_Toc109124259"/>
      <w:bookmarkStart w:id="279" w:name="_Toc30810"/>
      <w:bookmarkStart w:id="280" w:name="_Toc152045555"/>
      <w:bookmarkStart w:id="281" w:name="_Toc179632573"/>
      <w:bookmarkStart w:id="282" w:name="_Toc247085713"/>
      <w:bookmarkStart w:id="283" w:name="_Toc144974523"/>
      <w:bookmarkStart w:id="284" w:name="_Toc152042331"/>
      <w:r>
        <w:rPr>
          <w:rFonts w:hint="eastAsia"/>
          <w:color w:val="auto"/>
        </w:rPr>
        <w:t>4.投标</w:t>
      </w:r>
      <w:bookmarkEnd w:id="275"/>
      <w:bookmarkEnd w:id="276"/>
      <w:bookmarkEnd w:id="277"/>
      <w:bookmarkEnd w:id="278"/>
      <w:bookmarkEnd w:id="279"/>
      <w:bookmarkEnd w:id="280"/>
      <w:bookmarkEnd w:id="281"/>
      <w:bookmarkEnd w:id="282"/>
      <w:bookmarkEnd w:id="283"/>
      <w:bookmarkEnd w:id="284"/>
    </w:p>
    <w:p>
      <w:pPr>
        <w:pStyle w:val="5"/>
        <w:rPr>
          <w:rFonts w:hint="default" w:ascii="仿宋" w:hAnsi="仿宋" w:cs="宋体"/>
          <w:color w:val="auto"/>
        </w:rPr>
      </w:pPr>
      <w:bookmarkStart w:id="285" w:name="_Toc332188192"/>
      <w:bookmarkStart w:id="286" w:name="_Toc246996943"/>
      <w:bookmarkStart w:id="287" w:name="_Toc152042332"/>
      <w:bookmarkStart w:id="288" w:name="_Toc334766946"/>
      <w:bookmarkStart w:id="289" w:name="_Toc247085714"/>
      <w:bookmarkStart w:id="290" w:name="_Toc246996200"/>
      <w:bookmarkStart w:id="291" w:name="_Toc144974524"/>
      <w:bookmarkStart w:id="292" w:name="_Toc179632574"/>
      <w:bookmarkStart w:id="293" w:name="_Toc326223559"/>
      <w:bookmarkStart w:id="294" w:name="_Toc152045556"/>
      <w:bookmarkStart w:id="295" w:name="_Toc71191979"/>
      <w:bookmarkStart w:id="296" w:name="_Toc20297"/>
      <w:bookmarkStart w:id="297" w:name="_Toc109124260"/>
      <w:bookmarkStart w:id="298" w:name="_Toc60224346"/>
      <w:bookmarkStart w:id="299" w:name="_Toc31475"/>
      <w:r>
        <w:rPr>
          <w:rFonts w:ascii="仿宋" w:hAnsi="仿宋" w:cs="宋体"/>
          <w:color w:val="auto"/>
        </w:rPr>
        <w:t xml:space="preserve">4.1 </w:t>
      </w:r>
      <w:bookmarkEnd w:id="285"/>
      <w:bookmarkEnd w:id="286"/>
      <w:bookmarkEnd w:id="287"/>
      <w:bookmarkEnd w:id="288"/>
      <w:bookmarkEnd w:id="289"/>
      <w:bookmarkEnd w:id="290"/>
      <w:bookmarkEnd w:id="291"/>
      <w:bookmarkEnd w:id="292"/>
      <w:bookmarkEnd w:id="293"/>
      <w:bookmarkEnd w:id="294"/>
      <w:r>
        <w:rPr>
          <w:rFonts w:ascii="仿宋" w:hAnsi="仿宋" w:cs="宋体"/>
          <w:color w:val="auto"/>
        </w:rPr>
        <w:t>投标文件的递交</w:t>
      </w:r>
      <w:bookmarkEnd w:id="295"/>
      <w:bookmarkEnd w:id="296"/>
      <w:bookmarkEnd w:id="297"/>
      <w:bookmarkEnd w:id="298"/>
      <w:bookmarkEnd w:id="299"/>
    </w:p>
    <w:p>
      <w:pPr>
        <w:spacing w:line="360" w:lineRule="auto"/>
        <w:ind w:firstLine="480"/>
        <w:rPr>
          <w:b/>
          <w:bCs/>
          <w:color w:val="auto"/>
        </w:rPr>
      </w:pPr>
      <w:bookmarkStart w:id="300" w:name="_Toc334766947"/>
      <w:bookmarkStart w:id="301" w:name="_Toc326223560"/>
      <w:bookmarkStart w:id="302" w:name="_Toc152042333"/>
      <w:bookmarkStart w:id="303" w:name="_Toc246996944"/>
      <w:bookmarkStart w:id="304" w:name="_Toc332188193"/>
      <w:bookmarkStart w:id="305" w:name="_Toc179632575"/>
      <w:bookmarkStart w:id="306" w:name="_Toc152045557"/>
      <w:bookmarkStart w:id="307" w:name="_Toc246996201"/>
      <w:bookmarkStart w:id="308" w:name="_Toc144974525"/>
      <w:bookmarkStart w:id="309" w:name="_Toc247085715"/>
      <w:r>
        <w:rPr>
          <w:rFonts w:hint="eastAsia" w:ascii="仿宋" w:hAnsi="仿宋" w:eastAsia="仿宋" w:cs="宋体"/>
          <w:color w:val="auto"/>
          <w:sz w:val="24"/>
          <w:szCs w:val="24"/>
        </w:rPr>
        <w:t>4.1.1递交投标文件的截止时间、递交地点、递交方式及要求见第一章招标公告。</w:t>
      </w:r>
    </w:p>
    <w:p>
      <w:pPr>
        <w:widowControl/>
        <w:spacing w:line="360" w:lineRule="auto"/>
        <w:ind w:firstLine="464"/>
        <w:rPr>
          <w:rFonts w:ascii="仿宋" w:hAnsi="仿宋" w:eastAsia="仿宋" w:cs="宋体"/>
          <w:color w:val="auto"/>
          <w:sz w:val="24"/>
          <w:szCs w:val="24"/>
        </w:rPr>
      </w:pPr>
      <w:r>
        <w:rPr>
          <w:rFonts w:hint="eastAsia" w:ascii="仿宋" w:hAnsi="仿宋" w:eastAsia="仿宋" w:cs="宋体"/>
          <w:color w:val="auto"/>
          <w:spacing w:val="-4"/>
          <w:sz w:val="24"/>
          <w:szCs w:val="24"/>
        </w:rPr>
        <w:t>4.1.2 投标人所递交的投标文件不予退还。</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4.1.3 出现下列情形之一时，招标代理机构不予接收投标文件：</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（1）逾期递交投标文件的投标人；</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（2）逾期递交或者未在指定地点递交纸质投标文件的投标人；</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w:t>
      </w:r>
      <w:r>
        <w:rPr>
          <w:rFonts w:ascii="仿宋" w:hAnsi="仿宋" w:eastAsia="仿宋" w:cs="宋体"/>
          <w:color w:val="auto"/>
          <w:sz w:val="24"/>
          <w:szCs w:val="24"/>
        </w:rPr>
        <w:t>3</w:t>
      </w:r>
      <w:r>
        <w:rPr>
          <w:rFonts w:hint="eastAsia" w:ascii="仿宋" w:hAnsi="仿宋" w:eastAsia="仿宋" w:cs="宋体"/>
          <w:color w:val="auto"/>
          <w:sz w:val="24"/>
          <w:szCs w:val="24"/>
        </w:rPr>
        <w:t>）投标文件未按招标文件要求密封的；</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w:t>
      </w:r>
      <w:r>
        <w:rPr>
          <w:rFonts w:ascii="仿宋" w:hAnsi="仿宋" w:eastAsia="仿宋" w:cs="宋体"/>
          <w:color w:val="auto"/>
          <w:sz w:val="24"/>
          <w:szCs w:val="24"/>
        </w:rPr>
        <w:t>4</w:t>
      </w:r>
      <w:r>
        <w:rPr>
          <w:rFonts w:hint="eastAsia" w:ascii="仿宋" w:hAnsi="仿宋" w:eastAsia="仿宋" w:cs="宋体"/>
          <w:color w:val="auto"/>
          <w:sz w:val="24"/>
          <w:szCs w:val="24"/>
        </w:rPr>
        <w:t>）未按招标公告或者投标邀请书要求获得本项目招标文件的。</w:t>
      </w:r>
    </w:p>
    <w:p>
      <w:pPr>
        <w:pStyle w:val="5"/>
        <w:rPr>
          <w:rFonts w:hint="default" w:ascii="仿宋" w:hAnsi="仿宋" w:cs="宋体"/>
          <w:color w:val="auto"/>
        </w:rPr>
      </w:pPr>
      <w:bookmarkStart w:id="310" w:name="_Toc60224347"/>
      <w:bookmarkStart w:id="311" w:name="_Toc109124261"/>
      <w:bookmarkStart w:id="312" w:name="_Toc4530"/>
      <w:bookmarkStart w:id="313" w:name="_Toc71191980"/>
      <w:bookmarkStart w:id="314" w:name="_Toc15182"/>
      <w:r>
        <w:rPr>
          <w:rFonts w:ascii="仿宋" w:hAnsi="仿宋" w:cs="宋体"/>
          <w:color w:val="auto"/>
        </w:rPr>
        <w:t xml:space="preserve">4.2 </w:t>
      </w:r>
      <w:bookmarkEnd w:id="300"/>
      <w:bookmarkEnd w:id="301"/>
      <w:bookmarkEnd w:id="302"/>
      <w:bookmarkEnd w:id="303"/>
      <w:bookmarkEnd w:id="304"/>
      <w:bookmarkEnd w:id="305"/>
      <w:bookmarkEnd w:id="306"/>
      <w:bookmarkEnd w:id="307"/>
      <w:bookmarkEnd w:id="308"/>
      <w:bookmarkEnd w:id="309"/>
      <w:r>
        <w:rPr>
          <w:rFonts w:ascii="仿宋" w:hAnsi="仿宋" w:cs="宋体"/>
          <w:color w:val="auto"/>
        </w:rPr>
        <w:t>投标文件的修改、撤回和撤销</w:t>
      </w:r>
      <w:bookmarkEnd w:id="310"/>
      <w:bookmarkEnd w:id="311"/>
      <w:bookmarkEnd w:id="312"/>
      <w:bookmarkEnd w:id="313"/>
      <w:bookmarkEnd w:id="314"/>
    </w:p>
    <w:p>
      <w:pPr>
        <w:widowControl/>
        <w:spacing w:line="360" w:lineRule="auto"/>
        <w:ind w:firstLine="480"/>
        <w:rPr>
          <w:rFonts w:ascii="仿宋" w:hAnsi="仿宋" w:eastAsia="仿宋" w:cs="宋体"/>
          <w:color w:val="auto"/>
          <w:sz w:val="24"/>
          <w:szCs w:val="24"/>
        </w:rPr>
      </w:pPr>
      <w:bookmarkStart w:id="315" w:name="_Toc334766948"/>
      <w:bookmarkStart w:id="316" w:name="_Toc246996945"/>
      <w:bookmarkStart w:id="317" w:name="_Toc247085716"/>
      <w:bookmarkStart w:id="318" w:name="_Toc152042334"/>
      <w:bookmarkStart w:id="319" w:name="_Toc144974526"/>
      <w:bookmarkStart w:id="320" w:name="_Toc152045558"/>
      <w:bookmarkStart w:id="321" w:name="_Toc179632576"/>
      <w:bookmarkStart w:id="322" w:name="_Toc332188194"/>
      <w:bookmarkStart w:id="323" w:name="_Toc326223561"/>
      <w:bookmarkStart w:id="324" w:name="_Toc246996202"/>
      <w:r>
        <w:rPr>
          <w:rFonts w:hint="eastAsia" w:ascii="仿宋" w:hAnsi="仿宋" w:eastAsia="仿宋" w:cs="宋体"/>
          <w:color w:val="auto"/>
          <w:sz w:val="24"/>
          <w:szCs w:val="24"/>
        </w:rPr>
        <w:t>4.2.1投标人在招标文件要求的投标截止时间前，可以补充、修改或撤回已提交的投标文件。</w:t>
      </w:r>
      <w:r>
        <w:rPr>
          <w:rFonts w:ascii="仿宋" w:hAnsi="仿宋" w:eastAsia="仿宋" w:cs="宋体"/>
          <w:color w:val="auto"/>
          <w:sz w:val="24"/>
          <w:szCs w:val="24"/>
        </w:rPr>
        <w:t>补充、修改的内容为投标文件的组成部分</w:t>
      </w:r>
      <w:r>
        <w:rPr>
          <w:rFonts w:hint="eastAsia" w:ascii="仿宋" w:hAnsi="仿宋" w:eastAsia="仿宋" w:cs="宋体"/>
          <w:color w:val="auto"/>
          <w:sz w:val="24"/>
          <w:szCs w:val="24"/>
        </w:rPr>
        <w:t>，应当在投标截止时间前按照招标文件的规定进行加密、递交。</w:t>
      </w:r>
    </w:p>
    <w:p>
      <w:pPr>
        <w:widowControl/>
        <w:spacing w:line="360" w:lineRule="auto"/>
        <w:ind w:firstLine="480"/>
        <w:rPr>
          <w:color w:val="auto"/>
        </w:rPr>
      </w:pPr>
      <w:r>
        <w:rPr>
          <w:rFonts w:hint="eastAsia" w:ascii="仿宋" w:hAnsi="仿宋" w:eastAsia="仿宋" w:cs="宋体"/>
          <w:color w:val="auto"/>
          <w:sz w:val="24"/>
          <w:szCs w:val="24"/>
        </w:rPr>
        <w:t>4.2.2 投标截止时间后，投标人在投标有效期内撤销其投标文件，投标保证金不予退还。</w:t>
      </w:r>
      <w:bookmarkEnd w:id="315"/>
      <w:bookmarkEnd w:id="316"/>
      <w:bookmarkEnd w:id="317"/>
      <w:bookmarkEnd w:id="318"/>
      <w:bookmarkEnd w:id="319"/>
      <w:bookmarkEnd w:id="320"/>
      <w:bookmarkEnd w:id="321"/>
      <w:bookmarkEnd w:id="322"/>
      <w:bookmarkEnd w:id="323"/>
      <w:bookmarkEnd w:id="324"/>
    </w:p>
    <w:p>
      <w:pPr>
        <w:pStyle w:val="4"/>
        <w:rPr>
          <w:color w:val="auto"/>
        </w:rPr>
      </w:pPr>
      <w:bookmarkStart w:id="325" w:name="_Toc179632577"/>
      <w:bookmarkStart w:id="326" w:name="_Toc152045559"/>
      <w:bookmarkStart w:id="327" w:name="_Toc246996203"/>
      <w:bookmarkStart w:id="328" w:name="_Toc10106"/>
      <w:bookmarkStart w:id="329" w:name="_Toc246996946"/>
      <w:bookmarkStart w:id="330" w:name="_Toc152042335"/>
      <w:bookmarkStart w:id="331" w:name="_Toc144974527"/>
      <w:bookmarkStart w:id="332" w:name="_Toc20953"/>
      <w:bookmarkStart w:id="333" w:name="_Toc109124262"/>
      <w:bookmarkStart w:id="334" w:name="_Toc247085717"/>
      <w:r>
        <w:rPr>
          <w:rFonts w:hint="eastAsia"/>
          <w:color w:val="auto"/>
        </w:rPr>
        <w:t>5.开标</w:t>
      </w:r>
      <w:bookmarkEnd w:id="325"/>
      <w:bookmarkEnd w:id="326"/>
      <w:bookmarkEnd w:id="327"/>
      <w:bookmarkEnd w:id="328"/>
      <w:bookmarkEnd w:id="329"/>
      <w:bookmarkEnd w:id="330"/>
      <w:bookmarkEnd w:id="331"/>
      <w:bookmarkEnd w:id="332"/>
      <w:bookmarkEnd w:id="333"/>
      <w:bookmarkEnd w:id="334"/>
    </w:p>
    <w:p>
      <w:pPr>
        <w:pStyle w:val="5"/>
        <w:rPr>
          <w:rFonts w:hint="default" w:ascii="仿宋" w:hAnsi="仿宋" w:cs="宋体"/>
          <w:color w:val="auto"/>
        </w:rPr>
      </w:pPr>
      <w:bookmarkStart w:id="335" w:name="_Toc144974528"/>
      <w:bookmarkStart w:id="336" w:name="_Toc334766950"/>
      <w:bookmarkStart w:id="337" w:name="_Toc71191982"/>
      <w:bookmarkStart w:id="338" w:name="_Toc332188196"/>
      <w:bookmarkStart w:id="339" w:name="_Toc246996947"/>
      <w:bookmarkStart w:id="340" w:name="_Toc2860"/>
      <w:bookmarkStart w:id="341" w:name="_Toc2603"/>
      <w:bookmarkStart w:id="342" w:name="_Toc109124263"/>
      <w:bookmarkStart w:id="343" w:name="_Toc246996204"/>
      <w:bookmarkStart w:id="344" w:name="_Toc179632578"/>
      <w:bookmarkStart w:id="345" w:name="_Toc60224349"/>
      <w:bookmarkStart w:id="346" w:name="_Toc152045560"/>
      <w:bookmarkStart w:id="347" w:name="_Toc152042336"/>
      <w:bookmarkStart w:id="348" w:name="_Toc326223563"/>
      <w:bookmarkStart w:id="349" w:name="_Toc247085718"/>
      <w:r>
        <w:rPr>
          <w:rFonts w:ascii="仿宋" w:hAnsi="仿宋" w:cs="宋体"/>
          <w:color w:val="auto"/>
        </w:rPr>
        <w:t>5.1 开标时间</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pPr>
        <w:pStyle w:val="38"/>
        <w:ind w:firstLine="480"/>
        <w:rPr>
          <w:rFonts w:ascii="仿宋" w:hAnsi="仿宋" w:eastAsia="仿宋"/>
          <w:color w:val="auto"/>
        </w:rPr>
      </w:pPr>
      <w:r>
        <w:rPr>
          <w:rFonts w:hint="eastAsia" w:ascii="仿宋" w:hAnsi="仿宋" w:eastAsia="仿宋"/>
          <w:color w:val="auto"/>
        </w:rPr>
        <w:t>本项目</w:t>
      </w:r>
      <w:r>
        <w:rPr>
          <w:rFonts w:ascii="仿宋" w:hAnsi="仿宋" w:eastAsia="仿宋"/>
          <w:color w:val="auto"/>
        </w:rPr>
        <w:t>在</w:t>
      </w:r>
      <w:r>
        <w:rPr>
          <w:rFonts w:hint="eastAsia" w:ascii="仿宋" w:hAnsi="仿宋" w:eastAsia="仿宋"/>
          <w:color w:val="auto"/>
        </w:rPr>
        <w:t>招标公告要求的</w:t>
      </w:r>
      <w:r>
        <w:rPr>
          <w:rFonts w:ascii="仿宋" w:hAnsi="仿宋" w:eastAsia="仿宋"/>
          <w:color w:val="auto"/>
        </w:rPr>
        <w:t>投标截止时间的同一时间进行</w:t>
      </w:r>
      <w:r>
        <w:rPr>
          <w:rFonts w:hint="eastAsia" w:ascii="仿宋" w:hAnsi="仿宋" w:eastAsia="仿宋"/>
          <w:color w:val="auto"/>
        </w:rPr>
        <w:t>开标。</w:t>
      </w:r>
    </w:p>
    <w:p>
      <w:pPr>
        <w:pStyle w:val="5"/>
        <w:rPr>
          <w:rFonts w:hint="default" w:ascii="仿宋" w:hAnsi="仿宋" w:cs="宋体"/>
          <w:color w:val="auto"/>
        </w:rPr>
      </w:pPr>
      <w:bookmarkStart w:id="350" w:name="_Toc71191983"/>
      <w:bookmarkStart w:id="351" w:name="_Toc326223564"/>
      <w:bookmarkStart w:id="352" w:name="_Toc152045561"/>
      <w:bookmarkStart w:id="353" w:name="_Toc144974529"/>
      <w:bookmarkStart w:id="354" w:name="_Toc527"/>
      <w:bookmarkStart w:id="355" w:name="_Toc179632579"/>
      <w:bookmarkStart w:id="356" w:name="_Toc247085719"/>
      <w:bookmarkStart w:id="357" w:name="_Toc8110"/>
      <w:bookmarkStart w:id="358" w:name="_Toc246996948"/>
      <w:bookmarkStart w:id="359" w:name="_Toc60224350"/>
      <w:bookmarkStart w:id="360" w:name="_Toc332188197"/>
      <w:bookmarkStart w:id="361" w:name="_Toc109124264"/>
      <w:bookmarkStart w:id="362" w:name="_Toc246996205"/>
      <w:bookmarkStart w:id="363" w:name="_Toc152042337"/>
      <w:bookmarkStart w:id="364" w:name="_Toc334766951"/>
      <w:r>
        <w:rPr>
          <w:rFonts w:ascii="仿宋" w:hAnsi="仿宋" w:cs="宋体"/>
          <w:color w:val="auto"/>
        </w:rPr>
        <w:t>5.2 开标程序</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pPr>
        <w:widowControl/>
        <w:spacing w:line="360" w:lineRule="auto"/>
        <w:ind w:firstLine="480"/>
        <w:rPr>
          <w:rFonts w:ascii="仿宋" w:hAnsi="仿宋" w:eastAsia="仿宋" w:cs="宋体"/>
          <w:color w:val="auto"/>
          <w:sz w:val="24"/>
          <w:szCs w:val="24"/>
        </w:rPr>
      </w:pPr>
      <w:bookmarkStart w:id="365" w:name="_Toc332188198"/>
      <w:bookmarkStart w:id="366" w:name="_Toc109124265"/>
      <w:bookmarkStart w:id="367" w:name="_Toc71191984"/>
      <w:bookmarkStart w:id="368" w:name="_Toc334766952"/>
      <w:bookmarkStart w:id="369" w:name="_Toc17472"/>
      <w:bookmarkStart w:id="370" w:name="_Toc60224351"/>
      <w:bookmarkStart w:id="371" w:name="_Toc326223565"/>
      <w:r>
        <w:rPr>
          <w:rFonts w:hint="eastAsia" w:ascii="仿宋" w:hAnsi="仿宋" w:eastAsia="仿宋" w:cs="宋体"/>
          <w:color w:val="auto"/>
          <w:sz w:val="24"/>
          <w:szCs w:val="24"/>
        </w:rPr>
        <w:t>5.2.1 开标会议由招标人或其委托的招标代理机构组织并主持，邀请所有的投标人或其代表出席。招标人应当当众宣布参加本次招标的投标人个数，由投标人代表或招标人委托的公证机构或招标人委派的采购监督人员对投标文件密封情况进行检查，检查结果由主持人宣布。</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5.2.2 招标人在递交投标文件截止时间前收到的所有投标文件在开标时都应当当众予以拆封、宣读。但按照招标文件规定递交合格的书面撤回通知的投标文件不予开封。</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5.2.3 开标时，招标人应当宣读所有未撤回的投标文件中的投标一览表，内容一般包括：投标人名称、投标总报价、税率以及招标文件中规定的其他内容，并将唱标内容如实记录在开标记录表，由唱标人、记录人、投标人代表签字确认，存档备查。</w:t>
      </w:r>
    </w:p>
    <w:p>
      <w:pPr>
        <w:pStyle w:val="5"/>
        <w:rPr>
          <w:rFonts w:hint="default" w:ascii="仿宋" w:hAnsi="仿宋" w:cs="宋体"/>
          <w:color w:val="auto"/>
        </w:rPr>
      </w:pPr>
      <w:bookmarkStart w:id="372" w:name="_Toc19665"/>
      <w:r>
        <w:rPr>
          <w:rFonts w:ascii="仿宋" w:hAnsi="仿宋" w:cs="宋体"/>
          <w:color w:val="auto"/>
        </w:rPr>
        <w:t>5.3 开标异议</w:t>
      </w:r>
      <w:bookmarkEnd w:id="365"/>
      <w:bookmarkEnd w:id="366"/>
      <w:bookmarkEnd w:id="367"/>
      <w:bookmarkEnd w:id="368"/>
      <w:bookmarkEnd w:id="369"/>
      <w:bookmarkEnd w:id="370"/>
      <w:bookmarkEnd w:id="371"/>
      <w:bookmarkEnd w:id="372"/>
    </w:p>
    <w:p>
      <w:pPr>
        <w:widowControl/>
        <w:spacing w:line="360" w:lineRule="auto"/>
        <w:ind w:firstLine="480"/>
        <w:rPr>
          <w:rFonts w:ascii="仿宋" w:hAnsi="仿宋" w:eastAsia="仿宋" w:cs="宋体"/>
          <w:color w:val="auto"/>
          <w:sz w:val="24"/>
          <w:szCs w:val="24"/>
        </w:rPr>
      </w:pPr>
      <w:bookmarkStart w:id="373" w:name="_Toc6867"/>
      <w:bookmarkStart w:id="374" w:name="_Toc109124266"/>
      <w:bookmarkStart w:id="375" w:name="_Toc71191985"/>
      <w:bookmarkStart w:id="376" w:name="_Toc60224352"/>
      <w:bookmarkStart w:id="377" w:name="_Toc246996206"/>
      <w:bookmarkStart w:id="378" w:name="_Toc144974530"/>
      <w:bookmarkStart w:id="379" w:name="_Toc152042338"/>
      <w:bookmarkStart w:id="380" w:name="_Toc179632580"/>
      <w:bookmarkStart w:id="381" w:name="_Toc247085720"/>
      <w:bookmarkStart w:id="382" w:name="_Toc152045562"/>
      <w:bookmarkStart w:id="383" w:name="_Toc246996949"/>
      <w:r>
        <w:rPr>
          <w:rFonts w:hint="eastAsia" w:ascii="仿宋" w:hAnsi="仿宋" w:eastAsia="仿宋" w:cs="宋体"/>
          <w:color w:val="auto"/>
          <w:sz w:val="24"/>
          <w:szCs w:val="24"/>
        </w:rPr>
        <w:t>5.3.1 投标人对开标有异议的，应当在开标现场提出，招标人应当当场作出答复，并制作记录。</w:t>
      </w:r>
    </w:p>
    <w:p>
      <w:pPr>
        <w:widowControl/>
        <w:spacing w:line="360" w:lineRule="auto"/>
        <w:ind w:firstLine="480"/>
        <w:rPr>
          <w:rFonts w:ascii="仿宋" w:hAnsi="仿宋" w:eastAsia="仿宋" w:cs="宋体"/>
          <w:color w:val="auto"/>
          <w:spacing w:val="-6"/>
          <w:sz w:val="24"/>
          <w:szCs w:val="24"/>
        </w:rPr>
      </w:pPr>
      <w:r>
        <w:rPr>
          <w:rFonts w:hint="eastAsia" w:ascii="仿宋" w:hAnsi="仿宋" w:eastAsia="仿宋" w:cs="宋体"/>
          <w:color w:val="auto"/>
          <w:sz w:val="24"/>
          <w:szCs w:val="24"/>
        </w:rPr>
        <w:t xml:space="preserve">5.3.2 </w:t>
      </w:r>
      <w:r>
        <w:rPr>
          <w:rFonts w:hint="eastAsia" w:ascii="仿宋" w:hAnsi="仿宋" w:eastAsia="仿宋" w:cs="宋体"/>
          <w:color w:val="auto"/>
          <w:spacing w:val="-6"/>
          <w:sz w:val="24"/>
          <w:szCs w:val="24"/>
        </w:rPr>
        <w:t>投标人认为存在低于成本价投标情形的，可以在开标现场提出异议，并在评标完成前向招标人递交书面材料，招标人应当及时将书面材料转交评标委员会。</w:t>
      </w:r>
    </w:p>
    <w:p>
      <w:pPr>
        <w:pStyle w:val="5"/>
        <w:rPr>
          <w:rFonts w:hint="default" w:ascii="仿宋" w:hAnsi="仿宋" w:cs="宋体"/>
          <w:color w:val="auto"/>
        </w:rPr>
      </w:pPr>
      <w:bookmarkStart w:id="384" w:name="_Toc18709"/>
      <w:r>
        <w:rPr>
          <w:rFonts w:ascii="仿宋" w:hAnsi="仿宋" w:cs="宋体"/>
          <w:color w:val="auto"/>
        </w:rPr>
        <w:t>5.4 电子招投标的其他开标要求及异常处理</w:t>
      </w:r>
      <w:bookmarkEnd w:id="373"/>
      <w:bookmarkEnd w:id="374"/>
      <w:bookmarkEnd w:id="375"/>
      <w:bookmarkEnd w:id="376"/>
      <w:bookmarkEnd w:id="384"/>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招标人采用电子招标投标方式的，开标的其他要求及异常处理方式见投标人须知前附表。</w:t>
      </w:r>
    </w:p>
    <w:p>
      <w:pPr>
        <w:pStyle w:val="5"/>
        <w:rPr>
          <w:rFonts w:hint="default" w:ascii="仿宋" w:hAnsi="仿宋" w:cs="宋体"/>
          <w:color w:val="auto"/>
        </w:rPr>
      </w:pPr>
      <w:bookmarkStart w:id="385" w:name="_Toc478565678"/>
      <w:bookmarkStart w:id="386" w:name="_Toc474147997"/>
      <w:bookmarkStart w:id="387" w:name="_Toc525896321"/>
      <w:bookmarkStart w:id="388" w:name="_Toc478566041"/>
      <w:bookmarkStart w:id="389" w:name="_Toc478566233"/>
      <w:bookmarkStart w:id="390" w:name="_Toc9008"/>
      <w:bookmarkStart w:id="391" w:name="_Toc109124267"/>
      <w:bookmarkStart w:id="392" w:name="_Toc19094"/>
      <w:r>
        <w:rPr>
          <w:rFonts w:ascii="仿宋" w:hAnsi="仿宋" w:cs="宋体"/>
          <w:color w:val="auto"/>
        </w:rPr>
        <w:t>5.5不得开标</w:t>
      </w:r>
      <w:bookmarkEnd w:id="385"/>
      <w:bookmarkEnd w:id="386"/>
      <w:bookmarkEnd w:id="387"/>
      <w:bookmarkEnd w:id="388"/>
      <w:bookmarkEnd w:id="389"/>
      <w:r>
        <w:rPr>
          <w:rFonts w:ascii="仿宋" w:hAnsi="仿宋" w:cs="宋体"/>
          <w:color w:val="auto"/>
        </w:rPr>
        <w:t>的情形</w:t>
      </w:r>
      <w:bookmarkEnd w:id="390"/>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按照招标文件要求递交电子投标文件的投标人数量少于3个（中标人为1家时）或者少于投标人须知前附表规定的</w:t>
      </w:r>
      <w:r>
        <w:rPr>
          <w:rFonts w:ascii="仿宋" w:hAnsi="仿宋" w:eastAsia="仿宋" w:cs="宋体"/>
          <w:color w:val="auto"/>
          <w:sz w:val="24"/>
          <w:szCs w:val="24"/>
        </w:rPr>
        <w:t>数量</w:t>
      </w:r>
      <w:r>
        <w:rPr>
          <w:rFonts w:hint="eastAsia" w:ascii="仿宋" w:hAnsi="仿宋" w:eastAsia="仿宋" w:cs="宋体"/>
          <w:color w:val="auto"/>
          <w:sz w:val="24"/>
          <w:szCs w:val="24"/>
        </w:rPr>
        <w:t>时，招标人不得开标，应当重新招标。</w:t>
      </w:r>
    </w:p>
    <w:p>
      <w:pPr>
        <w:pStyle w:val="4"/>
        <w:rPr>
          <w:color w:val="auto"/>
        </w:rPr>
      </w:pPr>
      <w:bookmarkStart w:id="393" w:name="_Toc23132"/>
      <w:r>
        <w:rPr>
          <w:rFonts w:hint="eastAsia"/>
          <w:color w:val="auto"/>
        </w:rPr>
        <w:t>6.评标</w:t>
      </w:r>
      <w:bookmarkEnd w:id="377"/>
      <w:bookmarkEnd w:id="378"/>
      <w:bookmarkEnd w:id="379"/>
      <w:bookmarkEnd w:id="380"/>
      <w:bookmarkEnd w:id="381"/>
      <w:bookmarkEnd w:id="382"/>
      <w:bookmarkEnd w:id="383"/>
      <w:bookmarkEnd w:id="391"/>
      <w:bookmarkEnd w:id="392"/>
      <w:bookmarkEnd w:id="393"/>
    </w:p>
    <w:p>
      <w:pPr>
        <w:pStyle w:val="5"/>
        <w:rPr>
          <w:rFonts w:hint="default" w:ascii="仿宋" w:hAnsi="仿宋" w:cs="宋体"/>
          <w:color w:val="auto"/>
        </w:rPr>
      </w:pPr>
      <w:bookmarkStart w:id="394" w:name="_Toc3541"/>
      <w:bookmarkStart w:id="395" w:name="_Toc246996207"/>
      <w:bookmarkStart w:id="396" w:name="_Toc332188200"/>
      <w:bookmarkStart w:id="397" w:name="_Toc109124268"/>
      <w:bookmarkStart w:id="398" w:name="_Toc334766954"/>
      <w:bookmarkStart w:id="399" w:name="_Toc144974531"/>
      <w:bookmarkStart w:id="400" w:name="_Toc326223567"/>
      <w:bookmarkStart w:id="401" w:name="_Toc71191987"/>
      <w:bookmarkStart w:id="402" w:name="_Toc60224354"/>
      <w:bookmarkStart w:id="403" w:name="_Toc16388"/>
      <w:bookmarkStart w:id="404" w:name="_Toc152045563"/>
      <w:bookmarkStart w:id="405" w:name="_Toc179632581"/>
      <w:bookmarkStart w:id="406" w:name="_Toc246996950"/>
      <w:bookmarkStart w:id="407" w:name="_Toc152042339"/>
      <w:bookmarkStart w:id="408" w:name="_Toc247085721"/>
      <w:r>
        <w:rPr>
          <w:rFonts w:ascii="仿宋" w:hAnsi="仿宋" w:cs="宋体"/>
          <w:color w:val="auto"/>
        </w:rPr>
        <w:t>6.1 评标委员会</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pPr>
        <w:widowControl/>
        <w:spacing w:line="360" w:lineRule="auto"/>
        <w:ind w:firstLine="480"/>
        <w:rPr>
          <w:rFonts w:ascii="仿宋" w:hAnsi="仿宋" w:eastAsia="仿宋" w:cs="宋体"/>
          <w:color w:val="auto"/>
          <w:sz w:val="24"/>
          <w:szCs w:val="24"/>
        </w:rPr>
      </w:pPr>
      <w:bookmarkStart w:id="409" w:name="_Toc152045564"/>
      <w:bookmarkStart w:id="410" w:name="_Toc332188201"/>
      <w:bookmarkStart w:id="411" w:name="_Toc152042340"/>
      <w:bookmarkStart w:id="412" w:name="_Toc334766955"/>
      <w:bookmarkStart w:id="413" w:name="_Toc326223568"/>
      <w:bookmarkStart w:id="414" w:name="_Toc246996951"/>
      <w:bookmarkStart w:id="415" w:name="_Toc246996208"/>
      <w:bookmarkStart w:id="416" w:name="_Toc144974532"/>
      <w:bookmarkStart w:id="417" w:name="_Toc179632582"/>
      <w:bookmarkStart w:id="418" w:name="_Toc247085722"/>
      <w:r>
        <w:rPr>
          <w:rFonts w:hint="eastAsia" w:ascii="仿宋" w:hAnsi="仿宋" w:eastAsia="仿宋" w:cs="宋体"/>
          <w:color w:val="auto"/>
          <w:sz w:val="24"/>
          <w:szCs w:val="24"/>
        </w:rPr>
        <w:t>6.1.1 评标由依法组建的评标委员会负责，具体人数见投标人须知前附表。国有金融采购的一般采购项目从评审专家库中随机抽取选定评审专家，对技术复杂、专业性强或者有特殊要求的采购项目，通过随机抽取方式难以确定合适评审专家的，可由国有金融企业按程序自行选定。</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 xml:space="preserve">6.1.2 </w:t>
      </w:r>
      <w:r>
        <w:rPr>
          <w:rFonts w:hint="eastAsia" w:ascii="仿宋" w:hAnsi="仿宋" w:eastAsia="仿宋" w:cs="宋体"/>
          <w:color w:val="auto"/>
          <w:spacing w:val="-4"/>
          <w:sz w:val="24"/>
          <w:szCs w:val="24"/>
        </w:rPr>
        <w:t>评标期间，任何单位和个人不得非法干预或者影响评标的过程和结果。</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6.1.3 评标委员会成员名单在中标结果确定前保密。</w:t>
      </w:r>
    </w:p>
    <w:p>
      <w:pPr>
        <w:pStyle w:val="5"/>
        <w:rPr>
          <w:rFonts w:hint="default" w:ascii="仿宋" w:hAnsi="仿宋" w:cs="宋体"/>
          <w:color w:val="auto"/>
        </w:rPr>
      </w:pPr>
      <w:bookmarkStart w:id="419" w:name="_Toc109124269"/>
      <w:bookmarkStart w:id="420" w:name="_Toc71191988"/>
      <w:bookmarkStart w:id="421" w:name="_Toc13320"/>
      <w:bookmarkStart w:id="422" w:name="_Toc60224355"/>
      <w:bookmarkStart w:id="423" w:name="_Toc11297"/>
      <w:r>
        <w:rPr>
          <w:rFonts w:ascii="仿宋" w:hAnsi="仿宋" w:cs="宋体"/>
          <w:color w:val="auto"/>
        </w:rPr>
        <w:t>6.2 评标原则</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pPr>
        <w:widowControl/>
        <w:spacing w:line="360" w:lineRule="auto"/>
        <w:ind w:firstLine="480"/>
        <w:rPr>
          <w:rFonts w:ascii="仿宋" w:hAnsi="仿宋" w:eastAsia="仿宋" w:cs="宋体"/>
          <w:color w:val="auto"/>
          <w:sz w:val="24"/>
          <w:szCs w:val="24"/>
        </w:rPr>
      </w:pPr>
      <w:bookmarkStart w:id="424" w:name="_Toc179632583"/>
      <w:bookmarkStart w:id="425" w:name="_Toc326223569"/>
      <w:bookmarkStart w:id="426" w:name="_Toc152042341"/>
      <w:bookmarkStart w:id="427" w:name="_Toc334766956"/>
      <w:bookmarkStart w:id="428" w:name="_Toc246996952"/>
      <w:bookmarkStart w:id="429" w:name="_Toc246996209"/>
      <w:bookmarkStart w:id="430" w:name="_Toc144974533"/>
      <w:bookmarkStart w:id="431" w:name="_Toc152045565"/>
      <w:bookmarkStart w:id="432" w:name="_Toc332188202"/>
      <w:bookmarkStart w:id="433" w:name="_Toc247085723"/>
      <w:r>
        <w:rPr>
          <w:rFonts w:hint="eastAsia" w:ascii="仿宋" w:hAnsi="仿宋" w:eastAsia="仿宋" w:cs="宋体"/>
          <w:color w:val="auto"/>
          <w:sz w:val="24"/>
          <w:szCs w:val="24"/>
        </w:rPr>
        <w:t>6.2.1 评标活动遵循公平、公正、科学和择优的原则。</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6.2.2评标委员会应当按照第三章“评标办法”规定的评标标准和方法，客观、公正地对投标文件进行评审和比较、提出评审意见。招标文件没有规定的评标标准和方法不得作为评标的依据。</w:t>
      </w:r>
    </w:p>
    <w:p>
      <w:pPr>
        <w:pStyle w:val="5"/>
        <w:rPr>
          <w:rFonts w:hint="default" w:ascii="仿宋" w:hAnsi="仿宋" w:cs="宋体"/>
          <w:color w:val="auto"/>
        </w:rPr>
      </w:pPr>
      <w:bookmarkStart w:id="434" w:name="_Toc7172"/>
      <w:bookmarkStart w:id="435" w:name="_Toc109124270"/>
      <w:bookmarkStart w:id="436" w:name="_Toc60224356"/>
      <w:bookmarkStart w:id="437" w:name="_Toc71191989"/>
      <w:bookmarkStart w:id="438" w:name="_Toc29632"/>
      <w:r>
        <w:rPr>
          <w:rFonts w:ascii="仿宋" w:hAnsi="仿宋" w:cs="宋体"/>
          <w:color w:val="auto"/>
        </w:rPr>
        <w:t>6.3 评标</w:t>
      </w:r>
      <w:bookmarkEnd w:id="424"/>
      <w:bookmarkEnd w:id="425"/>
      <w:bookmarkEnd w:id="426"/>
      <w:bookmarkEnd w:id="427"/>
      <w:bookmarkEnd w:id="428"/>
      <w:bookmarkEnd w:id="429"/>
      <w:bookmarkEnd w:id="430"/>
      <w:bookmarkEnd w:id="431"/>
      <w:bookmarkEnd w:id="432"/>
      <w:bookmarkEnd w:id="433"/>
      <w:r>
        <w:rPr>
          <w:rFonts w:ascii="仿宋" w:hAnsi="仿宋" w:cs="宋体"/>
          <w:color w:val="auto"/>
        </w:rPr>
        <w:t>方法</w:t>
      </w:r>
      <w:bookmarkEnd w:id="434"/>
      <w:bookmarkEnd w:id="435"/>
      <w:bookmarkEnd w:id="436"/>
      <w:bookmarkEnd w:id="437"/>
      <w:bookmarkEnd w:id="438"/>
    </w:p>
    <w:p>
      <w:pPr>
        <w:widowControl/>
        <w:spacing w:line="360" w:lineRule="auto"/>
        <w:ind w:firstLine="480"/>
        <w:rPr>
          <w:rFonts w:ascii="仿宋" w:hAnsi="仿宋" w:eastAsia="仿宋" w:cs="宋体"/>
          <w:color w:val="auto"/>
          <w:sz w:val="24"/>
          <w:szCs w:val="24"/>
        </w:rPr>
      </w:pPr>
      <w:bookmarkStart w:id="439" w:name="_Toc152042342"/>
      <w:bookmarkStart w:id="440" w:name="_Toc152045566"/>
      <w:bookmarkStart w:id="441" w:name="_Toc246996210"/>
      <w:bookmarkStart w:id="442" w:name="_Toc179632584"/>
      <w:bookmarkStart w:id="443" w:name="_Toc246996953"/>
      <w:bookmarkStart w:id="444" w:name="_Toc144974534"/>
      <w:bookmarkStart w:id="445" w:name="_Toc247085724"/>
      <w:r>
        <w:rPr>
          <w:rFonts w:hint="eastAsia" w:ascii="仿宋" w:hAnsi="仿宋" w:eastAsia="仿宋" w:cs="宋体"/>
          <w:color w:val="auto"/>
          <w:sz w:val="24"/>
          <w:szCs w:val="24"/>
        </w:rPr>
        <w:t>6.3.1 招标文件中详细载明下述评标方法之一作为本次评标所采用的评标方法。评标方法见投标人须知前附表。</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6.3.2 经评审的最低投标价法：能够满足招标文件的实质性要求，并且经评审的投标价格最低的投标，应当推荐为中标候选人，但是价格低于成本的除外。</w:t>
      </w:r>
    </w:p>
    <w:p>
      <w:pPr>
        <w:widowControl/>
        <w:spacing w:line="360" w:lineRule="auto"/>
        <w:ind w:firstLine="480"/>
        <w:rPr>
          <w:rFonts w:ascii="仿宋" w:hAnsi="仿宋" w:eastAsia="仿宋" w:cs="宋体"/>
          <w:color w:val="auto"/>
          <w:spacing w:val="-4"/>
          <w:sz w:val="24"/>
          <w:szCs w:val="24"/>
        </w:rPr>
      </w:pPr>
      <w:r>
        <w:rPr>
          <w:rFonts w:hint="eastAsia" w:ascii="仿宋" w:hAnsi="仿宋" w:eastAsia="仿宋" w:cs="宋体"/>
          <w:color w:val="auto"/>
          <w:sz w:val="24"/>
          <w:szCs w:val="24"/>
        </w:rPr>
        <w:t xml:space="preserve">6.3.3 </w:t>
      </w:r>
      <w:r>
        <w:rPr>
          <w:rFonts w:hint="eastAsia" w:ascii="仿宋" w:hAnsi="仿宋" w:eastAsia="仿宋" w:cs="宋体"/>
          <w:color w:val="auto"/>
          <w:spacing w:val="-4"/>
          <w:sz w:val="24"/>
          <w:szCs w:val="24"/>
        </w:rPr>
        <w:t>综合评分法：最大限度地满足招标文件中规定的各项综合评价标准的投标，应当推荐为中标候选人，量化的标准和权重应当在招标文件中明确规定。</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6.3.4 法律、法规允许的其他评标方法。</w:t>
      </w:r>
    </w:p>
    <w:p>
      <w:pPr>
        <w:pStyle w:val="5"/>
        <w:rPr>
          <w:rFonts w:hint="default" w:ascii="仿宋" w:hAnsi="仿宋" w:cs="宋体"/>
          <w:color w:val="auto"/>
        </w:rPr>
      </w:pPr>
      <w:bookmarkStart w:id="446" w:name="_Toc19769"/>
      <w:bookmarkStart w:id="447" w:name="_Toc60224357"/>
      <w:bookmarkStart w:id="448" w:name="_Toc71191990"/>
      <w:bookmarkStart w:id="449" w:name="_Toc109124271"/>
      <w:bookmarkStart w:id="450" w:name="_Toc22331"/>
      <w:r>
        <w:rPr>
          <w:rFonts w:ascii="仿宋" w:hAnsi="仿宋" w:cs="宋体"/>
          <w:color w:val="auto"/>
        </w:rPr>
        <w:t>6.4 中标候选人推荐原则</w:t>
      </w:r>
      <w:bookmarkEnd w:id="446"/>
      <w:bookmarkEnd w:id="447"/>
      <w:bookmarkEnd w:id="448"/>
      <w:bookmarkEnd w:id="449"/>
      <w:bookmarkEnd w:id="450"/>
    </w:p>
    <w:p>
      <w:pPr>
        <w:widowControl/>
        <w:spacing w:line="360" w:lineRule="auto"/>
        <w:ind w:firstLine="464"/>
        <w:rPr>
          <w:rFonts w:ascii="仿宋" w:hAnsi="仿宋" w:eastAsia="仿宋" w:cs="宋体"/>
          <w:color w:val="auto"/>
          <w:spacing w:val="-4"/>
          <w:sz w:val="24"/>
          <w:szCs w:val="24"/>
        </w:rPr>
      </w:pPr>
      <w:r>
        <w:rPr>
          <w:rFonts w:hint="eastAsia" w:ascii="仿宋" w:hAnsi="仿宋" w:eastAsia="仿宋" w:cs="宋体"/>
          <w:color w:val="auto"/>
          <w:spacing w:val="-4"/>
          <w:sz w:val="24"/>
          <w:szCs w:val="24"/>
        </w:rPr>
        <w:t>评标委员会根据投标人须知前附表约定的原则推荐中标候选人。</w:t>
      </w:r>
    </w:p>
    <w:p>
      <w:pPr>
        <w:pStyle w:val="5"/>
        <w:rPr>
          <w:rFonts w:hint="default" w:ascii="仿宋" w:hAnsi="仿宋" w:cs="宋体"/>
          <w:color w:val="auto"/>
        </w:rPr>
      </w:pPr>
      <w:bookmarkStart w:id="451" w:name="_Toc71191991"/>
      <w:bookmarkStart w:id="452" w:name="_Toc60224358"/>
      <w:bookmarkStart w:id="453" w:name="_Toc21364"/>
      <w:bookmarkStart w:id="454" w:name="_Toc109124272"/>
      <w:bookmarkStart w:id="455" w:name="_Toc8982"/>
      <w:r>
        <w:rPr>
          <w:rFonts w:ascii="仿宋" w:hAnsi="仿宋" w:cs="宋体"/>
          <w:color w:val="auto"/>
        </w:rPr>
        <w:t>6.5 评标报告</w:t>
      </w:r>
      <w:bookmarkEnd w:id="451"/>
      <w:bookmarkEnd w:id="452"/>
      <w:bookmarkEnd w:id="453"/>
      <w:bookmarkEnd w:id="454"/>
      <w:bookmarkEnd w:id="455"/>
    </w:p>
    <w:p>
      <w:pPr>
        <w:widowControl/>
        <w:spacing w:line="360" w:lineRule="auto"/>
        <w:ind w:firstLine="464"/>
        <w:rPr>
          <w:rFonts w:ascii="仿宋" w:hAnsi="仿宋" w:eastAsia="仿宋" w:cs="宋体"/>
          <w:color w:val="auto"/>
          <w:spacing w:val="-4"/>
          <w:sz w:val="24"/>
          <w:szCs w:val="24"/>
        </w:rPr>
      </w:pPr>
      <w:r>
        <w:rPr>
          <w:rFonts w:hint="eastAsia" w:ascii="仿宋" w:hAnsi="仿宋" w:eastAsia="仿宋" w:cs="宋体"/>
          <w:color w:val="auto"/>
          <w:spacing w:val="-4"/>
          <w:sz w:val="24"/>
          <w:szCs w:val="24"/>
        </w:rPr>
        <w:t>6.5.1评标完成后，评标委员会应当及时向招标人提交书面评标报告，并推荐合格的中标候选人，中标候选人应标明排序。</w:t>
      </w:r>
    </w:p>
    <w:p>
      <w:pPr>
        <w:widowControl/>
        <w:spacing w:line="360" w:lineRule="auto"/>
        <w:ind w:firstLine="464"/>
        <w:rPr>
          <w:rFonts w:ascii="仿宋" w:hAnsi="仿宋" w:eastAsia="仿宋" w:cs="宋体"/>
          <w:color w:val="auto"/>
          <w:spacing w:val="-4"/>
          <w:sz w:val="24"/>
          <w:szCs w:val="24"/>
        </w:rPr>
      </w:pPr>
      <w:r>
        <w:rPr>
          <w:rFonts w:ascii="仿宋" w:hAnsi="仿宋" w:eastAsia="仿宋" w:cs="宋体"/>
          <w:color w:val="auto"/>
          <w:spacing w:val="-4"/>
          <w:sz w:val="24"/>
          <w:szCs w:val="24"/>
        </w:rPr>
        <w:t>6.5.2</w:t>
      </w:r>
      <w:r>
        <w:rPr>
          <w:rFonts w:hint="eastAsia" w:ascii="仿宋" w:hAnsi="仿宋" w:eastAsia="仿宋" w:cs="宋体"/>
          <w:color w:val="auto"/>
          <w:spacing w:val="-4"/>
          <w:sz w:val="24"/>
          <w:szCs w:val="24"/>
        </w:rPr>
        <w:t>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pStyle w:val="4"/>
        <w:rPr>
          <w:color w:val="auto"/>
        </w:rPr>
      </w:pPr>
      <w:bookmarkStart w:id="456" w:name="_Toc24032"/>
      <w:bookmarkStart w:id="457" w:name="_Toc532"/>
      <w:bookmarkStart w:id="458" w:name="_Toc109124273"/>
      <w:r>
        <w:rPr>
          <w:rFonts w:hint="eastAsia"/>
          <w:color w:val="auto"/>
        </w:rPr>
        <w:t>7.</w:t>
      </w:r>
      <w:bookmarkEnd w:id="439"/>
      <w:bookmarkEnd w:id="440"/>
      <w:bookmarkEnd w:id="441"/>
      <w:bookmarkEnd w:id="442"/>
      <w:bookmarkEnd w:id="443"/>
      <w:bookmarkEnd w:id="444"/>
      <w:bookmarkEnd w:id="445"/>
      <w:r>
        <w:rPr>
          <w:rFonts w:hint="eastAsia"/>
          <w:color w:val="auto"/>
        </w:rPr>
        <w:t>中标</w:t>
      </w:r>
      <w:bookmarkEnd w:id="456"/>
      <w:bookmarkEnd w:id="457"/>
      <w:bookmarkEnd w:id="458"/>
    </w:p>
    <w:p>
      <w:pPr>
        <w:pStyle w:val="5"/>
        <w:rPr>
          <w:rFonts w:hint="default" w:ascii="仿宋" w:hAnsi="仿宋" w:cs="宋体"/>
          <w:color w:val="auto"/>
        </w:rPr>
      </w:pPr>
      <w:bookmarkStart w:id="459" w:name="_Toc144974535"/>
      <w:bookmarkStart w:id="460" w:name="_Toc247085725"/>
      <w:bookmarkStart w:id="461" w:name="_Toc152042343"/>
      <w:bookmarkStart w:id="462" w:name="_Toc326223571"/>
      <w:bookmarkStart w:id="463" w:name="_Toc152045567"/>
      <w:bookmarkStart w:id="464" w:name="_Toc332188204"/>
      <w:bookmarkStart w:id="465" w:name="_Toc179632585"/>
      <w:bookmarkStart w:id="466" w:name="_Toc246996954"/>
      <w:bookmarkStart w:id="467" w:name="_Toc246996211"/>
      <w:bookmarkStart w:id="468" w:name="_Toc334766958"/>
      <w:bookmarkStart w:id="469" w:name="_Toc26416"/>
      <w:bookmarkStart w:id="470" w:name="_Toc27928"/>
      <w:bookmarkStart w:id="471" w:name="_Toc60224360"/>
      <w:bookmarkStart w:id="472" w:name="_Toc71191993"/>
      <w:bookmarkStart w:id="473" w:name="_Toc109124274"/>
      <w:r>
        <w:rPr>
          <w:rFonts w:ascii="仿宋" w:hAnsi="仿宋" w:cs="宋体"/>
          <w:color w:val="auto"/>
        </w:rPr>
        <w:t>7.1</w:t>
      </w:r>
      <w:bookmarkEnd w:id="459"/>
      <w:bookmarkEnd w:id="460"/>
      <w:bookmarkEnd w:id="461"/>
      <w:bookmarkEnd w:id="462"/>
      <w:bookmarkEnd w:id="463"/>
      <w:bookmarkEnd w:id="464"/>
      <w:bookmarkEnd w:id="465"/>
      <w:bookmarkEnd w:id="466"/>
      <w:bookmarkEnd w:id="467"/>
      <w:bookmarkEnd w:id="468"/>
      <w:r>
        <w:rPr>
          <w:rFonts w:ascii="仿宋" w:hAnsi="仿宋" w:cs="宋体"/>
          <w:color w:val="auto"/>
        </w:rPr>
        <w:t xml:space="preserve"> 中标候选人公示</w:t>
      </w:r>
      <w:bookmarkEnd w:id="469"/>
      <w:bookmarkEnd w:id="470"/>
      <w:bookmarkEnd w:id="471"/>
      <w:bookmarkEnd w:id="472"/>
      <w:bookmarkEnd w:id="473"/>
    </w:p>
    <w:p>
      <w:pPr>
        <w:widowControl/>
        <w:spacing w:line="360" w:lineRule="auto"/>
        <w:ind w:firstLine="480"/>
        <w:rPr>
          <w:rFonts w:ascii="仿宋" w:hAnsi="仿宋" w:eastAsia="仿宋" w:cs="宋体"/>
          <w:color w:val="auto"/>
          <w:sz w:val="24"/>
          <w:szCs w:val="24"/>
        </w:rPr>
      </w:pPr>
      <w:bookmarkStart w:id="474" w:name="_Toc334766959"/>
      <w:bookmarkStart w:id="475" w:name="_Toc332188205"/>
      <w:bookmarkStart w:id="476" w:name="_Toc326223572"/>
      <w:r>
        <w:rPr>
          <w:rFonts w:hint="eastAsia" w:ascii="仿宋" w:hAnsi="仿宋" w:eastAsia="仿宋" w:cs="宋体"/>
          <w:color w:val="auto"/>
          <w:sz w:val="24"/>
          <w:szCs w:val="24"/>
        </w:rPr>
        <w:t>7.1.1公开招标的采购项目，招标人将在完成评标报告之日起3日内在招标公告发布的同一平台发布中标候选人公示，公示期不少于3个日历日，如公示期最后一日为法定节假日，公示期将顺延至下1个工作日。</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7.1.2投标人或者其他利害关系人（是与该招标项目或者招标活动有直接或者间接利益关系的法人、其他组织和自然人）对评标结果有异议的，应在中标候选人公示期间以书面形式通过邮件或信函方式提出，应有具体明确的异议事项、与异议事项相关的请求和必要的证明材料。</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7</w:t>
      </w:r>
      <w:r>
        <w:rPr>
          <w:rFonts w:ascii="仿宋" w:hAnsi="仿宋" w:eastAsia="仿宋" w:cs="宋体"/>
          <w:color w:val="auto"/>
          <w:sz w:val="24"/>
          <w:szCs w:val="24"/>
        </w:rPr>
        <w:t>.1.3</w:t>
      </w:r>
      <w:r>
        <w:rPr>
          <w:rFonts w:hint="eastAsia" w:ascii="仿宋" w:hAnsi="仿宋" w:eastAsia="仿宋" w:cs="宋体"/>
          <w:color w:val="auto"/>
          <w:sz w:val="24"/>
          <w:szCs w:val="24"/>
        </w:rPr>
        <w:t>异议采取实名制，如异议人为自然人，应提交个人签名的异议函以及必要的证明材料、有效的身份证明材料、个人与招标项目直接或间接利益关系说明函。如异议人为法人、其他组织，应提交加盖公章并由法定代表人（负责人）或受其委托的授权代表签字的异议函及必要的证明材料。</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7</w:t>
      </w:r>
      <w:r>
        <w:rPr>
          <w:rFonts w:ascii="仿宋" w:hAnsi="仿宋" w:eastAsia="仿宋" w:cs="宋体"/>
          <w:color w:val="auto"/>
          <w:sz w:val="24"/>
          <w:szCs w:val="24"/>
        </w:rPr>
        <w:t>.1.4</w:t>
      </w:r>
      <w:r>
        <w:rPr>
          <w:rFonts w:hint="eastAsia" w:ascii="仿宋" w:hAnsi="仿宋" w:eastAsia="仿宋" w:cs="宋体"/>
          <w:color w:val="auto"/>
          <w:sz w:val="24"/>
          <w:szCs w:val="24"/>
        </w:rPr>
        <w:t>招标人对投标人和其他利害关系人提出的异议作出答复后，投标人和其他利害关系人在异议期内依然存在同样异议的，不应当就同样的问题反复提出同样的异议。</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7</w:t>
      </w:r>
      <w:r>
        <w:rPr>
          <w:rFonts w:ascii="仿宋" w:hAnsi="仿宋" w:eastAsia="仿宋" w:cs="宋体"/>
          <w:color w:val="auto"/>
          <w:sz w:val="24"/>
          <w:szCs w:val="24"/>
        </w:rPr>
        <w:t xml:space="preserve">.1.5 </w:t>
      </w:r>
      <w:r>
        <w:rPr>
          <w:rFonts w:hint="eastAsia" w:ascii="仿宋" w:hAnsi="仿宋" w:eastAsia="仿宋" w:cs="宋体"/>
          <w:color w:val="auto"/>
          <w:sz w:val="24"/>
          <w:szCs w:val="24"/>
        </w:rPr>
        <w:t>投标人捏造事实、提供虚假材料或者以非法手段取得证明材料提出异议，以及假冒他人名义提出异议的，认定为供应商不良行为，按照招标人供应商管理办法有关规定处理。</w:t>
      </w:r>
    </w:p>
    <w:p>
      <w:pPr>
        <w:pStyle w:val="5"/>
        <w:rPr>
          <w:rFonts w:hint="default" w:ascii="仿宋" w:hAnsi="仿宋" w:cs="宋体"/>
          <w:color w:val="auto"/>
        </w:rPr>
      </w:pPr>
      <w:bookmarkStart w:id="477" w:name="_Toc60224361"/>
      <w:bookmarkStart w:id="478" w:name="_Toc4538"/>
      <w:bookmarkStart w:id="479" w:name="_Toc109124275"/>
      <w:bookmarkStart w:id="480" w:name="_Toc25855"/>
      <w:bookmarkStart w:id="481" w:name="_Toc71191994"/>
      <w:r>
        <w:rPr>
          <w:rFonts w:ascii="仿宋" w:hAnsi="仿宋" w:cs="宋体"/>
          <w:color w:val="auto"/>
        </w:rPr>
        <w:t xml:space="preserve">7.2 </w:t>
      </w:r>
      <w:bookmarkEnd w:id="474"/>
      <w:bookmarkEnd w:id="475"/>
      <w:bookmarkEnd w:id="476"/>
      <w:r>
        <w:rPr>
          <w:rFonts w:ascii="仿宋" w:hAnsi="仿宋" w:cs="宋体"/>
          <w:color w:val="auto"/>
        </w:rPr>
        <w:t>确定中标人</w:t>
      </w:r>
      <w:bookmarkEnd w:id="477"/>
      <w:bookmarkEnd w:id="478"/>
      <w:bookmarkEnd w:id="479"/>
      <w:bookmarkEnd w:id="480"/>
      <w:bookmarkEnd w:id="481"/>
    </w:p>
    <w:p>
      <w:pPr>
        <w:widowControl/>
        <w:spacing w:line="360" w:lineRule="auto"/>
        <w:ind w:firstLine="480"/>
        <w:rPr>
          <w:rFonts w:ascii="仿宋" w:hAnsi="仿宋" w:eastAsia="仿宋" w:cs="宋体"/>
          <w:color w:val="auto"/>
          <w:sz w:val="24"/>
          <w:szCs w:val="24"/>
        </w:rPr>
      </w:pPr>
      <w:bookmarkStart w:id="482" w:name="_Toc334766960"/>
      <w:bookmarkStart w:id="483" w:name="_Toc247085726"/>
      <w:bookmarkStart w:id="484" w:name="_Toc246996955"/>
      <w:bookmarkStart w:id="485" w:name="_Toc246996212"/>
      <w:bookmarkStart w:id="486" w:name="_Toc332188206"/>
      <w:bookmarkStart w:id="487" w:name="_Toc152042344"/>
      <w:bookmarkStart w:id="488" w:name="_Toc179632586"/>
      <w:bookmarkStart w:id="489" w:name="_Toc326223573"/>
      <w:bookmarkStart w:id="490" w:name="_Toc144974536"/>
      <w:bookmarkStart w:id="491" w:name="_Toc152045568"/>
      <w:r>
        <w:rPr>
          <w:rFonts w:hint="eastAsia" w:ascii="仿宋" w:hAnsi="仿宋" w:eastAsia="仿宋" w:cs="宋体"/>
          <w:color w:val="auto"/>
          <w:sz w:val="24"/>
          <w:szCs w:val="24"/>
        </w:rPr>
        <w:t>7.2.1 除投标人须知前附表规定评标委员会直接确定中标人外，招标人根据评标委员会提出的书面评标报告和推荐的中标候选人确定中标人，中标人数量见投标人须知前附表。</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7.2.2 招标人根据评标委员会推荐的中标候选人名单排序依次确定中标人，具体中标原则见投标人须知前附表。</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7.2.3在确定中标人前，招标人不得与投标人就投标价格、投标方案等实质性内容进行谈判。</w:t>
      </w:r>
    </w:p>
    <w:p>
      <w:pPr>
        <w:widowControl/>
        <w:spacing w:line="360" w:lineRule="auto"/>
        <w:ind w:firstLine="480"/>
        <w:rPr>
          <w:rFonts w:ascii="宋体" w:hAnsi="宋体"/>
          <w:color w:val="auto"/>
          <w:szCs w:val="21"/>
        </w:rPr>
      </w:pPr>
      <w:r>
        <w:rPr>
          <w:rFonts w:hint="eastAsia" w:ascii="仿宋" w:hAnsi="仿宋" w:eastAsia="仿宋" w:cs="宋体"/>
          <w:color w:val="auto"/>
          <w:sz w:val="24"/>
          <w:szCs w:val="24"/>
        </w:rPr>
        <w:t>7</w:t>
      </w:r>
      <w:r>
        <w:rPr>
          <w:rFonts w:ascii="仿宋" w:hAnsi="仿宋" w:eastAsia="仿宋" w:cs="宋体"/>
          <w:color w:val="auto"/>
          <w:sz w:val="24"/>
          <w:szCs w:val="24"/>
        </w:rPr>
        <w:t>.2.</w:t>
      </w:r>
      <w:r>
        <w:rPr>
          <w:rFonts w:hint="eastAsia" w:ascii="仿宋" w:hAnsi="仿宋" w:eastAsia="仿宋" w:cs="宋体"/>
          <w:color w:val="auto"/>
          <w:sz w:val="24"/>
          <w:szCs w:val="24"/>
        </w:rPr>
        <w:t>4中标候选人的经营、财务状况发生较大变化或者存在违法行为，招标人认为可能影响其履约能力的，将在发出中标通知书前由原评标委员会按照招标文件规定的标准和方法审查确认。</w:t>
      </w:r>
    </w:p>
    <w:p>
      <w:pPr>
        <w:pStyle w:val="5"/>
        <w:rPr>
          <w:rFonts w:hint="default" w:ascii="仿宋" w:hAnsi="仿宋" w:cs="宋体"/>
          <w:color w:val="auto"/>
        </w:rPr>
      </w:pPr>
      <w:bookmarkStart w:id="492" w:name="_Toc60224362"/>
      <w:bookmarkStart w:id="493" w:name="_Toc8102"/>
      <w:bookmarkStart w:id="494" w:name="_Toc71191995"/>
      <w:bookmarkStart w:id="495" w:name="_Toc109124276"/>
      <w:bookmarkStart w:id="496" w:name="_Toc15904"/>
      <w:r>
        <w:rPr>
          <w:rFonts w:ascii="仿宋" w:hAnsi="仿宋" w:cs="宋体"/>
          <w:color w:val="auto"/>
        </w:rPr>
        <w:t>7.3 中标结果</w:t>
      </w:r>
      <w:bookmarkEnd w:id="492"/>
      <w:bookmarkEnd w:id="493"/>
      <w:r>
        <w:rPr>
          <w:rFonts w:ascii="仿宋" w:hAnsi="仿宋" w:cs="宋体"/>
          <w:color w:val="auto"/>
        </w:rPr>
        <w:t>公示</w:t>
      </w:r>
      <w:bookmarkEnd w:id="494"/>
      <w:bookmarkEnd w:id="495"/>
      <w:bookmarkEnd w:id="496"/>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采用公开招标方式的采购项目，应当发布中标结果公示，内容包括但不限于招标项目名称、招标人、招标代理机构、招标公告日期、中标人、中标内容及价格等基本要素。中标结果公示应与招标公告在同一渠道公开。</w:t>
      </w:r>
    </w:p>
    <w:p>
      <w:pPr>
        <w:pStyle w:val="5"/>
        <w:rPr>
          <w:rFonts w:hint="default" w:ascii="仿宋" w:hAnsi="仿宋" w:cs="宋体"/>
          <w:color w:val="auto"/>
        </w:rPr>
      </w:pPr>
      <w:bookmarkStart w:id="497" w:name="_Toc71191996"/>
      <w:bookmarkStart w:id="498" w:name="_Toc30350"/>
      <w:bookmarkStart w:id="499" w:name="_Toc24847"/>
      <w:bookmarkStart w:id="500" w:name="_Toc60224363"/>
      <w:bookmarkStart w:id="501" w:name="_Toc109124277"/>
      <w:r>
        <w:rPr>
          <w:rFonts w:ascii="仿宋" w:hAnsi="仿宋" w:cs="宋体"/>
          <w:color w:val="auto"/>
        </w:rPr>
        <w:t>7.4 中标通知</w:t>
      </w:r>
      <w:bookmarkEnd w:id="482"/>
      <w:bookmarkEnd w:id="483"/>
      <w:bookmarkEnd w:id="484"/>
      <w:bookmarkEnd w:id="485"/>
      <w:bookmarkEnd w:id="486"/>
      <w:bookmarkEnd w:id="487"/>
      <w:bookmarkEnd w:id="488"/>
      <w:bookmarkEnd w:id="489"/>
      <w:bookmarkEnd w:id="490"/>
      <w:bookmarkEnd w:id="491"/>
      <w:bookmarkEnd w:id="497"/>
      <w:bookmarkEnd w:id="498"/>
      <w:bookmarkEnd w:id="499"/>
      <w:bookmarkEnd w:id="500"/>
      <w:bookmarkEnd w:id="501"/>
    </w:p>
    <w:p>
      <w:pPr>
        <w:widowControl/>
        <w:spacing w:line="360" w:lineRule="auto"/>
        <w:ind w:firstLine="480"/>
        <w:rPr>
          <w:rFonts w:ascii="仿宋" w:hAnsi="仿宋" w:eastAsia="仿宋" w:cs="宋体"/>
          <w:color w:val="auto"/>
          <w:sz w:val="24"/>
          <w:szCs w:val="24"/>
        </w:rPr>
      </w:pPr>
      <w:bookmarkStart w:id="502" w:name="_Toc152042345"/>
      <w:bookmarkStart w:id="503" w:name="_Toc179632587"/>
      <w:bookmarkStart w:id="504" w:name="_Toc144974537"/>
      <w:bookmarkStart w:id="505" w:name="_Toc334766961"/>
      <w:bookmarkStart w:id="506" w:name="_Toc332188207"/>
      <w:bookmarkStart w:id="507" w:name="_Toc326223574"/>
      <w:bookmarkStart w:id="508" w:name="_Toc152045569"/>
      <w:bookmarkStart w:id="509" w:name="_Toc246996213"/>
      <w:bookmarkStart w:id="510" w:name="_Toc247085727"/>
      <w:bookmarkStart w:id="511" w:name="_Toc246996956"/>
      <w:r>
        <w:rPr>
          <w:rFonts w:hint="eastAsia" w:ascii="仿宋" w:hAnsi="仿宋" w:eastAsia="仿宋" w:cs="宋体"/>
          <w:color w:val="auto"/>
          <w:sz w:val="24"/>
          <w:szCs w:val="24"/>
        </w:rPr>
        <w:t>7.4.1 中标人确定后，招标人应当向中标人发出中标通知书，并同时将中标结果通知所有未中标的投标人。</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7.4.2中标通知书对招标人和中标人具有法律效力。中标通知书发出后，招标人改变中标结果的，或者中标人放弃中标项目的，应当依法承担法律责任</w:t>
      </w:r>
      <w:bookmarkStart w:id="512" w:name="_Hlk142926396"/>
      <w:r>
        <w:rPr>
          <w:rFonts w:hint="eastAsia" w:ascii="仿宋" w:hAnsi="仿宋" w:eastAsia="仿宋" w:cs="宋体"/>
          <w:color w:val="auto"/>
          <w:sz w:val="24"/>
          <w:szCs w:val="24"/>
        </w:rPr>
        <w:t>，投标保证金不予退还。投标保证金以投标保证保险方式递交的，招标人作为被保险人有权发起保证保险赔偿，保险人有权向投保人（投标人）进行等额追偿。</w:t>
      </w:r>
      <w:bookmarkEnd w:id="502"/>
      <w:bookmarkEnd w:id="503"/>
      <w:bookmarkEnd w:id="504"/>
      <w:bookmarkEnd w:id="505"/>
      <w:bookmarkEnd w:id="506"/>
      <w:bookmarkEnd w:id="507"/>
      <w:bookmarkEnd w:id="508"/>
      <w:bookmarkEnd w:id="509"/>
      <w:bookmarkEnd w:id="510"/>
      <w:bookmarkEnd w:id="511"/>
      <w:bookmarkEnd w:id="512"/>
    </w:p>
    <w:p>
      <w:pPr>
        <w:pStyle w:val="4"/>
        <w:rPr>
          <w:color w:val="auto"/>
        </w:rPr>
      </w:pPr>
      <w:bookmarkStart w:id="513" w:name="_Toc109124278"/>
      <w:bookmarkStart w:id="514" w:name="_Toc3918"/>
      <w:bookmarkStart w:id="515" w:name="_Toc32618"/>
      <w:r>
        <w:rPr>
          <w:rFonts w:hint="eastAsia"/>
          <w:color w:val="auto"/>
        </w:rPr>
        <w:t>8.合同签订</w:t>
      </w:r>
      <w:bookmarkEnd w:id="513"/>
      <w:bookmarkEnd w:id="514"/>
      <w:bookmarkEnd w:id="515"/>
    </w:p>
    <w:p>
      <w:pPr>
        <w:pStyle w:val="5"/>
        <w:rPr>
          <w:rFonts w:hint="default" w:ascii="仿宋" w:hAnsi="仿宋" w:cs="宋体"/>
          <w:color w:val="auto"/>
        </w:rPr>
      </w:pPr>
      <w:bookmarkStart w:id="516" w:name="_Toc296590983"/>
      <w:bookmarkStart w:id="517" w:name="_Toc246996962"/>
      <w:bookmarkStart w:id="518" w:name="_Toc326223577"/>
      <w:bookmarkStart w:id="519" w:name="_Toc179632593"/>
      <w:bookmarkStart w:id="520" w:name="_Toc152045575"/>
      <w:bookmarkStart w:id="521" w:name="_Toc152042351"/>
      <w:bookmarkStart w:id="522" w:name="_Toc144974543"/>
      <w:bookmarkStart w:id="523" w:name="_Toc334766964"/>
      <w:bookmarkStart w:id="524" w:name="_Toc247085733"/>
      <w:bookmarkStart w:id="525" w:name="_Toc246996219"/>
      <w:bookmarkStart w:id="526" w:name="_Toc332188210"/>
      <w:bookmarkStart w:id="527" w:name="_Toc109124279"/>
      <w:bookmarkStart w:id="528" w:name="_Toc60224365"/>
      <w:bookmarkStart w:id="529" w:name="_Toc71191998"/>
      <w:bookmarkStart w:id="530" w:name="_Toc20000"/>
      <w:bookmarkStart w:id="531" w:name="_Toc6277"/>
      <w:r>
        <w:rPr>
          <w:rFonts w:ascii="仿宋" w:hAnsi="仿宋" w:cs="宋体"/>
          <w:color w:val="auto"/>
        </w:rPr>
        <w:t xml:space="preserve">8.1 </w:t>
      </w:r>
      <w:bookmarkEnd w:id="516"/>
      <w:bookmarkEnd w:id="517"/>
      <w:bookmarkEnd w:id="518"/>
      <w:bookmarkEnd w:id="519"/>
      <w:bookmarkEnd w:id="520"/>
      <w:bookmarkEnd w:id="521"/>
      <w:bookmarkEnd w:id="522"/>
      <w:bookmarkEnd w:id="523"/>
      <w:bookmarkEnd w:id="524"/>
      <w:bookmarkEnd w:id="525"/>
      <w:bookmarkEnd w:id="526"/>
      <w:r>
        <w:rPr>
          <w:rFonts w:ascii="仿宋" w:hAnsi="仿宋" w:cs="宋体"/>
          <w:color w:val="auto"/>
        </w:rPr>
        <w:t>履约保证金</w:t>
      </w:r>
      <w:bookmarkEnd w:id="527"/>
      <w:bookmarkEnd w:id="528"/>
      <w:bookmarkEnd w:id="529"/>
      <w:bookmarkEnd w:id="530"/>
      <w:bookmarkEnd w:id="531"/>
    </w:p>
    <w:p>
      <w:pPr>
        <w:widowControl/>
        <w:spacing w:line="360" w:lineRule="auto"/>
        <w:ind w:firstLine="480"/>
        <w:rPr>
          <w:rFonts w:ascii="仿宋" w:hAnsi="仿宋" w:eastAsia="仿宋" w:cs="宋体"/>
          <w:color w:val="auto"/>
          <w:sz w:val="24"/>
          <w:szCs w:val="24"/>
        </w:rPr>
      </w:pPr>
      <w:bookmarkStart w:id="532" w:name="_Toc326223578"/>
      <w:bookmarkStart w:id="533" w:name="_Toc246996220"/>
      <w:bookmarkStart w:id="534" w:name="_Toc334766965"/>
      <w:bookmarkStart w:id="535" w:name="_Toc247085734"/>
      <w:bookmarkStart w:id="536" w:name="_Toc179632594"/>
      <w:bookmarkStart w:id="537" w:name="_Toc332188211"/>
      <w:bookmarkStart w:id="538" w:name="_Toc144974544"/>
      <w:bookmarkStart w:id="539" w:name="_Toc152045576"/>
      <w:bookmarkStart w:id="540" w:name="_Toc152042352"/>
      <w:bookmarkStart w:id="541" w:name="_Toc246996963"/>
      <w:r>
        <w:rPr>
          <w:rFonts w:hint="eastAsia" w:ascii="仿宋" w:hAnsi="仿宋" w:eastAsia="仿宋" w:cs="宋体"/>
          <w:color w:val="auto"/>
          <w:sz w:val="24"/>
          <w:szCs w:val="24"/>
        </w:rPr>
        <w:t>8.1.1 招标文件要求中标人提交履约保证金的，中标人应当提交中标人应当按照招标文件的要求提交。履约保证金不得超过中标合同金额的10%。履约保证金金额和方式见投标人须知前附表。</w:t>
      </w:r>
    </w:p>
    <w:p>
      <w:pPr>
        <w:widowControl/>
        <w:spacing w:line="360" w:lineRule="auto"/>
        <w:ind w:firstLine="480"/>
        <w:rPr>
          <w:rFonts w:ascii="仿宋" w:hAnsi="仿宋" w:eastAsia="仿宋" w:cs="宋体"/>
          <w:color w:val="auto"/>
          <w:sz w:val="24"/>
          <w:szCs w:val="24"/>
        </w:rPr>
      </w:pPr>
      <w:bookmarkStart w:id="542" w:name="_Hlk142926410"/>
      <w:r>
        <w:rPr>
          <w:rFonts w:hint="eastAsia" w:ascii="仿宋" w:hAnsi="仿宋" w:eastAsia="仿宋" w:cs="宋体"/>
          <w:color w:val="auto"/>
          <w:sz w:val="24"/>
          <w:szCs w:val="24"/>
        </w:rPr>
        <w:t>8.1.2中标人不按照招标文件要求提交履约保证金的，取消其中标资格，投标保证金不予退还。投标保证金以投标保证保险方式递交的，招标人作为被保险人有权发起保证保险赔偿，保险人有权向投保人（投标人）进行等额追偿。</w:t>
      </w:r>
      <w:bookmarkEnd w:id="542"/>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8</w:t>
      </w:r>
      <w:r>
        <w:rPr>
          <w:rFonts w:ascii="仿宋" w:hAnsi="仿宋" w:eastAsia="仿宋" w:cs="宋体"/>
          <w:color w:val="auto"/>
          <w:sz w:val="24"/>
          <w:szCs w:val="24"/>
        </w:rPr>
        <w:t>.1.3中标人不履行与招标人订立的合同的，履约保证金不予退还，给招标人造成的损失超过履约保证金数额的，还应当对超过部分予以赔偿；没有提交履约保证金的，应当对招标人的损失承担赔偿责任。</w:t>
      </w:r>
    </w:p>
    <w:p>
      <w:pPr>
        <w:pStyle w:val="5"/>
        <w:rPr>
          <w:rFonts w:hint="default" w:ascii="仿宋" w:hAnsi="仿宋" w:cs="宋体"/>
          <w:color w:val="auto"/>
        </w:rPr>
      </w:pPr>
      <w:bookmarkStart w:id="543" w:name="_Toc71191999"/>
      <w:bookmarkStart w:id="544" w:name="_Toc109124280"/>
      <w:bookmarkStart w:id="545" w:name="_Toc18661"/>
      <w:bookmarkStart w:id="546" w:name="_Toc23774"/>
      <w:bookmarkStart w:id="547" w:name="_Toc60224366"/>
      <w:r>
        <w:rPr>
          <w:rFonts w:ascii="仿宋" w:hAnsi="仿宋" w:cs="宋体"/>
          <w:color w:val="auto"/>
        </w:rPr>
        <w:t xml:space="preserve">8.2 </w:t>
      </w:r>
      <w:bookmarkEnd w:id="532"/>
      <w:bookmarkEnd w:id="533"/>
      <w:bookmarkEnd w:id="534"/>
      <w:bookmarkEnd w:id="535"/>
      <w:bookmarkEnd w:id="536"/>
      <w:bookmarkEnd w:id="537"/>
      <w:bookmarkEnd w:id="538"/>
      <w:bookmarkEnd w:id="539"/>
      <w:bookmarkEnd w:id="540"/>
      <w:bookmarkEnd w:id="541"/>
      <w:r>
        <w:rPr>
          <w:rFonts w:ascii="仿宋" w:hAnsi="仿宋" w:cs="宋体"/>
          <w:color w:val="auto"/>
        </w:rPr>
        <w:t>合同签订</w:t>
      </w:r>
      <w:bookmarkEnd w:id="543"/>
      <w:bookmarkEnd w:id="544"/>
      <w:bookmarkEnd w:id="545"/>
      <w:bookmarkEnd w:id="546"/>
      <w:bookmarkEnd w:id="547"/>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8.2.1 招标人和中标人应当自中标通知书发出之日起30日内，按照招标文件和中标人的投标文件订立书面合同。合同的标的、价款、质量、履行期限等主要条款应当与招标文件和中标人的投标文件的内容一致。招标人和中标人不得再行订立背离合同实质性内容的其他协议。</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8.2.2中标人无正当理由不与招标人订立合同，在签订合同时向招标人提出附加条件或要求变更实质性合同条款的，取消其中标资格，投标保证金不予退还。投标保证金以投标保证保险方式递交的，招标人作为被保险人有权发起保证保险赔偿，保险人有权向投保人（投标人）进行等额追偿。</w:t>
      </w:r>
      <w:bookmarkStart w:id="548" w:name="_Toc152045580"/>
      <w:bookmarkStart w:id="549" w:name="_Toc246996967"/>
      <w:bookmarkStart w:id="550" w:name="_Toc144974547"/>
      <w:bookmarkStart w:id="551" w:name="_Toc179632598"/>
      <w:bookmarkStart w:id="552" w:name="_Toc246996224"/>
      <w:bookmarkStart w:id="553" w:name="_Toc152042357"/>
      <w:bookmarkStart w:id="554" w:name="_Toc247085738"/>
      <w:bookmarkStart w:id="555" w:name="_Toc31639"/>
      <w:bookmarkStart w:id="556" w:name="_Toc109124281"/>
      <w:bookmarkStart w:id="557" w:name="_Toc23625"/>
    </w:p>
    <w:p>
      <w:pPr>
        <w:widowControl/>
        <w:spacing w:line="360" w:lineRule="auto"/>
        <w:ind w:firstLine="482"/>
        <w:rPr>
          <w:rFonts w:ascii="仿宋" w:hAnsi="仿宋" w:eastAsia="仿宋" w:cs="宋体"/>
          <w:b/>
          <w:color w:val="auto"/>
          <w:sz w:val="24"/>
        </w:rPr>
      </w:pPr>
      <w:r>
        <w:rPr>
          <w:rStyle w:val="208"/>
          <w:rFonts w:hint="eastAsia"/>
          <w:color w:val="auto"/>
        </w:rPr>
        <w:t>9</w:t>
      </w:r>
      <w:bookmarkEnd w:id="548"/>
      <w:bookmarkEnd w:id="549"/>
      <w:bookmarkEnd w:id="550"/>
      <w:bookmarkEnd w:id="551"/>
      <w:bookmarkEnd w:id="552"/>
      <w:bookmarkEnd w:id="553"/>
      <w:bookmarkEnd w:id="554"/>
      <w:r>
        <w:rPr>
          <w:rStyle w:val="208"/>
          <w:rFonts w:hint="eastAsia"/>
          <w:color w:val="auto"/>
        </w:rPr>
        <w:t>.招标代理服务费</w:t>
      </w:r>
      <w:bookmarkEnd w:id="555"/>
      <w:bookmarkEnd w:id="556"/>
      <w:bookmarkEnd w:id="557"/>
      <w:r>
        <w:rPr>
          <w:rFonts w:hint="eastAsia" w:ascii="仿宋" w:hAnsi="仿宋" w:eastAsia="仿宋" w:cs="宋体"/>
          <w:b/>
          <w:color w:val="auto"/>
          <w:sz w:val="24"/>
        </w:rPr>
        <w:tab/>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中标人应当按照招标文件规定交纳招标代理服务费，招标人和招标代理机构另有约定的从其规定。招标代理服务费的金额、形式及交纳时限见投标人须知前附表。</w:t>
      </w:r>
    </w:p>
    <w:p>
      <w:pPr>
        <w:pStyle w:val="4"/>
        <w:rPr>
          <w:color w:val="auto"/>
        </w:rPr>
      </w:pPr>
      <w:bookmarkStart w:id="558" w:name="_Toc24687"/>
      <w:bookmarkStart w:id="559" w:name="_Toc109124282"/>
      <w:bookmarkStart w:id="560" w:name="_Toc18001"/>
      <w:r>
        <w:rPr>
          <w:rFonts w:hint="eastAsia"/>
          <w:color w:val="auto"/>
        </w:rPr>
        <w:t>10.纪律和监督</w:t>
      </w:r>
      <w:bookmarkEnd w:id="558"/>
      <w:bookmarkEnd w:id="559"/>
      <w:bookmarkEnd w:id="560"/>
    </w:p>
    <w:p>
      <w:pPr>
        <w:pStyle w:val="5"/>
        <w:rPr>
          <w:rFonts w:hint="default" w:ascii="仿宋" w:hAnsi="仿宋" w:cs="宋体"/>
          <w:color w:val="auto"/>
        </w:rPr>
      </w:pPr>
      <w:bookmarkStart w:id="561" w:name="_Toc18766"/>
      <w:bookmarkStart w:id="562" w:name="_Toc71192002"/>
      <w:bookmarkStart w:id="563" w:name="_Toc60224369"/>
      <w:bookmarkStart w:id="564" w:name="_Toc109124283"/>
      <w:bookmarkStart w:id="565" w:name="_Toc9807"/>
      <w:r>
        <w:rPr>
          <w:rFonts w:ascii="仿宋" w:hAnsi="仿宋" w:cs="宋体"/>
          <w:color w:val="auto"/>
        </w:rPr>
        <w:t>10.1 对招标人的纪律要求</w:t>
      </w:r>
      <w:bookmarkEnd w:id="561"/>
      <w:bookmarkEnd w:id="562"/>
      <w:bookmarkEnd w:id="563"/>
      <w:bookmarkEnd w:id="564"/>
      <w:bookmarkEnd w:id="565"/>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10.1.1招标人不得向他人透露已获取招标文件的潜在投标人的名称、数量以及可能影响公平竞争的有关招标投标的其他情况。招标人设有标底的，标底必须保密。</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10.1.2招标人不得向评标委员会明示或者暗示其倾向或者排斥特定投标人。不得透露对投标文件的评审和比较、中标候选人的推荐情况以及评标有关的其他情况</w:t>
      </w:r>
    </w:p>
    <w:p>
      <w:pPr>
        <w:widowControl/>
        <w:spacing w:line="360" w:lineRule="auto"/>
        <w:ind w:firstLine="480"/>
        <w:rPr>
          <w:rFonts w:ascii="仿宋" w:hAnsi="仿宋" w:eastAsia="仿宋" w:cs="宋体"/>
          <w:color w:val="auto"/>
          <w:sz w:val="24"/>
          <w:szCs w:val="24"/>
        </w:rPr>
      </w:pPr>
      <w:r>
        <w:rPr>
          <w:rFonts w:ascii="仿宋" w:hAnsi="仿宋" w:eastAsia="仿宋" w:cs="宋体"/>
          <w:color w:val="auto"/>
          <w:sz w:val="24"/>
          <w:szCs w:val="24"/>
        </w:rPr>
        <w:t>10.1.3</w:t>
      </w:r>
      <w:r>
        <w:rPr>
          <w:rFonts w:hint="eastAsia" w:ascii="仿宋" w:hAnsi="仿宋" w:eastAsia="仿宋" w:cs="宋体"/>
          <w:color w:val="auto"/>
          <w:sz w:val="24"/>
          <w:szCs w:val="24"/>
        </w:rPr>
        <w:t>招标人不得与投标人串通投标，损害国家利益、社会公共利益或者他人合法权益。</w:t>
      </w:r>
    </w:p>
    <w:p>
      <w:pPr>
        <w:pStyle w:val="5"/>
        <w:rPr>
          <w:rFonts w:hint="default" w:ascii="仿宋" w:hAnsi="仿宋" w:cs="宋体"/>
          <w:color w:val="auto"/>
        </w:rPr>
      </w:pPr>
      <w:bookmarkStart w:id="566" w:name="_Toc71192003"/>
      <w:bookmarkStart w:id="567" w:name="_Toc26437"/>
      <w:bookmarkStart w:id="568" w:name="_Toc60224370"/>
      <w:bookmarkStart w:id="569" w:name="_Toc24046"/>
      <w:bookmarkStart w:id="570" w:name="_Toc109124284"/>
      <w:r>
        <w:rPr>
          <w:rFonts w:ascii="仿宋" w:hAnsi="仿宋" w:cs="宋体"/>
          <w:color w:val="auto"/>
        </w:rPr>
        <w:t>10.2 对投标人的纪律要求</w:t>
      </w:r>
      <w:bookmarkEnd w:id="566"/>
      <w:bookmarkEnd w:id="567"/>
      <w:bookmarkEnd w:id="568"/>
      <w:bookmarkEnd w:id="569"/>
      <w:bookmarkEnd w:id="570"/>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0.2.1</w:t>
      </w:r>
      <w:r>
        <w:rPr>
          <w:rFonts w:hint="eastAsia" w:ascii="仿宋" w:hAnsi="仿宋" w:eastAsia="仿宋" w:cs="宋体"/>
          <w:color w:val="auto"/>
          <w:sz w:val="24"/>
          <w:szCs w:val="24"/>
        </w:rPr>
        <w:t>投标人不得相互串通投标，</w:t>
      </w:r>
      <w:r>
        <w:rPr>
          <w:rFonts w:ascii="仿宋" w:hAnsi="仿宋" w:eastAsia="仿宋" w:cs="宋体"/>
          <w:color w:val="auto"/>
          <w:sz w:val="24"/>
          <w:szCs w:val="24"/>
        </w:rPr>
        <w:t>不得排挤其他投标人的公平竞争，损害招标人或者其他投标人的合法权益。</w:t>
      </w:r>
    </w:p>
    <w:p>
      <w:pPr>
        <w:pStyle w:val="38"/>
        <w:ind w:firstLine="480"/>
        <w:rPr>
          <w:rFonts w:ascii="仿宋" w:hAnsi="仿宋" w:eastAsia="仿宋"/>
          <w:color w:val="auto"/>
        </w:rPr>
      </w:pPr>
      <w:r>
        <w:rPr>
          <w:rFonts w:hint="eastAsia" w:ascii="仿宋" w:hAnsi="仿宋" w:eastAsia="仿宋" w:cs="宋体"/>
          <w:color w:val="auto"/>
          <w:szCs w:val="24"/>
        </w:rPr>
        <w:t>1</w:t>
      </w:r>
      <w:r>
        <w:rPr>
          <w:rFonts w:ascii="仿宋" w:hAnsi="仿宋" w:eastAsia="仿宋" w:cs="宋体"/>
          <w:color w:val="auto"/>
          <w:szCs w:val="24"/>
        </w:rPr>
        <w:t>0.2.2</w:t>
      </w:r>
      <w:r>
        <w:rPr>
          <w:rFonts w:hint="eastAsia" w:ascii="仿宋" w:hAnsi="仿宋" w:eastAsia="仿宋" w:cs="宋体"/>
          <w:color w:val="auto"/>
          <w:szCs w:val="24"/>
        </w:rPr>
        <w:t>投标人不得与招标人串通投标，</w:t>
      </w:r>
      <w:r>
        <w:rPr>
          <w:rFonts w:ascii="仿宋" w:hAnsi="仿宋" w:eastAsia="仿宋"/>
          <w:color w:val="auto"/>
        </w:rPr>
        <w:t>损害国家利益、社会公共利益或者他人的合法权益。</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0.2.3</w:t>
      </w:r>
      <w:r>
        <w:rPr>
          <w:rFonts w:hint="eastAsia" w:ascii="仿宋" w:hAnsi="仿宋" w:eastAsia="仿宋" w:cs="宋体"/>
          <w:color w:val="auto"/>
          <w:sz w:val="24"/>
          <w:szCs w:val="24"/>
        </w:rPr>
        <w:t>禁止投标人以向招标人或者评标委员会成员行贿的手段谋取中标。</w:t>
      </w:r>
    </w:p>
    <w:p>
      <w:pPr>
        <w:widowControl/>
        <w:spacing w:line="360" w:lineRule="auto"/>
        <w:ind w:firstLine="480"/>
        <w:rPr>
          <w:rFonts w:ascii="仿宋" w:hAnsi="仿宋" w:eastAsia="仿宋" w:cs="宋体"/>
          <w:color w:val="auto"/>
          <w:sz w:val="24"/>
          <w:szCs w:val="24"/>
        </w:rPr>
      </w:pPr>
      <w:r>
        <w:rPr>
          <w:rFonts w:ascii="仿宋" w:hAnsi="仿宋" w:eastAsia="仿宋" w:cs="宋体"/>
          <w:color w:val="auto"/>
          <w:sz w:val="24"/>
          <w:szCs w:val="24"/>
        </w:rPr>
        <w:t>10.2.4</w:t>
      </w:r>
      <w:r>
        <w:rPr>
          <w:rFonts w:hint="eastAsia" w:ascii="仿宋" w:hAnsi="仿宋" w:eastAsia="仿宋" w:cs="宋体"/>
          <w:color w:val="auto"/>
          <w:sz w:val="24"/>
          <w:szCs w:val="24"/>
        </w:rPr>
        <w:t>投标人不得以低于成本的报价竞标，不得以他人名义投标或者以其他方式弄虚作假，骗取中标。</w:t>
      </w:r>
    </w:p>
    <w:p>
      <w:pPr>
        <w:widowControl/>
        <w:spacing w:line="360" w:lineRule="auto"/>
        <w:ind w:firstLine="480"/>
        <w:rPr>
          <w:rFonts w:ascii="仿宋" w:hAnsi="仿宋" w:eastAsia="仿宋" w:cs="宋体"/>
          <w:color w:val="auto"/>
          <w:sz w:val="24"/>
          <w:szCs w:val="24"/>
        </w:rPr>
      </w:pPr>
      <w:r>
        <w:rPr>
          <w:rFonts w:ascii="仿宋" w:hAnsi="仿宋" w:eastAsia="仿宋" w:cs="宋体"/>
          <w:color w:val="auto"/>
          <w:sz w:val="24"/>
          <w:szCs w:val="24"/>
        </w:rPr>
        <w:t>10.2.5</w:t>
      </w:r>
      <w:r>
        <w:rPr>
          <w:rFonts w:hint="eastAsia" w:ascii="仿宋" w:hAnsi="仿宋" w:eastAsia="仿宋" w:cs="宋体"/>
          <w:color w:val="auto"/>
          <w:sz w:val="24"/>
          <w:szCs w:val="24"/>
        </w:rPr>
        <w:t>投标人不得非法干扰、影响评标的过程和结果。</w:t>
      </w:r>
    </w:p>
    <w:p>
      <w:pPr>
        <w:pStyle w:val="5"/>
        <w:rPr>
          <w:rFonts w:hint="default" w:ascii="仿宋" w:hAnsi="仿宋" w:cs="宋体"/>
          <w:color w:val="auto"/>
        </w:rPr>
      </w:pPr>
      <w:bookmarkStart w:id="571" w:name="_Toc109124285"/>
      <w:bookmarkStart w:id="572" w:name="_Toc71192004"/>
      <w:bookmarkStart w:id="573" w:name="_Toc4098"/>
      <w:bookmarkStart w:id="574" w:name="_Toc60224371"/>
      <w:bookmarkStart w:id="575" w:name="_Toc12807"/>
      <w:r>
        <w:rPr>
          <w:rFonts w:ascii="仿宋" w:hAnsi="仿宋" w:cs="宋体"/>
          <w:color w:val="auto"/>
        </w:rPr>
        <w:t>10.3 对评标委员会成员的纪律要求</w:t>
      </w:r>
      <w:bookmarkEnd w:id="571"/>
      <w:bookmarkEnd w:id="572"/>
      <w:bookmarkEnd w:id="573"/>
      <w:bookmarkEnd w:id="574"/>
      <w:bookmarkEnd w:id="575"/>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10.3.1评标委员会成员应当客观、公正地履行职务，遵守职业道德，对所提出的评审意见承担个人责任。</w:t>
      </w:r>
    </w:p>
    <w:p>
      <w:pPr>
        <w:widowControl/>
        <w:spacing w:line="360" w:lineRule="auto"/>
        <w:ind w:firstLine="480"/>
        <w:rPr>
          <w:rFonts w:ascii="仿宋" w:hAnsi="仿宋" w:eastAsia="仿宋" w:cs="宋体"/>
          <w:color w:val="auto"/>
          <w:sz w:val="24"/>
          <w:szCs w:val="24"/>
        </w:rPr>
      </w:pPr>
      <w:r>
        <w:rPr>
          <w:rFonts w:ascii="仿宋" w:hAnsi="仿宋" w:eastAsia="仿宋" w:cs="宋体"/>
          <w:color w:val="auto"/>
          <w:sz w:val="24"/>
          <w:szCs w:val="24"/>
        </w:rPr>
        <w:t>10.3.2</w:t>
      </w:r>
      <w:r>
        <w:rPr>
          <w:rFonts w:hint="eastAsia" w:ascii="仿宋" w:hAnsi="仿宋" w:eastAsia="仿宋" w:cs="宋体"/>
          <w:color w:val="auto"/>
          <w:sz w:val="24"/>
          <w:szCs w:val="24"/>
        </w:rPr>
        <w:t>评标委员会成员</w:t>
      </w:r>
      <w:r>
        <w:rPr>
          <w:rFonts w:ascii="仿宋" w:hAnsi="仿宋" w:eastAsia="仿宋" w:cs="宋体"/>
          <w:color w:val="auto"/>
          <w:sz w:val="24"/>
          <w:szCs w:val="24"/>
        </w:rPr>
        <w:t>与投标人有利害关系的</w:t>
      </w:r>
      <w:r>
        <w:rPr>
          <w:rFonts w:hint="eastAsia" w:ascii="仿宋" w:hAnsi="仿宋" w:eastAsia="仿宋" w:cs="宋体"/>
          <w:color w:val="auto"/>
          <w:sz w:val="24"/>
          <w:szCs w:val="24"/>
        </w:rPr>
        <w:t>，应当主动回避，</w:t>
      </w:r>
      <w:r>
        <w:rPr>
          <w:rFonts w:ascii="仿宋" w:hAnsi="仿宋" w:eastAsia="仿宋" w:cs="宋体"/>
          <w:color w:val="auto"/>
          <w:sz w:val="24"/>
          <w:szCs w:val="24"/>
        </w:rPr>
        <w:t>不得进入相关项目的评标委员会</w:t>
      </w:r>
      <w:r>
        <w:rPr>
          <w:rFonts w:hint="eastAsia" w:ascii="仿宋" w:hAnsi="仿宋" w:eastAsia="仿宋" w:cs="宋体"/>
          <w:color w:val="auto"/>
          <w:sz w:val="24"/>
          <w:szCs w:val="24"/>
        </w:rPr>
        <w:t>，</w:t>
      </w:r>
      <w:r>
        <w:rPr>
          <w:rFonts w:ascii="仿宋" w:hAnsi="仿宋" w:eastAsia="仿宋" w:cs="宋体"/>
          <w:color w:val="auto"/>
          <w:sz w:val="24"/>
          <w:szCs w:val="24"/>
        </w:rPr>
        <w:t>已经进入的应当更换。</w:t>
      </w:r>
    </w:p>
    <w:p>
      <w:pPr>
        <w:widowControl/>
        <w:spacing w:line="360" w:lineRule="auto"/>
        <w:ind w:firstLine="480"/>
        <w:rPr>
          <w:rFonts w:ascii="仿宋" w:hAnsi="仿宋" w:eastAsia="仿宋" w:cs="宋体"/>
          <w:color w:val="auto"/>
          <w:sz w:val="24"/>
          <w:szCs w:val="24"/>
        </w:rPr>
      </w:pPr>
      <w:r>
        <w:rPr>
          <w:rFonts w:ascii="仿宋" w:hAnsi="仿宋" w:eastAsia="仿宋" w:cs="宋体"/>
          <w:color w:val="auto"/>
          <w:sz w:val="24"/>
          <w:szCs w:val="24"/>
        </w:rPr>
        <w:t>10.</w:t>
      </w:r>
      <w:r>
        <w:rPr>
          <w:rFonts w:hint="eastAsia" w:ascii="仿宋" w:hAnsi="仿宋" w:eastAsia="仿宋" w:cs="宋体"/>
          <w:color w:val="auto"/>
          <w:sz w:val="24"/>
          <w:szCs w:val="24"/>
        </w:rPr>
        <w:t>3</w:t>
      </w:r>
      <w:r>
        <w:rPr>
          <w:rFonts w:ascii="仿宋" w:hAnsi="仿宋" w:eastAsia="仿宋" w:cs="宋体"/>
          <w:color w:val="auto"/>
          <w:sz w:val="24"/>
          <w:szCs w:val="24"/>
        </w:rPr>
        <w:t>.3</w:t>
      </w:r>
      <w:r>
        <w:rPr>
          <w:rFonts w:hint="eastAsia" w:ascii="仿宋" w:hAnsi="仿宋" w:eastAsia="仿宋" w:cs="宋体"/>
          <w:color w:val="auto"/>
          <w:sz w:val="24"/>
          <w:szCs w:val="24"/>
        </w:rPr>
        <w:t>评标委员会成员不得私下接触投标人，不得收受投标人给予的财物或者其他好处。</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0.3.4</w:t>
      </w:r>
      <w:r>
        <w:rPr>
          <w:rFonts w:hint="eastAsia" w:ascii="仿宋" w:hAnsi="仿宋" w:eastAsia="仿宋" w:cs="宋体"/>
          <w:color w:val="auto"/>
          <w:sz w:val="24"/>
          <w:szCs w:val="24"/>
        </w:rPr>
        <w:t>评标委员会成员不得透露对投标文件的评审和比较、中标候选人的推荐情况以及与评标有关的其他情况。</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10.3.</w:t>
      </w:r>
      <w:r>
        <w:rPr>
          <w:rFonts w:ascii="仿宋" w:hAnsi="仿宋" w:eastAsia="仿宋" w:cs="宋体"/>
          <w:color w:val="auto"/>
          <w:sz w:val="24"/>
          <w:szCs w:val="24"/>
        </w:rPr>
        <w:t>5</w:t>
      </w:r>
      <w:r>
        <w:rPr>
          <w:rFonts w:hint="eastAsia" w:ascii="仿宋" w:hAnsi="仿宋" w:eastAsia="仿宋" w:cs="宋体"/>
          <w:color w:val="auto"/>
          <w:sz w:val="24"/>
          <w:szCs w:val="24"/>
        </w:rPr>
        <w:t>评标委员会成员不得按照招标文件规定外的评标标准和方法进行评标，不得向招标人征询确定中标人的意向，不得接受任何单位或者个人明示或者暗示提出的倾向或者排斥特定投标人的要求，不得对依法应当否决的投标不提出否决意见。</w:t>
      </w:r>
    </w:p>
    <w:p>
      <w:pPr>
        <w:widowControl/>
        <w:spacing w:line="360" w:lineRule="auto"/>
        <w:ind w:firstLine="480"/>
        <w:rPr>
          <w:rFonts w:ascii="仿宋" w:hAnsi="仿宋" w:eastAsia="仿宋" w:cs="宋体"/>
          <w:color w:val="auto"/>
          <w:sz w:val="24"/>
          <w:szCs w:val="24"/>
        </w:rPr>
      </w:pPr>
      <w:r>
        <w:rPr>
          <w:rFonts w:ascii="仿宋" w:hAnsi="仿宋" w:eastAsia="仿宋" w:cs="宋体"/>
          <w:color w:val="auto"/>
          <w:sz w:val="24"/>
          <w:szCs w:val="24"/>
        </w:rPr>
        <w:t>10.3.6</w:t>
      </w:r>
      <w:r>
        <w:rPr>
          <w:rFonts w:hint="eastAsia" w:ascii="仿宋" w:hAnsi="仿宋" w:eastAsia="仿宋" w:cs="宋体"/>
          <w:color w:val="auto"/>
          <w:sz w:val="24"/>
          <w:szCs w:val="24"/>
        </w:rPr>
        <w:t>评标委员会成员不得暗示或者诱导投标人作出澄清、说明，不得接受投标人主动提出的澄清、说明。</w:t>
      </w:r>
    </w:p>
    <w:p>
      <w:pPr>
        <w:pStyle w:val="5"/>
        <w:rPr>
          <w:rFonts w:hint="default" w:ascii="仿宋" w:hAnsi="仿宋" w:cs="宋体"/>
          <w:color w:val="auto"/>
        </w:rPr>
      </w:pPr>
      <w:bookmarkStart w:id="576" w:name="_Toc16571"/>
      <w:bookmarkStart w:id="577" w:name="_Toc26531"/>
      <w:bookmarkStart w:id="578" w:name="_Toc71192005"/>
      <w:bookmarkStart w:id="579" w:name="_Toc109124286"/>
      <w:bookmarkStart w:id="580" w:name="_Toc60224372"/>
      <w:r>
        <w:rPr>
          <w:rFonts w:ascii="仿宋" w:hAnsi="仿宋" w:cs="宋体"/>
          <w:color w:val="auto"/>
        </w:rPr>
        <w:t>10.4 对招标代理机构的纪律要求</w:t>
      </w:r>
      <w:bookmarkEnd w:id="576"/>
      <w:bookmarkEnd w:id="577"/>
      <w:bookmarkEnd w:id="578"/>
      <w:bookmarkEnd w:id="579"/>
      <w:bookmarkEnd w:id="580"/>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w:t>
      </w:r>
      <w:r>
        <w:rPr>
          <w:rFonts w:ascii="仿宋" w:hAnsi="仿宋" w:eastAsia="仿宋" w:cs="宋体"/>
          <w:color w:val="auto"/>
          <w:sz w:val="24"/>
          <w:szCs w:val="24"/>
        </w:rPr>
        <w:t>0.4.1</w:t>
      </w:r>
      <w:r>
        <w:rPr>
          <w:rFonts w:hint="eastAsia" w:ascii="仿宋" w:hAnsi="仿宋" w:eastAsia="仿宋" w:cs="宋体"/>
          <w:color w:val="auto"/>
          <w:sz w:val="24"/>
          <w:szCs w:val="24"/>
        </w:rPr>
        <w:t>招标代理机构不得泄露应当保密的与招标投标活动有关的情况和资料，不得向他人透露对投标文件的评审和比较、中标候选人的推荐情况以及评标有关的其他情况，不得与招标人、投标人串通损害国家利益、社会公共利益或者他人合法权益。</w:t>
      </w:r>
    </w:p>
    <w:p>
      <w:pPr>
        <w:widowControl/>
        <w:spacing w:line="360" w:lineRule="auto"/>
        <w:ind w:firstLine="480"/>
        <w:rPr>
          <w:rFonts w:ascii="仿宋" w:hAnsi="仿宋" w:eastAsia="仿宋" w:cs="宋体"/>
          <w:color w:val="auto"/>
          <w:sz w:val="24"/>
          <w:szCs w:val="24"/>
        </w:rPr>
      </w:pPr>
      <w:r>
        <w:rPr>
          <w:rFonts w:ascii="仿宋" w:hAnsi="仿宋" w:eastAsia="仿宋" w:cs="宋体"/>
          <w:color w:val="auto"/>
          <w:sz w:val="24"/>
          <w:szCs w:val="24"/>
        </w:rPr>
        <w:t>10.4.2</w:t>
      </w:r>
      <w:r>
        <w:rPr>
          <w:rFonts w:hint="eastAsia" w:ascii="仿宋" w:hAnsi="仿宋" w:eastAsia="仿宋" w:cs="宋体"/>
          <w:color w:val="auto"/>
          <w:sz w:val="24"/>
          <w:szCs w:val="24"/>
        </w:rPr>
        <w:t>招标代理机构不得在所代理的招标项目中投标、代理投标，不得为所代理的招标项目的投标人编制投标文件、提供咨询，不得接受委托编制标底的中介机构参加受托编制标底项目的投标。</w:t>
      </w:r>
    </w:p>
    <w:p>
      <w:pPr>
        <w:pStyle w:val="5"/>
        <w:rPr>
          <w:rFonts w:hint="default" w:ascii="仿宋" w:hAnsi="仿宋" w:cs="宋体"/>
          <w:color w:val="auto"/>
        </w:rPr>
      </w:pPr>
      <w:bookmarkStart w:id="581" w:name="_Toc28887"/>
      <w:bookmarkStart w:id="582" w:name="_Toc71192006"/>
      <w:bookmarkStart w:id="583" w:name="_Toc109124287"/>
      <w:bookmarkStart w:id="584" w:name="_Toc60224373"/>
      <w:bookmarkStart w:id="585" w:name="_Toc27943"/>
      <w:r>
        <w:rPr>
          <w:rFonts w:ascii="仿宋" w:hAnsi="仿宋" w:cs="宋体"/>
          <w:color w:val="auto"/>
        </w:rPr>
        <w:t>10.5 对与评标活动有关的工作人员的纪律要求</w:t>
      </w:r>
      <w:bookmarkEnd w:id="581"/>
      <w:bookmarkEnd w:id="582"/>
      <w:bookmarkEnd w:id="583"/>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与评标活动有关的工作人员不得向他人透露对投标文件的评审和比较、中标候选人的推荐情况以及与评标有关的其他情况。</w:t>
      </w:r>
      <w:bookmarkEnd w:id="584"/>
      <w:bookmarkEnd w:id="585"/>
    </w:p>
    <w:p>
      <w:pPr>
        <w:pStyle w:val="4"/>
        <w:numPr>
          <w:ilvl w:val="0"/>
          <w:numId w:val="1"/>
        </w:numPr>
        <w:rPr>
          <w:color w:val="auto"/>
        </w:rPr>
      </w:pPr>
      <w:bookmarkStart w:id="586" w:name="_Toc5195"/>
      <w:bookmarkStart w:id="587" w:name="_Toc29072"/>
      <w:bookmarkStart w:id="588" w:name="_Toc71192010"/>
      <w:r>
        <w:rPr>
          <w:rFonts w:hint="eastAsia"/>
          <w:color w:val="auto"/>
        </w:rPr>
        <w:t>需要补充的其他内容</w:t>
      </w:r>
      <w:bookmarkEnd w:id="586"/>
      <w:bookmarkEnd w:id="587"/>
      <w:bookmarkEnd w:id="588"/>
    </w:p>
    <w:p>
      <w:pPr>
        <w:widowControl/>
        <w:spacing w:line="360" w:lineRule="auto"/>
        <w:ind w:firstLine="480"/>
        <w:rPr>
          <w:rFonts w:ascii="仿宋" w:hAnsi="仿宋" w:eastAsia="仿宋" w:cs="宋体"/>
          <w:color w:val="auto"/>
        </w:rPr>
      </w:pPr>
      <w:r>
        <w:rPr>
          <w:rFonts w:hint="eastAsia" w:ascii="仿宋" w:hAnsi="仿宋" w:eastAsia="仿宋" w:cs="宋体"/>
          <w:color w:val="auto"/>
          <w:sz w:val="24"/>
          <w:szCs w:val="24"/>
        </w:rPr>
        <w:t>需要补充的其他内容：见投标人须知前附表。</w:t>
      </w:r>
    </w:p>
    <w:p>
      <w:pPr>
        <w:widowControl/>
        <w:spacing w:line="360" w:lineRule="auto"/>
        <w:ind w:firstLine="480"/>
        <w:rPr>
          <w:rFonts w:ascii="仿宋" w:hAnsi="仿宋" w:eastAsia="仿宋" w:cs="宋体"/>
          <w:color w:val="auto"/>
        </w:rPr>
      </w:pPr>
    </w:p>
    <w:p>
      <w:pPr>
        <w:spacing w:before="120" w:after="120"/>
        <w:rPr>
          <w:rFonts w:ascii="仿宋" w:hAnsi="仿宋" w:eastAsia="仿宋" w:cs="宋体"/>
          <w:b/>
          <w:color w:val="auto"/>
          <w:sz w:val="24"/>
        </w:rPr>
      </w:pPr>
    </w:p>
    <w:p>
      <w:pPr>
        <w:pStyle w:val="3"/>
        <w:spacing w:before="0" w:after="0" w:line="480" w:lineRule="auto"/>
        <w:rPr>
          <w:rFonts w:ascii="仿宋" w:hAnsi="仿宋" w:cs="宋体"/>
          <w:color w:val="auto"/>
        </w:rPr>
      </w:pPr>
      <w:r>
        <w:rPr>
          <w:rFonts w:hint="eastAsia" w:ascii="仿宋" w:hAnsi="仿宋" w:cs="宋体"/>
          <w:b w:val="0"/>
          <w:color w:val="auto"/>
          <w:sz w:val="32"/>
        </w:rPr>
        <w:br w:type="page" w:clear="all"/>
      </w:r>
      <w:bookmarkEnd w:id="92"/>
      <w:bookmarkEnd w:id="93"/>
      <w:bookmarkStart w:id="589" w:name="_Toc246996241"/>
      <w:bookmarkStart w:id="590" w:name="_Toc152045598"/>
      <w:bookmarkStart w:id="591" w:name="_Toc30018"/>
      <w:bookmarkStart w:id="592" w:name="_Toc65682980"/>
      <w:bookmarkStart w:id="593" w:name="_Toc144974565"/>
      <w:bookmarkStart w:id="594" w:name="_Toc485225388"/>
      <w:bookmarkStart w:id="595" w:name="_Toc109124288"/>
      <w:bookmarkStart w:id="596" w:name="_Toc28186"/>
      <w:bookmarkStart w:id="597" w:name="_Toc179632616"/>
      <w:bookmarkStart w:id="598" w:name="_Toc246996984"/>
      <w:bookmarkStart w:id="599" w:name="_Toc247085756"/>
      <w:bookmarkStart w:id="600" w:name="_Toc152042375"/>
      <w:r>
        <w:rPr>
          <w:rFonts w:hint="eastAsia" w:ascii="仿宋" w:hAnsi="仿宋" w:cs="宋体"/>
          <w:color w:val="auto"/>
          <w:sz w:val="32"/>
          <w:szCs w:val="21"/>
        </w:rPr>
        <w:t>第三章 评标办法</w:t>
      </w:r>
      <w:bookmarkEnd w:id="589"/>
      <w:bookmarkEnd w:id="590"/>
      <w:bookmarkEnd w:id="591"/>
      <w:bookmarkEnd w:id="592"/>
      <w:bookmarkEnd w:id="593"/>
      <w:bookmarkEnd w:id="594"/>
      <w:bookmarkEnd w:id="595"/>
      <w:bookmarkEnd w:id="596"/>
      <w:bookmarkEnd w:id="597"/>
      <w:bookmarkEnd w:id="598"/>
      <w:bookmarkEnd w:id="599"/>
      <w:bookmarkEnd w:id="600"/>
    </w:p>
    <w:p>
      <w:pPr>
        <w:pStyle w:val="4"/>
        <w:jc w:val="center"/>
        <w:rPr>
          <w:rFonts w:ascii="仿宋" w:hAnsi="仿宋" w:cs="宋体"/>
          <w:color w:val="auto"/>
          <w:szCs w:val="24"/>
        </w:rPr>
      </w:pPr>
      <w:bookmarkStart w:id="601" w:name="_Toc31831"/>
      <w:bookmarkStart w:id="602" w:name="_Toc29379"/>
      <w:bookmarkStart w:id="603" w:name="_Toc65682981"/>
      <w:bookmarkStart w:id="604" w:name="_Toc109124289"/>
      <w:r>
        <w:rPr>
          <w:rFonts w:hint="eastAsia" w:ascii="仿宋" w:hAnsi="仿宋" w:cs="宋体"/>
          <w:color w:val="auto"/>
          <w:szCs w:val="24"/>
        </w:rPr>
        <w:t>评标办法前附表</w:t>
      </w:r>
      <w:bookmarkEnd w:id="601"/>
      <w:bookmarkEnd w:id="602"/>
      <w:bookmarkEnd w:id="603"/>
      <w:bookmarkEnd w:id="604"/>
    </w:p>
    <w:p>
      <w:pPr>
        <w:spacing w:line="360" w:lineRule="auto"/>
        <w:rPr>
          <w:rFonts w:ascii="仿宋" w:hAnsi="仿宋" w:eastAsia="仿宋" w:cs="宋体"/>
          <w:color w:val="auto"/>
          <w:sz w:val="24"/>
          <w:szCs w:val="24"/>
        </w:rPr>
      </w:pPr>
      <w:r>
        <w:rPr>
          <w:rFonts w:hint="eastAsia" w:ascii="仿宋" w:hAnsi="仿宋" w:eastAsia="仿宋" w:cs="宋体"/>
          <w:b/>
          <w:bCs/>
          <w:color w:val="auto"/>
          <w:sz w:val="24"/>
          <w:szCs w:val="24"/>
        </w:rPr>
        <w:t>本项目采用综合评分法，总分共100分。</w:t>
      </w:r>
    </w:p>
    <w:p>
      <w:pPr>
        <w:pStyle w:val="5"/>
        <w:rPr>
          <w:rFonts w:hint="default"/>
          <w:color w:val="auto"/>
        </w:rPr>
      </w:pPr>
      <w:bookmarkStart w:id="605" w:name="_Toc65682982"/>
      <w:bookmarkStart w:id="606" w:name="_Toc109124290"/>
      <w:bookmarkStart w:id="607" w:name="_Toc1372"/>
      <w:bookmarkStart w:id="608" w:name="_Toc22942"/>
      <w:r>
        <w:rPr>
          <w:color w:val="auto"/>
        </w:rPr>
        <w:t>1、初步评审标准</w:t>
      </w:r>
      <w:bookmarkEnd w:id="605"/>
      <w:bookmarkEnd w:id="606"/>
      <w:bookmarkEnd w:id="607"/>
      <w:bookmarkEnd w:id="608"/>
    </w:p>
    <w:tbl>
      <w:tblPr>
        <w:tblStyle w:val="41"/>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370"/>
        <w:gridCol w:w="2595"/>
        <w:gridCol w:w="49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097" w:type="dxa"/>
            <w:gridSpan w:val="2"/>
            <w:vAlign w:val="center"/>
          </w:tcPr>
          <w:p>
            <w:pPr>
              <w:widowControl/>
              <w:spacing w:line="24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条款号</w:t>
            </w:r>
          </w:p>
        </w:tc>
        <w:tc>
          <w:tcPr>
            <w:tcW w:w="2595" w:type="dxa"/>
            <w:vAlign w:val="center"/>
          </w:tcPr>
          <w:p>
            <w:pPr>
              <w:widowControl/>
              <w:spacing w:before="24" w:after="24" w:line="24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4973" w:type="dxa"/>
            <w:vAlign w:val="center"/>
          </w:tcPr>
          <w:p>
            <w:pPr>
              <w:widowControl/>
              <w:spacing w:line="24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727" w:type="dxa"/>
            <w:vMerge w:val="restart"/>
            <w:vAlign w:val="center"/>
          </w:tcPr>
          <w:p>
            <w:pPr>
              <w:widowControl/>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1</w:t>
            </w:r>
          </w:p>
        </w:tc>
        <w:tc>
          <w:tcPr>
            <w:tcW w:w="1370" w:type="dxa"/>
            <w:vMerge w:val="restart"/>
            <w:vAlign w:val="center"/>
          </w:tcPr>
          <w:p>
            <w:pPr>
              <w:widowControl/>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形式评审标准</w:t>
            </w: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投标人名称</w:t>
            </w:r>
          </w:p>
        </w:tc>
        <w:tc>
          <w:tcPr>
            <w:tcW w:w="4973" w:type="dxa"/>
            <w:vAlign w:val="center"/>
          </w:tcPr>
          <w:p>
            <w:pPr>
              <w:spacing w:before="24" w:after="24"/>
              <w:jc w:val="left"/>
              <w:rPr>
                <w:rFonts w:ascii="仿宋" w:hAnsi="仿宋" w:eastAsia="仿宋" w:cs="仿宋"/>
                <w:color w:val="auto"/>
                <w:sz w:val="24"/>
                <w:szCs w:val="24"/>
              </w:rPr>
            </w:pPr>
            <w:r>
              <w:rPr>
                <w:rFonts w:hint="eastAsia" w:ascii="仿宋" w:hAnsi="仿宋" w:eastAsia="仿宋" w:cs="仿宋"/>
                <w:color w:val="auto"/>
                <w:sz w:val="24"/>
                <w:szCs w:val="24"/>
              </w:rPr>
              <w:t>公章名称与企业营业执照、资质证书（如有）等其他证书一致。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727" w:type="dxa"/>
            <w:vMerge w:val="continue"/>
            <w:vAlign w:val="center"/>
          </w:tcPr>
          <w:p>
            <w:pPr>
              <w:widowControl/>
              <w:spacing w:line="240" w:lineRule="auto"/>
              <w:jc w:val="center"/>
              <w:rPr>
                <w:rFonts w:ascii="仿宋" w:hAnsi="仿宋" w:eastAsia="仿宋" w:cs="仿宋"/>
                <w:color w:val="auto"/>
                <w:sz w:val="24"/>
                <w:szCs w:val="24"/>
              </w:rPr>
            </w:pPr>
          </w:p>
        </w:tc>
        <w:tc>
          <w:tcPr>
            <w:tcW w:w="1370" w:type="dxa"/>
            <w:vMerge w:val="continue"/>
            <w:vAlign w:val="center"/>
          </w:tcPr>
          <w:p>
            <w:pPr>
              <w:widowControl/>
              <w:spacing w:line="240" w:lineRule="auto"/>
              <w:jc w:val="center"/>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法定代表人（负责人）身份证明</w:t>
            </w:r>
          </w:p>
        </w:tc>
        <w:tc>
          <w:tcPr>
            <w:tcW w:w="4973" w:type="dxa"/>
            <w:vAlign w:val="center"/>
          </w:tcPr>
          <w:p>
            <w:pPr>
              <w:pStyle w:val="298"/>
              <w:spacing w:line="240" w:lineRule="auto"/>
              <w:jc w:val="left"/>
              <w:rPr>
                <w:rFonts w:ascii="仿宋" w:hAnsi="仿宋" w:eastAsia="仿宋" w:cs="仿宋"/>
                <w:color w:val="auto"/>
                <w:szCs w:val="24"/>
              </w:rPr>
            </w:pPr>
            <w:r>
              <w:rPr>
                <w:rFonts w:hint="eastAsia" w:ascii="仿宋" w:hAnsi="仿宋" w:eastAsia="仿宋" w:cs="仿宋"/>
                <w:color w:val="auto"/>
                <w:szCs w:val="24"/>
              </w:rPr>
              <w:t>（1）提供法定代表人（负责人）身份证复印件。</w:t>
            </w:r>
          </w:p>
          <w:p>
            <w:pPr>
              <w:pStyle w:val="298"/>
              <w:spacing w:line="240" w:lineRule="auto"/>
              <w:jc w:val="left"/>
              <w:rPr>
                <w:rFonts w:ascii="仿宋" w:hAnsi="仿宋" w:eastAsia="仿宋" w:cs="仿宋"/>
                <w:color w:val="auto"/>
                <w:szCs w:val="24"/>
              </w:rPr>
            </w:pPr>
            <w:r>
              <w:rPr>
                <w:rFonts w:hint="eastAsia" w:ascii="仿宋" w:hAnsi="仿宋" w:eastAsia="仿宋" w:cs="仿宋"/>
                <w:color w:val="auto"/>
                <w:szCs w:val="24"/>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pacing w:val="-4"/>
                <w:sz w:val="24"/>
                <w:szCs w:val="24"/>
              </w:rPr>
            </w:pPr>
            <w:r>
              <w:rPr>
                <w:rFonts w:hint="eastAsia" w:ascii="仿宋" w:hAnsi="仿宋" w:eastAsia="仿宋" w:cs="仿宋"/>
                <w:color w:val="auto"/>
                <w:sz w:val="24"/>
                <w:szCs w:val="24"/>
              </w:rPr>
              <w:t>法定代表人（负责人）授权委托书</w:t>
            </w:r>
          </w:p>
        </w:tc>
        <w:tc>
          <w:tcPr>
            <w:tcW w:w="4973" w:type="dxa"/>
            <w:vAlign w:val="center"/>
          </w:tcPr>
          <w:p>
            <w:pPr>
              <w:pStyle w:val="298"/>
              <w:spacing w:line="276" w:lineRule="auto"/>
              <w:rPr>
                <w:rFonts w:ascii="仿宋" w:hAnsi="仿宋" w:eastAsia="仿宋" w:cs="仿宋"/>
                <w:color w:val="auto"/>
                <w:szCs w:val="24"/>
              </w:rPr>
            </w:pPr>
            <w:r>
              <w:rPr>
                <w:rFonts w:hint="eastAsia" w:ascii="仿宋" w:hAnsi="仿宋" w:eastAsia="仿宋" w:cs="仿宋"/>
                <w:color w:val="auto"/>
                <w:szCs w:val="24"/>
              </w:rPr>
              <w:t>（1）提供委托代理人身份证复印件。</w:t>
            </w:r>
          </w:p>
          <w:p>
            <w:pPr>
              <w:pStyle w:val="298"/>
              <w:spacing w:line="276" w:lineRule="auto"/>
              <w:rPr>
                <w:rFonts w:ascii="仿宋" w:hAnsi="仿宋" w:eastAsia="仿宋" w:cs="仿宋"/>
                <w:color w:val="auto"/>
                <w:szCs w:val="24"/>
              </w:rPr>
            </w:pPr>
            <w:r>
              <w:rPr>
                <w:rFonts w:hint="eastAsia" w:ascii="仿宋" w:hAnsi="仿宋" w:eastAsia="仿宋" w:cs="仿宋"/>
                <w:color w:val="auto"/>
                <w:szCs w:val="24"/>
              </w:rPr>
              <w:t>（2）落款</w:t>
            </w:r>
            <w:r>
              <w:rPr>
                <w:rFonts w:hint="eastAsia" w:ascii="仿宋" w:hAnsi="仿宋" w:eastAsia="仿宋" w:cs="仿宋"/>
                <w:bCs/>
                <w:color w:val="auto"/>
                <w:szCs w:val="24"/>
              </w:rPr>
              <w:t>加盖公章</w:t>
            </w:r>
            <w:r>
              <w:rPr>
                <w:rFonts w:hint="eastAsia" w:ascii="仿宋" w:hAnsi="仿宋" w:eastAsia="仿宋" w:cs="仿宋"/>
                <w:b/>
                <w:bCs/>
                <w:color w:val="auto"/>
                <w:szCs w:val="24"/>
              </w:rPr>
              <w:t>并由</w:t>
            </w:r>
            <w:r>
              <w:rPr>
                <w:rFonts w:hint="eastAsia" w:ascii="仿宋" w:hAnsi="仿宋" w:eastAsia="仿宋" w:cs="仿宋"/>
                <w:color w:val="auto"/>
                <w:szCs w:val="24"/>
              </w:rPr>
              <w:t>法定代表人（负责人）签字</w:t>
            </w:r>
            <w:r>
              <w:rPr>
                <w:rFonts w:hint="eastAsia" w:ascii="仿宋" w:hAnsi="仿宋" w:eastAsia="仿宋" w:cs="仿宋"/>
                <w:b/>
                <w:bCs/>
                <w:color w:val="auto"/>
                <w:szCs w:val="24"/>
              </w:rPr>
              <w:t>和</w:t>
            </w:r>
            <w:r>
              <w:rPr>
                <w:rFonts w:hint="eastAsia" w:ascii="仿宋" w:hAnsi="仿宋" w:eastAsia="仿宋" w:cs="仿宋"/>
                <w:color w:val="auto"/>
                <w:szCs w:val="24"/>
              </w:rPr>
              <w:t>其委托代理人</w:t>
            </w:r>
            <w:r>
              <w:rPr>
                <w:rFonts w:hint="eastAsia" w:ascii="仿宋" w:hAnsi="仿宋" w:eastAsia="仿宋" w:cs="仿宋"/>
                <w:b/>
                <w:bCs/>
                <w:color w:val="auto"/>
                <w:szCs w:val="24"/>
              </w:rPr>
              <w:t>双方</w:t>
            </w:r>
            <w:r>
              <w:rPr>
                <w:rFonts w:hint="eastAsia" w:ascii="仿宋" w:hAnsi="仿宋" w:eastAsia="仿宋" w:cs="仿宋"/>
                <w:bCs/>
                <w:color w:val="auto"/>
                <w:szCs w:val="24"/>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投标文件的签字、盖章</w:t>
            </w:r>
          </w:p>
        </w:tc>
        <w:tc>
          <w:tcPr>
            <w:tcW w:w="4973" w:type="dxa"/>
            <w:vAlign w:val="center"/>
          </w:tcPr>
          <w:p>
            <w:pPr>
              <w:pStyle w:val="2"/>
              <w:spacing w:after="0" w:line="240" w:lineRule="auto"/>
              <w:rPr>
                <w:rFonts w:ascii="仿宋" w:hAnsi="仿宋" w:eastAsia="仿宋" w:cs="仿宋"/>
                <w:color w:val="auto"/>
                <w:sz w:val="24"/>
                <w:szCs w:val="24"/>
              </w:rPr>
            </w:pPr>
            <w:r>
              <w:rPr>
                <w:rFonts w:hint="eastAsia" w:ascii="仿宋" w:hAnsi="仿宋" w:eastAsia="仿宋" w:cs="仿宋"/>
                <w:color w:val="auto"/>
                <w:sz w:val="24"/>
                <w:szCs w:val="24"/>
              </w:rPr>
              <w:t>（1）投标文件格式中其他有落款的文件，均需加盖公章。</w:t>
            </w:r>
          </w:p>
          <w:p>
            <w:pPr>
              <w:pStyle w:val="2"/>
              <w:spacing w:after="0" w:line="240" w:lineRule="auto"/>
              <w:rPr>
                <w:rFonts w:ascii="仿宋" w:hAnsi="仿宋" w:eastAsia="仿宋" w:cs="仿宋"/>
                <w:color w:val="auto"/>
                <w:sz w:val="24"/>
                <w:szCs w:val="24"/>
              </w:rPr>
            </w:pPr>
            <w:r>
              <w:rPr>
                <w:rFonts w:hint="eastAsia" w:ascii="仿宋" w:hAnsi="仿宋" w:eastAsia="仿宋" w:cs="仿宋"/>
                <w:color w:val="auto"/>
                <w:sz w:val="24"/>
                <w:szCs w:val="24"/>
              </w:rPr>
              <w:t>（2）投标文件的所有签字处均指手写签字或签名章/印章或CA签名章，不得以打印体代替。</w:t>
            </w:r>
          </w:p>
          <w:p>
            <w:pPr>
              <w:pStyle w:val="2"/>
              <w:spacing w:after="0" w:line="240" w:lineRule="auto"/>
              <w:rPr>
                <w:rFonts w:ascii="仿宋" w:hAnsi="仿宋" w:eastAsia="仿宋" w:cs="仿宋"/>
                <w:color w:val="auto"/>
                <w:sz w:val="24"/>
                <w:szCs w:val="24"/>
              </w:rPr>
            </w:pPr>
            <w:r>
              <w:rPr>
                <w:rFonts w:hint="eastAsia" w:ascii="仿宋" w:hAnsi="仿宋" w:eastAsia="仿宋" w:cs="仿宋"/>
                <w:color w:val="auto"/>
                <w:sz w:val="24"/>
                <w:szCs w:val="24"/>
              </w:rPr>
              <w:t>（3）电子投标文件加盖公章处须使用CA印章。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vAlign w:val="center"/>
          </w:tcPr>
          <w:p>
            <w:pPr>
              <w:widowControl/>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2</w:t>
            </w:r>
          </w:p>
        </w:tc>
        <w:tc>
          <w:tcPr>
            <w:tcW w:w="1370" w:type="dxa"/>
            <w:vMerge w:val="restart"/>
            <w:vAlign w:val="center"/>
          </w:tcPr>
          <w:p>
            <w:pPr>
              <w:widowControl/>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资格评审标准</w:t>
            </w: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营业执照</w:t>
            </w:r>
          </w:p>
        </w:tc>
        <w:tc>
          <w:tcPr>
            <w:tcW w:w="4973" w:type="dxa"/>
          </w:tcPr>
          <w:p>
            <w:pPr>
              <w:spacing w:before="24" w:after="24"/>
              <w:jc w:val="left"/>
              <w:rPr>
                <w:rFonts w:ascii="仿宋" w:hAnsi="仿宋" w:eastAsia="仿宋" w:cs="仿宋"/>
                <w:color w:val="auto"/>
                <w:sz w:val="24"/>
                <w:szCs w:val="24"/>
              </w:rPr>
            </w:pPr>
            <w:r>
              <w:rPr>
                <w:rFonts w:hint="eastAsia" w:ascii="仿宋" w:hAnsi="仿宋" w:eastAsia="仿宋" w:cs="仿宋"/>
                <w:color w:val="auto"/>
                <w:sz w:val="24"/>
                <w:szCs w:val="24"/>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vAlign w:val="center"/>
          </w:tcPr>
          <w:p>
            <w:pPr>
              <w:widowControl/>
              <w:spacing w:line="240" w:lineRule="auto"/>
              <w:jc w:val="center"/>
              <w:rPr>
                <w:rFonts w:ascii="仿宋" w:hAnsi="仿宋" w:eastAsia="仿宋" w:cs="仿宋"/>
                <w:color w:val="auto"/>
                <w:sz w:val="24"/>
                <w:szCs w:val="24"/>
              </w:rPr>
            </w:pPr>
          </w:p>
        </w:tc>
        <w:tc>
          <w:tcPr>
            <w:tcW w:w="1370" w:type="dxa"/>
            <w:vMerge w:val="continue"/>
            <w:vAlign w:val="center"/>
          </w:tcPr>
          <w:p>
            <w:pPr>
              <w:widowControl/>
              <w:spacing w:line="240" w:lineRule="auto"/>
              <w:jc w:val="center"/>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无违法违规记录</w:t>
            </w:r>
          </w:p>
        </w:tc>
        <w:tc>
          <w:tcPr>
            <w:tcW w:w="4973" w:type="dxa"/>
          </w:tcPr>
          <w:p>
            <w:pPr>
              <w:rPr>
                <w:rFonts w:ascii="仿宋" w:hAnsi="仿宋" w:eastAsia="仿宋" w:cs="仿宋"/>
                <w:color w:val="auto"/>
                <w:sz w:val="24"/>
                <w:szCs w:val="24"/>
              </w:rPr>
            </w:pPr>
            <w:r>
              <w:rPr>
                <w:rFonts w:hint="eastAsia" w:ascii="仿宋" w:hAnsi="仿宋" w:eastAsia="仿宋" w:cs="仿宋"/>
                <w:color w:val="auto"/>
                <w:sz w:val="24"/>
                <w:szCs w:val="24"/>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未被列入黑名单</w:t>
            </w:r>
          </w:p>
        </w:tc>
        <w:tc>
          <w:tcPr>
            <w:tcW w:w="4973" w:type="dxa"/>
            <w:vAlign w:val="center"/>
          </w:tcPr>
          <w:p>
            <w:pPr>
              <w:spacing w:before="24" w:after="24"/>
              <w:jc w:val="left"/>
              <w:rPr>
                <w:rFonts w:ascii="仿宋" w:hAnsi="仿宋" w:eastAsia="仿宋" w:cs="仿宋"/>
                <w:color w:val="auto"/>
                <w:sz w:val="24"/>
                <w:szCs w:val="24"/>
              </w:rPr>
            </w:pPr>
            <w:r>
              <w:rPr>
                <w:rFonts w:hint="eastAsia" w:ascii="仿宋" w:hAnsi="仿宋" w:eastAsia="仿宋" w:cs="仿宋"/>
                <w:color w:val="auto"/>
                <w:sz w:val="24"/>
                <w:szCs w:val="24"/>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控股及管理关系</w:t>
            </w:r>
          </w:p>
        </w:tc>
        <w:tc>
          <w:tcPr>
            <w:tcW w:w="4973" w:type="dxa"/>
            <w:vAlign w:val="center"/>
          </w:tcPr>
          <w:p>
            <w:pPr>
              <w:spacing w:before="24" w:after="24"/>
              <w:jc w:val="left"/>
              <w:rPr>
                <w:rFonts w:ascii="仿宋" w:hAnsi="仿宋" w:eastAsia="仿宋" w:cs="仿宋"/>
                <w:color w:val="auto"/>
                <w:sz w:val="24"/>
                <w:szCs w:val="24"/>
              </w:rPr>
            </w:pPr>
            <w:r>
              <w:rPr>
                <w:rFonts w:hint="eastAsia" w:ascii="仿宋" w:hAnsi="仿宋" w:eastAsia="仿宋" w:cs="仿宋"/>
                <w:color w:val="auto"/>
                <w:sz w:val="24"/>
                <w:szCs w:val="24"/>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具有良好的商业信誉和健全的财务会计制度</w:t>
            </w:r>
          </w:p>
        </w:tc>
        <w:tc>
          <w:tcPr>
            <w:tcW w:w="4973" w:type="dxa"/>
            <w:vAlign w:val="center"/>
          </w:tcPr>
          <w:p>
            <w:pPr>
              <w:spacing w:before="24" w:after="24"/>
              <w:jc w:val="left"/>
              <w:rPr>
                <w:rFonts w:ascii="仿宋" w:hAnsi="仿宋" w:eastAsia="仿宋" w:cs="仿宋"/>
                <w:color w:val="auto"/>
                <w:sz w:val="24"/>
                <w:szCs w:val="24"/>
              </w:rPr>
            </w:pPr>
            <w:r>
              <w:rPr>
                <w:rFonts w:hint="eastAsia" w:ascii="仿宋" w:hAnsi="仿宋" w:eastAsia="仿宋" w:cs="仿宋"/>
                <w:color w:val="auto"/>
                <w:sz w:val="24"/>
                <w:szCs w:val="24"/>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供应商应具有履行合同所必需的设备和专业技术能力</w:t>
            </w:r>
          </w:p>
        </w:tc>
        <w:tc>
          <w:tcPr>
            <w:tcW w:w="4973" w:type="dxa"/>
            <w:vAlign w:val="center"/>
          </w:tcPr>
          <w:p>
            <w:pPr>
              <w:spacing w:before="24" w:after="24"/>
              <w:jc w:val="left"/>
              <w:rPr>
                <w:rFonts w:ascii="仿宋" w:hAnsi="仿宋" w:eastAsia="仿宋" w:cs="仿宋"/>
                <w:color w:val="auto"/>
                <w:sz w:val="24"/>
                <w:szCs w:val="24"/>
              </w:rPr>
            </w:pPr>
            <w:r>
              <w:rPr>
                <w:rFonts w:hint="eastAsia" w:ascii="仿宋" w:hAnsi="仿宋" w:eastAsia="仿宋" w:cs="仿宋"/>
                <w:color w:val="auto"/>
                <w:sz w:val="24"/>
                <w:szCs w:val="24"/>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具有依法缴纳税收和社会保障资金的良好记录</w:t>
            </w:r>
          </w:p>
        </w:tc>
        <w:tc>
          <w:tcPr>
            <w:tcW w:w="4973" w:type="dxa"/>
            <w:vAlign w:val="center"/>
          </w:tcPr>
          <w:p>
            <w:pPr>
              <w:spacing w:before="24" w:after="24"/>
              <w:jc w:val="left"/>
              <w:rPr>
                <w:rFonts w:ascii="仿宋" w:hAnsi="仿宋" w:eastAsia="仿宋" w:cs="仿宋"/>
                <w:color w:val="auto"/>
                <w:sz w:val="24"/>
                <w:szCs w:val="24"/>
              </w:rPr>
            </w:pPr>
            <w:r>
              <w:rPr>
                <w:rFonts w:hint="eastAsia" w:ascii="仿宋" w:hAnsi="仿宋" w:eastAsia="仿宋" w:cs="仿宋"/>
                <w:color w:val="auto"/>
                <w:sz w:val="24"/>
                <w:szCs w:val="24"/>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line="24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非联合体投标声明</w:t>
            </w:r>
          </w:p>
        </w:tc>
        <w:tc>
          <w:tcPr>
            <w:tcW w:w="4973" w:type="dxa"/>
            <w:vAlign w:val="center"/>
          </w:tcPr>
          <w:p>
            <w:pPr>
              <w:spacing w:before="24" w:after="24"/>
              <w:jc w:val="left"/>
              <w:rPr>
                <w:rFonts w:hint="eastAsia" w:ascii="仿宋" w:hAnsi="仿宋" w:eastAsia="仿宋" w:cs="仿宋"/>
                <w:color w:val="auto"/>
                <w:sz w:val="24"/>
                <w:szCs w:val="24"/>
              </w:rPr>
            </w:pPr>
            <w:r>
              <w:rPr>
                <w:rFonts w:hint="eastAsia" w:ascii="仿宋" w:hAnsi="仿宋" w:eastAsia="仿宋" w:cs="仿宋"/>
                <w:color w:val="auto"/>
                <w:sz w:val="24"/>
                <w:szCs w:val="24"/>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其他资格要求</w:t>
            </w:r>
          </w:p>
        </w:tc>
        <w:tc>
          <w:tcPr>
            <w:tcW w:w="4973" w:type="dxa"/>
          </w:tcPr>
          <w:p>
            <w:pPr>
              <w:spacing w:before="24" w:after="24"/>
              <w:jc w:val="left"/>
              <w:rPr>
                <w:rFonts w:ascii="仿宋" w:hAnsi="仿宋" w:eastAsia="仿宋" w:cs="仿宋"/>
                <w:color w:val="auto"/>
                <w:sz w:val="24"/>
                <w:szCs w:val="24"/>
              </w:rPr>
            </w:pPr>
            <w:r>
              <w:rPr>
                <w:rFonts w:hint="eastAsia" w:ascii="仿宋" w:hAnsi="仿宋" w:eastAsia="仿宋" w:cs="仿宋"/>
                <w:color w:val="auto"/>
                <w:sz w:val="24"/>
                <w:szCs w:val="24"/>
              </w:rPr>
              <w:t>符合第一章“招标公告”要求。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vAlign w:val="center"/>
          </w:tcPr>
          <w:p>
            <w:pPr>
              <w:widowControl/>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3</w:t>
            </w:r>
          </w:p>
        </w:tc>
        <w:tc>
          <w:tcPr>
            <w:tcW w:w="1370" w:type="dxa"/>
            <w:vMerge w:val="restart"/>
            <w:vAlign w:val="center"/>
          </w:tcPr>
          <w:p>
            <w:pPr>
              <w:widowControl/>
              <w:spacing w:line="240" w:lineRule="auto"/>
              <w:jc w:val="center"/>
              <w:rPr>
                <w:rFonts w:ascii="仿宋" w:hAnsi="仿宋" w:eastAsia="仿宋" w:cs="仿宋"/>
                <w:color w:val="auto"/>
                <w:sz w:val="24"/>
                <w:szCs w:val="24"/>
              </w:rPr>
            </w:pPr>
            <w:r>
              <w:rPr>
                <w:rFonts w:hint="eastAsia" w:ascii="仿宋" w:hAnsi="仿宋" w:eastAsia="仿宋" w:cs="仿宋"/>
                <w:color w:val="auto"/>
                <w:sz w:val="24"/>
                <w:szCs w:val="24"/>
              </w:rPr>
              <w:t>响应性评审标准</w:t>
            </w: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投标保证金</w:t>
            </w:r>
          </w:p>
        </w:tc>
        <w:tc>
          <w:tcPr>
            <w:tcW w:w="4973" w:type="dxa"/>
            <w:vAlign w:val="center"/>
          </w:tcPr>
          <w:p>
            <w:pPr>
              <w:rPr>
                <w:rFonts w:ascii="仿宋" w:hAnsi="仿宋" w:eastAsia="仿宋" w:cs="仿宋"/>
                <w:color w:val="auto"/>
                <w:sz w:val="24"/>
                <w:szCs w:val="24"/>
              </w:rPr>
            </w:pPr>
            <w:r>
              <w:rPr>
                <w:rFonts w:hint="eastAsia" w:ascii="仿宋" w:hAnsi="仿宋" w:eastAsia="仿宋" w:cs="仿宋"/>
                <w:color w:val="auto"/>
                <w:sz w:val="24"/>
                <w:szCs w:val="24"/>
              </w:rPr>
              <w:t>符合第二章“投标人须知”规定。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vAlign w:val="center"/>
          </w:tcPr>
          <w:p>
            <w:pPr>
              <w:widowControl/>
              <w:spacing w:line="240" w:lineRule="auto"/>
              <w:jc w:val="center"/>
              <w:rPr>
                <w:rFonts w:ascii="仿宋" w:hAnsi="仿宋" w:eastAsia="仿宋" w:cs="仿宋"/>
                <w:color w:val="auto"/>
                <w:sz w:val="24"/>
                <w:szCs w:val="24"/>
              </w:rPr>
            </w:pPr>
          </w:p>
        </w:tc>
        <w:tc>
          <w:tcPr>
            <w:tcW w:w="1370" w:type="dxa"/>
            <w:vMerge w:val="continue"/>
            <w:vAlign w:val="center"/>
          </w:tcPr>
          <w:p>
            <w:pPr>
              <w:widowControl/>
              <w:spacing w:line="240" w:lineRule="auto"/>
              <w:jc w:val="center"/>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投标函</w:t>
            </w:r>
          </w:p>
        </w:tc>
        <w:tc>
          <w:tcPr>
            <w:tcW w:w="4973" w:type="dxa"/>
            <w:vAlign w:val="center"/>
          </w:tcPr>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除填写投标人名称、项目名称外，未修改原文内容。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vAlign w:val="center"/>
          </w:tcPr>
          <w:p>
            <w:pPr>
              <w:widowControl/>
              <w:spacing w:line="240" w:lineRule="auto"/>
              <w:jc w:val="center"/>
              <w:rPr>
                <w:rFonts w:ascii="仿宋" w:hAnsi="仿宋" w:eastAsia="仿宋" w:cs="仿宋"/>
                <w:color w:val="auto"/>
                <w:sz w:val="24"/>
                <w:szCs w:val="24"/>
              </w:rPr>
            </w:pPr>
          </w:p>
        </w:tc>
        <w:tc>
          <w:tcPr>
            <w:tcW w:w="1370" w:type="dxa"/>
            <w:vMerge w:val="continue"/>
            <w:vAlign w:val="center"/>
          </w:tcPr>
          <w:p>
            <w:pPr>
              <w:widowControl/>
              <w:spacing w:line="240" w:lineRule="auto"/>
              <w:jc w:val="center"/>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供应商行为准则承诺书</w:t>
            </w:r>
          </w:p>
        </w:tc>
        <w:tc>
          <w:tcPr>
            <w:tcW w:w="4973" w:type="dxa"/>
            <w:vAlign w:val="center"/>
          </w:tcPr>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除投标人填写内容外，未修改原文内容。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vAlign w:val="center"/>
          </w:tcPr>
          <w:p>
            <w:pPr>
              <w:widowControl/>
              <w:spacing w:line="240" w:lineRule="auto"/>
              <w:jc w:val="center"/>
              <w:rPr>
                <w:rFonts w:ascii="仿宋" w:hAnsi="仿宋" w:eastAsia="仿宋" w:cs="仿宋"/>
                <w:color w:val="auto"/>
                <w:sz w:val="24"/>
                <w:szCs w:val="24"/>
              </w:rPr>
            </w:pPr>
          </w:p>
        </w:tc>
        <w:tc>
          <w:tcPr>
            <w:tcW w:w="1370" w:type="dxa"/>
            <w:vMerge w:val="continue"/>
            <w:vAlign w:val="center"/>
          </w:tcPr>
          <w:p>
            <w:pPr>
              <w:widowControl/>
              <w:spacing w:line="240" w:lineRule="auto"/>
              <w:jc w:val="center"/>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供应商廉洁诚信承诺书</w:t>
            </w:r>
          </w:p>
        </w:tc>
        <w:tc>
          <w:tcPr>
            <w:tcW w:w="4973" w:type="dxa"/>
            <w:vAlign w:val="center"/>
          </w:tcPr>
          <w:p>
            <w:pPr>
              <w:spacing w:line="360" w:lineRule="auto"/>
              <w:jc w:val="left"/>
              <w:rPr>
                <w:rFonts w:ascii="仿宋" w:hAnsi="仿宋" w:eastAsia="仿宋" w:cs="仿宋"/>
                <w:color w:val="auto"/>
                <w:sz w:val="24"/>
                <w:szCs w:val="24"/>
              </w:rPr>
            </w:pPr>
            <w:r>
              <w:rPr>
                <w:rFonts w:hint="eastAsia" w:ascii="仿宋" w:hAnsi="仿宋" w:eastAsia="仿宋" w:cs="仿宋"/>
                <w:color w:val="auto"/>
                <w:sz w:val="24"/>
                <w:szCs w:val="24"/>
              </w:rPr>
              <w:t>除投标人填写内容外，未修改原文内容。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投标一览表</w:t>
            </w:r>
          </w:p>
        </w:tc>
        <w:tc>
          <w:tcPr>
            <w:tcW w:w="4973" w:type="dxa"/>
            <w:vAlign w:val="center"/>
          </w:tcPr>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报价项未缺省或回避填写，符合第二章“投标人须知”规定。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偏离表应答</w:t>
            </w:r>
          </w:p>
        </w:tc>
        <w:tc>
          <w:tcPr>
            <w:tcW w:w="4973" w:type="dxa"/>
            <w:vAlign w:val="center"/>
          </w:tcPr>
          <w:p>
            <w:pPr>
              <w:spacing w:line="360" w:lineRule="auto"/>
              <w:rPr>
                <w:rFonts w:ascii="仿宋" w:hAnsi="仿宋" w:eastAsia="仿宋" w:cs="仿宋"/>
                <w:color w:val="auto"/>
                <w:sz w:val="24"/>
                <w:szCs w:val="24"/>
              </w:rPr>
            </w:pPr>
            <w:r>
              <w:rPr>
                <w:rFonts w:hint="eastAsia" w:ascii="仿宋" w:hAnsi="仿宋" w:eastAsia="仿宋" w:cs="仿宋"/>
                <w:color w:val="auto"/>
                <w:sz w:val="24"/>
                <w:szCs w:val="24"/>
              </w:rPr>
              <w:t>《投标人须知应答偏离表》、《合同条款应答偏离表》、《技术需求书应答偏离表》进行了符合投标人须知的应答。</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27" w:type="dxa"/>
            <w:vMerge w:val="continue"/>
            <w:vAlign w:val="center"/>
          </w:tcPr>
          <w:p>
            <w:pPr>
              <w:widowControl/>
              <w:spacing w:line="240" w:lineRule="auto"/>
              <w:jc w:val="left"/>
              <w:rPr>
                <w:rFonts w:ascii="仿宋" w:hAnsi="仿宋" w:eastAsia="仿宋" w:cs="仿宋"/>
                <w:color w:val="auto"/>
                <w:sz w:val="24"/>
                <w:szCs w:val="24"/>
              </w:rPr>
            </w:pPr>
          </w:p>
        </w:tc>
        <w:tc>
          <w:tcPr>
            <w:tcW w:w="1370" w:type="dxa"/>
            <w:vMerge w:val="continue"/>
            <w:vAlign w:val="center"/>
          </w:tcPr>
          <w:p>
            <w:pPr>
              <w:widowControl/>
              <w:spacing w:line="240" w:lineRule="auto"/>
              <w:jc w:val="left"/>
              <w:rPr>
                <w:rFonts w:ascii="仿宋" w:hAnsi="仿宋" w:eastAsia="仿宋" w:cs="仿宋"/>
                <w:color w:val="auto"/>
                <w:sz w:val="24"/>
                <w:szCs w:val="24"/>
              </w:rPr>
            </w:pPr>
          </w:p>
        </w:tc>
        <w:tc>
          <w:tcPr>
            <w:tcW w:w="2595" w:type="dxa"/>
            <w:vAlign w:val="center"/>
          </w:tcPr>
          <w:p>
            <w:pPr>
              <w:spacing w:before="24" w:after="24"/>
              <w:jc w:val="center"/>
              <w:rPr>
                <w:rFonts w:ascii="仿宋" w:hAnsi="仿宋" w:eastAsia="仿宋" w:cs="仿宋"/>
                <w:color w:val="auto"/>
                <w:sz w:val="24"/>
                <w:szCs w:val="24"/>
              </w:rPr>
            </w:pPr>
            <w:r>
              <w:rPr>
                <w:rFonts w:hint="eastAsia" w:ascii="仿宋" w:hAnsi="仿宋" w:eastAsia="仿宋" w:cs="仿宋"/>
                <w:color w:val="auto"/>
                <w:sz w:val="24"/>
                <w:szCs w:val="24"/>
              </w:rPr>
              <w:t>其他实质性响应情况</w:t>
            </w:r>
          </w:p>
        </w:tc>
        <w:tc>
          <w:tcPr>
            <w:tcW w:w="4973" w:type="dxa"/>
            <w:vAlign w:val="center"/>
          </w:tcPr>
          <w:p>
            <w:pPr>
              <w:rPr>
                <w:rFonts w:ascii="仿宋" w:hAnsi="仿宋" w:eastAsia="仿宋" w:cs="仿宋"/>
                <w:color w:val="auto"/>
                <w:sz w:val="24"/>
                <w:szCs w:val="24"/>
              </w:rPr>
            </w:pPr>
            <w:r>
              <w:rPr>
                <w:rFonts w:hint="eastAsia" w:ascii="仿宋" w:hAnsi="仿宋" w:eastAsia="仿宋" w:cs="仿宋"/>
                <w:color w:val="auto"/>
                <w:sz w:val="24"/>
                <w:szCs w:val="24"/>
                <w:u w:val="single"/>
              </w:rPr>
              <w:t>招标文件中标识“★”号的条款、注明“投标将被否决”的条款</w:t>
            </w:r>
            <w:r>
              <w:rPr>
                <w:rFonts w:hint="eastAsia" w:ascii="仿宋" w:hAnsi="仿宋" w:eastAsia="仿宋" w:cs="仿宋"/>
                <w:color w:val="auto"/>
                <w:sz w:val="24"/>
                <w:szCs w:val="24"/>
              </w:rPr>
              <w:t>均为实质性条款，</w:t>
            </w:r>
            <w:r>
              <w:rPr>
                <w:rFonts w:hint="eastAsia" w:ascii="仿宋" w:hAnsi="仿宋" w:eastAsia="仿宋" w:cs="仿宋"/>
                <w:b/>
                <w:color w:val="auto"/>
                <w:sz w:val="24"/>
                <w:szCs w:val="24"/>
              </w:rPr>
              <w:t>不满足任意一项实质性条款的投标将被否决</w:t>
            </w:r>
          </w:p>
        </w:tc>
      </w:tr>
    </w:tbl>
    <w:p>
      <w:pPr>
        <w:pStyle w:val="5"/>
        <w:rPr>
          <w:rFonts w:hint="default" w:ascii="仿宋" w:hAnsi="仿宋" w:cs="宋体"/>
          <w:color w:val="auto"/>
          <w:szCs w:val="24"/>
        </w:rPr>
      </w:pPr>
      <w:bookmarkStart w:id="609" w:name="_Toc109124291"/>
      <w:r>
        <w:rPr>
          <w:rFonts w:hint="default" w:ascii="仿宋" w:hAnsi="仿宋" w:cs="宋体"/>
          <w:color w:val="auto"/>
          <w:szCs w:val="24"/>
        </w:rPr>
        <w:br w:type="page" w:clear="all"/>
      </w:r>
      <w:bookmarkStart w:id="610" w:name="_Toc31474"/>
      <w:r>
        <w:rPr>
          <w:rStyle w:val="210"/>
          <w:b/>
          <w:color w:val="auto"/>
        </w:rPr>
        <w:t>2、否决投标情形汇总</w:t>
      </w:r>
      <w:bookmarkEnd w:id="609"/>
      <w:bookmarkEnd w:id="610"/>
    </w:p>
    <w:tbl>
      <w:tblPr>
        <w:tblStyle w:val="41"/>
        <w:tblW w:w="9210" w:type="dxa"/>
        <w:jc w:val="center"/>
        <w:tblLayout w:type="autofit"/>
        <w:tblCellMar>
          <w:top w:w="0" w:type="dxa"/>
          <w:left w:w="108" w:type="dxa"/>
          <w:bottom w:w="0" w:type="dxa"/>
          <w:right w:w="108" w:type="dxa"/>
        </w:tblCellMar>
      </w:tblPr>
      <w:tblGrid>
        <w:gridCol w:w="1299"/>
        <w:gridCol w:w="1682"/>
        <w:gridCol w:w="6229"/>
      </w:tblGrid>
      <w:tr>
        <w:tblPrEx>
          <w:tblCellMar>
            <w:top w:w="0" w:type="dxa"/>
            <w:left w:w="108" w:type="dxa"/>
            <w:bottom w:w="0" w:type="dxa"/>
            <w:right w:w="108" w:type="dxa"/>
          </w:tblCellMar>
        </w:tblPrEx>
        <w:trPr>
          <w:jc w:val="center"/>
        </w:trPr>
        <w:tc>
          <w:tcPr>
            <w:tcW w:w="705"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b/>
                <w:color w:val="auto"/>
                <w:szCs w:val="21"/>
              </w:rPr>
            </w:pPr>
            <w:r>
              <w:rPr>
                <w:rFonts w:hint="eastAsia" w:ascii="仿宋" w:hAnsi="仿宋" w:eastAsia="仿宋" w:cs="仿宋"/>
                <w:b/>
                <w:color w:val="auto"/>
                <w:szCs w:val="21"/>
              </w:rPr>
              <w:t>章节</w:t>
            </w:r>
          </w:p>
        </w:tc>
        <w:tc>
          <w:tcPr>
            <w:tcW w:w="913"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b/>
                <w:color w:val="auto"/>
                <w:szCs w:val="21"/>
              </w:rPr>
            </w:pPr>
            <w:r>
              <w:rPr>
                <w:rFonts w:hint="eastAsia" w:ascii="仿宋" w:hAnsi="仿宋" w:eastAsia="仿宋" w:cs="仿宋"/>
                <w:b/>
                <w:color w:val="auto"/>
                <w:szCs w:val="21"/>
              </w:rPr>
              <w:t>内容</w:t>
            </w:r>
          </w:p>
        </w:tc>
        <w:tc>
          <w:tcPr>
            <w:tcW w:w="338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color w:val="auto"/>
                <w:szCs w:val="21"/>
              </w:rPr>
            </w:pPr>
            <w:r>
              <w:rPr>
                <w:rFonts w:hint="eastAsia" w:ascii="仿宋" w:hAnsi="仿宋" w:eastAsia="仿宋" w:cs="仿宋"/>
                <w:b/>
                <w:color w:val="auto"/>
                <w:szCs w:val="21"/>
              </w:rPr>
              <w:t>条款</w:t>
            </w:r>
          </w:p>
        </w:tc>
      </w:tr>
      <w:tr>
        <w:tblPrEx>
          <w:tblCellMar>
            <w:top w:w="0" w:type="dxa"/>
            <w:left w:w="108" w:type="dxa"/>
            <w:bottom w:w="0" w:type="dxa"/>
            <w:right w:w="108" w:type="dxa"/>
          </w:tblCellMar>
        </w:tblPrEx>
        <w:trPr>
          <w:jc w:val="center"/>
        </w:trPr>
        <w:tc>
          <w:tcPr>
            <w:tcW w:w="705"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color w:val="auto"/>
                <w:szCs w:val="21"/>
              </w:rPr>
            </w:pPr>
            <w:r>
              <w:rPr>
                <w:rFonts w:hint="eastAsia" w:ascii="仿宋" w:hAnsi="仿宋" w:eastAsia="仿宋" w:cs="仿宋"/>
                <w:color w:val="auto"/>
                <w:szCs w:val="21"/>
              </w:rPr>
              <w:t>第一章</w:t>
            </w:r>
          </w:p>
        </w:tc>
        <w:tc>
          <w:tcPr>
            <w:tcW w:w="913"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color w:val="auto"/>
                <w:szCs w:val="21"/>
              </w:rPr>
            </w:pPr>
            <w:r>
              <w:rPr>
                <w:rFonts w:hint="eastAsia" w:ascii="仿宋" w:hAnsi="仿宋" w:eastAsia="仿宋" w:cs="仿宋"/>
                <w:color w:val="auto"/>
                <w:szCs w:val="21"/>
              </w:rPr>
              <w:t>招标公告</w:t>
            </w:r>
          </w:p>
        </w:tc>
        <w:tc>
          <w:tcPr>
            <w:tcW w:w="3381"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color w:val="auto"/>
                <w:szCs w:val="21"/>
              </w:rPr>
            </w:pPr>
            <w:r>
              <w:rPr>
                <w:rFonts w:hint="eastAsia" w:ascii="仿宋" w:hAnsi="仿宋" w:eastAsia="仿宋" w:cs="仿宋"/>
                <w:color w:val="auto"/>
                <w:szCs w:val="21"/>
              </w:rPr>
              <w:t>不完全符合“三、投标人资格要求”的投标将被否决</w:t>
            </w:r>
          </w:p>
        </w:tc>
      </w:tr>
      <w:tr>
        <w:tblPrEx>
          <w:tblCellMar>
            <w:top w:w="0" w:type="dxa"/>
            <w:left w:w="108" w:type="dxa"/>
            <w:bottom w:w="0" w:type="dxa"/>
            <w:right w:w="108" w:type="dxa"/>
          </w:tblCellMar>
        </w:tblPrEx>
        <w:trPr>
          <w:jc w:val="center"/>
        </w:trPr>
        <w:tc>
          <w:tcPr>
            <w:tcW w:w="705"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color w:val="auto"/>
                <w:szCs w:val="21"/>
              </w:rPr>
            </w:pPr>
            <w:r>
              <w:rPr>
                <w:rFonts w:hint="eastAsia" w:ascii="仿宋" w:hAnsi="仿宋" w:eastAsia="仿宋" w:cs="仿宋"/>
                <w:color w:val="auto"/>
                <w:szCs w:val="21"/>
              </w:rPr>
              <w:t>第二章</w:t>
            </w:r>
          </w:p>
        </w:tc>
        <w:tc>
          <w:tcPr>
            <w:tcW w:w="913"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color w:val="auto"/>
                <w:szCs w:val="21"/>
              </w:rPr>
            </w:pPr>
            <w:r>
              <w:rPr>
                <w:rFonts w:hint="eastAsia" w:ascii="仿宋" w:hAnsi="仿宋" w:eastAsia="仿宋" w:cs="仿宋"/>
                <w:color w:val="auto"/>
                <w:szCs w:val="21"/>
              </w:rPr>
              <w:t>投标人须知</w:t>
            </w:r>
          </w:p>
        </w:tc>
        <w:tc>
          <w:tcPr>
            <w:tcW w:w="3381"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b/>
                <w:color w:val="auto"/>
                <w:szCs w:val="21"/>
              </w:rPr>
            </w:pPr>
            <w:r>
              <w:rPr>
                <w:rFonts w:hint="eastAsia" w:ascii="仿宋" w:hAnsi="仿宋" w:eastAsia="仿宋" w:cs="宋体"/>
                <w:color w:val="auto"/>
                <w:szCs w:val="21"/>
              </w:rPr>
              <w:t xml:space="preserve">2.1.3 </w:t>
            </w:r>
            <w:r>
              <w:rPr>
                <w:rFonts w:hint="eastAsia" w:ascii="仿宋" w:hAnsi="仿宋" w:eastAsia="仿宋" w:cs="宋体"/>
                <w:color w:val="auto"/>
                <w:szCs w:val="21"/>
                <w:u w:val="single"/>
              </w:rPr>
              <w:t>招标文件中标识“★”条款、注明“投标将被否决”的条款</w:t>
            </w:r>
            <w:r>
              <w:rPr>
                <w:rFonts w:hint="eastAsia" w:ascii="仿宋" w:hAnsi="仿宋" w:eastAsia="仿宋" w:cs="宋体"/>
                <w:color w:val="auto"/>
                <w:szCs w:val="21"/>
              </w:rPr>
              <w:t>，均为实质性条款，</w:t>
            </w:r>
            <w:r>
              <w:rPr>
                <w:rFonts w:hint="eastAsia" w:ascii="仿宋" w:hAnsi="仿宋" w:eastAsia="仿宋" w:cs="宋体"/>
                <w:b/>
                <w:color w:val="auto"/>
                <w:szCs w:val="21"/>
              </w:rPr>
              <w:t>不满足任意一项实质性条款的投标将被否决。</w:t>
            </w:r>
          </w:p>
          <w:p>
            <w:pPr>
              <w:pStyle w:val="2"/>
              <w:rPr>
                <w:rFonts w:ascii="Times New Roman" w:hAnsi="Times New Roman" w:cs="Times New Roman"/>
                <w:color w:val="auto"/>
              </w:rPr>
            </w:pPr>
            <w:r>
              <w:rPr>
                <w:rFonts w:hint="eastAsia" w:ascii="仿宋" w:hAnsi="仿宋" w:eastAsia="仿宋" w:cs="宋体"/>
                <w:color w:val="auto"/>
                <w:szCs w:val="21"/>
              </w:rPr>
              <w:t>3.1</w:t>
            </w:r>
            <w:r>
              <w:rPr>
                <w:rFonts w:hint="eastAsia" w:ascii="仿宋" w:hAnsi="仿宋" w:eastAsia="仿宋" w:cs="宋体"/>
                <w:b/>
                <w:color w:val="auto"/>
                <w:szCs w:val="21"/>
              </w:rPr>
              <w:t>★所有纸质报价文件须单独成册并密封，电子投标文件的报价部分须单独上传，不得与商务、技术文件合并装订或上传，商务、技术文件不得有任何明示、暗示投标报价的内容，否则投标将被否决。</w:t>
            </w:r>
          </w:p>
          <w:p>
            <w:pPr>
              <w:rPr>
                <w:rFonts w:ascii="仿宋" w:hAnsi="仿宋" w:eastAsia="仿宋" w:cs="仿宋"/>
                <w:color w:val="auto"/>
                <w:szCs w:val="21"/>
              </w:rPr>
            </w:pPr>
            <w:r>
              <w:rPr>
                <w:rFonts w:hint="eastAsia" w:ascii="仿宋" w:hAnsi="仿宋" w:eastAsia="仿宋" w:cs="仿宋"/>
                <w:color w:val="auto"/>
                <w:szCs w:val="21"/>
              </w:rPr>
              <w:t>3.2.2 投标人应认真阅读招标文件中所有的事项、格式、条款和技术规范等。投标人没有按照招标文件要求递交全部资料，或者投标人没有对招标文件在各方面都作出实质性响应是投标人的风险，</w:t>
            </w:r>
            <w:r>
              <w:rPr>
                <w:rFonts w:hint="eastAsia" w:ascii="仿宋" w:hAnsi="仿宋" w:eastAsia="仿宋" w:cs="仿宋"/>
                <w:b/>
                <w:color w:val="auto"/>
                <w:szCs w:val="21"/>
              </w:rPr>
              <w:t>并可能导致其投标被否决</w:t>
            </w:r>
            <w:r>
              <w:rPr>
                <w:rFonts w:hint="eastAsia" w:ascii="仿宋" w:hAnsi="仿宋" w:eastAsia="仿宋" w:cs="仿宋"/>
                <w:color w:val="auto"/>
                <w:szCs w:val="21"/>
              </w:rPr>
              <w:t>。</w:t>
            </w:r>
          </w:p>
          <w:p>
            <w:pPr>
              <w:rPr>
                <w:rFonts w:ascii="仿宋" w:hAnsi="仿宋" w:eastAsia="仿宋" w:cs="仿宋"/>
                <w:b/>
                <w:color w:val="auto"/>
                <w:szCs w:val="21"/>
              </w:rPr>
            </w:pPr>
            <w:r>
              <w:rPr>
                <w:rFonts w:hint="eastAsia" w:ascii="仿宋" w:hAnsi="仿宋" w:eastAsia="仿宋" w:cs="仿宋"/>
                <w:color w:val="auto"/>
                <w:szCs w:val="21"/>
              </w:rPr>
              <w:t>3.3.4 招标人设有最高投标限价的，投标人的投标报价不得超过最高投标限价，</w:t>
            </w:r>
            <w:r>
              <w:rPr>
                <w:rFonts w:hint="eastAsia" w:ascii="仿宋" w:hAnsi="仿宋" w:eastAsia="仿宋" w:cs="仿宋"/>
                <w:b/>
                <w:color w:val="auto"/>
                <w:szCs w:val="21"/>
              </w:rPr>
              <w:t>否则其投标将被否决。</w:t>
            </w:r>
          </w:p>
          <w:p>
            <w:pPr>
              <w:rPr>
                <w:rFonts w:ascii="仿宋" w:hAnsi="仿宋" w:eastAsia="仿宋" w:cs="仿宋"/>
                <w:b/>
                <w:color w:val="auto"/>
                <w:szCs w:val="21"/>
              </w:rPr>
            </w:pPr>
            <w:r>
              <w:rPr>
                <w:rFonts w:hint="eastAsia" w:ascii="仿宋" w:hAnsi="仿宋" w:eastAsia="仿宋" w:cs="仿宋"/>
                <w:color w:val="auto"/>
                <w:szCs w:val="21"/>
              </w:rPr>
              <w:t>3.3.5（2）投标人应根据技术规范书的要求并遵照“第六章 投标文件格式”给出的投标一览表、分项报价表进行报价，不得缺省或回避填写，</w:t>
            </w:r>
            <w:r>
              <w:rPr>
                <w:rFonts w:hint="eastAsia" w:ascii="仿宋" w:hAnsi="仿宋" w:eastAsia="仿宋" w:cs="仿宋"/>
                <w:b/>
                <w:color w:val="auto"/>
                <w:szCs w:val="21"/>
              </w:rPr>
              <w:t>否则视为非实质性响应，投标将被否决。</w:t>
            </w:r>
          </w:p>
          <w:p>
            <w:pPr>
              <w:rPr>
                <w:rFonts w:ascii="仿宋" w:hAnsi="仿宋" w:eastAsia="仿宋" w:cs="仿宋"/>
                <w:b/>
                <w:color w:val="auto"/>
                <w:szCs w:val="21"/>
              </w:rPr>
            </w:pPr>
            <w:r>
              <w:rPr>
                <w:rFonts w:hint="eastAsia" w:ascii="仿宋" w:hAnsi="仿宋" w:eastAsia="仿宋" w:cs="仿宋"/>
                <w:color w:val="auto"/>
                <w:szCs w:val="21"/>
              </w:rPr>
              <w:t>3.4.1 投标人承诺的投标有效期必须不短于招标文件规定的投标有效期，</w:t>
            </w:r>
            <w:r>
              <w:rPr>
                <w:rFonts w:hint="eastAsia" w:ascii="仿宋" w:hAnsi="仿宋" w:eastAsia="仿宋" w:cs="仿宋"/>
                <w:b/>
                <w:color w:val="auto"/>
                <w:szCs w:val="21"/>
              </w:rPr>
              <w:t>否则将构成对招标文件的非实质性响应，投标将被否决。</w:t>
            </w:r>
          </w:p>
          <w:p>
            <w:pPr>
              <w:rPr>
                <w:rFonts w:ascii="Times New Roman" w:hAnsi="Times New Roman" w:cs="Times New Roman"/>
                <w:color w:val="auto"/>
              </w:rPr>
            </w:pPr>
            <w:r>
              <w:rPr>
                <w:rFonts w:hint="eastAsia" w:ascii="仿宋" w:hAnsi="仿宋" w:eastAsia="仿宋" w:cs="仿宋"/>
                <w:color w:val="auto"/>
                <w:szCs w:val="21"/>
              </w:rPr>
              <w:t>3.5.</w:t>
            </w:r>
            <w:r>
              <w:rPr>
                <w:rFonts w:ascii="仿宋" w:hAnsi="仿宋" w:eastAsia="仿宋" w:cs="仿宋"/>
                <w:color w:val="auto"/>
                <w:szCs w:val="21"/>
              </w:rPr>
              <w:t>2</w:t>
            </w:r>
            <w:r>
              <w:rPr>
                <w:rFonts w:hint="eastAsia" w:ascii="仿宋" w:hAnsi="仿宋" w:eastAsia="仿宋" w:cs="仿宋"/>
                <w:color w:val="auto"/>
                <w:szCs w:val="21"/>
              </w:rPr>
              <w:t>（3）未在投标文件递交截止时间前提交投标保证金的或者提交的投标保证金有瑕疵的，</w:t>
            </w:r>
            <w:r>
              <w:rPr>
                <w:rFonts w:hint="eastAsia" w:ascii="仿宋" w:hAnsi="仿宋" w:eastAsia="仿宋" w:cs="仿宋"/>
                <w:b/>
                <w:color w:val="auto"/>
                <w:szCs w:val="21"/>
              </w:rPr>
              <w:t>投标将被否决</w:t>
            </w:r>
            <w:r>
              <w:rPr>
                <w:rFonts w:hint="eastAsia" w:ascii="仿宋" w:hAnsi="仿宋" w:eastAsia="仿宋" w:cs="仿宋"/>
                <w:color w:val="auto"/>
                <w:szCs w:val="21"/>
              </w:rPr>
              <w:t>。</w:t>
            </w:r>
          </w:p>
        </w:tc>
      </w:tr>
      <w:tr>
        <w:tblPrEx>
          <w:tblCellMar>
            <w:top w:w="0" w:type="dxa"/>
            <w:left w:w="108" w:type="dxa"/>
            <w:bottom w:w="0" w:type="dxa"/>
            <w:right w:w="108" w:type="dxa"/>
          </w:tblCellMar>
        </w:tblPrEx>
        <w:trPr>
          <w:jc w:val="center"/>
        </w:trPr>
        <w:tc>
          <w:tcPr>
            <w:tcW w:w="705"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color w:val="auto"/>
                <w:szCs w:val="21"/>
              </w:rPr>
            </w:pPr>
            <w:r>
              <w:rPr>
                <w:rFonts w:hint="eastAsia" w:ascii="仿宋" w:hAnsi="仿宋" w:eastAsia="仿宋" w:cs="仿宋"/>
                <w:color w:val="auto"/>
                <w:szCs w:val="21"/>
              </w:rPr>
              <w:t>第三章</w:t>
            </w:r>
          </w:p>
        </w:tc>
        <w:tc>
          <w:tcPr>
            <w:tcW w:w="913"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color w:val="auto"/>
                <w:szCs w:val="21"/>
              </w:rPr>
            </w:pPr>
            <w:r>
              <w:rPr>
                <w:rFonts w:hint="eastAsia" w:ascii="仿宋" w:hAnsi="仿宋" w:eastAsia="仿宋" w:cs="仿宋"/>
                <w:color w:val="auto"/>
                <w:szCs w:val="21"/>
              </w:rPr>
              <w:t>评标办法</w:t>
            </w:r>
          </w:p>
        </w:tc>
        <w:tc>
          <w:tcPr>
            <w:tcW w:w="3381"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color w:val="auto"/>
                <w:szCs w:val="21"/>
              </w:rPr>
            </w:pPr>
            <w:r>
              <w:rPr>
                <w:rFonts w:hint="eastAsia" w:ascii="仿宋" w:hAnsi="仿宋" w:eastAsia="仿宋" w:cs="仿宋"/>
                <w:color w:val="auto"/>
                <w:szCs w:val="21"/>
              </w:rPr>
              <w:t>3.1.1有一项不符合初步评审标准的，评标委员会</w:t>
            </w:r>
            <w:r>
              <w:rPr>
                <w:rFonts w:hint="eastAsia" w:ascii="仿宋" w:hAnsi="仿宋" w:eastAsia="仿宋" w:cs="仿宋"/>
                <w:b/>
                <w:bCs/>
                <w:color w:val="auto"/>
                <w:szCs w:val="21"/>
              </w:rPr>
              <w:t>应当否决其投标</w:t>
            </w:r>
            <w:r>
              <w:rPr>
                <w:rFonts w:hint="eastAsia" w:ascii="仿宋" w:hAnsi="仿宋" w:eastAsia="仿宋" w:cs="仿宋"/>
                <w:color w:val="auto"/>
                <w:szCs w:val="21"/>
              </w:rPr>
              <w:t>。</w:t>
            </w:r>
          </w:p>
          <w:p>
            <w:pPr>
              <w:rPr>
                <w:rFonts w:ascii="仿宋" w:hAnsi="仿宋" w:eastAsia="仿宋" w:cs="仿宋"/>
                <w:color w:val="auto"/>
                <w:szCs w:val="21"/>
              </w:rPr>
            </w:pPr>
            <w:bookmarkStart w:id="611" w:name="_Toc71192015"/>
            <w:bookmarkStart w:id="612" w:name="_Toc109124292"/>
            <w:r>
              <w:rPr>
                <w:rFonts w:hint="eastAsia" w:ascii="仿宋" w:hAnsi="仿宋" w:eastAsia="仿宋" w:cs="仿宋"/>
                <w:color w:val="auto"/>
                <w:szCs w:val="21"/>
              </w:rPr>
              <w:t>3.1.2投标人有以下情形之一的，评标委员会</w:t>
            </w:r>
            <w:r>
              <w:rPr>
                <w:rFonts w:hint="eastAsia" w:ascii="仿宋" w:hAnsi="仿宋" w:eastAsia="仿宋" w:cs="仿宋"/>
                <w:b/>
                <w:bCs/>
                <w:color w:val="auto"/>
                <w:szCs w:val="21"/>
              </w:rPr>
              <w:t>应当否决其投标</w:t>
            </w:r>
            <w:r>
              <w:rPr>
                <w:rFonts w:hint="eastAsia" w:ascii="仿宋" w:hAnsi="仿宋" w:eastAsia="仿宋" w:cs="仿宋"/>
                <w:color w:val="auto"/>
                <w:szCs w:val="21"/>
              </w:rPr>
              <w:t>：</w:t>
            </w:r>
            <w:bookmarkEnd w:id="611"/>
            <w:bookmarkEnd w:id="612"/>
          </w:p>
          <w:p>
            <w:pPr>
              <w:rPr>
                <w:rFonts w:ascii="仿宋" w:hAnsi="仿宋" w:eastAsia="仿宋" w:cs="仿宋"/>
                <w:color w:val="auto"/>
                <w:szCs w:val="21"/>
              </w:rPr>
            </w:pPr>
            <w:r>
              <w:rPr>
                <w:rFonts w:hint="eastAsia" w:ascii="仿宋" w:hAnsi="仿宋" w:eastAsia="仿宋" w:cs="仿宋"/>
                <w:color w:val="auto"/>
                <w:szCs w:val="21"/>
              </w:rPr>
              <w:t>（1）按照招标公告要求已经递交电子投标文件，但未按时递交纸质投标文件；</w:t>
            </w:r>
          </w:p>
          <w:p>
            <w:pPr>
              <w:rPr>
                <w:rFonts w:ascii="仿宋" w:hAnsi="仿宋" w:eastAsia="仿宋" w:cs="仿宋"/>
                <w:color w:val="auto"/>
                <w:szCs w:val="21"/>
              </w:rPr>
            </w:pPr>
            <w:r>
              <w:rPr>
                <w:rFonts w:hint="eastAsia" w:ascii="仿宋" w:hAnsi="仿宋" w:eastAsia="仿宋" w:cs="仿宋"/>
                <w:color w:val="auto"/>
                <w:szCs w:val="21"/>
              </w:rPr>
              <w:t>（2）投标文件未经投标单位盖章或单位负责人签字；</w:t>
            </w:r>
          </w:p>
          <w:p>
            <w:pPr>
              <w:rPr>
                <w:rFonts w:ascii="仿宋" w:hAnsi="仿宋" w:eastAsia="仿宋" w:cs="仿宋"/>
                <w:color w:val="auto"/>
                <w:szCs w:val="21"/>
              </w:rPr>
            </w:pPr>
            <w:r>
              <w:rPr>
                <w:rFonts w:hint="eastAsia" w:ascii="仿宋" w:hAnsi="仿宋" w:eastAsia="仿宋" w:cs="仿宋"/>
                <w:color w:val="auto"/>
                <w:szCs w:val="21"/>
              </w:rPr>
              <w:t>（3）允许联合体投标的，投标联合体没有递交共同投标协议；</w:t>
            </w:r>
          </w:p>
          <w:p>
            <w:pPr>
              <w:rPr>
                <w:rFonts w:ascii="仿宋" w:hAnsi="仿宋" w:eastAsia="仿宋" w:cs="仿宋"/>
                <w:color w:val="auto"/>
                <w:szCs w:val="21"/>
              </w:rPr>
            </w:pPr>
            <w:r>
              <w:rPr>
                <w:rFonts w:hint="eastAsia" w:ascii="仿宋" w:hAnsi="仿宋" w:eastAsia="仿宋" w:cs="仿宋"/>
                <w:color w:val="auto"/>
                <w:szCs w:val="21"/>
              </w:rPr>
              <w:t>（4）投标人不符合国家或者招标文件规定的资格条件；</w:t>
            </w:r>
          </w:p>
          <w:p>
            <w:pPr>
              <w:rPr>
                <w:rFonts w:ascii="仿宋" w:hAnsi="仿宋" w:eastAsia="仿宋" w:cs="仿宋"/>
                <w:color w:val="auto"/>
                <w:szCs w:val="21"/>
              </w:rPr>
            </w:pPr>
            <w:r>
              <w:rPr>
                <w:rFonts w:hint="eastAsia" w:ascii="仿宋" w:hAnsi="仿宋" w:eastAsia="仿宋" w:cs="仿宋"/>
                <w:color w:val="auto"/>
                <w:szCs w:val="21"/>
              </w:rPr>
              <w:t>（5）同一投标人提交两个以上不同的投标文件或者投标报价，但招标文件要求提交备选投标的除外；</w:t>
            </w:r>
          </w:p>
          <w:p>
            <w:pPr>
              <w:rPr>
                <w:rFonts w:ascii="仿宋" w:hAnsi="仿宋" w:eastAsia="仿宋" w:cs="仿宋"/>
                <w:color w:val="auto"/>
                <w:szCs w:val="21"/>
              </w:rPr>
            </w:pPr>
            <w:r>
              <w:rPr>
                <w:rFonts w:hint="eastAsia" w:ascii="仿宋" w:hAnsi="仿宋" w:eastAsia="仿宋" w:cs="仿宋"/>
                <w:color w:val="auto"/>
                <w:szCs w:val="21"/>
              </w:rPr>
              <w:t>（6）投标报价低于成本或者高于招标文件设定的最高投标限价；</w:t>
            </w:r>
          </w:p>
          <w:p>
            <w:pPr>
              <w:rPr>
                <w:rFonts w:ascii="仿宋" w:hAnsi="仿宋" w:eastAsia="仿宋" w:cs="仿宋"/>
                <w:color w:val="auto"/>
                <w:szCs w:val="21"/>
              </w:rPr>
            </w:pPr>
            <w:r>
              <w:rPr>
                <w:rFonts w:hint="eastAsia" w:ascii="仿宋" w:hAnsi="仿宋" w:eastAsia="仿宋" w:cs="仿宋"/>
                <w:color w:val="auto"/>
                <w:szCs w:val="21"/>
              </w:rPr>
              <w:t xml:space="preserve">（7）投标文件未对招标文件的实质性要求和条件作出响应； </w:t>
            </w:r>
          </w:p>
          <w:p>
            <w:pPr>
              <w:rPr>
                <w:rFonts w:ascii="仿宋" w:hAnsi="仿宋" w:eastAsia="仿宋" w:cs="仿宋"/>
                <w:color w:val="auto"/>
                <w:szCs w:val="21"/>
              </w:rPr>
            </w:pPr>
            <w:r>
              <w:rPr>
                <w:rFonts w:hint="eastAsia" w:ascii="仿宋" w:hAnsi="仿宋" w:eastAsia="仿宋" w:cs="仿宋"/>
                <w:color w:val="auto"/>
                <w:szCs w:val="21"/>
              </w:rPr>
              <w:t>（8）投标人有串通投标、弄虚作假、行贿等违法行为；</w:t>
            </w:r>
          </w:p>
          <w:p>
            <w:pPr>
              <w:rPr>
                <w:rFonts w:ascii="仿宋" w:hAnsi="仿宋" w:eastAsia="仿宋" w:cs="仿宋"/>
                <w:color w:val="auto"/>
                <w:szCs w:val="21"/>
              </w:rPr>
            </w:pPr>
            <w:r>
              <w:rPr>
                <w:rFonts w:hint="eastAsia" w:ascii="仿宋" w:hAnsi="仿宋" w:eastAsia="仿宋" w:cs="仿宋"/>
                <w:color w:val="auto"/>
                <w:szCs w:val="21"/>
              </w:rPr>
              <w:t>（9）不接受或不确认因算术性错误进行的价格修正；</w:t>
            </w:r>
          </w:p>
          <w:p>
            <w:pPr>
              <w:rPr>
                <w:rFonts w:ascii="仿宋" w:hAnsi="仿宋" w:eastAsia="仿宋" w:cs="仿宋"/>
                <w:color w:val="auto"/>
                <w:szCs w:val="21"/>
              </w:rPr>
            </w:pPr>
            <w:r>
              <w:rPr>
                <w:rFonts w:hint="eastAsia" w:ascii="仿宋" w:hAnsi="仿宋" w:eastAsia="仿宋" w:cs="仿宋"/>
                <w:color w:val="auto"/>
                <w:szCs w:val="21"/>
              </w:rPr>
              <w:t>（10）投标文件附有招标人不能接受的条件；</w:t>
            </w:r>
          </w:p>
          <w:p>
            <w:pPr>
              <w:rPr>
                <w:rFonts w:ascii="仿宋" w:hAnsi="仿宋" w:eastAsia="仿宋" w:cs="仿宋"/>
                <w:color w:val="auto"/>
                <w:szCs w:val="21"/>
              </w:rPr>
            </w:pPr>
            <w:r>
              <w:rPr>
                <w:rFonts w:hint="eastAsia" w:ascii="仿宋" w:hAnsi="仿宋" w:eastAsia="仿宋" w:cs="仿宋"/>
                <w:color w:val="auto"/>
                <w:szCs w:val="21"/>
              </w:rPr>
              <w:t>（11）不符合招标文件中规定的其他实质性要求。</w:t>
            </w:r>
          </w:p>
          <w:p>
            <w:pPr>
              <w:rPr>
                <w:rFonts w:ascii="仿宋" w:hAnsi="仿宋" w:eastAsia="仿宋" w:cs="仿宋"/>
                <w:color w:val="auto"/>
                <w:szCs w:val="21"/>
              </w:rPr>
            </w:pPr>
            <w:r>
              <w:rPr>
                <w:rFonts w:hint="eastAsia" w:ascii="仿宋" w:hAnsi="仿宋" w:eastAsia="仿宋" w:cs="仿宋"/>
                <w:color w:val="auto"/>
                <w:szCs w:val="21"/>
              </w:rPr>
              <w:t>3.1.3投标报价有算术错误的，评标委员会按照以下原则对投标报价进行修正，修正的价格经投标人书面确认后具有约束力。投标人不接受或不确认修正后价格的，</w:t>
            </w:r>
            <w:r>
              <w:rPr>
                <w:rFonts w:hint="eastAsia" w:ascii="仿宋" w:hAnsi="仿宋" w:eastAsia="仿宋" w:cs="仿宋"/>
                <w:b/>
                <w:bCs/>
                <w:color w:val="auto"/>
                <w:szCs w:val="21"/>
              </w:rPr>
              <w:t>评标委员会应当否决其投标。</w:t>
            </w:r>
          </w:p>
          <w:p>
            <w:pPr>
              <w:rPr>
                <w:rFonts w:ascii="仿宋" w:hAnsi="仿宋" w:eastAsia="仿宋" w:cs="仿宋"/>
                <w:color w:val="auto"/>
                <w:szCs w:val="21"/>
              </w:rPr>
            </w:pPr>
            <w:r>
              <w:rPr>
                <w:rFonts w:hint="eastAsia" w:ascii="仿宋" w:hAnsi="仿宋" w:eastAsia="仿宋" w:cs="仿宋"/>
                <w:color w:val="auto"/>
                <w:szCs w:val="21"/>
              </w:rPr>
              <w:t>（1） 投标文件中的大写金额与小写金额不一致的，以大写金额为准；</w:t>
            </w:r>
          </w:p>
          <w:p>
            <w:pPr>
              <w:rPr>
                <w:rFonts w:ascii="仿宋" w:hAnsi="仿宋" w:eastAsia="仿宋" w:cs="仿宋"/>
                <w:color w:val="auto"/>
                <w:szCs w:val="21"/>
              </w:rPr>
            </w:pPr>
            <w:r>
              <w:rPr>
                <w:rFonts w:hint="eastAsia" w:ascii="仿宋" w:hAnsi="仿宋" w:eastAsia="仿宋" w:cs="仿宋"/>
                <w:color w:val="auto"/>
                <w:szCs w:val="21"/>
              </w:rPr>
              <w:t>（2） 总价金额与根据单价计算出的结果不一致的，以单价金额为准修正总价，但单价金额小数点有明显错误的除外。</w:t>
            </w:r>
          </w:p>
          <w:p>
            <w:pPr>
              <w:pStyle w:val="2"/>
              <w:rPr>
                <w:rFonts w:ascii="仿宋" w:hAnsi="仿宋" w:eastAsia="仿宋" w:cs="Times New Roman"/>
                <w:color w:val="auto"/>
                <w:szCs w:val="21"/>
              </w:rPr>
            </w:pPr>
            <w:r>
              <w:rPr>
                <w:rFonts w:hint="eastAsia" w:ascii="仿宋" w:hAnsi="仿宋" w:eastAsia="仿宋" w:cs="仿宋"/>
                <w:color w:val="auto"/>
                <w:szCs w:val="21"/>
              </w:rPr>
              <w:t>3.1.4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仿宋" w:hAnsi="仿宋" w:eastAsia="仿宋" w:cs="仿宋"/>
                <w:b/>
                <w:bCs/>
                <w:color w:val="auto"/>
                <w:szCs w:val="21"/>
              </w:rPr>
              <w:t>应当否决其投标。</w:t>
            </w:r>
          </w:p>
          <w:p>
            <w:pPr>
              <w:pStyle w:val="2"/>
              <w:rPr>
                <w:rFonts w:ascii="仿宋" w:hAnsi="仿宋" w:eastAsia="仿宋" w:cs="Times New Roman"/>
                <w:color w:val="auto"/>
                <w:szCs w:val="21"/>
              </w:rPr>
            </w:pPr>
            <w:r>
              <w:rPr>
                <w:rFonts w:hint="eastAsia" w:ascii="仿宋" w:hAnsi="仿宋" w:eastAsia="仿宋" w:cs="Times New Roman"/>
                <w:color w:val="auto"/>
                <w:szCs w:val="21"/>
              </w:rPr>
              <w:t>3.1.5 中标人为1家的项目，如果有效投标人少于3家（不含本数），评标委员会</w:t>
            </w:r>
            <w:r>
              <w:rPr>
                <w:rFonts w:hint="eastAsia" w:ascii="仿宋" w:hAnsi="仿宋" w:eastAsia="仿宋" w:cs="Times New Roman"/>
                <w:b/>
                <w:bCs/>
                <w:color w:val="auto"/>
                <w:szCs w:val="21"/>
              </w:rPr>
              <w:t>将否决全部投标</w:t>
            </w:r>
            <w:r>
              <w:rPr>
                <w:rFonts w:hint="eastAsia" w:ascii="仿宋" w:hAnsi="仿宋" w:eastAsia="仿宋" w:cs="Times New Roman"/>
                <w:color w:val="auto"/>
                <w:szCs w:val="21"/>
              </w:rPr>
              <w:t>。中标人为N家（1＜N≤3）的项目，如果有效投标人少于2N家（不含本数），评标委员会</w:t>
            </w:r>
            <w:r>
              <w:rPr>
                <w:rFonts w:hint="eastAsia" w:ascii="仿宋" w:hAnsi="仿宋" w:eastAsia="仿宋" w:cs="Times New Roman"/>
                <w:b/>
                <w:bCs/>
                <w:color w:val="auto"/>
                <w:szCs w:val="21"/>
              </w:rPr>
              <w:t>将否决全部投标</w:t>
            </w:r>
            <w:r>
              <w:rPr>
                <w:rFonts w:hint="eastAsia" w:ascii="仿宋" w:hAnsi="仿宋" w:eastAsia="仿宋" w:cs="Times New Roman"/>
                <w:color w:val="auto"/>
                <w:szCs w:val="21"/>
              </w:rPr>
              <w:t>。中标人为N家（N＞3）的项目，如果有效投标人少于1.5N家（不含本数），评标委员会</w:t>
            </w:r>
            <w:r>
              <w:rPr>
                <w:rFonts w:hint="eastAsia" w:ascii="仿宋" w:hAnsi="仿宋" w:eastAsia="仿宋" w:cs="Times New Roman"/>
                <w:b/>
                <w:bCs/>
                <w:color w:val="auto"/>
                <w:szCs w:val="21"/>
              </w:rPr>
              <w:t>将否决全部投标</w:t>
            </w:r>
            <w:r>
              <w:rPr>
                <w:rFonts w:hint="eastAsia" w:ascii="仿宋" w:hAnsi="仿宋" w:eastAsia="仿宋" w:cs="Times New Roman"/>
                <w:color w:val="auto"/>
                <w:szCs w:val="21"/>
              </w:rPr>
              <w:t>。</w:t>
            </w:r>
          </w:p>
          <w:p>
            <w:pPr>
              <w:pStyle w:val="2"/>
              <w:rPr>
                <w:rFonts w:ascii="仿宋" w:hAnsi="仿宋" w:eastAsia="仿宋" w:cs="Times New Roman"/>
                <w:b/>
                <w:bCs/>
                <w:color w:val="auto"/>
                <w:szCs w:val="21"/>
              </w:rPr>
            </w:pPr>
            <w:r>
              <w:rPr>
                <w:rFonts w:hint="eastAsia" w:ascii="仿宋" w:hAnsi="仿宋" w:eastAsia="仿宋" w:cs="Times New Roman"/>
                <w:color w:val="auto"/>
                <w:szCs w:val="21"/>
              </w:rPr>
              <w:t>3</w:t>
            </w:r>
            <w:r>
              <w:rPr>
                <w:rFonts w:ascii="仿宋" w:hAnsi="仿宋" w:eastAsia="仿宋" w:cs="Times New Roman"/>
                <w:color w:val="auto"/>
                <w:szCs w:val="21"/>
              </w:rPr>
              <w:t xml:space="preserve">.3.3 </w:t>
            </w:r>
            <w:r>
              <w:rPr>
                <w:rFonts w:hint="eastAsia" w:ascii="仿宋" w:hAnsi="仿宋" w:eastAsia="仿宋" w:cs="Times New Roman"/>
                <w:color w:val="auto"/>
                <w:szCs w:val="21"/>
              </w:rPr>
              <w:t>投标人的澄清、说明和补正应当采用书面形式,并不得超出投标文件的范围或者改变投标文件的实质性内容（算术性错误修正的除外），投标人的书面澄清、说明和补正属于投标文件的组成部分。拒不按照要求对投标文件进行澄清、说明或补正的，</w:t>
            </w:r>
            <w:r>
              <w:rPr>
                <w:rFonts w:hint="eastAsia" w:ascii="仿宋" w:hAnsi="仿宋" w:eastAsia="仿宋" w:cs="Times New Roman"/>
                <w:b/>
                <w:bCs/>
                <w:color w:val="auto"/>
                <w:szCs w:val="21"/>
              </w:rPr>
              <w:t>评标委员会可以否决其投标。</w:t>
            </w:r>
          </w:p>
          <w:p>
            <w:pPr>
              <w:rPr>
                <w:rFonts w:ascii="宋体" w:hAnsi="宋体" w:cs="Times New Roman"/>
                <w:color w:val="auto"/>
                <w:szCs w:val="21"/>
              </w:rPr>
            </w:pPr>
            <w:r>
              <w:rPr>
                <w:rFonts w:hint="eastAsia" w:ascii="仿宋" w:hAnsi="仿宋" w:eastAsia="仿宋" w:cs="仿宋"/>
                <w:color w:val="auto"/>
                <w:szCs w:val="21"/>
              </w:rPr>
              <w:t>3.3.5 评标委员会必要时可以要求投标人提交有关证明和证件的原件，以便核验。拒不按照要求提供原件的，</w:t>
            </w:r>
            <w:r>
              <w:rPr>
                <w:rFonts w:hint="eastAsia" w:ascii="仿宋" w:hAnsi="仿宋" w:eastAsia="仿宋" w:cs="仿宋"/>
                <w:b/>
                <w:bCs/>
                <w:color w:val="auto"/>
                <w:szCs w:val="21"/>
              </w:rPr>
              <w:t>评标委员会可以否决其投标。</w:t>
            </w:r>
          </w:p>
        </w:tc>
      </w:tr>
      <w:tr>
        <w:tblPrEx>
          <w:tblCellMar>
            <w:top w:w="0" w:type="dxa"/>
            <w:left w:w="108" w:type="dxa"/>
            <w:bottom w:w="0" w:type="dxa"/>
            <w:right w:w="108" w:type="dxa"/>
          </w:tblCellMar>
        </w:tblPrEx>
        <w:trPr>
          <w:jc w:val="center"/>
        </w:trPr>
        <w:tc>
          <w:tcPr>
            <w:tcW w:w="705"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color w:val="auto"/>
                <w:szCs w:val="21"/>
              </w:rPr>
            </w:pPr>
            <w:r>
              <w:rPr>
                <w:rFonts w:hint="eastAsia" w:ascii="仿宋" w:hAnsi="仿宋" w:eastAsia="仿宋" w:cs="仿宋"/>
                <w:color w:val="auto"/>
                <w:szCs w:val="21"/>
              </w:rPr>
              <w:t>第五章</w:t>
            </w:r>
          </w:p>
        </w:tc>
        <w:tc>
          <w:tcPr>
            <w:tcW w:w="913" w:type="pct"/>
            <w:tcBorders>
              <w:top w:val="single" w:color="auto" w:sz="4" w:space="0"/>
              <w:left w:val="single" w:color="auto" w:sz="4" w:space="0"/>
              <w:bottom w:val="single" w:color="auto" w:sz="4" w:space="0"/>
              <w:right w:val="single" w:color="auto" w:sz="4" w:space="0"/>
            </w:tcBorders>
            <w:vAlign w:val="center"/>
          </w:tcPr>
          <w:p>
            <w:pPr>
              <w:spacing w:before="62" w:after="62"/>
              <w:jc w:val="center"/>
              <w:rPr>
                <w:rFonts w:ascii="仿宋" w:hAnsi="仿宋" w:eastAsia="仿宋" w:cs="仿宋"/>
                <w:color w:val="auto"/>
                <w:szCs w:val="21"/>
              </w:rPr>
            </w:pPr>
            <w:r>
              <w:rPr>
                <w:rFonts w:hint="eastAsia" w:ascii="仿宋" w:hAnsi="仿宋" w:eastAsia="仿宋" w:cs="仿宋"/>
                <w:color w:val="auto"/>
                <w:szCs w:val="21"/>
              </w:rPr>
              <w:t>技术规范书</w:t>
            </w:r>
          </w:p>
        </w:tc>
        <w:tc>
          <w:tcPr>
            <w:tcW w:w="3381"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color w:val="auto"/>
                <w:szCs w:val="21"/>
              </w:rPr>
            </w:pPr>
            <w:r>
              <w:rPr>
                <w:rFonts w:hint="eastAsia" w:ascii="仿宋" w:hAnsi="仿宋" w:eastAsia="仿宋" w:cs="仿宋"/>
                <w:color w:val="auto"/>
                <w:szCs w:val="21"/>
              </w:rPr>
              <w:t>未能完全响应任意一项★号条款的投标将被否决。</w:t>
            </w:r>
          </w:p>
        </w:tc>
      </w:tr>
    </w:tbl>
    <w:p>
      <w:pPr>
        <w:pStyle w:val="5"/>
        <w:rPr>
          <w:rFonts w:hint="default"/>
          <w:color w:val="auto"/>
        </w:rPr>
      </w:pPr>
      <w:bookmarkStart w:id="613" w:name="_Toc26101"/>
      <w:bookmarkStart w:id="614" w:name="_Toc65682983"/>
      <w:bookmarkStart w:id="615" w:name="_Toc18549"/>
      <w:bookmarkStart w:id="616" w:name="_Toc109124308"/>
    </w:p>
    <w:p>
      <w:pPr>
        <w:pStyle w:val="5"/>
        <w:rPr>
          <w:rFonts w:hint="default"/>
          <w:color w:val="auto"/>
        </w:rPr>
      </w:pPr>
      <w:r>
        <w:rPr>
          <w:color w:val="auto"/>
        </w:rPr>
        <w:t>3、详细评审标准</w:t>
      </w:r>
      <w:bookmarkEnd w:id="613"/>
      <w:bookmarkEnd w:id="614"/>
      <w:bookmarkEnd w:id="615"/>
      <w:bookmarkEnd w:id="616"/>
    </w:p>
    <w:tbl>
      <w:tblPr>
        <w:tblStyle w:val="41"/>
        <w:tblW w:w="9195" w:type="dxa"/>
        <w:jc w:val="center"/>
        <w:tblLayout w:type="fixed"/>
        <w:tblCellMar>
          <w:top w:w="0" w:type="dxa"/>
          <w:left w:w="108" w:type="dxa"/>
          <w:bottom w:w="0" w:type="dxa"/>
          <w:right w:w="108" w:type="dxa"/>
        </w:tblCellMar>
      </w:tblPr>
      <w:tblGrid>
        <w:gridCol w:w="767"/>
        <w:gridCol w:w="1107"/>
        <w:gridCol w:w="5772"/>
        <w:gridCol w:w="750"/>
        <w:gridCol w:w="799"/>
      </w:tblGrid>
      <w:tr>
        <w:tblPrEx>
          <w:tblCellMar>
            <w:top w:w="0" w:type="dxa"/>
            <w:left w:w="108" w:type="dxa"/>
            <w:bottom w:w="0" w:type="dxa"/>
            <w:right w:w="108" w:type="dxa"/>
          </w:tblCellMar>
        </w:tblPrEx>
        <w:trPr>
          <w:trHeight w:val="285" w:hRule="atLeast"/>
          <w:jc w:val="center"/>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spacing w:line="240" w:lineRule="auto"/>
              <w:jc w:val="center"/>
              <w:rPr>
                <w:rFonts w:ascii="仿宋_GB2312" w:hAnsi="宋体" w:eastAsia="仿宋_GB2312" w:cs="仿宋_GB2312"/>
                <w:b/>
                <w:bCs/>
                <w:color w:val="auto"/>
                <w:szCs w:val="21"/>
              </w:rPr>
            </w:pPr>
            <w:r>
              <w:rPr>
                <w:rFonts w:hint="eastAsia" w:ascii="仿宋_GB2312" w:hAnsi="宋体" w:eastAsia="仿宋_GB2312" w:cs="仿宋_GB2312"/>
                <w:b/>
                <w:bCs/>
                <w:color w:val="auto"/>
                <w:szCs w:val="21"/>
                <w:lang w:bidi="ar"/>
              </w:rPr>
              <w:t>内容</w:t>
            </w: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_GB2312" w:hAnsi="宋体" w:eastAsia="仿宋_GB2312" w:cs="仿宋_GB2312"/>
                <w:b/>
                <w:bCs/>
                <w:color w:val="auto"/>
                <w:szCs w:val="21"/>
              </w:rPr>
            </w:pPr>
            <w:r>
              <w:rPr>
                <w:rFonts w:hint="eastAsia" w:ascii="仿宋_GB2312" w:hAnsi="宋体" w:eastAsia="仿宋_GB2312" w:cs="仿宋_GB2312"/>
                <w:b/>
                <w:bCs/>
                <w:color w:val="auto"/>
                <w:szCs w:val="21"/>
                <w:lang w:bidi="ar"/>
              </w:rPr>
              <w:t>评审因素</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spacing w:line="240" w:lineRule="auto"/>
              <w:jc w:val="left"/>
              <w:rPr>
                <w:rFonts w:ascii="仿宋_GB2312" w:hAnsi="宋体" w:eastAsia="仿宋_GB2312" w:cs="仿宋_GB2312"/>
                <w:b/>
                <w:bCs/>
                <w:color w:val="auto"/>
                <w:szCs w:val="21"/>
              </w:rPr>
            </w:pPr>
            <w:r>
              <w:rPr>
                <w:rFonts w:hint="eastAsia" w:ascii="仿宋_GB2312" w:hAnsi="宋体" w:eastAsia="仿宋_GB2312" w:cs="仿宋_GB2312"/>
                <w:b/>
                <w:bCs/>
                <w:color w:val="auto"/>
                <w:szCs w:val="21"/>
                <w:lang w:bidi="ar"/>
              </w:rPr>
              <w:t>评分说明</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_GB2312" w:hAnsi="宋体" w:eastAsia="仿宋_GB2312" w:cs="仿宋_GB2312"/>
                <w:b/>
                <w:bCs/>
                <w:color w:val="auto"/>
                <w:szCs w:val="21"/>
              </w:rPr>
            </w:pPr>
            <w:r>
              <w:rPr>
                <w:rFonts w:hint="eastAsia" w:ascii="仿宋_GB2312" w:hAnsi="宋体" w:eastAsia="仿宋_GB2312" w:cs="仿宋_GB2312"/>
                <w:b/>
                <w:bCs/>
                <w:color w:val="auto"/>
                <w:szCs w:val="21"/>
                <w:lang w:bidi="ar"/>
              </w:rPr>
              <w:t>分值</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_GB2312" w:hAnsi="宋体" w:eastAsia="仿宋_GB2312" w:cs="仿宋_GB2312"/>
                <w:b/>
                <w:bCs/>
                <w:color w:val="auto"/>
                <w:szCs w:val="21"/>
              </w:rPr>
            </w:pPr>
            <w:r>
              <w:rPr>
                <w:rFonts w:hint="eastAsia" w:ascii="仿宋_GB2312" w:hAnsi="宋体" w:eastAsia="仿宋_GB2312" w:cs="仿宋_GB2312"/>
                <w:b/>
                <w:bCs/>
                <w:color w:val="auto"/>
                <w:szCs w:val="21"/>
                <w:lang w:bidi="ar"/>
              </w:rPr>
              <w:t>类别</w:t>
            </w:r>
          </w:p>
        </w:tc>
      </w:tr>
      <w:tr>
        <w:tblPrEx>
          <w:tblCellMar>
            <w:top w:w="0" w:type="dxa"/>
            <w:left w:w="108" w:type="dxa"/>
            <w:bottom w:w="0" w:type="dxa"/>
            <w:right w:w="108" w:type="dxa"/>
          </w:tblCellMar>
        </w:tblPrEx>
        <w:trPr>
          <w:trHeight w:val="525" w:hRule="atLeast"/>
          <w:jc w:val="center"/>
        </w:trPr>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价格部分(60分）</w:t>
            </w:r>
          </w:p>
        </w:tc>
        <w:tc>
          <w:tcPr>
            <w:tcW w:w="11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投标报价</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b/>
                <w:bCs/>
                <w:color w:val="auto"/>
                <w:szCs w:val="21"/>
              </w:rPr>
            </w:pPr>
            <w:r>
              <w:rPr>
                <w:rFonts w:hint="eastAsia" w:ascii="仿宋" w:hAnsi="仿宋" w:eastAsia="仿宋" w:cs="仿宋"/>
                <w:b/>
                <w:bCs/>
                <w:color w:val="auto"/>
                <w:szCs w:val="21"/>
                <w:lang w:bidi="ar"/>
              </w:rPr>
              <w:t>1、低价优先法</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60</w:t>
            </w:r>
          </w:p>
        </w:tc>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客观分</w:t>
            </w:r>
          </w:p>
        </w:tc>
      </w:tr>
      <w:tr>
        <w:tblPrEx>
          <w:tblCellMar>
            <w:top w:w="0" w:type="dxa"/>
            <w:left w:w="108" w:type="dxa"/>
            <w:bottom w:w="0" w:type="dxa"/>
            <w:right w:w="108" w:type="dxa"/>
          </w:tblCellMar>
        </w:tblPrEx>
        <w:trPr>
          <w:trHeight w:val="28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1）适用情形：有效投标人少于5家（不含本数）</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52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Style w:val="236"/>
                <w:rFonts w:hint="default"/>
                <w:color w:val="auto"/>
                <w:lang w:bidi="ar"/>
              </w:rPr>
              <w:t>2）评标价：各有效投标人的含税投</w:t>
            </w:r>
            <w:r>
              <w:rPr>
                <w:rStyle w:val="303"/>
                <w:rFonts w:hint="default"/>
                <w:color w:val="auto"/>
                <w:lang w:bidi="ar"/>
              </w:rPr>
              <w:t>标价</w:t>
            </w:r>
            <w:r>
              <w:rPr>
                <w:rStyle w:val="304"/>
                <w:rFonts w:hint="default"/>
                <w:color w:val="auto"/>
                <w:lang w:bidi="ar"/>
              </w:rPr>
              <w:t>,剔除可抵扣的增值税进项税额</w:t>
            </w:r>
            <w:r>
              <w:rPr>
                <w:rStyle w:val="303"/>
                <w:rFonts w:hint="default"/>
                <w:color w:val="auto"/>
                <w:lang w:bidi="ar"/>
              </w:rPr>
              <w:t>。</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28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3）评标基准价：满足招标文件要求且最低的有效评标价。</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78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4）价格分计算：评标价=评标基准价的投标人，得价格分的满分；其他投标人的价格分按照以下公式计算，并精确到小数点后两位：</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28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价格得分＝（评标基准价/该投标人的评标价）*60；</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28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b/>
                <w:bCs/>
                <w:color w:val="auto"/>
                <w:szCs w:val="21"/>
              </w:rPr>
            </w:pPr>
            <w:r>
              <w:rPr>
                <w:rFonts w:hint="eastAsia" w:ascii="仿宋" w:hAnsi="仿宋" w:eastAsia="仿宋" w:cs="仿宋"/>
                <w:b/>
                <w:bCs/>
                <w:color w:val="auto"/>
                <w:szCs w:val="21"/>
                <w:lang w:bidi="ar"/>
              </w:rPr>
              <w:t>2、偏离度计算法</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28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1）适用情形：有效投标人大于5家（含本数）</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52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Style w:val="236"/>
                <w:rFonts w:hint="default"/>
                <w:color w:val="auto"/>
                <w:lang w:bidi="ar"/>
              </w:rPr>
              <w:t>2）评标价：各有</w:t>
            </w:r>
            <w:r>
              <w:rPr>
                <w:rStyle w:val="303"/>
                <w:rFonts w:hint="default"/>
                <w:color w:val="auto"/>
                <w:lang w:bidi="ar"/>
              </w:rPr>
              <w:t>效投标人的含税投标价</w:t>
            </w:r>
            <w:r>
              <w:rPr>
                <w:rStyle w:val="304"/>
                <w:rFonts w:hint="default"/>
                <w:color w:val="auto"/>
                <w:lang w:bidi="ar"/>
              </w:rPr>
              <w:t>,剔除可抵扣的增值税进项税额</w:t>
            </w:r>
            <w:r>
              <w:rPr>
                <w:rStyle w:val="303"/>
                <w:rFonts w:hint="default"/>
                <w:color w:val="auto"/>
                <w:lang w:bidi="ar"/>
              </w:rPr>
              <w:t>。</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28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3）评标基准价：取所有有效评标价的算术平均值。</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52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4）价格分计算：按照以下公式计算，并精确到小数点后两位：</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28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价格得分=(1-A*│1－该投标人的评标价／评标基准价│)*60</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78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A：价格调整系数，当该投标人的评标价低于评标基准价时，A=0.3；当该投标人的评标价高于评标基准价时，A=1；当价格得分&lt;0时，取0。</w:t>
            </w: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r>
      <w:tr>
        <w:tblPrEx>
          <w:tblCellMar>
            <w:top w:w="0" w:type="dxa"/>
            <w:left w:w="108" w:type="dxa"/>
            <w:bottom w:w="0" w:type="dxa"/>
            <w:right w:w="108" w:type="dxa"/>
          </w:tblCellMar>
        </w:tblPrEx>
        <w:trPr>
          <w:trHeight w:val="1290" w:hRule="atLeast"/>
          <w:jc w:val="center"/>
        </w:trPr>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商务部分（10分）</w:t>
            </w: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企业综合实力</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5</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主观分</w:t>
            </w:r>
          </w:p>
        </w:tc>
      </w:tr>
      <w:tr>
        <w:tblPrEx>
          <w:tblCellMar>
            <w:top w:w="0" w:type="dxa"/>
            <w:left w:w="108" w:type="dxa"/>
            <w:bottom w:w="0" w:type="dxa"/>
            <w:right w:w="108" w:type="dxa"/>
          </w:tblCellMar>
        </w:tblPrEx>
        <w:trPr>
          <w:trHeight w:val="154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Style w:val="303"/>
                <w:rFonts w:hint="default"/>
                <w:color w:val="auto"/>
                <w:lang w:bidi="ar"/>
              </w:rPr>
              <w:t>同类业绩</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rPr>
                <w:rFonts w:ascii="仿宋" w:hAnsi="仿宋" w:eastAsia="仿宋" w:cs="仿宋"/>
                <w:color w:val="auto"/>
                <w:szCs w:val="21"/>
              </w:rPr>
            </w:pPr>
            <w:r>
              <w:rPr>
                <w:rStyle w:val="305"/>
                <w:rFonts w:hint="default"/>
                <w:color w:val="auto"/>
                <w:lang w:bidi="ar"/>
              </w:rPr>
              <w:t>投标人近三年（</w:t>
            </w:r>
            <w:r>
              <w:rPr>
                <w:rStyle w:val="305"/>
                <w:color w:val="auto"/>
                <w:lang w:bidi="ar"/>
              </w:rPr>
              <w:t>2022</w:t>
            </w:r>
            <w:r>
              <w:rPr>
                <w:rStyle w:val="305"/>
                <w:rFonts w:hint="default"/>
                <w:color w:val="auto"/>
                <w:lang w:bidi="ar"/>
              </w:rPr>
              <w:t>年1月1日至开标日）</w:t>
            </w:r>
            <w:r>
              <w:rPr>
                <w:rStyle w:val="305"/>
                <w:color w:val="auto"/>
                <w:lang w:bidi="ar"/>
              </w:rPr>
              <w:t>在</w:t>
            </w:r>
            <w:r>
              <w:rPr>
                <w:rStyle w:val="305"/>
                <w:rFonts w:hint="default"/>
                <w:color w:val="auto"/>
                <w:lang w:bidi="ar"/>
              </w:rPr>
              <w:t>满足资格条件要求的</w:t>
            </w:r>
            <w:r>
              <w:rPr>
                <w:rStyle w:val="305"/>
                <w:color w:val="auto"/>
                <w:lang w:bidi="ar"/>
              </w:rPr>
              <w:t>1</w:t>
            </w:r>
            <w:r>
              <w:rPr>
                <w:rStyle w:val="305"/>
                <w:rFonts w:hint="default"/>
                <w:color w:val="auto"/>
                <w:lang w:bidi="ar"/>
              </w:rPr>
              <w:t>个同类项目实施案例</w:t>
            </w:r>
            <w:r>
              <w:rPr>
                <w:rStyle w:val="305"/>
                <w:color w:val="auto"/>
                <w:lang w:bidi="ar"/>
              </w:rPr>
              <w:t>的基础上</w:t>
            </w:r>
            <w:r>
              <w:rPr>
                <w:rStyle w:val="305"/>
                <w:rFonts w:hint="default"/>
                <w:color w:val="auto"/>
                <w:lang w:bidi="ar"/>
              </w:rPr>
              <w:t>，每增加</w:t>
            </w:r>
            <w:r>
              <w:rPr>
                <w:rStyle w:val="305"/>
                <w:color w:val="auto"/>
                <w:lang w:bidi="ar"/>
              </w:rPr>
              <w:t>1个业绩加1分，本项最多得5分，</w:t>
            </w:r>
            <w:r>
              <w:rPr>
                <w:rStyle w:val="305"/>
                <w:rFonts w:hint="default"/>
                <w:color w:val="auto"/>
                <w:lang w:bidi="ar"/>
              </w:rPr>
              <w:t>无符合要求的不得分</w:t>
            </w:r>
            <w:r>
              <w:rPr>
                <w:rStyle w:val="305"/>
                <w:color w:val="auto"/>
                <w:lang w:bidi="ar"/>
              </w:rPr>
              <w:t>；</w:t>
            </w:r>
            <w:r>
              <w:rPr>
                <w:rStyle w:val="305"/>
                <w:rFonts w:hint="default"/>
                <w:color w:val="auto"/>
                <w:lang w:bidi="ar"/>
              </w:rPr>
              <w:t>提供符合上述要求的合同/协议关键页作为有效的业绩证明材料。合同/协议关键页包含但不限于合同/协议首页、体现项目内容页、签署日期页及盖章页等。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5</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客观分</w:t>
            </w:r>
          </w:p>
        </w:tc>
      </w:tr>
      <w:tr>
        <w:tblPrEx>
          <w:tblCellMar>
            <w:top w:w="0" w:type="dxa"/>
            <w:left w:w="108" w:type="dxa"/>
            <w:bottom w:w="0" w:type="dxa"/>
            <w:right w:w="108" w:type="dxa"/>
          </w:tblCellMar>
        </w:tblPrEx>
        <w:trPr>
          <w:trHeight w:val="1035" w:hRule="atLeast"/>
          <w:jc w:val="center"/>
        </w:trPr>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技术部分-施工组织设计及项目人员配置     （30分）</w:t>
            </w: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施工方案与技术措施（6分）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以施工方案与技术措施是否满足要求、技术措施是否明确、详尽作为评分依据，优得5-6分，良得3-4分，一般得1-2分，无不得分。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6</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主观分</w:t>
            </w:r>
          </w:p>
        </w:tc>
      </w:tr>
      <w:tr>
        <w:tblPrEx>
          <w:tblCellMar>
            <w:top w:w="0" w:type="dxa"/>
            <w:left w:w="108" w:type="dxa"/>
            <w:bottom w:w="0" w:type="dxa"/>
            <w:right w:w="108" w:type="dxa"/>
          </w:tblCellMar>
        </w:tblPrEx>
        <w:trPr>
          <w:trHeight w:val="127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Style w:val="236"/>
                <w:rFonts w:hint="default"/>
                <w:color w:val="auto"/>
                <w:lang w:bidi="ar"/>
              </w:rPr>
              <w:t>质量管理体系及保证措施（4分）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Style w:val="236"/>
                <w:rFonts w:hint="default"/>
                <w:color w:val="auto"/>
                <w:lang w:bidi="ar"/>
              </w:rPr>
              <w:t>以质量管理体系及保证措施是否明确、详尽、合理作为评分依据，优得4分，良得2-3分，一般得1分，无不得分。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4</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主观分</w:t>
            </w:r>
          </w:p>
        </w:tc>
      </w:tr>
      <w:tr>
        <w:tblPrEx>
          <w:tblCellMar>
            <w:top w:w="0" w:type="dxa"/>
            <w:left w:w="108" w:type="dxa"/>
            <w:bottom w:w="0" w:type="dxa"/>
            <w:right w:w="108" w:type="dxa"/>
          </w:tblCellMar>
        </w:tblPrEx>
        <w:trPr>
          <w:trHeight w:val="102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安全文明施工与安全管理体系与措施（3分）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以文明施工与安全管理体系与措施是否明确、详尽、合理作为评分依据，优得3分，良得2分，一般得1分，无不得分。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3</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主观分</w:t>
            </w:r>
          </w:p>
        </w:tc>
      </w:tr>
      <w:tr>
        <w:tblPrEx>
          <w:tblCellMar>
            <w:top w:w="0" w:type="dxa"/>
            <w:left w:w="108" w:type="dxa"/>
            <w:bottom w:w="0" w:type="dxa"/>
            <w:right w:w="108" w:type="dxa"/>
          </w:tblCellMar>
        </w:tblPrEx>
        <w:trPr>
          <w:trHeight w:val="76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环境保护管理体系与措施（3分）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以环境保护管理体系与措施是否完善、环保管理措施是否得力可行作为评分依据，优得3分，良得2分，一般得1分，无不得分。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3</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主观分</w:t>
            </w:r>
          </w:p>
        </w:tc>
      </w:tr>
      <w:tr>
        <w:tblPrEx>
          <w:tblCellMar>
            <w:top w:w="0" w:type="dxa"/>
            <w:left w:w="108" w:type="dxa"/>
            <w:bottom w:w="0" w:type="dxa"/>
            <w:right w:w="108" w:type="dxa"/>
          </w:tblCellMar>
        </w:tblPrEx>
        <w:trPr>
          <w:trHeight w:val="129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Style w:val="236"/>
                <w:rFonts w:hint="default"/>
                <w:color w:val="auto"/>
                <w:lang w:bidi="ar"/>
              </w:rPr>
              <w:t>工程进度计划与措施（4分）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Style w:val="236"/>
                <w:rFonts w:hint="default"/>
                <w:color w:val="auto"/>
                <w:lang w:bidi="ar"/>
              </w:rPr>
              <w:t>以工程进度计划与措施是否满足要求、工程进度与工期安排衔接对应是否明确、详尽作为评分依据，优得4分，良得2-3分，一般得1分，无不得分。</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4</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主观分</w:t>
            </w:r>
          </w:p>
        </w:tc>
      </w:tr>
      <w:tr>
        <w:tblPrEx>
          <w:tblCellMar>
            <w:top w:w="0" w:type="dxa"/>
            <w:left w:w="108" w:type="dxa"/>
            <w:bottom w:w="0" w:type="dxa"/>
            <w:right w:w="108" w:type="dxa"/>
          </w:tblCellMar>
        </w:tblPrEx>
        <w:trPr>
          <w:trHeight w:val="2055"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项目经理任职资格（3分）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1、具有二级及以上建造师证（建筑工程专业）证书的得2分。</w:t>
            </w:r>
            <w:r>
              <w:rPr>
                <w:rFonts w:hint="eastAsia" w:ascii="仿宋" w:hAnsi="仿宋" w:eastAsia="仿宋" w:cs="仿宋"/>
                <w:color w:val="auto"/>
                <w:szCs w:val="21"/>
                <w:lang w:bidi="ar"/>
              </w:rPr>
              <w:br w:type="textWrapping"/>
            </w:r>
            <w:r>
              <w:rPr>
                <w:rFonts w:hint="eastAsia" w:ascii="仿宋" w:hAnsi="仿宋" w:eastAsia="仿宋" w:cs="仿宋"/>
                <w:color w:val="auto"/>
                <w:szCs w:val="21"/>
                <w:lang w:bidi="ar"/>
              </w:rPr>
              <w:t>2、具有一级及以上建造师证（建筑工程专业）证书的得3分。</w:t>
            </w:r>
            <w:r>
              <w:rPr>
                <w:rFonts w:hint="eastAsia" w:ascii="仿宋" w:hAnsi="仿宋" w:eastAsia="仿宋" w:cs="仿宋"/>
                <w:color w:val="auto"/>
                <w:szCs w:val="21"/>
                <w:lang w:bidi="ar"/>
              </w:rPr>
              <w:br w:type="textWrapping"/>
            </w:r>
            <w:r>
              <w:rPr>
                <w:rFonts w:hint="eastAsia" w:ascii="仿宋" w:hAnsi="仿宋" w:eastAsia="仿宋" w:cs="仿宋"/>
                <w:color w:val="auto"/>
                <w:szCs w:val="21"/>
                <w:lang w:bidi="ar"/>
              </w:rPr>
              <w:t>注：</w:t>
            </w:r>
            <w:r>
              <w:rPr>
                <w:rFonts w:hint="eastAsia" w:ascii="仿宋" w:hAnsi="仿宋" w:eastAsia="仿宋" w:cs="仿宋"/>
                <w:color w:val="auto"/>
                <w:szCs w:val="21"/>
                <w:lang w:bidi="ar"/>
              </w:rPr>
              <w:br w:type="textWrapping"/>
            </w:r>
            <w:r>
              <w:rPr>
                <w:rFonts w:hint="eastAsia" w:ascii="仿宋" w:hAnsi="仿宋" w:eastAsia="仿宋" w:cs="仿宋"/>
                <w:color w:val="auto"/>
                <w:szCs w:val="21"/>
                <w:lang w:bidi="ar"/>
              </w:rPr>
              <w:t>①上述人员须为供应商本单位人员，只能担任1个职位，提供本单位为其购买的最近连续6个月的有效社保证明扫描件（按规定缓交和不再需要交纳的应提供社保部门的证明）。</w:t>
            </w:r>
            <w:r>
              <w:rPr>
                <w:rFonts w:hint="eastAsia" w:ascii="仿宋" w:hAnsi="仿宋" w:eastAsia="仿宋" w:cs="仿宋"/>
                <w:color w:val="auto"/>
                <w:szCs w:val="21"/>
                <w:lang w:bidi="ar"/>
              </w:rPr>
              <w:br w:type="textWrapping"/>
            </w:r>
            <w:r>
              <w:rPr>
                <w:rFonts w:hint="eastAsia" w:ascii="仿宋" w:hAnsi="仿宋" w:eastAsia="仿宋" w:cs="仿宋"/>
                <w:color w:val="auto"/>
                <w:szCs w:val="21"/>
                <w:lang w:bidi="ar"/>
              </w:rPr>
              <w:t>②上述人员的国家注册执业资格证明材料还须附建设行政主管部门查询页面网页截图。</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3</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客观分</w:t>
            </w:r>
          </w:p>
        </w:tc>
      </w:tr>
      <w:tr>
        <w:tblPrEx>
          <w:tblCellMar>
            <w:top w:w="0" w:type="dxa"/>
            <w:left w:w="108" w:type="dxa"/>
            <w:bottom w:w="0" w:type="dxa"/>
            <w:right w:w="108" w:type="dxa"/>
          </w:tblCellMar>
        </w:tblPrEx>
        <w:trPr>
          <w:trHeight w:val="180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技术负责人任职资格（3分）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1、具有建筑工程相关专业中级职称得2分。</w:t>
            </w:r>
            <w:r>
              <w:rPr>
                <w:rFonts w:hint="eastAsia" w:ascii="仿宋" w:hAnsi="仿宋" w:eastAsia="仿宋" w:cs="仿宋"/>
                <w:color w:val="auto"/>
                <w:szCs w:val="21"/>
                <w:lang w:bidi="ar"/>
              </w:rPr>
              <w:br w:type="textWrapping"/>
            </w:r>
            <w:r>
              <w:rPr>
                <w:rFonts w:hint="eastAsia" w:ascii="仿宋" w:hAnsi="仿宋" w:eastAsia="仿宋" w:cs="仿宋"/>
                <w:color w:val="auto"/>
                <w:szCs w:val="21"/>
                <w:lang w:bidi="ar"/>
              </w:rPr>
              <w:t>2、具有建筑工程相关专业高级及以上职称得3分。</w:t>
            </w:r>
            <w:r>
              <w:rPr>
                <w:rFonts w:hint="eastAsia" w:ascii="仿宋" w:hAnsi="仿宋" w:eastAsia="仿宋" w:cs="仿宋"/>
                <w:color w:val="auto"/>
                <w:szCs w:val="21"/>
                <w:lang w:bidi="ar"/>
              </w:rPr>
              <w:br w:type="textWrapping"/>
            </w:r>
            <w:r>
              <w:rPr>
                <w:rFonts w:hint="eastAsia" w:ascii="仿宋" w:hAnsi="仿宋" w:eastAsia="仿宋" w:cs="仿宋"/>
                <w:color w:val="auto"/>
                <w:szCs w:val="21"/>
                <w:lang w:bidi="ar"/>
              </w:rPr>
              <w:t>注：上述人员须为供应商本单位人员，只能担任1个职位，提供本单位为其购买的最近连续6个月的有效社保证明扫描件（按规定缓交和不再需要交纳的应提供社保部门的证明）；职称得分按所提供的最高职称计分，不重复打分。</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3</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客观分</w:t>
            </w:r>
          </w:p>
        </w:tc>
      </w:tr>
      <w:tr>
        <w:tblPrEx>
          <w:tblCellMar>
            <w:top w:w="0" w:type="dxa"/>
            <w:left w:w="108" w:type="dxa"/>
            <w:bottom w:w="0" w:type="dxa"/>
            <w:right w:w="108" w:type="dxa"/>
          </w:tblCellMar>
        </w:tblPrEx>
        <w:trPr>
          <w:trHeight w:val="1800" w:hRule="atLeast"/>
          <w:jc w:val="center"/>
        </w:trPr>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center"/>
              <w:rPr>
                <w:rFonts w:ascii="仿宋" w:hAnsi="仿宋" w:eastAsia="仿宋" w:cs="仿宋"/>
                <w:color w:val="auto"/>
                <w:szCs w:val="21"/>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其他主要人员配备情况（4分）</w:t>
            </w:r>
          </w:p>
        </w:tc>
        <w:tc>
          <w:tcPr>
            <w:tcW w:w="57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对拟派项目其他配备人员种类是否齐全、人数是否合理、满足项目进度需求等方面进行评价：</w:t>
            </w:r>
            <w:r>
              <w:rPr>
                <w:rFonts w:hint="eastAsia" w:ascii="仿宋" w:hAnsi="仿宋" w:eastAsia="仿宋" w:cs="仿宋"/>
                <w:color w:val="auto"/>
                <w:szCs w:val="21"/>
                <w:lang w:bidi="ar"/>
              </w:rPr>
              <w:br w:type="textWrapping"/>
            </w:r>
            <w:r>
              <w:rPr>
                <w:rFonts w:hint="eastAsia" w:ascii="仿宋" w:hAnsi="仿宋" w:eastAsia="仿宋" w:cs="仿宋"/>
                <w:color w:val="auto"/>
                <w:szCs w:val="21"/>
                <w:lang w:bidi="ar"/>
              </w:rPr>
              <w:t>人员种类齐全、人数合理、满足项目进度需求，横向对比，评价为优得4分，较好2分，一般1分。</w:t>
            </w:r>
            <w:r>
              <w:rPr>
                <w:rFonts w:hint="eastAsia" w:ascii="仿宋" w:hAnsi="仿宋" w:eastAsia="仿宋" w:cs="仿宋"/>
                <w:color w:val="auto"/>
                <w:szCs w:val="21"/>
                <w:lang w:bidi="ar"/>
              </w:rPr>
              <w:br w:type="textWrapping"/>
            </w:r>
            <w:r>
              <w:rPr>
                <w:rFonts w:hint="eastAsia" w:ascii="仿宋" w:hAnsi="仿宋" w:eastAsia="仿宋" w:cs="仿宋"/>
                <w:color w:val="auto"/>
                <w:szCs w:val="21"/>
                <w:lang w:bidi="ar"/>
              </w:rPr>
              <w:t>注：以上人员须为供应商人本单位人员，并提供为其连续缴纳的近6个月的有效社保证明（按规定缓交和不再需要交纳的应提供社保部门的证明）。</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jc w:val="center"/>
              <w:rPr>
                <w:rFonts w:ascii="仿宋" w:hAnsi="仿宋" w:eastAsia="仿宋" w:cs="仿宋"/>
                <w:color w:val="auto"/>
                <w:szCs w:val="21"/>
              </w:rPr>
            </w:pPr>
            <w:r>
              <w:rPr>
                <w:rFonts w:hint="eastAsia" w:ascii="仿宋" w:hAnsi="仿宋" w:eastAsia="仿宋" w:cs="仿宋"/>
                <w:color w:val="auto"/>
                <w:szCs w:val="21"/>
                <w:lang w:bidi="ar"/>
              </w:rPr>
              <w:t>4</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jc w:val="left"/>
              <w:rPr>
                <w:rFonts w:ascii="仿宋" w:hAnsi="仿宋" w:eastAsia="仿宋" w:cs="仿宋"/>
                <w:color w:val="auto"/>
                <w:szCs w:val="21"/>
              </w:rPr>
            </w:pPr>
            <w:r>
              <w:rPr>
                <w:rFonts w:hint="eastAsia" w:ascii="仿宋" w:hAnsi="仿宋" w:eastAsia="仿宋" w:cs="仿宋"/>
                <w:color w:val="auto"/>
                <w:szCs w:val="21"/>
                <w:lang w:bidi="ar"/>
              </w:rPr>
              <w:t>根据分值设置情况确定</w:t>
            </w:r>
          </w:p>
        </w:tc>
      </w:tr>
    </w:tbl>
    <w:p>
      <w:pPr>
        <w:pStyle w:val="4"/>
        <w:rPr>
          <w:rFonts w:ascii="仿宋" w:hAnsi="仿宋" w:cs="宋体"/>
          <w:color w:val="auto"/>
          <w:szCs w:val="24"/>
        </w:rPr>
      </w:pPr>
      <w:bookmarkStart w:id="617" w:name="_Toc109124309"/>
      <w:bookmarkStart w:id="618" w:name="_Toc65682984"/>
      <w:bookmarkStart w:id="619" w:name="_Toc2188"/>
      <w:bookmarkStart w:id="620" w:name="_Toc18545"/>
      <w:r>
        <w:rPr>
          <w:rFonts w:hint="eastAsia" w:ascii="仿宋" w:hAnsi="仿宋" w:cs="宋体"/>
          <w:color w:val="auto"/>
          <w:szCs w:val="24"/>
        </w:rPr>
        <w:t>一、评标方法</w:t>
      </w:r>
      <w:bookmarkEnd w:id="617"/>
      <w:bookmarkEnd w:id="618"/>
      <w:bookmarkEnd w:id="619"/>
      <w:bookmarkEnd w:id="620"/>
    </w:p>
    <w:p>
      <w:pPr>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本招标项目评标采用综合评分法。评标委员会对满足招标文件实质性要求的投标文件，按照本章第2.2款规定的评审因素和评审标准进行评分，并按照综合得分由高到低的顺序推荐中标候选人，或者根据招标人授权直接确定中标人，但投标报价低于成本的除外。</w:t>
      </w:r>
    </w:p>
    <w:p>
      <w:pPr>
        <w:pStyle w:val="4"/>
        <w:rPr>
          <w:rFonts w:ascii="仿宋" w:hAnsi="仿宋" w:cs="宋体"/>
          <w:color w:val="auto"/>
          <w:szCs w:val="24"/>
        </w:rPr>
      </w:pPr>
      <w:bookmarkStart w:id="621" w:name="_Toc65682985"/>
      <w:bookmarkStart w:id="622" w:name="_Toc109124310"/>
      <w:bookmarkStart w:id="623" w:name="_Toc24853"/>
      <w:bookmarkStart w:id="624" w:name="_Toc11746"/>
      <w:r>
        <w:rPr>
          <w:rFonts w:hint="eastAsia" w:ascii="仿宋" w:hAnsi="仿宋" w:cs="宋体"/>
          <w:color w:val="auto"/>
          <w:szCs w:val="24"/>
        </w:rPr>
        <w:t>二、评审标准</w:t>
      </w:r>
      <w:bookmarkEnd w:id="621"/>
      <w:bookmarkEnd w:id="622"/>
      <w:bookmarkEnd w:id="623"/>
      <w:bookmarkEnd w:id="624"/>
    </w:p>
    <w:p>
      <w:pPr>
        <w:spacing w:line="360" w:lineRule="auto"/>
        <w:ind w:firstLine="480"/>
        <w:rPr>
          <w:rFonts w:ascii="仿宋" w:hAnsi="仿宋" w:eastAsia="仿宋" w:cs="宋体"/>
          <w:color w:val="auto"/>
          <w:sz w:val="24"/>
          <w:szCs w:val="24"/>
        </w:rPr>
      </w:pPr>
      <w:bookmarkStart w:id="625" w:name="_Toc65682986"/>
      <w:bookmarkStart w:id="626" w:name="_Toc11677"/>
      <w:r>
        <w:rPr>
          <w:rFonts w:hint="eastAsia" w:ascii="仿宋" w:hAnsi="仿宋" w:eastAsia="仿宋" w:cs="宋体"/>
          <w:color w:val="auto"/>
          <w:sz w:val="24"/>
          <w:szCs w:val="24"/>
        </w:rPr>
        <w:t>2.1 初步评审标准：见评标办法前附表。</w:t>
      </w:r>
    </w:p>
    <w:p>
      <w:pPr>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2.2 详细评审标准：见评标办法前附表。</w:t>
      </w:r>
    </w:p>
    <w:p>
      <w:pPr>
        <w:pStyle w:val="4"/>
        <w:rPr>
          <w:rFonts w:ascii="仿宋" w:hAnsi="仿宋" w:cs="宋体"/>
          <w:color w:val="auto"/>
          <w:szCs w:val="24"/>
        </w:rPr>
      </w:pPr>
      <w:bookmarkStart w:id="627" w:name="_Toc109124311"/>
      <w:bookmarkStart w:id="628" w:name="_Toc5379"/>
      <w:r>
        <w:rPr>
          <w:rFonts w:hint="eastAsia" w:ascii="仿宋" w:hAnsi="仿宋" w:cs="宋体"/>
          <w:color w:val="auto"/>
          <w:szCs w:val="24"/>
        </w:rPr>
        <w:t>三、评标程序</w:t>
      </w:r>
      <w:bookmarkEnd w:id="625"/>
      <w:bookmarkEnd w:id="626"/>
      <w:bookmarkEnd w:id="627"/>
      <w:bookmarkEnd w:id="628"/>
    </w:p>
    <w:p>
      <w:pPr>
        <w:pStyle w:val="5"/>
        <w:rPr>
          <w:rFonts w:hint="default"/>
          <w:color w:val="auto"/>
        </w:rPr>
      </w:pPr>
      <w:bookmarkStart w:id="629" w:name="_Toc1356"/>
      <w:r>
        <w:rPr>
          <w:color w:val="auto"/>
        </w:rPr>
        <w:t>3.1初步评审</w:t>
      </w:r>
      <w:bookmarkEnd w:id="629"/>
    </w:p>
    <w:p>
      <w:pPr>
        <w:widowControl/>
        <w:spacing w:line="360" w:lineRule="auto"/>
        <w:ind w:firstLine="480"/>
        <w:rPr>
          <w:rFonts w:ascii="仿宋" w:hAnsi="仿宋" w:eastAsia="仿宋" w:cs="宋体"/>
          <w:b/>
          <w:bCs/>
          <w:color w:val="auto"/>
          <w:sz w:val="24"/>
          <w:szCs w:val="24"/>
        </w:rPr>
      </w:pPr>
      <w:r>
        <w:rPr>
          <w:rFonts w:hint="eastAsia" w:ascii="仿宋" w:hAnsi="仿宋" w:eastAsia="仿宋" w:cs="宋体"/>
          <w:color w:val="auto"/>
          <w:sz w:val="24"/>
          <w:szCs w:val="24"/>
        </w:rPr>
        <w:t>3.1.1评标委员会根据本章第2.1条规定的标准对投标文件进行初步评审。有一项不符合初步评审标准的，</w:t>
      </w:r>
      <w:r>
        <w:rPr>
          <w:rFonts w:hint="eastAsia" w:ascii="仿宋" w:hAnsi="仿宋" w:eastAsia="仿宋" w:cs="宋体"/>
          <w:b/>
          <w:bCs/>
          <w:color w:val="auto"/>
          <w:sz w:val="24"/>
          <w:szCs w:val="24"/>
        </w:rPr>
        <w:t xml:space="preserve">评标委员会应当否决其投标。 </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3.1.2投标人有以下情形之一的，</w:t>
      </w:r>
      <w:r>
        <w:rPr>
          <w:rFonts w:hint="eastAsia" w:ascii="仿宋" w:hAnsi="仿宋" w:eastAsia="仿宋" w:cs="宋体"/>
          <w:b/>
          <w:bCs/>
          <w:color w:val="auto"/>
          <w:sz w:val="24"/>
          <w:szCs w:val="24"/>
        </w:rPr>
        <w:t>评标委员会应当否决其投标</w:t>
      </w:r>
      <w:r>
        <w:rPr>
          <w:rFonts w:hint="eastAsia" w:ascii="仿宋" w:hAnsi="仿宋" w:eastAsia="仿宋" w:cs="宋体"/>
          <w:color w:val="auto"/>
          <w:sz w:val="24"/>
          <w:szCs w:val="24"/>
        </w:rPr>
        <w:t>：</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（1）按照招标公告要求已经递交电子投标文件，但未按时递交纸质投标文件；</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（2）投标文件未经投标单位盖章或单位负责人签字；</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（3）允许联合体投标的，投标联合体没有递交共同投标协议；</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（4）投标人不符合国家或者招标文件规定的资格条件；</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（5）同一投标人提交两个以上不同的投标文件或者投标报价，但招标文件要求提交备选投标的除外；</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（6）投标报价低于成本或者高于招标文件设定的最高投标限价；</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 xml:space="preserve">（7）投标文件未对招标文件的实质性要求和条件作出响应； </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（8）投标人有串通投标、弄虚作假、行贿等违法行为；</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（9）不接受或不确认因算术性错误进行的价格修正；</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（10）投标文件附有招标人不能接受的条件；</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（11）不符合招标文件中规定的其他实质性要求。</w:t>
      </w:r>
    </w:p>
    <w:p>
      <w:pPr>
        <w:widowControl/>
        <w:spacing w:line="360" w:lineRule="auto"/>
        <w:ind w:firstLine="480"/>
        <w:rPr>
          <w:rFonts w:ascii="仿宋" w:hAnsi="仿宋" w:eastAsia="仿宋" w:cs="宋体"/>
          <w:b/>
          <w:bCs/>
          <w:color w:val="auto"/>
          <w:sz w:val="24"/>
          <w:szCs w:val="24"/>
        </w:rPr>
      </w:pPr>
      <w:r>
        <w:rPr>
          <w:rFonts w:hint="eastAsia" w:ascii="仿宋" w:hAnsi="仿宋" w:eastAsia="仿宋" w:cs="宋体"/>
          <w:color w:val="auto"/>
          <w:sz w:val="24"/>
          <w:szCs w:val="24"/>
        </w:rPr>
        <w:t>3.1.</w:t>
      </w:r>
      <w:r>
        <w:rPr>
          <w:rFonts w:ascii="仿宋" w:hAnsi="仿宋" w:eastAsia="仿宋" w:cs="宋体"/>
          <w:color w:val="auto"/>
          <w:sz w:val="24"/>
          <w:szCs w:val="24"/>
        </w:rPr>
        <w:t>3</w:t>
      </w:r>
      <w:r>
        <w:rPr>
          <w:rFonts w:hint="eastAsia" w:ascii="仿宋" w:hAnsi="仿宋" w:eastAsia="仿宋" w:cs="宋体"/>
          <w:color w:val="auto"/>
          <w:sz w:val="24"/>
          <w:szCs w:val="24"/>
        </w:rPr>
        <w:t>投标报价有算术错误的，评标委员会按照以下原则对投标报价进行修正，修正的价格经投标人书面确认后具有约束力。投标人不接受或不确认修正后价格的，</w:t>
      </w:r>
      <w:r>
        <w:rPr>
          <w:rFonts w:hint="eastAsia" w:ascii="仿宋" w:hAnsi="仿宋" w:eastAsia="仿宋" w:cs="宋体"/>
          <w:b/>
          <w:bCs/>
          <w:color w:val="auto"/>
          <w:sz w:val="24"/>
          <w:szCs w:val="24"/>
        </w:rPr>
        <w:t>评标委员会应当否决其投标。</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（1）投标文件中的大写金额与小写金额不一致的，以大写金额为准；</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（2）总价金额与根据单价计算出的结果不一致的，以单价金额为准修正总价，但单价金额小数点有明显错误的除外。</w:t>
      </w:r>
    </w:p>
    <w:p>
      <w:pPr>
        <w:widowControl/>
        <w:spacing w:line="360" w:lineRule="auto"/>
        <w:ind w:firstLine="480"/>
        <w:rPr>
          <w:rFonts w:ascii="仿宋" w:hAnsi="仿宋" w:eastAsia="仿宋" w:cs="宋体"/>
          <w:b/>
          <w:bCs/>
          <w:color w:val="auto"/>
          <w:sz w:val="24"/>
          <w:szCs w:val="24"/>
        </w:rPr>
      </w:pPr>
      <w:r>
        <w:rPr>
          <w:rFonts w:hint="eastAsia" w:ascii="仿宋" w:hAnsi="仿宋" w:eastAsia="仿宋" w:cs="宋体"/>
          <w:color w:val="auto"/>
          <w:sz w:val="24"/>
          <w:szCs w:val="24"/>
        </w:rPr>
        <w:t>3</w:t>
      </w:r>
      <w:r>
        <w:rPr>
          <w:rFonts w:ascii="仿宋" w:hAnsi="仿宋" w:eastAsia="仿宋" w:cs="宋体"/>
          <w:color w:val="auto"/>
          <w:sz w:val="24"/>
          <w:szCs w:val="24"/>
        </w:rPr>
        <w:t>.1.4</w:t>
      </w:r>
      <w:r>
        <w:rPr>
          <w:rFonts w:hint="eastAsia" w:ascii="仿宋" w:hAnsi="仿宋" w:eastAsia="仿宋" w:cs="宋体"/>
          <w:color w:val="auto"/>
          <w:sz w:val="24"/>
          <w:szCs w:val="24"/>
        </w:rPr>
        <w:t>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仿宋" w:hAnsi="仿宋" w:eastAsia="仿宋" w:cs="宋体"/>
          <w:b/>
          <w:bCs/>
          <w:color w:val="auto"/>
          <w:sz w:val="24"/>
          <w:szCs w:val="24"/>
        </w:rPr>
        <w:t>应当否决其投标。</w:t>
      </w:r>
    </w:p>
    <w:p>
      <w:pPr>
        <w:widowControl/>
        <w:spacing w:line="360" w:lineRule="auto"/>
        <w:ind w:firstLine="480"/>
        <w:rPr>
          <w:rFonts w:ascii="仿宋" w:hAnsi="仿宋" w:eastAsia="仿宋" w:cs="宋体"/>
          <w:b/>
          <w:bCs/>
          <w:color w:val="auto"/>
          <w:sz w:val="24"/>
          <w:szCs w:val="24"/>
        </w:rPr>
      </w:pPr>
      <w:r>
        <w:rPr>
          <w:rFonts w:hint="eastAsia" w:ascii="仿宋" w:hAnsi="仿宋" w:eastAsia="仿宋" w:cs="宋体"/>
          <w:color w:val="auto"/>
          <w:sz w:val="24"/>
          <w:szCs w:val="24"/>
        </w:rPr>
        <w:t>3.1.5 中标人为1家的项目，如果有效投标人少于3家（不含本数），</w:t>
      </w:r>
      <w:r>
        <w:rPr>
          <w:rFonts w:hint="eastAsia" w:ascii="仿宋" w:hAnsi="仿宋" w:eastAsia="仿宋" w:cs="宋体"/>
          <w:b/>
          <w:bCs/>
          <w:color w:val="auto"/>
          <w:sz w:val="24"/>
          <w:szCs w:val="24"/>
        </w:rPr>
        <w:t>评标委员会将否决全部投标。</w:t>
      </w:r>
      <w:r>
        <w:rPr>
          <w:rFonts w:hint="eastAsia" w:ascii="仿宋" w:hAnsi="仿宋" w:eastAsia="仿宋" w:cs="宋体"/>
          <w:color w:val="auto"/>
          <w:sz w:val="24"/>
          <w:szCs w:val="24"/>
        </w:rPr>
        <w:t>中标人为N家（1</w:t>
      </w:r>
      <w:r>
        <w:rPr>
          <w:rFonts w:ascii="仿宋" w:hAnsi="仿宋" w:eastAsia="仿宋" w:cs="宋体"/>
          <w:color w:val="auto"/>
          <w:sz w:val="24"/>
          <w:szCs w:val="24"/>
        </w:rPr>
        <w:t>&lt;</w:t>
      </w:r>
      <w:r>
        <w:rPr>
          <w:rFonts w:hint="eastAsia" w:ascii="仿宋" w:hAnsi="仿宋" w:eastAsia="仿宋" w:cs="宋体"/>
          <w:color w:val="auto"/>
          <w:sz w:val="24"/>
          <w:szCs w:val="24"/>
        </w:rPr>
        <w:t>N≤3）的项目，如果有效投标人少于2N家（不含本数），评标委员会</w:t>
      </w:r>
      <w:r>
        <w:rPr>
          <w:rFonts w:hint="eastAsia" w:ascii="仿宋" w:hAnsi="仿宋" w:eastAsia="仿宋" w:cs="宋体"/>
          <w:b/>
          <w:bCs/>
          <w:color w:val="auto"/>
          <w:sz w:val="24"/>
          <w:szCs w:val="24"/>
        </w:rPr>
        <w:t>将否决全部投标</w:t>
      </w:r>
      <w:r>
        <w:rPr>
          <w:rFonts w:hint="eastAsia" w:ascii="仿宋" w:hAnsi="仿宋" w:eastAsia="仿宋" w:cs="宋体"/>
          <w:color w:val="auto"/>
          <w:sz w:val="24"/>
          <w:szCs w:val="24"/>
        </w:rPr>
        <w:t>。中标人为N家（N＞3）的项目，如果有效投标人少于1.5N家（不含本数），评标委员会</w:t>
      </w:r>
      <w:r>
        <w:rPr>
          <w:rFonts w:hint="eastAsia" w:ascii="仿宋" w:hAnsi="仿宋" w:eastAsia="仿宋" w:cs="宋体"/>
          <w:b/>
          <w:bCs/>
          <w:color w:val="auto"/>
          <w:sz w:val="24"/>
          <w:szCs w:val="24"/>
        </w:rPr>
        <w:t>将否决全部投标。</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3.1.6 对不同文字文本投标文件的解释发生异议的，以中文文本为准。</w:t>
      </w:r>
    </w:p>
    <w:p>
      <w:pPr>
        <w:pStyle w:val="5"/>
        <w:rPr>
          <w:rFonts w:hint="default"/>
          <w:color w:val="auto"/>
        </w:rPr>
      </w:pPr>
      <w:bookmarkStart w:id="630" w:name="_Toc549"/>
      <w:r>
        <w:rPr>
          <w:color w:val="auto"/>
        </w:rPr>
        <w:t>3.2 详细评审</w:t>
      </w:r>
      <w:bookmarkEnd w:id="630"/>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3.2.1 评标委员会按照本章第2.2款规定的评审因素和量化标准进行评分，并计算出综合评估得分。</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3.2.2 评分分值计算原则上保留小数点后两位，小数点后第三位“四舍五入”。</w:t>
      </w:r>
    </w:p>
    <w:p>
      <w:pPr>
        <w:pStyle w:val="5"/>
        <w:rPr>
          <w:rFonts w:hint="default"/>
          <w:color w:val="auto"/>
        </w:rPr>
      </w:pPr>
      <w:bookmarkStart w:id="631" w:name="_Toc3245"/>
      <w:r>
        <w:rPr>
          <w:color w:val="auto"/>
        </w:rPr>
        <w:t>3.3 投标文件的澄清、说明</w:t>
      </w:r>
      <w:bookmarkEnd w:id="631"/>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3.3.1 投标文件中有含义不明确的内容、明显文字或者计算错误、对同类问题表述不一致的，评标委员会认为需要投标人作出必要澄清、说明或者补正的，应当以书面形式通知该投标人。</w:t>
      </w:r>
      <w:bookmarkStart w:id="632" w:name="_Hlk142926906"/>
      <w:r>
        <w:rPr>
          <w:rFonts w:hint="eastAsia" w:ascii="仿宋" w:hAnsi="仿宋" w:eastAsia="仿宋" w:cs="宋体"/>
          <w:color w:val="auto"/>
          <w:sz w:val="24"/>
          <w:szCs w:val="24"/>
        </w:rPr>
        <w:t>评标委员会不得暗示或者诱导投标人作出澄清、说明或补正，不得接受投标人主动提出的澄清、说明或补正。</w:t>
      </w:r>
      <w:bookmarkEnd w:id="632"/>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3.3.2 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w:t>
      </w:r>
      <w:r>
        <w:rPr>
          <w:rFonts w:ascii="仿宋" w:hAnsi="仿宋" w:eastAsia="仿宋" w:cs="宋体"/>
          <w:color w:val="auto"/>
          <w:sz w:val="24"/>
          <w:szCs w:val="24"/>
        </w:rPr>
        <w:t xml:space="preserve">.3.3 </w:t>
      </w:r>
      <w:r>
        <w:rPr>
          <w:rFonts w:hint="eastAsia" w:ascii="仿宋" w:hAnsi="仿宋" w:eastAsia="仿宋" w:cs="宋体"/>
          <w:color w:val="auto"/>
          <w:sz w:val="24"/>
          <w:szCs w:val="24"/>
        </w:rPr>
        <w:t>投标人的澄清、说明和补正应当采用书面形式,并不得超出投标文件的范围或者改变投标文件的实质性内容（算术性错误修正的除外），投标人的书面澄清、说明和补正属于投标文件的组成部分。</w:t>
      </w:r>
      <w:bookmarkStart w:id="633" w:name="_Hlk142926929"/>
      <w:r>
        <w:rPr>
          <w:rFonts w:hint="eastAsia" w:ascii="仿宋" w:hAnsi="仿宋" w:eastAsia="仿宋" w:cs="宋体"/>
          <w:color w:val="auto"/>
          <w:sz w:val="24"/>
          <w:szCs w:val="24"/>
        </w:rPr>
        <w:t>拒不按照要求对投标文件进行澄清、说明或补正的，评标委员会</w:t>
      </w:r>
      <w:r>
        <w:rPr>
          <w:rFonts w:hint="eastAsia" w:ascii="仿宋" w:hAnsi="仿宋" w:eastAsia="仿宋" w:cs="宋体"/>
          <w:b/>
          <w:bCs/>
          <w:color w:val="auto"/>
          <w:sz w:val="24"/>
          <w:szCs w:val="24"/>
        </w:rPr>
        <w:t>可以否决其投标</w:t>
      </w:r>
      <w:r>
        <w:rPr>
          <w:rFonts w:hint="eastAsia" w:ascii="仿宋" w:hAnsi="仿宋" w:eastAsia="仿宋" w:cs="宋体"/>
          <w:color w:val="auto"/>
          <w:sz w:val="24"/>
          <w:szCs w:val="24"/>
        </w:rPr>
        <w:t>。</w:t>
      </w:r>
      <w:bookmarkEnd w:id="633"/>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3.3.</w:t>
      </w:r>
      <w:r>
        <w:rPr>
          <w:rFonts w:ascii="仿宋" w:hAnsi="仿宋" w:eastAsia="仿宋" w:cs="宋体"/>
          <w:color w:val="auto"/>
          <w:sz w:val="24"/>
          <w:szCs w:val="24"/>
        </w:rPr>
        <w:t xml:space="preserve">4 </w:t>
      </w:r>
      <w:r>
        <w:rPr>
          <w:rFonts w:hint="eastAsia" w:ascii="仿宋" w:hAnsi="仿宋" w:eastAsia="仿宋" w:cs="宋体"/>
          <w:color w:val="auto"/>
          <w:sz w:val="24"/>
          <w:szCs w:val="24"/>
        </w:rPr>
        <w:t>评标委员会对投标人递交的澄清、说明或补正有疑问的，可以要求投标人进一步澄清、说明或者补正，直至满足评标委员会的要求。</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3.3.</w:t>
      </w:r>
      <w:r>
        <w:rPr>
          <w:rFonts w:ascii="仿宋" w:hAnsi="仿宋" w:eastAsia="仿宋" w:cs="宋体"/>
          <w:color w:val="auto"/>
          <w:sz w:val="24"/>
          <w:szCs w:val="24"/>
        </w:rPr>
        <w:t>5</w:t>
      </w:r>
      <w:r>
        <w:rPr>
          <w:rFonts w:hint="eastAsia" w:ascii="仿宋" w:hAnsi="仿宋" w:eastAsia="仿宋" w:cs="宋体"/>
          <w:color w:val="auto"/>
          <w:sz w:val="24"/>
          <w:szCs w:val="24"/>
        </w:rPr>
        <w:t xml:space="preserve"> 评标委员会必要时可以要求投标人提交有关证明和证件的原件，以便核验。</w:t>
      </w:r>
      <w:bookmarkStart w:id="634" w:name="_Hlk142926937"/>
      <w:r>
        <w:rPr>
          <w:rFonts w:hint="eastAsia" w:ascii="仿宋" w:hAnsi="仿宋" w:eastAsia="仿宋" w:cs="宋体"/>
          <w:color w:val="auto"/>
          <w:sz w:val="24"/>
          <w:szCs w:val="24"/>
        </w:rPr>
        <w:t>拒不按照要求提供原件的，评标委员会</w:t>
      </w:r>
      <w:r>
        <w:rPr>
          <w:rFonts w:hint="eastAsia" w:ascii="仿宋" w:hAnsi="仿宋" w:eastAsia="仿宋" w:cs="宋体"/>
          <w:b/>
          <w:bCs/>
          <w:color w:val="auto"/>
          <w:sz w:val="24"/>
          <w:szCs w:val="24"/>
        </w:rPr>
        <w:t>可以否决其投标。</w:t>
      </w:r>
      <w:bookmarkEnd w:id="634"/>
    </w:p>
    <w:p>
      <w:pPr>
        <w:pStyle w:val="5"/>
        <w:rPr>
          <w:rFonts w:hint="default"/>
          <w:color w:val="auto"/>
        </w:rPr>
      </w:pPr>
      <w:bookmarkStart w:id="635" w:name="_Toc27472"/>
      <w:r>
        <w:rPr>
          <w:color w:val="auto"/>
        </w:rPr>
        <w:t>3.4 中标候选人推荐原则</w:t>
      </w:r>
      <w:bookmarkEnd w:id="635"/>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3.4.1 除第二章“投标人须知前附表”第7.2.1条授权评标委员会直接确定中标人外，评标委员会应按照投标人综合得分由高到低的顺序推荐中标候选人。综合得分相同时的处理情形见</w:t>
      </w:r>
      <w:r>
        <w:rPr>
          <w:rFonts w:hint="eastAsia" w:ascii="仿宋" w:hAnsi="仿宋" w:eastAsia="仿宋" w:cs="宋体"/>
          <w:color w:val="auto"/>
          <w:spacing w:val="4"/>
          <w:sz w:val="24"/>
          <w:szCs w:val="24"/>
        </w:rPr>
        <w:t>第二章“投标人须知前附表”第6.4条</w:t>
      </w:r>
      <w:r>
        <w:rPr>
          <w:rFonts w:hint="eastAsia" w:ascii="仿宋" w:hAnsi="仿宋" w:eastAsia="仿宋" w:cs="宋体"/>
          <w:color w:val="auto"/>
          <w:sz w:val="24"/>
          <w:szCs w:val="24"/>
        </w:rPr>
        <w:t>。</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3.4.2 中标候选人推荐原则</w:t>
      </w:r>
      <w:r>
        <w:rPr>
          <w:rFonts w:hint="eastAsia" w:ascii="仿宋" w:hAnsi="仿宋" w:eastAsia="仿宋" w:cs="宋体"/>
          <w:color w:val="auto"/>
          <w:spacing w:val="4"/>
          <w:sz w:val="24"/>
          <w:szCs w:val="24"/>
        </w:rPr>
        <w:t>与第二章“投标人须知前附表”第6.4条一致</w:t>
      </w:r>
      <w:r>
        <w:rPr>
          <w:rFonts w:hint="eastAsia" w:ascii="仿宋" w:hAnsi="仿宋" w:eastAsia="仿宋" w:cs="宋体"/>
          <w:color w:val="auto"/>
          <w:sz w:val="24"/>
          <w:szCs w:val="24"/>
        </w:rPr>
        <w:t>。</w:t>
      </w:r>
    </w:p>
    <w:p>
      <w:pPr>
        <w:pStyle w:val="5"/>
        <w:rPr>
          <w:rFonts w:hint="default"/>
          <w:color w:val="auto"/>
        </w:rPr>
      </w:pPr>
      <w:bookmarkStart w:id="636" w:name="_Toc4198"/>
      <w:r>
        <w:rPr>
          <w:color w:val="auto"/>
        </w:rPr>
        <w:t>3.5 评标结果</w:t>
      </w:r>
      <w:bookmarkEnd w:id="636"/>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3.5.1 评标委员会完成评标后，应当向招标人递交书面评标报告。评标委员会分组评审的，应当形成统一、完整的评标报告。</w:t>
      </w:r>
    </w:p>
    <w:p>
      <w:pPr>
        <w:widowControl/>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3.5.2 评标报告应当包括下列内容：</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（1）项目简况；</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（2）开标情况；</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（3）评标方法、评分标准；</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（4）初步评审情况；</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（5）否决投标的情况说明；</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（6）详细评审情况；</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（7）评标委员会意见；</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（8）合同签订注意事项；</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（9）澄清、说明及补正事项；</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（10）附件（《开标记录表》《评审专家签到表》《初步审查表》《评标专家个人评分表》《价格评分汇总表》《综合得分汇总表》）；</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（11）拒绝在评标报告上签字的评标委员会成员名单及其陈述的不同意见和理由；</w:t>
      </w:r>
    </w:p>
    <w:p>
      <w:pPr>
        <w:widowControl/>
        <w:spacing w:line="360" w:lineRule="auto"/>
        <w:ind w:left="283" w:firstLine="480"/>
        <w:rPr>
          <w:rFonts w:ascii="仿宋" w:hAnsi="仿宋" w:eastAsia="仿宋" w:cs="宋体"/>
          <w:color w:val="auto"/>
          <w:sz w:val="24"/>
          <w:szCs w:val="24"/>
        </w:rPr>
      </w:pPr>
      <w:r>
        <w:rPr>
          <w:rFonts w:hint="eastAsia" w:ascii="仿宋" w:hAnsi="仿宋" w:eastAsia="仿宋" w:cs="宋体"/>
          <w:color w:val="auto"/>
          <w:sz w:val="24"/>
          <w:szCs w:val="24"/>
        </w:rPr>
        <w:t>（12）其他。</w:t>
      </w:r>
    </w:p>
    <w:p>
      <w:pPr>
        <w:rPr>
          <w:rFonts w:ascii="仿宋" w:hAnsi="仿宋" w:eastAsia="仿宋" w:cs="宋体"/>
          <w:color w:val="auto"/>
        </w:rPr>
      </w:pPr>
    </w:p>
    <w:p>
      <w:pPr>
        <w:rPr>
          <w:rFonts w:ascii="仿宋" w:hAnsi="仿宋" w:eastAsia="仿宋" w:cs="宋体"/>
          <w:color w:val="auto"/>
        </w:rPr>
      </w:pPr>
    </w:p>
    <w:p>
      <w:pPr>
        <w:rPr>
          <w:rFonts w:ascii="仿宋" w:hAnsi="仿宋" w:eastAsia="仿宋" w:cs="宋体"/>
          <w:color w:val="auto"/>
        </w:rPr>
      </w:pPr>
    </w:p>
    <w:p>
      <w:pPr>
        <w:pStyle w:val="3"/>
        <w:spacing w:line="240" w:lineRule="auto"/>
        <w:rPr>
          <w:rFonts w:ascii="仿宋" w:hAnsi="仿宋" w:cs="宋体"/>
          <w:color w:val="auto"/>
          <w:sz w:val="36"/>
          <w:szCs w:val="36"/>
        </w:rPr>
      </w:pPr>
      <w:r>
        <w:rPr>
          <w:rFonts w:hint="eastAsia" w:ascii="仿宋" w:hAnsi="仿宋" w:cs="宋体"/>
          <w:color w:val="auto"/>
        </w:rPr>
        <w:br w:type="page" w:clear="all"/>
      </w:r>
      <w:bookmarkStart w:id="637" w:name="_Toc27416"/>
      <w:bookmarkStart w:id="638" w:name="_Toc20727"/>
      <w:bookmarkStart w:id="639" w:name="_Toc109124312"/>
      <w:bookmarkStart w:id="640" w:name="_Toc65682987"/>
      <w:r>
        <w:rPr>
          <w:rFonts w:hint="eastAsia" w:ascii="仿宋" w:hAnsi="仿宋" w:cs="宋体"/>
          <w:color w:val="auto"/>
          <w:sz w:val="36"/>
          <w:szCs w:val="36"/>
        </w:rPr>
        <w:t>第四章 合同条款</w:t>
      </w:r>
      <w:bookmarkEnd w:id="637"/>
      <w:bookmarkEnd w:id="638"/>
      <w:bookmarkEnd w:id="639"/>
      <w:bookmarkEnd w:id="640"/>
    </w:p>
    <w:p>
      <w:pPr>
        <w:widowControl/>
        <w:spacing w:before="100" w:beforeAutospacing="1" w:after="100" w:afterAutospacing="1" w:line="240" w:lineRule="auto"/>
        <w:jc w:val="center"/>
        <w:rPr>
          <w:rFonts w:ascii="仿宋" w:hAnsi="仿宋" w:eastAsia="仿宋" w:cs="仿宋"/>
          <w:color w:val="auto"/>
          <w:sz w:val="36"/>
          <w:szCs w:val="36"/>
        </w:rPr>
      </w:pPr>
      <w:r>
        <w:rPr>
          <w:rFonts w:hint="eastAsia" w:ascii="仿宋" w:hAnsi="仿宋" w:eastAsia="仿宋" w:cs="仿宋"/>
          <w:b/>
          <w:bCs/>
          <w:color w:val="auto"/>
          <w:sz w:val="36"/>
          <w:szCs w:val="36"/>
        </w:rPr>
        <w:t>商务部分</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第一条 </w:t>
      </w:r>
      <w:r>
        <w:rPr>
          <w:rFonts w:hint="eastAsia" w:ascii="仿宋" w:hAnsi="仿宋" w:eastAsia="仿宋" w:cs="仿宋"/>
          <w:color w:val="auto"/>
          <w:sz w:val="24"/>
          <w:szCs w:val="24"/>
        </w:rPr>
        <w:t>项目内容及要求</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项目内容及要求</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本合同项下甲乙双方约定的项目内容及要求见本合同【附件】。</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第二条 </w:t>
      </w:r>
      <w:r>
        <w:rPr>
          <w:rFonts w:hint="eastAsia" w:ascii="仿宋" w:hAnsi="仿宋" w:eastAsia="仿宋" w:cs="仿宋"/>
          <w:b/>
          <w:bCs/>
          <w:color w:val="auto"/>
          <w:sz w:val="24"/>
          <w:szCs w:val="24"/>
        </w:rPr>
        <w:t>合同价格</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（一） 本合同价格确定及付款安排见【附件】。</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（二） 由于乙方未提供或未及时提供足额有效的增值税专用发票，或乙方变更账户信息但未提前通知甲方而导致的付款迟延，甲方不承担任何责任。</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第三条 </w:t>
      </w:r>
      <w:r>
        <w:rPr>
          <w:rFonts w:hint="eastAsia" w:ascii="仿宋" w:hAnsi="仿宋" w:eastAsia="仿宋" w:cs="仿宋"/>
          <w:color w:val="auto"/>
          <w:sz w:val="24"/>
          <w:szCs w:val="24"/>
        </w:rPr>
        <w:t>甲方的权利和义务（适用于专项法律服务合同）</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双方的权利和义务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除本合同约定的双方的权利义务外，甲乙双方在本合同项下的其他权利和义务见【附件】的约定。</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第四条 </w:t>
      </w:r>
      <w:r>
        <w:rPr>
          <w:rFonts w:hint="eastAsia" w:ascii="仿宋" w:hAnsi="仿宋" w:eastAsia="仿宋" w:cs="仿宋"/>
          <w:color w:val="auto"/>
          <w:sz w:val="24"/>
          <w:szCs w:val="24"/>
        </w:rPr>
        <w:t>违约责任</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违约责任</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    甲、乙任一方或双方违约的，违约一方应当向相对方承担相应的违约责任。违约责任的具体约定见【附件】。</w:t>
      </w:r>
    </w:p>
    <w:p>
      <w:pPr>
        <w:widowControl/>
        <w:spacing w:before="100" w:beforeAutospacing="1" w:after="100" w:afterAutospacing="1" w:line="600" w:lineRule="exact"/>
        <w:jc w:val="center"/>
        <w:rPr>
          <w:rFonts w:ascii="仿宋" w:hAnsi="仿宋" w:eastAsia="仿宋" w:cs="仿宋"/>
          <w:color w:val="auto"/>
          <w:sz w:val="24"/>
          <w:szCs w:val="24"/>
        </w:rPr>
      </w:pPr>
      <w:r>
        <w:rPr>
          <w:rFonts w:hint="eastAsia" w:ascii="仿宋" w:hAnsi="仿宋" w:eastAsia="仿宋" w:cs="仿宋"/>
          <w:b/>
          <w:bCs/>
          <w:color w:val="auto"/>
          <w:sz w:val="24"/>
          <w:szCs w:val="24"/>
        </w:rPr>
        <w:t>通用部分</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第五条 </w:t>
      </w:r>
      <w:r>
        <w:rPr>
          <w:rFonts w:hint="eastAsia" w:ascii="仿宋" w:hAnsi="仿宋" w:eastAsia="仿宋" w:cs="仿宋"/>
          <w:b/>
          <w:bCs/>
          <w:color w:val="auto"/>
          <w:sz w:val="24"/>
          <w:szCs w:val="24"/>
        </w:rPr>
        <w:t>双方的权利和义务</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（一） 甲方的权利和义务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（1）甲方有权获得本合同项下乙方应提供的全部合格的服务；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（2）甲方有权在合同期内对乙方的产品及服务进行监督；</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（3）乙方未按照合同约定履行义务的，甲方有权采取相应的措施；</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（4）甲方应按照合同约定向乙方支付合同价款；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（5）甲方享有其它双方约定的权利、承担其它双方约定的义务。</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（二） 乙方的权利和义务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（1）乙方有权获得甲方支付的合同价款；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（2）乙方应按照合同约定向甲方提供全部合格的服务；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（3）乙方应当按照合同约定的期限及要求完成项目内容；</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（5）乙方享有其它双方约定的权利、承担其它双方约定的义务。</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第六条 </w:t>
      </w:r>
      <w:r>
        <w:rPr>
          <w:rFonts w:hint="eastAsia" w:ascii="仿宋" w:hAnsi="仿宋" w:eastAsia="仿宋" w:cs="仿宋"/>
          <w:color w:val="auto"/>
          <w:sz w:val="24"/>
          <w:szCs w:val="24"/>
        </w:rPr>
        <w:t>禁止转让</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禁止转让</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    未经甲方事先书面同意，乙方不得将其本合同项下之全部义务或其中一部分义务转让给第三方执行。</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第七条 </w:t>
      </w:r>
      <w:r>
        <w:rPr>
          <w:rFonts w:hint="eastAsia" w:ascii="仿宋" w:hAnsi="仿宋" w:eastAsia="仿宋" w:cs="仿宋"/>
          <w:color w:val="auto"/>
          <w:sz w:val="24"/>
          <w:szCs w:val="24"/>
        </w:rPr>
        <w:t>权利保证</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权利保证</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第八条 </w:t>
      </w:r>
      <w:r>
        <w:rPr>
          <w:rFonts w:hint="eastAsia" w:ascii="仿宋" w:hAnsi="仿宋" w:eastAsia="仿宋" w:cs="仿宋"/>
          <w:b/>
          <w:bCs/>
          <w:color w:val="auto"/>
          <w:sz w:val="24"/>
          <w:szCs w:val="24"/>
        </w:rPr>
        <w:t>违约责任</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（一） 由于甲方原因不能按合同约定时间付款的，每延迟10个工作日，甲方按合同应付金额的_______%向乙方支付违约金。</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（二） 乙方延迟交付的违约责任</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（1）由于乙方原因造成项目延迟的，每延迟10个工作日，乙方向甲方支付违约金为合同服务费用总额的_______%。</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（2）由于乙方原因造成项目迟延，经甲方催促后乙方继续延误的，甲方有权单方面解除合同，乙方应按照合同服务费用总额的_______%向甲方支付违约金，并赔偿由此引起的甲方全部损失。</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（三） 验收不合格并且乙方在甲方指定期限内无法完成整改、提交合格的工作成果的，乙方应向甲方支付合同服务费用总额_______%的违约金，并赔偿由此引起的甲方全部损失。</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（四） 如果乙方违反本合同约定的保密义务，乙方应向甲方支付相当于合同服务费用总额_______%的违约金，甲方受到的损失超出违约金的部分，由乙方继续承担赔偿责任。</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（五） 除本合同的约定外，因乙方的违约行为给甲方造成损失的，乙方应向甲方支付相当于合同服务费用总额_______%的违约金，如甲方受到的损失超过违约金的，超出部分由乙方继续承担赔偿责任。</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第九条 </w:t>
      </w:r>
      <w:r>
        <w:rPr>
          <w:rFonts w:hint="eastAsia" w:ascii="仿宋" w:hAnsi="仿宋" w:eastAsia="仿宋" w:cs="仿宋"/>
          <w:b/>
          <w:bCs/>
          <w:color w:val="auto"/>
          <w:sz w:val="24"/>
          <w:szCs w:val="24"/>
        </w:rPr>
        <w:t>保密义务</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（二） 乙方在本合同中所受领的保密信息应及时返还甲方或在甲方监督下予以销毁。乙方擅自留存备份信息，视为违反保密约定。</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（三） 无论本合同因何种原因终止，本保密条款依然有效。</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第十条 </w:t>
      </w:r>
      <w:r>
        <w:rPr>
          <w:rFonts w:hint="eastAsia" w:ascii="仿宋" w:hAnsi="仿宋" w:eastAsia="仿宋" w:cs="仿宋"/>
          <w:b/>
          <w:bCs/>
          <w:color w:val="auto"/>
          <w:sz w:val="24"/>
          <w:szCs w:val="24"/>
        </w:rPr>
        <w:t>不可抗力</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一）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二）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（三）合同一方迟延履行后发生不可抗力的，不能免除其责任。</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四）不可抗力因素消除后，双方应立即进行磋商，就不可抗力所造成影响程度甲方有权决定是否继续履行或者终止本合同。如果甲方决定终止合同，如甲方已经付款，乙方应将已交付部分的款项在5日内向甲方返还。</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第十一条 </w:t>
      </w:r>
      <w:r>
        <w:rPr>
          <w:rFonts w:hint="eastAsia" w:ascii="仿宋" w:hAnsi="仿宋" w:eastAsia="仿宋" w:cs="仿宋"/>
          <w:color w:val="auto"/>
          <w:sz w:val="24"/>
          <w:szCs w:val="24"/>
        </w:rPr>
        <w:t>合同变更</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合同变更</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    对本合同的任何变更或补充，须经甲乙双方协商一致，并另行签订书面补充协议。</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第十二条 </w:t>
      </w:r>
      <w:r>
        <w:rPr>
          <w:rFonts w:hint="eastAsia" w:ascii="仿宋" w:hAnsi="仿宋" w:eastAsia="仿宋" w:cs="仿宋"/>
          <w:b/>
          <w:bCs/>
          <w:color w:val="auto"/>
          <w:sz w:val="24"/>
          <w:szCs w:val="24"/>
        </w:rPr>
        <w:t>合同特别终止</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（一）甲乙双方同意在乙方出现下列情形时，甲方可以书面形式通知乙方（或者乙方的破产清算组或相关管理人）提出终止合同而不向其提供任何补偿：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（2）乙方发生未经甲方书面同意的重大产权变更（包括但不限于合并、分立、注销等情形)；（如系上市公司）被勒令停止上市；以及任何原因背负重大债务导致无履行能力。</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（二）如果因上述原因导致本合同终止，甲方已经采取或者将要采取任何补救措施的权利不受任何影响。</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第十三条 </w:t>
      </w:r>
      <w:r>
        <w:rPr>
          <w:rFonts w:hint="eastAsia" w:ascii="仿宋" w:hAnsi="仿宋" w:eastAsia="仿宋" w:cs="仿宋"/>
          <w:b/>
          <w:bCs/>
          <w:color w:val="auto"/>
          <w:sz w:val="24"/>
          <w:szCs w:val="24"/>
        </w:rPr>
        <w:t>法律适用与争议解决</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（一）本合同的订立、效力、解释、履行和争议的解决均适用中华人民共和国法律（不包括港澳台地区法律）。</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（二）凡因本合同引起的或与本合同有关的任何争议，双方首先应友好协商解决。协商不成的，任何一方均有权将争议提交甲方所在地有管辖权的人民法院诉讼解决。</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第十四条 </w:t>
      </w:r>
      <w:r>
        <w:rPr>
          <w:rFonts w:hint="eastAsia" w:ascii="仿宋" w:hAnsi="仿宋" w:eastAsia="仿宋" w:cs="仿宋"/>
          <w:b/>
          <w:bCs/>
          <w:color w:val="auto"/>
          <w:sz w:val="24"/>
          <w:szCs w:val="24"/>
        </w:rPr>
        <w:t>合同生效及其他</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（一）本合同经甲乙双方法定代表人或授权代表签字并加盖公章后生效。</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（二）合同期限自_______年_______月_______日始，至_______年_______月_______日止。</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（三）本合同一式_______份，其中正本_______份，副本_______份。甲方执_______份正本，_______份副本；乙方执_______份正本，_______份副本。</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（四）无论本合同是否有相反约定，本合同附件（如有）作为本合同的组成部分，与本合同具有同等法律效力，当附件条款与本合同条款发生冲突时，以本合同条款为准。</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五）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color w:val="auto"/>
          <w:sz w:val="24"/>
          <w:szCs w:val="24"/>
        </w:rPr>
        <w:t>（六）由于法律和法规、政策而导致本合同任何条款无效或无法执行，则该条款无效，但不影响剩余其他条款的效力。</w:t>
      </w:r>
    </w:p>
    <w:p>
      <w:pPr>
        <w:widowControl/>
        <w:spacing w:before="100" w:beforeAutospacing="1" w:after="100" w:afterAutospacing="1" w:line="600" w:lineRule="exact"/>
        <w:ind w:firstLine="525"/>
        <w:jc w:val="left"/>
        <w:rPr>
          <w:rFonts w:ascii="仿宋" w:hAnsi="仿宋" w:eastAsia="仿宋" w:cs="仿宋"/>
          <w:color w:val="auto"/>
          <w:sz w:val="24"/>
          <w:szCs w:val="24"/>
        </w:rPr>
      </w:pPr>
      <w:r>
        <w:rPr>
          <w:rFonts w:hint="eastAsia" w:ascii="仿宋" w:hAnsi="仿宋" w:eastAsia="仿宋" w:cs="仿宋"/>
          <w:b/>
          <w:color w:val="auto"/>
          <w:sz w:val="24"/>
          <w:szCs w:val="24"/>
        </w:rPr>
        <w:t xml:space="preserve">第十五条 </w:t>
      </w:r>
      <w:r>
        <w:rPr>
          <w:rFonts w:hint="eastAsia" w:ascii="仿宋" w:hAnsi="仿宋" w:eastAsia="仿宋" w:cs="仿宋"/>
          <w:color w:val="auto"/>
          <w:sz w:val="24"/>
          <w:szCs w:val="24"/>
        </w:rPr>
        <w:t>附件的组成(适用于咨询服务采购合同)</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附件的组成</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附件一、服务内容及要求</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附件二、付款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附件三、双方的权利和义务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附件四、违约责任</w:t>
      </w:r>
    </w:p>
    <w:p>
      <w:pPr>
        <w:widowControl/>
        <w:spacing w:before="100" w:beforeAutospacing="1" w:after="100" w:afterAutospacing="1" w:line="600" w:lineRule="exact"/>
        <w:jc w:val="left"/>
        <w:rPr>
          <w:rFonts w:ascii="仿宋" w:hAnsi="仿宋" w:eastAsia="仿宋" w:cs="仿宋"/>
          <w:b/>
          <w:color w:val="auto"/>
          <w:sz w:val="24"/>
          <w:szCs w:val="24"/>
        </w:rPr>
      </w:pPr>
      <w:r>
        <w:rPr>
          <w:rFonts w:hint="eastAsia" w:ascii="仿宋" w:hAnsi="仿宋" w:eastAsia="仿宋" w:cs="仿宋"/>
          <w:color w:val="auto"/>
          <w:sz w:val="24"/>
          <w:szCs w:val="24"/>
        </w:rPr>
        <w:t>附件五、廉洁诚信协议</w:t>
      </w:r>
    </w:p>
    <w:p>
      <w:pPr>
        <w:spacing w:line="600" w:lineRule="exact"/>
        <w:jc w:val="left"/>
        <w:rPr>
          <w:rFonts w:ascii="仿宋" w:hAnsi="仿宋" w:eastAsia="仿宋" w:cs="仿宋"/>
          <w:b/>
          <w:color w:val="auto"/>
          <w:sz w:val="24"/>
          <w:szCs w:val="24"/>
        </w:rPr>
      </w:pPr>
    </w:p>
    <w:p>
      <w:pPr>
        <w:spacing w:line="600" w:lineRule="exact"/>
        <w:jc w:val="left"/>
        <w:rPr>
          <w:rFonts w:ascii="仿宋" w:hAnsi="仿宋" w:eastAsia="仿宋" w:cs="仿宋"/>
          <w:b/>
          <w:color w:val="auto"/>
          <w:sz w:val="24"/>
          <w:szCs w:val="24"/>
        </w:rPr>
      </w:pPr>
    </w:p>
    <w:p>
      <w:pPr>
        <w:spacing w:line="600" w:lineRule="exact"/>
        <w:jc w:val="left"/>
        <w:rPr>
          <w:rFonts w:ascii="仿宋" w:hAnsi="仿宋" w:eastAsia="仿宋" w:cs="仿宋"/>
          <w:b/>
          <w:color w:val="auto"/>
          <w:sz w:val="24"/>
          <w:szCs w:val="24"/>
        </w:rPr>
      </w:pPr>
    </w:p>
    <w:p>
      <w:pPr>
        <w:spacing w:line="600" w:lineRule="exact"/>
        <w:jc w:val="left"/>
        <w:rPr>
          <w:rFonts w:ascii="仿宋" w:hAnsi="仿宋" w:eastAsia="仿宋" w:cs="仿宋"/>
          <w:b/>
          <w:color w:val="auto"/>
          <w:sz w:val="24"/>
          <w:szCs w:val="24"/>
        </w:rPr>
      </w:pPr>
    </w:p>
    <w:p>
      <w:pPr>
        <w:spacing w:line="600" w:lineRule="exact"/>
        <w:jc w:val="left"/>
        <w:rPr>
          <w:rFonts w:ascii="仿宋" w:hAnsi="仿宋" w:eastAsia="仿宋" w:cs="仿宋"/>
          <w:b/>
          <w:color w:val="auto"/>
          <w:sz w:val="24"/>
          <w:szCs w:val="24"/>
        </w:rPr>
      </w:pPr>
    </w:p>
    <w:p>
      <w:pPr>
        <w:pStyle w:val="2"/>
        <w:rPr>
          <w:rFonts w:ascii="仿宋" w:hAnsi="仿宋" w:eastAsia="仿宋" w:cs="仿宋"/>
          <w:b/>
          <w:color w:val="auto"/>
          <w:sz w:val="24"/>
          <w:szCs w:val="24"/>
        </w:rPr>
      </w:pPr>
    </w:p>
    <w:p>
      <w:pPr>
        <w:spacing w:line="600" w:lineRule="exact"/>
        <w:jc w:val="left"/>
        <w:rPr>
          <w:rFonts w:ascii="仿宋" w:hAnsi="仿宋" w:eastAsia="仿宋" w:cs="仿宋"/>
          <w:b/>
          <w:color w:val="auto"/>
          <w:sz w:val="24"/>
          <w:szCs w:val="24"/>
        </w:rPr>
      </w:pPr>
      <w:r>
        <w:rPr>
          <w:rFonts w:hint="eastAsia" w:ascii="仿宋" w:hAnsi="仿宋" w:eastAsia="仿宋" w:cs="仿宋"/>
          <w:b/>
          <w:color w:val="auto"/>
          <w:sz w:val="24"/>
          <w:szCs w:val="24"/>
        </w:rPr>
        <w:t>附件一</w:t>
      </w:r>
      <w:r>
        <w:rPr>
          <w:rFonts w:hint="eastAsia" w:ascii="仿宋" w:hAnsi="仿宋" w:eastAsia="仿宋" w:cs="仿宋"/>
          <w:b/>
          <w:color w:val="auto"/>
          <w:sz w:val="24"/>
          <w:szCs w:val="24"/>
        </w:rPr>
        <w:tab/>
      </w:r>
    </w:p>
    <w:p>
      <w:pPr>
        <w:spacing w:line="360" w:lineRule="auto"/>
        <w:jc w:val="center"/>
        <w:rPr>
          <w:rFonts w:ascii="仿宋" w:hAnsi="仿宋" w:eastAsia="仿宋" w:cs="仿宋"/>
          <w:b/>
          <w:color w:val="auto"/>
          <w:sz w:val="32"/>
          <w:szCs w:val="32"/>
        </w:rPr>
      </w:pPr>
      <w:r>
        <w:rPr>
          <w:rFonts w:hint="eastAsia" w:ascii="仿宋" w:hAnsi="仿宋" w:eastAsia="仿宋" w:cs="仿宋"/>
          <w:b/>
          <w:color w:val="auto"/>
          <w:sz w:val="32"/>
          <w:szCs w:val="32"/>
        </w:rPr>
        <w:t>服务内容及要求</w:t>
      </w:r>
    </w:p>
    <w:p>
      <w:pPr>
        <w:spacing w:line="360" w:lineRule="auto"/>
        <w:ind w:firstLine="470"/>
        <w:rPr>
          <w:rFonts w:ascii="仿宋" w:hAnsi="仿宋" w:eastAsia="仿宋" w:cs="仿宋"/>
          <w:b/>
          <w:bCs/>
          <w:color w:val="auto"/>
          <w:spacing w:val="24"/>
          <w:sz w:val="24"/>
          <w:szCs w:val="24"/>
        </w:rPr>
      </w:pP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一.</w:t>
      </w:r>
      <w:r>
        <w:rPr>
          <w:rFonts w:hint="eastAsia" w:ascii="仿宋" w:hAnsi="仿宋" w:eastAsia="仿宋" w:cs="仿宋"/>
          <w:b/>
          <w:bCs/>
          <w:color w:val="auto"/>
          <w:spacing w:val="24"/>
          <w:sz w:val="24"/>
          <w:szCs w:val="24"/>
        </w:rPr>
        <w:t>项目名称</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项目名称：人保财险南充嘉陵支公司办公楼装饰工程。</w:t>
      </w:r>
    </w:p>
    <w:p>
      <w:pPr>
        <w:spacing w:line="360" w:lineRule="auto"/>
        <w:ind w:firstLine="482"/>
        <w:rPr>
          <w:rFonts w:ascii="仿宋" w:hAnsi="仿宋" w:eastAsia="仿宋" w:cs="仿宋"/>
          <w:b/>
          <w:bCs/>
          <w:color w:val="auto"/>
          <w:sz w:val="24"/>
          <w:szCs w:val="24"/>
        </w:rPr>
      </w:pPr>
      <w:bookmarkStart w:id="641" w:name="_Toc217446095"/>
      <w:r>
        <w:rPr>
          <w:rFonts w:hint="eastAsia" w:ascii="仿宋" w:hAnsi="仿宋" w:eastAsia="仿宋" w:cs="仿宋"/>
          <w:b/>
          <w:bCs/>
          <w:color w:val="auto"/>
          <w:sz w:val="24"/>
          <w:szCs w:val="24"/>
        </w:rPr>
        <w:t>二、</w:t>
      </w:r>
      <w:bookmarkEnd w:id="641"/>
      <w:r>
        <w:rPr>
          <w:rFonts w:hint="eastAsia" w:ascii="仿宋" w:hAnsi="仿宋" w:eastAsia="仿宋" w:cs="仿宋"/>
          <w:b/>
          <w:bCs/>
          <w:color w:val="auto"/>
          <w:sz w:val="24"/>
          <w:szCs w:val="24"/>
        </w:rPr>
        <w:t>技术服务要求</w:t>
      </w:r>
    </w:p>
    <w:p>
      <w:pPr>
        <w:spacing w:line="360" w:lineRule="auto"/>
        <w:ind w:firstLine="472"/>
        <w:rPr>
          <w:rFonts w:ascii="仿宋" w:hAnsi="仿宋" w:eastAsia="仿宋" w:cs="仿宋"/>
          <w:b/>
          <w:bCs/>
          <w:color w:val="auto"/>
          <w:sz w:val="24"/>
        </w:rPr>
      </w:pPr>
      <w:r>
        <w:rPr>
          <w:rFonts w:hint="eastAsia" w:ascii="仿宋" w:hAnsi="仿宋" w:eastAsia="仿宋" w:cs="仿宋"/>
          <w:b/>
          <w:bCs/>
          <w:color w:val="auto"/>
          <w:sz w:val="24"/>
        </w:rPr>
        <w:t>1.工程量清单说明事项</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1.1 工程量清单应与招标文件中的供应商须知、合同文件、技术标准等一起阅读和理解。</w:t>
      </w:r>
    </w:p>
    <w:p>
      <w:pPr>
        <w:spacing w:line="360" w:lineRule="auto"/>
        <w:ind w:firstLine="480"/>
        <w:jc w:val="left"/>
        <w:rPr>
          <w:rFonts w:ascii="仿宋" w:hAnsi="仿宋" w:eastAsia="仿宋" w:cs="仿宋"/>
          <w:color w:val="auto"/>
          <w:sz w:val="24"/>
          <w:highlight w:val="green"/>
        </w:rPr>
      </w:pPr>
      <w:r>
        <w:rPr>
          <w:rFonts w:hint="eastAsia" w:ascii="仿宋" w:hAnsi="仿宋" w:eastAsia="仿宋" w:cs="仿宋"/>
          <w:color w:val="auto"/>
          <w:sz w:val="24"/>
        </w:rPr>
        <w:t>1.2 工程量清单仅是投标报价的共同基础，实际工程计量和工程价款的支付应遵循合同条款的约定和“技术标准和要求”的有关规定，经供应商和采购人双方核定确认。</w:t>
      </w:r>
    </w:p>
    <w:p>
      <w:pPr>
        <w:spacing w:line="360" w:lineRule="auto"/>
        <w:ind w:firstLine="472"/>
        <w:rPr>
          <w:rFonts w:ascii="仿宋" w:hAnsi="仿宋" w:eastAsia="仿宋" w:cs="仿宋"/>
          <w:b/>
          <w:bCs/>
          <w:color w:val="auto"/>
          <w:sz w:val="24"/>
        </w:rPr>
      </w:pPr>
      <w:bookmarkStart w:id="642" w:name="_Toc380920582"/>
      <w:r>
        <w:rPr>
          <w:rFonts w:hint="eastAsia" w:ascii="仿宋" w:hAnsi="仿宋" w:eastAsia="仿宋" w:cs="仿宋"/>
          <w:b/>
          <w:bCs/>
          <w:color w:val="auto"/>
          <w:sz w:val="24"/>
        </w:rPr>
        <w:t>2.投标报价注意事项</w:t>
      </w:r>
      <w:bookmarkEnd w:id="642"/>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2.1本次招标采用工程量清单综合单价法报价，项目总价执行以实际工程量结算。</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2.2投标报价应是招标文件载明的所有工作内容（含工程量清单含所有内容）的总价，应包括所需人工费、施工机械使用费、材料费、其他（运杂费、质检费、安装费、缺陷修复费、保险费、以及招标文件明示或暗示的风险、责任和义务等），以及管理费、利润、税金等。</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2.3供应商应结合工程量清单和技术资料等，对单位工程成本、利润进行分析，统筹考虑自身条件，合理确定人工、材料、施工机械等要素的投入与配置，优化组合，合理控制现场费用和施工技术措施费用。属于供应商的施工方法、施工措施和人工、材料、机械的消耗量水平、取费等由供应商确定。</w:t>
      </w:r>
    </w:p>
    <w:p>
      <w:pPr>
        <w:spacing w:line="360" w:lineRule="auto"/>
        <w:ind w:firstLine="482"/>
        <w:rPr>
          <w:rFonts w:ascii="仿宋" w:hAnsi="仿宋" w:eastAsia="仿宋" w:cs="仿宋"/>
          <w:b/>
          <w:color w:val="auto"/>
          <w:sz w:val="24"/>
        </w:rPr>
      </w:pPr>
      <w:r>
        <w:rPr>
          <w:rFonts w:hint="eastAsia" w:ascii="仿宋" w:hAnsi="仿宋" w:eastAsia="仿宋" w:cs="仿宋"/>
          <w:b/>
          <w:color w:val="auto"/>
          <w:sz w:val="24"/>
        </w:rPr>
        <w:t>3、工程要求</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3.1工程质量要求：达到国家现行施工验收规范合格标准。</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3.2污染物处理及排放符合国家及地方环境保护标准。</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3.3安全防护符合国家及地方安全管理规定。</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3.4施工要求：应符合施工规范及验收标准的相关要求。工程施工应满足当地政府及当地建设行政主管部门对工程建设的有关规定，并按经批准的施工组织设计实施。</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3.5安全文明施工按2020年《四川省建设工程工程量清单计价定额》及相关规定要求执行。</w:t>
      </w:r>
    </w:p>
    <w:p>
      <w:pPr>
        <w:spacing w:line="500" w:lineRule="exact"/>
        <w:ind w:firstLine="482"/>
        <w:rPr>
          <w:rFonts w:ascii="仿宋" w:hAnsi="仿宋" w:eastAsia="仿宋" w:cs="仿宋"/>
          <w:b/>
          <w:color w:val="auto"/>
          <w:sz w:val="24"/>
        </w:rPr>
      </w:pPr>
      <w:r>
        <w:rPr>
          <w:rFonts w:hint="eastAsia" w:ascii="仿宋" w:hAnsi="仿宋" w:eastAsia="仿宋" w:cs="仿宋"/>
          <w:b/>
          <w:color w:val="auto"/>
          <w:sz w:val="24"/>
        </w:rPr>
        <w:t>注：工程量清单详见附件</w:t>
      </w:r>
    </w:p>
    <w:p>
      <w:pPr>
        <w:spacing w:line="360" w:lineRule="auto"/>
        <w:ind w:firstLine="482"/>
        <w:rPr>
          <w:rFonts w:ascii="仿宋" w:hAnsi="仿宋" w:eastAsia="仿宋" w:cs="仿宋"/>
          <w:b/>
          <w:bCs/>
          <w:color w:val="auto"/>
          <w:sz w:val="24"/>
          <w:szCs w:val="24"/>
        </w:rPr>
      </w:pPr>
      <w:r>
        <w:rPr>
          <w:rFonts w:hint="eastAsia" w:ascii="仿宋" w:hAnsi="仿宋" w:eastAsia="仿宋" w:cs="仿宋"/>
          <w:b/>
          <w:bCs/>
          <w:color w:val="auto"/>
          <w:sz w:val="24"/>
          <w:szCs w:val="24"/>
        </w:rPr>
        <w:t>三、商务要求</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1、计划工期:自合同签订之日起</w:t>
      </w:r>
      <w:bookmarkStart w:id="732" w:name="_GoBack"/>
      <w:r>
        <w:rPr>
          <w:rFonts w:hint="eastAsia" w:ascii="仿宋" w:hAnsi="仿宋" w:eastAsia="仿宋" w:cs="仿宋"/>
          <w:b/>
          <w:bCs/>
          <w:color w:val="FF0000"/>
          <w:sz w:val="24"/>
          <w:highlight w:val="yellow"/>
          <w:lang w:val="en-US" w:eastAsia="zh-CN"/>
        </w:rPr>
        <w:t>90</w:t>
      </w:r>
      <w:bookmarkEnd w:id="732"/>
      <w:r>
        <w:rPr>
          <w:rFonts w:hint="eastAsia" w:ascii="仿宋" w:hAnsi="仿宋" w:eastAsia="仿宋" w:cs="仿宋"/>
          <w:color w:val="auto"/>
          <w:sz w:val="24"/>
        </w:rPr>
        <w:t>个日历天。</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2、付款方式:</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(1)本项目合同签订后，招标人在收到中标人相应金额的合法有效的增值税专用发票后10个工作日内向中标人支付上述合同价款的30%;</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(2)工程竣工验收合格后，招标人在收到中标人相应金额的合法有效的增值税专用发票后10个工作日内向中标人支付上述合同价款的50%:</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(3)工程竣工验收合格后，以招标人委派的第三方出具的审计结论为结算依据，在第三方出具审计报告后，支付至结算总价款的97%，留存合同签约总价款的3%作为质保金，</w:t>
      </w:r>
      <w:r>
        <w:rPr>
          <w:rFonts w:hint="eastAsia" w:ascii="仿宋" w:hAnsi="仿宋" w:eastAsia="仿宋" w:cs="仿宋"/>
          <w:color w:val="FF0000"/>
          <w:sz w:val="24"/>
          <w:highlight w:val="yellow"/>
        </w:rPr>
        <w:t>质保期满后</w:t>
      </w:r>
      <w:r>
        <w:rPr>
          <w:rFonts w:hint="eastAsia" w:ascii="仿宋" w:hAnsi="仿宋" w:eastAsia="仿宋" w:cs="仿宋"/>
          <w:color w:val="auto"/>
          <w:sz w:val="24"/>
        </w:rPr>
        <w:t>，如无质量问题，将全额支付质保金;若审计价低于合同签约总价款，支付至审计价的97%，留存审计价的3%作为质保金，</w:t>
      </w:r>
      <w:r>
        <w:rPr>
          <w:rFonts w:hint="eastAsia" w:ascii="仿宋" w:hAnsi="仿宋" w:eastAsia="仿宋" w:cs="仿宋"/>
          <w:color w:val="FF0000"/>
          <w:sz w:val="24"/>
          <w:highlight w:val="yellow"/>
        </w:rPr>
        <w:t>质保期满后</w:t>
      </w:r>
      <w:r>
        <w:rPr>
          <w:rFonts w:hint="eastAsia" w:ascii="仿宋" w:hAnsi="仿宋" w:eastAsia="仿宋" w:cs="仿宋"/>
          <w:color w:val="auto"/>
          <w:sz w:val="24"/>
        </w:rPr>
        <w:t>，如无质量问题，将全额支付质保金。</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3、质保时间:本项目工程质保2年，自工程竣工验收合格之日起计算。</w:t>
      </w:r>
    </w:p>
    <w:p>
      <w:pPr>
        <w:pStyle w:val="20"/>
        <w:spacing w:line="500" w:lineRule="exact"/>
        <w:ind w:firstLine="482"/>
        <w:rPr>
          <w:rFonts w:ascii="仿宋" w:hAnsi="仿宋" w:eastAsia="仿宋" w:cs="仿宋"/>
          <w:b/>
          <w:color w:val="auto"/>
          <w:sz w:val="24"/>
          <w:szCs w:val="24"/>
        </w:rPr>
      </w:pPr>
      <w:r>
        <w:rPr>
          <w:rFonts w:hint="eastAsia" w:ascii="仿宋" w:hAnsi="仿宋" w:eastAsia="仿宋" w:cs="仿宋"/>
          <w:b/>
          <w:color w:val="auto"/>
          <w:sz w:val="24"/>
          <w:szCs w:val="24"/>
        </w:rPr>
        <w:t>注意：以上技术服务要求和商务要求为本次采购活动体现满足采购需求、质量和服务相等的采购项目最低要求，不允许有负偏离。</w:t>
      </w:r>
    </w:p>
    <w:p>
      <w:pPr>
        <w:pStyle w:val="2"/>
        <w:rPr>
          <w:rFonts w:ascii="仿宋" w:hAnsi="仿宋" w:eastAsia="仿宋" w:cs="仿宋"/>
          <w:color w:val="auto"/>
          <w:sz w:val="24"/>
          <w:szCs w:val="24"/>
        </w:rPr>
      </w:pPr>
    </w:p>
    <w:p>
      <w:pPr>
        <w:pStyle w:val="2"/>
        <w:rPr>
          <w:rFonts w:ascii="仿宋" w:hAnsi="仿宋" w:eastAsia="仿宋" w:cs="仿宋"/>
          <w:color w:val="auto"/>
          <w:sz w:val="24"/>
          <w:szCs w:val="24"/>
        </w:rPr>
      </w:pPr>
    </w:p>
    <w:p>
      <w:pPr>
        <w:pStyle w:val="30"/>
        <w:rPr>
          <w:rFonts w:ascii="仿宋" w:hAnsi="仿宋" w:eastAsia="仿宋" w:cs="仿宋"/>
          <w:color w:val="auto"/>
          <w:sz w:val="24"/>
          <w:szCs w:val="24"/>
        </w:rPr>
      </w:pPr>
    </w:p>
    <w:p>
      <w:pPr>
        <w:rPr>
          <w:rFonts w:ascii="仿宋" w:hAnsi="仿宋" w:eastAsia="仿宋" w:cs="仿宋"/>
          <w:color w:val="auto"/>
          <w:sz w:val="24"/>
          <w:szCs w:val="24"/>
        </w:rPr>
      </w:pPr>
    </w:p>
    <w:p>
      <w:pPr>
        <w:rPr>
          <w:rFonts w:ascii="仿宋" w:hAnsi="仿宋" w:eastAsia="仿宋" w:cs="仿宋"/>
          <w:color w:val="auto"/>
          <w:sz w:val="24"/>
          <w:szCs w:val="24"/>
        </w:rPr>
      </w:pPr>
    </w:p>
    <w:p>
      <w:pPr>
        <w:rPr>
          <w:rFonts w:ascii="仿宋" w:hAnsi="仿宋" w:eastAsia="仿宋" w:cs="仿宋"/>
          <w:color w:val="auto"/>
          <w:sz w:val="24"/>
          <w:szCs w:val="24"/>
        </w:rPr>
      </w:pPr>
    </w:p>
    <w:p>
      <w:pPr>
        <w:pStyle w:val="2"/>
        <w:rPr>
          <w:rFonts w:ascii="仿宋" w:hAnsi="仿宋" w:eastAsia="仿宋" w:cs="仿宋"/>
          <w:color w:val="auto"/>
          <w:sz w:val="24"/>
          <w:szCs w:val="24"/>
        </w:rPr>
      </w:pPr>
    </w:p>
    <w:p>
      <w:pPr>
        <w:pStyle w:val="30"/>
      </w:pPr>
    </w:p>
    <w:p>
      <w:pPr>
        <w:rPr>
          <w:rFonts w:ascii="仿宋" w:hAnsi="仿宋" w:eastAsia="仿宋" w:cs="仿宋"/>
          <w:color w:val="auto"/>
          <w:sz w:val="24"/>
          <w:szCs w:val="24"/>
        </w:rPr>
      </w:pPr>
    </w:p>
    <w:p>
      <w:pPr>
        <w:rPr>
          <w:rFonts w:ascii="仿宋" w:hAnsi="仿宋" w:eastAsia="仿宋" w:cs="仿宋"/>
          <w:color w:val="auto"/>
          <w:sz w:val="24"/>
          <w:szCs w:val="24"/>
        </w:rPr>
      </w:pPr>
    </w:p>
    <w:p>
      <w:pPr>
        <w:rPr>
          <w:rFonts w:ascii="仿宋" w:hAnsi="仿宋" w:eastAsia="仿宋" w:cs="仿宋"/>
          <w:color w:val="auto"/>
          <w:sz w:val="24"/>
          <w:szCs w:val="24"/>
        </w:rPr>
      </w:pPr>
    </w:p>
    <w:p>
      <w:pPr>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附件二</w:t>
      </w:r>
    </w:p>
    <w:p>
      <w:pPr>
        <w:spacing w:line="360" w:lineRule="auto"/>
        <w:ind w:firstLine="482"/>
        <w:jc w:val="center"/>
        <w:rPr>
          <w:rFonts w:ascii="仿宋" w:hAnsi="仿宋" w:eastAsia="仿宋" w:cs="仿宋"/>
          <w:b/>
          <w:color w:val="auto"/>
          <w:sz w:val="24"/>
          <w:szCs w:val="24"/>
        </w:rPr>
      </w:pPr>
      <w:r>
        <w:rPr>
          <w:rFonts w:hint="eastAsia" w:ascii="仿宋" w:hAnsi="仿宋" w:eastAsia="仿宋" w:cs="仿宋"/>
          <w:b/>
          <w:color w:val="auto"/>
          <w:sz w:val="24"/>
          <w:szCs w:val="24"/>
        </w:rPr>
        <w:t>付   款</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 本合同使用货币种类为人民币。</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2. 付款方式：转帐方式，甲方应向乙方以下账户进行付费：</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乙方如需改变上述账户，应提前10日以书面通知甲方。</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3．付款安排：</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 增值税专用发票的相关约定</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 xml:space="preserve">4.1乙方应向甲方开具增值税专用发票（发票增值税率应保持与采购结果的增值税率一致），甲方开票信息如下： </w:t>
      </w:r>
    </w:p>
    <w:p>
      <w:pPr>
        <w:spacing w:line="360" w:lineRule="auto"/>
        <w:ind w:firstLine="482"/>
        <w:jc w:val="left"/>
        <w:rPr>
          <w:rFonts w:ascii="仿宋" w:hAnsi="仿宋" w:eastAsia="仿宋" w:cs="仿宋"/>
          <w:bCs/>
          <w:color w:val="auto"/>
          <w:sz w:val="24"/>
          <w:szCs w:val="24"/>
        </w:rPr>
      </w:pPr>
      <w:r>
        <w:rPr>
          <w:rFonts w:hint="eastAsia" w:ascii="仿宋" w:hAnsi="仿宋" w:eastAsia="仿宋" w:cs="仿宋"/>
          <w:b/>
          <w:color w:val="auto"/>
          <w:sz w:val="24"/>
          <w:szCs w:val="24"/>
        </w:rPr>
        <w:t>公司名称：</w:t>
      </w:r>
      <w:r>
        <w:rPr>
          <w:rFonts w:hint="eastAsia" w:ascii="仿宋" w:hAnsi="仿宋" w:eastAsia="仿宋" w:cs="仿宋"/>
          <w:bCs/>
          <w:color w:val="auto"/>
          <w:sz w:val="24"/>
          <w:szCs w:val="24"/>
        </w:rPr>
        <w:t>中国人民财产保险股份有限公司南充市分公司</w:t>
      </w:r>
    </w:p>
    <w:p>
      <w:pPr>
        <w:spacing w:line="360" w:lineRule="auto"/>
        <w:ind w:firstLine="482"/>
        <w:jc w:val="left"/>
        <w:rPr>
          <w:rFonts w:ascii="仿宋" w:hAnsi="仿宋" w:eastAsia="仿宋" w:cs="仿宋"/>
          <w:bCs/>
          <w:color w:val="auto"/>
          <w:sz w:val="24"/>
          <w:szCs w:val="24"/>
          <w:highlight w:val="yellow"/>
        </w:rPr>
      </w:pPr>
      <w:r>
        <w:rPr>
          <w:rFonts w:hint="eastAsia" w:ascii="仿宋" w:hAnsi="仿宋" w:eastAsia="仿宋" w:cs="仿宋"/>
          <w:b/>
          <w:color w:val="auto"/>
          <w:sz w:val="24"/>
          <w:szCs w:val="24"/>
          <w:highlight w:val="yellow"/>
        </w:rPr>
        <w:t>纳税识别号：</w:t>
      </w:r>
      <w:r>
        <w:rPr>
          <w:rFonts w:hint="eastAsia" w:ascii="仿宋" w:hAnsi="仿宋" w:eastAsia="仿宋" w:cs="仿宋"/>
          <w:bCs/>
          <w:color w:val="auto"/>
          <w:sz w:val="24"/>
          <w:szCs w:val="24"/>
          <w:highlight w:val="yellow"/>
        </w:rPr>
        <w:t xml:space="preserve">91511300X213200114  </w:t>
      </w:r>
    </w:p>
    <w:p>
      <w:pPr>
        <w:spacing w:line="360" w:lineRule="auto"/>
        <w:ind w:firstLine="482"/>
        <w:jc w:val="left"/>
        <w:rPr>
          <w:rFonts w:ascii="仿宋" w:hAnsi="仿宋" w:eastAsia="仿宋" w:cs="仿宋"/>
          <w:bCs/>
          <w:color w:val="auto"/>
          <w:sz w:val="24"/>
          <w:szCs w:val="24"/>
          <w:highlight w:val="yellow"/>
        </w:rPr>
      </w:pPr>
      <w:r>
        <w:rPr>
          <w:rFonts w:hint="eastAsia" w:ascii="仿宋" w:hAnsi="仿宋" w:eastAsia="仿宋" w:cs="仿宋"/>
          <w:b/>
          <w:color w:val="auto"/>
          <w:sz w:val="24"/>
          <w:szCs w:val="24"/>
          <w:highlight w:val="yellow"/>
        </w:rPr>
        <w:t>开户银行：</w:t>
      </w:r>
      <w:r>
        <w:rPr>
          <w:rFonts w:hint="eastAsia" w:ascii="仿宋" w:hAnsi="仿宋" w:eastAsia="仿宋" w:cs="仿宋"/>
          <w:bCs/>
          <w:color w:val="auto"/>
          <w:sz w:val="24"/>
          <w:szCs w:val="24"/>
          <w:highlight w:val="yellow"/>
        </w:rPr>
        <w:t>中国工商银行股份有限公司四川省南充茧市街支行</w:t>
      </w:r>
    </w:p>
    <w:p>
      <w:pPr>
        <w:spacing w:line="360" w:lineRule="auto"/>
        <w:ind w:firstLine="482"/>
        <w:jc w:val="left"/>
        <w:rPr>
          <w:rFonts w:ascii="仿宋" w:hAnsi="仿宋" w:eastAsia="仿宋" w:cs="仿宋"/>
          <w:bCs/>
          <w:color w:val="auto"/>
          <w:sz w:val="24"/>
          <w:szCs w:val="24"/>
          <w:highlight w:val="yellow"/>
        </w:rPr>
      </w:pPr>
      <w:r>
        <w:rPr>
          <w:rFonts w:hint="eastAsia" w:ascii="仿宋" w:hAnsi="仿宋" w:eastAsia="仿宋" w:cs="仿宋"/>
          <w:b/>
          <w:color w:val="auto"/>
          <w:sz w:val="24"/>
          <w:szCs w:val="24"/>
          <w:highlight w:val="yellow"/>
        </w:rPr>
        <w:t>银行帐号：</w:t>
      </w:r>
      <w:r>
        <w:rPr>
          <w:rFonts w:hint="eastAsia" w:ascii="仿宋" w:hAnsi="仿宋" w:eastAsia="仿宋" w:cs="仿宋"/>
          <w:bCs/>
          <w:color w:val="auto"/>
          <w:sz w:val="24"/>
          <w:szCs w:val="24"/>
          <w:highlight w:val="yellow"/>
        </w:rPr>
        <w:t>2315532109023100455</w:t>
      </w:r>
    </w:p>
    <w:p>
      <w:pPr>
        <w:spacing w:line="360" w:lineRule="auto"/>
        <w:ind w:firstLine="482"/>
        <w:rPr>
          <w:rFonts w:ascii="仿宋" w:hAnsi="仿宋" w:eastAsia="仿宋" w:cs="仿宋"/>
          <w:bCs/>
          <w:color w:val="auto"/>
          <w:sz w:val="24"/>
          <w:szCs w:val="24"/>
          <w:highlight w:val="yellow"/>
        </w:rPr>
      </w:pPr>
      <w:r>
        <w:rPr>
          <w:rFonts w:hint="eastAsia" w:ascii="仿宋" w:hAnsi="仿宋" w:eastAsia="仿宋" w:cs="仿宋"/>
          <w:b/>
          <w:color w:val="auto"/>
          <w:sz w:val="24"/>
          <w:szCs w:val="24"/>
          <w:highlight w:val="yellow"/>
        </w:rPr>
        <w:t>开票地址：</w:t>
      </w:r>
      <w:r>
        <w:rPr>
          <w:rFonts w:hint="eastAsia" w:ascii="仿宋" w:hAnsi="仿宋" w:eastAsia="仿宋" w:cs="仿宋"/>
          <w:bCs/>
          <w:color w:val="auto"/>
          <w:sz w:val="24"/>
          <w:szCs w:val="24"/>
          <w:highlight w:val="yellow"/>
        </w:rPr>
        <w:t>四川省南充市西河北路1号</w:t>
      </w:r>
    </w:p>
    <w:p>
      <w:pPr>
        <w:spacing w:line="360" w:lineRule="auto"/>
        <w:ind w:firstLine="482"/>
        <w:rPr>
          <w:rFonts w:ascii="仿宋" w:hAnsi="仿宋" w:eastAsia="仿宋" w:cs="仿宋"/>
          <w:bCs/>
          <w:color w:val="auto"/>
          <w:sz w:val="24"/>
          <w:szCs w:val="24"/>
          <w:highlight w:val="yellow"/>
        </w:rPr>
      </w:pPr>
      <w:r>
        <w:rPr>
          <w:rFonts w:hint="eastAsia" w:ascii="仿宋" w:hAnsi="仿宋" w:eastAsia="仿宋" w:cs="仿宋"/>
          <w:b/>
          <w:color w:val="auto"/>
          <w:sz w:val="24"/>
          <w:szCs w:val="24"/>
          <w:highlight w:val="yellow"/>
        </w:rPr>
        <w:t>开票电话：</w:t>
      </w:r>
      <w:r>
        <w:rPr>
          <w:rFonts w:hint="eastAsia" w:ascii="仿宋" w:hAnsi="仿宋" w:eastAsia="仿宋" w:cs="仿宋"/>
          <w:bCs/>
          <w:color w:val="auto"/>
          <w:sz w:val="24"/>
          <w:szCs w:val="24"/>
          <w:highlight w:val="yellow"/>
        </w:rPr>
        <w:t>0817-2800007</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4.2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4.3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4.4为保证取得的发票可以及时并成功获得抵扣，乙方开具的增值税专用发票送达并经甲方签收后，若发生丢失，乙方应积极协助甲方，按照相关税收法规和文件的规定提供相应资料，并确保甲方顺利获得抵扣；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4.4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附件三</w:t>
      </w:r>
    </w:p>
    <w:p>
      <w:pPr>
        <w:spacing w:line="360" w:lineRule="auto"/>
        <w:ind w:firstLine="482"/>
        <w:jc w:val="center"/>
        <w:rPr>
          <w:rFonts w:ascii="仿宋" w:hAnsi="仿宋" w:eastAsia="仿宋" w:cs="仿宋"/>
          <w:b/>
          <w:color w:val="auto"/>
          <w:sz w:val="24"/>
          <w:szCs w:val="24"/>
        </w:rPr>
      </w:pPr>
      <w:r>
        <w:rPr>
          <w:rFonts w:hint="eastAsia" w:ascii="仿宋" w:hAnsi="仿宋" w:eastAsia="仿宋" w:cs="仿宋"/>
          <w:b/>
          <w:color w:val="auto"/>
          <w:sz w:val="24"/>
          <w:szCs w:val="24"/>
        </w:rPr>
        <w:t>双方的权利和义务</w:t>
      </w:r>
    </w:p>
    <w:p>
      <w:pPr>
        <w:spacing w:line="360" w:lineRule="auto"/>
        <w:ind w:firstLine="482"/>
        <w:rPr>
          <w:rFonts w:ascii="仿宋" w:hAnsi="仿宋" w:eastAsia="仿宋" w:cs="仿宋"/>
          <w:b/>
          <w:color w:val="auto"/>
          <w:sz w:val="24"/>
          <w:szCs w:val="24"/>
        </w:rPr>
      </w:pPr>
      <w:r>
        <w:rPr>
          <w:rFonts w:hint="eastAsia" w:ascii="仿宋" w:hAnsi="仿宋" w:eastAsia="仿宋" w:cs="仿宋"/>
          <w:b/>
          <w:color w:val="auto"/>
          <w:sz w:val="24"/>
          <w:szCs w:val="24"/>
        </w:rPr>
        <w:t xml:space="preserve"> </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（一）甲方的权利和义务</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（1）甲方有权对乙方的服务进行考核和验收；</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（2）甲方发现乙方服务存在延期或质量问题时，有权要求乙方予以纠正；</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（3）经提前30天书面通知乙方，甲方有权取消或调整技术服务需求；</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（4）甲方应当按照本合同约定向乙方支付服务费；</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（5）甲方应当为乙方履行维保义务提供必要的工作条件和协助；</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（6）甲方享有其它双方约定的权利、承担其它双方约定的义务。</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（二）乙方的权利和义务</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（1）乙方应当按照本合同及附件的要求，全面履行维保义务；</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（2）乙方应当保证服务人员的专业水平符合甲方工作要求，并有责任保证乙方人员在约定的时间内按时到位；</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（3）乙方应当为甲方提供与维保服务工作有关的技术咨询；</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（4）乙方应当按照甲方的要求，对服务进行限期整改；</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（5）接甲方书面通知后，乙方应当按照甲方调整后的需求，及时调整为甲方提供服务的方案和内容；</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（6）乙方享有其它双方约定的权利、承担其它双方约定的义务。</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 xml:space="preserve">（7）本合同其他条款中约定的乙方的权利和义务。 </w:t>
      </w:r>
    </w:p>
    <w:p>
      <w:pPr>
        <w:spacing w:line="360" w:lineRule="auto"/>
        <w:rPr>
          <w:rFonts w:ascii="仿宋" w:hAnsi="仿宋" w:eastAsia="仿宋" w:cs="仿宋"/>
          <w:b/>
          <w:color w:val="auto"/>
          <w:sz w:val="24"/>
          <w:szCs w:val="24"/>
        </w:rPr>
      </w:pPr>
    </w:p>
    <w:p>
      <w:pPr>
        <w:spacing w:line="360" w:lineRule="auto"/>
        <w:rPr>
          <w:rFonts w:ascii="仿宋" w:hAnsi="仿宋" w:eastAsia="仿宋" w:cs="仿宋"/>
          <w:b/>
          <w:color w:val="auto"/>
          <w:sz w:val="24"/>
          <w:szCs w:val="24"/>
        </w:rPr>
      </w:pPr>
    </w:p>
    <w:p>
      <w:pPr>
        <w:spacing w:line="360" w:lineRule="auto"/>
        <w:rPr>
          <w:rFonts w:ascii="仿宋" w:hAnsi="仿宋" w:eastAsia="仿宋" w:cs="仿宋"/>
          <w:b/>
          <w:color w:val="auto"/>
          <w:sz w:val="24"/>
          <w:szCs w:val="24"/>
        </w:rPr>
      </w:pPr>
    </w:p>
    <w:p>
      <w:pPr>
        <w:spacing w:line="360" w:lineRule="auto"/>
        <w:rPr>
          <w:rFonts w:ascii="仿宋" w:hAnsi="仿宋" w:eastAsia="仿宋" w:cs="仿宋"/>
          <w:b/>
          <w:color w:val="auto"/>
          <w:sz w:val="24"/>
          <w:szCs w:val="24"/>
        </w:rPr>
      </w:pPr>
    </w:p>
    <w:p>
      <w:pPr>
        <w:spacing w:line="360" w:lineRule="auto"/>
        <w:rPr>
          <w:rFonts w:ascii="仿宋" w:hAnsi="仿宋" w:eastAsia="仿宋" w:cs="仿宋"/>
          <w:b/>
          <w:color w:val="auto"/>
          <w:sz w:val="24"/>
          <w:szCs w:val="24"/>
        </w:rPr>
      </w:pPr>
    </w:p>
    <w:p>
      <w:pPr>
        <w:pStyle w:val="2"/>
        <w:rPr>
          <w:rFonts w:ascii="仿宋" w:hAnsi="仿宋" w:eastAsia="仿宋" w:cs="仿宋"/>
          <w:b/>
          <w:color w:val="auto"/>
          <w:sz w:val="24"/>
          <w:szCs w:val="24"/>
        </w:rPr>
      </w:pPr>
    </w:p>
    <w:p>
      <w:pPr>
        <w:pStyle w:val="2"/>
        <w:rPr>
          <w:rFonts w:ascii="仿宋" w:hAnsi="仿宋" w:eastAsia="仿宋" w:cs="仿宋"/>
          <w:b/>
          <w:color w:val="auto"/>
          <w:sz w:val="24"/>
          <w:szCs w:val="24"/>
        </w:rPr>
      </w:pPr>
    </w:p>
    <w:p>
      <w:pPr>
        <w:spacing w:line="360" w:lineRule="auto"/>
        <w:rPr>
          <w:rFonts w:ascii="仿宋" w:hAnsi="仿宋" w:eastAsia="仿宋" w:cs="仿宋"/>
          <w:b/>
          <w:color w:val="auto"/>
          <w:sz w:val="24"/>
          <w:szCs w:val="24"/>
        </w:rPr>
      </w:pPr>
    </w:p>
    <w:p>
      <w:pPr>
        <w:spacing w:line="360" w:lineRule="auto"/>
        <w:rPr>
          <w:rFonts w:ascii="仿宋" w:hAnsi="仿宋" w:eastAsia="仿宋" w:cs="仿宋"/>
          <w:b/>
          <w:color w:val="auto"/>
          <w:sz w:val="24"/>
          <w:szCs w:val="24"/>
        </w:rPr>
      </w:pPr>
    </w:p>
    <w:p>
      <w:pPr>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附件四</w:t>
      </w:r>
    </w:p>
    <w:p>
      <w:pPr>
        <w:spacing w:line="360" w:lineRule="auto"/>
        <w:ind w:firstLine="482"/>
        <w:jc w:val="center"/>
        <w:rPr>
          <w:rFonts w:ascii="仿宋" w:hAnsi="仿宋" w:eastAsia="仿宋" w:cs="仿宋"/>
          <w:b/>
          <w:color w:val="auto"/>
          <w:sz w:val="24"/>
          <w:szCs w:val="24"/>
        </w:rPr>
      </w:pPr>
      <w:r>
        <w:rPr>
          <w:rFonts w:hint="eastAsia" w:ascii="仿宋" w:hAnsi="仿宋" w:eastAsia="仿宋" w:cs="仿宋"/>
          <w:b/>
          <w:color w:val="auto"/>
          <w:sz w:val="24"/>
          <w:szCs w:val="24"/>
        </w:rPr>
        <w:t>违约责任</w:t>
      </w:r>
    </w:p>
    <w:p>
      <w:pPr>
        <w:spacing w:line="360"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（一）乙方未能按照约定完成服务，乙方免除当次服务费用，向甲方支付当次费用的20%作为违约金，同时甲方有权采取本合同项下的其他补救措施。</w:t>
      </w:r>
    </w:p>
    <w:p>
      <w:pPr>
        <w:spacing w:line="360"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二）乙方应对所用配件保质保量，有正规的出厂合格证，不得使用“三无”产品，不得以次充好，以旧代新，质价不符，少修多报，乱收费等。若乙方违反规定，甲方视情节轻重可以追回损失、取消定点厂家资质、解除本合同等方式处理，同时乙方须承担由此给甲方造成的损失。配件价格以甲方报价为准，如果高于报价岗报价，多出的部分甲方不予支付。</w:t>
      </w:r>
    </w:p>
    <w:p>
      <w:pPr>
        <w:spacing w:line="360"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（三）甲方车辆在维修过程中由乙方提供的总成应质保1年，其他零配件质保3个月。若乙方违反上述约定，全部损失由乙方承担，甲方有权取消定点厂家资质等处理决定。</w:t>
      </w:r>
    </w:p>
    <w:p>
      <w:pPr>
        <w:spacing w:line="360"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（四）修复的车辆质保期为一年。在质保期内，凡因维修质量造成车辆故障或机件损坏的，均由乙方无偿修复或赔偿。若乙方违反上述约定，甲方有权取消定点厂家资质等处理决定。</w:t>
      </w:r>
    </w:p>
    <w:p>
      <w:pPr>
        <w:spacing w:line="360"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（五）如果乙方违反本合同约定的保密义务，乙方应向甲方支付造成损失总价款</w:t>
      </w:r>
      <w:r>
        <w:rPr>
          <w:rFonts w:hint="eastAsia" w:ascii="仿宋" w:hAnsi="仿宋" w:eastAsia="仿宋" w:cs="仿宋"/>
          <w:bCs/>
          <w:color w:val="auto"/>
          <w:sz w:val="24"/>
          <w:szCs w:val="24"/>
          <w:u w:val="single"/>
        </w:rPr>
        <w:t>20</w:t>
      </w:r>
      <w:r>
        <w:rPr>
          <w:rFonts w:hint="eastAsia" w:ascii="仿宋" w:hAnsi="仿宋" w:eastAsia="仿宋" w:cs="仿宋"/>
          <w:bCs/>
          <w:color w:val="auto"/>
          <w:sz w:val="24"/>
          <w:szCs w:val="24"/>
        </w:rPr>
        <w:t>%的违约金，甲方受到的损失超出违约金的部分，由乙方继续承担赔偿责任。</w:t>
      </w:r>
    </w:p>
    <w:p>
      <w:pPr>
        <w:spacing w:line="360" w:lineRule="auto"/>
        <w:ind w:firstLine="480"/>
        <w:rPr>
          <w:rFonts w:ascii="仿宋" w:hAnsi="仿宋" w:eastAsia="仿宋" w:cs="仿宋"/>
          <w:bCs/>
          <w:color w:val="auto"/>
          <w:sz w:val="24"/>
          <w:szCs w:val="24"/>
        </w:rPr>
      </w:pPr>
      <w:r>
        <w:rPr>
          <w:rFonts w:hint="eastAsia" w:ascii="仿宋" w:hAnsi="仿宋" w:eastAsia="仿宋" w:cs="仿宋"/>
          <w:bCs/>
          <w:color w:val="auto"/>
          <w:sz w:val="24"/>
          <w:szCs w:val="24"/>
        </w:rPr>
        <w:t>（六）除本合同的约定外，因乙方的违约行为给甲方造成损失的，乙方应向甲方支付造成损失总价款</w:t>
      </w:r>
      <w:r>
        <w:rPr>
          <w:rFonts w:hint="eastAsia" w:ascii="仿宋" w:hAnsi="仿宋" w:eastAsia="仿宋" w:cs="仿宋"/>
          <w:bCs/>
          <w:color w:val="auto"/>
          <w:sz w:val="24"/>
          <w:szCs w:val="24"/>
          <w:u w:val="single"/>
        </w:rPr>
        <w:t>20</w:t>
      </w:r>
      <w:r>
        <w:rPr>
          <w:rFonts w:hint="eastAsia" w:ascii="仿宋" w:hAnsi="仿宋" w:eastAsia="仿宋" w:cs="仿宋"/>
          <w:bCs/>
          <w:color w:val="auto"/>
          <w:sz w:val="24"/>
          <w:szCs w:val="24"/>
        </w:rPr>
        <w:t>%的违约金，如甲方受到的损失超过违约金的，超出部分由乙方继续承担赔偿责任。</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除合同约定的违约责任以外，任何一方违反下列约定情形的，应承担相应的违约责任：</w:t>
      </w:r>
    </w:p>
    <w:p>
      <w:pPr>
        <w:spacing w:line="360" w:lineRule="auto"/>
        <w:ind w:firstLine="480"/>
        <w:rPr>
          <w:rFonts w:ascii="仿宋" w:hAnsi="仿宋" w:eastAsia="仿宋" w:cs="仿宋"/>
          <w:color w:val="auto"/>
          <w:sz w:val="24"/>
          <w:szCs w:val="24"/>
        </w:rPr>
      </w:pPr>
    </w:p>
    <w:p>
      <w:pPr>
        <w:pStyle w:val="2"/>
        <w:rPr>
          <w:rFonts w:ascii="仿宋" w:hAnsi="仿宋" w:eastAsia="仿宋" w:cs="仿宋"/>
          <w:color w:val="auto"/>
          <w:sz w:val="24"/>
          <w:szCs w:val="24"/>
        </w:rPr>
      </w:pPr>
    </w:p>
    <w:p>
      <w:pPr>
        <w:pStyle w:val="2"/>
        <w:rPr>
          <w:rFonts w:ascii="仿宋" w:hAnsi="仿宋" w:eastAsia="仿宋" w:cs="仿宋"/>
          <w:color w:val="auto"/>
          <w:sz w:val="24"/>
          <w:szCs w:val="24"/>
        </w:rPr>
      </w:pPr>
    </w:p>
    <w:p>
      <w:pPr>
        <w:pStyle w:val="2"/>
        <w:rPr>
          <w:rFonts w:ascii="仿宋" w:hAnsi="仿宋" w:eastAsia="仿宋" w:cs="仿宋"/>
          <w:color w:val="auto"/>
          <w:sz w:val="24"/>
          <w:szCs w:val="24"/>
        </w:rPr>
      </w:pPr>
    </w:p>
    <w:p>
      <w:pPr>
        <w:pStyle w:val="2"/>
        <w:rPr>
          <w:rFonts w:ascii="仿宋" w:hAnsi="仿宋" w:eastAsia="仿宋" w:cs="仿宋"/>
          <w:color w:val="auto"/>
          <w:sz w:val="24"/>
          <w:szCs w:val="24"/>
        </w:rPr>
      </w:pPr>
    </w:p>
    <w:p>
      <w:pPr>
        <w:pStyle w:val="2"/>
        <w:rPr>
          <w:rFonts w:ascii="仿宋" w:hAnsi="仿宋" w:eastAsia="仿宋" w:cs="仿宋"/>
          <w:color w:val="auto"/>
          <w:sz w:val="24"/>
          <w:szCs w:val="24"/>
        </w:rPr>
      </w:pPr>
    </w:p>
    <w:p>
      <w:pPr>
        <w:spacing w:line="360" w:lineRule="auto"/>
        <w:rPr>
          <w:rFonts w:ascii="仿宋" w:hAnsi="仿宋" w:eastAsia="仿宋" w:cs="仿宋"/>
          <w:b/>
          <w:color w:val="auto"/>
          <w:sz w:val="24"/>
          <w:szCs w:val="24"/>
        </w:rPr>
      </w:pPr>
      <w:r>
        <w:rPr>
          <w:rFonts w:hint="eastAsia" w:ascii="仿宋" w:hAnsi="仿宋" w:eastAsia="仿宋" w:cs="仿宋"/>
          <w:b/>
          <w:color w:val="auto"/>
          <w:sz w:val="24"/>
          <w:szCs w:val="24"/>
        </w:rPr>
        <w:t>附件五</w:t>
      </w:r>
    </w:p>
    <w:p>
      <w:pPr>
        <w:spacing w:line="360" w:lineRule="auto"/>
        <w:ind w:firstLine="482"/>
        <w:jc w:val="center"/>
        <w:rPr>
          <w:rFonts w:ascii="仿宋" w:hAnsi="仿宋" w:eastAsia="仿宋" w:cs="仿宋"/>
          <w:b/>
          <w:bCs/>
          <w:color w:val="auto"/>
          <w:sz w:val="24"/>
          <w:szCs w:val="24"/>
        </w:rPr>
      </w:pPr>
      <w:r>
        <w:rPr>
          <w:rFonts w:hint="eastAsia" w:ascii="仿宋" w:hAnsi="仿宋" w:eastAsia="仿宋" w:cs="仿宋"/>
          <w:b/>
          <w:bCs/>
          <w:color w:val="auto"/>
          <w:sz w:val="24"/>
          <w:szCs w:val="24"/>
        </w:rPr>
        <w:t>廉洁诚信协议</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第一条  总则</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1.3本协议所称相关主体，对任何一方而言，包括但不限于以下单位或者个人：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（1）一方或其关联方之工作人员；</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（2）受一方委托办理相关事务的单位或者个人；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（3）利用职权或者影响力影响交易的单位或者个人；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（4）前述相关人员的亲属；</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（5）与前述相关主体存在利害关系的其他单位或者人员。</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乙方相关主体实施违反本协议约定之行为的，均应视为乙方实施行为。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第二条  商业贿赂</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2.1本协议所称商业贿赂，是指乙方或乙方相关主体为获取或意图获取交易机会或者竞争优势，采用财物或者其他形式贿赂甲方或甲方相关主体的行为。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2.3本条第1款所称其他形式，包括但不限于：</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（1）以任何方式实施商业贿赂或违规提供回扣、折扣、宴请与游玩活动或其他不正当利益；</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（2）为甲方或甲方相关主体安排有可能影响公平、公正交易的宴请、健身、娱乐等活动；</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（3）为甲方或甲方相关主体投资入股、个人借款或买卖股票、债券等提供方便；</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（4）为甲方或甲方相关主体购买或装修住房、婚丧嫁娶、配偶子女上学或工作安排以及出国出境、旅游等提供方便；</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（5）违反规定为甲方或甲方相关主体在乙方相关企业工作、挂名兼职、合伙经营、介绍承揽业务等提供方便；</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（6）向甲方或甲方相关主体提供借款、融资、担保等；</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（7）给予或承诺给予其不正当利益的其他行为；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（8）其他违反国家法律法规或商业道德准则的影响公正交易的行为。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第三条  回扣</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3.1本协议所称回扣，是指乙方促成合作时在账外暗中以现金、实物或者其他方式退给甲方或甲方相关主体一定比例的商品或服务价款。</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3.3乙方在账外暗中给予甲方相关主体回扣的，视为实施商业贿赂行为。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第四条  折扣</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4.2乙方提供的商品或服务，可以以明示方式给予甲方折扣。乙方给予甲方折扣的，必须在采购协议中予以明确并如实入账。</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4.3本条第1款所称如实入账，是指根据采购或合作协议约定的金额和支付方式，在依法设立的反映甲方生产经营活动收支的财务账上按照财务会计制度规定明确如实记载。</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4.4乙方违反本条约定的，视为实施商业贿赂行为。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第五条  宴请与游玩活动</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5.2乙方不得为甲方相关主体提供各种形式的旅游、健身、KTV、酒吧、按摩、赌博、色情等娱乐休闲活动。</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5.3乙方违反本条约定的，视为实施商业贿赂行为。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第六条  禁止行为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双方一致同意双方或双方相关主体的如下行为是应当禁止的营私舞弊或腐败行为：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6.1甲方及甲方相关主体向乙方索要或收受财物或其他形式的财产性利益、非财产性利益。</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6.2乙方及乙方相关主体向甲方或甲方相关主体提供财物或其他形式的财产性利益、非财产性利益，包括但不限于：</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（1）报销甲方相关主体的私人费用；</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（2）提供超过宴请标准的宴请或娱乐活动；</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（3）介绍甲方相关主体亲友到乙方处工作；</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（4）提出、邀请或事实上接受甲方相关主体在乙方参股或参与乙方经营活动；</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（5）组织或向甲方相关主体提供旅游等代偿活动利益；</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（6）向甲方相关主体提供借款、融资、担保等；</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（7）给予或承诺给予甲方相关主体不正当利益的其他行为；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（8）其他违反本协议约定、国家法律法规或商业道德准则的影响公正交易的行为。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第七条  乙方承诺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乙方承诺在双方的商务接洽、合同关系、交易过程中遵守如下要求：</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7.1 避免利害关系</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7.2 恪守廉洁自律原则</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7.3 恪守诚实信用原则</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7.3.2严格遵守向甲方做出的承诺、双方签署的合同、协议和备忘录等，确保产品质量和服务质量，不隐瞒任何可能对甲方利益造成影响的信息，积极配合甲方的审计。</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7.3.3严格遵守甲方的供应商行为准则、合作协议、保密承诺书等政策文件中的相关规定。</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7.3.4严格遵守甲方的品牌管理的相关规定，未经甲方授权不擅自使用甲方字样、授权合作伙伴等类似容易对外产生混淆的字样。</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7.3.5严格遵守国家相关法律法规及甲方的管理规定，不参与任何违法活动。</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7.3.6承诺实事求是，不对内部或社会传递任何虚假信息，严格遵守保密协议，不透露任何甲方的商业机密。</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7.3.7未经甲方同意，不向任何新闻媒体、第三方述及有关甲方工作人员恪守商业道德方面的评价、信息。</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7.4 确保信息公开透明</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7.4.1主动向甲方披露与采购项目相关的信息，包括乙方真实情况、产品价格、技术参数、服务团队信息、履约情况等。</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7.4.2不利用非法手段向甲方及甲方相关主体打探有关涉及甲方及甲方相关主体的商业秘密、人员信息、采购信息等。</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7.5 积极配合监督举报</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7.5.2如乙方有知悉或怀疑甲方相关主体有违反上述约定的，应及时采取措施并有权向甲方纪检部门举报。甲方会对所有信息提供者及所提供的全部资料严格保密。</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7.6 加强内部廉洁管理</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7.6.1加强内部管理：加强对员工的廉洁教育和培训，提高员工的道德素质和法律意识，建立健全内部管理制度，确保员工行为的合规性和廉洁性。</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7.6.2设立监督机制：通过专门的监督机构或人员，对乙方的业务活动进行实时监督，确保员工行为的合规性。</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7.6.3建立举报制度：鼓励员工积极举报违规行为，对举报人予以保护并给予奖励。</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第八条  违约责任</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8.1若甲方人员违反本协议第六条规定的，按照甲方内部管理权限，依据有关法律和规定给予处分或组织处理，涉嫌犯罪的，移交司法机关追究刑事责任。</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8.2如乙方违反本协议任何约定或承诺，甲方有权依据甲方采购管理、供应商管理和采购文件相关要求，对乙方进行严肃处理，相关处罚结果记入供应商诚信档案。</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8.4甲方及甲方子公司按照前述条款要求乙方承担赔偿责任的，乙方应于甲方发出赔偿通知之日起【10】个工作日内支付，如未及时支付，甲方及甲方子公司有权从主合同款项中直接扣除。</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8.5乙方知悉并同意，对于上述情形的处理甲方有完全的判断权和自主权。</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第九条  附则</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9.1本协议的标题及各条款的标题仅为检索方便而设置，具体内容应当以各条款的具体规定为准，而不应参考该标题进行解释。</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9.5本协议长期有效。</w:t>
      </w:r>
    </w:p>
    <w:p>
      <w:pPr>
        <w:pStyle w:val="3"/>
        <w:spacing w:line="240" w:lineRule="auto"/>
        <w:rPr>
          <w:rFonts w:ascii="仿宋" w:hAnsi="仿宋" w:cs="宋体"/>
          <w:color w:val="auto"/>
        </w:rPr>
      </w:pPr>
      <w:bookmarkStart w:id="643" w:name="_Toc10044"/>
      <w:bookmarkStart w:id="644" w:name="_Toc109124313"/>
      <w:bookmarkStart w:id="645" w:name="_Toc65682988"/>
      <w:bookmarkStart w:id="646" w:name="_Toc58177604"/>
      <w:bookmarkStart w:id="647" w:name="_Toc25837"/>
      <w:bookmarkStart w:id="648" w:name="_Toc58177607"/>
      <w:r>
        <w:rPr>
          <w:rFonts w:hint="eastAsia" w:ascii="仿宋" w:hAnsi="仿宋" w:cs="宋体"/>
          <w:color w:val="auto"/>
        </w:rPr>
        <w:br w:type="page" w:clear="all"/>
      </w:r>
      <w:bookmarkStart w:id="649" w:name="_Toc5715"/>
      <w:r>
        <w:rPr>
          <w:rFonts w:hint="eastAsia" w:ascii="仿宋" w:hAnsi="仿宋" w:cs="宋体"/>
          <w:color w:val="auto"/>
        </w:rPr>
        <w:t>第五章 技术规范书</w:t>
      </w:r>
      <w:bookmarkEnd w:id="643"/>
      <w:bookmarkEnd w:id="644"/>
      <w:bookmarkEnd w:id="645"/>
      <w:bookmarkEnd w:id="649"/>
    </w:p>
    <w:p>
      <w:pPr>
        <w:spacing w:line="360" w:lineRule="auto"/>
        <w:ind w:firstLine="470"/>
        <w:rPr>
          <w:rFonts w:ascii="仿宋" w:hAnsi="仿宋" w:eastAsia="仿宋" w:cs="仿宋"/>
          <w:b/>
          <w:bCs/>
          <w:color w:val="auto"/>
          <w:spacing w:val="24"/>
          <w:sz w:val="24"/>
          <w:szCs w:val="24"/>
        </w:rPr>
      </w:pP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一.</w:t>
      </w:r>
      <w:r>
        <w:rPr>
          <w:rFonts w:hint="eastAsia" w:ascii="仿宋" w:hAnsi="仿宋" w:eastAsia="仿宋" w:cs="仿宋"/>
          <w:b/>
          <w:bCs/>
          <w:color w:val="auto"/>
          <w:spacing w:val="24"/>
          <w:sz w:val="24"/>
          <w:szCs w:val="24"/>
        </w:rPr>
        <w:t>项目名称</w:t>
      </w:r>
    </w:p>
    <w:p>
      <w:pPr>
        <w:spacing w:line="360" w:lineRule="auto"/>
        <w:ind w:firstLine="480"/>
        <w:rPr>
          <w:rFonts w:ascii="仿宋" w:hAnsi="仿宋" w:eastAsia="仿宋" w:cs="仿宋"/>
          <w:color w:val="auto"/>
          <w:sz w:val="24"/>
          <w:szCs w:val="24"/>
        </w:rPr>
      </w:pPr>
      <w:r>
        <w:rPr>
          <w:rFonts w:hint="eastAsia" w:ascii="仿宋" w:hAnsi="仿宋" w:eastAsia="仿宋" w:cs="仿宋"/>
          <w:color w:val="auto"/>
          <w:sz w:val="24"/>
          <w:szCs w:val="24"/>
        </w:rPr>
        <w:t>项目名称：人保财险南充嘉陵支公司办公楼装饰工程。</w:t>
      </w:r>
    </w:p>
    <w:p>
      <w:pPr>
        <w:spacing w:line="360" w:lineRule="auto"/>
        <w:ind w:firstLine="482"/>
        <w:rPr>
          <w:rFonts w:ascii="仿宋" w:hAnsi="仿宋" w:eastAsia="仿宋" w:cs="仿宋"/>
          <w:b/>
          <w:bCs/>
          <w:color w:val="auto"/>
          <w:sz w:val="24"/>
          <w:szCs w:val="24"/>
        </w:rPr>
      </w:pPr>
      <w:r>
        <w:rPr>
          <w:rFonts w:hint="eastAsia" w:ascii="仿宋" w:hAnsi="仿宋" w:eastAsia="仿宋" w:cs="仿宋"/>
          <w:b/>
          <w:bCs/>
          <w:color w:val="auto"/>
          <w:sz w:val="24"/>
          <w:szCs w:val="24"/>
        </w:rPr>
        <w:t>二、技术服务要求</w:t>
      </w:r>
    </w:p>
    <w:p>
      <w:pPr>
        <w:spacing w:line="360" w:lineRule="auto"/>
        <w:ind w:firstLine="472"/>
        <w:rPr>
          <w:rFonts w:ascii="仿宋" w:hAnsi="仿宋" w:eastAsia="仿宋" w:cs="仿宋"/>
          <w:b/>
          <w:bCs/>
          <w:color w:val="auto"/>
          <w:sz w:val="24"/>
        </w:rPr>
      </w:pPr>
      <w:r>
        <w:rPr>
          <w:rFonts w:hint="eastAsia" w:ascii="仿宋" w:hAnsi="仿宋" w:eastAsia="仿宋" w:cs="仿宋"/>
          <w:b/>
          <w:bCs/>
          <w:color w:val="auto"/>
          <w:sz w:val="24"/>
        </w:rPr>
        <w:t>1.工程量清单说明事项</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1.1 工程量清单应与招标文件中的供应商须知、合同文件、技术标准等一起阅读和理解。</w:t>
      </w:r>
    </w:p>
    <w:p>
      <w:pPr>
        <w:spacing w:line="360" w:lineRule="auto"/>
        <w:ind w:firstLine="480"/>
        <w:jc w:val="left"/>
        <w:rPr>
          <w:rFonts w:ascii="仿宋" w:hAnsi="仿宋" w:eastAsia="仿宋" w:cs="仿宋"/>
          <w:color w:val="auto"/>
          <w:sz w:val="24"/>
          <w:highlight w:val="green"/>
        </w:rPr>
      </w:pPr>
      <w:r>
        <w:rPr>
          <w:rFonts w:hint="eastAsia" w:ascii="仿宋" w:hAnsi="仿宋" w:eastAsia="仿宋" w:cs="仿宋"/>
          <w:color w:val="auto"/>
          <w:sz w:val="24"/>
        </w:rPr>
        <w:t>1.2 工程量清单仅是投标报价的共同基础，实际工程计量和工程价款的支付应遵循合同条款的约定和“技术标准和要求”的有关规定，经供应商和采购人双方核定确认。</w:t>
      </w:r>
    </w:p>
    <w:p>
      <w:pPr>
        <w:pStyle w:val="17"/>
        <w:spacing w:line="360" w:lineRule="auto"/>
        <w:ind w:firstLine="482"/>
        <w:rPr>
          <w:rFonts w:ascii="仿宋" w:hAnsi="仿宋" w:eastAsia="仿宋" w:cs="仿宋"/>
          <w:b/>
          <w:color w:val="auto"/>
          <w:sz w:val="24"/>
          <w:szCs w:val="24"/>
        </w:rPr>
      </w:pPr>
      <w:r>
        <w:rPr>
          <w:rFonts w:hint="eastAsia" w:ascii="仿宋" w:hAnsi="仿宋" w:eastAsia="仿宋" w:cs="仿宋"/>
          <w:b/>
          <w:color w:val="auto"/>
          <w:sz w:val="24"/>
          <w:szCs w:val="24"/>
        </w:rPr>
        <w:t>2.投标报价注意事项</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2.1本次招标采用工程量清单综合单价法报价，项目总价执行以实际工程量结算。</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2.2投标报价应是招标文件载明的所有工作内容（含工程量清单含所有内容）的总价，应包括所需人工费、施工机械使用费、材料费、其他（运杂费、质检费、安装费、缺陷修复费、保险费、以及招标文件明示或暗示的风险、责任和义务等），以及管理费、利润、税金等。</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2.3供应商应结合工程量清单和技术资料等，对单位工程成本、利润进行分析，统筹考虑自身条件，合理确定人工、材料、施工机械等要素的投入与配置，优化组合，合理控制现场费用和施工技术措施费用。属于供应商的施工方法、施工措施和人工、材料、机械的消耗量水平、取费等由供应商确定。</w:t>
      </w:r>
    </w:p>
    <w:p>
      <w:pPr>
        <w:spacing w:line="360" w:lineRule="auto"/>
        <w:ind w:firstLine="482"/>
        <w:rPr>
          <w:rFonts w:ascii="仿宋" w:hAnsi="仿宋" w:eastAsia="仿宋" w:cs="仿宋"/>
          <w:b/>
          <w:color w:val="auto"/>
          <w:sz w:val="24"/>
        </w:rPr>
      </w:pPr>
      <w:r>
        <w:rPr>
          <w:rFonts w:hint="eastAsia" w:ascii="仿宋" w:hAnsi="仿宋" w:eastAsia="仿宋" w:cs="仿宋"/>
          <w:b/>
          <w:color w:val="auto"/>
          <w:sz w:val="24"/>
        </w:rPr>
        <w:t>3、工程要求</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3.1工程质量要求：达到国家现行施工验收规范合格标准。</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3.2污染物处理及排放符合国家及地方环境保护标准。</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3.3安全防护符合国家及地方安全管理规定。</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3.4施工要求：应符合施工规范及验收标准的相关要求。工程施工应满足当地政府及当地建设行政主管部门对工程建设的有关规定，并按经批准的施工组织设计实施。</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3.5安全文明施工按2020年《四川省建设工程工程量清单计价定额》及相关规定要求执行。</w:t>
      </w:r>
    </w:p>
    <w:p>
      <w:pPr>
        <w:spacing w:line="500" w:lineRule="exact"/>
        <w:ind w:firstLine="482"/>
        <w:rPr>
          <w:rFonts w:ascii="仿宋" w:hAnsi="仿宋" w:eastAsia="仿宋" w:cs="仿宋"/>
          <w:b/>
          <w:color w:val="auto"/>
          <w:sz w:val="24"/>
        </w:rPr>
      </w:pPr>
      <w:r>
        <w:rPr>
          <w:rFonts w:hint="eastAsia" w:ascii="仿宋" w:hAnsi="仿宋" w:eastAsia="仿宋" w:cs="仿宋"/>
          <w:b/>
          <w:color w:val="auto"/>
          <w:sz w:val="24"/>
        </w:rPr>
        <w:t>注：工程量清单详见附件</w:t>
      </w:r>
    </w:p>
    <w:p>
      <w:pPr>
        <w:spacing w:line="360" w:lineRule="auto"/>
        <w:ind w:firstLine="482"/>
        <w:rPr>
          <w:rFonts w:ascii="仿宋" w:hAnsi="仿宋" w:eastAsia="仿宋" w:cs="仿宋"/>
          <w:b/>
          <w:bCs/>
          <w:color w:val="auto"/>
          <w:sz w:val="24"/>
          <w:szCs w:val="24"/>
        </w:rPr>
      </w:pPr>
      <w:r>
        <w:rPr>
          <w:rFonts w:hint="eastAsia" w:ascii="仿宋" w:hAnsi="仿宋" w:eastAsia="仿宋" w:cs="仿宋"/>
          <w:b/>
          <w:bCs/>
          <w:color w:val="auto"/>
          <w:sz w:val="24"/>
          <w:szCs w:val="24"/>
        </w:rPr>
        <w:t>三、商务要求</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1</w:t>
      </w:r>
      <w:r>
        <w:rPr>
          <w:rFonts w:hint="eastAsia" w:ascii="仿宋" w:hAnsi="仿宋" w:eastAsia="仿宋" w:cs="仿宋"/>
          <w:color w:val="auto"/>
          <w:sz w:val="24"/>
          <w:lang w:val="en-US" w:eastAsia="zh-CN"/>
        </w:rPr>
        <w:t>.</w:t>
      </w:r>
      <w:r>
        <w:rPr>
          <w:rFonts w:hint="eastAsia" w:ascii="仿宋" w:hAnsi="仿宋" w:eastAsia="仿宋" w:cs="仿宋"/>
          <w:color w:val="auto"/>
          <w:sz w:val="24"/>
        </w:rPr>
        <w:t>计划工期: 自合同签订之日起 30 个日历天。</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color w:val="auto"/>
          <w:sz w:val="24"/>
          <w:lang w:val="en-US" w:eastAsia="zh-CN"/>
        </w:rPr>
        <w:t>.</w:t>
      </w:r>
      <w:r>
        <w:rPr>
          <w:rFonts w:hint="eastAsia" w:ascii="仿宋" w:hAnsi="仿宋" w:eastAsia="仿宋" w:cs="仿宋"/>
          <w:color w:val="auto"/>
          <w:sz w:val="24"/>
        </w:rPr>
        <w:t>付款方式:</w:t>
      </w:r>
    </w:p>
    <w:p>
      <w:pPr>
        <w:spacing w:line="360" w:lineRule="auto"/>
        <w:ind w:firstLine="480"/>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2.1</w:t>
      </w:r>
      <w:r>
        <w:rPr>
          <w:rFonts w:hint="eastAsia" w:ascii="仿宋" w:hAnsi="仿宋" w:eastAsia="仿宋" w:cs="仿宋"/>
          <w:color w:val="auto"/>
          <w:sz w:val="24"/>
        </w:rPr>
        <w:t>本项目合同签订后，招标人在收到中标人相应金额的合法有效的增值税专用发票后 10个工作日内向中标人支付上述合同价款的30%</w:t>
      </w:r>
      <w:r>
        <w:rPr>
          <w:rFonts w:hint="eastAsia" w:ascii="仿宋" w:hAnsi="仿宋" w:eastAsia="仿宋" w:cs="仿宋"/>
          <w:color w:val="auto"/>
          <w:sz w:val="24"/>
          <w:lang w:eastAsia="zh-CN"/>
        </w:rPr>
        <w:t>；</w:t>
      </w:r>
    </w:p>
    <w:p>
      <w:pPr>
        <w:spacing w:line="360" w:lineRule="auto"/>
        <w:ind w:firstLine="480"/>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2.2</w:t>
      </w:r>
      <w:r>
        <w:rPr>
          <w:rFonts w:hint="eastAsia" w:ascii="仿宋" w:hAnsi="仿宋" w:eastAsia="仿宋" w:cs="仿宋"/>
          <w:color w:val="auto"/>
          <w:sz w:val="24"/>
        </w:rPr>
        <w:t>工程竣工验收合格后，招标人在收到中标人相应金额的合法有效的增值税专用发票后10 个工作日内向中标人支付上述合同价款的 50%</w:t>
      </w:r>
      <w:r>
        <w:rPr>
          <w:rFonts w:hint="eastAsia" w:ascii="仿宋" w:hAnsi="仿宋" w:eastAsia="仿宋" w:cs="仿宋"/>
          <w:color w:val="auto"/>
          <w:sz w:val="24"/>
          <w:lang w:eastAsia="zh-CN"/>
        </w:rPr>
        <w:t>；</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lang w:val="en-US" w:eastAsia="zh-CN"/>
        </w:rPr>
        <w:t>2.3</w:t>
      </w:r>
      <w:r>
        <w:rPr>
          <w:rFonts w:hint="eastAsia" w:ascii="仿宋" w:hAnsi="仿宋" w:eastAsia="仿宋" w:cs="仿宋"/>
          <w:color w:val="auto"/>
          <w:sz w:val="24"/>
        </w:rPr>
        <w:t>工程竣工验收合格后，以招标人委派的第三方出具的审计结论为结算依据，在第三方出具审计报告后，支付至结算总价款的97%，留存合同签约总价款的3%作为质保金，质保期满后，如无质量问题，将全额支付质保金;若审计价低于合同签约总价款，支付至审计价的97%，留存审计价的3%作为质保金，质保期满后，如无质量问题，将全额支付质保金。</w:t>
      </w:r>
    </w:p>
    <w:p>
      <w:pPr>
        <w:spacing w:line="360" w:lineRule="auto"/>
        <w:ind w:firstLine="480"/>
        <w:rPr>
          <w:rFonts w:hint="eastAsia" w:ascii="仿宋" w:hAnsi="仿宋" w:eastAsia="仿宋" w:cs="仿宋"/>
          <w:color w:val="auto"/>
          <w:sz w:val="24"/>
        </w:rPr>
      </w:pPr>
      <w:r>
        <w:rPr>
          <w:rFonts w:hint="eastAsia" w:ascii="仿宋" w:hAnsi="仿宋" w:eastAsia="仿宋" w:cs="仿宋"/>
          <w:color w:val="auto"/>
          <w:sz w:val="24"/>
        </w:rPr>
        <w:t>3</w:t>
      </w:r>
      <w:r>
        <w:rPr>
          <w:rFonts w:hint="eastAsia" w:ascii="仿宋" w:hAnsi="仿宋" w:eastAsia="仿宋" w:cs="仿宋"/>
          <w:color w:val="auto"/>
          <w:sz w:val="24"/>
          <w:lang w:val="en-US" w:eastAsia="zh-CN"/>
        </w:rPr>
        <w:t>.</w:t>
      </w:r>
      <w:r>
        <w:rPr>
          <w:rFonts w:hint="eastAsia" w:ascii="仿宋" w:hAnsi="仿宋" w:eastAsia="仿宋" w:cs="仿宋"/>
          <w:color w:val="auto"/>
          <w:sz w:val="24"/>
        </w:rPr>
        <w:t>质保时间:本项目工程质保2年，自工程竣工验收合格之日起计算。</w:t>
      </w:r>
    </w:p>
    <w:p>
      <w:pPr>
        <w:pStyle w:val="2"/>
        <w:ind w:firstLine="482" w:firstLineChars="200"/>
        <w:jc w:val="left"/>
        <w:rPr>
          <w:rFonts w:ascii="仿宋" w:hAnsi="仿宋" w:eastAsia="仿宋" w:cs="仿宋"/>
          <w:b/>
          <w:color w:val="auto"/>
          <w:sz w:val="24"/>
        </w:rPr>
      </w:pPr>
      <w:r>
        <w:rPr>
          <w:rFonts w:hint="eastAsia" w:ascii="仿宋" w:hAnsi="仿宋" w:eastAsia="仿宋" w:cs="仿宋"/>
          <w:b/>
          <w:color w:val="auto"/>
          <w:sz w:val="24"/>
        </w:rPr>
        <w:t>注意:以上技术服务要求和商务要求为本次采购活动体现满足采购需求、质量和服务相等的采购项目最低要求，不允许有负偏离。</w:t>
      </w:r>
    </w:p>
    <w:p>
      <w:pPr>
        <w:spacing w:line="360" w:lineRule="auto"/>
        <w:ind w:firstLine="480"/>
        <w:jc w:val="left"/>
        <w:rPr>
          <w:rFonts w:ascii="仿宋" w:hAnsi="仿宋" w:eastAsia="仿宋" w:cs="仿宋"/>
          <w:color w:val="auto"/>
          <w:sz w:val="24"/>
        </w:rPr>
      </w:pPr>
    </w:p>
    <w:p>
      <w:pPr>
        <w:spacing w:line="360" w:lineRule="auto"/>
        <w:ind w:firstLine="420"/>
        <w:jc w:val="center"/>
        <w:rPr>
          <w:rFonts w:ascii="仿宋" w:hAnsi="仿宋" w:cs="宋体"/>
          <w:color w:val="auto"/>
        </w:rPr>
      </w:pPr>
      <w:r>
        <w:rPr>
          <w:rFonts w:hint="eastAsia" w:ascii="仿宋" w:hAnsi="仿宋" w:cs="宋体"/>
          <w:color w:val="auto"/>
          <w:szCs w:val="22"/>
        </w:rPr>
        <w:br w:type="page" w:clear="all"/>
      </w:r>
      <w:bookmarkEnd w:id="646"/>
      <w:bookmarkEnd w:id="647"/>
      <w:bookmarkStart w:id="650" w:name="_Toc28744"/>
      <w:bookmarkStart w:id="651" w:name="_Toc109124314"/>
      <w:bookmarkStart w:id="652" w:name="_Toc65683002"/>
      <w:bookmarkStart w:id="653" w:name="_Toc15177"/>
      <w:bookmarkStart w:id="654" w:name="_Toc22300"/>
      <w:r>
        <w:rPr>
          <w:rFonts w:hint="eastAsia" w:ascii="仿宋" w:hAnsi="仿宋" w:eastAsia="仿宋" w:cs="仿宋"/>
          <w:b/>
          <w:bCs/>
          <w:color w:val="auto"/>
          <w:sz w:val="32"/>
          <w:szCs w:val="32"/>
        </w:rPr>
        <w:t>第六章 投标文件格式</w:t>
      </w:r>
      <w:bookmarkEnd w:id="648"/>
      <w:bookmarkEnd w:id="650"/>
      <w:bookmarkEnd w:id="651"/>
      <w:bookmarkEnd w:id="652"/>
      <w:bookmarkEnd w:id="653"/>
      <w:bookmarkEnd w:id="654"/>
    </w:p>
    <w:p>
      <w:pPr>
        <w:spacing w:line="360" w:lineRule="auto"/>
        <w:rPr>
          <w:rFonts w:ascii="仿宋" w:hAnsi="仿宋" w:eastAsia="仿宋" w:cs="宋体"/>
          <w:b/>
          <w:color w:val="auto"/>
        </w:rPr>
      </w:pPr>
      <w:r>
        <w:rPr>
          <w:rFonts w:hint="eastAsia" w:ascii="仿宋" w:hAnsi="仿宋" w:eastAsia="仿宋" w:cs="宋体"/>
          <w:b/>
          <w:color w:val="auto"/>
          <w:sz w:val="24"/>
          <w:szCs w:val="24"/>
        </w:rPr>
        <w:t>纸质投标文件封面格式</w:t>
      </w:r>
    </w:p>
    <w:tbl>
      <w:tblPr>
        <w:tblStyle w:val="41"/>
        <w:tblW w:w="0" w:type="auto"/>
        <w:jc w:val="center"/>
        <w:tblLayout w:type="fixed"/>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9854" w:type="dxa"/>
            <w:tcBorders>
              <w:top w:val="single" w:color="000000" w:sz="4" w:space="0"/>
              <w:left w:val="single" w:color="000000" w:sz="4" w:space="0"/>
              <w:bottom w:val="single" w:color="000000" w:sz="4" w:space="0"/>
              <w:right w:val="single" w:color="000000" w:sz="4" w:space="0"/>
            </w:tcBorders>
          </w:tcPr>
          <w:p>
            <w:pPr>
              <w:pStyle w:val="274"/>
              <w:spacing w:before="156" w:after="312"/>
              <w:ind w:right="508"/>
              <w:jc w:val="right"/>
              <w:rPr>
                <w:rFonts w:ascii="仿宋" w:hAnsi="仿宋" w:eastAsia="仿宋" w:cs="宋体"/>
                <w:color w:val="auto"/>
                <w:sz w:val="32"/>
              </w:rPr>
            </w:pPr>
            <w:r>
              <w:rPr>
                <w:rFonts w:hint="eastAsia" w:ascii="仿宋" w:hAnsi="仿宋" w:eastAsia="仿宋" w:cs="宋体"/>
                <w:color w:val="auto"/>
                <w:sz w:val="32"/>
              </w:rPr>
              <w:t>正本/副本</w:t>
            </w:r>
          </w:p>
          <w:p>
            <w:pPr>
              <w:pStyle w:val="274"/>
              <w:spacing w:before="156" w:after="312"/>
              <w:ind w:right="-284"/>
              <w:jc w:val="center"/>
              <w:rPr>
                <w:rFonts w:ascii="仿宋" w:hAnsi="仿宋" w:eastAsia="仿宋" w:cs="宋体"/>
                <w:color w:val="auto"/>
                <w:sz w:val="32"/>
                <w:u w:val="single"/>
              </w:rPr>
            </w:pPr>
            <w:r>
              <w:rPr>
                <w:rFonts w:hint="eastAsia" w:ascii="仿宋" w:hAnsi="仿宋" w:eastAsia="仿宋" w:cs="宋体"/>
                <w:color w:val="auto"/>
                <w:sz w:val="32"/>
                <w:u w:val="single"/>
              </w:rPr>
              <w:t>人保财险南充嘉陵支公司办公楼装饰工程采购项目</w:t>
            </w:r>
          </w:p>
          <w:p>
            <w:pPr>
              <w:pStyle w:val="274"/>
              <w:spacing w:before="624" w:after="156" w:line="160" w:lineRule="atLeast"/>
              <w:ind w:right="-284"/>
              <w:jc w:val="center"/>
              <w:rPr>
                <w:rFonts w:ascii="仿宋" w:hAnsi="仿宋" w:eastAsia="仿宋" w:cs="宋体"/>
                <w:color w:val="auto"/>
                <w:sz w:val="52"/>
              </w:rPr>
            </w:pPr>
            <w:r>
              <w:rPr>
                <w:rFonts w:hint="eastAsia" w:ascii="仿宋" w:hAnsi="仿宋" w:eastAsia="仿宋" w:cs="宋体"/>
                <w:color w:val="auto"/>
                <w:sz w:val="52"/>
              </w:rPr>
              <w:t>投标文件</w:t>
            </w:r>
          </w:p>
          <w:p>
            <w:pPr>
              <w:pStyle w:val="274"/>
              <w:spacing w:before="624" w:after="156" w:line="240" w:lineRule="atLeast"/>
              <w:jc w:val="center"/>
              <w:rPr>
                <w:rFonts w:ascii="仿宋" w:hAnsi="仿宋" w:eastAsia="仿宋" w:cs="宋体"/>
                <w:color w:val="auto"/>
                <w:sz w:val="40"/>
              </w:rPr>
            </w:pPr>
            <w:r>
              <w:rPr>
                <w:rFonts w:hint="eastAsia" w:ascii="仿宋" w:hAnsi="仿宋" w:eastAsia="仿宋" w:cs="宋体"/>
                <w:color w:val="auto"/>
                <w:sz w:val="40"/>
              </w:rPr>
              <w:t>（商务文件/技术文件/报价文件）</w:t>
            </w:r>
          </w:p>
          <w:p>
            <w:pPr>
              <w:pStyle w:val="274"/>
              <w:spacing w:before="1560" w:line="360" w:lineRule="auto"/>
              <w:ind w:right="-284"/>
              <w:jc w:val="left"/>
              <w:rPr>
                <w:rFonts w:ascii="仿宋" w:hAnsi="仿宋" w:eastAsia="仿宋" w:cs="宋体"/>
                <w:color w:val="auto"/>
                <w:sz w:val="24"/>
              </w:rPr>
            </w:pPr>
            <w:r>
              <w:rPr>
                <w:rFonts w:hint="eastAsia" w:ascii="仿宋" w:hAnsi="仿宋" w:eastAsia="仿宋" w:cs="宋体"/>
                <w:color w:val="auto"/>
                <w:sz w:val="24"/>
              </w:rPr>
              <w:t>投标人名称：</w:t>
            </w:r>
            <w:r>
              <w:rPr>
                <w:rFonts w:hint="eastAsia" w:ascii="仿宋" w:hAnsi="仿宋" w:eastAsia="仿宋" w:cs="宋体"/>
                <w:color w:val="auto"/>
                <w:sz w:val="24"/>
                <w:u w:val="single"/>
              </w:rPr>
              <w:t xml:space="preserve"> </w:t>
            </w:r>
            <w:r>
              <w:rPr>
                <w:rFonts w:ascii="仿宋" w:hAnsi="仿宋" w:eastAsia="仿宋" w:cs="宋体"/>
                <w:color w:val="auto"/>
                <w:sz w:val="24"/>
                <w:u w:val="single"/>
              </w:rPr>
              <w:t xml:space="preserve">       </w:t>
            </w:r>
            <w:r>
              <w:rPr>
                <w:rFonts w:hint="eastAsia" w:ascii="仿宋" w:hAnsi="仿宋" w:eastAsia="仿宋" w:cs="宋体"/>
                <w:color w:val="auto"/>
                <w:sz w:val="24"/>
                <w:u w:val="single"/>
              </w:rPr>
              <w:t xml:space="preserve">（盖章） </w:t>
            </w:r>
          </w:p>
          <w:p>
            <w:pPr>
              <w:pStyle w:val="274"/>
              <w:spacing w:after="156" w:line="360" w:lineRule="auto"/>
              <w:ind w:right="-284"/>
              <w:jc w:val="left"/>
              <w:rPr>
                <w:rFonts w:ascii="仿宋" w:hAnsi="仿宋" w:eastAsia="仿宋" w:cs="宋体"/>
                <w:color w:val="auto"/>
                <w:sz w:val="24"/>
                <w:u w:val="single"/>
              </w:rPr>
            </w:pPr>
            <w:r>
              <w:rPr>
                <w:rFonts w:hint="eastAsia" w:ascii="仿宋" w:hAnsi="仿宋" w:eastAsia="仿宋" w:cs="宋体"/>
                <w:color w:val="auto"/>
                <w:sz w:val="24"/>
              </w:rPr>
              <w:t>法定代表人（负责人）或其委托的代理人：</w:t>
            </w:r>
            <w:r>
              <w:rPr>
                <w:rFonts w:hint="eastAsia" w:ascii="仿宋" w:hAnsi="仿宋" w:eastAsia="仿宋" w:cs="宋体"/>
                <w:color w:val="auto"/>
                <w:sz w:val="24"/>
                <w:u w:val="single"/>
              </w:rPr>
              <w:t>（签字或盖章）</w:t>
            </w:r>
          </w:p>
          <w:p>
            <w:pPr>
              <w:pStyle w:val="274"/>
              <w:spacing w:after="156" w:line="360" w:lineRule="auto"/>
              <w:ind w:right="-284"/>
              <w:jc w:val="left"/>
              <w:rPr>
                <w:rFonts w:ascii="仿宋" w:hAnsi="仿宋" w:eastAsia="仿宋" w:cs="宋体"/>
                <w:color w:val="auto"/>
                <w:sz w:val="24"/>
                <w:u w:val="single"/>
              </w:rPr>
            </w:pPr>
            <w:r>
              <w:rPr>
                <w:rFonts w:hint="eastAsia" w:ascii="仿宋" w:hAnsi="仿宋" w:eastAsia="仿宋" w:cs="宋体"/>
                <w:color w:val="auto"/>
                <w:sz w:val="24"/>
              </w:rPr>
              <w:t>投标人地址：</w:t>
            </w:r>
            <w:r>
              <w:rPr>
                <w:rFonts w:hint="eastAsia" w:ascii="仿宋" w:hAnsi="仿宋" w:eastAsia="仿宋" w:cs="宋体"/>
                <w:color w:val="auto"/>
                <w:sz w:val="24"/>
                <w:u w:val="single"/>
              </w:rPr>
              <w:t xml:space="preserve"> </w:t>
            </w:r>
            <w:r>
              <w:rPr>
                <w:rFonts w:ascii="仿宋" w:hAnsi="仿宋" w:eastAsia="仿宋" w:cs="宋体"/>
                <w:color w:val="auto"/>
                <w:sz w:val="24"/>
                <w:u w:val="single"/>
              </w:rPr>
              <w:t xml:space="preserve">                                </w:t>
            </w:r>
          </w:p>
          <w:p>
            <w:pPr>
              <w:pStyle w:val="274"/>
              <w:spacing w:after="624"/>
              <w:ind w:right="-284"/>
              <w:jc w:val="center"/>
              <w:rPr>
                <w:rFonts w:ascii="仿宋" w:hAnsi="仿宋" w:eastAsia="仿宋" w:cs="宋体"/>
                <w:color w:val="auto"/>
              </w:rPr>
            </w:pPr>
            <w:r>
              <w:rPr>
                <w:rFonts w:hint="eastAsia" w:ascii="仿宋" w:hAnsi="仿宋" w:eastAsia="仿宋" w:cs="宋体"/>
                <w:color w:val="auto"/>
                <w:sz w:val="24"/>
              </w:rPr>
              <w:t xml:space="preserve">年     月   </w:t>
            </w:r>
            <w:r>
              <w:rPr>
                <w:rFonts w:ascii="仿宋" w:hAnsi="仿宋" w:eastAsia="仿宋" w:cs="宋体"/>
                <w:color w:val="auto"/>
                <w:sz w:val="24"/>
              </w:rPr>
              <w:t xml:space="preserve"> </w:t>
            </w:r>
            <w:r>
              <w:rPr>
                <w:rFonts w:hint="eastAsia" w:ascii="仿宋" w:hAnsi="仿宋" w:eastAsia="仿宋" w:cs="宋体"/>
                <w:color w:val="auto"/>
                <w:sz w:val="24"/>
              </w:rPr>
              <w:t xml:space="preserve"> 日</w:t>
            </w:r>
          </w:p>
        </w:tc>
      </w:tr>
    </w:tbl>
    <w:p>
      <w:pPr>
        <w:spacing w:line="360" w:lineRule="auto"/>
        <w:rPr>
          <w:rFonts w:ascii="仿宋" w:hAnsi="仿宋" w:eastAsia="仿宋" w:cs="宋体"/>
          <w:b/>
          <w:color w:val="auto"/>
          <w:sz w:val="24"/>
          <w:szCs w:val="24"/>
        </w:rPr>
      </w:pPr>
      <w:r>
        <w:rPr>
          <w:rFonts w:hint="eastAsia" w:ascii="仿宋" w:hAnsi="仿宋" w:eastAsia="仿宋" w:cs="宋体"/>
          <w:b/>
          <w:color w:val="auto"/>
          <w:sz w:val="24"/>
          <w:szCs w:val="24"/>
        </w:rPr>
        <w:t>格式：封口</w:t>
      </w:r>
    </w:p>
    <w:tbl>
      <w:tblPr>
        <w:tblStyle w:val="41"/>
        <w:tblW w:w="0" w:type="auto"/>
        <w:jc w:val="center"/>
        <w:tblLayout w:type="fixed"/>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jc w:val="center"/>
        </w:trPr>
        <w:tc>
          <w:tcPr>
            <w:tcW w:w="9854" w:type="dxa"/>
            <w:tcBorders>
              <w:top w:val="single" w:color="000000" w:sz="4" w:space="0"/>
              <w:left w:val="single" w:color="000000" w:sz="4" w:space="0"/>
              <w:bottom w:val="single" w:color="000000" w:sz="4" w:space="0"/>
              <w:right w:val="single" w:color="000000" w:sz="4" w:space="0"/>
            </w:tcBorders>
            <w:vAlign w:val="center"/>
          </w:tcPr>
          <w:p>
            <w:pPr>
              <w:pStyle w:val="274"/>
              <w:ind w:right="-284"/>
              <w:jc w:val="center"/>
              <w:rPr>
                <w:rFonts w:ascii="仿宋" w:hAnsi="仿宋" w:eastAsia="仿宋" w:cs="宋体"/>
                <w:b/>
                <w:color w:val="auto"/>
              </w:rPr>
            </w:pPr>
            <w:r>
              <w:rPr>
                <w:rFonts w:hint="eastAsia" w:ascii="仿宋" w:hAnsi="仿宋" w:eastAsia="仿宋" w:cs="宋体"/>
                <w:b/>
                <w:color w:val="auto"/>
              </w:rPr>
              <w:t>-------------于年月日时分之前不准启封（公章）------------</w:t>
            </w:r>
          </w:p>
        </w:tc>
      </w:tr>
    </w:tbl>
    <w:p>
      <w:pPr>
        <w:pStyle w:val="4"/>
        <w:rPr>
          <w:rFonts w:ascii="仿宋" w:hAnsi="仿宋" w:cs="宋体"/>
          <w:color w:val="auto"/>
        </w:rPr>
      </w:pPr>
      <w:bookmarkStart w:id="655" w:name="_Toc13951"/>
      <w:bookmarkStart w:id="656" w:name="_Toc65683003"/>
      <w:r>
        <w:rPr>
          <w:rFonts w:hint="eastAsia" w:ascii="仿宋" w:hAnsi="仿宋" w:cs="宋体"/>
          <w:color w:val="auto"/>
        </w:rPr>
        <w:br w:type="page" w:clear="all"/>
      </w:r>
      <w:bookmarkStart w:id="657" w:name="_Toc109124315"/>
      <w:bookmarkStart w:id="658" w:name="_Toc12294"/>
      <w:r>
        <w:rPr>
          <w:rFonts w:hint="eastAsia" w:ascii="仿宋" w:hAnsi="仿宋" w:cs="宋体"/>
          <w:color w:val="auto"/>
        </w:rPr>
        <w:t>一、商务文件</w:t>
      </w:r>
      <w:bookmarkEnd w:id="655"/>
      <w:bookmarkEnd w:id="656"/>
      <w:bookmarkEnd w:id="657"/>
      <w:bookmarkEnd w:id="658"/>
    </w:p>
    <w:p>
      <w:pPr>
        <w:pStyle w:val="5"/>
        <w:jc w:val="center"/>
        <w:rPr>
          <w:rFonts w:hint="default" w:ascii="仿宋" w:hAnsi="仿宋" w:cs="宋体"/>
          <w:color w:val="auto"/>
        </w:rPr>
      </w:pPr>
      <w:bookmarkStart w:id="659" w:name="_Toc27497"/>
      <w:bookmarkStart w:id="660" w:name="_Toc112068405"/>
      <w:r>
        <w:rPr>
          <w:rFonts w:ascii="仿宋" w:hAnsi="仿宋" w:cs="宋体"/>
          <w:color w:val="auto"/>
        </w:rPr>
        <w:t>初步评审索引表</w:t>
      </w:r>
      <w:bookmarkEnd w:id="659"/>
      <w:bookmarkEnd w:id="660"/>
    </w:p>
    <w:tbl>
      <w:tblPr>
        <w:tblStyle w:val="41"/>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912"/>
        <w:gridCol w:w="1277"/>
        <w:gridCol w:w="3825"/>
        <w:gridCol w:w="346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361" w:hRule="atLeast"/>
          <w:jc w:val="center"/>
        </w:trPr>
        <w:tc>
          <w:tcPr>
            <w:tcW w:w="2189" w:type="dxa"/>
            <w:gridSpan w:val="2"/>
            <w:vAlign w:val="center"/>
          </w:tcPr>
          <w:p>
            <w:pPr>
              <w:widowControl/>
              <w:spacing w:line="240" w:lineRule="auto"/>
              <w:jc w:val="center"/>
              <w:rPr>
                <w:rFonts w:ascii="仿宋" w:hAnsi="仿宋" w:eastAsia="仿宋" w:cs="宋体"/>
                <w:b/>
                <w:color w:val="auto"/>
                <w:szCs w:val="21"/>
              </w:rPr>
            </w:pPr>
            <w:r>
              <w:rPr>
                <w:rFonts w:hint="eastAsia" w:ascii="仿宋" w:hAnsi="仿宋" w:eastAsia="仿宋" w:cs="宋体"/>
                <w:b/>
                <w:color w:val="auto"/>
                <w:szCs w:val="21"/>
              </w:rPr>
              <w:t>条款号</w:t>
            </w:r>
          </w:p>
        </w:tc>
        <w:tc>
          <w:tcPr>
            <w:tcW w:w="3825" w:type="dxa"/>
            <w:vAlign w:val="center"/>
          </w:tcPr>
          <w:p>
            <w:pPr>
              <w:widowControl/>
              <w:spacing w:before="24" w:after="24" w:line="240" w:lineRule="auto"/>
              <w:jc w:val="center"/>
              <w:rPr>
                <w:rFonts w:ascii="仿宋" w:hAnsi="仿宋" w:eastAsia="仿宋" w:cs="宋体"/>
                <w:b/>
                <w:color w:val="auto"/>
                <w:szCs w:val="21"/>
              </w:rPr>
            </w:pPr>
            <w:r>
              <w:rPr>
                <w:rFonts w:hint="eastAsia" w:ascii="仿宋" w:hAnsi="仿宋" w:eastAsia="仿宋" w:cs="宋体"/>
                <w:b/>
                <w:color w:val="auto"/>
                <w:szCs w:val="21"/>
              </w:rPr>
              <w:t>评审因素</w:t>
            </w:r>
          </w:p>
        </w:tc>
        <w:tc>
          <w:tcPr>
            <w:tcW w:w="3460" w:type="dxa"/>
            <w:vAlign w:val="center"/>
          </w:tcPr>
          <w:p>
            <w:pPr>
              <w:widowControl/>
              <w:spacing w:line="240" w:lineRule="auto"/>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restart"/>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1</w:t>
            </w:r>
          </w:p>
        </w:tc>
        <w:tc>
          <w:tcPr>
            <w:tcW w:w="1277" w:type="dxa"/>
            <w:vMerge w:val="restart"/>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形式评审标准</w:t>
            </w: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投标人名称</w:t>
            </w:r>
          </w:p>
        </w:tc>
        <w:tc>
          <w:tcPr>
            <w:tcW w:w="3460" w:type="dxa"/>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说明：XX</w:t>
            </w:r>
          </w:p>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详见N-M页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法定代表人（负责人）身份证明</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法定代表人（负责人）授权委托书</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投标文件签字或盖章</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2</w:t>
            </w:r>
          </w:p>
        </w:tc>
        <w:tc>
          <w:tcPr>
            <w:tcW w:w="1277" w:type="dxa"/>
            <w:vMerge w:val="restart"/>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资格评审标准</w:t>
            </w: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营业执照</w:t>
            </w:r>
          </w:p>
        </w:tc>
        <w:tc>
          <w:tcPr>
            <w:tcW w:w="3460" w:type="dxa"/>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无违法违规记录</w:t>
            </w:r>
          </w:p>
        </w:tc>
        <w:tc>
          <w:tcPr>
            <w:tcW w:w="3460" w:type="dxa"/>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未被列入黑名单</w:t>
            </w:r>
          </w:p>
        </w:tc>
        <w:tc>
          <w:tcPr>
            <w:tcW w:w="3460" w:type="dxa"/>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控股及管理关系</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具有良好的商业信誉和健全的财务会计制度</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供应商应具有履行合同所必需的设备和专业技术能力</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具有依法缴纳税收和社会保障资金的良好记录</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hint="eastAsia" w:ascii="仿宋" w:hAnsi="仿宋" w:eastAsia="仿宋" w:cs="Cambria Math"/>
                <w:color w:val="auto"/>
                <w:szCs w:val="21"/>
              </w:rPr>
            </w:pPr>
            <w:r>
              <w:rPr>
                <w:rFonts w:hint="eastAsia" w:ascii="仿宋" w:hAnsi="仿宋" w:eastAsia="仿宋" w:cs="Cambria Math"/>
                <w:color w:val="auto"/>
                <w:szCs w:val="21"/>
              </w:rPr>
              <w:t>非联合体投标声明</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其他资格要求</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3</w:t>
            </w:r>
          </w:p>
        </w:tc>
        <w:tc>
          <w:tcPr>
            <w:tcW w:w="1277" w:type="dxa"/>
            <w:vMerge w:val="restart"/>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响应性评审标准</w:t>
            </w: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投标函</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投标保证金</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供应商行为准则承诺书</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供应商廉洁诚信承诺书</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投标一览表</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偏离表应答</w:t>
            </w:r>
          </w:p>
        </w:tc>
        <w:tc>
          <w:tcPr>
            <w:tcW w:w="3460" w:type="dxa"/>
            <w:vAlign w:val="center"/>
          </w:tcPr>
          <w:p>
            <w:pPr>
              <w:spacing w:before="24" w:after="24"/>
              <w:jc w:val="center"/>
              <w:rPr>
                <w:rFonts w:ascii="仿宋" w:hAnsi="仿宋" w:eastAsia="仿宋" w:cs="Cambria Math"/>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12" w:type="dxa"/>
            <w:vMerge w:val="continue"/>
            <w:vAlign w:val="center"/>
          </w:tcPr>
          <w:p>
            <w:pPr>
              <w:spacing w:before="24" w:after="24"/>
              <w:jc w:val="center"/>
              <w:rPr>
                <w:rFonts w:ascii="仿宋" w:hAnsi="仿宋" w:eastAsia="仿宋" w:cs="Cambria Math"/>
                <w:color w:val="auto"/>
                <w:szCs w:val="21"/>
              </w:rPr>
            </w:pPr>
          </w:p>
        </w:tc>
        <w:tc>
          <w:tcPr>
            <w:tcW w:w="1277" w:type="dxa"/>
            <w:vMerge w:val="continue"/>
            <w:vAlign w:val="center"/>
          </w:tcPr>
          <w:p>
            <w:pPr>
              <w:spacing w:before="24" w:after="24"/>
              <w:jc w:val="center"/>
              <w:rPr>
                <w:rFonts w:ascii="仿宋" w:hAnsi="仿宋" w:eastAsia="仿宋" w:cs="Cambria Math"/>
                <w:color w:val="auto"/>
                <w:szCs w:val="21"/>
              </w:rPr>
            </w:pPr>
          </w:p>
        </w:tc>
        <w:tc>
          <w:tcPr>
            <w:tcW w:w="3825" w:type="dxa"/>
            <w:vAlign w:val="center"/>
          </w:tcPr>
          <w:p>
            <w:pPr>
              <w:spacing w:before="24" w:after="24"/>
              <w:jc w:val="left"/>
              <w:rPr>
                <w:rFonts w:ascii="仿宋" w:hAnsi="仿宋" w:eastAsia="仿宋" w:cs="Cambria Math"/>
                <w:color w:val="auto"/>
                <w:szCs w:val="21"/>
              </w:rPr>
            </w:pPr>
            <w:r>
              <w:rPr>
                <w:rFonts w:hint="eastAsia" w:ascii="仿宋" w:hAnsi="仿宋" w:eastAsia="仿宋" w:cs="Cambria Math"/>
                <w:color w:val="auto"/>
                <w:szCs w:val="21"/>
              </w:rPr>
              <w:t>其他实质性响应情况</w:t>
            </w:r>
          </w:p>
        </w:tc>
        <w:tc>
          <w:tcPr>
            <w:tcW w:w="3460" w:type="dxa"/>
            <w:vAlign w:val="center"/>
          </w:tcPr>
          <w:p>
            <w:pPr>
              <w:spacing w:before="24" w:after="24"/>
              <w:jc w:val="center"/>
              <w:rPr>
                <w:rFonts w:ascii="仿宋" w:hAnsi="仿宋" w:eastAsia="仿宋" w:cs="Cambria Math"/>
                <w:color w:val="auto"/>
                <w:szCs w:val="21"/>
              </w:rPr>
            </w:pPr>
          </w:p>
        </w:tc>
      </w:tr>
    </w:tbl>
    <w:p>
      <w:pPr>
        <w:spacing w:before="24" w:after="24"/>
        <w:jc w:val="center"/>
        <w:rPr>
          <w:rFonts w:ascii="仿宋" w:hAnsi="仿宋" w:eastAsia="仿宋" w:cs="Cambria Math"/>
          <w:color w:val="auto"/>
          <w:szCs w:val="21"/>
        </w:rPr>
      </w:pPr>
    </w:p>
    <w:p>
      <w:pPr>
        <w:spacing w:before="24" w:after="24"/>
        <w:jc w:val="center"/>
        <w:rPr>
          <w:rFonts w:ascii="仿宋" w:hAnsi="仿宋" w:eastAsia="仿宋" w:cs="Cambria Math"/>
          <w:color w:val="auto"/>
          <w:szCs w:val="21"/>
        </w:rPr>
      </w:pPr>
    </w:p>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br w:type="page" w:clear="all"/>
      </w:r>
    </w:p>
    <w:p>
      <w:pPr>
        <w:spacing w:before="24" w:after="24"/>
        <w:jc w:val="center"/>
        <w:rPr>
          <w:rFonts w:ascii="仿宋" w:hAnsi="仿宋" w:eastAsia="仿宋" w:cs="Cambria Math"/>
          <w:color w:val="auto"/>
          <w:szCs w:val="21"/>
        </w:rPr>
      </w:pPr>
      <w:bookmarkStart w:id="661" w:name="_Toc24334"/>
      <w:bookmarkStart w:id="662" w:name="_Toc65683005"/>
      <w:bookmarkStart w:id="663" w:name="_Toc109124317"/>
      <w:bookmarkStart w:id="664" w:name="_Toc6993"/>
      <w:r>
        <w:rPr>
          <w:rFonts w:hint="eastAsia" w:ascii="仿宋" w:hAnsi="仿宋" w:eastAsia="仿宋" w:cs="Cambria Math"/>
          <w:color w:val="auto"/>
          <w:szCs w:val="21"/>
        </w:rPr>
        <w:t>详细评审索引表</w:t>
      </w:r>
      <w:bookmarkEnd w:id="661"/>
    </w:p>
    <w:tbl>
      <w:tblPr>
        <w:tblStyle w:val="41"/>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1696" w:type="dxa"/>
            <w:tcMar>
              <w:top w:w="15" w:type="dxa"/>
              <w:left w:w="15" w:type="dxa"/>
              <w:right w:w="15" w:type="dxa"/>
            </w:tcMar>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评审项</w:t>
            </w:r>
          </w:p>
        </w:tc>
        <w:tc>
          <w:tcPr>
            <w:tcW w:w="2268" w:type="dxa"/>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评审因素</w:t>
            </w:r>
          </w:p>
        </w:tc>
        <w:tc>
          <w:tcPr>
            <w:tcW w:w="4820" w:type="dxa"/>
            <w:tcMar>
              <w:top w:w="15" w:type="dxa"/>
              <w:left w:w="15" w:type="dxa"/>
              <w:right w:w="15" w:type="dxa"/>
            </w:tcMar>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1</w:t>
            </w:r>
          </w:p>
        </w:tc>
        <w:tc>
          <w:tcPr>
            <w:tcW w:w="1696" w:type="dxa"/>
            <w:vMerge w:val="restart"/>
            <w:tcMar>
              <w:top w:w="15" w:type="dxa"/>
              <w:left w:w="15" w:type="dxa"/>
              <w:right w:w="15" w:type="dxa"/>
            </w:tcMar>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商务得分</w:t>
            </w:r>
          </w:p>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（10分）</w:t>
            </w:r>
          </w:p>
        </w:tc>
        <w:tc>
          <w:tcPr>
            <w:tcW w:w="2268" w:type="dxa"/>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综合实力</w:t>
            </w:r>
          </w:p>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（5分）</w:t>
            </w:r>
          </w:p>
        </w:tc>
        <w:tc>
          <w:tcPr>
            <w:tcW w:w="4820" w:type="dxa"/>
            <w:tcMar>
              <w:top w:w="15" w:type="dxa"/>
              <w:left w:w="15" w:type="dxa"/>
              <w:right w:w="15" w:type="dxa"/>
            </w:tcMar>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说明：XX</w:t>
            </w:r>
          </w:p>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2</w:t>
            </w:r>
          </w:p>
        </w:tc>
        <w:tc>
          <w:tcPr>
            <w:tcW w:w="1696" w:type="dxa"/>
            <w:vMerge w:val="continue"/>
            <w:tcMar>
              <w:top w:w="15" w:type="dxa"/>
              <w:left w:w="15" w:type="dxa"/>
              <w:right w:w="15" w:type="dxa"/>
            </w:tcMar>
            <w:vAlign w:val="center"/>
          </w:tcPr>
          <w:p>
            <w:pPr>
              <w:spacing w:before="24" w:after="24"/>
              <w:jc w:val="center"/>
              <w:rPr>
                <w:rFonts w:ascii="仿宋" w:hAnsi="仿宋" w:eastAsia="仿宋" w:cs="Cambria Math"/>
                <w:color w:val="auto"/>
                <w:szCs w:val="21"/>
              </w:rPr>
            </w:pPr>
          </w:p>
        </w:tc>
        <w:tc>
          <w:tcPr>
            <w:tcW w:w="2268" w:type="dxa"/>
            <w:vAlign w:val="center"/>
          </w:tcPr>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同类业绩</w:t>
            </w:r>
          </w:p>
          <w:p>
            <w:pPr>
              <w:spacing w:before="24" w:after="24"/>
              <w:jc w:val="center"/>
              <w:rPr>
                <w:rFonts w:ascii="仿宋" w:hAnsi="仿宋" w:eastAsia="仿宋" w:cs="Cambria Math"/>
                <w:color w:val="auto"/>
                <w:szCs w:val="21"/>
              </w:rPr>
            </w:pPr>
            <w:r>
              <w:rPr>
                <w:rFonts w:hint="eastAsia" w:ascii="仿宋" w:hAnsi="仿宋" w:eastAsia="仿宋" w:cs="Cambria Math"/>
                <w:color w:val="auto"/>
                <w:szCs w:val="21"/>
              </w:rPr>
              <w:t>（5分）</w:t>
            </w:r>
          </w:p>
        </w:tc>
        <w:tc>
          <w:tcPr>
            <w:tcW w:w="4820" w:type="dxa"/>
            <w:tcMar>
              <w:top w:w="15" w:type="dxa"/>
              <w:left w:w="15" w:type="dxa"/>
              <w:right w:w="15" w:type="dxa"/>
            </w:tcMar>
            <w:vAlign w:val="center"/>
          </w:tcPr>
          <w:p>
            <w:pPr>
              <w:spacing w:before="24" w:after="24"/>
              <w:jc w:val="center"/>
              <w:rPr>
                <w:rFonts w:ascii="仿宋" w:hAnsi="仿宋" w:eastAsia="仿宋" w:cs="Cambria Math"/>
                <w:color w:val="auto"/>
                <w:szCs w:val="21"/>
              </w:rPr>
            </w:pPr>
          </w:p>
        </w:tc>
      </w:tr>
    </w:tbl>
    <w:p>
      <w:pPr>
        <w:rPr>
          <w:rFonts w:ascii="仿宋" w:hAnsi="仿宋" w:eastAsia="仿宋" w:cs="仿宋"/>
          <w:b/>
          <w:bCs/>
          <w:color w:val="auto"/>
          <w:sz w:val="24"/>
          <w:szCs w:val="24"/>
        </w:rPr>
      </w:pPr>
      <w:r>
        <w:rPr>
          <w:rFonts w:hint="eastAsia" w:ascii="仿宋" w:hAnsi="仿宋" w:eastAsia="仿宋" w:cs="仿宋"/>
          <w:b/>
          <w:bCs/>
          <w:color w:val="auto"/>
          <w:sz w:val="24"/>
          <w:szCs w:val="24"/>
        </w:rPr>
        <w:br w:type="page" w:clear="all"/>
      </w:r>
    </w:p>
    <w:p>
      <w:pPr>
        <w:pStyle w:val="13"/>
        <w:ind w:firstLine="0"/>
        <w:rPr>
          <w:rFonts w:ascii="仿宋" w:hAnsi="仿宋" w:eastAsia="仿宋" w:cs="仿宋"/>
          <w:b/>
          <w:bCs/>
          <w:color w:val="auto"/>
          <w:sz w:val="24"/>
          <w:szCs w:val="24"/>
        </w:rPr>
      </w:pPr>
      <w:r>
        <w:rPr>
          <w:rFonts w:hint="eastAsia" w:ascii="仿宋" w:hAnsi="仿宋" w:eastAsia="仿宋" w:cs="仿宋"/>
          <w:b/>
          <w:bCs/>
          <w:color w:val="auto"/>
          <w:sz w:val="24"/>
          <w:szCs w:val="24"/>
        </w:rPr>
        <w:t>（一）投标函</w:t>
      </w:r>
      <w:bookmarkEnd w:id="662"/>
      <w:bookmarkEnd w:id="663"/>
      <w:bookmarkEnd w:id="664"/>
    </w:p>
    <w:p>
      <w:pPr>
        <w:pStyle w:val="274"/>
        <w:spacing w:line="360" w:lineRule="auto"/>
        <w:jc w:val="center"/>
        <w:rPr>
          <w:rFonts w:ascii="仿宋" w:hAnsi="仿宋" w:eastAsia="仿宋" w:cs="宋体"/>
          <w:b/>
          <w:color w:val="auto"/>
          <w:sz w:val="24"/>
          <w:szCs w:val="24"/>
        </w:rPr>
      </w:pPr>
      <w:r>
        <w:rPr>
          <w:rFonts w:hint="eastAsia" w:ascii="仿宋" w:hAnsi="仿宋" w:eastAsia="仿宋" w:cs="宋体"/>
          <w:b/>
          <w:color w:val="auto"/>
          <w:sz w:val="24"/>
          <w:szCs w:val="24"/>
        </w:rPr>
        <w:t>投标函</w:t>
      </w:r>
    </w:p>
    <w:p>
      <w:pPr>
        <w:pStyle w:val="274"/>
        <w:spacing w:line="360" w:lineRule="auto"/>
        <w:rPr>
          <w:rFonts w:ascii="仿宋" w:hAnsi="仿宋" w:eastAsia="仿宋" w:cs="宋体"/>
          <w:color w:val="auto"/>
          <w:sz w:val="24"/>
          <w:szCs w:val="24"/>
        </w:rPr>
      </w:pPr>
      <w:r>
        <w:rPr>
          <w:rFonts w:hint="eastAsia" w:ascii="仿宋" w:hAnsi="仿宋" w:eastAsia="仿宋" w:cs="宋体"/>
          <w:color w:val="auto"/>
          <w:sz w:val="24"/>
          <w:szCs w:val="24"/>
          <w:u w:val="single"/>
        </w:rPr>
        <w:t>致：中国人民财产保险股份有限公司南充市分公司</w:t>
      </w:r>
    </w:p>
    <w:p>
      <w:pPr>
        <w:widowControl/>
        <w:spacing w:line="360" w:lineRule="auto"/>
        <w:ind w:firstLine="420"/>
        <w:rPr>
          <w:rFonts w:ascii="仿宋" w:hAnsi="仿宋" w:eastAsia="仿宋" w:cs="宋体"/>
          <w:color w:val="auto"/>
          <w:sz w:val="24"/>
          <w:szCs w:val="24"/>
        </w:rPr>
      </w:pPr>
      <w:r>
        <w:rPr>
          <w:rFonts w:hint="eastAsia" w:ascii="仿宋" w:hAnsi="仿宋" w:eastAsia="仿宋" w:cs="宋体"/>
          <w:color w:val="auto"/>
          <w:sz w:val="24"/>
          <w:szCs w:val="24"/>
          <w:u w:val="single"/>
        </w:rPr>
        <w:t xml:space="preserve">   （投标人名称）   </w:t>
      </w:r>
      <w:r>
        <w:rPr>
          <w:rFonts w:hint="eastAsia" w:ascii="仿宋" w:hAnsi="仿宋" w:eastAsia="仿宋" w:cs="宋体"/>
          <w:color w:val="auto"/>
          <w:sz w:val="24"/>
          <w:szCs w:val="24"/>
        </w:rPr>
        <w:t>（以下称“我方”）已仔细研究了</w:t>
      </w:r>
      <w:r>
        <w:rPr>
          <w:rFonts w:hint="eastAsia" w:ascii="仿宋" w:hAnsi="仿宋" w:eastAsia="仿宋" w:cs="宋体"/>
          <w:color w:val="auto"/>
          <w:sz w:val="24"/>
          <w:szCs w:val="24"/>
          <w:u w:val="single"/>
        </w:rPr>
        <w:t>人保财险南充嘉陵支公司办公楼装饰工程采购项目</w:t>
      </w:r>
      <w:r>
        <w:rPr>
          <w:rFonts w:hint="eastAsia" w:ascii="仿宋" w:hAnsi="仿宋" w:eastAsia="仿宋" w:cs="宋体"/>
          <w:color w:val="auto"/>
          <w:sz w:val="24"/>
          <w:szCs w:val="24"/>
        </w:rPr>
        <w:t>招标文件的全部内容，包括澄清或者修改文件以及有关附件，我方将严格按照招标文件要求递交符合要求的全部投标文件。</w:t>
      </w:r>
    </w:p>
    <w:p>
      <w:pPr>
        <w:widowControl/>
        <w:spacing w:line="360" w:lineRule="auto"/>
        <w:ind w:firstLine="420"/>
        <w:rPr>
          <w:rFonts w:ascii="仿宋" w:hAnsi="仿宋" w:eastAsia="仿宋" w:cs="宋体"/>
          <w:color w:val="auto"/>
          <w:sz w:val="24"/>
          <w:szCs w:val="24"/>
        </w:rPr>
      </w:pPr>
      <w:r>
        <w:rPr>
          <w:rFonts w:hint="eastAsia" w:ascii="仿宋" w:hAnsi="仿宋" w:eastAsia="仿宋" w:cs="宋体"/>
          <w:color w:val="auto"/>
          <w:sz w:val="24"/>
          <w:szCs w:val="24"/>
        </w:rPr>
        <w:t>现我方承诺如下内容：</w:t>
      </w:r>
    </w:p>
    <w:p>
      <w:pPr>
        <w:widowControl/>
        <w:spacing w:line="360" w:lineRule="auto"/>
        <w:ind w:firstLine="420"/>
        <w:rPr>
          <w:rFonts w:ascii="仿宋" w:hAnsi="仿宋" w:eastAsia="仿宋" w:cs="宋体"/>
          <w:color w:val="auto"/>
          <w:sz w:val="24"/>
          <w:szCs w:val="24"/>
        </w:rPr>
      </w:pPr>
      <w:r>
        <w:rPr>
          <w:rFonts w:hint="eastAsia" w:ascii="仿宋" w:hAnsi="仿宋" w:eastAsia="仿宋" w:cs="宋体"/>
          <w:color w:val="auto"/>
          <w:sz w:val="24"/>
          <w:szCs w:val="24"/>
        </w:rPr>
        <w:t>1. 本投标函及投标文件自投标文件提交截止日起</w:t>
      </w:r>
      <w:r>
        <w:rPr>
          <w:rFonts w:hint="eastAsia" w:ascii="仿宋" w:hAnsi="仿宋" w:eastAsia="仿宋" w:cs="宋体"/>
          <w:color w:val="auto"/>
          <w:sz w:val="24"/>
          <w:szCs w:val="24"/>
          <w:u w:val="single"/>
        </w:rPr>
        <w:t>有效期为120天</w:t>
      </w:r>
      <w:r>
        <w:rPr>
          <w:rFonts w:hint="eastAsia" w:ascii="仿宋" w:hAnsi="仿宋" w:eastAsia="仿宋" w:cs="宋体"/>
          <w:color w:val="auto"/>
          <w:sz w:val="24"/>
          <w:szCs w:val="24"/>
        </w:rPr>
        <w:t>，我方承诺在投标有效期内不修改、撤销投标文件。</w:t>
      </w:r>
    </w:p>
    <w:p>
      <w:pPr>
        <w:widowControl/>
        <w:spacing w:line="360" w:lineRule="auto"/>
        <w:ind w:firstLine="420"/>
        <w:rPr>
          <w:rFonts w:ascii="仿宋" w:hAnsi="仿宋" w:eastAsia="仿宋" w:cs="宋体"/>
          <w:color w:val="auto"/>
          <w:sz w:val="24"/>
          <w:szCs w:val="24"/>
        </w:rPr>
      </w:pPr>
      <w:r>
        <w:rPr>
          <w:rFonts w:hint="eastAsia" w:ascii="仿宋" w:hAnsi="仿宋" w:eastAsia="仿宋" w:cs="宋体"/>
          <w:color w:val="auto"/>
          <w:sz w:val="24"/>
          <w:szCs w:val="24"/>
        </w:rPr>
        <w:t>2. 随同本投标函提交投标保证金一份。</w:t>
      </w:r>
    </w:p>
    <w:p>
      <w:pPr>
        <w:widowControl/>
        <w:spacing w:line="360" w:lineRule="auto"/>
        <w:ind w:firstLine="420"/>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w:t>
      </w:r>
      <w:r>
        <w:rPr>
          <w:rFonts w:ascii="仿宋" w:hAnsi="仿宋" w:eastAsia="仿宋" w:cs="仿宋"/>
          <w:color w:val="auto"/>
          <w:sz w:val="24"/>
          <w:szCs w:val="24"/>
        </w:rPr>
        <w:t xml:space="preserve"> </w:t>
      </w:r>
      <w:r>
        <w:rPr>
          <w:rFonts w:hint="eastAsia" w:ascii="仿宋" w:hAnsi="仿宋" w:eastAsia="仿宋" w:cs="宋体"/>
          <w:color w:val="auto"/>
          <w:sz w:val="24"/>
          <w:szCs w:val="24"/>
        </w:rPr>
        <w:t>我方承诺提供评标过程中可能要求的澄清、说明、补正或者算术性错误修正确认，并同意我方提供的以上材料构成我方投标文件的组成部分。</w:t>
      </w:r>
    </w:p>
    <w:p>
      <w:pPr>
        <w:widowControl/>
        <w:spacing w:line="360" w:lineRule="auto"/>
        <w:ind w:firstLine="420"/>
        <w:rPr>
          <w:rFonts w:ascii="仿宋" w:hAnsi="仿宋" w:eastAsia="仿宋" w:cs="宋体"/>
          <w:color w:val="auto"/>
          <w:sz w:val="24"/>
          <w:szCs w:val="24"/>
        </w:rPr>
      </w:pPr>
      <w:r>
        <w:rPr>
          <w:rFonts w:ascii="仿宋" w:hAnsi="仿宋" w:eastAsia="仿宋" w:cs="宋体"/>
          <w:color w:val="auto"/>
          <w:sz w:val="24"/>
          <w:szCs w:val="24"/>
        </w:rPr>
        <w:t xml:space="preserve">4 </w:t>
      </w:r>
      <w:r>
        <w:rPr>
          <w:rFonts w:hint="eastAsia" w:ascii="仿宋" w:hAnsi="仿宋" w:eastAsia="仿宋" w:cs="宋体"/>
          <w:color w:val="auto"/>
          <w:sz w:val="24"/>
          <w:szCs w:val="24"/>
        </w:rPr>
        <w:t>我方同意提供贵方可能要求的与我方投标文件有关的一切数据、资料、</w:t>
      </w:r>
      <w:r>
        <w:rPr>
          <w:rFonts w:hint="eastAsia" w:ascii="仿宋" w:hAnsi="仿宋" w:eastAsia="仿宋" w:cs="宋体"/>
          <w:color w:val="auto"/>
          <w:sz w:val="24"/>
        </w:rPr>
        <w:t>证明原件、证件原件</w:t>
      </w:r>
      <w:r>
        <w:rPr>
          <w:rFonts w:hint="eastAsia" w:ascii="仿宋" w:hAnsi="仿宋" w:eastAsia="仿宋" w:cs="宋体"/>
          <w:color w:val="auto"/>
          <w:sz w:val="24"/>
          <w:szCs w:val="24"/>
        </w:rPr>
        <w:t>，并完全理解贵方不一定接受最低价的投标。</w:t>
      </w:r>
    </w:p>
    <w:p>
      <w:pPr>
        <w:widowControl/>
        <w:spacing w:line="360" w:lineRule="auto"/>
        <w:ind w:firstLine="420"/>
        <w:rPr>
          <w:rFonts w:ascii="仿宋" w:hAnsi="仿宋" w:eastAsia="仿宋" w:cs="宋体"/>
          <w:color w:val="auto"/>
          <w:sz w:val="24"/>
          <w:szCs w:val="24"/>
        </w:rPr>
      </w:pPr>
      <w:r>
        <w:rPr>
          <w:rFonts w:ascii="仿宋" w:hAnsi="仿宋" w:eastAsia="仿宋" w:cs="宋体"/>
          <w:color w:val="auto"/>
          <w:sz w:val="24"/>
          <w:szCs w:val="24"/>
        </w:rPr>
        <w:t>5</w:t>
      </w:r>
      <w:r>
        <w:rPr>
          <w:rFonts w:hint="eastAsia" w:ascii="仿宋" w:hAnsi="仿宋" w:eastAsia="仿宋" w:cs="宋体"/>
          <w:color w:val="auto"/>
          <w:sz w:val="24"/>
          <w:szCs w:val="24"/>
        </w:rPr>
        <w:t>. 我方承诺对在本次招标活动过程中所获知贵方一切商业秘密保密，不会向任何第三方泄露，不会用于本次招标活动之外的任何其他目的。</w:t>
      </w:r>
    </w:p>
    <w:p>
      <w:pPr>
        <w:widowControl/>
        <w:spacing w:line="360" w:lineRule="auto"/>
        <w:ind w:firstLine="420"/>
        <w:rPr>
          <w:rFonts w:ascii="仿宋" w:hAnsi="仿宋" w:eastAsia="仿宋" w:cs="宋体"/>
          <w:color w:val="auto"/>
          <w:sz w:val="24"/>
        </w:rPr>
      </w:pPr>
      <w:r>
        <w:rPr>
          <w:rFonts w:ascii="仿宋" w:hAnsi="仿宋" w:eastAsia="仿宋" w:cs="宋体"/>
          <w:color w:val="auto"/>
          <w:sz w:val="24"/>
          <w:szCs w:val="24"/>
        </w:rPr>
        <w:t>6</w:t>
      </w:r>
      <w:r>
        <w:rPr>
          <w:rFonts w:hint="eastAsia" w:ascii="仿宋" w:hAnsi="仿宋" w:eastAsia="仿宋" w:cs="宋体"/>
          <w:color w:val="auto"/>
          <w:sz w:val="24"/>
          <w:szCs w:val="24"/>
        </w:rPr>
        <w:t>．我方承诺对所递交的投标文件及有关材料</w:t>
      </w:r>
      <w:r>
        <w:rPr>
          <w:rFonts w:hint="eastAsia" w:ascii="仿宋" w:hAnsi="仿宋" w:eastAsia="仿宋" w:cs="宋体"/>
          <w:color w:val="auto"/>
          <w:sz w:val="24"/>
        </w:rPr>
        <w:t>的真实性、合法性、完整性、准确性承担法律责任。</w:t>
      </w:r>
      <w:r>
        <w:rPr>
          <w:rFonts w:hint="eastAsia" w:ascii="仿宋" w:hAnsi="仿宋" w:eastAsia="仿宋" w:cs="宋体"/>
          <w:color w:val="auto"/>
          <w:sz w:val="24"/>
          <w:szCs w:val="24"/>
        </w:rPr>
        <w:t>如有弄虚作假、串通投标、行贿等违法违规行为，将承担相应的法律责任，并赔偿由此给贵方造成的一切损失。</w:t>
      </w:r>
    </w:p>
    <w:p>
      <w:pPr>
        <w:widowControl/>
        <w:spacing w:line="360" w:lineRule="auto"/>
        <w:ind w:firstLine="420"/>
        <w:rPr>
          <w:rFonts w:ascii="仿宋" w:hAnsi="仿宋" w:eastAsia="仿宋" w:cs="宋体"/>
          <w:color w:val="auto"/>
          <w:sz w:val="24"/>
          <w:szCs w:val="24"/>
        </w:rPr>
      </w:pPr>
      <w:r>
        <w:rPr>
          <w:rFonts w:ascii="仿宋" w:hAnsi="仿宋" w:eastAsia="仿宋" w:cs="宋体"/>
          <w:color w:val="auto"/>
          <w:sz w:val="24"/>
          <w:szCs w:val="24"/>
        </w:rPr>
        <w:t>7</w:t>
      </w:r>
      <w:r>
        <w:rPr>
          <w:rFonts w:hint="eastAsia" w:ascii="仿宋" w:hAnsi="仿宋" w:eastAsia="仿宋" w:cs="宋体"/>
          <w:color w:val="auto"/>
          <w:sz w:val="24"/>
          <w:szCs w:val="24"/>
        </w:rPr>
        <w:t>. 如我方中标：</w:t>
      </w:r>
    </w:p>
    <w:p>
      <w:pPr>
        <w:widowControl/>
        <w:spacing w:line="360" w:lineRule="auto"/>
        <w:ind w:firstLine="420"/>
        <w:rPr>
          <w:rFonts w:ascii="仿宋" w:hAnsi="仿宋" w:eastAsia="仿宋" w:cs="宋体"/>
          <w:color w:val="auto"/>
          <w:sz w:val="24"/>
          <w:szCs w:val="24"/>
        </w:rPr>
      </w:pPr>
      <w:r>
        <w:rPr>
          <w:rFonts w:hint="eastAsia" w:ascii="仿宋" w:hAnsi="仿宋" w:eastAsia="仿宋" w:cs="宋体"/>
          <w:color w:val="auto"/>
          <w:sz w:val="24"/>
          <w:szCs w:val="24"/>
        </w:rPr>
        <w:t>（1）我方承诺在收到中标通知书后，在中标通知书规定的期限内与贵方签订合同。</w:t>
      </w:r>
    </w:p>
    <w:p>
      <w:pPr>
        <w:widowControl/>
        <w:spacing w:line="360" w:lineRule="auto"/>
        <w:ind w:firstLine="420"/>
        <w:rPr>
          <w:rFonts w:ascii="仿宋" w:hAnsi="仿宋" w:eastAsia="仿宋" w:cs="宋体"/>
          <w:color w:val="auto"/>
          <w:sz w:val="24"/>
          <w:szCs w:val="24"/>
        </w:rPr>
      </w:pPr>
      <w:r>
        <w:rPr>
          <w:rFonts w:hint="eastAsia" w:ascii="仿宋" w:hAnsi="仿宋" w:eastAsia="仿宋" w:cs="宋体"/>
          <w:color w:val="auto"/>
          <w:sz w:val="24"/>
          <w:szCs w:val="24"/>
        </w:rPr>
        <w:t>（2）我方承诺按照招标文件规定递交履约保证金、支付招标代理服务费。</w:t>
      </w:r>
    </w:p>
    <w:p>
      <w:pPr>
        <w:widowControl/>
        <w:spacing w:line="360" w:lineRule="auto"/>
        <w:ind w:firstLine="420"/>
        <w:rPr>
          <w:rFonts w:ascii="仿宋" w:hAnsi="仿宋" w:eastAsia="仿宋" w:cs="宋体"/>
          <w:color w:val="auto"/>
          <w:sz w:val="24"/>
          <w:szCs w:val="24"/>
        </w:rPr>
      </w:pPr>
      <w:r>
        <w:rPr>
          <w:rFonts w:hint="eastAsia" w:ascii="仿宋" w:hAnsi="仿宋" w:eastAsia="仿宋" w:cs="宋体"/>
          <w:color w:val="auto"/>
          <w:sz w:val="24"/>
          <w:szCs w:val="24"/>
        </w:rPr>
        <w:t>（3）我方承诺按照招标文件的规定及合同约定履行相关责任和义务。</w:t>
      </w:r>
    </w:p>
    <w:p>
      <w:pPr>
        <w:widowControl/>
        <w:spacing w:line="360" w:lineRule="auto"/>
        <w:ind w:firstLine="420"/>
        <w:rPr>
          <w:rFonts w:ascii="仿宋" w:hAnsi="仿宋" w:eastAsia="仿宋" w:cs="宋体"/>
          <w:color w:val="auto"/>
          <w:sz w:val="24"/>
          <w:szCs w:val="24"/>
        </w:rPr>
      </w:pPr>
      <w:r>
        <w:rPr>
          <w:rFonts w:hint="eastAsia" w:ascii="仿宋" w:hAnsi="仿宋" w:eastAsia="仿宋" w:cs="宋体"/>
          <w:color w:val="auto"/>
          <w:sz w:val="24"/>
          <w:szCs w:val="24"/>
        </w:rPr>
        <w:t>（4）我方承诺双方合作后，我方可开具增值税专用发票。</w:t>
      </w:r>
    </w:p>
    <w:p>
      <w:pPr>
        <w:pStyle w:val="274"/>
        <w:spacing w:line="360" w:lineRule="auto"/>
        <w:rPr>
          <w:rFonts w:ascii="仿宋" w:hAnsi="仿宋" w:eastAsia="仿宋" w:cs="宋体"/>
          <w:color w:val="auto"/>
          <w:sz w:val="24"/>
          <w:szCs w:val="24"/>
        </w:rPr>
      </w:pPr>
    </w:p>
    <w:p>
      <w:pPr>
        <w:spacing w:line="360" w:lineRule="auto"/>
        <w:ind w:firstLine="4080"/>
        <w:jc w:val="right"/>
        <w:rPr>
          <w:rFonts w:ascii="仿宋" w:hAnsi="仿宋" w:eastAsia="仿宋" w:cs="宋体"/>
          <w:color w:val="auto"/>
          <w:sz w:val="24"/>
          <w:szCs w:val="24"/>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360" w:lineRule="auto"/>
        <w:jc w:val="right"/>
        <w:rPr>
          <w:rFonts w:ascii="仿宋" w:hAnsi="仿宋" w:eastAsia="仿宋" w:cs="宋体"/>
          <w:color w:val="auto"/>
          <w:sz w:val="24"/>
          <w:szCs w:val="24"/>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tabs>
          <w:tab w:val="left" w:pos="338"/>
        </w:tabs>
        <w:spacing w:line="360" w:lineRule="auto"/>
        <w:ind w:right="120"/>
        <w:jc w:val="right"/>
        <w:rPr>
          <w:rFonts w:ascii="仿宋" w:hAnsi="仿宋" w:cs="宋体"/>
          <w:color w:val="auto"/>
          <w:szCs w:val="24"/>
        </w:rPr>
      </w:pPr>
      <w:r>
        <w:rPr>
          <w:rFonts w:ascii="仿宋" w:hAnsi="仿宋" w:eastAsia="仿宋" w:cs="宋体"/>
          <w:color w:val="auto"/>
          <w:sz w:val="24"/>
          <w:szCs w:val="24"/>
        </w:rPr>
        <w:tab/>
      </w:r>
      <w:bookmarkStart w:id="665" w:name="_Toc65683006"/>
      <w:bookmarkStart w:id="666" w:name="_Toc109124318"/>
      <w:bookmarkStart w:id="667" w:name="_Toc2403"/>
    </w:p>
    <w:p>
      <w:pPr>
        <w:pStyle w:val="5"/>
        <w:spacing w:line="360" w:lineRule="auto"/>
        <w:rPr>
          <w:rFonts w:hint="default" w:ascii="仿宋" w:hAnsi="仿宋" w:cs="宋体"/>
          <w:color w:val="auto"/>
          <w:szCs w:val="24"/>
        </w:rPr>
      </w:pPr>
    </w:p>
    <w:p>
      <w:pPr>
        <w:pStyle w:val="5"/>
        <w:spacing w:line="360" w:lineRule="auto"/>
        <w:rPr>
          <w:rFonts w:hint="default" w:ascii="仿宋" w:hAnsi="仿宋" w:cs="宋体"/>
          <w:color w:val="auto"/>
          <w:szCs w:val="24"/>
        </w:rPr>
      </w:pPr>
      <w:bookmarkStart w:id="668" w:name="_Toc27171"/>
      <w:r>
        <w:rPr>
          <w:rFonts w:ascii="仿宋" w:hAnsi="仿宋" w:cs="宋体"/>
          <w:color w:val="auto"/>
          <w:szCs w:val="24"/>
        </w:rPr>
        <w:t>（二）法定代表人（负责人）身份证明</w:t>
      </w:r>
      <w:bookmarkEnd w:id="665"/>
      <w:bookmarkEnd w:id="666"/>
      <w:bookmarkEnd w:id="667"/>
      <w:bookmarkEnd w:id="668"/>
    </w:p>
    <w:p>
      <w:pPr>
        <w:pStyle w:val="274"/>
        <w:spacing w:line="360" w:lineRule="auto"/>
        <w:jc w:val="center"/>
        <w:rPr>
          <w:rFonts w:ascii="仿宋" w:hAnsi="仿宋" w:eastAsia="仿宋" w:cs="宋体"/>
          <w:b/>
          <w:color w:val="auto"/>
          <w:sz w:val="24"/>
          <w:szCs w:val="24"/>
        </w:rPr>
      </w:pPr>
      <w:r>
        <w:rPr>
          <w:rFonts w:hint="eastAsia" w:ascii="仿宋" w:hAnsi="仿宋" w:eastAsia="仿宋" w:cs="宋体"/>
          <w:b/>
          <w:color w:val="auto"/>
          <w:sz w:val="24"/>
          <w:szCs w:val="24"/>
        </w:rPr>
        <w:t>法定代表人（负责人）身份证明</w:t>
      </w:r>
    </w:p>
    <w:p>
      <w:pPr>
        <w:widowControl/>
        <w:spacing w:line="360" w:lineRule="auto"/>
        <w:rPr>
          <w:rFonts w:ascii="仿宋" w:hAnsi="仿宋" w:eastAsia="仿宋" w:cs="宋体"/>
          <w:color w:val="auto"/>
          <w:sz w:val="24"/>
          <w:szCs w:val="24"/>
          <w:u w:val="single"/>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p>
    <w:p>
      <w:pPr>
        <w:widowControl/>
        <w:spacing w:line="360" w:lineRule="auto"/>
        <w:rPr>
          <w:rFonts w:ascii="仿宋" w:hAnsi="仿宋" w:eastAsia="仿宋" w:cs="宋体"/>
          <w:color w:val="auto"/>
          <w:sz w:val="24"/>
          <w:szCs w:val="24"/>
        </w:rPr>
      </w:pPr>
      <w:r>
        <w:rPr>
          <w:rFonts w:hint="eastAsia" w:ascii="仿宋" w:hAnsi="仿宋" w:eastAsia="仿宋" w:cs="宋体"/>
          <w:color w:val="auto"/>
          <w:sz w:val="24"/>
          <w:szCs w:val="24"/>
        </w:rPr>
        <w:t>成立时间：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widowControl/>
        <w:spacing w:line="360" w:lineRule="auto"/>
        <w:rPr>
          <w:rFonts w:ascii="仿宋" w:hAnsi="仿宋" w:eastAsia="仿宋" w:cs="宋体"/>
          <w:color w:val="auto"/>
          <w:sz w:val="24"/>
          <w:szCs w:val="24"/>
          <w:u w:val="single"/>
        </w:rPr>
      </w:pPr>
      <w:r>
        <w:rPr>
          <w:rFonts w:hint="eastAsia" w:ascii="仿宋" w:hAnsi="仿宋" w:eastAsia="仿宋" w:cs="宋体"/>
          <w:color w:val="auto"/>
          <w:sz w:val="24"/>
          <w:szCs w:val="24"/>
        </w:rPr>
        <w:t>姓名：</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性别：</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年龄：</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职务：</w:t>
      </w:r>
      <w:r>
        <w:rPr>
          <w:rFonts w:hint="eastAsia" w:ascii="仿宋" w:hAnsi="仿宋" w:eastAsia="仿宋" w:cs="宋体"/>
          <w:color w:val="auto"/>
          <w:sz w:val="24"/>
          <w:szCs w:val="24"/>
          <w:u w:val="single"/>
        </w:rPr>
        <w:t xml:space="preserve">         </w:t>
      </w:r>
    </w:p>
    <w:p>
      <w:pPr>
        <w:widowControl/>
        <w:spacing w:line="360" w:lineRule="auto"/>
        <w:rPr>
          <w:rFonts w:ascii="仿宋" w:hAnsi="仿宋" w:eastAsia="仿宋" w:cs="宋体"/>
          <w:color w:val="auto"/>
          <w:sz w:val="24"/>
          <w:szCs w:val="24"/>
        </w:rPr>
      </w:pPr>
      <w:r>
        <w:rPr>
          <w:rFonts w:hint="eastAsia" w:ascii="仿宋" w:hAnsi="仿宋" w:eastAsia="仿宋" w:cs="宋体"/>
          <w:color w:val="auto"/>
          <w:sz w:val="24"/>
          <w:szCs w:val="24"/>
        </w:rPr>
        <w:t>系</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（投标人名称）的法定代表人（负责人）。</w:t>
      </w:r>
    </w:p>
    <w:p>
      <w:pPr>
        <w:widowControl/>
        <w:spacing w:line="360" w:lineRule="auto"/>
        <w:rPr>
          <w:rFonts w:ascii="仿宋" w:hAnsi="仿宋" w:eastAsia="仿宋" w:cs="宋体"/>
          <w:color w:val="auto"/>
          <w:sz w:val="24"/>
          <w:szCs w:val="24"/>
        </w:rPr>
      </w:pPr>
      <w:r>
        <w:rPr>
          <w:rFonts w:hint="eastAsia" w:ascii="仿宋" w:hAnsi="仿宋" w:eastAsia="仿宋" w:cs="宋体"/>
          <w:color w:val="auto"/>
          <w:sz w:val="24"/>
          <w:szCs w:val="24"/>
        </w:rPr>
        <w:t>特此证明。</w:t>
      </w:r>
    </w:p>
    <w:p>
      <w:pPr>
        <w:pStyle w:val="2"/>
        <w:rPr>
          <w:rFonts w:ascii="宋体" w:hAnsi="宋体"/>
          <w:color w:val="auto"/>
          <w:szCs w:val="21"/>
        </w:rPr>
      </w:pPr>
    </w:p>
    <w:p>
      <w:pPr>
        <w:widowControl/>
        <w:spacing w:line="360" w:lineRule="auto"/>
        <w:rPr>
          <w:rFonts w:ascii="仿宋" w:hAnsi="仿宋" w:eastAsia="仿宋" w:cs="宋体"/>
          <w:color w:val="auto"/>
          <w:sz w:val="24"/>
          <w:szCs w:val="24"/>
        </w:rPr>
      </w:pPr>
      <w:r>
        <w:rPr>
          <w:rFonts w:hint="eastAsia" w:ascii="仿宋" w:hAnsi="仿宋" w:eastAsia="仿宋" w:cs="宋体"/>
          <w:b/>
          <w:bCs/>
          <w:color w:val="auto"/>
          <w:sz w:val="24"/>
          <w:szCs w:val="24"/>
        </w:rPr>
        <w:t>附：法定代表人（负责人）身份证复印件（需同时提供正面及背面）</w:t>
      </w:r>
      <w:r>
        <w:rPr>
          <w:rFonts w:hint="eastAsia" w:ascii="仿宋" w:hAnsi="仿宋" w:eastAsia="仿宋" w:cs="宋体"/>
          <w:color w:val="auto"/>
          <w:sz w:val="24"/>
          <w:szCs w:val="24"/>
        </w:rPr>
        <w:t>。</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tcPr>
          <w:p>
            <w:pPr>
              <w:widowControl/>
              <w:spacing w:line="360" w:lineRule="auto"/>
              <w:rPr>
                <w:rFonts w:ascii="仿宋" w:hAnsi="仿宋" w:eastAsia="仿宋" w:cs="仿宋"/>
                <w:color w:val="auto"/>
              </w:rPr>
            </w:pPr>
          </w:p>
        </w:tc>
        <w:tc>
          <w:tcPr>
            <w:tcW w:w="4927" w:type="dxa"/>
            <w:shd w:val="clear" w:color="auto" w:fill="A8D08D"/>
          </w:tcPr>
          <w:p>
            <w:pPr>
              <w:widowControl/>
              <w:spacing w:line="360" w:lineRule="auto"/>
              <w:rPr>
                <w:rFonts w:ascii="仿宋" w:hAnsi="仿宋" w:eastAsia="仿宋" w:cs="仿宋"/>
                <w:color w:val="auto"/>
              </w:rPr>
            </w:pPr>
          </w:p>
        </w:tc>
      </w:tr>
    </w:tbl>
    <w:p>
      <w:pPr>
        <w:widowControl/>
        <w:spacing w:line="360" w:lineRule="auto"/>
        <w:rPr>
          <w:rFonts w:ascii="仿宋" w:hAnsi="仿宋" w:eastAsia="仿宋" w:cs="宋体"/>
          <w:color w:val="auto"/>
        </w:rPr>
      </w:pPr>
    </w:p>
    <w:p>
      <w:pPr>
        <w:pStyle w:val="274"/>
        <w:spacing w:line="440" w:lineRule="atLeast"/>
        <w:jc w:val="center"/>
        <w:rPr>
          <w:rFonts w:ascii="仿宋" w:hAnsi="仿宋" w:eastAsia="仿宋" w:cs="宋体"/>
          <w:color w:val="auto"/>
        </w:rPr>
      </w:pPr>
    </w:p>
    <w:p>
      <w:pPr>
        <w:pStyle w:val="274"/>
        <w:spacing w:line="440" w:lineRule="atLeast"/>
        <w:jc w:val="center"/>
        <w:rPr>
          <w:rFonts w:ascii="仿宋" w:hAnsi="仿宋" w:eastAsia="仿宋" w:cs="宋体"/>
          <w:color w:val="auto"/>
        </w:rPr>
      </w:pPr>
    </w:p>
    <w:p>
      <w:pPr>
        <w:spacing w:line="440" w:lineRule="exact"/>
        <w:ind w:firstLine="4080"/>
        <w:jc w:val="right"/>
        <w:rPr>
          <w:rFonts w:ascii="仿宋" w:hAnsi="仿宋" w:eastAsia="仿宋" w:cs="宋体"/>
          <w:color w:val="auto"/>
          <w:sz w:val="24"/>
          <w:szCs w:val="24"/>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440" w:lineRule="exact"/>
        <w:jc w:val="right"/>
        <w:rPr>
          <w:rFonts w:ascii="仿宋" w:hAnsi="仿宋" w:eastAsia="仿宋" w:cs="宋体"/>
          <w:b/>
          <w:bCs/>
          <w:color w:val="auto"/>
          <w:sz w:val="24"/>
          <w:szCs w:val="24"/>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pStyle w:val="274"/>
        <w:spacing w:line="440" w:lineRule="atLeast"/>
        <w:jc w:val="center"/>
        <w:rPr>
          <w:rFonts w:ascii="仿宋" w:hAnsi="仿宋" w:eastAsia="仿宋" w:cs="宋体"/>
          <w:color w:val="auto"/>
          <w:sz w:val="24"/>
          <w:szCs w:val="24"/>
        </w:rPr>
      </w:pPr>
    </w:p>
    <w:p>
      <w:pPr>
        <w:pStyle w:val="5"/>
        <w:spacing w:line="360" w:lineRule="auto"/>
        <w:rPr>
          <w:rFonts w:hint="default" w:ascii="仿宋" w:hAnsi="仿宋" w:cs="宋体"/>
          <w:color w:val="auto"/>
          <w:szCs w:val="24"/>
        </w:rPr>
      </w:pPr>
      <w:r>
        <w:rPr>
          <w:rFonts w:ascii="仿宋" w:hAnsi="仿宋" w:cs="宋体"/>
          <w:color w:val="auto"/>
        </w:rPr>
        <w:br w:type="page" w:clear="all"/>
      </w:r>
      <w:bookmarkStart w:id="669" w:name="_Toc20619"/>
      <w:bookmarkStart w:id="670" w:name="_Toc109124319"/>
      <w:bookmarkStart w:id="671" w:name="_Toc6523"/>
      <w:bookmarkStart w:id="672" w:name="_Toc65683007"/>
      <w:r>
        <w:rPr>
          <w:rFonts w:ascii="仿宋" w:hAnsi="仿宋" w:cs="宋体"/>
          <w:color w:val="auto"/>
          <w:szCs w:val="24"/>
        </w:rPr>
        <w:t>（三）法定代表人（负责人）授权委托书</w:t>
      </w:r>
      <w:bookmarkEnd w:id="669"/>
      <w:bookmarkEnd w:id="670"/>
      <w:bookmarkEnd w:id="671"/>
      <w:bookmarkEnd w:id="672"/>
    </w:p>
    <w:p>
      <w:pPr>
        <w:pStyle w:val="274"/>
        <w:spacing w:line="360" w:lineRule="auto"/>
        <w:jc w:val="center"/>
        <w:rPr>
          <w:rFonts w:ascii="仿宋" w:hAnsi="仿宋" w:eastAsia="仿宋" w:cs="宋体"/>
          <w:b/>
          <w:color w:val="auto"/>
          <w:sz w:val="24"/>
          <w:szCs w:val="24"/>
        </w:rPr>
      </w:pPr>
      <w:r>
        <w:rPr>
          <w:rFonts w:hint="eastAsia" w:ascii="仿宋" w:hAnsi="仿宋" w:eastAsia="仿宋" w:cs="宋体"/>
          <w:b/>
          <w:color w:val="auto"/>
          <w:sz w:val="24"/>
          <w:szCs w:val="24"/>
        </w:rPr>
        <w:t>法定代表人（负责人）授权委托书</w:t>
      </w:r>
    </w:p>
    <w:p>
      <w:pPr>
        <w:pStyle w:val="274"/>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本人</w:t>
      </w:r>
      <w:r>
        <w:rPr>
          <w:rFonts w:hint="eastAsia" w:ascii="仿宋" w:hAnsi="仿宋" w:eastAsia="仿宋" w:cs="宋体"/>
          <w:color w:val="auto"/>
          <w:sz w:val="24"/>
          <w:szCs w:val="24"/>
          <w:u w:val="single"/>
        </w:rPr>
        <w:t>（姓名）</w:t>
      </w:r>
      <w:r>
        <w:rPr>
          <w:rFonts w:hint="eastAsia" w:ascii="仿宋" w:hAnsi="仿宋" w:eastAsia="仿宋" w:cs="宋体"/>
          <w:color w:val="auto"/>
          <w:sz w:val="24"/>
          <w:szCs w:val="24"/>
        </w:rPr>
        <w:t>系</w:t>
      </w:r>
      <w:r>
        <w:rPr>
          <w:rFonts w:hint="eastAsia" w:ascii="仿宋" w:hAnsi="仿宋" w:eastAsia="仿宋" w:cs="宋体"/>
          <w:color w:val="auto"/>
          <w:sz w:val="24"/>
          <w:szCs w:val="24"/>
          <w:u w:val="single"/>
        </w:rPr>
        <w:t>（投标人名称）</w:t>
      </w:r>
      <w:r>
        <w:rPr>
          <w:rFonts w:hint="eastAsia" w:ascii="仿宋" w:hAnsi="仿宋" w:eastAsia="仿宋" w:cs="宋体"/>
          <w:color w:val="auto"/>
          <w:sz w:val="24"/>
          <w:szCs w:val="24"/>
        </w:rPr>
        <w:t>的法定代表人（负责人），现委托</w:t>
      </w:r>
      <w:r>
        <w:rPr>
          <w:rFonts w:hint="eastAsia" w:ascii="仿宋" w:hAnsi="仿宋" w:eastAsia="仿宋" w:cs="宋体"/>
          <w:color w:val="auto"/>
          <w:sz w:val="24"/>
          <w:szCs w:val="24"/>
          <w:u w:val="single"/>
        </w:rPr>
        <w:t>（姓名）</w:t>
      </w:r>
      <w:r>
        <w:rPr>
          <w:rFonts w:hint="eastAsia" w:ascii="仿宋" w:hAnsi="仿宋" w:eastAsia="仿宋" w:cs="宋体"/>
          <w:color w:val="auto"/>
          <w:sz w:val="24"/>
          <w:szCs w:val="24"/>
        </w:rPr>
        <w:t>为我方代理人。代理人根据授权，以我方名义签署、澄清、说明、补正、递交、撤回、修改</w:t>
      </w:r>
      <w:r>
        <w:rPr>
          <w:rFonts w:hint="eastAsia" w:ascii="仿宋" w:hAnsi="仿宋" w:eastAsia="仿宋" w:cs="宋体"/>
          <w:color w:val="auto"/>
          <w:sz w:val="24"/>
          <w:szCs w:val="24"/>
          <w:u w:val="single"/>
        </w:rPr>
        <w:t>人保财险南充嘉陵支公司办公楼装饰工程采购项目</w:t>
      </w:r>
      <w:r>
        <w:rPr>
          <w:rFonts w:hint="eastAsia" w:ascii="仿宋" w:hAnsi="仿宋" w:eastAsia="仿宋" w:cs="宋体"/>
          <w:color w:val="auto"/>
          <w:sz w:val="24"/>
          <w:szCs w:val="24"/>
        </w:rPr>
        <w:t>投标文件、签订合同和处理有关事宜，其法律后果由我方承担。</w:t>
      </w:r>
    </w:p>
    <w:p>
      <w:pPr>
        <w:widowControl/>
        <w:spacing w:line="360" w:lineRule="auto"/>
        <w:ind w:firstLine="480"/>
        <w:jc w:val="left"/>
        <w:rPr>
          <w:rFonts w:ascii="仿宋" w:hAnsi="仿宋" w:eastAsia="仿宋" w:cs="宋体"/>
          <w:color w:val="auto"/>
          <w:sz w:val="24"/>
          <w:szCs w:val="24"/>
        </w:rPr>
      </w:pPr>
      <w:r>
        <w:rPr>
          <w:rFonts w:hint="eastAsia" w:ascii="仿宋" w:hAnsi="仿宋" w:eastAsia="仿宋" w:cs="宋体"/>
          <w:color w:val="auto"/>
          <w:sz w:val="24"/>
          <w:szCs w:val="24"/>
        </w:rPr>
        <w:t>委托期限：</w:t>
      </w:r>
      <w:r>
        <w:rPr>
          <w:rFonts w:hint="eastAsia" w:ascii="仿宋" w:hAnsi="仿宋" w:eastAsia="仿宋" w:cs="微软雅黑"/>
          <w:color w:val="auto"/>
          <w:sz w:val="24"/>
          <w:szCs w:val="24"/>
          <w:u w:val="single"/>
        </w:rPr>
        <w:t>自本委托书签字盖章生效之日起至投标有效期到期之日为止</w:t>
      </w:r>
      <w:r>
        <w:rPr>
          <w:rFonts w:hint="eastAsia" w:ascii="仿宋" w:hAnsi="仿宋" w:eastAsia="仿宋" w:cs="宋体"/>
          <w:color w:val="auto"/>
          <w:sz w:val="24"/>
          <w:szCs w:val="24"/>
        </w:rPr>
        <w:t>。</w:t>
      </w:r>
    </w:p>
    <w:p>
      <w:pPr>
        <w:pStyle w:val="274"/>
        <w:spacing w:line="360" w:lineRule="auto"/>
        <w:ind w:firstLine="480"/>
        <w:rPr>
          <w:rFonts w:ascii="仿宋" w:hAnsi="仿宋" w:eastAsia="仿宋" w:cs="宋体"/>
          <w:color w:val="auto"/>
          <w:sz w:val="24"/>
          <w:szCs w:val="24"/>
        </w:rPr>
      </w:pPr>
      <w:r>
        <w:rPr>
          <w:rFonts w:hint="eastAsia" w:ascii="仿宋" w:hAnsi="仿宋" w:eastAsia="仿宋" w:cs="宋体"/>
          <w:color w:val="auto"/>
          <w:sz w:val="24"/>
          <w:szCs w:val="24"/>
        </w:rPr>
        <w:t>代理人无转委托权。</w:t>
      </w:r>
    </w:p>
    <w:p>
      <w:pPr>
        <w:pStyle w:val="274"/>
        <w:spacing w:line="360" w:lineRule="auto"/>
        <w:ind w:firstLine="480"/>
        <w:rPr>
          <w:rFonts w:ascii="仿宋" w:hAnsi="仿宋" w:eastAsia="仿宋" w:cs="宋体"/>
          <w:color w:val="auto"/>
          <w:sz w:val="24"/>
          <w:szCs w:val="24"/>
        </w:rPr>
      </w:pPr>
    </w:p>
    <w:p>
      <w:pPr>
        <w:pStyle w:val="274"/>
        <w:spacing w:line="360" w:lineRule="auto"/>
        <w:ind w:firstLine="200"/>
        <w:rPr>
          <w:rFonts w:ascii="仿宋" w:hAnsi="仿宋" w:eastAsia="仿宋" w:cs="宋体"/>
          <w:color w:val="auto"/>
          <w:sz w:val="24"/>
          <w:szCs w:val="24"/>
        </w:rPr>
      </w:pPr>
      <w:r>
        <w:rPr>
          <w:rFonts w:hint="eastAsia" w:ascii="仿宋" w:hAnsi="仿宋" w:eastAsia="仿宋" w:cs="宋体"/>
          <w:b/>
          <w:bCs/>
          <w:color w:val="auto"/>
          <w:sz w:val="24"/>
          <w:szCs w:val="24"/>
        </w:rPr>
        <w:t>附：委托代理人身份证复印件（需同时提供正面及背面）</w:t>
      </w:r>
      <w:r>
        <w:rPr>
          <w:rFonts w:hint="eastAsia" w:ascii="仿宋" w:hAnsi="仿宋" w:eastAsia="仿宋" w:cs="宋体"/>
          <w:color w:val="auto"/>
          <w:sz w:val="24"/>
          <w:szCs w:val="24"/>
        </w:rPr>
        <w:t>。</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tcPr>
          <w:p>
            <w:pPr>
              <w:widowControl/>
              <w:spacing w:line="360" w:lineRule="auto"/>
              <w:rPr>
                <w:rFonts w:ascii="仿宋" w:hAnsi="仿宋" w:eastAsia="仿宋" w:cs="仿宋"/>
                <w:color w:val="auto"/>
              </w:rPr>
            </w:pPr>
          </w:p>
        </w:tc>
        <w:tc>
          <w:tcPr>
            <w:tcW w:w="4927" w:type="dxa"/>
            <w:shd w:val="clear" w:color="auto" w:fill="A8D08D"/>
          </w:tcPr>
          <w:p>
            <w:pPr>
              <w:widowControl/>
              <w:spacing w:line="360" w:lineRule="auto"/>
              <w:rPr>
                <w:rFonts w:ascii="仿宋" w:hAnsi="仿宋" w:eastAsia="仿宋" w:cs="仿宋"/>
                <w:color w:val="auto"/>
              </w:rPr>
            </w:pPr>
          </w:p>
        </w:tc>
      </w:tr>
    </w:tbl>
    <w:p>
      <w:pPr>
        <w:pStyle w:val="274"/>
        <w:spacing w:line="360" w:lineRule="auto"/>
        <w:jc w:val="center"/>
        <w:rPr>
          <w:rFonts w:ascii="仿宋" w:hAnsi="仿宋" w:eastAsia="仿宋" w:cs="宋体"/>
          <w:color w:val="auto"/>
          <w:sz w:val="24"/>
          <w:szCs w:val="24"/>
        </w:rPr>
      </w:pPr>
    </w:p>
    <w:p>
      <w:pPr>
        <w:spacing w:line="360" w:lineRule="auto"/>
        <w:ind w:right="420"/>
        <w:jc w:val="right"/>
        <w:rPr>
          <w:rFonts w:ascii="仿宋" w:hAnsi="仿宋" w:eastAsia="仿宋" w:cs="宋体"/>
          <w:color w:val="auto"/>
          <w:sz w:val="24"/>
          <w:szCs w:val="24"/>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360" w:lineRule="auto"/>
        <w:ind w:right="420"/>
        <w:jc w:val="right"/>
        <w:rPr>
          <w:rFonts w:ascii="仿宋" w:hAnsi="仿宋" w:eastAsia="仿宋" w:cs="宋体"/>
          <w:color w:val="auto"/>
          <w:sz w:val="24"/>
          <w:szCs w:val="24"/>
        </w:rPr>
      </w:pPr>
      <w:r>
        <w:rPr>
          <w:rFonts w:hint="eastAsia" w:ascii="仿宋" w:hAnsi="仿宋" w:eastAsia="仿宋" w:cs="宋体"/>
          <w:color w:val="auto"/>
          <w:sz w:val="24"/>
          <w:szCs w:val="24"/>
        </w:rPr>
        <w:t>法定代表人（负责人）：</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（签字或盖章）</w:t>
      </w:r>
    </w:p>
    <w:p>
      <w:pPr>
        <w:pStyle w:val="274"/>
        <w:spacing w:line="360" w:lineRule="auto"/>
        <w:ind w:right="105"/>
        <w:jc w:val="right"/>
        <w:rPr>
          <w:rFonts w:ascii="仿宋" w:hAnsi="仿宋" w:eastAsia="仿宋" w:cs="宋体"/>
          <w:color w:val="auto"/>
          <w:sz w:val="24"/>
          <w:szCs w:val="24"/>
        </w:rPr>
      </w:pPr>
      <w:r>
        <w:rPr>
          <w:rFonts w:hint="eastAsia" w:ascii="仿宋" w:hAnsi="仿宋" w:eastAsia="仿宋" w:cs="宋体"/>
          <w:color w:val="auto"/>
          <w:sz w:val="24"/>
          <w:szCs w:val="24"/>
        </w:rPr>
        <w:t>委托代理人：</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 xml:space="preserve">（签字或盖章） </w:t>
      </w:r>
    </w:p>
    <w:p>
      <w:pPr>
        <w:spacing w:line="360" w:lineRule="auto"/>
        <w:jc w:val="right"/>
        <w:rPr>
          <w:rFonts w:ascii="仿宋" w:hAnsi="仿宋" w:eastAsia="仿宋" w:cs="宋体"/>
          <w:b/>
          <w:bCs/>
          <w:color w:val="auto"/>
          <w:sz w:val="24"/>
          <w:szCs w:val="24"/>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pStyle w:val="274"/>
        <w:jc w:val="center"/>
        <w:rPr>
          <w:rFonts w:ascii="仿宋" w:hAnsi="仿宋" w:eastAsia="仿宋" w:cs="宋体"/>
          <w:color w:val="auto"/>
          <w:sz w:val="20"/>
        </w:rPr>
        <w:sectPr>
          <w:headerReference r:id="rId9" w:type="first"/>
          <w:footerReference r:id="rId11" w:type="first"/>
          <w:footerReference r:id="rId10" w:type="default"/>
          <w:pgSz w:w="11906" w:h="16838"/>
          <w:pgMar w:top="1440" w:right="1800" w:bottom="1440" w:left="1800" w:header="851" w:footer="992" w:gutter="0"/>
          <w:cols w:space="720" w:num="1"/>
          <w:titlePg/>
        </w:sectPr>
      </w:pPr>
    </w:p>
    <w:p>
      <w:pPr>
        <w:pStyle w:val="5"/>
        <w:spacing w:line="360" w:lineRule="auto"/>
        <w:rPr>
          <w:rFonts w:hint="default" w:ascii="仿宋" w:hAnsi="仿宋" w:cs="宋体"/>
          <w:color w:val="auto"/>
          <w:szCs w:val="24"/>
        </w:rPr>
      </w:pPr>
      <w:bookmarkStart w:id="673" w:name="_Toc109124320"/>
      <w:bookmarkStart w:id="674" w:name="_Toc6476"/>
      <w:bookmarkStart w:id="675" w:name="_Toc65683008"/>
      <w:bookmarkStart w:id="676" w:name="_Toc8696"/>
      <w:r>
        <w:rPr>
          <w:rFonts w:ascii="仿宋" w:hAnsi="仿宋" w:cs="宋体"/>
          <w:color w:val="auto"/>
          <w:szCs w:val="24"/>
        </w:rPr>
        <w:t>（四）资格证明文件</w:t>
      </w:r>
      <w:bookmarkEnd w:id="673"/>
      <w:bookmarkEnd w:id="674"/>
      <w:bookmarkEnd w:id="675"/>
      <w:bookmarkEnd w:id="676"/>
    </w:p>
    <w:p>
      <w:pPr>
        <w:pStyle w:val="6"/>
        <w:rPr>
          <w:rFonts w:ascii="仿宋" w:hAnsi="仿宋" w:cs="宋体"/>
          <w:color w:val="auto"/>
        </w:rPr>
      </w:pPr>
      <w:r>
        <w:rPr>
          <w:rFonts w:hint="eastAsia" w:ascii="仿宋" w:hAnsi="仿宋" w:cs="宋体"/>
          <w:color w:val="auto"/>
        </w:rPr>
        <w:t>1、投标人基本情况信息表</w:t>
      </w:r>
    </w:p>
    <w:p>
      <w:pPr>
        <w:pStyle w:val="274"/>
        <w:spacing w:line="360" w:lineRule="auto"/>
        <w:jc w:val="center"/>
        <w:rPr>
          <w:rFonts w:ascii="仿宋" w:hAnsi="仿宋" w:eastAsia="仿宋" w:cs="宋体"/>
          <w:b/>
          <w:color w:val="auto"/>
          <w:sz w:val="24"/>
          <w:szCs w:val="24"/>
        </w:rPr>
      </w:pPr>
      <w:r>
        <w:rPr>
          <w:rFonts w:hint="eastAsia" w:ascii="仿宋" w:hAnsi="仿宋" w:eastAsia="仿宋" w:cs="宋体"/>
          <w:b/>
          <w:color w:val="auto"/>
          <w:sz w:val="24"/>
          <w:szCs w:val="24"/>
        </w:rPr>
        <w:t>投标人基本情况信息表</w:t>
      </w:r>
    </w:p>
    <w:tbl>
      <w:tblPr>
        <w:tblStyle w:val="41"/>
        <w:tblW w:w="9456" w:type="dxa"/>
        <w:jc w:val="center"/>
        <w:tblLayout w:type="fixed"/>
        <w:tblCellMar>
          <w:top w:w="0" w:type="dxa"/>
          <w:left w:w="108" w:type="dxa"/>
          <w:bottom w:w="0" w:type="dxa"/>
          <w:right w:w="108" w:type="dxa"/>
        </w:tblCellMar>
      </w:tblPr>
      <w:tblGrid>
        <w:gridCol w:w="2145"/>
        <w:gridCol w:w="749"/>
        <w:gridCol w:w="353"/>
        <w:gridCol w:w="939"/>
        <w:gridCol w:w="690"/>
        <w:gridCol w:w="719"/>
        <w:gridCol w:w="1714"/>
        <w:gridCol w:w="97"/>
        <w:gridCol w:w="949"/>
        <w:gridCol w:w="1101"/>
      </w:tblGrid>
      <w:tr>
        <w:tblPrEx>
          <w:tblCellMar>
            <w:top w:w="0" w:type="dxa"/>
            <w:left w:w="108" w:type="dxa"/>
            <w:bottom w:w="0" w:type="dxa"/>
            <w:right w:w="108" w:type="dxa"/>
          </w:tblCellMar>
        </w:tblPrEx>
        <w:trPr>
          <w:trHeight w:val="567" w:hRule="atLeast"/>
          <w:jc w:val="center"/>
        </w:trPr>
        <w:tc>
          <w:tcPr>
            <w:tcW w:w="2243" w:type="dxa"/>
            <w:tcBorders>
              <w:top w:val="single" w:color="000000" w:sz="4" w:space="0"/>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投标人名称</w:t>
            </w:r>
          </w:p>
        </w:tc>
        <w:tc>
          <w:tcPr>
            <w:tcW w:w="7609" w:type="dxa"/>
            <w:gridSpan w:val="9"/>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注册地址</w:t>
            </w:r>
          </w:p>
        </w:tc>
        <w:tc>
          <w:tcPr>
            <w:tcW w:w="3588" w:type="dxa"/>
            <w:gridSpan w:val="5"/>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1789" w:type="dxa"/>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公司办公场所面职</w:t>
            </w:r>
          </w:p>
        </w:tc>
        <w:tc>
          <w:tcPr>
            <w:tcW w:w="3588" w:type="dxa"/>
            <w:gridSpan w:val="5"/>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平米</w:t>
            </w:r>
          </w:p>
        </w:tc>
        <w:tc>
          <w:tcPr>
            <w:tcW w:w="1789" w:type="dxa"/>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办事处地址</w:t>
            </w:r>
          </w:p>
        </w:tc>
        <w:tc>
          <w:tcPr>
            <w:tcW w:w="2232"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vMerge w:val="restart"/>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联系方式</w:t>
            </w:r>
          </w:p>
        </w:tc>
        <w:tc>
          <w:tcPr>
            <w:tcW w:w="1141" w:type="dxa"/>
            <w:gridSpan w:val="2"/>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联系人</w:t>
            </w:r>
          </w:p>
        </w:tc>
        <w:tc>
          <w:tcPr>
            <w:tcW w:w="2447"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1789" w:type="dxa"/>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vMerge w:val="continue"/>
            <w:tcBorders>
              <w:top w:val="nil"/>
              <w:left w:val="single" w:color="000000" w:sz="4" w:space="0"/>
              <w:bottom w:val="single" w:color="000000" w:sz="4" w:space="0"/>
              <w:right w:val="single" w:color="000000" w:sz="4" w:space="0"/>
            </w:tcBorders>
            <w:vAlign w:val="center"/>
          </w:tcPr>
          <w:p>
            <w:pPr>
              <w:spacing w:line="240" w:lineRule="auto"/>
              <w:rPr>
                <w:rFonts w:ascii="仿宋" w:hAnsi="仿宋" w:eastAsia="仿宋" w:cs="宋体"/>
                <w:color w:val="auto"/>
                <w:szCs w:val="21"/>
              </w:rPr>
            </w:pPr>
          </w:p>
        </w:tc>
        <w:tc>
          <w:tcPr>
            <w:tcW w:w="1141" w:type="dxa"/>
            <w:gridSpan w:val="2"/>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传真</w:t>
            </w:r>
          </w:p>
        </w:tc>
        <w:tc>
          <w:tcPr>
            <w:tcW w:w="2447"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1789" w:type="dxa"/>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网址</w:t>
            </w:r>
          </w:p>
        </w:tc>
        <w:tc>
          <w:tcPr>
            <w:tcW w:w="2232"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组织结构</w:t>
            </w:r>
          </w:p>
        </w:tc>
        <w:tc>
          <w:tcPr>
            <w:tcW w:w="7609" w:type="dxa"/>
            <w:gridSpan w:val="9"/>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法定代表人（负责人）</w:t>
            </w:r>
          </w:p>
        </w:tc>
        <w:tc>
          <w:tcPr>
            <w:tcW w:w="775" w:type="dxa"/>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1468" w:type="dxa"/>
            <w:gridSpan w:val="2"/>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985" w:type="dxa"/>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电话</w:t>
            </w:r>
          </w:p>
        </w:tc>
        <w:tc>
          <w:tcPr>
            <w:tcW w:w="1145" w:type="dxa"/>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技术负责人</w:t>
            </w:r>
          </w:p>
        </w:tc>
        <w:tc>
          <w:tcPr>
            <w:tcW w:w="775" w:type="dxa"/>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姓名</w:t>
            </w:r>
          </w:p>
        </w:tc>
        <w:tc>
          <w:tcPr>
            <w:tcW w:w="1345" w:type="dxa"/>
            <w:gridSpan w:val="2"/>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1468" w:type="dxa"/>
            <w:gridSpan w:val="2"/>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职称</w:t>
            </w:r>
          </w:p>
        </w:tc>
        <w:tc>
          <w:tcPr>
            <w:tcW w:w="1891" w:type="dxa"/>
            <w:gridSpan w:val="2"/>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985" w:type="dxa"/>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电话</w:t>
            </w:r>
          </w:p>
        </w:tc>
        <w:tc>
          <w:tcPr>
            <w:tcW w:w="1145" w:type="dxa"/>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成立时间</w:t>
            </w:r>
          </w:p>
        </w:tc>
        <w:tc>
          <w:tcPr>
            <w:tcW w:w="2120"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5489" w:type="dxa"/>
            <w:gridSpan w:val="6"/>
            <w:tcBorders>
              <w:top w:val="nil"/>
              <w:left w:val="nil"/>
              <w:bottom w:val="single" w:color="000000" w:sz="4" w:space="0"/>
              <w:right w:val="single" w:color="000000" w:sz="4" w:space="0"/>
            </w:tcBorders>
            <w:vAlign w:val="center"/>
          </w:tcPr>
          <w:p>
            <w:pPr>
              <w:pStyle w:val="274"/>
              <w:spacing w:line="240" w:lineRule="auto"/>
              <w:ind w:firstLine="105"/>
              <w:jc w:val="center"/>
              <w:rPr>
                <w:rFonts w:ascii="仿宋" w:hAnsi="仿宋" w:eastAsia="仿宋" w:cs="宋体"/>
                <w:color w:val="auto"/>
                <w:szCs w:val="21"/>
              </w:rPr>
            </w:pPr>
            <w:r>
              <w:rPr>
                <w:rFonts w:hint="eastAsia" w:ascii="仿宋" w:hAnsi="仿宋" w:eastAsia="仿宋" w:cs="宋体"/>
                <w:color w:val="auto"/>
                <w:szCs w:val="21"/>
              </w:rPr>
              <w:t>员工总人数：</w:t>
            </w: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企业资质等级</w:t>
            </w:r>
          </w:p>
        </w:tc>
        <w:tc>
          <w:tcPr>
            <w:tcW w:w="2120"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713" w:type="dxa"/>
            <w:vMerge w:val="restart"/>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营业执照号</w:t>
            </w:r>
          </w:p>
        </w:tc>
        <w:tc>
          <w:tcPr>
            <w:tcW w:w="2120"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713" w:type="dxa"/>
            <w:vMerge w:val="continue"/>
            <w:tcBorders>
              <w:top w:val="nil"/>
              <w:left w:val="nil"/>
              <w:bottom w:val="single" w:color="000000" w:sz="4" w:space="0"/>
              <w:right w:val="single" w:color="000000" w:sz="4" w:space="0"/>
            </w:tcBorders>
            <w:vAlign w:val="center"/>
          </w:tcPr>
          <w:p>
            <w:pPr>
              <w:spacing w:line="240" w:lineRule="auto"/>
              <w:rPr>
                <w:rFonts w:ascii="仿宋" w:hAnsi="仿宋" w:eastAsia="仿宋" w:cs="宋体"/>
                <w:color w:val="auto"/>
                <w:szCs w:val="21"/>
              </w:rPr>
            </w:pPr>
          </w:p>
        </w:tc>
        <w:tc>
          <w:tcPr>
            <w:tcW w:w="2646"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高级职称人员</w:t>
            </w:r>
          </w:p>
        </w:tc>
        <w:tc>
          <w:tcPr>
            <w:tcW w:w="2130" w:type="dxa"/>
            <w:gridSpan w:val="2"/>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注册资金</w:t>
            </w:r>
          </w:p>
        </w:tc>
        <w:tc>
          <w:tcPr>
            <w:tcW w:w="2120"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713" w:type="dxa"/>
            <w:vMerge w:val="continue"/>
            <w:tcBorders>
              <w:top w:val="nil"/>
              <w:left w:val="nil"/>
              <w:bottom w:val="single" w:color="000000" w:sz="4" w:space="0"/>
              <w:right w:val="single" w:color="000000" w:sz="4" w:space="0"/>
            </w:tcBorders>
            <w:vAlign w:val="center"/>
          </w:tcPr>
          <w:p>
            <w:pPr>
              <w:spacing w:line="240" w:lineRule="auto"/>
              <w:rPr>
                <w:rFonts w:ascii="仿宋" w:hAnsi="仿宋" w:eastAsia="仿宋" w:cs="宋体"/>
                <w:color w:val="auto"/>
                <w:szCs w:val="21"/>
              </w:rPr>
            </w:pPr>
          </w:p>
        </w:tc>
        <w:tc>
          <w:tcPr>
            <w:tcW w:w="2646"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中级职称人员</w:t>
            </w:r>
          </w:p>
        </w:tc>
        <w:tc>
          <w:tcPr>
            <w:tcW w:w="2130" w:type="dxa"/>
            <w:gridSpan w:val="2"/>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开户银行</w:t>
            </w:r>
          </w:p>
        </w:tc>
        <w:tc>
          <w:tcPr>
            <w:tcW w:w="2120"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713" w:type="dxa"/>
            <w:vMerge w:val="continue"/>
            <w:tcBorders>
              <w:top w:val="nil"/>
              <w:left w:val="nil"/>
              <w:bottom w:val="single" w:color="000000" w:sz="4" w:space="0"/>
              <w:right w:val="single" w:color="000000" w:sz="4" w:space="0"/>
            </w:tcBorders>
            <w:vAlign w:val="center"/>
          </w:tcPr>
          <w:p>
            <w:pPr>
              <w:spacing w:line="240" w:lineRule="auto"/>
              <w:rPr>
                <w:rFonts w:ascii="仿宋" w:hAnsi="仿宋" w:eastAsia="仿宋" w:cs="宋体"/>
                <w:color w:val="auto"/>
                <w:szCs w:val="21"/>
              </w:rPr>
            </w:pPr>
          </w:p>
        </w:tc>
        <w:tc>
          <w:tcPr>
            <w:tcW w:w="2646" w:type="dxa"/>
            <w:gridSpan w:val="3"/>
            <w:vMerge w:val="restart"/>
            <w:tcBorders>
              <w:top w:val="nil"/>
              <w:left w:val="nil"/>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初级职称人员</w:t>
            </w:r>
          </w:p>
        </w:tc>
        <w:tc>
          <w:tcPr>
            <w:tcW w:w="2130" w:type="dxa"/>
            <w:gridSpan w:val="2"/>
            <w:vMerge w:val="restart"/>
            <w:tcBorders>
              <w:top w:val="nil"/>
              <w:left w:val="nil"/>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账号</w:t>
            </w:r>
          </w:p>
        </w:tc>
        <w:tc>
          <w:tcPr>
            <w:tcW w:w="2120" w:type="dxa"/>
            <w:gridSpan w:val="3"/>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713" w:type="dxa"/>
            <w:vMerge w:val="continue"/>
            <w:tcBorders>
              <w:top w:val="nil"/>
              <w:left w:val="nil"/>
              <w:bottom w:val="single" w:color="000000" w:sz="4" w:space="0"/>
              <w:right w:val="single" w:color="000000" w:sz="4" w:space="0"/>
            </w:tcBorders>
            <w:vAlign w:val="center"/>
          </w:tcPr>
          <w:p>
            <w:pPr>
              <w:spacing w:line="240" w:lineRule="auto"/>
              <w:rPr>
                <w:rFonts w:ascii="仿宋" w:hAnsi="仿宋" w:eastAsia="仿宋" w:cs="宋体"/>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c>
          <w:tcPr>
            <w:tcW w:w="2130" w:type="dxa"/>
            <w:gridSpan w:val="2"/>
            <w:vMerge w:val="continue"/>
            <w:tcBorders>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ind w:firstLine="210"/>
              <w:jc w:val="center"/>
              <w:rPr>
                <w:rFonts w:ascii="仿宋" w:hAnsi="仿宋" w:eastAsia="仿宋" w:cs="宋体"/>
                <w:color w:val="auto"/>
                <w:szCs w:val="21"/>
              </w:rPr>
            </w:pPr>
            <w:r>
              <w:rPr>
                <w:rFonts w:hint="eastAsia" w:ascii="仿宋" w:hAnsi="仿宋" w:eastAsia="仿宋" w:cs="宋体"/>
                <w:color w:val="auto"/>
                <w:szCs w:val="21"/>
              </w:rPr>
              <w:t>经营范围</w:t>
            </w:r>
          </w:p>
        </w:tc>
        <w:tc>
          <w:tcPr>
            <w:tcW w:w="7609" w:type="dxa"/>
            <w:gridSpan w:val="9"/>
            <w:tcBorders>
              <w:top w:val="nil"/>
              <w:left w:val="nil"/>
              <w:bottom w:val="single" w:color="000000" w:sz="4" w:space="0"/>
              <w:right w:val="single" w:color="000000" w:sz="4" w:space="0"/>
            </w:tcBorders>
            <w:vAlign w:val="center"/>
          </w:tcPr>
          <w:p>
            <w:pPr>
              <w:pStyle w:val="274"/>
              <w:spacing w:line="240" w:lineRule="auto"/>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2243" w:type="dxa"/>
            <w:tcBorders>
              <w:top w:val="nil"/>
              <w:left w:val="single" w:color="000000" w:sz="4" w:space="0"/>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r>
              <w:rPr>
                <w:rFonts w:hint="eastAsia" w:ascii="仿宋" w:hAnsi="仿宋" w:eastAsia="仿宋" w:cs="宋体"/>
                <w:color w:val="auto"/>
                <w:szCs w:val="21"/>
              </w:rPr>
              <w:t>备注</w:t>
            </w:r>
          </w:p>
        </w:tc>
        <w:tc>
          <w:tcPr>
            <w:tcW w:w="7609" w:type="dxa"/>
            <w:gridSpan w:val="9"/>
            <w:tcBorders>
              <w:top w:val="nil"/>
              <w:left w:val="nil"/>
              <w:bottom w:val="single" w:color="000000" w:sz="4" w:space="0"/>
              <w:right w:val="single" w:color="000000" w:sz="4" w:space="0"/>
            </w:tcBorders>
            <w:vAlign w:val="center"/>
          </w:tcPr>
          <w:p>
            <w:pPr>
              <w:pStyle w:val="274"/>
              <w:spacing w:line="240" w:lineRule="auto"/>
              <w:jc w:val="center"/>
              <w:rPr>
                <w:rFonts w:ascii="仿宋" w:hAnsi="仿宋" w:eastAsia="仿宋" w:cs="宋体"/>
                <w:color w:val="auto"/>
                <w:szCs w:val="21"/>
              </w:rPr>
            </w:pPr>
          </w:p>
        </w:tc>
      </w:tr>
    </w:tbl>
    <w:p>
      <w:pPr>
        <w:spacing w:line="360" w:lineRule="auto"/>
        <w:ind w:left="482" w:hanging="482"/>
        <w:rPr>
          <w:rFonts w:ascii="仿宋" w:hAnsi="仿宋" w:eastAsia="仿宋" w:cs="宋体"/>
          <w:color w:val="auto"/>
          <w:szCs w:val="21"/>
        </w:rPr>
      </w:pPr>
      <w:bookmarkStart w:id="677" w:name="_Hlk122532292"/>
      <w:r>
        <w:rPr>
          <w:rFonts w:hint="eastAsia" w:ascii="仿宋" w:hAnsi="仿宋" w:eastAsia="仿宋" w:cs="宋体"/>
          <w:b/>
          <w:color w:val="auto"/>
          <w:sz w:val="24"/>
          <w:szCs w:val="24"/>
        </w:rPr>
        <w:t>注：提供由工商部门核发的最新营业执照（正副本皆可）。</w:t>
      </w:r>
      <w:bookmarkEnd w:id="677"/>
    </w:p>
    <w:p>
      <w:pPr>
        <w:spacing w:line="360" w:lineRule="auto"/>
        <w:rPr>
          <w:rFonts w:ascii="仿宋" w:hAnsi="仿宋" w:eastAsia="仿宋" w:cs="宋体"/>
          <w:b/>
          <w:color w:val="auto"/>
          <w:sz w:val="24"/>
          <w:szCs w:val="24"/>
        </w:rPr>
      </w:pPr>
    </w:p>
    <w:p>
      <w:pPr>
        <w:spacing w:line="360" w:lineRule="auto"/>
        <w:jc w:val="left"/>
        <w:rPr>
          <w:rFonts w:ascii="仿宋" w:hAnsi="仿宋" w:eastAsia="仿宋" w:cs="宋体"/>
          <w:color w:val="auto"/>
          <w:sz w:val="24"/>
          <w:szCs w:val="24"/>
        </w:rPr>
      </w:pPr>
    </w:p>
    <w:p>
      <w:pPr>
        <w:spacing w:line="360" w:lineRule="auto"/>
        <w:ind w:firstLine="4080"/>
        <w:jc w:val="right"/>
        <w:rPr>
          <w:rFonts w:ascii="仿宋" w:hAnsi="仿宋" w:eastAsia="仿宋" w:cs="Cambria Math"/>
          <w:color w:val="auto"/>
          <w:sz w:val="24"/>
        </w:rPr>
      </w:pPr>
      <w:r>
        <w:rPr>
          <w:rFonts w:hint="eastAsia" w:ascii="仿宋" w:hAnsi="仿宋" w:eastAsia="仿宋" w:cs="Cambria Math"/>
          <w:color w:val="auto"/>
          <w:sz w:val="24"/>
        </w:rPr>
        <w:t>投标人名称：</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（盖章）</w:t>
      </w:r>
    </w:p>
    <w:p>
      <w:pPr>
        <w:spacing w:line="360" w:lineRule="auto"/>
        <w:jc w:val="right"/>
        <w:rPr>
          <w:rFonts w:ascii="仿宋" w:hAnsi="仿宋" w:eastAsia="仿宋" w:cs="Cambria Math"/>
          <w:b/>
          <w:bCs/>
          <w:color w:val="auto"/>
          <w:sz w:val="24"/>
        </w:rPr>
      </w:pPr>
      <w:r>
        <w:rPr>
          <w:rFonts w:hint="eastAsia" w:ascii="仿宋" w:hAnsi="仿宋" w:eastAsia="仿宋" w:cs="Cambria Math"/>
          <w:color w:val="auto"/>
          <w:sz w:val="24"/>
        </w:rPr>
        <w:t>日期：</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年</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月</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日</w:t>
      </w:r>
    </w:p>
    <w:p>
      <w:pPr>
        <w:pStyle w:val="248"/>
        <w:spacing w:line="360" w:lineRule="auto"/>
        <w:ind w:left="1575" w:firstLine="0"/>
        <w:rPr>
          <w:rFonts w:ascii="仿宋" w:hAnsi="仿宋" w:eastAsia="仿宋" w:cs="宋体"/>
          <w:bCs/>
          <w:color w:val="auto"/>
          <w:sz w:val="24"/>
        </w:rPr>
      </w:pPr>
    </w:p>
    <w:p>
      <w:pPr>
        <w:pStyle w:val="6"/>
        <w:spacing w:line="360" w:lineRule="auto"/>
        <w:rPr>
          <w:rFonts w:ascii="仿宋" w:hAnsi="仿宋" w:cs="宋体"/>
          <w:color w:val="auto"/>
          <w:szCs w:val="24"/>
        </w:rPr>
      </w:pPr>
      <w:r>
        <w:rPr>
          <w:rFonts w:hint="eastAsia" w:ascii="仿宋" w:hAnsi="仿宋" w:cs="宋体"/>
          <w:color w:val="auto"/>
          <w:szCs w:val="24"/>
        </w:rPr>
        <w:br w:type="page" w:clear="all"/>
      </w:r>
      <w:r>
        <w:rPr>
          <w:rFonts w:hint="eastAsia" w:ascii="仿宋" w:hAnsi="仿宋" w:cs="宋体"/>
          <w:color w:val="auto"/>
          <w:szCs w:val="24"/>
        </w:rPr>
        <w:t>2、财务审计报告或银行资信证明</w:t>
      </w:r>
    </w:p>
    <w:p>
      <w:pPr>
        <w:spacing w:line="288" w:lineRule="auto"/>
        <w:ind w:firstLine="480"/>
        <w:rPr>
          <w:rFonts w:ascii="仿宋" w:hAnsi="仿宋" w:eastAsia="仿宋" w:cs="仿宋"/>
          <w:color w:val="auto"/>
          <w:sz w:val="24"/>
          <w:szCs w:val="24"/>
        </w:rPr>
      </w:pPr>
      <w:r>
        <w:rPr>
          <w:rFonts w:hint="eastAsia" w:ascii="仿宋" w:hAnsi="仿宋" w:eastAsia="仿宋" w:cs="仿宋"/>
          <w:color w:val="auto"/>
          <w:sz w:val="24"/>
          <w:szCs w:val="24"/>
        </w:rPr>
        <w:t>需提供2022年以来任一年度经会计师事务所</w:t>
      </w:r>
      <w:r>
        <w:rPr>
          <w:rFonts w:hint="eastAsia" w:ascii="仿宋" w:hAnsi="仿宋" w:eastAsia="仿宋" w:cs="仿宋"/>
          <w:b/>
          <w:bCs/>
          <w:color w:val="auto"/>
          <w:sz w:val="24"/>
          <w:szCs w:val="24"/>
          <w:highlight w:val="yellow"/>
        </w:rPr>
        <w:t>或</w:t>
      </w:r>
      <w:r>
        <w:rPr>
          <w:rFonts w:hint="eastAsia" w:ascii="仿宋" w:hAnsi="仿宋" w:eastAsia="仿宋" w:cs="仿宋"/>
          <w:color w:val="auto"/>
          <w:sz w:val="24"/>
          <w:szCs w:val="24"/>
        </w:rPr>
        <w:t>审计机构审计的财务审计报告及财务报表（至少包含会计师事务所或</w:t>
      </w:r>
      <w:r>
        <w:rPr>
          <w:rFonts w:hint="eastAsia" w:ascii="仿宋" w:hAnsi="仿宋" w:eastAsia="仿宋" w:cs="宋体"/>
          <w:color w:val="auto"/>
          <w:sz w:val="24"/>
          <w:szCs w:val="24"/>
        </w:rPr>
        <w:t>审计机构签章页、资产负债表、现金流量表、损益表/利润表）或开标日前</w:t>
      </w:r>
      <w:r>
        <w:rPr>
          <w:rFonts w:ascii="仿宋" w:hAnsi="仿宋" w:eastAsia="仿宋" w:cs="宋体"/>
          <w:color w:val="auto"/>
          <w:sz w:val="24"/>
          <w:szCs w:val="24"/>
        </w:rPr>
        <w:t>6</w:t>
      </w:r>
      <w:r>
        <w:rPr>
          <w:rFonts w:hint="eastAsia" w:ascii="仿宋" w:hAnsi="仿宋" w:eastAsia="仿宋" w:cs="宋体"/>
          <w:color w:val="auto"/>
          <w:sz w:val="24"/>
          <w:szCs w:val="24"/>
        </w:rPr>
        <w:t>个月内开具的银行资信证明</w:t>
      </w:r>
      <w:r>
        <w:rPr>
          <w:rFonts w:hint="eastAsia" w:ascii="仿宋" w:hAnsi="仿宋" w:eastAsia="仿宋" w:cs="仿宋"/>
          <w:color w:val="auto"/>
          <w:sz w:val="24"/>
          <w:szCs w:val="24"/>
        </w:rPr>
        <w:t>。</w:t>
      </w:r>
    </w:p>
    <w:p>
      <w:pPr>
        <w:rPr>
          <w:rFonts w:ascii="仿宋" w:hAnsi="仿宋" w:cs="宋体"/>
          <w:color w:val="auto"/>
        </w:rPr>
      </w:pPr>
      <w:r>
        <w:rPr>
          <w:rFonts w:ascii="仿宋" w:hAnsi="仿宋" w:cs="宋体"/>
          <w:color w:val="auto"/>
        </w:rPr>
        <w:br w:type="page" w:clear="all"/>
      </w:r>
    </w:p>
    <w:p>
      <w:pPr>
        <w:pStyle w:val="6"/>
        <w:rPr>
          <w:rFonts w:ascii="仿宋" w:hAnsi="仿宋" w:cs="宋体"/>
          <w:color w:val="auto"/>
        </w:rPr>
      </w:pPr>
      <w:r>
        <w:rPr>
          <w:rFonts w:hint="eastAsia" w:ascii="仿宋" w:hAnsi="仿宋" w:cs="宋体"/>
          <w:color w:val="auto"/>
        </w:rPr>
        <w:t>3、同类项目实施经验</w:t>
      </w:r>
    </w:p>
    <w:p>
      <w:pPr>
        <w:jc w:val="center"/>
        <w:rPr>
          <w:rFonts w:ascii="仿宋" w:hAnsi="仿宋" w:eastAsia="仿宋" w:cs="宋体"/>
          <w:b/>
          <w:color w:val="auto"/>
          <w:sz w:val="24"/>
          <w:szCs w:val="24"/>
        </w:rPr>
      </w:pPr>
    </w:p>
    <w:p>
      <w:pPr>
        <w:jc w:val="center"/>
        <w:rPr>
          <w:rFonts w:ascii="仿宋" w:hAnsi="仿宋" w:eastAsia="仿宋" w:cs="宋体"/>
          <w:b/>
          <w:color w:val="auto"/>
          <w:sz w:val="24"/>
          <w:szCs w:val="24"/>
        </w:rPr>
      </w:pPr>
      <w:r>
        <w:rPr>
          <w:rFonts w:hint="eastAsia" w:ascii="仿宋" w:hAnsi="仿宋" w:eastAsia="仿宋" w:cs="宋体"/>
          <w:b/>
          <w:color w:val="auto"/>
          <w:sz w:val="24"/>
          <w:szCs w:val="24"/>
        </w:rPr>
        <w:t>同类业绩汇总表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827"/>
        <w:gridCol w:w="1068"/>
        <w:gridCol w:w="1192"/>
        <w:gridCol w:w="1160"/>
        <w:gridCol w:w="1275"/>
        <w:gridCol w:w="1134"/>
        <w:gridCol w:w="1418"/>
        <w:gridCol w:w="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20" w:type="dxa"/>
            <w:vAlign w:val="center"/>
          </w:tcPr>
          <w:p>
            <w:pPr>
              <w:spacing w:line="240" w:lineRule="auto"/>
              <w:jc w:val="center"/>
              <w:rPr>
                <w:rFonts w:ascii="仿宋" w:hAnsi="仿宋" w:eastAsia="仿宋" w:cs="宋体"/>
                <w:b/>
                <w:color w:val="auto"/>
                <w:szCs w:val="21"/>
              </w:rPr>
            </w:pPr>
            <w:r>
              <w:rPr>
                <w:rFonts w:hint="eastAsia" w:ascii="仿宋" w:hAnsi="仿宋" w:eastAsia="仿宋" w:cs="宋体"/>
                <w:b/>
                <w:color w:val="auto"/>
                <w:szCs w:val="21"/>
              </w:rPr>
              <w:t>序号</w:t>
            </w:r>
          </w:p>
        </w:tc>
        <w:tc>
          <w:tcPr>
            <w:tcW w:w="827" w:type="dxa"/>
            <w:vAlign w:val="center"/>
          </w:tcPr>
          <w:p>
            <w:pPr>
              <w:spacing w:line="240" w:lineRule="auto"/>
              <w:jc w:val="center"/>
              <w:rPr>
                <w:rFonts w:ascii="仿宋" w:hAnsi="仿宋" w:eastAsia="仿宋" w:cs="宋体"/>
                <w:b/>
                <w:color w:val="auto"/>
                <w:szCs w:val="21"/>
              </w:rPr>
            </w:pPr>
            <w:r>
              <w:rPr>
                <w:rFonts w:hint="eastAsia" w:ascii="仿宋" w:hAnsi="仿宋" w:eastAsia="仿宋" w:cs="宋体"/>
                <w:b/>
                <w:color w:val="auto"/>
                <w:szCs w:val="21"/>
              </w:rPr>
              <w:t>合同名称</w:t>
            </w:r>
          </w:p>
        </w:tc>
        <w:tc>
          <w:tcPr>
            <w:tcW w:w="1068" w:type="dxa"/>
            <w:vAlign w:val="center"/>
          </w:tcPr>
          <w:p>
            <w:pPr>
              <w:spacing w:line="240" w:lineRule="auto"/>
              <w:jc w:val="center"/>
              <w:rPr>
                <w:rFonts w:ascii="仿宋" w:hAnsi="仿宋" w:eastAsia="仿宋" w:cs="宋体"/>
                <w:b/>
                <w:color w:val="auto"/>
                <w:szCs w:val="21"/>
              </w:rPr>
            </w:pPr>
            <w:r>
              <w:rPr>
                <w:rFonts w:hint="eastAsia" w:ascii="仿宋" w:hAnsi="仿宋" w:eastAsia="仿宋" w:cs="宋体"/>
                <w:b/>
                <w:color w:val="auto"/>
                <w:szCs w:val="21"/>
              </w:rPr>
              <w:t>合同编号</w:t>
            </w:r>
          </w:p>
        </w:tc>
        <w:tc>
          <w:tcPr>
            <w:tcW w:w="1192" w:type="dxa"/>
            <w:vAlign w:val="center"/>
          </w:tcPr>
          <w:p>
            <w:pPr>
              <w:spacing w:line="240" w:lineRule="auto"/>
              <w:jc w:val="center"/>
              <w:rPr>
                <w:rFonts w:ascii="仿宋" w:hAnsi="仿宋" w:eastAsia="仿宋" w:cs="宋体"/>
                <w:b/>
                <w:color w:val="auto"/>
                <w:szCs w:val="21"/>
              </w:rPr>
            </w:pPr>
            <w:r>
              <w:rPr>
                <w:rFonts w:hint="eastAsia" w:ascii="仿宋" w:hAnsi="仿宋" w:eastAsia="仿宋" w:cs="宋体"/>
                <w:b/>
                <w:color w:val="auto"/>
                <w:szCs w:val="21"/>
              </w:rPr>
              <w:t>签订时间</w:t>
            </w:r>
          </w:p>
        </w:tc>
        <w:tc>
          <w:tcPr>
            <w:tcW w:w="1160" w:type="dxa"/>
            <w:vAlign w:val="center"/>
          </w:tcPr>
          <w:p>
            <w:pPr>
              <w:spacing w:line="240" w:lineRule="auto"/>
              <w:jc w:val="center"/>
              <w:rPr>
                <w:rFonts w:ascii="仿宋" w:hAnsi="仿宋" w:eastAsia="仿宋" w:cs="宋体"/>
                <w:b/>
                <w:color w:val="auto"/>
                <w:szCs w:val="21"/>
              </w:rPr>
            </w:pPr>
            <w:r>
              <w:rPr>
                <w:rFonts w:hint="eastAsia" w:ascii="仿宋" w:hAnsi="仿宋" w:eastAsia="仿宋" w:cs="宋体"/>
                <w:b/>
                <w:color w:val="auto"/>
                <w:szCs w:val="21"/>
              </w:rPr>
              <w:t>采购内容</w:t>
            </w:r>
          </w:p>
        </w:tc>
        <w:tc>
          <w:tcPr>
            <w:tcW w:w="1275" w:type="dxa"/>
            <w:vAlign w:val="center"/>
          </w:tcPr>
          <w:p>
            <w:pPr>
              <w:spacing w:line="240" w:lineRule="auto"/>
              <w:jc w:val="center"/>
              <w:rPr>
                <w:rFonts w:ascii="仿宋" w:hAnsi="仿宋" w:eastAsia="仿宋" w:cs="宋体"/>
                <w:b/>
                <w:color w:val="auto"/>
                <w:szCs w:val="21"/>
              </w:rPr>
            </w:pPr>
            <w:r>
              <w:rPr>
                <w:rFonts w:hint="eastAsia" w:ascii="仿宋" w:hAnsi="仿宋" w:eastAsia="仿宋" w:cs="宋体"/>
                <w:b/>
                <w:color w:val="auto"/>
                <w:szCs w:val="21"/>
              </w:rPr>
              <w:t>合同金额（万元）</w:t>
            </w:r>
          </w:p>
        </w:tc>
        <w:tc>
          <w:tcPr>
            <w:tcW w:w="1134" w:type="dxa"/>
            <w:vAlign w:val="center"/>
          </w:tcPr>
          <w:p>
            <w:pPr>
              <w:spacing w:line="240" w:lineRule="auto"/>
              <w:jc w:val="center"/>
              <w:rPr>
                <w:rFonts w:ascii="仿宋" w:hAnsi="仿宋" w:eastAsia="仿宋" w:cs="宋体"/>
                <w:b/>
                <w:color w:val="auto"/>
                <w:szCs w:val="21"/>
              </w:rPr>
            </w:pPr>
            <w:r>
              <w:rPr>
                <w:rFonts w:hint="eastAsia" w:ascii="仿宋" w:hAnsi="仿宋" w:eastAsia="仿宋" w:cs="宋体"/>
                <w:b/>
                <w:color w:val="auto"/>
                <w:szCs w:val="21"/>
              </w:rPr>
              <w:t>合同甲方</w:t>
            </w:r>
          </w:p>
        </w:tc>
        <w:tc>
          <w:tcPr>
            <w:tcW w:w="1418" w:type="dxa"/>
            <w:vAlign w:val="center"/>
          </w:tcPr>
          <w:p>
            <w:pPr>
              <w:spacing w:line="240" w:lineRule="auto"/>
              <w:jc w:val="center"/>
              <w:rPr>
                <w:rFonts w:ascii="仿宋" w:hAnsi="仿宋" w:eastAsia="仿宋" w:cs="宋体"/>
                <w:b/>
                <w:color w:val="auto"/>
                <w:szCs w:val="21"/>
              </w:rPr>
            </w:pPr>
            <w:r>
              <w:rPr>
                <w:rFonts w:hint="eastAsia" w:ascii="仿宋" w:hAnsi="仿宋" w:eastAsia="仿宋" w:cs="宋体"/>
                <w:b/>
                <w:color w:val="auto"/>
                <w:szCs w:val="21"/>
              </w:rPr>
              <w:t>甲方联系人及电话</w:t>
            </w:r>
          </w:p>
        </w:tc>
        <w:tc>
          <w:tcPr>
            <w:tcW w:w="954" w:type="dxa"/>
            <w:vAlign w:val="center"/>
          </w:tcPr>
          <w:p>
            <w:pPr>
              <w:spacing w:line="240" w:lineRule="auto"/>
              <w:jc w:val="center"/>
              <w:rPr>
                <w:rFonts w:ascii="仿宋" w:hAnsi="仿宋" w:eastAsia="仿宋" w:cs="宋体"/>
                <w:b/>
                <w:color w:val="auto"/>
                <w:szCs w:val="21"/>
              </w:rPr>
            </w:pPr>
            <w:r>
              <w:rPr>
                <w:rFonts w:hint="eastAsia" w:ascii="仿宋" w:hAnsi="仿宋" w:eastAsia="仿宋" w:cs="宋体"/>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0" w:type="dxa"/>
            <w:vAlign w:val="center"/>
          </w:tcPr>
          <w:p>
            <w:pPr>
              <w:spacing w:line="240" w:lineRule="auto"/>
              <w:jc w:val="center"/>
              <w:rPr>
                <w:rFonts w:ascii="仿宋" w:hAnsi="仿宋" w:eastAsia="仿宋" w:cs="宋体"/>
                <w:color w:val="auto"/>
                <w:szCs w:val="21"/>
              </w:rPr>
            </w:pPr>
          </w:p>
        </w:tc>
        <w:tc>
          <w:tcPr>
            <w:tcW w:w="827" w:type="dxa"/>
            <w:vAlign w:val="center"/>
          </w:tcPr>
          <w:p>
            <w:pPr>
              <w:spacing w:line="240" w:lineRule="auto"/>
              <w:jc w:val="center"/>
              <w:rPr>
                <w:rFonts w:ascii="仿宋" w:hAnsi="仿宋" w:eastAsia="仿宋" w:cs="宋体"/>
                <w:color w:val="auto"/>
                <w:szCs w:val="21"/>
              </w:rPr>
            </w:pPr>
          </w:p>
        </w:tc>
        <w:tc>
          <w:tcPr>
            <w:tcW w:w="1068" w:type="dxa"/>
            <w:vAlign w:val="center"/>
          </w:tcPr>
          <w:p>
            <w:pPr>
              <w:spacing w:line="240" w:lineRule="auto"/>
              <w:jc w:val="center"/>
              <w:rPr>
                <w:rFonts w:ascii="仿宋" w:hAnsi="仿宋" w:eastAsia="仿宋" w:cs="宋体"/>
                <w:color w:val="auto"/>
                <w:szCs w:val="21"/>
              </w:rPr>
            </w:pPr>
          </w:p>
        </w:tc>
        <w:tc>
          <w:tcPr>
            <w:tcW w:w="1192" w:type="dxa"/>
            <w:vAlign w:val="center"/>
          </w:tcPr>
          <w:p>
            <w:pPr>
              <w:spacing w:line="240" w:lineRule="auto"/>
              <w:jc w:val="center"/>
              <w:rPr>
                <w:rFonts w:ascii="仿宋" w:hAnsi="仿宋" w:eastAsia="仿宋" w:cs="宋体"/>
                <w:color w:val="auto"/>
                <w:szCs w:val="21"/>
              </w:rPr>
            </w:pPr>
          </w:p>
        </w:tc>
        <w:tc>
          <w:tcPr>
            <w:tcW w:w="1160" w:type="dxa"/>
            <w:vAlign w:val="center"/>
          </w:tcPr>
          <w:p>
            <w:pPr>
              <w:spacing w:line="240" w:lineRule="auto"/>
              <w:jc w:val="center"/>
              <w:rPr>
                <w:rFonts w:ascii="仿宋" w:hAnsi="仿宋" w:eastAsia="仿宋" w:cs="宋体"/>
                <w:color w:val="auto"/>
                <w:szCs w:val="21"/>
              </w:rPr>
            </w:pPr>
          </w:p>
        </w:tc>
        <w:tc>
          <w:tcPr>
            <w:tcW w:w="1275" w:type="dxa"/>
            <w:vAlign w:val="center"/>
          </w:tcPr>
          <w:p>
            <w:pPr>
              <w:spacing w:line="240" w:lineRule="auto"/>
              <w:jc w:val="center"/>
              <w:rPr>
                <w:rFonts w:ascii="仿宋" w:hAnsi="仿宋" w:eastAsia="仿宋" w:cs="宋体"/>
                <w:color w:val="auto"/>
                <w:szCs w:val="21"/>
              </w:rPr>
            </w:pPr>
          </w:p>
        </w:tc>
        <w:tc>
          <w:tcPr>
            <w:tcW w:w="1134" w:type="dxa"/>
            <w:vAlign w:val="center"/>
          </w:tcPr>
          <w:p>
            <w:pPr>
              <w:spacing w:line="240" w:lineRule="auto"/>
              <w:jc w:val="center"/>
              <w:rPr>
                <w:rFonts w:ascii="仿宋" w:hAnsi="仿宋" w:eastAsia="仿宋" w:cs="宋体"/>
                <w:color w:val="auto"/>
                <w:szCs w:val="21"/>
              </w:rPr>
            </w:pPr>
          </w:p>
        </w:tc>
        <w:tc>
          <w:tcPr>
            <w:tcW w:w="1418" w:type="dxa"/>
            <w:vAlign w:val="center"/>
          </w:tcPr>
          <w:p>
            <w:pPr>
              <w:spacing w:line="240" w:lineRule="auto"/>
              <w:jc w:val="center"/>
              <w:rPr>
                <w:rFonts w:ascii="仿宋" w:hAnsi="仿宋" w:eastAsia="仿宋" w:cs="宋体"/>
                <w:color w:val="auto"/>
                <w:szCs w:val="21"/>
              </w:rPr>
            </w:pPr>
          </w:p>
        </w:tc>
        <w:tc>
          <w:tcPr>
            <w:tcW w:w="954" w:type="dxa"/>
            <w:vAlign w:val="center"/>
          </w:tcPr>
          <w:p>
            <w:pPr>
              <w:spacing w:line="24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Align w:val="center"/>
          </w:tcPr>
          <w:p>
            <w:pPr>
              <w:spacing w:line="240" w:lineRule="auto"/>
              <w:jc w:val="center"/>
              <w:rPr>
                <w:rFonts w:ascii="仿宋" w:hAnsi="仿宋" w:eastAsia="仿宋" w:cs="宋体"/>
                <w:color w:val="auto"/>
                <w:szCs w:val="21"/>
              </w:rPr>
            </w:pPr>
          </w:p>
          <w:p>
            <w:pPr>
              <w:spacing w:line="240" w:lineRule="auto"/>
              <w:jc w:val="center"/>
              <w:rPr>
                <w:rFonts w:ascii="仿宋" w:hAnsi="仿宋" w:eastAsia="仿宋" w:cs="宋体"/>
                <w:color w:val="auto"/>
                <w:szCs w:val="21"/>
              </w:rPr>
            </w:pPr>
          </w:p>
        </w:tc>
        <w:tc>
          <w:tcPr>
            <w:tcW w:w="827" w:type="dxa"/>
            <w:vAlign w:val="center"/>
          </w:tcPr>
          <w:p>
            <w:pPr>
              <w:spacing w:line="240" w:lineRule="auto"/>
              <w:jc w:val="center"/>
              <w:rPr>
                <w:rFonts w:ascii="仿宋" w:hAnsi="仿宋" w:eastAsia="仿宋" w:cs="宋体"/>
                <w:color w:val="auto"/>
                <w:szCs w:val="21"/>
              </w:rPr>
            </w:pPr>
          </w:p>
        </w:tc>
        <w:tc>
          <w:tcPr>
            <w:tcW w:w="1068" w:type="dxa"/>
            <w:vAlign w:val="center"/>
          </w:tcPr>
          <w:p>
            <w:pPr>
              <w:spacing w:line="240" w:lineRule="auto"/>
              <w:jc w:val="center"/>
              <w:rPr>
                <w:rFonts w:ascii="仿宋" w:hAnsi="仿宋" w:eastAsia="仿宋" w:cs="宋体"/>
                <w:color w:val="auto"/>
                <w:szCs w:val="21"/>
              </w:rPr>
            </w:pPr>
          </w:p>
        </w:tc>
        <w:tc>
          <w:tcPr>
            <w:tcW w:w="1192" w:type="dxa"/>
            <w:vAlign w:val="center"/>
          </w:tcPr>
          <w:p>
            <w:pPr>
              <w:spacing w:line="240" w:lineRule="auto"/>
              <w:jc w:val="center"/>
              <w:rPr>
                <w:rFonts w:ascii="仿宋" w:hAnsi="仿宋" w:eastAsia="仿宋" w:cs="宋体"/>
                <w:color w:val="auto"/>
                <w:szCs w:val="21"/>
              </w:rPr>
            </w:pPr>
          </w:p>
        </w:tc>
        <w:tc>
          <w:tcPr>
            <w:tcW w:w="1160" w:type="dxa"/>
            <w:vAlign w:val="center"/>
          </w:tcPr>
          <w:p>
            <w:pPr>
              <w:spacing w:line="240" w:lineRule="auto"/>
              <w:jc w:val="center"/>
              <w:rPr>
                <w:rFonts w:ascii="仿宋" w:hAnsi="仿宋" w:eastAsia="仿宋" w:cs="宋体"/>
                <w:color w:val="auto"/>
                <w:szCs w:val="21"/>
              </w:rPr>
            </w:pPr>
          </w:p>
        </w:tc>
        <w:tc>
          <w:tcPr>
            <w:tcW w:w="1275" w:type="dxa"/>
            <w:vAlign w:val="center"/>
          </w:tcPr>
          <w:p>
            <w:pPr>
              <w:spacing w:line="240" w:lineRule="auto"/>
              <w:jc w:val="center"/>
              <w:rPr>
                <w:rFonts w:ascii="仿宋" w:hAnsi="仿宋" w:eastAsia="仿宋" w:cs="宋体"/>
                <w:color w:val="auto"/>
                <w:szCs w:val="21"/>
              </w:rPr>
            </w:pPr>
          </w:p>
        </w:tc>
        <w:tc>
          <w:tcPr>
            <w:tcW w:w="1134" w:type="dxa"/>
            <w:vAlign w:val="center"/>
          </w:tcPr>
          <w:p>
            <w:pPr>
              <w:spacing w:line="240" w:lineRule="auto"/>
              <w:jc w:val="center"/>
              <w:rPr>
                <w:rFonts w:ascii="仿宋" w:hAnsi="仿宋" w:eastAsia="仿宋" w:cs="宋体"/>
                <w:color w:val="auto"/>
                <w:szCs w:val="21"/>
              </w:rPr>
            </w:pPr>
          </w:p>
        </w:tc>
        <w:tc>
          <w:tcPr>
            <w:tcW w:w="1418" w:type="dxa"/>
            <w:vAlign w:val="center"/>
          </w:tcPr>
          <w:p>
            <w:pPr>
              <w:spacing w:line="240" w:lineRule="auto"/>
              <w:jc w:val="center"/>
              <w:rPr>
                <w:rFonts w:ascii="仿宋" w:hAnsi="仿宋" w:eastAsia="仿宋" w:cs="宋体"/>
                <w:color w:val="auto"/>
                <w:szCs w:val="21"/>
              </w:rPr>
            </w:pPr>
          </w:p>
        </w:tc>
        <w:tc>
          <w:tcPr>
            <w:tcW w:w="954" w:type="dxa"/>
            <w:vAlign w:val="center"/>
          </w:tcPr>
          <w:p>
            <w:pPr>
              <w:spacing w:line="24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Align w:val="center"/>
          </w:tcPr>
          <w:p>
            <w:pPr>
              <w:spacing w:line="240" w:lineRule="auto"/>
              <w:jc w:val="center"/>
              <w:rPr>
                <w:rFonts w:ascii="仿宋" w:hAnsi="仿宋" w:eastAsia="仿宋" w:cs="宋体"/>
                <w:color w:val="auto"/>
                <w:szCs w:val="21"/>
              </w:rPr>
            </w:pPr>
          </w:p>
        </w:tc>
        <w:tc>
          <w:tcPr>
            <w:tcW w:w="827" w:type="dxa"/>
            <w:vAlign w:val="center"/>
          </w:tcPr>
          <w:p>
            <w:pPr>
              <w:spacing w:line="240" w:lineRule="auto"/>
              <w:jc w:val="center"/>
              <w:rPr>
                <w:rFonts w:ascii="仿宋" w:hAnsi="仿宋" w:eastAsia="仿宋" w:cs="宋体"/>
                <w:color w:val="auto"/>
                <w:szCs w:val="21"/>
              </w:rPr>
            </w:pPr>
          </w:p>
        </w:tc>
        <w:tc>
          <w:tcPr>
            <w:tcW w:w="1068" w:type="dxa"/>
            <w:vAlign w:val="center"/>
          </w:tcPr>
          <w:p>
            <w:pPr>
              <w:spacing w:line="240" w:lineRule="auto"/>
              <w:jc w:val="center"/>
              <w:rPr>
                <w:rFonts w:ascii="仿宋" w:hAnsi="仿宋" w:eastAsia="仿宋" w:cs="宋体"/>
                <w:color w:val="auto"/>
                <w:szCs w:val="21"/>
              </w:rPr>
            </w:pPr>
          </w:p>
        </w:tc>
        <w:tc>
          <w:tcPr>
            <w:tcW w:w="1192" w:type="dxa"/>
            <w:vAlign w:val="center"/>
          </w:tcPr>
          <w:p>
            <w:pPr>
              <w:spacing w:line="240" w:lineRule="auto"/>
              <w:jc w:val="center"/>
              <w:rPr>
                <w:rFonts w:ascii="仿宋" w:hAnsi="仿宋" w:eastAsia="仿宋" w:cs="宋体"/>
                <w:color w:val="auto"/>
                <w:szCs w:val="21"/>
              </w:rPr>
            </w:pPr>
          </w:p>
        </w:tc>
        <w:tc>
          <w:tcPr>
            <w:tcW w:w="1160" w:type="dxa"/>
            <w:vAlign w:val="center"/>
          </w:tcPr>
          <w:p>
            <w:pPr>
              <w:spacing w:line="240" w:lineRule="auto"/>
              <w:jc w:val="center"/>
              <w:rPr>
                <w:rFonts w:ascii="仿宋" w:hAnsi="仿宋" w:eastAsia="仿宋" w:cs="宋体"/>
                <w:color w:val="auto"/>
                <w:szCs w:val="21"/>
              </w:rPr>
            </w:pPr>
          </w:p>
        </w:tc>
        <w:tc>
          <w:tcPr>
            <w:tcW w:w="1275" w:type="dxa"/>
            <w:vAlign w:val="center"/>
          </w:tcPr>
          <w:p>
            <w:pPr>
              <w:spacing w:line="240" w:lineRule="auto"/>
              <w:jc w:val="center"/>
              <w:rPr>
                <w:rFonts w:ascii="仿宋" w:hAnsi="仿宋" w:eastAsia="仿宋" w:cs="宋体"/>
                <w:color w:val="auto"/>
                <w:szCs w:val="21"/>
              </w:rPr>
            </w:pPr>
          </w:p>
        </w:tc>
        <w:tc>
          <w:tcPr>
            <w:tcW w:w="1134" w:type="dxa"/>
            <w:vAlign w:val="center"/>
          </w:tcPr>
          <w:p>
            <w:pPr>
              <w:spacing w:line="240" w:lineRule="auto"/>
              <w:jc w:val="center"/>
              <w:rPr>
                <w:rFonts w:ascii="仿宋" w:hAnsi="仿宋" w:eastAsia="仿宋" w:cs="宋体"/>
                <w:color w:val="auto"/>
                <w:szCs w:val="21"/>
              </w:rPr>
            </w:pPr>
          </w:p>
        </w:tc>
        <w:tc>
          <w:tcPr>
            <w:tcW w:w="1418" w:type="dxa"/>
            <w:vAlign w:val="center"/>
          </w:tcPr>
          <w:p>
            <w:pPr>
              <w:spacing w:line="240" w:lineRule="auto"/>
              <w:jc w:val="center"/>
              <w:rPr>
                <w:rFonts w:ascii="仿宋" w:hAnsi="仿宋" w:eastAsia="仿宋" w:cs="宋体"/>
                <w:color w:val="auto"/>
                <w:szCs w:val="21"/>
              </w:rPr>
            </w:pPr>
          </w:p>
        </w:tc>
        <w:tc>
          <w:tcPr>
            <w:tcW w:w="954" w:type="dxa"/>
            <w:vAlign w:val="center"/>
          </w:tcPr>
          <w:p>
            <w:pPr>
              <w:spacing w:line="24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Align w:val="center"/>
          </w:tcPr>
          <w:p>
            <w:pPr>
              <w:spacing w:line="240" w:lineRule="auto"/>
              <w:jc w:val="center"/>
              <w:rPr>
                <w:rFonts w:ascii="仿宋" w:hAnsi="仿宋" w:eastAsia="仿宋" w:cs="宋体"/>
                <w:color w:val="auto"/>
                <w:szCs w:val="21"/>
              </w:rPr>
            </w:pPr>
          </w:p>
        </w:tc>
        <w:tc>
          <w:tcPr>
            <w:tcW w:w="827" w:type="dxa"/>
            <w:vAlign w:val="center"/>
          </w:tcPr>
          <w:p>
            <w:pPr>
              <w:spacing w:line="240" w:lineRule="auto"/>
              <w:jc w:val="center"/>
              <w:rPr>
                <w:rFonts w:ascii="仿宋" w:hAnsi="仿宋" w:eastAsia="仿宋" w:cs="宋体"/>
                <w:color w:val="auto"/>
                <w:szCs w:val="21"/>
              </w:rPr>
            </w:pPr>
          </w:p>
        </w:tc>
        <w:tc>
          <w:tcPr>
            <w:tcW w:w="1068" w:type="dxa"/>
            <w:vAlign w:val="center"/>
          </w:tcPr>
          <w:p>
            <w:pPr>
              <w:spacing w:line="240" w:lineRule="auto"/>
              <w:jc w:val="center"/>
              <w:rPr>
                <w:rFonts w:ascii="仿宋" w:hAnsi="仿宋" w:eastAsia="仿宋" w:cs="宋体"/>
                <w:color w:val="auto"/>
                <w:szCs w:val="21"/>
              </w:rPr>
            </w:pPr>
          </w:p>
        </w:tc>
        <w:tc>
          <w:tcPr>
            <w:tcW w:w="1192" w:type="dxa"/>
            <w:vAlign w:val="center"/>
          </w:tcPr>
          <w:p>
            <w:pPr>
              <w:spacing w:line="240" w:lineRule="auto"/>
              <w:jc w:val="center"/>
              <w:rPr>
                <w:rFonts w:ascii="仿宋" w:hAnsi="仿宋" w:eastAsia="仿宋" w:cs="宋体"/>
                <w:color w:val="auto"/>
                <w:szCs w:val="21"/>
              </w:rPr>
            </w:pPr>
          </w:p>
        </w:tc>
        <w:tc>
          <w:tcPr>
            <w:tcW w:w="1160" w:type="dxa"/>
            <w:vAlign w:val="center"/>
          </w:tcPr>
          <w:p>
            <w:pPr>
              <w:spacing w:line="240" w:lineRule="auto"/>
              <w:jc w:val="center"/>
              <w:rPr>
                <w:rFonts w:ascii="仿宋" w:hAnsi="仿宋" w:eastAsia="仿宋" w:cs="宋体"/>
                <w:color w:val="auto"/>
                <w:szCs w:val="21"/>
              </w:rPr>
            </w:pPr>
          </w:p>
        </w:tc>
        <w:tc>
          <w:tcPr>
            <w:tcW w:w="1275" w:type="dxa"/>
            <w:vAlign w:val="center"/>
          </w:tcPr>
          <w:p>
            <w:pPr>
              <w:spacing w:line="240" w:lineRule="auto"/>
              <w:jc w:val="center"/>
              <w:rPr>
                <w:rFonts w:ascii="仿宋" w:hAnsi="仿宋" w:eastAsia="仿宋" w:cs="宋体"/>
                <w:color w:val="auto"/>
                <w:szCs w:val="21"/>
              </w:rPr>
            </w:pPr>
          </w:p>
        </w:tc>
        <w:tc>
          <w:tcPr>
            <w:tcW w:w="1134" w:type="dxa"/>
            <w:vAlign w:val="center"/>
          </w:tcPr>
          <w:p>
            <w:pPr>
              <w:spacing w:line="240" w:lineRule="auto"/>
              <w:jc w:val="center"/>
              <w:rPr>
                <w:rFonts w:ascii="仿宋" w:hAnsi="仿宋" w:eastAsia="仿宋" w:cs="宋体"/>
                <w:color w:val="auto"/>
                <w:szCs w:val="21"/>
              </w:rPr>
            </w:pPr>
          </w:p>
        </w:tc>
        <w:tc>
          <w:tcPr>
            <w:tcW w:w="1418" w:type="dxa"/>
            <w:vAlign w:val="center"/>
          </w:tcPr>
          <w:p>
            <w:pPr>
              <w:spacing w:line="240" w:lineRule="auto"/>
              <w:jc w:val="center"/>
              <w:rPr>
                <w:rFonts w:ascii="仿宋" w:hAnsi="仿宋" w:eastAsia="仿宋" w:cs="宋体"/>
                <w:color w:val="auto"/>
                <w:szCs w:val="21"/>
              </w:rPr>
            </w:pPr>
          </w:p>
        </w:tc>
        <w:tc>
          <w:tcPr>
            <w:tcW w:w="954" w:type="dxa"/>
            <w:vAlign w:val="center"/>
          </w:tcPr>
          <w:p>
            <w:pPr>
              <w:spacing w:line="24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Align w:val="center"/>
          </w:tcPr>
          <w:p>
            <w:pPr>
              <w:spacing w:line="240" w:lineRule="auto"/>
              <w:jc w:val="center"/>
              <w:rPr>
                <w:rFonts w:ascii="仿宋" w:hAnsi="仿宋" w:eastAsia="仿宋" w:cs="宋体"/>
                <w:color w:val="auto"/>
                <w:szCs w:val="21"/>
              </w:rPr>
            </w:pPr>
          </w:p>
        </w:tc>
        <w:tc>
          <w:tcPr>
            <w:tcW w:w="827" w:type="dxa"/>
            <w:vAlign w:val="center"/>
          </w:tcPr>
          <w:p>
            <w:pPr>
              <w:spacing w:line="240" w:lineRule="auto"/>
              <w:jc w:val="center"/>
              <w:rPr>
                <w:rFonts w:ascii="仿宋" w:hAnsi="仿宋" w:eastAsia="仿宋" w:cs="宋体"/>
                <w:color w:val="auto"/>
                <w:szCs w:val="21"/>
              </w:rPr>
            </w:pPr>
          </w:p>
        </w:tc>
        <w:tc>
          <w:tcPr>
            <w:tcW w:w="1068" w:type="dxa"/>
            <w:vAlign w:val="center"/>
          </w:tcPr>
          <w:p>
            <w:pPr>
              <w:spacing w:line="240" w:lineRule="auto"/>
              <w:jc w:val="center"/>
              <w:rPr>
                <w:rFonts w:ascii="仿宋" w:hAnsi="仿宋" w:eastAsia="仿宋" w:cs="宋体"/>
                <w:color w:val="auto"/>
                <w:szCs w:val="21"/>
              </w:rPr>
            </w:pPr>
          </w:p>
        </w:tc>
        <w:tc>
          <w:tcPr>
            <w:tcW w:w="1192" w:type="dxa"/>
            <w:vAlign w:val="center"/>
          </w:tcPr>
          <w:p>
            <w:pPr>
              <w:spacing w:line="240" w:lineRule="auto"/>
              <w:jc w:val="center"/>
              <w:rPr>
                <w:rFonts w:ascii="仿宋" w:hAnsi="仿宋" w:eastAsia="仿宋" w:cs="宋体"/>
                <w:color w:val="auto"/>
                <w:szCs w:val="21"/>
              </w:rPr>
            </w:pPr>
          </w:p>
        </w:tc>
        <w:tc>
          <w:tcPr>
            <w:tcW w:w="1160" w:type="dxa"/>
            <w:vAlign w:val="center"/>
          </w:tcPr>
          <w:p>
            <w:pPr>
              <w:spacing w:line="240" w:lineRule="auto"/>
              <w:jc w:val="center"/>
              <w:rPr>
                <w:rFonts w:ascii="仿宋" w:hAnsi="仿宋" w:eastAsia="仿宋" w:cs="宋体"/>
                <w:color w:val="auto"/>
                <w:szCs w:val="21"/>
              </w:rPr>
            </w:pPr>
          </w:p>
        </w:tc>
        <w:tc>
          <w:tcPr>
            <w:tcW w:w="1275" w:type="dxa"/>
            <w:vAlign w:val="center"/>
          </w:tcPr>
          <w:p>
            <w:pPr>
              <w:spacing w:line="240" w:lineRule="auto"/>
              <w:jc w:val="center"/>
              <w:rPr>
                <w:rFonts w:ascii="仿宋" w:hAnsi="仿宋" w:eastAsia="仿宋" w:cs="宋体"/>
                <w:color w:val="auto"/>
                <w:szCs w:val="21"/>
              </w:rPr>
            </w:pPr>
          </w:p>
        </w:tc>
        <w:tc>
          <w:tcPr>
            <w:tcW w:w="1134" w:type="dxa"/>
            <w:vAlign w:val="center"/>
          </w:tcPr>
          <w:p>
            <w:pPr>
              <w:spacing w:line="240" w:lineRule="auto"/>
              <w:jc w:val="center"/>
              <w:rPr>
                <w:rFonts w:ascii="仿宋" w:hAnsi="仿宋" w:eastAsia="仿宋" w:cs="宋体"/>
                <w:color w:val="auto"/>
                <w:szCs w:val="21"/>
              </w:rPr>
            </w:pPr>
          </w:p>
        </w:tc>
        <w:tc>
          <w:tcPr>
            <w:tcW w:w="1418" w:type="dxa"/>
            <w:vAlign w:val="center"/>
          </w:tcPr>
          <w:p>
            <w:pPr>
              <w:spacing w:line="240" w:lineRule="auto"/>
              <w:jc w:val="center"/>
              <w:rPr>
                <w:rFonts w:ascii="仿宋" w:hAnsi="仿宋" w:eastAsia="仿宋" w:cs="宋体"/>
                <w:color w:val="auto"/>
                <w:szCs w:val="21"/>
              </w:rPr>
            </w:pPr>
          </w:p>
        </w:tc>
        <w:tc>
          <w:tcPr>
            <w:tcW w:w="954" w:type="dxa"/>
            <w:vAlign w:val="center"/>
          </w:tcPr>
          <w:p>
            <w:pPr>
              <w:spacing w:line="24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Align w:val="center"/>
          </w:tcPr>
          <w:p>
            <w:pPr>
              <w:spacing w:line="240" w:lineRule="auto"/>
              <w:jc w:val="center"/>
              <w:rPr>
                <w:rFonts w:ascii="仿宋" w:hAnsi="仿宋" w:eastAsia="仿宋" w:cs="宋体"/>
                <w:color w:val="auto"/>
                <w:szCs w:val="21"/>
              </w:rPr>
            </w:pPr>
          </w:p>
        </w:tc>
        <w:tc>
          <w:tcPr>
            <w:tcW w:w="827" w:type="dxa"/>
            <w:vAlign w:val="center"/>
          </w:tcPr>
          <w:p>
            <w:pPr>
              <w:spacing w:line="240" w:lineRule="auto"/>
              <w:jc w:val="center"/>
              <w:rPr>
                <w:rFonts w:ascii="仿宋" w:hAnsi="仿宋" w:eastAsia="仿宋" w:cs="宋体"/>
                <w:color w:val="auto"/>
                <w:szCs w:val="21"/>
              </w:rPr>
            </w:pPr>
          </w:p>
        </w:tc>
        <w:tc>
          <w:tcPr>
            <w:tcW w:w="1068" w:type="dxa"/>
            <w:vAlign w:val="center"/>
          </w:tcPr>
          <w:p>
            <w:pPr>
              <w:spacing w:line="240" w:lineRule="auto"/>
              <w:jc w:val="center"/>
              <w:rPr>
                <w:rFonts w:ascii="仿宋" w:hAnsi="仿宋" w:eastAsia="仿宋" w:cs="宋体"/>
                <w:color w:val="auto"/>
                <w:szCs w:val="21"/>
              </w:rPr>
            </w:pPr>
          </w:p>
        </w:tc>
        <w:tc>
          <w:tcPr>
            <w:tcW w:w="1192" w:type="dxa"/>
            <w:vAlign w:val="center"/>
          </w:tcPr>
          <w:p>
            <w:pPr>
              <w:spacing w:line="240" w:lineRule="auto"/>
              <w:jc w:val="center"/>
              <w:rPr>
                <w:rFonts w:ascii="仿宋" w:hAnsi="仿宋" w:eastAsia="仿宋" w:cs="宋体"/>
                <w:color w:val="auto"/>
                <w:szCs w:val="21"/>
              </w:rPr>
            </w:pPr>
          </w:p>
        </w:tc>
        <w:tc>
          <w:tcPr>
            <w:tcW w:w="1160" w:type="dxa"/>
            <w:vAlign w:val="center"/>
          </w:tcPr>
          <w:p>
            <w:pPr>
              <w:spacing w:line="240" w:lineRule="auto"/>
              <w:jc w:val="center"/>
              <w:rPr>
                <w:rFonts w:ascii="仿宋" w:hAnsi="仿宋" w:eastAsia="仿宋" w:cs="宋体"/>
                <w:color w:val="auto"/>
                <w:szCs w:val="21"/>
              </w:rPr>
            </w:pPr>
          </w:p>
        </w:tc>
        <w:tc>
          <w:tcPr>
            <w:tcW w:w="1275" w:type="dxa"/>
            <w:vAlign w:val="center"/>
          </w:tcPr>
          <w:p>
            <w:pPr>
              <w:spacing w:line="240" w:lineRule="auto"/>
              <w:jc w:val="center"/>
              <w:rPr>
                <w:rFonts w:ascii="仿宋" w:hAnsi="仿宋" w:eastAsia="仿宋" w:cs="宋体"/>
                <w:color w:val="auto"/>
                <w:szCs w:val="21"/>
              </w:rPr>
            </w:pPr>
          </w:p>
        </w:tc>
        <w:tc>
          <w:tcPr>
            <w:tcW w:w="1134" w:type="dxa"/>
            <w:vAlign w:val="center"/>
          </w:tcPr>
          <w:p>
            <w:pPr>
              <w:spacing w:line="240" w:lineRule="auto"/>
              <w:jc w:val="center"/>
              <w:rPr>
                <w:rFonts w:ascii="仿宋" w:hAnsi="仿宋" w:eastAsia="仿宋" w:cs="宋体"/>
                <w:color w:val="auto"/>
                <w:szCs w:val="21"/>
              </w:rPr>
            </w:pPr>
          </w:p>
        </w:tc>
        <w:tc>
          <w:tcPr>
            <w:tcW w:w="1418" w:type="dxa"/>
            <w:vAlign w:val="center"/>
          </w:tcPr>
          <w:p>
            <w:pPr>
              <w:spacing w:line="240" w:lineRule="auto"/>
              <w:jc w:val="center"/>
              <w:rPr>
                <w:rFonts w:ascii="仿宋" w:hAnsi="仿宋" w:eastAsia="仿宋" w:cs="宋体"/>
                <w:color w:val="auto"/>
                <w:szCs w:val="21"/>
              </w:rPr>
            </w:pPr>
          </w:p>
        </w:tc>
        <w:tc>
          <w:tcPr>
            <w:tcW w:w="954" w:type="dxa"/>
            <w:vAlign w:val="center"/>
          </w:tcPr>
          <w:p>
            <w:pPr>
              <w:spacing w:line="24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Align w:val="center"/>
          </w:tcPr>
          <w:p>
            <w:pPr>
              <w:spacing w:line="240" w:lineRule="auto"/>
              <w:jc w:val="center"/>
              <w:rPr>
                <w:rFonts w:ascii="仿宋" w:hAnsi="仿宋" w:eastAsia="仿宋" w:cs="宋体"/>
                <w:color w:val="auto"/>
                <w:szCs w:val="21"/>
              </w:rPr>
            </w:pPr>
          </w:p>
        </w:tc>
        <w:tc>
          <w:tcPr>
            <w:tcW w:w="827" w:type="dxa"/>
            <w:vAlign w:val="center"/>
          </w:tcPr>
          <w:p>
            <w:pPr>
              <w:spacing w:line="240" w:lineRule="auto"/>
              <w:jc w:val="center"/>
              <w:rPr>
                <w:rFonts w:ascii="仿宋" w:hAnsi="仿宋" w:eastAsia="仿宋" w:cs="宋体"/>
                <w:color w:val="auto"/>
                <w:szCs w:val="21"/>
              </w:rPr>
            </w:pPr>
          </w:p>
        </w:tc>
        <w:tc>
          <w:tcPr>
            <w:tcW w:w="1068" w:type="dxa"/>
            <w:vAlign w:val="center"/>
          </w:tcPr>
          <w:p>
            <w:pPr>
              <w:spacing w:line="240" w:lineRule="auto"/>
              <w:jc w:val="center"/>
              <w:rPr>
                <w:rFonts w:ascii="仿宋" w:hAnsi="仿宋" w:eastAsia="仿宋" w:cs="宋体"/>
                <w:color w:val="auto"/>
                <w:szCs w:val="21"/>
              </w:rPr>
            </w:pPr>
          </w:p>
        </w:tc>
        <w:tc>
          <w:tcPr>
            <w:tcW w:w="1192" w:type="dxa"/>
            <w:vAlign w:val="center"/>
          </w:tcPr>
          <w:p>
            <w:pPr>
              <w:spacing w:line="240" w:lineRule="auto"/>
              <w:jc w:val="center"/>
              <w:rPr>
                <w:rFonts w:ascii="仿宋" w:hAnsi="仿宋" w:eastAsia="仿宋" w:cs="宋体"/>
                <w:color w:val="auto"/>
                <w:szCs w:val="21"/>
              </w:rPr>
            </w:pPr>
          </w:p>
        </w:tc>
        <w:tc>
          <w:tcPr>
            <w:tcW w:w="1160" w:type="dxa"/>
            <w:vAlign w:val="center"/>
          </w:tcPr>
          <w:p>
            <w:pPr>
              <w:spacing w:line="240" w:lineRule="auto"/>
              <w:jc w:val="center"/>
              <w:rPr>
                <w:rFonts w:ascii="仿宋" w:hAnsi="仿宋" w:eastAsia="仿宋" w:cs="宋体"/>
                <w:color w:val="auto"/>
                <w:szCs w:val="21"/>
              </w:rPr>
            </w:pPr>
          </w:p>
        </w:tc>
        <w:tc>
          <w:tcPr>
            <w:tcW w:w="1275" w:type="dxa"/>
            <w:vAlign w:val="center"/>
          </w:tcPr>
          <w:p>
            <w:pPr>
              <w:spacing w:line="240" w:lineRule="auto"/>
              <w:jc w:val="center"/>
              <w:rPr>
                <w:rFonts w:ascii="仿宋" w:hAnsi="仿宋" w:eastAsia="仿宋" w:cs="宋体"/>
                <w:color w:val="auto"/>
                <w:szCs w:val="21"/>
              </w:rPr>
            </w:pPr>
          </w:p>
        </w:tc>
        <w:tc>
          <w:tcPr>
            <w:tcW w:w="1134" w:type="dxa"/>
            <w:vAlign w:val="center"/>
          </w:tcPr>
          <w:p>
            <w:pPr>
              <w:spacing w:line="240" w:lineRule="auto"/>
              <w:jc w:val="center"/>
              <w:rPr>
                <w:rFonts w:ascii="仿宋" w:hAnsi="仿宋" w:eastAsia="仿宋" w:cs="宋体"/>
                <w:color w:val="auto"/>
                <w:szCs w:val="21"/>
              </w:rPr>
            </w:pPr>
          </w:p>
        </w:tc>
        <w:tc>
          <w:tcPr>
            <w:tcW w:w="1418" w:type="dxa"/>
            <w:vAlign w:val="center"/>
          </w:tcPr>
          <w:p>
            <w:pPr>
              <w:spacing w:line="240" w:lineRule="auto"/>
              <w:jc w:val="center"/>
              <w:rPr>
                <w:rFonts w:ascii="仿宋" w:hAnsi="仿宋" w:eastAsia="仿宋" w:cs="宋体"/>
                <w:color w:val="auto"/>
                <w:szCs w:val="21"/>
              </w:rPr>
            </w:pPr>
          </w:p>
        </w:tc>
        <w:tc>
          <w:tcPr>
            <w:tcW w:w="954" w:type="dxa"/>
            <w:vAlign w:val="center"/>
          </w:tcPr>
          <w:p>
            <w:pPr>
              <w:spacing w:line="24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Align w:val="center"/>
          </w:tcPr>
          <w:p>
            <w:pPr>
              <w:spacing w:line="240" w:lineRule="auto"/>
              <w:jc w:val="center"/>
              <w:rPr>
                <w:rFonts w:ascii="仿宋" w:hAnsi="仿宋" w:eastAsia="仿宋" w:cs="宋体"/>
                <w:color w:val="auto"/>
                <w:szCs w:val="21"/>
              </w:rPr>
            </w:pPr>
          </w:p>
        </w:tc>
        <w:tc>
          <w:tcPr>
            <w:tcW w:w="827" w:type="dxa"/>
            <w:vAlign w:val="center"/>
          </w:tcPr>
          <w:p>
            <w:pPr>
              <w:spacing w:line="240" w:lineRule="auto"/>
              <w:jc w:val="center"/>
              <w:rPr>
                <w:rFonts w:ascii="仿宋" w:hAnsi="仿宋" w:eastAsia="仿宋" w:cs="宋体"/>
                <w:color w:val="auto"/>
                <w:szCs w:val="21"/>
              </w:rPr>
            </w:pPr>
          </w:p>
        </w:tc>
        <w:tc>
          <w:tcPr>
            <w:tcW w:w="1068" w:type="dxa"/>
            <w:vAlign w:val="center"/>
          </w:tcPr>
          <w:p>
            <w:pPr>
              <w:spacing w:line="240" w:lineRule="auto"/>
              <w:jc w:val="center"/>
              <w:rPr>
                <w:rFonts w:ascii="仿宋" w:hAnsi="仿宋" w:eastAsia="仿宋" w:cs="宋体"/>
                <w:color w:val="auto"/>
                <w:szCs w:val="21"/>
              </w:rPr>
            </w:pPr>
          </w:p>
        </w:tc>
        <w:tc>
          <w:tcPr>
            <w:tcW w:w="1192" w:type="dxa"/>
            <w:vAlign w:val="center"/>
          </w:tcPr>
          <w:p>
            <w:pPr>
              <w:spacing w:line="240" w:lineRule="auto"/>
              <w:jc w:val="center"/>
              <w:rPr>
                <w:rFonts w:ascii="仿宋" w:hAnsi="仿宋" w:eastAsia="仿宋" w:cs="宋体"/>
                <w:color w:val="auto"/>
                <w:szCs w:val="21"/>
              </w:rPr>
            </w:pPr>
          </w:p>
        </w:tc>
        <w:tc>
          <w:tcPr>
            <w:tcW w:w="1160" w:type="dxa"/>
            <w:vAlign w:val="center"/>
          </w:tcPr>
          <w:p>
            <w:pPr>
              <w:spacing w:line="240" w:lineRule="auto"/>
              <w:jc w:val="center"/>
              <w:rPr>
                <w:rFonts w:ascii="仿宋" w:hAnsi="仿宋" w:eastAsia="仿宋" w:cs="宋体"/>
                <w:color w:val="auto"/>
                <w:szCs w:val="21"/>
              </w:rPr>
            </w:pPr>
          </w:p>
        </w:tc>
        <w:tc>
          <w:tcPr>
            <w:tcW w:w="1275" w:type="dxa"/>
            <w:vAlign w:val="center"/>
          </w:tcPr>
          <w:p>
            <w:pPr>
              <w:spacing w:line="240" w:lineRule="auto"/>
              <w:jc w:val="center"/>
              <w:rPr>
                <w:rFonts w:ascii="仿宋" w:hAnsi="仿宋" w:eastAsia="仿宋" w:cs="宋体"/>
                <w:color w:val="auto"/>
                <w:szCs w:val="21"/>
              </w:rPr>
            </w:pPr>
          </w:p>
        </w:tc>
        <w:tc>
          <w:tcPr>
            <w:tcW w:w="1134" w:type="dxa"/>
            <w:vAlign w:val="center"/>
          </w:tcPr>
          <w:p>
            <w:pPr>
              <w:spacing w:line="240" w:lineRule="auto"/>
              <w:jc w:val="center"/>
              <w:rPr>
                <w:rFonts w:ascii="仿宋" w:hAnsi="仿宋" w:eastAsia="仿宋" w:cs="宋体"/>
                <w:color w:val="auto"/>
                <w:szCs w:val="21"/>
              </w:rPr>
            </w:pPr>
          </w:p>
        </w:tc>
        <w:tc>
          <w:tcPr>
            <w:tcW w:w="1418" w:type="dxa"/>
            <w:vAlign w:val="center"/>
          </w:tcPr>
          <w:p>
            <w:pPr>
              <w:spacing w:line="240" w:lineRule="auto"/>
              <w:jc w:val="center"/>
              <w:rPr>
                <w:rFonts w:ascii="仿宋" w:hAnsi="仿宋" w:eastAsia="仿宋" w:cs="宋体"/>
                <w:color w:val="auto"/>
                <w:szCs w:val="21"/>
              </w:rPr>
            </w:pPr>
          </w:p>
        </w:tc>
        <w:tc>
          <w:tcPr>
            <w:tcW w:w="954" w:type="dxa"/>
            <w:vAlign w:val="center"/>
          </w:tcPr>
          <w:p>
            <w:pPr>
              <w:spacing w:line="240" w:lineRule="auto"/>
              <w:jc w:val="center"/>
              <w:rPr>
                <w:rFonts w:ascii="仿宋" w:hAnsi="仿宋" w:eastAsia="仿宋" w:cs="宋体"/>
                <w:color w:val="auto"/>
                <w:szCs w:val="21"/>
              </w:rPr>
            </w:pPr>
          </w:p>
        </w:tc>
      </w:tr>
    </w:tbl>
    <w:p>
      <w:pPr>
        <w:spacing w:line="360" w:lineRule="auto"/>
        <w:jc w:val="left"/>
        <w:rPr>
          <w:rFonts w:ascii="仿宋" w:hAnsi="仿宋" w:eastAsia="仿宋" w:cs="宋体"/>
          <w:b/>
          <w:bCs/>
          <w:color w:val="auto"/>
          <w:sz w:val="24"/>
          <w:szCs w:val="24"/>
        </w:rPr>
      </w:pPr>
      <w:r>
        <w:rPr>
          <w:rFonts w:hint="eastAsia" w:ascii="仿宋" w:hAnsi="仿宋" w:eastAsia="仿宋" w:cs="宋体"/>
          <w:b/>
          <w:bCs/>
          <w:color w:val="auto"/>
          <w:sz w:val="24"/>
          <w:szCs w:val="24"/>
        </w:rPr>
        <w:t>备注：</w:t>
      </w:r>
    </w:p>
    <w:p>
      <w:pPr>
        <w:spacing w:line="360" w:lineRule="auto"/>
        <w:ind w:firstLine="482"/>
        <w:rPr>
          <w:rFonts w:ascii="仿宋" w:hAnsi="仿宋" w:eastAsia="仿宋" w:cs="宋体"/>
          <w:b/>
          <w:color w:val="auto"/>
          <w:sz w:val="24"/>
          <w:szCs w:val="24"/>
        </w:rPr>
      </w:pPr>
      <w:r>
        <w:rPr>
          <w:rFonts w:hint="eastAsia" w:ascii="仿宋" w:hAnsi="仿宋" w:eastAsia="仿宋" w:cs="宋体"/>
          <w:b/>
          <w:color w:val="auto"/>
          <w:sz w:val="24"/>
          <w:szCs w:val="24"/>
        </w:rPr>
        <w:t>1）有效的业绩证明材料包括合同关键页、框架协议及订单等。合同关键页包含但不限于合同首页、合同标的页、签署日期页及盖章页等，按照业绩表的项目名称，顺序排放每个项目的证明材料。</w:t>
      </w:r>
    </w:p>
    <w:p>
      <w:pPr>
        <w:spacing w:line="360" w:lineRule="auto"/>
        <w:ind w:firstLine="482"/>
        <w:rPr>
          <w:rFonts w:ascii="仿宋" w:hAnsi="仿宋" w:eastAsia="仿宋" w:cs="宋体"/>
          <w:b/>
          <w:color w:val="auto"/>
          <w:sz w:val="24"/>
          <w:szCs w:val="24"/>
        </w:rPr>
      </w:pPr>
      <w:r>
        <w:rPr>
          <w:rFonts w:hint="eastAsia" w:ascii="仿宋" w:hAnsi="仿宋" w:eastAsia="仿宋" w:cs="宋体"/>
          <w:b/>
          <w:color w:val="auto"/>
          <w:sz w:val="24"/>
          <w:szCs w:val="24"/>
        </w:rPr>
        <w:t>2）按照招标公告的资格要求，提供实施案例的有效证明材料，作为资格后审的评审依据。</w:t>
      </w:r>
    </w:p>
    <w:p>
      <w:pPr>
        <w:spacing w:line="360" w:lineRule="auto"/>
        <w:ind w:firstLine="482"/>
        <w:rPr>
          <w:rFonts w:ascii="仿宋" w:hAnsi="仿宋" w:eastAsia="仿宋" w:cs="宋体"/>
          <w:b/>
          <w:color w:val="auto"/>
          <w:sz w:val="24"/>
          <w:szCs w:val="24"/>
        </w:rPr>
      </w:pPr>
      <w:r>
        <w:rPr>
          <w:rFonts w:hint="eastAsia" w:ascii="仿宋" w:hAnsi="仿宋" w:eastAsia="仿宋" w:cs="宋体"/>
          <w:b/>
          <w:color w:val="auto"/>
          <w:sz w:val="24"/>
          <w:szCs w:val="24"/>
        </w:rPr>
        <w:t>3）本业绩表及证明材料也作为详细评审中对同类项目实施经验的评审及打分依据，投标人需根据详细评审要求，提供符合要求的业绩证明材料。</w:t>
      </w:r>
    </w:p>
    <w:p>
      <w:pPr>
        <w:spacing w:line="360" w:lineRule="auto"/>
        <w:rPr>
          <w:rFonts w:ascii="仿宋" w:hAnsi="仿宋" w:eastAsia="仿宋" w:cs="宋体"/>
          <w:b/>
          <w:color w:val="auto"/>
          <w:sz w:val="24"/>
          <w:szCs w:val="24"/>
        </w:rPr>
      </w:pPr>
    </w:p>
    <w:p>
      <w:pPr>
        <w:spacing w:line="360" w:lineRule="auto"/>
        <w:rPr>
          <w:rFonts w:ascii="仿宋" w:hAnsi="仿宋" w:eastAsia="仿宋" w:cs="宋体"/>
          <w:b/>
          <w:color w:val="auto"/>
          <w:sz w:val="24"/>
          <w:szCs w:val="24"/>
        </w:rPr>
      </w:pPr>
    </w:p>
    <w:p>
      <w:pPr>
        <w:spacing w:line="360" w:lineRule="auto"/>
        <w:jc w:val="right"/>
        <w:rPr>
          <w:rFonts w:ascii="仿宋" w:hAnsi="仿宋" w:eastAsia="仿宋" w:cs="Cambria Math"/>
          <w:color w:val="auto"/>
          <w:sz w:val="24"/>
        </w:rPr>
      </w:pPr>
      <w:r>
        <w:rPr>
          <w:rFonts w:hint="eastAsia" w:ascii="仿宋" w:hAnsi="仿宋" w:eastAsia="仿宋" w:cs="Cambria Math"/>
          <w:color w:val="auto"/>
          <w:sz w:val="24"/>
        </w:rPr>
        <w:t>投标人名称：</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（盖章）</w:t>
      </w:r>
    </w:p>
    <w:p>
      <w:pPr>
        <w:spacing w:line="360" w:lineRule="auto"/>
        <w:jc w:val="right"/>
        <w:rPr>
          <w:rFonts w:ascii="仿宋" w:hAnsi="仿宋" w:eastAsia="仿宋" w:cs="Cambria Math"/>
          <w:b/>
          <w:bCs/>
          <w:color w:val="auto"/>
          <w:sz w:val="24"/>
        </w:rPr>
      </w:pPr>
      <w:r>
        <w:rPr>
          <w:rFonts w:hint="eastAsia" w:ascii="仿宋" w:hAnsi="仿宋" w:eastAsia="仿宋" w:cs="Cambria Math"/>
          <w:color w:val="auto"/>
          <w:sz w:val="24"/>
        </w:rPr>
        <w:t>日期：</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年</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月</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日</w:t>
      </w:r>
    </w:p>
    <w:p>
      <w:pPr>
        <w:rPr>
          <w:rFonts w:ascii="仿宋" w:hAnsi="仿宋" w:cs="宋体"/>
          <w:color w:val="auto"/>
          <w:szCs w:val="24"/>
        </w:rPr>
      </w:pPr>
    </w:p>
    <w:p>
      <w:pPr>
        <w:rPr>
          <w:rFonts w:ascii="仿宋" w:hAnsi="仿宋" w:cs="宋体"/>
          <w:color w:val="auto"/>
          <w:szCs w:val="24"/>
        </w:rPr>
      </w:pPr>
      <w:r>
        <w:rPr>
          <w:rFonts w:hint="eastAsia" w:ascii="仿宋" w:hAnsi="仿宋" w:cs="宋体"/>
          <w:color w:val="auto"/>
          <w:szCs w:val="24"/>
        </w:rPr>
        <w:br w:type="page" w:clear="all"/>
      </w:r>
    </w:p>
    <w:p>
      <w:pPr>
        <w:pStyle w:val="6"/>
        <w:spacing w:line="360" w:lineRule="auto"/>
        <w:rPr>
          <w:rFonts w:ascii="仿宋" w:hAnsi="仿宋" w:cs="宋体"/>
          <w:color w:val="auto"/>
          <w:szCs w:val="24"/>
        </w:rPr>
      </w:pPr>
      <w:r>
        <w:rPr>
          <w:rFonts w:hint="eastAsia" w:ascii="仿宋" w:hAnsi="仿宋" w:cs="宋体"/>
          <w:color w:val="auto"/>
          <w:szCs w:val="24"/>
        </w:rPr>
        <w:t>4、企业税收和社会保障资金缴纳凭证</w:t>
      </w:r>
    </w:p>
    <w:p>
      <w:pPr>
        <w:spacing w:line="360" w:lineRule="auto"/>
        <w:textAlignment w:val="baseline"/>
        <w:rPr>
          <w:rFonts w:ascii="仿宋" w:hAnsi="仿宋" w:eastAsia="仿宋" w:cs="宋体"/>
          <w:color w:val="auto"/>
          <w:sz w:val="24"/>
          <w:szCs w:val="24"/>
        </w:rPr>
      </w:pPr>
      <w:r>
        <w:rPr>
          <w:rFonts w:hint="eastAsia" w:ascii="仿宋" w:hAnsi="仿宋" w:eastAsia="仿宋" w:cs="宋体"/>
          <w:color w:val="auto"/>
          <w:sz w:val="24"/>
          <w:szCs w:val="24"/>
        </w:rPr>
        <w:t>提供近6个月任意一个月的企业税收和社会保障资金缴纳凭证。</w:t>
      </w:r>
    </w:p>
    <w:p>
      <w:pPr>
        <w:ind w:firstLine="480"/>
        <w:rPr>
          <w:rFonts w:ascii="仿宋" w:hAnsi="仿宋" w:cs="宋体"/>
          <w:color w:val="auto"/>
          <w:szCs w:val="24"/>
        </w:rPr>
      </w:pPr>
      <w:r>
        <w:rPr>
          <w:rFonts w:hint="eastAsia" w:ascii="仿宋" w:hAnsi="仿宋" w:cs="宋体"/>
          <w:color w:val="auto"/>
          <w:szCs w:val="24"/>
        </w:rPr>
        <w:br w:type="page" w:clear="all"/>
      </w:r>
    </w:p>
    <w:p>
      <w:pPr>
        <w:pStyle w:val="6"/>
        <w:spacing w:line="360" w:lineRule="auto"/>
        <w:jc w:val="left"/>
        <w:rPr>
          <w:rFonts w:ascii="仿宋" w:hAnsi="仿宋" w:cs="仿宋"/>
          <w:color w:val="auto"/>
          <w:szCs w:val="24"/>
        </w:rPr>
      </w:pPr>
      <w:r>
        <w:rPr>
          <w:rFonts w:hint="eastAsia" w:ascii="仿宋" w:hAnsi="仿宋" w:cs="宋体"/>
          <w:color w:val="auto"/>
          <w:szCs w:val="24"/>
        </w:rPr>
        <w:t>5、</w:t>
      </w:r>
      <w:r>
        <w:rPr>
          <w:rFonts w:hint="eastAsia" w:ascii="仿宋" w:hAnsi="仿宋" w:cs="仿宋"/>
          <w:color w:val="auto"/>
          <w:szCs w:val="24"/>
        </w:rPr>
        <w:t>无违法违规记录查询截图地址：https://www.creditchina.gov.cn/zhuanxiangchaxun/</w:t>
      </w:r>
    </w:p>
    <w:p>
      <w:pPr>
        <w:rPr>
          <w:rFonts w:ascii="仿宋" w:hAnsi="仿宋" w:eastAsia="仿宋" w:cs="微软雅黑"/>
          <w:color w:val="auto"/>
          <w:sz w:val="24"/>
        </w:rPr>
      </w:pPr>
      <w:r>
        <w:rPr>
          <w:rFonts w:hint="eastAsia" w:ascii="仿宋" w:hAnsi="仿宋" w:eastAsia="仿宋" w:cs="微软雅黑"/>
          <w:color w:val="auto"/>
          <w:sz w:val="24"/>
        </w:rPr>
        <w:t>（1）失信被执行人查询截图范例：</w:t>
      </w:r>
    </w:p>
    <w:p>
      <w:pPr>
        <w:rPr>
          <w:rFonts w:ascii="仿宋" w:hAnsi="仿宋" w:eastAsia="仿宋"/>
          <w:color w:val="auto"/>
        </w:rPr>
      </w:pPr>
      <w:r>
        <w:rPr>
          <w:color w:val="auto"/>
        </w:rPr>
        <w:drawing>
          <wp:inline distT="0" distB="0" distL="0" distR="0">
            <wp:extent cx="6120765" cy="4262755"/>
            <wp:effectExtent l="0" t="0" r="635"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5"/>
                    <a:stretch>
                      <a:fillRect/>
                    </a:stretch>
                  </pic:blipFill>
                  <pic:spPr>
                    <a:xfrm>
                      <a:off x="0" y="0"/>
                      <a:ext cx="6120765" cy="4262755"/>
                    </a:xfrm>
                    <a:prstGeom prst="rect">
                      <a:avLst/>
                    </a:prstGeom>
                    <a:noFill/>
                    <a:ln>
                      <a:noFill/>
                    </a:ln>
                  </pic:spPr>
                </pic:pic>
              </a:graphicData>
            </a:graphic>
          </wp:inline>
        </w:drawing>
      </w:r>
    </w:p>
    <w:p>
      <w:pPr>
        <w:rPr>
          <w:rFonts w:ascii="仿宋" w:hAnsi="仿宋" w:eastAsia="仿宋"/>
          <w:color w:val="auto"/>
          <w:szCs w:val="21"/>
        </w:rPr>
      </w:pPr>
      <w:r>
        <w:rPr>
          <w:rFonts w:hint="eastAsia" w:ascii="仿宋" w:hAnsi="仿宋" w:eastAsia="仿宋" w:cs="微软雅黑"/>
          <w:color w:val="auto"/>
          <w:sz w:val="24"/>
        </w:rPr>
        <w:t>（2）</w:t>
      </w:r>
      <w:bookmarkStart w:id="678" w:name="_Hlk112078474"/>
      <w:r>
        <w:rPr>
          <w:rFonts w:hint="eastAsia" w:ascii="仿宋" w:hAnsi="仿宋" w:eastAsia="仿宋" w:cs="微软雅黑"/>
          <w:color w:val="auto"/>
          <w:sz w:val="24"/>
        </w:rPr>
        <w:t>重大</w:t>
      </w:r>
      <w:r>
        <w:rPr>
          <w:rFonts w:hint="eastAsia" w:ascii="仿宋" w:hAnsi="仿宋" w:eastAsia="仿宋" w:cs="仿宋"/>
          <w:color w:val="auto"/>
          <w:sz w:val="24"/>
          <w:szCs w:val="24"/>
        </w:rPr>
        <w:t>税收违法失信主体</w:t>
      </w:r>
      <w:r>
        <w:rPr>
          <w:rFonts w:hint="eastAsia" w:ascii="仿宋" w:hAnsi="仿宋" w:eastAsia="仿宋" w:cs="微软雅黑"/>
          <w:color w:val="auto"/>
          <w:sz w:val="24"/>
        </w:rPr>
        <w:t>查询截图范例：</w:t>
      </w:r>
      <w:bookmarkEnd w:id="678"/>
    </w:p>
    <w:p>
      <w:pPr>
        <w:rPr>
          <w:rFonts w:ascii="仿宋" w:hAnsi="仿宋" w:eastAsia="仿宋"/>
          <w:color w:val="auto"/>
        </w:rPr>
      </w:pPr>
      <w:bookmarkStart w:id="679" w:name="_Hlk112078519"/>
      <w:r>
        <w:rPr>
          <w:rFonts w:ascii="仿宋" w:hAnsi="仿宋" w:eastAsia="仿宋"/>
          <w:color w:val="auto"/>
          <w:szCs w:val="21"/>
        </w:rPr>
        <w:drawing>
          <wp:inline distT="0" distB="0" distL="0" distR="0">
            <wp:extent cx="6119495" cy="3312795"/>
            <wp:effectExtent l="0" t="0" r="1905" b="1905"/>
            <wp:docPr id="5"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微信图片_20220713154746"/>
                    <pic:cNvPicPr>
                      <a:picLocks noChangeAspect="1"/>
                    </pic:cNvPicPr>
                  </pic:nvPicPr>
                  <pic:blipFill>
                    <a:blip r:embed="rId16"/>
                    <a:stretch>
                      <a:fillRect/>
                    </a:stretch>
                  </pic:blipFill>
                  <pic:spPr>
                    <a:xfrm>
                      <a:off x="0" y="0"/>
                      <a:ext cx="6119495" cy="3312795"/>
                    </a:xfrm>
                    <a:prstGeom prst="rect">
                      <a:avLst/>
                    </a:prstGeom>
                    <a:noFill/>
                    <a:ln>
                      <a:noFill/>
                    </a:ln>
                  </pic:spPr>
                </pic:pic>
              </a:graphicData>
            </a:graphic>
          </wp:inline>
        </w:drawing>
      </w:r>
      <w:bookmarkEnd w:id="679"/>
    </w:p>
    <w:p>
      <w:pPr>
        <w:rPr>
          <w:rFonts w:ascii="仿宋" w:hAnsi="仿宋" w:eastAsia="仿宋" w:cs="微软雅黑"/>
          <w:color w:val="auto"/>
          <w:sz w:val="24"/>
        </w:rPr>
      </w:pPr>
      <w:r>
        <w:rPr>
          <w:rFonts w:hint="eastAsia" w:ascii="仿宋" w:hAnsi="仿宋" w:eastAsia="仿宋" w:cs="微软雅黑"/>
          <w:color w:val="auto"/>
          <w:sz w:val="24"/>
        </w:rPr>
        <w:t>（3）政府采购严重违法失信行为记录名单查询截图范例：</w:t>
      </w:r>
    </w:p>
    <w:p>
      <w:pPr>
        <w:rPr>
          <w:color w:val="auto"/>
        </w:rPr>
      </w:pPr>
      <w:r>
        <w:rPr>
          <w:rFonts w:ascii="仿宋" w:hAnsi="仿宋" w:eastAsia="仿宋"/>
          <w:color w:val="auto"/>
        </w:rPr>
        <w:drawing>
          <wp:inline distT="0" distB="0" distL="0" distR="0">
            <wp:extent cx="6109335" cy="3307715"/>
            <wp:effectExtent l="0" t="0" r="12065" b="6985"/>
            <wp:docPr id="6"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1"/>
                    <pic:cNvPicPr>
                      <a:picLocks noChangeAspect="1"/>
                    </pic:cNvPicPr>
                  </pic:nvPicPr>
                  <pic:blipFill>
                    <a:blip r:embed="rId17"/>
                    <a:stretch>
                      <a:fillRect/>
                    </a:stretch>
                  </pic:blipFill>
                  <pic:spPr>
                    <a:xfrm>
                      <a:off x="0" y="0"/>
                      <a:ext cx="6109335" cy="3307715"/>
                    </a:xfrm>
                    <a:prstGeom prst="rect">
                      <a:avLst/>
                    </a:prstGeom>
                    <a:noFill/>
                    <a:ln>
                      <a:noFill/>
                    </a:ln>
                  </pic:spPr>
                </pic:pic>
              </a:graphicData>
            </a:graphic>
          </wp:inline>
        </w:drawing>
      </w:r>
    </w:p>
    <w:p>
      <w:pPr>
        <w:rPr>
          <w:rFonts w:ascii="仿宋" w:hAnsi="仿宋" w:eastAsia="仿宋"/>
          <w:color w:val="auto"/>
        </w:rPr>
      </w:pPr>
    </w:p>
    <w:p>
      <w:pPr>
        <w:pStyle w:val="6"/>
        <w:rPr>
          <w:rFonts w:ascii="仿宋" w:hAnsi="仿宋" w:cs="微软雅黑"/>
          <w:color w:val="auto"/>
          <w:szCs w:val="24"/>
        </w:rPr>
      </w:pPr>
      <w:r>
        <w:rPr>
          <w:color w:val="auto"/>
        </w:rPr>
        <w:br w:type="page" w:clear="all"/>
      </w:r>
      <w:r>
        <w:rPr>
          <w:rFonts w:hint="eastAsia" w:ascii="仿宋" w:hAnsi="仿宋" w:cs="仿宋"/>
          <w:color w:val="auto"/>
        </w:rPr>
        <w:t>6</w:t>
      </w:r>
      <w:r>
        <w:rPr>
          <w:rFonts w:hint="eastAsia"/>
          <w:color w:val="auto"/>
        </w:rPr>
        <w:t>、</w:t>
      </w:r>
      <w:r>
        <w:rPr>
          <w:rFonts w:hint="eastAsia" w:ascii="仿宋" w:hAnsi="仿宋" w:cs="微软雅黑"/>
          <w:color w:val="auto"/>
          <w:szCs w:val="24"/>
        </w:rPr>
        <w:t>未列入供应商黑名单且未在禁入期</w:t>
      </w:r>
    </w:p>
    <w:p>
      <w:pPr>
        <w:adjustRightInd w:val="0"/>
        <w:snapToGrid w:val="0"/>
        <w:spacing w:before="240" w:line="360" w:lineRule="auto"/>
        <w:rPr>
          <w:rFonts w:ascii="仿宋" w:hAnsi="仿宋" w:eastAsia="仿宋" w:cs="Cambria Math"/>
          <w:color w:val="auto"/>
          <w:sz w:val="24"/>
        </w:rPr>
      </w:pPr>
      <w:r>
        <w:rPr>
          <w:rFonts w:hint="eastAsia" w:ascii="仿宋" w:hAnsi="仿宋" w:eastAsia="仿宋" w:cs="Cambria Math"/>
          <w:color w:val="auto"/>
          <w:sz w:val="24"/>
        </w:rPr>
        <w:t>致：</w:t>
      </w:r>
      <w:r>
        <w:rPr>
          <w:rFonts w:hint="eastAsia" w:ascii="仿宋" w:hAnsi="仿宋" w:eastAsia="仿宋" w:cs="Cambria Math"/>
          <w:color w:val="auto"/>
          <w:sz w:val="24"/>
          <w:u w:val="single"/>
        </w:rPr>
        <w:t>中国人民财产保险股份有限公司南充市分公司：</w:t>
      </w:r>
    </w:p>
    <w:p>
      <w:pPr>
        <w:adjustRightInd w:val="0"/>
        <w:snapToGrid w:val="0"/>
        <w:spacing w:before="240" w:line="360" w:lineRule="auto"/>
        <w:ind w:firstLine="480" w:firstLineChars="200"/>
        <w:rPr>
          <w:rFonts w:ascii="仿宋" w:hAnsi="仿宋" w:eastAsia="仿宋" w:cs="Cambria Math"/>
          <w:color w:val="auto"/>
          <w:sz w:val="24"/>
        </w:rPr>
      </w:pPr>
      <w:r>
        <w:rPr>
          <w:rFonts w:hint="eastAsia" w:ascii="仿宋" w:hAnsi="仿宋" w:eastAsia="仿宋" w:cs="Cambria Math"/>
          <w:color w:val="auto"/>
          <w:sz w:val="24"/>
        </w:rPr>
        <w:t>我方</w:t>
      </w:r>
      <w:r>
        <w:rPr>
          <w:rFonts w:hint="eastAsia" w:ascii="仿宋" w:hAnsi="仿宋" w:eastAsia="仿宋" w:cs="Cambria Math"/>
          <w:color w:val="auto"/>
          <w:sz w:val="24"/>
          <w:u w:val="single"/>
        </w:rPr>
        <w:t xml:space="preserve"> （投标人名称）</w:t>
      </w:r>
      <w:r>
        <w:rPr>
          <w:rFonts w:ascii="仿宋" w:hAnsi="仿宋" w:eastAsia="仿宋" w:cs="Cambria Math"/>
          <w:color w:val="auto"/>
          <w:sz w:val="24"/>
          <w:u w:val="single"/>
        </w:rPr>
        <w:t xml:space="preserve">  </w:t>
      </w:r>
      <w:r>
        <w:rPr>
          <w:rFonts w:hint="eastAsia" w:ascii="仿宋" w:hAnsi="仿宋" w:eastAsia="仿宋" w:cs="Cambria Math"/>
          <w:color w:val="auto"/>
          <w:sz w:val="24"/>
        </w:rPr>
        <w:t>承诺截至本项目投标文件递交截止时间，我方未被列入招标人及其所隶属的中国人民保险各级机构的供应商黑名单且未在禁入期内。</w:t>
      </w:r>
    </w:p>
    <w:p>
      <w:pPr>
        <w:pStyle w:val="2"/>
        <w:ind w:firstLine="480" w:firstLineChars="200"/>
        <w:rPr>
          <w:rFonts w:ascii="仿宋" w:hAnsi="仿宋" w:eastAsia="仿宋" w:cs="Cambria Math"/>
          <w:color w:val="auto"/>
          <w:sz w:val="24"/>
        </w:rPr>
      </w:pPr>
    </w:p>
    <w:p>
      <w:pPr>
        <w:pStyle w:val="2"/>
        <w:ind w:firstLine="480" w:firstLineChars="200"/>
        <w:rPr>
          <w:rFonts w:ascii="仿宋" w:hAnsi="仿宋" w:eastAsia="仿宋" w:cs="Cambria Math"/>
          <w:color w:val="auto"/>
          <w:sz w:val="24"/>
        </w:rPr>
      </w:pPr>
      <w:r>
        <w:rPr>
          <w:rFonts w:hint="eastAsia" w:ascii="仿宋" w:hAnsi="仿宋" w:eastAsia="仿宋" w:cs="Cambria Math"/>
          <w:color w:val="auto"/>
          <w:sz w:val="24"/>
        </w:rPr>
        <w:t>特此承诺。</w:t>
      </w:r>
    </w:p>
    <w:p>
      <w:pPr>
        <w:pStyle w:val="285"/>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sz w:val="24"/>
        </w:rPr>
      </w:pPr>
    </w:p>
    <w:p>
      <w:pPr>
        <w:spacing w:line="360" w:lineRule="auto"/>
        <w:ind w:firstLine="4080" w:firstLineChars="1700"/>
        <w:jc w:val="right"/>
        <w:rPr>
          <w:rFonts w:ascii="仿宋" w:hAnsi="仿宋" w:eastAsia="仿宋" w:cs="Cambria Math"/>
          <w:color w:val="auto"/>
          <w:sz w:val="24"/>
        </w:rPr>
      </w:pPr>
      <w:r>
        <w:rPr>
          <w:rFonts w:hint="eastAsia" w:ascii="仿宋" w:hAnsi="仿宋" w:eastAsia="仿宋" w:cs="Cambria Math"/>
          <w:color w:val="auto"/>
          <w:sz w:val="24"/>
        </w:rPr>
        <w:t>投标人名称：</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（盖章）</w:t>
      </w:r>
    </w:p>
    <w:p>
      <w:pPr>
        <w:spacing w:line="360" w:lineRule="auto"/>
        <w:jc w:val="right"/>
        <w:rPr>
          <w:rFonts w:ascii="仿宋" w:hAnsi="仿宋" w:eastAsia="仿宋" w:cs="Cambria Math"/>
          <w:b/>
          <w:bCs/>
          <w:color w:val="auto"/>
          <w:sz w:val="24"/>
        </w:rPr>
      </w:pPr>
      <w:r>
        <w:rPr>
          <w:rFonts w:hint="eastAsia" w:ascii="仿宋" w:hAnsi="仿宋" w:eastAsia="仿宋" w:cs="Cambria Math"/>
          <w:color w:val="auto"/>
          <w:sz w:val="24"/>
        </w:rPr>
        <w:t>日期：</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年</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月</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日</w:t>
      </w:r>
    </w:p>
    <w:p>
      <w:pPr>
        <w:pStyle w:val="6"/>
        <w:rPr>
          <w:rFonts w:ascii="仿宋" w:hAnsi="仿宋" w:cs="宋体"/>
          <w:color w:val="auto"/>
        </w:rPr>
      </w:pPr>
      <w:r>
        <w:rPr>
          <w:rFonts w:ascii="仿宋" w:hAnsi="仿宋" w:cs="宋体"/>
          <w:color w:val="auto"/>
          <w:szCs w:val="24"/>
        </w:rPr>
        <w:br w:type="page" w:clear="all"/>
      </w:r>
      <w:r>
        <w:rPr>
          <w:rFonts w:hint="eastAsia" w:ascii="仿宋" w:hAnsi="仿宋" w:cs="宋体"/>
          <w:color w:val="auto"/>
        </w:rPr>
        <w:t>7、投标人控股及管理关系情况申报表</w:t>
      </w:r>
    </w:p>
    <w:p>
      <w:pPr>
        <w:pStyle w:val="248"/>
        <w:spacing w:line="360" w:lineRule="auto"/>
        <w:ind w:firstLine="0"/>
        <w:jc w:val="center"/>
        <w:rPr>
          <w:rFonts w:ascii="仿宋" w:hAnsi="仿宋" w:eastAsia="仿宋" w:cs="宋体"/>
          <w:b/>
          <w:color w:val="auto"/>
          <w:sz w:val="24"/>
        </w:rPr>
      </w:pPr>
      <w:r>
        <w:rPr>
          <w:rFonts w:hint="eastAsia" w:ascii="仿宋" w:hAnsi="仿宋" w:eastAsia="仿宋" w:cs="宋体"/>
          <w:b/>
          <w:color w:val="auto"/>
          <w:sz w:val="24"/>
        </w:rPr>
        <w:t>投标人控股及管理关系情况申报表</w:t>
      </w:r>
    </w:p>
    <w:p>
      <w:pPr>
        <w:pStyle w:val="248"/>
        <w:spacing w:line="360" w:lineRule="auto"/>
        <w:ind w:firstLine="0"/>
        <w:jc w:val="center"/>
        <w:rPr>
          <w:rFonts w:ascii="仿宋" w:hAnsi="仿宋" w:eastAsia="仿宋" w:cs="宋体"/>
          <w:b/>
          <w:color w:val="auto"/>
          <w:sz w:val="24"/>
        </w:rPr>
      </w:pPr>
    </w:p>
    <w:p>
      <w:pPr>
        <w:spacing w:line="360" w:lineRule="auto"/>
        <w:ind w:hanging="619"/>
        <w:rPr>
          <w:rFonts w:ascii="仿宋" w:hAnsi="仿宋" w:eastAsia="仿宋" w:cs="宋体"/>
          <w:color w:val="auto"/>
          <w:sz w:val="24"/>
          <w:szCs w:val="24"/>
        </w:rPr>
      </w:pPr>
      <w:r>
        <w:rPr>
          <w:rFonts w:hint="eastAsia" w:ascii="仿宋" w:hAnsi="仿宋" w:eastAsia="仿宋" w:cs="宋体"/>
          <w:color w:val="auto"/>
          <w:sz w:val="24"/>
          <w:szCs w:val="24"/>
        </w:rPr>
        <w:t>致：</w:t>
      </w:r>
      <w:r>
        <w:rPr>
          <w:rFonts w:hint="eastAsia" w:ascii="仿宋" w:hAnsi="仿宋" w:eastAsia="仿宋" w:cs="宋体"/>
          <w:color w:val="auto"/>
          <w:sz w:val="24"/>
          <w:szCs w:val="24"/>
          <w:u w:val="single"/>
        </w:rPr>
        <w:t>中国人民财产保险股份有限公司南充市分公司</w:t>
      </w:r>
      <w:r>
        <w:rPr>
          <w:rFonts w:hint="eastAsia" w:ascii="仿宋" w:hAnsi="仿宋" w:eastAsia="仿宋" w:cs="宋体"/>
          <w:color w:val="auto"/>
          <w:sz w:val="24"/>
          <w:szCs w:val="24"/>
        </w:rPr>
        <w:t>：</w:t>
      </w:r>
    </w:p>
    <w:p>
      <w:pPr>
        <w:spacing w:line="360" w:lineRule="auto"/>
        <w:ind w:left="-617" w:right="-512" w:firstLine="616"/>
        <w:rPr>
          <w:rFonts w:ascii="仿宋" w:hAnsi="仿宋" w:eastAsia="仿宋" w:cs="宋体"/>
          <w:color w:val="auto"/>
          <w:sz w:val="24"/>
          <w:szCs w:val="24"/>
        </w:rPr>
      </w:pPr>
      <w:r>
        <w:rPr>
          <w:rFonts w:hint="eastAsia" w:ascii="仿宋" w:hAnsi="仿宋" w:eastAsia="仿宋" w:cs="宋体"/>
          <w:color w:val="auto"/>
          <w:sz w:val="24"/>
          <w:szCs w:val="24"/>
        </w:rPr>
        <w:t>我方参加</w:t>
      </w:r>
      <w:r>
        <w:rPr>
          <w:rFonts w:hint="eastAsia" w:ascii="仿宋" w:hAnsi="仿宋" w:eastAsia="仿宋" w:cs="宋体"/>
          <w:color w:val="auto"/>
          <w:sz w:val="24"/>
          <w:szCs w:val="24"/>
          <w:u w:val="single"/>
        </w:rPr>
        <w:t>人保财险南充嘉陵支公司办公楼装饰工程采购项目</w:t>
      </w:r>
      <w:r>
        <w:rPr>
          <w:rFonts w:hint="eastAsia" w:ascii="仿宋" w:hAnsi="仿宋" w:eastAsia="仿宋" w:cs="宋体"/>
          <w:color w:val="auto"/>
          <w:sz w:val="24"/>
          <w:szCs w:val="24"/>
        </w:rPr>
        <w:t>的投标，根据法律法规维护投标公正性的相关规定，我方与招标人之间不存在利害关系可能影响招标公正性的法人、其他组织或者个人，特就本单位控股及管理关系情况申报如下，并承担申报不实的责任。如我方中标该项目并签署合同后，一旦发现我方申报不实，招标人可无条件终止合同。</w:t>
      </w:r>
    </w:p>
    <w:tbl>
      <w:tblPr>
        <w:tblStyle w:val="41"/>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356" w:type="dxa"/>
            <w:vAlign w:val="center"/>
          </w:tcPr>
          <w:p>
            <w:pPr>
              <w:spacing w:line="440" w:lineRule="exact"/>
              <w:rPr>
                <w:rFonts w:ascii="仿宋" w:hAnsi="仿宋" w:eastAsia="仿宋" w:cs="宋体"/>
                <w:color w:val="auto"/>
              </w:rPr>
            </w:pPr>
            <w:r>
              <w:rPr>
                <w:rFonts w:hint="eastAsia" w:ascii="仿宋" w:hAnsi="仿宋" w:eastAsia="仿宋" w:cs="宋体"/>
                <w:color w:val="auto"/>
              </w:rPr>
              <w:t>姓    名</w:t>
            </w:r>
          </w:p>
        </w:tc>
        <w:tc>
          <w:tcPr>
            <w:tcW w:w="5570" w:type="dxa"/>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spacing w:line="440" w:lineRule="exact"/>
              <w:rPr>
                <w:rFonts w:ascii="仿宋" w:hAnsi="仿宋" w:eastAsia="仿宋" w:cs="宋体"/>
                <w:color w:val="auto"/>
              </w:rPr>
            </w:pPr>
          </w:p>
        </w:tc>
        <w:tc>
          <w:tcPr>
            <w:tcW w:w="2356" w:type="dxa"/>
            <w:vAlign w:val="center"/>
          </w:tcPr>
          <w:p>
            <w:pPr>
              <w:spacing w:line="440" w:lineRule="exact"/>
              <w:rPr>
                <w:rFonts w:ascii="仿宋" w:hAnsi="仿宋" w:eastAsia="仿宋" w:cs="宋体"/>
                <w:color w:val="auto"/>
              </w:rPr>
            </w:pPr>
            <w:r>
              <w:rPr>
                <w:rFonts w:hint="eastAsia" w:ascii="仿宋" w:hAnsi="仿宋" w:eastAsia="仿宋" w:cs="宋体"/>
                <w:color w:val="auto"/>
              </w:rPr>
              <w:t>身份证号</w:t>
            </w:r>
          </w:p>
        </w:tc>
        <w:tc>
          <w:tcPr>
            <w:tcW w:w="5570" w:type="dxa"/>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spacing w:line="440" w:lineRule="exact"/>
              <w:rPr>
                <w:rFonts w:ascii="仿宋" w:hAnsi="仿宋" w:eastAsia="仿宋" w:cs="宋体"/>
                <w:color w:val="auto"/>
              </w:rPr>
            </w:pPr>
            <w:r>
              <w:rPr>
                <w:rFonts w:hint="eastAsia" w:ascii="仿宋" w:hAnsi="仿宋" w:eastAsia="仿宋" w:cs="宋体"/>
                <w:color w:val="auto"/>
              </w:rPr>
              <w:t>控股关系</w:t>
            </w:r>
          </w:p>
        </w:tc>
        <w:tc>
          <w:tcPr>
            <w:tcW w:w="2356" w:type="dxa"/>
            <w:vAlign w:val="center"/>
          </w:tcPr>
          <w:p>
            <w:pPr>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570" w:type="dxa"/>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spacing w:line="440" w:lineRule="exact"/>
              <w:rPr>
                <w:rFonts w:ascii="仿宋" w:hAnsi="仿宋" w:eastAsia="仿宋" w:cs="宋体"/>
                <w:color w:val="auto"/>
              </w:rPr>
            </w:pPr>
          </w:p>
        </w:tc>
        <w:tc>
          <w:tcPr>
            <w:tcW w:w="2356" w:type="dxa"/>
            <w:vAlign w:val="center"/>
          </w:tcPr>
          <w:p>
            <w:pPr>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570" w:type="dxa"/>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spacing w:line="440" w:lineRule="exact"/>
              <w:rPr>
                <w:rFonts w:ascii="仿宋" w:hAnsi="仿宋" w:eastAsia="仿宋" w:cs="宋体"/>
                <w:color w:val="auto"/>
              </w:rPr>
            </w:pPr>
            <w:r>
              <w:rPr>
                <w:rFonts w:hint="eastAsia" w:ascii="仿宋" w:hAnsi="仿宋" w:eastAsia="仿宋" w:cs="宋体"/>
                <w:color w:val="auto"/>
              </w:rPr>
              <w:t>管理关系</w:t>
            </w:r>
          </w:p>
        </w:tc>
        <w:tc>
          <w:tcPr>
            <w:tcW w:w="2356" w:type="dxa"/>
            <w:vAlign w:val="center"/>
          </w:tcPr>
          <w:p>
            <w:pPr>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570" w:type="dxa"/>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spacing w:line="440" w:lineRule="exact"/>
              <w:rPr>
                <w:rFonts w:ascii="仿宋" w:hAnsi="仿宋" w:eastAsia="仿宋" w:cs="宋体"/>
                <w:color w:val="auto"/>
              </w:rPr>
            </w:pPr>
          </w:p>
        </w:tc>
        <w:tc>
          <w:tcPr>
            <w:tcW w:w="2356" w:type="dxa"/>
            <w:vAlign w:val="center"/>
          </w:tcPr>
          <w:p>
            <w:pPr>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570" w:type="dxa"/>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spacing w:line="440" w:lineRule="exact"/>
              <w:rPr>
                <w:rFonts w:ascii="仿宋" w:hAnsi="仿宋" w:eastAsia="仿宋" w:cs="宋体"/>
                <w:color w:val="auto"/>
              </w:rPr>
            </w:pPr>
            <w:r>
              <w:rPr>
                <w:rFonts w:hint="eastAsia" w:ascii="仿宋" w:hAnsi="仿宋" w:eastAsia="仿宋" w:cs="宋体"/>
                <w:color w:val="auto"/>
              </w:rPr>
              <w:t>备注：</w:t>
            </w:r>
          </w:p>
        </w:tc>
      </w:tr>
    </w:tbl>
    <w:p>
      <w:pPr>
        <w:spacing w:line="360" w:lineRule="auto"/>
        <w:ind w:hanging="619"/>
        <w:rPr>
          <w:rFonts w:ascii="仿宋" w:hAnsi="仿宋" w:eastAsia="仿宋" w:cs="宋体"/>
          <w:color w:val="auto"/>
          <w:sz w:val="24"/>
        </w:rPr>
      </w:pPr>
      <w:r>
        <w:rPr>
          <w:rFonts w:hint="eastAsia" w:ascii="仿宋" w:hAnsi="仿宋" w:eastAsia="仿宋" w:cs="宋体"/>
          <w:color w:val="auto"/>
          <w:sz w:val="24"/>
          <w:szCs w:val="24"/>
        </w:rPr>
        <w:t>注 ：1.</w:t>
      </w:r>
      <w:r>
        <w:rPr>
          <w:rFonts w:hint="eastAsia" w:ascii="仿宋" w:hAnsi="仿宋" w:eastAsia="仿宋" w:cs="宋体"/>
          <w:color w:val="auto"/>
          <w:sz w:val="24"/>
        </w:rPr>
        <w:t>控股股东/投资人是指出资比例在50%以上，或者出资比例不足50%，但享有公司股东会/董事会控制权的投资方（含单位或者个人）；</w:t>
      </w:r>
    </w:p>
    <w:p>
      <w:pPr>
        <w:pStyle w:val="301"/>
        <w:spacing w:line="360" w:lineRule="auto"/>
        <w:ind w:firstLine="0"/>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301"/>
        <w:spacing w:line="360" w:lineRule="auto"/>
        <w:ind w:firstLine="0"/>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rPr>
          <w:rFonts w:ascii="仿宋" w:hAnsi="仿宋" w:eastAsia="仿宋" w:cs="宋体"/>
          <w:color w:val="auto"/>
          <w:sz w:val="24"/>
          <w:szCs w:val="24"/>
        </w:rPr>
      </w:pPr>
    </w:p>
    <w:p>
      <w:pPr>
        <w:spacing w:line="360" w:lineRule="auto"/>
        <w:ind w:firstLine="4080"/>
        <w:jc w:val="right"/>
        <w:rPr>
          <w:rFonts w:ascii="仿宋" w:hAnsi="仿宋" w:eastAsia="仿宋" w:cs="宋体"/>
          <w:color w:val="auto"/>
          <w:sz w:val="24"/>
          <w:szCs w:val="24"/>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360" w:lineRule="auto"/>
        <w:jc w:val="right"/>
        <w:rPr>
          <w:color w:val="auto"/>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pStyle w:val="6"/>
        <w:rPr>
          <w:rFonts w:ascii="仿宋" w:hAnsi="仿宋" w:cs="仿宋"/>
          <w:color w:val="auto"/>
          <w:szCs w:val="24"/>
        </w:rPr>
      </w:pPr>
      <w:r>
        <w:rPr>
          <w:rFonts w:hint="eastAsia" w:ascii="仿宋" w:hAnsi="仿宋" w:cs="宋体"/>
          <w:color w:val="auto"/>
          <w:szCs w:val="24"/>
        </w:rPr>
        <w:t>8-</w:t>
      </w:r>
      <w:r>
        <w:rPr>
          <w:rFonts w:hint="eastAsia" w:ascii="仿宋" w:hAnsi="仿宋" w:cs="仿宋"/>
          <w:color w:val="auto"/>
          <w:szCs w:val="24"/>
        </w:rPr>
        <w:t>非联合体投标声明</w:t>
      </w:r>
    </w:p>
    <w:p>
      <w:pPr>
        <w:pStyle w:val="2"/>
        <w:spacing w:before="240"/>
        <w:jc w:val="center"/>
        <w:rPr>
          <w:rFonts w:ascii="仿宋" w:hAnsi="仿宋" w:eastAsia="仿宋" w:cs="Cambria Math"/>
          <w:b/>
          <w:bCs/>
          <w:color w:val="auto"/>
          <w:sz w:val="24"/>
        </w:rPr>
      </w:pPr>
      <w:r>
        <w:rPr>
          <w:rFonts w:hint="eastAsia" w:ascii="仿宋" w:hAnsi="仿宋" w:eastAsia="仿宋" w:cs="Cambria Math"/>
          <w:b/>
          <w:bCs/>
          <w:color w:val="auto"/>
          <w:sz w:val="24"/>
        </w:rPr>
        <w:t>非联合体投标声明</w:t>
      </w:r>
    </w:p>
    <w:p>
      <w:pPr>
        <w:spacing w:before="240" w:line="360" w:lineRule="auto"/>
        <w:rPr>
          <w:rFonts w:ascii="仿宋" w:hAnsi="仿宋" w:eastAsia="仿宋" w:cs="Cambria Math"/>
          <w:color w:val="auto"/>
          <w:sz w:val="24"/>
        </w:rPr>
      </w:pPr>
      <w:r>
        <w:rPr>
          <w:rFonts w:hint="eastAsia" w:ascii="仿宋" w:hAnsi="仿宋" w:eastAsia="仿宋" w:cs="Cambria Math"/>
          <w:color w:val="auto"/>
          <w:sz w:val="24"/>
        </w:rPr>
        <w:t>致：</w:t>
      </w:r>
      <w:r>
        <w:rPr>
          <w:rFonts w:hint="eastAsia" w:ascii="仿宋" w:hAnsi="仿宋" w:eastAsia="仿宋" w:cs="Cambria Math"/>
          <w:color w:val="auto"/>
          <w:sz w:val="24"/>
          <w:u w:val="single"/>
        </w:rPr>
        <w:t>中国人民财产保险股份有限公司南充市分公司：</w:t>
      </w:r>
    </w:p>
    <w:p>
      <w:pPr>
        <w:spacing w:before="240" w:line="360" w:lineRule="auto"/>
        <w:ind w:firstLine="480"/>
        <w:rPr>
          <w:rFonts w:ascii="仿宋" w:hAnsi="仿宋" w:eastAsia="仿宋" w:cs="Cambria Math"/>
          <w:color w:val="auto"/>
          <w:sz w:val="24"/>
        </w:rPr>
      </w:pPr>
      <w:r>
        <w:rPr>
          <w:rFonts w:hint="eastAsia" w:ascii="仿宋" w:hAnsi="仿宋" w:eastAsia="仿宋" w:cs="Cambria Math"/>
          <w:color w:val="auto"/>
          <w:sz w:val="24"/>
        </w:rPr>
        <w:t>我方</w:t>
      </w:r>
      <w:r>
        <w:rPr>
          <w:rFonts w:hint="eastAsia" w:ascii="仿宋" w:hAnsi="仿宋" w:eastAsia="仿宋" w:cs="Cambria Math"/>
          <w:color w:val="auto"/>
          <w:sz w:val="24"/>
          <w:u w:val="single"/>
        </w:rPr>
        <w:t xml:space="preserve">     </w:t>
      </w:r>
      <w:r>
        <w:rPr>
          <w:rFonts w:ascii="仿宋" w:hAnsi="仿宋" w:eastAsia="仿宋" w:cs="Cambria Math"/>
          <w:color w:val="auto"/>
          <w:sz w:val="24"/>
          <w:u w:val="single"/>
        </w:rPr>
        <w:t xml:space="preserve"> </w:t>
      </w:r>
      <w:r>
        <w:rPr>
          <w:rFonts w:hint="eastAsia" w:ascii="仿宋" w:hAnsi="仿宋" w:eastAsia="仿宋" w:cs="Cambria Math"/>
          <w:color w:val="auto"/>
          <w:sz w:val="24"/>
          <w:u w:val="single"/>
        </w:rPr>
        <w:t>（投标人名称）</w:t>
      </w:r>
      <w:r>
        <w:rPr>
          <w:rFonts w:ascii="仿宋" w:hAnsi="仿宋" w:eastAsia="仿宋" w:cs="Cambria Math"/>
          <w:color w:val="auto"/>
          <w:sz w:val="24"/>
          <w:u w:val="single"/>
        </w:rPr>
        <w:t xml:space="preserve">   </w:t>
      </w:r>
      <w:r>
        <w:rPr>
          <w:rFonts w:hint="eastAsia" w:ascii="仿宋" w:hAnsi="仿宋" w:eastAsia="仿宋" w:cs="Cambria Math"/>
          <w:color w:val="auto"/>
          <w:sz w:val="24"/>
        </w:rPr>
        <w:t>独立参与</w:t>
      </w:r>
      <w:r>
        <w:rPr>
          <w:rFonts w:hint="eastAsia" w:ascii="仿宋" w:hAnsi="仿宋" w:eastAsia="仿宋" w:cs="Cambria Math"/>
          <w:color w:val="auto"/>
          <w:sz w:val="24"/>
          <w:u w:val="single"/>
        </w:rPr>
        <w:t>人保财险南充嘉陵支公司办公楼装饰工程采购项目的</w:t>
      </w:r>
      <w:r>
        <w:rPr>
          <w:rFonts w:hint="eastAsia" w:ascii="仿宋" w:hAnsi="仿宋" w:eastAsia="仿宋" w:cs="Cambria Math"/>
          <w:color w:val="auto"/>
          <w:sz w:val="24"/>
        </w:rPr>
        <w:t>投标，非联合体参与投标。</w:t>
      </w:r>
      <w:r>
        <w:rPr>
          <w:rFonts w:ascii="仿宋" w:hAnsi="仿宋" w:eastAsia="仿宋" w:cs="Cambria Math"/>
          <w:color w:val="auto"/>
          <w:sz w:val="24"/>
        </w:rPr>
        <w:t xml:space="preserve"> </w:t>
      </w:r>
    </w:p>
    <w:p>
      <w:pPr>
        <w:pStyle w:val="2"/>
        <w:ind w:firstLine="480"/>
        <w:rPr>
          <w:rFonts w:ascii="仿宋" w:hAnsi="仿宋" w:eastAsia="仿宋" w:cs="Cambria Math"/>
          <w:color w:val="auto"/>
          <w:sz w:val="24"/>
        </w:rPr>
      </w:pPr>
      <w:r>
        <w:rPr>
          <w:rFonts w:hint="eastAsia" w:ascii="仿宋" w:hAnsi="仿宋" w:eastAsia="仿宋" w:cs="Cambria Math"/>
          <w:color w:val="auto"/>
          <w:sz w:val="24"/>
        </w:rPr>
        <w:t>特此声明。</w:t>
      </w:r>
    </w:p>
    <w:p>
      <w:pPr>
        <w:pStyle w:val="285"/>
        <w:ind w:firstLine="640"/>
        <w:rPr>
          <w:rFonts w:ascii="仿宋" w:hAnsi="仿宋" w:eastAsia="仿宋"/>
          <w:color w:val="auto"/>
        </w:rPr>
      </w:pPr>
    </w:p>
    <w:p>
      <w:pPr>
        <w:pStyle w:val="285"/>
        <w:ind w:firstLine="640"/>
        <w:rPr>
          <w:rFonts w:ascii="仿宋" w:hAnsi="仿宋" w:eastAsia="仿宋"/>
          <w:color w:val="auto"/>
        </w:rPr>
      </w:pPr>
    </w:p>
    <w:p>
      <w:pPr>
        <w:pStyle w:val="285"/>
        <w:ind w:firstLine="640"/>
        <w:rPr>
          <w:rFonts w:ascii="仿宋" w:hAnsi="仿宋" w:eastAsia="仿宋"/>
          <w:color w:val="auto"/>
        </w:rPr>
      </w:pPr>
    </w:p>
    <w:p>
      <w:pPr>
        <w:pStyle w:val="285"/>
        <w:ind w:firstLine="640"/>
        <w:rPr>
          <w:rFonts w:ascii="仿宋" w:hAnsi="仿宋" w:eastAsia="仿宋"/>
          <w:color w:val="auto"/>
        </w:rPr>
      </w:pPr>
    </w:p>
    <w:p>
      <w:pPr>
        <w:pStyle w:val="285"/>
        <w:ind w:firstLine="640"/>
        <w:rPr>
          <w:rFonts w:ascii="仿宋" w:hAnsi="仿宋" w:eastAsia="仿宋"/>
          <w:color w:val="auto"/>
        </w:rPr>
      </w:pPr>
    </w:p>
    <w:p>
      <w:pPr>
        <w:pStyle w:val="285"/>
        <w:ind w:firstLine="640"/>
        <w:rPr>
          <w:rFonts w:ascii="仿宋" w:hAnsi="仿宋" w:eastAsia="仿宋"/>
          <w:color w:val="auto"/>
        </w:rPr>
      </w:pPr>
    </w:p>
    <w:p>
      <w:pPr>
        <w:spacing w:line="360" w:lineRule="auto"/>
        <w:ind w:firstLine="4080"/>
        <w:jc w:val="right"/>
        <w:rPr>
          <w:rFonts w:ascii="仿宋" w:hAnsi="仿宋" w:eastAsia="仿宋" w:cs="Cambria Math"/>
          <w:color w:val="auto"/>
          <w:sz w:val="24"/>
        </w:rPr>
      </w:pPr>
      <w:r>
        <w:rPr>
          <w:rFonts w:hint="eastAsia" w:ascii="仿宋" w:hAnsi="仿宋" w:eastAsia="仿宋" w:cs="Cambria Math"/>
          <w:color w:val="auto"/>
          <w:sz w:val="24"/>
        </w:rPr>
        <w:t>投标人名称：</w:t>
      </w:r>
      <w:r>
        <w:rPr>
          <w:rFonts w:hint="eastAsia" w:ascii="仿宋" w:hAnsi="仿宋" w:eastAsia="仿宋" w:cs="Cambria Math"/>
          <w:color w:val="auto"/>
          <w:sz w:val="24"/>
          <w:u w:val="single"/>
        </w:rPr>
        <w:t xml:space="preserve">     </w:t>
      </w:r>
      <w:r>
        <w:rPr>
          <w:rFonts w:hint="eastAsia" w:ascii="仿宋" w:hAnsi="仿宋" w:eastAsia="仿宋" w:cs="Cambria Math"/>
          <w:color w:val="auto"/>
          <w:sz w:val="24"/>
        </w:rPr>
        <w:t>（盖章）</w:t>
      </w:r>
    </w:p>
    <w:p>
      <w:pPr>
        <w:pStyle w:val="279"/>
        <w:spacing w:line="360" w:lineRule="auto"/>
        <w:jc w:val="right"/>
        <w:rPr>
          <w:rFonts w:ascii="仿宋" w:hAnsi="仿宋" w:eastAsia="仿宋" w:cs="宋体"/>
          <w:color w:val="auto"/>
          <w:szCs w:val="21"/>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279"/>
        <w:spacing w:line="360" w:lineRule="auto"/>
        <w:rPr>
          <w:rFonts w:ascii="仿宋" w:hAnsi="仿宋" w:eastAsia="仿宋" w:cs="宋体"/>
          <w:color w:val="auto"/>
          <w:szCs w:val="24"/>
        </w:rPr>
      </w:pPr>
    </w:p>
    <w:p>
      <w:pPr>
        <w:pStyle w:val="279"/>
        <w:spacing w:line="360" w:lineRule="auto"/>
        <w:rPr>
          <w:rFonts w:ascii="仿宋" w:hAnsi="仿宋" w:eastAsia="仿宋" w:cs="宋体"/>
          <w:color w:val="auto"/>
          <w:szCs w:val="24"/>
        </w:rPr>
      </w:pPr>
    </w:p>
    <w:p>
      <w:pPr>
        <w:pStyle w:val="279"/>
        <w:spacing w:line="360" w:lineRule="auto"/>
        <w:rPr>
          <w:rFonts w:ascii="仿宋" w:hAnsi="仿宋" w:eastAsia="仿宋" w:cs="宋体"/>
          <w:color w:val="auto"/>
          <w:szCs w:val="24"/>
        </w:rPr>
      </w:pPr>
    </w:p>
    <w:p>
      <w:pPr>
        <w:pStyle w:val="279"/>
        <w:spacing w:line="360" w:lineRule="auto"/>
        <w:rPr>
          <w:rFonts w:ascii="仿宋" w:hAnsi="仿宋" w:eastAsia="仿宋" w:cs="宋体"/>
          <w:color w:val="auto"/>
        </w:rPr>
      </w:pPr>
    </w:p>
    <w:p>
      <w:pPr>
        <w:pStyle w:val="5"/>
        <w:rPr>
          <w:rFonts w:hint="default" w:ascii="仿宋" w:hAnsi="仿宋" w:cs="宋体"/>
          <w:color w:val="auto"/>
          <w:szCs w:val="24"/>
        </w:rPr>
      </w:pPr>
      <w:r>
        <w:rPr>
          <w:rFonts w:ascii="仿宋" w:hAnsi="仿宋" w:cs="宋体"/>
          <w:color w:val="auto"/>
          <w:szCs w:val="24"/>
        </w:rPr>
        <w:br w:type="page" w:clear="all"/>
      </w:r>
      <w:bookmarkStart w:id="680" w:name="_Toc18208"/>
      <w:bookmarkStart w:id="681" w:name="_Toc65683009"/>
      <w:bookmarkStart w:id="682" w:name="_Toc109124321"/>
      <w:bookmarkStart w:id="683" w:name="_Toc21072"/>
      <w:r>
        <w:rPr>
          <w:rFonts w:ascii="仿宋" w:hAnsi="仿宋" w:cs="宋体"/>
          <w:color w:val="auto"/>
          <w:szCs w:val="24"/>
        </w:rPr>
        <w:t>（五）投标人须知应答偏离表</w:t>
      </w:r>
      <w:bookmarkEnd w:id="680"/>
      <w:bookmarkEnd w:id="681"/>
      <w:bookmarkEnd w:id="682"/>
      <w:bookmarkEnd w:id="683"/>
    </w:p>
    <w:p>
      <w:pPr>
        <w:spacing w:after="240" w:line="360" w:lineRule="auto"/>
        <w:jc w:val="center"/>
        <w:rPr>
          <w:rFonts w:ascii="仿宋" w:hAnsi="仿宋" w:eastAsia="仿宋" w:cs="宋体"/>
          <w:b/>
          <w:bCs/>
          <w:color w:val="auto"/>
          <w:sz w:val="24"/>
          <w:szCs w:val="24"/>
        </w:rPr>
      </w:pPr>
      <w:r>
        <w:rPr>
          <w:rFonts w:hint="eastAsia" w:ascii="仿宋" w:hAnsi="仿宋" w:eastAsia="仿宋" w:cs="宋体"/>
          <w:b/>
          <w:bCs/>
          <w:color w:val="auto"/>
          <w:sz w:val="24"/>
          <w:szCs w:val="24"/>
        </w:rPr>
        <w:t>投标人须知应答偏离表</w:t>
      </w:r>
    </w:p>
    <w:p>
      <w:pPr>
        <w:spacing w:line="360" w:lineRule="auto"/>
        <w:rPr>
          <w:rFonts w:ascii="仿宋" w:hAnsi="仿宋" w:eastAsia="仿宋" w:cs="宋体"/>
          <w:color w:val="auto"/>
          <w:sz w:val="24"/>
          <w:szCs w:val="24"/>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 xml:space="preserve">     </w:t>
      </w:r>
    </w:p>
    <w:tbl>
      <w:tblPr>
        <w:tblStyle w:val="41"/>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2192"/>
        <w:gridCol w:w="2393"/>
        <w:gridCol w:w="2592"/>
        <w:gridCol w:w="1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rPr>
          <w:rFonts w:ascii="仿宋" w:hAnsi="仿宋" w:eastAsia="仿宋" w:cs="宋体"/>
          <w:b/>
          <w:bCs/>
          <w:color w:val="auto"/>
          <w:sz w:val="24"/>
          <w:szCs w:val="24"/>
        </w:rPr>
      </w:pPr>
      <w:r>
        <w:rPr>
          <w:rFonts w:hint="eastAsia" w:ascii="仿宋" w:hAnsi="仿宋" w:eastAsia="仿宋" w:cs="宋体"/>
          <w:color w:val="auto"/>
          <w:sz w:val="24"/>
          <w:szCs w:val="24"/>
        </w:rPr>
        <w:t>注：所有偏离须在本表中列出，未在本偏离表中列出偏离，将视为投标人已完全接受招标文件要求</w:t>
      </w:r>
      <w:r>
        <w:rPr>
          <w:rFonts w:hint="eastAsia" w:ascii="仿宋" w:hAnsi="仿宋" w:eastAsia="仿宋" w:cs="宋体"/>
          <w:b/>
          <w:bCs/>
          <w:color w:val="auto"/>
          <w:sz w:val="24"/>
          <w:szCs w:val="24"/>
        </w:rPr>
        <w:t>。如全部满足，在偏离表中应答“全部满足”即可。</w:t>
      </w:r>
    </w:p>
    <w:p>
      <w:pPr>
        <w:spacing w:line="360" w:lineRule="auto"/>
        <w:ind w:firstLine="4080"/>
        <w:jc w:val="right"/>
        <w:rPr>
          <w:rFonts w:ascii="仿宋" w:hAnsi="仿宋" w:eastAsia="仿宋" w:cs="宋体"/>
          <w:color w:val="auto"/>
          <w:sz w:val="24"/>
          <w:szCs w:val="24"/>
        </w:rPr>
      </w:pPr>
    </w:p>
    <w:p>
      <w:pPr>
        <w:spacing w:line="360" w:lineRule="auto"/>
        <w:ind w:firstLine="4080"/>
        <w:jc w:val="right"/>
        <w:rPr>
          <w:rFonts w:ascii="仿宋" w:hAnsi="仿宋" w:eastAsia="仿宋" w:cs="宋体"/>
          <w:color w:val="auto"/>
          <w:sz w:val="24"/>
          <w:szCs w:val="24"/>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360" w:lineRule="auto"/>
        <w:jc w:val="right"/>
        <w:rPr>
          <w:rFonts w:ascii="仿宋" w:hAnsi="仿宋" w:eastAsia="仿宋" w:cs="宋体"/>
          <w:color w:val="auto"/>
          <w:sz w:val="24"/>
          <w:szCs w:val="24"/>
        </w:rPr>
        <w:sectPr>
          <w:pgSz w:w="11906" w:h="16838"/>
          <w:pgMar w:top="1440" w:right="1800" w:bottom="1440" w:left="1800" w:header="851" w:footer="992" w:gutter="0"/>
          <w:cols w:space="720" w:num="1"/>
          <w:titlePg/>
        </w:sect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pStyle w:val="5"/>
        <w:spacing w:line="360" w:lineRule="auto"/>
        <w:rPr>
          <w:rFonts w:hint="default" w:ascii="仿宋" w:hAnsi="仿宋" w:cs="宋体"/>
          <w:color w:val="auto"/>
          <w:szCs w:val="24"/>
        </w:rPr>
      </w:pPr>
      <w:bookmarkStart w:id="684" w:name="_Toc109124322"/>
      <w:bookmarkStart w:id="685" w:name="_Toc6107"/>
      <w:bookmarkStart w:id="686" w:name="_Toc8442"/>
      <w:bookmarkStart w:id="687" w:name="_Toc65683010"/>
      <w:r>
        <w:rPr>
          <w:rFonts w:ascii="仿宋" w:hAnsi="仿宋" w:cs="宋体"/>
          <w:color w:val="auto"/>
          <w:szCs w:val="24"/>
        </w:rPr>
        <w:t>（六）合同条款应答偏离表</w:t>
      </w:r>
      <w:bookmarkEnd w:id="684"/>
      <w:bookmarkEnd w:id="685"/>
      <w:bookmarkEnd w:id="686"/>
      <w:bookmarkEnd w:id="687"/>
    </w:p>
    <w:p>
      <w:pPr>
        <w:spacing w:line="360" w:lineRule="auto"/>
        <w:jc w:val="center"/>
        <w:rPr>
          <w:rFonts w:ascii="仿宋" w:hAnsi="仿宋" w:eastAsia="仿宋" w:cs="宋体"/>
          <w:b/>
          <w:bCs/>
          <w:color w:val="auto"/>
          <w:sz w:val="24"/>
          <w:szCs w:val="24"/>
        </w:rPr>
      </w:pPr>
      <w:r>
        <w:rPr>
          <w:rFonts w:hint="eastAsia" w:ascii="仿宋" w:hAnsi="仿宋" w:eastAsia="仿宋" w:cs="宋体"/>
          <w:b/>
          <w:bCs/>
          <w:color w:val="auto"/>
          <w:sz w:val="24"/>
          <w:szCs w:val="24"/>
        </w:rPr>
        <w:t>合同条款应答偏离表</w:t>
      </w:r>
    </w:p>
    <w:p>
      <w:pPr>
        <w:spacing w:line="360" w:lineRule="auto"/>
        <w:rPr>
          <w:rFonts w:ascii="仿宋" w:hAnsi="仿宋" w:eastAsia="仿宋" w:cs="宋体"/>
          <w:color w:val="auto"/>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rPr>
          <w:rFonts w:ascii="仿宋" w:hAnsi="仿宋" w:eastAsia="仿宋" w:cs="宋体"/>
          <w:b/>
          <w:bCs/>
          <w:color w:val="auto"/>
          <w:sz w:val="24"/>
          <w:szCs w:val="24"/>
        </w:rPr>
      </w:pPr>
      <w:r>
        <w:rPr>
          <w:rFonts w:hint="eastAsia" w:ascii="仿宋" w:hAnsi="仿宋" w:eastAsia="仿宋" w:cs="宋体"/>
          <w:color w:val="auto"/>
          <w:sz w:val="24"/>
          <w:szCs w:val="24"/>
        </w:rPr>
        <w:t>注：所有偏离必须在本表中列出，未在本偏离表中列出偏离，将视为投标人已完全接受招标文件要求。</w:t>
      </w:r>
      <w:r>
        <w:rPr>
          <w:rFonts w:hint="eastAsia" w:ascii="仿宋" w:hAnsi="仿宋" w:eastAsia="仿宋" w:cs="宋体"/>
          <w:b/>
          <w:bCs/>
          <w:color w:val="auto"/>
          <w:sz w:val="24"/>
          <w:szCs w:val="24"/>
        </w:rPr>
        <w:t>如全部满足，在偏离表中应答“全部满足”即可。</w:t>
      </w:r>
    </w:p>
    <w:p>
      <w:pPr>
        <w:spacing w:line="360" w:lineRule="auto"/>
        <w:ind w:firstLine="4080"/>
        <w:jc w:val="right"/>
        <w:rPr>
          <w:rFonts w:ascii="仿宋" w:hAnsi="仿宋" w:eastAsia="仿宋" w:cs="宋体"/>
          <w:color w:val="auto"/>
          <w:sz w:val="24"/>
          <w:szCs w:val="24"/>
        </w:rPr>
      </w:pPr>
    </w:p>
    <w:p>
      <w:pPr>
        <w:spacing w:line="360" w:lineRule="auto"/>
        <w:ind w:firstLine="4080"/>
        <w:jc w:val="right"/>
        <w:rPr>
          <w:rFonts w:ascii="仿宋" w:hAnsi="仿宋" w:eastAsia="仿宋" w:cs="宋体"/>
          <w:color w:val="auto"/>
          <w:sz w:val="24"/>
          <w:szCs w:val="24"/>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360" w:lineRule="auto"/>
        <w:jc w:val="right"/>
        <w:rPr>
          <w:color w:val="auto"/>
        </w:rPr>
        <w:sectPr>
          <w:pgSz w:w="11906" w:h="16838"/>
          <w:pgMar w:top="1440" w:right="1800" w:bottom="1440" w:left="1800" w:header="851" w:footer="992" w:gutter="0"/>
          <w:cols w:space="720" w:num="1"/>
          <w:titlePg/>
        </w:sect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pStyle w:val="5"/>
        <w:spacing w:line="360" w:lineRule="auto"/>
        <w:rPr>
          <w:rFonts w:hint="default" w:ascii="仿宋" w:hAnsi="仿宋" w:cs="宋体"/>
          <w:color w:val="auto"/>
          <w:szCs w:val="24"/>
        </w:rPr>
      </w:pPr>
      <w:bookmarkStart w:id="688" w:name="_Toc109124325"/>
      <w:bookmarkStart w:id="689" w:name="_Toc13858"/>
      <w:bookmarkStart w:id="690" w:name="_Toc76569394"/>
      <w:bookmarkStart w:id="691" w:name="_Toc65683012"/>
      <w:bookmarkStart w:id="692" w:name="_Toc17493"/>
      <w:r>
        <w:rPr>
          <w:rFonts w:ascii="仿宋" w:hAnsi="仿宋" w:cs="宋体"/>
          <w:color w:val="auto"/>
          <w:szCs w:val="24"/>
        </w:rPr>
        <w:t>（七）供应商</w:t>
      </w:r>
      <w:r>
        <w:rPr>
          <w:rFonts w:hint="default" w:ascii="仿宋" w:hAnsi="仿宋" w:cs="宋体"/>
          <w:color w:val="auto"/>
          <w:szCs w:val="24"/>
        </w:rPr>
        <w:t>行为准则承诺</w:t>
      </w:r>
      <w:r>
        <w:rPr>
          <w:rFonts w:ascii="仿宋" w:hAnsi="仿宋" w:cs="宋体"/>
          <w:color w:val="auto"/>
          <w:szCs w:val="24"/>
        </w:rPr>
        <w:t>书</w:t>
      </w:r>
      <w:bookmarkEnd w:id="688"/>
      <w:bookmarkEnd w:id="689"/>
      <w:bookmarkEnd w:id="690"/>
    </w:p>
    <w:p>
      <w:pPr>
        <w:spacing w:line="240" w:lineRule="auto"/>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供应商行为准则承诺书</w:t>
      </w:r>
    </w:p>
    <w:p>
      <w:pPr>
        <w:spacing w:line="360" w:lineRule="auto"/>
        <w:ind w:firstLine="480"/>
        <w:rPr>
          <w:rFonts w:ascii="仿宋" w:hAnsi="仿宋" w:eastAsia="仿宋" w:cs="仿宋"/>
          <w:color w:val="auto"/>
          <w:sz w:val="24"/>
        </w:rPr>
      </w:pPr>
      <w:bookmarkStart w:id="693" w:name="_Toc15599"/>
      <w:bookmarkStart w:id="694" w:name="_Toc76569395"/>
      <w:bookmarkStart w:id="695" w:name="_Toc109124326"/>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ascii="仿宋" w:hAnsi="仿宋" w:eastAsia="仿宋" w:cs="仿宋"/>
          <w:color w:val="auto"/>
          <w:sz w:val="24"/>
        </w:rPr>
      </w:pPr>
      <w:r>
        <w:rPr>
          <w:rFonts w:hint="eastAsia" w:ascii="仿宋" w:hAnsi="仿宋" w:eastAsia="仿宋" w:cs="仿宋"/>
          <w:color w:val="auto"/>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ascii="仿宋" w:hAnsi="仿宋" w:eastAsia="仿宋" w:cs="仿宋"/>
          <w:color w:val="auto"/>
          <w:sz w:val="24"/>
        </w:rPr>
      </w:pPr>
      <w:r>
        <w:rPr>
          <w:rFonts w:hint="eastAsia" w:ascii="仿宋" w:hAnsi="仿宋" w:eastAsia="仿宋" w:cs="仿宋"/>
          <w:color w:val="auto"/>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ascii="仿宋" w:hAnsi="仿宋" w:eastAsia="仿宋" w:cs="仿宋"/>
          <w:color w:val="auto"/>
          <w:sz w:val="24"/>
        </w:rPr>
      </w:pPr>
      <w:r>
        <w:rPr>
          <w:rFonts w:hint="eastAsia" w:ascii="仿宋" w:hAnsi="仿宋" w:eastAsia="仿宋" w:cs="仿宋"/>
          <w:color w:val="auto"/>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ascii="仿宋" w:hAnsi="仿宋" w:eastAsia="仿宋" w:cs="仿宋"/>
          <w:color w:val="auto"/>
          <w:sz w:val="24"/>
        </w:rPr>
      </w:pPr>
      <w:r>
        <w:rPr>
          <w:rFonts w:hint="eastAsia" w:ascii="仿宋" w:hAnsi="仿宋" w:eastAsia="仿宋" w:cs="仿宋"/>
          <w:color w:val="auto"/>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ascii="仿宋" w:hAnsi="仿宋" w:eastAsia="仿宋" w:cs="仿宋"/>
          <w:color w:val="auto"/>
          <w:sz w:val="24"/>
        </w:rPr>
      </w:pPr>
      <w:r>
        <w:rPr>
          <w:rFonts w:hint="eastAsia" w:ascii="仿宋" w:hAnsi="仿宋" w:eastAsia="仿宋" w:cs="仿宋"/>
          <w:color w:val="auto"/>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ascii="仿宋" w:hAnsi="仿宋" w:eastAsia="仿宋" w:cs="仿宋"/>
          <w:color w:val="auto"/>
          <w:sz w:val="24"/>
        </w:rPr>
      </w:pPr>
      <w:r>
        <w:rPr>
          <w:rFonts w:hint="eastAsia" w:ascii="仿宋" w:hAnsi="仿宋" w:eastAsia="仿宋" w:cs="仿宋"/>
          <w:color w:val="auto"/>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八、供应商承诺遵守中国人民保险有关采购管理和供应商管理的相关规定、履行相应义务。</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九、供应商参与中国人民保险采购过程中，将认真阅读并理解邀请文件的内容，并保证严格保密文件内容，不泄露中国人民保险任何信息。</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十三、采购过程中涉及函件往来的，使用供应商以下地址及联系方式：</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法定代表人（负责人）姓名、职务：__________________</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邮编：__________地址：__________________</w:t>
      </w:r>
    </w:p>
    <w:p>
      <w:pPr>
        <w:spacing w:line="360" w:lineRule="auto"/>
        <w:ind w:firstLine="480"/>
        <w:rPr>
          <w:rFonts w:ascii="仿宋" w:hAnsi="仿宋" w:eastAsia="仿宋" w:cs="仿宋"/>
          <w:color w:val="auto"/>
          <w:sz w:val="24"/>
        </w:rPr>
      </w:pPr>
      <w:r>
        <w:rPr>
          <w:rFonts w:hint="eastAsia" w:ascii="仿宋" w:hAnsi="仿宋" w:eastAsia="仿宋" w:cs="仿宋"/>
          <w:color w:val="auto"/>
          <w:sz w:val="24"/>
        </w:rPr>
        <w:t>电话：__________传真：__________________</w:t>
      </w:r>
    </w:p>
    <w:p>
      <w:pPr>
        <w:pStyle w:val="280"/>
        <w:tabs>
          <w:tab w:val="left" w:pos="3060"/>
        </w:tabs>
        <w:ind w:firstLine="480"/>
        <w:jc w:val="both"/>
        <w:rPr>
          <w:rFonts w:ascii="仿宋" w:hAnsi="仿宋" w:eastAsia="仿宋" w:cs="仿宋"/>
          <w:b w:val="0"/>
          <w:bCs/>
          <w:color w:val="auto"/>
          <w:sz w:val="24"/>
        </w:rPr>
      </w:pPr>
      <w:r>
        <w:rPr>
          <w:rFonts w:hint="eastAsia" w:ascii="仿宋" w:hAnsi="仿宋" w:eastAsia="仿宋" w:cs="仿宋"/>
          <w:b w:val="0"/>
          <w:bCs/>
          <w:color w:val="auto"/>
          <w:sz w:val="24"/>
        </w:rPr>
        <w:t>法定代表人（负责人）或授权代表签字：______________</w:t>
      </w:r>
    </w:p>
    <w:p>
      <w:pPr>
        <w:pStyle w:val="5"/>
        <w:rPr>
          <w:rFonts w:hint="default"/>
          <w:color w:val="auto"/>
        </w:rPr>
      </w:pPr>
      <w:r>
        <w:rPr>
          <w:rFonts w:ascii="仿宋" w:hAnsi="仿宋" w:cs="仿宋"/>
          <w:color w:val="auto"/>
        </w:rPr>
        <w:br w:type="page" w:clear="all"/>
      </w:r>
      <w:bookmarkStart w:id="696" w:name="_Toc3210"/>
      <w:r>
        <w:rPr>
          <w:color w:val="auto"/>
        </w:rPr>
        <w:t>（八）供应商廉洁诚信承诺书</w:t>
      </w:r>
      <w:bookmarkEnd w:id="693"/>
      <w:bookmarkEnd w:id="696"/>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rPr>
          <w:rFonts w:ascii="仿宋" w:hAnsi="仿宋" w:eastAsia="仿宋" w:cs="宋体"/>
          <w:color w:val="auto"/>
          <w:sz w:val="24"/>
        </w:rPr>
      </w:pP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为维护公平竞争的市场秩序和公正透明的商业环境，保证与</w:t>
      </w:r>
      <w:r>
        <w:rPr>
          <w:rFonts w:hint="eastAsia" w:ascii="仿宋" w:hAnsi="仿宋" w:eastAsia="仿宋" w:cs="仿宋"/>
          <w:color w:val="auto"/>
          <w:sz w:val="24"/>
        </w:rPr>
        <w:t>中国人民保险集团公司、各子公司以及各级分支机构（以下简称“中国人民保险”）</w:t>
      </w:r>
      <w:r>
        <w:rPr>
          <w:rFonts w:hint="eastAsia" w:ascii="仿宋" w:hAnsi="仿宋" w:eastAsia="仿宋" w:cs="宋体"/>
          <w:color w:val="auto"/>
          <w:sz w:val="24"/>
        </w:rPr>
        <w:t>合作项目的顺利进行，我方作为参与</w:t>
      </w:r>
      <w:r>
        <w:rPr>
          <w:rFonts w:hint="eastAsia" w:ascii="仿宋" w:hAnsi="仿宋" w:eastAsia="仿宋" w:cs="仿宋"/>
          <w:color w:val="auto"/>
          <w:sz w:val="24"/>
        </w:rPr>
        <w:t>中国人民保险</w:t>
      </w:r>
      <w:r>
        <w:rPr>
          <w:rFonts w:hint="eastAsia" w:ascii="仿宋" w:hAnsi="仿宋" w:eastAsia="仿宋" w:cs="宋体"/>
          <w:color w:val="auto"/>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rPr>
        <w:t>中国人民保险</w:t>
      </w:r>
      <w:r>
        <w:rPr>
          <w:rFonts w:hint="eastAsia" w:ascii="仿宋" w:hAnsi="仿宋" w:eastAsia="仿宋" w:cs="宋体"/>
          <w:color w:val="auto"/>
          <w:sz w:val="24"/>
        </w:rPr>
        <w:t>的合作过程中郑重承诺如下：</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rPr>
        <w:t>中国人民保险</w:t>
      </w:r>
      <w:r>
        <w:rPr>
          <w:rFonts w:hint="eastAsia" w:ascii="仿宋" w:hAnsi="仿宋" w:eastAsia="仿宋" w:cs="宋体"/>
          <w:color w:val="auto"/>
          <w:sz w:val="24"/>
        </w:rPr>
        <w:t>采购管理、供应商管理相关制度要求，坚决不从事任何违法违规违纪行为。</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二、避免利害关系承诺。我们将在采购过程中主动申报与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及相关主体的关联及利害关系，包括我们的相关主体与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三、廉洁自律承诺。我们坚决不以任何形式为获取或意图获取交易机会、竞争优势或谋取不正当利益而向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或相关主体实施商业贿赂或营私舞弊行为，包括但不限于：</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（1）以任何方式实施商业贿赂或违规提供金钱、实物、回扣、折扣、宴请与游玩活动或其他不正当利益；</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（2）为其安排有可能影响公平、公正交易的宴请、健身、娱乐等活动；</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（3）为其投资入股、个人借款或买卖股票、债券等提供方便；</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（4）为其购买或装修住房、婚丧嫁娶、配偶子女上学或工作安排以及出国出境、旅游等提供方便；</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（5）违反规定为其在我方相关企业工作、挂名兼职、合伙经营、介绍承揽业务等提供方便；</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（6）向其提供借款、融资、担保等；</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（7）给予或承诺给予其不正当利益的其他行为；</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（8）其他违反国家法律法规或商业道德准则的影响公正交易的行为。</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我们也不会以任何方式向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或相关主体索要金钱、实物等不正当利益，或收受中国人保或相关主体给予的金钱、实物等不正当利益。</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四、诚实信用承诺。我们坚决不进行任何违背诚实信用原则的行为，包括但不限于：</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出借、转让资质证书；</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伙同他人串标、围标或非法排挤竞争对手；</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在采购活动中提供虚假资料，以他人名义参与或者以其他方式弄虚作假，夸大自身技术和提供服务的能力，损害贵方合法权益；</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（4）隐瞒任何可能对贵方利益造成影响的信息，不配合贵方的审计。</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六、加强内部管理承诺。为了实现以上承诺要求，我们将积极配合采取以下措施，不断加强自身内部管理：</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（1）廉洁教育培训：加强对员工的廉洁教育和培训，提高员工的道德素质和法律意识，建立健全内部管理制度，确保员工行为的合规性和廉洁性；</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（2）设立监督机制：通过专门的监督机构或人员，对我方的业务活动进行实时监督，确保员工行为的合规性；</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（3）建立举报制度：鼓励员工积极举报违规行为，对举报人予以保护并给予奖励。</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七、配合监督承诺。我们将积极配合</w:t>
      </w:r>
      <w:r>
        <w:rPr>
          <w:rFonts w:hint="eastAsia" w:ascii="仿宋" w:hAnsi="仿宋" w:eastAsia="仿宋" w:cs="仿宋"/>
          <w:color w:val="auto"/>
          <w:sz w:val="24"/>
        </w:rPr>
        <w:t>中国人民保险</w:t>
      </w:r>
      <w:r>
        <w:rPr>
          <w:rFonts w:hint="eastAsia" w:ascii="仿宋" w:hAnsi="仿宋" w:eastAsia="仿宋" w:cs="宋体"/>
          <w:color w:val="auto"/>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八、如违反上述承诺，我方自愿承担以下法律责任：</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（1）如我方及我方工作人员违反本承诺书承诺，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有权依据其采购管理、供应商管理和采购文件相关要求，对我方进行严肃处理，相关处罚结果记入供应商诚信档案；</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（2）如我方及我方工作人员违反本承诺书承诺，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及其子公司等所有关联主体有权限制或取消我方在</w:t>
      </w:r>
      <w:r>
        <w:rPr>
          <w:rFonts w:hint="eastAsia" w:ascii="仿宋" w:hAnsi="仿宋" w:eastAsia="仿宋" w:cs="仿宋"/>
          <w:color w:val="auto"/>
          <w:sz w:val="24"/>
        </w:rPr>
        <w:t>中国人民保险</w:t>
      </w:r>
      <w:r>
        <w:rPr>
          <w:rFonts w:hint="eastAsia" w:ascii="仿宋" w:hAnsi="仿宋" w:eastAsia="仿宋" w:cs="宋体"/>
          <w:color w:val="auto"/>
          <w:sz w:val="24"/>
        </w:rPr>
        <w:t>参与采购项目的资格；</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（3）如我方及我方工作人员违反本承诺书承诺，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及其子公司等所有关联主体有权选择单方全面终止与我方的合同及合作而无需承担任何责任；</w:t>
      </w: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（4）如我方及我方工作人员违反本承诺书承诺，除承担前述（1）（2）（3）项责任外，</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及其子公司等所有关联主体有权扣除我方缴纳的投标保证金，投标保证金不足以弥补损失的，还有权要求我方承担相应的赔偿责任。</w:t>
      </w:r>
    </w:p>
    <w:p>
      <w:pPr>
        <w:spacing w:line="360" w:lineRule="auto"/>
        <w:ind w:firstLine="480"/>
        <w:rPr>
          <w:rFonts w:ascii="仿宋" w:hAnsi="仿宋" w:eastAsia="仿宋" w:cs="宋体"/>
          <w:color w:val="auto"/>
          <w:sz w:val="24"/>
        </w:rPr>
      </w:pPr>
    </w:p>
    <w:p>
      <w:pPr>
        <w:spacing w:line="360" w:lineRule="auto"/>
        <w:ind w:firstLine="480"/>
        <w:rPr>
          <w:rFonts w:ascii="仿宋" w:hAnsi="仿宋" w:eastAsia="仿宋" w:cs="宋体"/>
          <w:color w:val="auto"/>
          <w:sz w:val="24"/>
        </w:rPr>
      </w:pPr>
      <w:r>
        <w:rPr>
          <w:rFonts w:hint="eastAsia" w:ascii="仿宋" w:hAnsi="仿宋" w:eastAsia="仿宋" w:cs="宋体"/>
          <w:color w:val="auto"/>
          <w:sz w:val="24"/>
        </w:rPr>
        <w:t>本承诺书自承诺方签字和盖章之日起生效。如我方成功中选</w:t>
      </w:r>
      <w:r>
        <w:rPr>
          <w:rFonts w:hint="eastAsia" w:ascii="仿宋" w:hAnsi="仿宋" w:eastAsia="仿宋" w:cs="仿宋"/>
          <w:color w:val="auto"/>
          <w:sz w:val="24"/>
        </w:rPr>
        <w:t>中国人民保险</w:t>
      </w:r>
      <w:r>
        <w:rPr>
          <w:rFonts w:hint="eastAsia" w:ascii="仿宋" w:hAnsi="仿宋" w:eastAsia="仿宋" w:cs="宋体"/>
          <w:color w:val="auto"/>
          <w:sz w:val="24"/>
        </w:rPr>
        <w:t>采购项目，将按中国人民保险管理要求签署廉洁诚信协议作为采购合同附件，并严格遵守协议相关条款。</w:t>
      </w:r>
    </w:p>
    <w:p>
      <w:pPr>
        <w:pStyle w:val="2"/>
        <w:rPr>
          <w:rFonts w:ascii="仿宋" w:hAnsi="仿宋" w:eastAsia="仿宋" w:cs="宋体"/>
          <w:color w:val="auto"/>
          <w:sz w:val="24"/>
        </w:rPr>
      </w:pPr>
    </w:p>
    <w:p>
      <w:pPr>
        <w:pStyle w:val="30"/>
        <w:rPr>
          <w:color w:val="auto"/>
        </w:rPr>
      </w:pPr>
    </w:p>
    <w:p>
      <w:pPr>
        <w:spacing w:line="360" w:lineRule="auto"/>
        <w:ind w:firstLine="480"/>
        <w:jc w:val="left"/>
        <w:rPr>
          <w:rFonts w:ascii="仿宋" w:hAnsi="仿宋" w:eastAsia="仿宋" w:cs="宋体"/>
          <w:color w:val="auto"/>
          <w:sz w:val="24"/>
        </w:rPr>
      </w:pPr>
    </w:p>
    <w:p>
      <w:pPr>
        <w:tabs>
          <w:tab w:val="left" w:pos="458"/>
        </w:tabs>
        <w:spacing w:line="360" w:lineRule="auto"/>
        <w:ind w:firstLine="3578"/>
        <w:jc w:val="left"/>
        <w:rPr>
          <w:rFonts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3578"/>
        <w:jc w:val="left"/>
        <w:rPr>
          <w:rFonts w:ascii="仿宋" w:hAnsi="仿宋" w:eastAsia="仿宋" w:cs="仿宋"/>
          <w:color w:val="auto"/>
          <w:sz w:val="24"/>
        </w:rPr>
      </w:pPr>
      <w:r>
        <w:rPr>
          <w:rFonts w:hint="eastAsia" w:ascii="仿宋" w:hAnsi="仿宋" w:eastAsia="仿宋" w:cs="仿宋"/>
          <w:color w:val="auto"/>
          <w:sz w:val="24"/>
        </w:rPr>
        <w:t>法定代表人姓名、职务__________________</w:t>
      </w:r>
    </w:p>
    <w:p>
      <w:pPr>
        <w:spacing w:line="360" w:lineRule="auto"/>
        <w:ind w:firstLine="3578"/>
        <w:jc w:val="left"/>
        <w:rPr>
          <w:rFonts w:ascii="仿宋" w:hAnsi="仿宋" w:eastAsia="仿宋" w:cs="仿宋"/>
          <w:color w:val="auto"/>
          <w:sz w:val="24"/>
        </w:rPr>
      </w:pPr>
      <w:r>
        <w:rPr>
          <w:rFonts w:hint="eastAsia" w:ascii="仿宋" w:hAnsi="仿宋" w:eastAsia="仿宋" w:cs="仿宋"/>
          <w:color w:val="auto"/>
          <w:sz w:val="24"/>
        </w:rPr>
        <w:t>法定代表人或授权代表签字______________</w:t>
      </w:r>
    </w:p>
    <w:p>
      <w:pPr>
        <w:spacing w:line="360" w:lineRule="auto"/>
        <w:ind w:firstLine="3578"/>
        <w:jc w:val="left"/>
        <w:rPr>
          <w:rFonts w:ascii="宋体" w:hAnsi="宋体" w:cs="宋体"/>
          <w:vanish/>
          <w:color w:val="auto"/>
          <w:sz w:val="24"/>
        </w:rPr>
      </w:pPr>
      <w:r>
        <w:rPr>
          <w:rFonts w:hint="eastAsia" w:ascii="仿宋" w:hAnsi="仿宋" w:eastAsia="仿宋" w:cs="宋体"/>
          <w:color w:val="auto"/>
          <w:sz w:val="24"/>
        </w:rPr>
        <w:t>日期</w:t>
      </w:r>
      <w:r>
        <w:rPr>
          <w:rFonts w:hint="eastAsia" w:ascii="仿宋" w:hAnsi="仿宋" w:eastAsia="仿宋" w:cs="仿宋"/>
          <w:color w:val="auto"/>
          <w:sz w:val="24"/>
        </w:rPr>
        <w:t>__________________________________</w:t>
      </w:r>
    </w:p>
    <w:p>
      <w:pPr>
        <w:tabs>
          <w:tab w:val="left" w:pos="458"/>
        </w:tabs>
        <w:spacing w:line="600" w:lineRule="exact"/>
        <w:ind w:firstLine="3578"/>
        <w:jc w:val="left"/>
        <w:rPr>
          <w:rFonts w:ascii="仿宋" w:hAnsi="仿宋" w:eastAsia="仿宋" w:cs="仿宋"/>
          <w:color w:val="auto"/>
          <w:sz w:val="24"/>
        </w:rPr>
      </w:pPr>
    </w:p>
    <w:p>
      <w:pPr>
        <w:pStyle w:val="5"/>
        <w:spacing w:line="360" w:lineRule="auto"/>
        <w:rPr>
          <w:rFonts w:hint="default"/>
          <w:color w:val="auto"/>
        </w:rPr>
      </w:pPr>
      <w:r>
        <w:rPr>
          <w:rFonts w:hint="default" w:ascii="仿宋" w:hAnsi="仿宋"/>
          <w:color w:val="auto"/>
        </w:rPr>
        <w:br w:type="page" w:clear="all"/>
      </w:r>
      <w:bookmarkStart w:id="697" w:name="_Toc15311"/>
      <w:r>
        <w:rPr>
          <w:rFonts w:ascii="仿宋" w:hAnsi="仿宋" w:cs="仿宋"/>
          <w:color w:val="auto"/>
          <w:szCs w:val="24"/>
        </w:rPr>
        <w:t>（九）其他材料</w:t>
      </w:r>
      <w:bookmarkEnd w:id="691"/>
      <w:bookmarkEnd w:id="692"/>
      <w:bookmarkEnd w:id="694"/>
      <w:bookmarkEnd w:id="695"/>
      <w:bookmarkEnd w:id="697"/>
    </w:p>
    <w:p>
      <w:pPr>
        <w:rPr>
          <w:rFonts w:ascii="宋体" w:hAnsi="宋体"/>
          <w:color w:val="auto"/>
          <w:szCs w:val="21"/>
        </w:rPr>
      </w:pPr>
      <w:r>
        <w:rPr>
          <w:rFonts w:hint="eastAsia" w:ascii="仿宋" w:hAnsi="仿宋" w:eastAsia="仿宋" w:cs="Cambria Math"/>
          <w:color w:val="auto"/>
          <w:sz w:val="24"/>
        </w:rPr>
        <w:t>详细评审中商务部分涉及的文件及证明材料、</w:t>
      </w:r>
      <w:r>
        <w:rPr>
          <w:rFonts w:ascii="仿宋" w:hAnsi="仿宋" w:eastAsia="仿宋" w:cs="宋体"/>
          <w:color w:val="auto"/>
          <w:sz w:val="24"/>
          <w:szCs w:val="24"/>
        </w:rPr>
        <w:t>投标人认为需提供的其他材料</w:t>
      </w:r>
      <w:r>
        <w:rPr>
          <w:rFonts w:hint="eastAsia" w:ascii="仿宋" w:hAnsi="仿宋" w:eastAsia="仿宋" w:cs="宋体"/>
          <w:color w:val="auto"/>
          <w:sz w:val="24"/>
          <w:szCs w:val="24"/>
        </w:rPr>
        <w:t>。</w:t>
      </w:r>
    </w:p>
    <w:p>
      <w:pPr>
        <w:pStyle w:val="4"/>
        <w:jc w:val="center"/>
        <w:rPr>
          <w:rFonts w:ascii="仿宋" w:hAnsi="仿宋" w:cs="宋体"/>
          <w:color w:val="auto"/>
          <w:szCs w:val="24"/>
        </w:rPr>
      </w:pPr>
      <w:r>
        <w:rPr>
          <w:rFonts w:hint="eastAsia" w:ascii="仿宋" w:hAnsi="仿宋" w:cs="宋体"/>
          <w:color w:val="auto"/>
        </w:rPr>
        <w:br w:type="page" w:clear="all"/>
      </w:r>
      <w:bookmarkStart w:id="698" w:name="_Toc20302"/>
      <w:bookmarkStart w:id="699" w:name="_Toc65683013"/>
      <w:bookmarkStart w:id="700" w:name="_Toc109124327"/>
      <w:bookmarkStart w:id="701" w:name="_Toc1018"/>
      <w:r>
        <w:rPr>
          <w:rFonts w:hint="eastAsia" w:ascii="仿宋" w:hAnsi="仿宋" w:cs="宋体"/>
          <w:color w:val="auto"/>
          <w:szCs w:val="24"/>
        </w:rPr>
        <w:t>二、技术文件</w:t>
      </w:r>
      <w:bookmarkEnd w:id="698"/>
      <w:bookmarkEnd w:id="699"/>
      <w:bookmarkEnd w:id="700"/>
      <w:bookmarkEnd w:id="701"/>
    </w:p>
    <w:p>
      <w:pPr>
        <w:pStyle w:val="5"/>
        <w:ind w:firstLine="482"/>
        <w:rPr>
          <w:rFonts w:hint="default" w:ascii="仿宋" w:hAnsi="仿宋" w:cs="宋体"/>
          <w:b w:val="0"/>
          <w:color w:val="auto"/>
        </w:rPr>
      </w:pPr>
      <w:bookmarkStart w:id="702" w:name="_Toc8506"/>
      <w:bookmarkStart w:id="703" w:name="_Toc112068406"/>
      <w:bookmarkStart w:id="704" w:name="_Toc29153"/>
      <w:bookmarkStart w:id="705" w:name="_Toc65683014"/>
      <w:bookmarkStart w:id="706" w:name="_Toc109124328"/>
      <w:r>
        <w:rPr>
          <w:rFonts w:ascii="仿宋" w:hAnsi="仿宋" w:cs="宋体"/>
          <w:color w:val="auto"/>
        </w:rPr>
        <w:t>详细评审索引表</w:t>
      </w:r>
      <w:bookmarkEnd w:id="702"/>
      <w:bookmarkEnd w:id="703"/>
    </w:p>
    <w:tbl>
      <w:tblPr>
        <w:tblStyle w:val="41"/>
        <w:tblW w:w="9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1621"/>
        <w:gridCol w:w="2319"/>
        <w:gridCol w:w="47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widowControl/>
              <w:jc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31" w:type="dxa"/>
            <w:tcMar>
              <w:top w:w="15" w:type="dxa"/>
              <w:left w:w="15" w:type="dxa"/>
              <w:right w:w="15" w:type="dxa"/>
            </w:tcMar>
            <w:vAlign w:val="center"/>
          </w:tcPr>
          <w:p>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2333" w:type="dxa"/>
          </w:tcPr>
          <w:p>
            <w:pPr>
              <w:widowControl/>
              <w:spacing w:line="240" w:lineRule="auto"/>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820" w:type="dxa"/>
            <w:tcMar>
              <w:top w:w="15" w:type="dxa"/>
              <w:left w:w="15" w:type="dxa"/>
              <w:right w:w="15" w:type="dxa"/>
            </w:tcMar>
            <w:vAlign w:val="center"/>
          </w:tcPr>
          <w:p>
            <w:pPr>
              <w:widowControl/>
              <w:spacing w:line="240" w:lineRule="auto"/>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widowControl/>
              <w:jc w:val="center"/>
              <w:rPr>
                <w:rFonts w:ascii="仿宋" w:hAnsi="仿宋" w:eastAsia="仿宋" w:cs="宋体"/>
                <w:color w:val="auto"/>
                <w:szCs w:val="21"/>
                <w:lang w:bidi="ar"/>
              </w:rPr>
            </w:pPr>
            <w:r>
              <w:rPr>
                <w:rFonts w:hint="eastAsia" w:ascii="仿宋" w:hAnsi="仿宋" w:eastAsia="仿宋" w:cs="宋体"/>
                <w:color w:val="auto"/>
                <w:szCs w:val="21"/>
                <w:lang w:bidi="ar"/>
              </w:rPr>
              <w:t>1</w:t>
            </w:r>
          </w:p>
        </w:tc>
        <w:tc>
          <w:tcPr>
            <w:tcW w:w="1631" w:type="dxa"/>
            <w:vMerge w:val="restart"/>
            <w:tcMar>
              <w:top w:w="15" w:type="dxa"/>
              <w:left w:w="15" w:type="dxa"/>
              <w:right w:w="15" w:type="dxa"/>
            </w:tcMar>
            <w:vAlign w:val="center"/>
          </w:tcPr>
          <w:p>
            <w:pPr>
              <w:widowControl/>
              <w:jc w:val="center"/>
              <w:rPr>
                <w:rFonts w:ascii="仿宋" w:hAnsi="仿宋" w:eastAsia="仿宋" w:cs="宋体"/>
                <w:color w:val="auto"/>
                <w:szCs w:val="21"/>
              </w:rPr>
            </w:pPr>
            <w:r>
              <w:rPr>
                <w:rFonts w:hint="eastAsia" w:ascii="仿宋" w:hAnsi="仿宋" w:eastAsia="仿宋" w:cs="宋体"/>
                <w:color w:val="auto"/>
                <w:szCs w:val="21"/>
              </w:rPr>
              <w:t>技术得分</w:t>
            </w:r>
          </w:p>
          <w:p>
            <w:pPr>
              <w:widowControl/>
              <w:jc w:val="center"/>
              <w:rPr>
                <w:rFonts w:ascii="仿宋" w:hAnsi="仿宋" w:eastAsia="仿宋" w:cs="宋体"/>
                <w:color w:val="auto"/>
                <w:szCs w:val="21"/>
                <w:lang w:bidi="ar"/>
              </w:rPr>
            </w:pPr>
            <w:r>
              <w:rPr>
                <w:rFonts w:hint="eastAsia" w:ascii="仿宋" w:hAnsi="仿宋" w:eastAsia="仿宋" w:cs="宋体"/>
                <w:color w:val="auto"/>
                <w:szCs w:val="21"/>
              </w:rPr>
              <w:t>（30分）</w:t>
            </w:r>
          </w:p>
        </w:tc>
        <w:tc>
          <w:tcPr>
            <w:tcW w:w="2333" w:type="dxa"/>
            <w:vAlign w:val="center"/>
          </w:tcPr>
          <w:p>
            <w:pPr>
              <w:widowControl/>
              <w:spacing w:line="240" w:lineRule="auto"/>
              <w:jc w:val="left"/>
              <w:rPr>
                <w:rFonts w:ascii="仿宋" w:hAnsi="仿宋" w:eastAsia="仿宋" w:cs="宋体"/>
                <w:color w:val="auto"/>
                <w:szCs w:val="21"/>
              </w:rPr>
            </w:pPr>
            <w:r>
              <w:rPr>
                <w:rFonts w:hint="eastAsia" w:ascii="仿宋" w:hAnsi="仿宋" w:eastAsia="仿宋" w:cs="仿宋"/>
                <w:color w:val="auto"/>
                <w:szCs w:val="21"/>
                <w:lang w:bidi="ar"/>
              </w:rPr>
              <w:t>施工方案与技术措施（6分）</w:t>
            </w:r>
          </w:p>
        </w:tc>
        <w:tc>
          <w:tcPr>
            <w:tcW w:w="4820" w:type="dxa"/>
            <w:tcMar>
              <w:top w:w="15" w:type="dxa"/>
              <w:left w:w="15" w:type="dxa"/>
              <w:right w:w="15" w:type="dxa"/>
            </w:tcMar>
            <w:vAlign w:val="center"/>
          </w:tcPr>
          <w:p>
            <w:pPr>
              <w:spacing w:line="240" w:lineRule="auto"/>
              <w:rPr>
                <w:rStyle w:val="262"/>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widowControl/>
              <w:jc w:val="center"/>
              <w:rPr>
                <w:rFonts w:ascii="仿宋" w:hAnsi="仿宋" w:eastAsia="仿宋" w:cs="宋体"/>
                <w:color w:val="auto"/>
                <w:szCs w:val="21"/>
                <w:lang w:bidi="ar"/>
              </w:rPr>
            </w:pPr>
            <w:r>
              <w:rPr>
                <w:rFonts w:hint="eastAsia" w:ascii="仿宋" w:hAnsi="仿宋" w:eastAsia="仿宋" w:cs="宋体"/>
                <w:color w:val="auto"/>
                <w:szCs w:val="21"/>
                <w:lang w:bidi="ar"/>
              </w:rPr>
              <w:t>2</w:t>
            </w:r>
          </w:p>
        </w:tc>
        <w:tc>
          <w:tcPr>
            <w:tcW w:w="1631" w:type="dxa"/>
            <w:vMerge w:val="continue"/>
            <w:tcMar>
              <w:top w:w="15" w:type="dxa"/>
              <w:left w:w="15" w:type="dxa"/>
              <w:right w:w="15" w:type="dxa"/>
            </w:tcMar>
            <w:vAlign w:val="center"/>
          </w:tcPr>
          <w:p>
            <w:pPr>
              <w:widowControl/>
              <w:jc w:val="center"/>
              <w:rPr>
                <w:rFonts w:ascii="仿宋" w:hAnsi="仿宋" w:eastAsia="仿宋" w:cs="宋体"/>
                <w:color w:val="auto"/>
                <w:szCs w:val="21"/>
              </w:rPr>
            </w:pPr>
          </w:p>
        </w:tc>
        <w:tc>
          <w:tcPr>
            <w:tcW w:w="2333" w:type="dxa"/>
            <w:vAlign w:val="center"/>
          </w:tcPr>
          <w:p>
            <w:pPr>
              <w:widowControl/>
              <w:spacing w:line="240" w:lineRule="auto"/>
              <w:jc w:val="left"/>
              <w:rPr>
                <w:rFonts w:ascii="仿宋" w:hAnsi="仿宋" w:eastAsia="仿宋" w:cs="宋体"/>
                <w:color w:val="auto"/>
                <w:szCs w:val="21"/>
              </w:rPr>
            </w:pPr>
            <w:r>
              <w:rPr>
                <w:rStyle w:val="236"/>
                <w:rFonts w:hint="default"/>
                <w:color w:val="auto"/>
                <w:lang w:bidi="ar"/>
              </w:rPr>
              <w:t>质量管理体系及保证措施（4分）</w:t>
            </w:r>
          </w:p>
        </w:tc>
        <w:tc>
          <w:tcPr>
            <w:tcW w:w="4820" w:type="dxa"/>
            <w:tcMar>
              <w:top w:w="15" w:type="dxa"/>
              <w:left w:w="15" w:type="dxa"/>
              <w:right w:w="15" w:type="dxa"/>
            </w:tcMar>
            <w:vAlign w:val="center"/>
          </w:tcPr>
          <w:p>
            <w:pPr>
              <w:spacing w:line="240" w:lineRule="auto"/>
              <w:rPr>
                <w:rStyle w:val="262"/>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widowControl/>
              <w:jc w:val="center"/>
              <w:rPr>
                <w:rFonts w:ascii="仿宋" w:hAnsi="仿宋" w:eastAsia="仿宋" w:cs="宋体"/>
                <w:color w:val="auto"/>
                <w:szCs w:val="21"/>
                <w:lang w:bidi="ar"/>
              </w:rPr>
            </w:pPr>
            <w:r>
              <w:rPr>
                <w:rFonts w:hint="eastAsia" w:ascii="仿宋" w:hAnsi="仿宋" w:eastAsia="仿宋" w:cs="宋体"/>
                <w:color w:val="auto"/>
                <w:szCs w:val="21"/>
                <w:lang w:bidi="ar"/>
              </w:rPr>
              <w:t>3</w:t>
            </w:r>
          </w:p>
        </w:tc>
        <w:tc>
          <w:tcPr>
            <w:tcW w:w="1631" w:type="dxa"/>
            <w:vMerge w:val="continue"/>
            <w:tcMar>
              <w:top w:w="15" w:type="dxa"/>
              <w:left w:w="15" w:type="dxa"/>
              <w:right w:w="15" w:type="dxa"/>
            </w:tcMar>
            <w:vAlign w:val="center"/>
          </w:tcPr>
          <w:p>
            <w:pPr>
              <w:widowControl/>
              <w:jc w:val="center"/>
              <w:rPr>
                <w:rFonts w:ascii="仿宋" w:hAnsi="仿宋" w:eastAsia="仿宋" w:cs="宋体"/>
                <w:color w:val="auto"/>
                <w:szCs w:val="21"/>
              </w:rPr>
            </w:pPr>
          </w:p>
        </w:tc>
        <w:tc>
          <w:tcPr>
            <w:tcW w:w="2333" w:type="dxa"/>
            <w:vAlign w:val="center"/>
          </w:tcPr>
          <w:p>
            <w:pPr>
              <w:widowControl/>
              <w:spacing w:line="240" w:lineRule="auto"/>
              <w:jc w:val="left"/>
              <w:rPr>
                <w:rFonts w:ascii="仿宋" w:hAnsi="仿宋" w:eastAsia="仿宋" w:cs="宋体"/>
                <w:color w:val="auto"/>
                <w:szCs w:val="21"/>
              </w:rPr>
            </w:pPr>
            <w:r>
              <w:rPr>
                <w:rFonts w:hint="eastAsia" w:ascii="仿宋" w:hAnsi="仿宋" w:eastAsia="仿宋" w:cs="仿宋"/>
                <w:color w:val="auto"/>
                <w:szCs w:val="21"/>
                <w:lang w:bidi="ar"/>
              </w:rPr>
              <w:t>安全文明施工与安全管理体系与措施（3分）</w:t>
            </w:r>
          </w:p>
        </w:tc>
        <w:tc>
          <w:tcPr>
            <w:tcW w:w="4820" w:type="dxa"/>
            <w:tcMar>
              <w:top w:w="15" w:type="dxa"/>
              <w:left w:w="15" w:type="dxa"/>
              <w:right w:w="15" w:type="dxa"/>
            </w:tcMar>
            <w:vAlign w:val="center"/>
          </w:tcPr>
          <w:p>
            <w:pPr>
              <w:spacing w:line="240" w:lineRule="auto"/>
              <w:rPr>
                <w:rStyle w:val="262"/>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widowControl/>
              <w:jc w:val="center"/>
              <w:rPr>
                <w:rFonts w:ascii="仿宋" w:hAnsi="仿宋" w:eastAsia="仿宋" w:cs="宋体"/>
                <w:color w:val="auto"/>
                <w:szCs w:val="21"/>
                <w:lang w:bidi="ar"/>
              </w:rPr>
            </w:pPr>
            <w:r>
              <w:rPr>
                <w:rFonts w:hint="eastAsia" w:ascii="仿宋" w:hAnsi="仿宋" w:eastAsia="仿宋" w:cs="宋体"/>
                <w:color w:val="auto"/>
                <w:szCs w:val="21"/>
                <w:lang w:bidi="ar"/>
              </w:rPr>
              <w:t>4</w:t>
            </w:r>
          </w:p>
        </w:tc>
        <w:tc>
          <w:tcPr>
            <w:tcW w:w="1631" w:type="dxa"/>
            <w:vMerge w:val="continue"/>
            <w:tcMar>
              <w:top w:w="15" w:type="dxa"/>
              <w:left w:w="15" w:type="dxa"/>
              <w:right w:w="15" w:type="dxa"/>
            </w:tcMar>
            <w:vAlign w:val="center"/>
          </w:tcPr>
          <w:p>
            <w:pPr>
              <w:widowControl/>
              <w:jc w:val="center"/>
              <w:rPr>
                <w:rFonts w:ascii="仿宋" w:hAnsi="仿宋" w:eastAsia="仿宋" w:cs="宋体"/>
                <w:color w:val="auto"/>
                <w:szCs w:val="21"/>
              </w:rPr>
            </w:pPr>
          </w:p>
        </w:tc>
        <w:tc>
          <w:tcPr>
            <w:tcW w:w="2333" w:type="dxa"/>
            <w:vAlign w:val="center"/>
          </w:tcPr>
          <w:p>
            <w:pPr>
              <w:widowControl/>
              <w:spacing w:line="240" w:lineRule="auto"/>
              <w:jc w:val="left"/>
              <w:rPr>
                <w:rFonts w:ascii="仿宋" w:hAnsi="仿宋" w:eastAsia="仿宋" w:cs="宋体"/>
                <w:color w:val="auto"/>
                <w:szCs w:val="21"/>
              </w:rPr>
            </w:pPr>
            <w:r>
              <w:rPr>
                <w:rFonts w:hint="eastAsia" w:ascii="仿宋" w:hAnsi="仿宋" w:eastAsia="仿宋" w:cs="仿宋"/>
                <w:color w:val="auto"/>
                <w:szCs w:val="21"/>
                <w:lang w:bidi="ar"/>
              </w:rPr>
              <w:t>环境保护管理体系与措施（3分）</w:t>
            </w:r>
          </w:p>
        </w:tc>
        <w:tc>
          <w:tcPr>
            <w:tcW w:w="4820" w:type="dxa"/>
            <w:tcMar>
              <w:top w:w="15" w:type="dxa"/>
              <w:left w:w="15" w:type="dxa"/>
              <w:right w:w="15" w:type="dxa"/>
            </w:tcMar>
            <w:vAlign w:val="center"/>
          </w:tcPr>
          <w:p>
            <w:pPr>
              <w:spacing w:line="240" w:lineRule="auto"/>
              <w:rPr>
                <w:rStyle w:val="262"/>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widowControl/>
              <w:jc w:val="center"/>
              <w:rPr>
                <w:rFonts w:ascii="仿宋" w:hAnsi="仿宋" w:eastAsia="仿宋" w:cs="宋体"/>
                <w:color w:val="auto"/>
                <w:szCs w:val="21"/>
                <w:lang w:bidi="ar"/>
              </w:rPr>
            </w:pPr>
            <w:r>
              <w:rPr>
                <w:rFonts w:hint="eastAsia" w:ascii="仿宋" w:hAnsi="仿宋" w:eastAsia="仿宋" w:cs="宋体"/>
                <w:color w:val="auto"/>
                <w:szCs w:val="21"/>
                <w:lang w:bidi="ar"/>
              </w:rPr>
              <w:t>5</w:t>
            </w:r>
          </w:p>
        </w:tc>
        <w:tc>
          <w:tcPr>
            <w:tcW w:w="1631" w:type="dxa"/>
            <w:vMerge w:val="continue"/>
            <w:tcMar>
              <w:top w:w="15" w:type="dxa"/>
              <w:left w:w="15" w:type="dxa"/>
              <w:right w:w="15" w:type="dxa"/>
            </w:tcMar>
            <w:vAlign w:val="center"/>
          </w:tcPr>
          <w:p>
            <w:pPr>
              <w:widowControl/>
              <w:jc w:val="center"/>
              <w:rPr>
                <w:rFonts w:ascii="仿宋" w:hAnsi="仿宋" w:eastAsia="仿宋" w:cs="宋体"/>
                <w:color w:val="auto"/>
                <w:szCs w:val="21"/>
              </w:rPr>
            </w:pPr>
          </w:p>
        </w:tc>
        <w:tc>
          <w:tcPr>
            <w:tcW w:w="2333" w:type="dxa"/>
            <w:vAlign w:val="center"/>
          </w:tcPr>
          <w:p>
            <w:pPr>
              <w:widowControl/>
              <w:spacing w:line="240" w:lineRule="auto"/>
              <w:jc w:val="left"/>
              <w:rPr>
                <w:rFonts w:ascii="仿宋" w:hAnsi="仿宋" w:eastAsia="仿宋" w:cs="宋体"/>
                <w:color w:val="auto"/>
                <w:szCs w:val="21"/>
              </w:rPr>
            </w:pPr>
            <w:r>
              <w:rPr>
                <w:rStyle w:val="236"/>
                <w:rFonts w:hint="default"/>
                <w:color w:val="auto"/>
                <w:lang w:bidi="ar"/>
              </w:rPr>
              <w:t>工程进度计划与措施（4分）</w:t>
            </w:r>
          </w:p>
        </w:tc>
        <w:tc>
          <w:tcPr>
            <w:tcW w:w="4820" w:type="dxa"/>
            <w:tcMar>
              <w:top w:w="15" w:type="dxa"/>
              <w:left w:w="15" w:type="dxa"/>
              <w:right w:w="15" w:type="dxa"/>
            </w:tcMar>
            <w:vAlign w:val="center"/>
          </w:tcPr>
          <w:p>
            <w:pPr>
              <w:spacing w:line="240" w:lineRule="auto"/>
              <w:rPr>
                <w:rStyle w:val="262"/>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widowControl/>
              <w:jc w:val="center"/>
              <w:rPr>
                <w:rFonts w:ascii="仿宋" w:hAnsi="仿宋" w:eastAsia="仿宋" w:cs="宋体"/>
                <w:color w:val="auto"/>
                <w:szCs w:val="21"/>
                <w:lang w:bidi="ar"/>
              </w:rPr>
            </w:pPr>
            <w:r>
              <w:rPr>
                <w:rFonts w:hint="eastAsia" w:ascii="仿宋" w:hAnsi="仿宋" w:eastAsia="仿宋" w:cs="宋体"/>
                <w:color w:val="auto"/>
                <w:szCs w:val="21"/>
                <w:lang w:bidi="ar"/>
              </w:rPr>
              <w:t>6</w:t>
            </w:r>
          </w:p>
        </w:tc>
        <w:tc>
          <w:tcPr>
            <w:tcW w:w="1631" w:type="dxa"/>
            <w:vMerge w:val="continue"/>
            <w:tcMar>
              <w:top w:w="15" w:type="dxa"/>
              <w:left w:w="15" w:type="dxa"/>
              <w:right w:w="15" w:type="dxa"/>
            </w:tcMar>
            <w:vAlign w:val="center"/>
          </w:tcPr>
          <w:p>
            <w:pPr>
              <w:widowControl/>
              <w:jc w:val="center"/>
              <w:rPr>
                <w:rFonts w:ascii="仿宋" w:hAnsi="仿宋" w:eastAsia="仿宋" w:cs="宋体"/>
                <w:color w:val="auto"/>
                <w:szCs w:val="21"/>
              </w:rPr>
            </w:pPr>
          </w:p>
        </w:tc>
        <w:tc>
          <w:tcPr>
            <w:tcW w:w="2333" w:type="dxa"/>
            <w:vAlign w:val="center"/>
          </w:tcPr>
          <w:p>
            <w:pPr>
              <w:widowControl/>
              <w:spacing w:line="240" w:lineRule="auto"/>
              <w:jc w:val="left"/>
              <w:rPr>
                <w:rFonts w:ascii="仿宋" w:hAnsi="仿宋" w:eastAsia="仿宋" w:cs="宋体"/>
                <w:color w:val="auto"/>
                <w:szCs w:val="21"/>
              </w:rPr>
            </w:pPr>
            <w:r>
              <w:rPr>
                <w:rFonts w:hint="eastAsia" w:ascii="仿宋" w:hAnsi="仿宋" w:eastAsia="仿宋" w:cs="仿宋"/>
                <w:color w:val="auto"/>
                <w:szCs w:val="21"/>
                <w:lang w:bidi="ar"/>
              </w:rPr>
              <w:t>项目经理任职资格（3分）</w:t>
            </w:r>
          </w:p>
        </w:tc>
        <w:tc>
          <w:tcPr>
            <w:tcW w:w="4820" w:type="dxa"/>
            <w:tcMar>
              <w:top w:w="15" w:type="dxa"/>
              <w:left w:w="15" w:type="dxa"/>
              <w:right w:w="15" w:type="dxa"/>
            </w:tcMar>
            <w:vAlign w:val="center"/>
          </w:tcPr>
          <w:p>
            <w:pPr>
              <w:spacing w:line="240" w:lineRule="auto"/>
              <w:rPr>
                <w:rStyle w:val="262"/>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widowControl/>
              <w:jc w:val="center"/>
              <w:rPr>
                <w:rFonts w:ascii="仿宋" w:hAnsi="仿宋" w:eastAsia="仿宋" w:cs="宋体"/>
                <w:color w:val="auto"/>
                <w:szCs w:val="21"/>
                <w:lang w:bidi="ar"/>
              </w:rPr>
            </w:pPr>
            <w:r>
              <w:rPr>
                <w:rFonts w:hint="eastAsia" w:ascii="仿宋" w:hAnsi="仿宋" w:eastAsia="仿宋" w:cs="宋体"/>
                <w:color w:val="auto"/>
                <w:szCs w:val="21"/>
                <w:lang w:bidi="ar"/>
              </w:rPr>
              <w:t>7</w:t>
            </w:r>
          </w:p>
        </w:tc>
        <w:tc>
          <w:tcPr>
            <w:tcW w:w="1631" w:type="dxa"/>
            <w:vMerge w:val="continue"/>
            <w:tcMar>
              <w:top w:w="15" w:type="dxa"/>
              <w:left w:w="15" w:type="dxa"/>
              <w:right w:w="15" w:type="dxa"/>
            </w:tcMar>
            <w:vAlign w:val="center"/>
          </w:tcPr>
          <w:p>
            <w:pPr>
              <w:widowControl/>
              <w:jc w:val="center"/>
              <w:rPr>
                <w:rFonts w:ascii="仿宋" w:hAnsi="仿宋" w:eastAsia="仿宋" w:cs="宋体"/>
                <w:color w:val="auto"/>
                <w:szCs w:val="21"/>
              </w:rPr>
            </w:pPr>
          </w:p>
        </w:tc>
        <w:tc>
          <w:tcPr>
            <w:tcW w:w="2333" w:type="dxa"/>
            <w:vAlign w:val="center"/>
          </w:tcPr>
          <w:p>
            <w:pPr>
              <w:widowControl/>
              <w:spacing w:line="240" w:lineRule="auto"/>
              <w:jc w:val="left"/>
              <w:rPr>
                <w:rFonts w:ascii="仿宋" w:hAnsi="仿宋" w:eastAsia="仿宋" w:cs="宋体"/>
                <w:color w:val="auto"/>
                <w:szCs w:val="21"/>
              </w:rPr>
            </w:pPr>
            <w:r>
              <w:rPr>
                <w:rFonts w:hint="eastAsia" w:ascii="仿宋" w:hAnsi="仿宋" w:eastAsia="仿宋" w:cs="仿宋"/>
                <w:color w:val="auto"/>
                <w:szCs w:val="21"/>
                <w:lang w:bidi="ar"/>
              </w:rPr>
              <w:t>技术负责人任职资格（3分）</w:t>
            </w:r>
          </w:p>
        </w:tc>
        <w:tc>
          <w:tcPr>
            <w:tcW w:w="4820" w:type="dxa"/>
            <w:tcMar>
              <w:top w:w="15" w:type="dxa"/>
              <w:left w:w="15" w:type="dxa"/>
              <w:right w:w="15" w:type="dxa"/>
            </w:tcMar>
            <w:vAlign w:val="center"/>
          </w:tcPr>
          <w:p>
            <w:pPr>
              <w:spacing w:line="240" w:lineRule="auto"/>
              <w:rPr>
                <w:rStyle w:val="262"/>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widowControl/>
              <w:jc w:val="center"/>
              <w:rPr>
                <w:rFonts w:ascii="仿宋" w:hAnsi="仿宋" w:eastAsia="仿宋" w:cs="宋体"/>
                <w:color w:val="auto"/>
                <w:szCs w:val="21"/>
                <w:lang w:bidi="ar"/>
              </w:rPr>
            </w:pPr>
            <w:r>
              <w:rPr>
                <w:rFonts w:hint="eastAsia" w:ascii="仿宋" w:hAnsi="仿宋" w:eastAsia="仿宋" w:cs="宋体"/>
                <w:color w:val="auto"/>
                <w:szCs w:val="21"/>
                <w:lang w:bidi="ar"/>
              </w:rPr>
              <w:t>8</w:t>
            </w:r>
          </w:p>
        </w:tc>
        <w:tc>
          <w:tcPr>
            <w:tcW w:w="1631" w:type="dxa"/>
            <w:vMerge w:val="continue"/>
            <w:tcMar>
              <w:top w:w="15" w:type="dxa"/>
              <w:left w:w="15" w:type="dxa"/>
              <w:right w:w="15" w:type="dxa"/>
            </w:tcMar>
            <w:vAlign w:val="center"/>
          </w:tcPr>
          <w:p>
            <w:pPr>
              <w:widowControl/>
              <w:jc w:val="center"/>
              <w:rPr>
                <w:rFonts w:ascii="仿宋" w:hAnsi="仿宋" w:eastAsia="仿宋" w:cs="宋体"/>
                <w:color w:val="auto"/>
                <w:szCs w:val="21"/>
              </w:rPr>
            </w:pPr>
          </w:p>
        </w:tc>
        <w:tc>
          <w:tcPr>
            <w:tcW w:w="2333" w:type="dxa"/>
            <w:vAlign w:val="center"/>
          </w:tcPr>
          <w:p>
            <w:pPr>
              <w:widowControl/>
              <w:spacing w:line="240" w:lineRule="auto"/>
              <w:jc w:val="left"/>
              <w:rPr>
                <w:rFonts w:ascii="仿宋" w:hAnsi="仿宋" w:eastAsia="仿宋" w:cs="宋体"/>
                <w:color w:val="auto"/>
                <w:szCs w:val="21"/>
              </w:rPr>
            </w:pPr>
            <w:r>
              <w:rPr>
                <w:rFonts w:hint="eastAsia" w:ascii="仿宋" w:hAnsi="仿宋" w:eastAsia="仿宋" w:cs="仿宋"/>
                <w:color w:val="auto"/>
                <w:szCs w:val="21"/>
                <w:lang w:bidi="ar"/>
              </w:rPr>
              <w:t>其他主要人员配备情况（4分）</w:t>
            </w:r>
          </w:p>
        </w:tc>
        <w:tc>
          <w:tcPr>
            <w:tcW w:w="4820" w:type="dxa"/>
            <w:tcMar>
              <w:top w:w="15" w:type="dxa"/>
              <w:left w:w="15" w:type="dxa"/>
              <w:right w:w="15" w:type="dxa"/>
            </w:tcMar>
            <w:vAlign w:val="center"/>
          </w:tcPr>
          <w:p>
            <w:pPr>
              <w:spacing w:line="240" w:lineRule="auto"/>
              <w:rPr>
                <w:rStyle w:val="262"/>
                <w:rFonts w:hint="default" w:cs="宋体"/>
                <w:color w:val="auto"/>
                <w:lang w:bidi="ar"/>
              </w:rPr>
            </w:pPr>
          </w:p>
        </w:tc>
      </w:tr>
    </w:tbl>
    <w:p>
      <w:pPr>
        <w:rPr>
          <w:rFonts w:ascii="仿宋" w:hAnsi="仿宋" w:cs="宋体"/>
          <w:color w:val="auto"/>
          <w:szCs w:val="24"/>
        </w:rPr>
      </w:pPr>
      <w:r>
        <w:rPr>
          <w:rFonts w:ascii="仿宋" w:hAnsi="仿宋" w:cs="宋体"/>
          <w:color w:val="auto"/>
          <w:szCs w:val="24"/>
        </w:rPr>
        <w:br w:type="page" w:clear="all"/>
      </w:r>
    </w:p>
    <w:p>
      <w:pPr>
        <w:pStyle w:val="5"/>
        <w:spacing w:line="360" w:lineRule="auto"/>
        <w:rPr>
          <w:rFonts w:hint="default" w:ascii="仿宋" w:hAnsi="仿宋" w:cs="宋体"/>
          <w:color w:val="auto"/>
          <w:szCs w:val="24"/>
        </w:rPr>
      </w:pPr>
      <w:bookmarkStart w:id="707" w:name="_Toc16677"/>
      <w:r>
        <w:rPr>
          <w:rFonts w:ascii="仿宋" w:hAnsi="仿宋" w:cs="宋体"/>
          <w:color w:val="auto"/>
          <w:szCs w:val="24"/>
        </w:rPr>
        <w:t>（一）技术规范书应答偏离表</w:t>
      </w:r>
      <w:bookmarkEnd w:id="704"/>
      <w:bookmarkEnd w:id="705"/>
      <w:bookmarkEnd w:id="706"/>
      <w:bookmarkEnd w:id="707"/>
    </w:p>
    <w:p>
      <w:pPr>
        <w:spacing w:line="360" w:lineRule="auto"/>
        <w:jc w:val="center"/>
        <w:rPr>
          <w:rFonts w:ascii="仿宋" w:hAnsi="仿宋" w:eastAsia="仿宋" w:cs="宋体"/>
          <w:b/>
          <w:bCs/>
          <w:color w:val="auto"/>
          <w:sz w:val="24"/>
          <w:szCs w:val="24"/>
        </w:rPr>
      </w:pPr>
      <w:bookmarkStart w:id="708" w:name="_Toc125561188"/>
      <w:bookmarkStart w:id="709" w:name="_Toc125771198"/>
      <w:bookmarkStart w:id="710" w:name="_Toc293297544"/>
      <w:r>
        <w:rPr>
          <w:rFonts w:hint="eastAsia" w:ascii="仿宋" w:hAnsi="仿宋" w:eastAsia="仿宋" w:cs="宋体"/>
          <w:b/>
          <w:bCs/>
          <w:color w:val="auto"/>
          <w:sz w:val="24"/>
          <w:szCs w:val="24"/>
        </w:rPr>
        <w:t>技术规范书应答偏离表</w:t>
      </w:r>
      <w:bookmarkEnd w:id="708"/>
      <w:bookmarkEnd w:id="709"/>
      <w:bookmarkEnd w:id="710"/>
    </w:p>
    <w:p>
      <w:pPr>
        <w:spacing w:line="360" w:lineRule="auto"/>
        <w:rPr>
          <w:rFonts w:ascii="仿宋" w:hAnsi="仿宋" w:eastAsia="仿宋" w:cs="宋体"/>
          <w:color w:val="auto"/>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835"/>
        <w:gridCol w:w="2268"/>
        <w:gridCol w:w="2640"/>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宋体"/>
                <w:b/>
                <w:color w:val="auto"/>
                <w:szCs w:val="21"/>
              </w:rPr>
            </w:pPr>
            <w:r>
              <w:rPr>
                <w:rFonts w:hint="eastAsia" w:ascii="仿宋" w:hAnsi="仿宋" w:eastAsia="仿宋" w:cs="宋体"/>
                <w:b/>
                <w:color w:val="auto"/>
                <w:szCs w:val="21"/>
              </w:rPr>
              <w:t>序号</w:t>
            </w:r>
          </w:p>
        </w:tc>
        <w:tc>
          <w:tcPr>
            <w:tcW w:w="283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 w:val="24"/>
                <w:szCs w:val="24"/>
              </w:rPr>
            </w:pPr>
            <w:r>
              <w:rPr>
                <w:rFonts w:hint="eastAsia" w:ascii="仿宋" w:hAnsi="仿宋" w:eastAsia="仿宋" w:cs="宋体"/>
                <w:b/>
                <w:bCs/>
                <w:color w:val="auto"/>
              </w:rPr>
              <w:t>技术偏离类型(正负偏离)</w:t>
            </w:r>
          </w:p>
        </w:tc>
        <w:tc>
          <w:tcPr>
            <w:tcW w:w="2268"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 w:val="24"/>
                <w:szCs w:val="24"/>
              </w:rPr>
            </w:pPr>
            <w:r>
              <w:rPr>
                <w:rFonts w:hint="eastAsia" w:ascii="仿宋" w:hAnsi="仿宋" w:eastAsia="仿宋" w:cs="宋体"/>
                <w:b/>
                <w:bCs/>
                <w:color w:val="auto"/>
              </w:rPr>
              <w:t>技术偏离的文档章节号及页号</w:t>
            </w:r>
          </w:p>
        </w:tc>
        <w:tc>
          <w:tcPr>
            <w:tcW w:w="264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 w:val="24"/>
                <w:szCs w:val="24"/>
              </w:rPr>
            </w:pPr>
            <w:r>
              <w:rPr>
                <w:rFonts w:hint="eastAsia" w:ascii="仿宋" w:hAnsi="仿宋" w:eastAsia="仿宋" w:cs="宋体"/>
                <w:b/>
                <w:bCs/>
                <w:color w:val="auto"/>
              </w:rPr>
              <w:t>技术偏离的主要内容说明</w:t>
            </w:r>
          </w:p>
        </w:tc>
        <w:tc>
          <w:tcPr>
            <w:tcW w:w="14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宋体"/>
                <w:b/>
                <w:color w:val="auto"/>
                <w:szCs w:val="21"/>
              </w:rPr>
            </w:pPr>
            <w:r>
              <w:rPr>
                <w:rFonts w:hint="eastAsia" w:ascii="仿宋" w:hAnsi="仿宋" w:eastAsia="仿宋" w:cs="宋体"/>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r>
              <w:rPr>
                <w:rFonts w:hint="eastAsia" w:ascii="仿宋" w:hAnsi="仿宋" w:eastAsia="仿宋" w:cs="宋体"/>
                <w:color w:val="auto"/>
                <w:szCs w:val="21"/>
              </w:rPr>
              <w:t>负偏离(不满足)</w:t>
            </w: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r>
              <w:rPr>
                <w:rFonts w:hint="eastAsia" w:ascii="仿宋" w:hAnsi="仿宋" w:eastAsia="仿宋" w:cs="宋体"/>
                <w:color w:val="auto"/>
                <w:szCs w:val="21"/>
              </w:rPr>
              <w:t>……</w:t>
            </w: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r>
              <w:rPr>
                <w:rFonts w:hint="eastAsia" w:ascii="仿宋" w:hAnsi="仿宋" w:eastAsia="仿宋" w:cs="宋体"/>
                <w:color w:val="auto"/>
                <w:szCs w:val="21"/>
              </w:rPr>
              <w:t>……</w:t>
            </w: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r>
              <w:rPr>
                <w:rFonts w:hint="eastAsia" w:ascii="仿宋" w:hAnsi="仿宋" w:eastAsia="仿宋" w:cs="宋体"/>
                <w:color w:val="auto"/>
                <w:szCs w:val="21"/>
              </w:rPr>
              <w:t>正偏离(优于)</w:t>
            </w: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r>
              <w:rPr>
                <w:rFonts w:hint="eastAsia" w:ascii="仿宋" w:hAnsi="仿宋" w:eastAsia="仿宋" w:cs="宋体"/>
                <w:color w:val="auto"/>
                <w:szCs w:val="21"/>
              </w:rPr>
              <w:t>……</w:t>
            </w: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r>
              <w:rPr>
                <w:rFonts w:hint="eastAsia" w:ascii="仿宋" w:hAnsi="仿宋" w:eastAsia="仿宋" w:cs="宋体"/>
                <w:color w:val="auto"/>
                <w:szCs w:val="21"/>
              </w:rPr>
              <w:t>……</w:t>
            </w: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835"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268"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2640"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c>
          <w:tcPr>
            <w:tcW w:w="1434" w:type="dxa"/>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宋体"/>
                <w:color w:val="auto"/>
                <w:szCs w:val="21"/>
              </w:rPr>
            </w:pPr>
          </w:p>
        </w:tc>
      </w:tr>
    </w:tbl>
    <w:p>
      <w:pPr>
        <w:spacing w:before="240" w:line="360" w:lineRule="auto"/>
        <w:rPr>
          <w:rFonts w:ascii="仿宋" w:hAnsi="仿宋" w:eastAsia="仿宋" w:cs="Cambria Math"/>
          <w:color w:val="auto"/>
          <w:sz w:val="24"/>
        </w:rPr>
      </w:pPr>
      <w:r>
        <w:rPr>
          <w:rFonts w:hint="eastAsia" w:ascii="仿宋" w:hAnsi="仿宋" w:eastAsia="仿宋" w:cs="宋体"/>
          <w:color w:val="auto"/>
          <w:sz w:val="24"/>
          <w:szCs w:val="24"/>
        </w:rPr>
        <w:t>注：对于未列出的偏离内容视同投标人已完全接受招标文件的要求。</w:t>
      </w:r>
      <w:r>
        <w:rPr>
          <w:rFonts w:hint="eastAsia" w:ascii="仿宋" w:hAnsi="仿宋" w:eastAsia="仿宋" w:cs="Cambria Math"/>
          <w:b/>
          <w:bCs/>
          <w:color w:val="auto"/>
          <w:sz w:val="24"/>
        </w:rPr>
        <w:t>如全部满足，在偏离表中应答“全部满足”即可</w:t>
      </w:r>
      <w:r>
        <w:rPr>
          <w:rFonts w:hint="eastAsia" w:ascii="仿宋" w:hAnsi="仿宋" w:eastAsia="仿宋" w:cs="Cambria Math"/>
          <w:color w:val="auto"/>
          <w:sz w:val="24"/>
        </w:rPr>
        <w:t>。</w:t>
      </w:r>
    </w:p>
    <w:p>
      <w:pPr>
        <w:spacing w:line="440" w:lineRule="exact"/>
        <w:ind w:firstLine="4080"/>
        <w:jc w:val="right"/>
        <w:rPr>
          <w:rFonts w:ascii="仿宋" w:hAnsi="仿宋" w:eastAsia="仿宋" w:cs="宋体"/>
          <w:color w:val="auto"/>
          <w:sz w:val="24"/>
          <w:szCs w:val="24"/>
        </w:rPr>
      </w:pPr>
    </w:p>
    <w:p>
      <w:pPr>
        <w:spacing w:line="440" w:lineRule="exact"/>
        <w:ind w:firstLine="4080"/>
        <w:jc w:val="right"/>
        <w:rPr>
          <w:rFonts w:ascii="仿宋" w:hAnsi="仿宋" w:eastAsia="仿宋" w:cs="宋体"/>
          <w:color w:val="auto"/>
          <w:sz w:val="24"/>
          <w:szCs w:val="24"/>
        </w:rPr>
      </w:pPr>
      <w:r>
        <w:rPr>
          <w:rFonts w:hint="eastAsia" w:ascii="仿宋" w:hAnsi="仿宋" w:eastAsia="仿宋" w:cs="宋体"/>
          <w:color w:val="auto"/>
          <w:sz w:val="24"/>
          <w:szCs w:val="24"/>
        </w:rPr>
        <w:t>投标人名称：</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（盖章）</w:t>
      </w:r>
    </w:p>
    <w:p>
      <w:pPr>
        <w:spacing w:line="440" w:lineRule="exact"/>
        <w:jc w:val="right"/>
        <w:rPr>
          <w:rFonts w:ascii="仿宋" w:hAnsi="仿宋" w:eastAsia="仿宋" w:cs="宋体"/>
          <w:b/>
          <w:bCs/>
          <w:color w:val="auto"/>
          <w:sz w:val="24"/>
          <w:szCs w:val="24"/>
        </w:rPr>
      </w:pPr>
      <w:r>
        <w:rPr>
          <w:rFonts w:hint="eastAsia" w:ascii="仿宋" w:hAnsi="仿宋" w:eastAsia="仿宋" w:cs="宋体"/>
          <w:color w:val="auto"/>
          <w:sz w:val="24"/>
          <w:szCs w:val="24"/>
        </w:rPr>
        <w:t>日期：</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年</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月</w:t>
      </w:r>
      <w:r>
        <w:rPr>
          <w:rFonts w:hint="eastAsia" w:ascii="仿宋" w:hAnsi="仿宋" w:eastAsia="仿宋" w:cs="宋体"/>
          <w:color w:val="auto"/>
          <w:sz w:val="24"/>
          <w:szCs w:val="24"/>
          <w:u w:val="single"/>
        </w:rPr>
        <w:t xml:space="preserve">   </w:t>
      </w:r>
      <w:r>
        <w:rPr>
          <w:rFonts w:hint="eastAsia" w:ascii="仿宋" w:hAnsi="仿宋" w:eastAsia="仿宋" w:cs="宋体"/>
          <w:color w:val="auto"/>
          <w:sz w:val="24"/>
          <w:szCs w:val="24"/>
        </w:rPr>
        <w:t>日</w:t>
      </w:r>
    </w:p>
    <w:p>
      <w:pPr>
        <w:spacing w:line="360" w:lineRule="auto"/>
        <w:rPr>
          <w:rFonts w:ascii="仿宋" w:hAnsi="仿宋" w:eastAsia="仿宋" w:cs="宋体"/>
          <w:color w:val="auto"/>
          <w:sz w:val="24"/>
          <w:szCs w:val="24"/>
        </w:rPr>
      </w:pPr>
    </w:p>
    <w:p>
      <w:pPr>
        <w:rPr>
          <w:rFonts w:ascii="仿宋" w:hAnsi="仿宋" w:cs="宋体"/>
          <w:color w:val="auto"/>
          <w:szCs w:val="24"/>
        </w:rPr>
      </w:pPr>
      <w:bookmarkStart w:id="711" w:name="_Toc58177623"/>
      <w:bookmarkStart w:id="712" w:name="_Toc4895"/>
      <w:bookmarkStart w:id="713" w:name="_Toc109124329"/>
      <w:bookmarkStart w:id="714" w:name="_Toc65683015"/>
      <w:r>
        <w:rPr>
          <w:rFonts w:ascii="仿宋" w:hAnsi="仿宋" w:cs="宋体"/>
          <w:color w:val="auto"/>
          <w:szCs w:val="24"/>
        </w:rPr>
        <w:br w:type="page" w:clear="all"/>
      </w:r>
      <w:bookmarkEnd w:id="711"/>
      <w:bookmarkEnd w:id="712"/>
      <w:bookmarkEnd w:id="713"/>
      <w:bookmarkEnd w:id="714"/>
    </w:p>
    <w:p>
      <w:pPr>
        <w:pStyle w:val="6"/>
        <w:rPr>
          <w:rFonts w:ascii="仿宋" w:hAnsi="仿宋" w:cs="宋体"/>
          <w:color w:val="auto"/>
        </w:rPr>
      </w:pPr>
      <w:r>
        <w:rPr>
          <w:rFonts w:hint="eastAsia" w:ascii="仿宋" w:hAnsi="仿宋" w:cs="宋体"/>
          <w:color w:val="auto"/>
        </w:rPr>
        <w:t>1、拟派服务团队成员汇总表</w:t>
      </w:r>
    </w:p>
    <w:tbl>
      <w:tblPr>
        <w:tblStyle w:val="41"/>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851"/>
        <w:gridCol w:w="840"/>
        <w:gridCol w:w="1140"/>
        <w:gridCol w:w="1125"/>
        <w:gridCol w:w="1335"/>
        <w:gridCol w:w="1110"/>
        <w:gridCol w:w="1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pacing w:line="300" w:lineRule="exact"/>
              <w:jc w:val="center"/>
              <w:rPr>
                <w:rFonts w:ascii="仿宋" w:hAnsi="仿宋" w:eastAsia="仿宋" w:cs="宋体"/>
                <w:b/>
                <w:color w:val="auto"/>
                <w:szCs w:val="21"/>
              </w:rPr>
            </w:pPr>
            <w:r>
              <w:rPr>
                <w:rFonts w:hint="eastAsia" w:ascii="仿宋" w:hAnsi="仿宋" w:eastAsia="仿宋" w:cs="宋体"/>
                <w:b/>
                <w:color w:val="auto"/>
                <w:szCs w:val="21"/>
              </w:rPr>
              <w:t>序号</w:t>
            </w:r>
          </w:p>
        </w:tc>
        <w:tc>
          <w:tcPr>
            <w:tcW w:w="851" w:type="dxa"/>
            <w:vAlign w:val="center"/>
          </w:tcPr>
          <w:p>
            <w:pPr>
              <w:spacing w:line="300" w:lineRule="exact"/>
              <w:jc w:val="center"/>
              <w:rPr>
                <w:rFonts w:ascii="仿宋" w:hAnsi="仿宋" w:eastAsia="仿宋" w:cs="宋体"/>
                <w:b/>
                <w:color w:val="auto"/>
                <w:szCs w:val="21"/>
              </w:rPr>
            </w:pPr>
            <w:r>
              <w:rPr>
                <w:rFonts w:hint="eastAsia" w:ascii="仿宋" w:hAnsi="仿宋" w:eastAsia="仿宋" w:cs="宋体"/>
                <w:b/>
                <w:color w:val="auto"/>
                <w:szCs w:val="21"/>
              </w:rPr>
              <w:t>姓名</w:t>
            </w:r>
          </w:p>
        </w:tc>
        <w:tc>
          <w:tcPr>
            <w:tcW w:w="840" w:type="dxa"/>
            <w:vAlign w:val="center"/>
          </w:tcPr>
          <w:p>
            <w:pPr>
              <w:spacing w:line="300" w:lineRule="exact"/>
              <w:jc w:val="center"/>
              <w:rPr>
                <w:rFonts w:ascii="仿宋" w:hAnsi="仿宋" w:eastAsia="仿宋" w:cs="宋体"/>
                <w:b/>
                <w:color w:val="auto"/>
                <w:szCs w:val="21"/>
              </w:rPr>
            </w:pPr>
            <w:r>
              <w:rPr>
                <w:rFonts w:hint="eastAsia" w:ascii="仿宋" w:hAnsi="仿宋" w:eastAsia="仿宋" w:cs="宋体"/>
                <w:b/>
                <w:color w:val="auto"/>
                <w:szCs w:val="21"/>
              </w:rPr>
              <w:t>学历</w:t>
            </w:r>
          </w:p>
        </w:tc>
        <w:tc>
          <w:tcPr>
            <w:tcW w:w="1140" w:type="dxa"/>
            <w:vAlign w:val="center"/>
          </w:tcPr>
          <w:p>
            <w:pPr>
              <w:spacing w:line="300" w:lineRule="exact"/>
              <w:jc w:val="center"/>
              <w:rPr>
                <w:rFonts w:ascii="仿宋" w:hAnsi="仿宋" w:eastAsia="仿宋" w:cs="宋体"/>
                <w:b/>
                <w:color w:val="auto"/>
                <w:szCs w:val="21"/>
              </w:rPr>
            </w:pPr>
            <w:r>
              <w:rPr>
                <w:rFonts w:hint="eastAsia" w:ascii="仿宋" w:hAnsi="仿宋" w:eastAsia="仿宋" w:cs="宋体"/>
                <w:b/>
                <w:color w:val="auto"/>
                <w:szCs w:val="21"/>
              </w:rPr>
              <w:t>专业资质</w:t>
            </w:r>
          </w:p>
        </w:tc>
        <w:tc>
          <w:tcPr>
            <w:tcW w:w="1125" w:type="dxa"/>
            <w:vAlign w:val="center"/>
          </w:tcPr>
          <w:p>
            <w:pPr>
              <w:spacing w:line="300" w:lineRule="exact"/>
              <w:jc w:val="center"/>
              <w:rPr>
                <w:rFonts w:ascii="仿宋" w:hAnsi="仿宋" w:eastAsia="仿宋" w:cs="宋体"/>
                <w:b/>
                <w:color w:val="auto"/>
                <w:szCs w:val="21"/>
              </w:rPr>
            </w:pPr>
            <w:r>
              <w:rPr>
                <w:rFonts w:hint="eastAsia" w:ascii="仿宋" w:hAnsi="仿宋" w:eastAsia="仿宋" w:cs="宋体"/>
                <w:b/>
                <w:color w:val="auto"/>
                <w:szCs w:val="21"/>
              </w:rPr>
              <w:t>工作年限</w:t>
            </w:r>
          </w:p>
        </w:tc>
        <w:tc>
          <w:tcPr>
            <w:tcW w:w="1335" w:type="dxa"/>
            <w:vAlign w:val="center"/>
          </w:tcPr>
          <w:p>
            <w:pPr>
              <w:spacing w:line="300" w:lineRule="exact"/>
              <w:jc w:val="center"/>
              <w:rPr>
                <w:rFonts w:ascii="仿宋" w:hAnsi="仿宋" w:eastAsia="仿宋" w:cs="宋体"/>
                <w:b/>
                <w:color w:val="auto"/>
                <w:szCs w:val="21"/>
              </w:rPr>
            </w:pPr>
            <w:r>
              <w:rPr>
                <w:rFonts w:hint="eastAsia" w:ascii="仿宋" w:hAnsi="仿宋" w:eastAsia="仿宋" w:cs="宋体"/>
                <w:b/>
                <w:color w:val="auto"/>
                <w:szCs w:val="21"/>
              </w:rPr>
              <w:t>本项目职务</w:t>
            </w:r>
          </w:p>
        </w:tc>
        <w:tc>
          <w:tcPr>
            <w:tcW w:w="1110" w:type="dxa"/>
            <w:vAlign w:val="center"/>
          </w:tcPr>
          <w:p>
            <w:pPr>
              <w:spacing w:line="300" w:lineRule="exact"/>
              <w:jc w:val="center"/>
              <w:rPr>
                <w:rFonts w:ascii="仿宋" w:hAnsi="仿宋" w:eastAsia="仿宋" w:cs="宋体"/>
                <w:b/>
                <w:color w:val="auto"/>
                <w:szCs w:val="21"/>
              </w:rPr>
            </w:pPr>
            <w:r>
              <w:rPr>
                <w:rFonts w:hint="eastAsia" w:ascii="仿宋" w:hAnsi="仿宋" w:eastAsia="仿宋" w:cs="宋体"/>
                <w:b/>
                <w:color w:val="auto"/>
                <w:szCs w:val="21"/>
              </w:rPr>
              <w:t>服务内容</w:t>
            </w:r>
          </w:p>
        </w:tc>
        <w:tc>
          <w:tcPr>
            <w:tcW w:w="1787" w:type="dxa"/>
            <w:vAlign w:val="center"/>
          </w:tcPr>
          <w:p>
            <w:pPr>
              <w:spacing w:line="300" w:lineRule="exact"/>
              <w:jc w:val="center"/>
              <w:rPr>
                <w:rFonts w:ascii="仿宋" w:hAnsi="仿宋" w:eastAsia="仿宋" w:cs="宋体"/>
                <w:b/>
                <w:color w:val="auto"/>
                <w:szCs w:val="21"/>
              </w:rPr>
            </w:pPr>
            <w:r>
              <w:rPr>
                <w:rFonts w:hint="eastAsia" w:ascii="仿宋" w:hAnsi="仿宋" w:eastAsia="仿宋" w:cs="宋体"/>
                <w:b/>
                <w:color w:val="auto"/>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1</w:t>
            </w:r>
          </w:p>
        </w:tc>
        <w:tc>
          <w:tcPr>
            <w:tcW w:w="851" w:type="dxa"/>
            <w:vAlign w:val="center"/>
          </w:tcPr>
          <w:p>
            <w:pPr>
              <w:spacing w:line="360" w:lineRule="auto"/>
              <w:jc w:val="center"/>
              <w:rPr>
                <w:rFonts w:ascii="仿宋" w:hAnsi="仿宋" w:eastAsia="仿宋" w:cs="宋体"/>
                <w:color w:val="auto"/>
                <w:szCs w:val="21"/>
              </w:rPr>
            </w:pPr>
          </w:p>
        </w:tc>
        <w:tc>
          <w:tcPr>
            <w:tcW w:w="840" w:type="dxa"/>
          </w:tcPr>
          <w:p>
            <w:pPr>
              <w:spacing w:line="360" w:lineRule="auto"/>
              <w:jc w:val="center"/>
              <w:rPr>
                <w:rFonts w:ascii="仿宋" w:hAnsi="仿宋" w:eastAsia="仿宋" w:cs="宋体"/>
                <w:color w:val="auto"/>
                <w:szCs w:val="21"/>
              </w:rPr>
            </w:pPr>
          </w:p>
        </w:tc>
        <w:tc>
          <w:tcPr>
            <w:tcW w:w="1140" w:type="dxa"/>
            <w:vAlign w:val="center"/>
          </w:tcPr>
          <w:p>
            <w:pPr>
              <w:spacing w:line="360" w:lineRule="auto"/>
              <w:jc w:val="center"/>
              <w:rPr>
                <w:rFonts w:ascii="仿宋" w:hAnsi="仿宋" w:eastAsia="仿宋" w:cs="宋体"/>
                <w:color w:val="auto"/>
                <w:szCs w:val="21"/>
              </w:rPr>
            </w:pPr>
          </w:p>
        </w:tc>
        <w:tc>
          <w:tcPr>
            <w:tcW w:w="1125" w:type="dxa"/>
            <w:vAlign w:val="center"/>
          </w:tcPr>
          <w:p>
            <w:pPr>
              <w:spacing w:line="360" w:lineRule="auto"/>
              <w:jc w:val="center"/>
              <w:rPr>
                <w:rFonts w:ascii="仿宋" w:hAnsi="仿宋" w:eastAsia="仿宋" w:cs="宋体"/>
                <w:color w:val="auto"/>
                <w:szCs w:val="21"/>
              </w:rPr>
            </w:pPr>
          </w:p>
        </w:tc>
        <w:tc>
          <w:tcPr>
            <w:tcW w:w="1335" w:type="dxa"/>
            <w:vAlign w:val="center"/>
          </w:tcPr>
          <w:p>
            <w:pPr>
              <w:spacing w:line="360" w:lineRule="auto"/>
              <w:jc w:val="center"/>
              <w:rPr>
                <w:rFonts w:ascii="仿宋" w:hAnsi="仿宋" w:eastAsia="仿宋" w:cs="宋体"/>
                <w:color w:val="auto"/>
                <w:szCs w:val="21"/>
              </w:rPr>
            </w:pPr>
          </w:p>
        </w:tc>
        <w:tc>
          <w:tcPr>
            <w:tcW w:w="1110" w:type="dxa"/>
            <w:vAlign w:val="center"/>
          </w:tcPr>
          <w:p>
            <w:pPr>
              <w:spacing w:line="360" w:lineRule="auto"/>
              <w:jc w:val="center"/>
              <w:rPr>
                <w:rFonts w:ascii="仿宋" w:hAnsi="仿宋" w:eastAsia="仿宋" w:cs="宋体"/>
                <w:color w:val="auto"/>
                <w:szCs w:val="21"/>
              </w:rPr>
            </w:pPr>
          </w:p>
        </w:tc>
        <w:tc>
          <w:tcPr>
            <w:tcW w:w="1787" w:type="dxa"/>
            <w:vAlign w:val="center"/>
          </w:tcPr>
          <w:p>
            <w:pPr>
              <w:spacing w:line="36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2</w:t>
            </w:r>
          </w:p>
        </w:tc>
        <w:tc>
          <w:tcPr>
            <w:tcW w:w="851" w:type="dxa"/>
            <w:vAlign w:val="center"/>
          </w:tcPr>
          <w:p>
            <w:pPr>
              <w:spacing w:line="360" w:lineRule="auto"/>
              <w:jc w:val="center"/>
              <w:rPr>
                <w:rFonts w:ascii="仿宋" w:hAnsi="仿宋" w:eastAsia="仿宋" w:cs="宋体"/>
                <w:color w:val="auto"/>
                <w:szCs w:val="21"/>
              </w:rPr>
            </w:pPr>
          </w:p>
        </w:tc>
        <w:tc>
          <w:tcPr>
            <w:tcW w:w="840" w:type="dxa"/>
          </w:tcPr>
          <w:p>
            <w:pPr>
              <w:spacing w:line="360" w:lineRule="auto"/>
              <w:jc w:val="center"/>
              <w:rPr>
                <w:rFonts w:ascii="仿宋" w:hAnsi="仿宋" w:eastAsia="仿宋" w:cs="宋体"/>
                <w:color w:val="auto"/>
                <w:szCs w:val="21"/>
              </w:rPr>
            </w:pPr>
          </w:p>
        </w:tc>
        <w:tc>
          <w:tcPr>
            <w:tcW w:w="1140" w:type="dxa"/>
            <w:vAlign w:val="center"/>
          </w:tcPr>
          <w:p>
            <w:pPr>
              <w:spacing w:line="360" w:lineRule="auto"/>
              <w:jc w:val="center"/>
              <w:rPr>
                <w:rFonts w:ascii="仿宋" w:hAnsi="仿宋" w:eastAsia="仿宋" w:cs="宋体"/>
                <w:color w:val="auto"/>
                <w:szCs w:val="21"/>
              </w:rPr>
            </w:pPr>
          </w:p>
        </w:tc>
        <w:tc>
          <w:tcPr>
            <w:tcW w:w="1125" w:type="dxa"/>
            <w:vAlign w:val="center"/>
          </w:tcPr>
          <w:p>
            <w:pPr>
              <w:spacing w:line="360" w:lineRule="auto"/>
              <w:jc w:val="center"/>
              <w:rPr>
                <w:rFonts w:ascii="仿宋" w:hAnsi="仿宋" w:eastAsia="仿宋" w:cs="宋体"/>
                <w:color w:val="auto"/>
                <w:szCs w:val="21"/>
              </w:rPr>
            </w:pPr>
          </w:p>
        </w:tc>
        <w:tc>
          <w:tcPr>
            <w:tcW w:w="1335" w:type="dxa"/>
            <w:vAlign w:val="center"/>
          </w:tcPr>
          <w:p>
            <w:pPr>
              <w:spacing w:line="360" w:lineRule="auto"/>
              <w:jc w:val="center"/>
              <w:rPr>
                <w:rFonts w:ascii="仿宋" w:hAnsi="仿宋" w:eastAsia="仿宋" w:cs="宋体"/>
                <w:color w:val="auto"/>
                <w:szCs w:val="21"/>
              </w:rPr>
            </w:pPr>
          </w:p>
        </w:tc>
        <w:tc>
          <w:tcPr>
            <w:tcW w:w="1110" w:type="dxa"/>
            <w:vAlign w:val="center"/>
          </w:tcPr>
          <w:p>
            <w:pPr>
              <w:spacing w:line="360" w:lineRule="auto"/>
              <w:jc w:val="center"/>
              <w:rPr>
                <w:rFonts w:ascii="仿宋" w:hAnsi="仿宋" w:eastAsia="仿宋" w:cs="宋体"/>
                <w:color w:val="auto"/>
                <w:szCs w:val="21"/>
              </w:rPr>
            </w:pPr>
          </w:p>
        </w:tc>
        <w:tc>
          <w:tcPr>
            <w:tcW w:w="1787" w:type="dxa"/>
            <w:vAlign w:val="center"/>
          </w:tcPr>
          <w:p>
            <w:pPr>
              <w:spacing w:line="36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3</w:t>
            </w:r>
          </w:p>
        </w:tc>
        <w:tc>
          <w:tcPr>
            <w:tcW w:w="851" w:type="dxa"/>
            <w:vAlign w:val="center"/>
          </w:tcPr>
          <w:p>
            <w:pPr>
              <w:spacing w:line="360" w:lineRule="auto"/>
              <w:jc w:val="center"/>
              <w:rPr>
                <w:rFonts w:ascii="仿宋" w:hAnsi="仿宋" w:eastAsia="仿宋" w:cs="宋体"/>
                <w:color w:val="auto"/>
                <w:szCs w:val="21"/>
              </w:rPr>
            </w:pPr>
          </w:p>
        </w:tc>
        <w:tc>
          <w:tcPr>
            <w:tcW w:w="840" w:type="dxa"/>
          </w:tcPr>
          <w:p>
            <w:pPr>
              <w:spacing w:line="360" w:lineRule="auto"/>
              <w:jc w:val="center"/>
              <w:rPr>
                <w:rFonts w:ascii="仿宋" w:hAnsi="仿宋" w:eastAsia="仿宋" w:cs="宋体"/>
                <w:color w:val="auto"/>
                <w:szCs w:val="21"/>
              </w:rPr>
            </w:pPr>
          </w:p>
        </w:tc>
        <w:tc>
          <w:tcPr>
            <w:tcW w:w="1140" w:type="dxa"/>
            <w:vAlign w:val="center"/>
          </w:tcPr>
          <w:p>
            <w:pPr>
              <w:spacing w:line="360" w:lineRule="auto"/>
              <w:jc w:val="center"/>
              <w:rPr>
                <w:rFonts w:ascii="仿宋" w:hAnsi="仿宋" w:eastAsia="仿宋" w:cs="宋体"/>
                <w:color w:val="auto"/>
                <w:szCs w:val="21"/>
              </w:rPr>
            </w:pPr>
          </w:p>
        </w:tc>
        <w:tc>
          <w:tcPr>
            <w:tcW w:w="1125" w:type="dxa"/>
            <w:vAlign w:val="center"/>
          </w:tcPr>
          <w:p>
            <w:pPr>
              <w:spacing w:line="360" w:lineRule="auto"/>
              <w:jc w:val="center"/>
              <w:rPr>
                <w:rFonts w:ascii="仿宋" w:hAnsi="仿宋" w:eastAsia="仿宋" w:cs="宋体"/>
                <w:color w:val="auto"/>
                <w:szCs w:val="21"/>
              </w:rPr>
            </w:pPr>
          </w:p>
        </w:tc>
        <w:tc>
          <w:tcPr>
            <w:tcW w:w="1335" w:type="dxa"/>
            <w:vAlign w:val="center"/>
          </w:tcPr>
          <w:p>
            <w:pPr>
              <w:spacing w:line="360" w:lineRule="auto"/>
              <w:jc w:val="center"/>
              <w:rPr>
                <w:rFonts w:ascii="仿宋" w:hAnsi="仿宋" w:eastAsia="仿宋" w:cs="宋体"/>
                <w:color w:val="auto"/>
                <w:szCs w:val="21"/>
              </w:rPr>
            </w:pPr>
          </w:p>
        </w:tc>
        <w:tc>
          <w:tcPr>
            <w:tcW w:w="1110" w:type="dxa"/>
            <w:vAlign w:val="center"/>
          </w:tcPr>
          <w:p>
            <w:pPr>
              <w:spacing w:line="360" w:lineRule="auto"/>
              <w:jc w:val="center"/>
              <w:rPr>
                <w:rFonts w:ascii="仿宋" w:hAnsi="仿宋" w:eastAsia="仿宋" w:cs="宋体"/>
                <w:color w:val="auto"/>
                <w:szCs w:val="21"/>
              </w:rPr>
            </w:pPr>
          </w:p>
        </w:tc>
        <w:tc>
          <w:tcPr>
            <w:tcW w:w="1787" w:type="dxa"/>
            <w:vAlign w:val="center"/>
          </w:tcPr>
          <w:p>
            <w:pPr>
              <w:spacing w:line="36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4</w:t>
            </w:r>
          </w:p>
        </w:tc>
        <w:tc>
          <w:tcPr>
            <w:tcW w:w="851" w:type="dxa"/>
            <w:vAlign w:val="center"/>
          </w:tcPr>
          <w:p>
            <w:pPr>
              <w:spacing w:line="360" w:lineRule="auto"/>
              <w:jc w:val="center"/>
              <w:rPr>
                <w:rFonts w:ascii="仿宋" w:hAnsi="仿宋" w:eastAsia="仿宋" w:cs="宋体"/>
                <w:color w:val="auto"/>
                <w:szCs w:val="21"/>
              </w:rPr>
            </w:pPr>
          </w:p>
        </w:tc>
        <w:tc>
          <w:tcPr>
            <w:tcW w:w="840" w:type="dxa"/>
          </w:tcPr>
          <w:p>
            <w:pPr>
              <w:spacing w:line="360" w:lineRule="auto"/>
              <w:jc w:val="center"/>
              <w:rPr>
                <w:rFonts w:ascii="仿宋" w:hAnsi="仿宋" w:eastAsia="仿宋" w:cs="宋体"/>
                <w:color w:val="auto"/>
                <w:szCs w:val="21"/>
              </w:rPr>
            </w:pPr>
          </w:p>
        </w:tc>
        <w:tc>
          <w:tcPr>
            <w:tcW w:w="1140" w:type="dxa"/>
            <w:vAlign w:val="center"/>
          </w:tcPr>
          <w:p>
            <w:pPr>
              <w:spacing w:line="360" w:lineRule="auto"/>
              <w:jc w:val="center"/>
              <w:rPr>
                <w:rFonts w:ascii="仿宋" w:hAnsi="仿宋" w:eastAsia="仿宋" w:cs="宋体"/>
                <w:color w:val="auto"/>
                <w:szCs w:val="21"/>
              </w:rPr>
            </w:pPr>
          </w:p>
        </w:tc>
        <w:tc>
          <w:tcPr>
            <w:tcW w:w="1125" w:type="dxa"/>
            <w:vAlign w:val="center"/>
          </w:tcPr>
          <w:p>
            <w:pPr>
              <w:spacing w:line="360" w:lineRule="auto"/>
              <w:jc w:val="center"/>
              <w:rPr>
                <w:rFonts w:ascii="仿宋" w:hAnsi="仿宋" w:eastAsia="仿宋" w:cs="宋体"/>
                <w:color w:val="auto"/>
                <w:szCs w:val="21"/>
              </w:rPr>
            </w:pPr>
          </w:p>
        </w:tc>
        <w:tc>
          <w:tcPr>
            <w:tcW w:w="1335" w:type="dxa"/>
            <w:vAlign w:val="center"/>
          </w:tcPr>
          <w:p>
            <w:pPr>
              <w:spacing w:line="360" w:lineRule="auto"/>
              <w:jc w:val="center"/>
              <w:rPr>
                <w:rFonts w:ascii="仿宋" w:hAnsi="仿宋" w:eastAsia="仿宋" w:cs="宋体"/>
                <w:color w:val="auto"/>
                <w:szCs w:val="21"/>
              </w:rPr>
            </w:pPr>
          </w:p>
        </w:tc>
        <w:tc>
          <w:tcPr>
            <w:tcW w:w="1110" w:type="dxa"/>
            <w:vAlign w:val="center"/>
          </w:tcPr>
          <w:p>
            <w:pPr>
              <w:spacing w:line="360" w:lineRule="auto"/>
              <w:jc w:val="center"/>
              <w:rPr>
                <w:rFonts w:ascii="仿宋" w:hAnsi="仿宋" w:eastAsia="仿宋" w:cs="宋体"/>
                <w:color w:val="auto"/>
                <w:szCs w:val="21"/>
              </w:rPr>
            </w:pPr>
          </w:p>
        </w:tc>
        <w:tc>
          <w:tcPr>
            <w:tcW w:w="1787" w:type="dxa"/>
            <w:vAlign w:val="center"/>
          </w:tcPr>
          <w:p>
            <w:pPr>
              <w:spacing w:line="36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w:t>
            </w:r>
          </w:p>
        </w:tc>
        <w:tc>
          <w:tcPr>
            <w:tcW w:w="851" w:type="dxa"/>
            <w:vAlign w:val="center"/>
          </w:tcPr>
          <w:p>
            <w:pPr>
              <w:spacing w:line="360" w:lineRule="auto"/>
              <w:jc w:val="center"/>
              <w:rPr>
                <w:rFonts w:ascii="仿宋" w:hAnsi="仿宋" w:eastAsia="仿宋" w:cs="宋体"/>
                <w:color w:val="auto"/>
                <w:szCs w:val="21"/>
              </w:rPr>
            </w:pPr>
          </w:p>
        </w:tc>
        <w:tc>
          <w:tcPr>
            <w:tcW w:w="840" w:type="dxa"/>
          </w:tcPr>
          <w:p>
            <w:pPr>
              <w:spacing w:line="360" w:lineRule="auto"/>
              <w:jc w:val="center"/>
              <w:rPr>
                <w:rFonts w:ascii="仿宋" w:hAnsi="仿宋" w:eastAsia="仿宋" w:cs="宋体"/>
                <w:color w:val="auto"/>
                <w:szCs w:val="21"/>
              </w:rPr>
            </w:pPr>
          </w:p>
        </w:tc>
        <w:tc>
          <w:tcPr>
            <w:tcW w:w="1140" w:type="dxa"/>
            <w:vAlign w:val="center"/>
          </w:tcPr>
          <w:p>
            <w:pPr>
              <w:spacing w:line="360" w:lineRule="auto"/>
              <w:jc w:val="center"/>
              <w:rPr>
                <w:rFonts w:ascii="仿宋" w:hAnsi="仿宋" w:eastAsia="仿宋" w:cs="宋体"/>
                <w:color w:val="auto"/>
                <w:szCs w:val="21"/>
              </w:rPr>
            </w:pPr>
          </w:p>
        </w:tc>
        <w:tc>
          <w:tcPr>
            <w:tcW w:w="1125" w:type="dxa"/>
            <w:vAlign w:val="center"/>
          </w:tcPr>
          <w:p>
            <w:pPr>
              <w:spacing w:line="360" w:lineRule="auto"/>
              <w:jc w:val="center"/>
              <w:rPr>
                <w:rFonts w:ascii="仿宋" w:hAnsi="仿宋" w:eastAsia="仿宋" w:cs="宋体"/>
                <w:color w:val="auto"/>
                <w:szCs w:val="21"/>
              </w:rPr>
            </w:pPr>
          </w:p>
        </w:tc>
        <w:tc>
          <w:tcPr>
            <w:tcW w:w="1335" w:type="dxa"/>
            <w:vAlign w:val="center"/>
          </w:tcPr>
          <w:p>
            <w:pPr>
              <w:spacing w:line="360" w:lineRule="auto"/>
              <w:jc w:val="center"/>
              <w:rPr>
                <w:rFonts w:ascii="仿宋" w:hAnsi="仿宋" w:eastAsia="仿宋" w:cs="宋体"/>
                <w:color w:val="auto"/>
                <w:szCs w:val="21"/>
              </w:rPr>
            </w:pPr>
          </w:p>
        </w:tc>
        <w:tc>
          <w:tcPr>
            <w:tcW w:w="1110" w:type="dxa"/>
            <w:vAlign w:val="center"/>
          </w:tcPr>
          <w:p>
            <w:pPr>
              <w:spacing w:line="360" w:lineRule="auto"/>
              <w:jc w:val="center"/>
              <w:rPr>
                <w:rFonts w:ascii="仿宋" w:hAnsi="仿宋" w:eastAsia="仿宋" w:cs="宋体"/>
                <w:color w:val="auto"/>
                <w:szCs w:val="21"/>
              </w:rPr>
            </w:pPr>
          </w:p>
        </w:tc>
        <w:tc>
          <w:tcPr>
            <w:tcW w:w="1787" w:type="dxa"/>
            <w:vAlign w:val="center"/>
          </w:tcPr>
          <w:p>
            <w:pPr>
              <w:spacing w:line="360" w:lineRule="auto"/>
              <w:jc w:val="center"/>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w:t>
            </w:r>
          </w:p>
        </w:tc>
        <w:tc>
          <w:tcPr>
            <w:tcW w:w="851" w:type="dxa"/>
            <w:vAlign w:val="center"/>
          </w:tcPr>
          <w:p>
            <w:pPr>
              <w:spacing w:line="360" w:lineRule="auto"/>
              <w:jc w:val="center"/>
              <w:rPr>
                <w:rFonts w:ascii="仿宋" w:hAnsi="仿宋" w:eastAsia="仿宋" w:cs="宋体"/>
                <w:color w:val="auto"/>
                <w:szCs w:val="21"/>
              </w:rPr>
            </w:pPr>
          </w:p>
        </w:tc>
        <w:tc>
          <w:tcPr>
            <w:tcW w:w="840" w:type="dxa"/>
          </w:tcPr>
          <w:p>
            <w:pPr>
              <w:spacing w:line="360" w:lineRule="auto"/>
              <w:jc w:val="center"/>
              <w:rPr>
                <w:rFonts w:ascii="仿宋" w:hAnsi="仿宋" w:eastAsia="仿宋" w:cs="宋体"/>
                <w:color w:val="auto"/>
                <w:szCs w:val="21"/>
              </w:rPr>
            </w:pPr>
          </w:p>
        </w:tc>
        <w:tc>
          <w:tcPr>
            <w:tcW w:w="1140" w:type="dxa"/>
            <w:vAlign w:val="center"/>
          </w:tcPr>
          <w:p>
            <w:pPr>
              <w:spacing w:line="360" w:lineRule="auto"/>
              <w:jc w:val="center"/>
              <w:rPr>
                <w:rFonts w:ascii="仿宋" w:hAnsi="仿宋" w:eastAsia="仿宋" w:cs="宋体"/>
                <w:color w:val="auto"/>
                <w:szCs w:val="21"/>
              </w:rPr>
            </w:pPr>
          </w:p>
        </w:tc>
        <w:tc>
          <w:tcPr>
            <w:tcW w:w="1125" w:type="dxa"/>
            <w:vAlign w:val="center"/>
          </w:tcPr>
          <w:p>
            <w:pPr>
              <w:spacing w:line="360" w:lineRule="auto"/>
              <w:jc w:val="center"/>
              <w:rPr>
                <w:rFonts w:ascii="仿宋" w:hAnsi="仿宋" w:eastAsia="仿宋" w:cs="宋体"/>
                <w:color w:val="auto"/>
                <w:szCs w:val="21"/>
              </w:rPr>
            </w:pPr>
          </w:p>
        </w:tc>
        <w:tc>
          <w:tcPr>
            <w:tcW w:w="1335" w:type="dxa"/>
            <w:vAlign w:val="center"/>
          </w:tcPr>
          <w:p>
            <w:pPr>
              <w:spacing w:line="360" w:lineRule="auto"/>
              <w:jc w:val="center"/>
              <w:rPr>
                <w:rFonts w:ascii="仿宋" w:hAnsi="仿宋" w:eastAsia="仿宋" w:cs="宋体"/>
                <w:color w:val="auto"/>
                <w:szCs w:val="21"/>
              </w:rPr>
            </w:pPr>
          </w:p>
        </w:tc>
        <w:tc>
          <w:tcPr>
            <w:tcW w:w="1110" w:type="dxa"/>
            <w:vAlign w:val="center"/>
          </w:tcPr>
          <w:p>
            <w:pPr>
              <w:spacing w:line="360" w:lineRule="auto"/>
              <w:jc w:val="center"/>
              <w:rPr>
                <w:rFonts w:ascii="仿宋" w:hAnsi="仿宋" w:eastAsia="仿宋" w:cs="宋体"/>
                <w:color w:val="auto"/>
                <w:szCs w:val="21"/>
              </w:rPr>
            </w:pPr>
          </w:p>
        </w:tc>
        <w:tc>
          <w:tcPr>
            <w:tcW w:w="1787" w:type="dxa"/>
            <w:vAlign w:val="center"/>
          </w:tcPr>
          <w:p>
            <w:pPr>
              <w:spacing w:line="360" w:lineRule="auto"/>
              <w:jc w:val="center"/>
              <w:rPr>
                <w:rFonts w:ascii="仿宋" w:hAnsi="仿宋" w:eastAsia="仿宋" w:cs="宋体"/>
                <w:color w:val="auto"/>
                <w:szCs w:val="21"/>
              </w:rPr>
            </w:pPr>
          </w:p>
        </w:tc>
      </w:tr>
    </w:tbl>
    <w:p>
      <w:pPr>
        <w:ind w:firstLine="480"/>
        <w:rPr>
          <w:rFonts w:ascii="仿宋" w:hAnsi="仿宋" w:eastAsia="仿宋" w:cs="宋体"/>
          <w:color w:val="auto"/>
          <w:sz w:val="24"/>
          <w:szCs w:val="24"/>
          <w:lang w:bidi="ar"/>
        </w:rPr>
      </w:pPr>
    </w:p>
    <w:p>
      <w:pPr>
        <w:rPr>
          <w:rFonts w:ascii="仿宋" w:hAnsi="仿宋" w:eastAsia="仿宋" w:cs="宋体"/>
          <w:b/>
          <w:color w:val="auto"/>
          <w:sz w:val="24"/>
          <w:szCs w:val="24"/>
          <w:lang w:bidi="ar"/>
        </w:rPr>
      </w:pPr>
      <w:r>
        <w:rPr>
          <w:rFonts w:hint="eastAsia" w:ascii="仿宋" w:hAnsi="仿宋" w:eastAsia="仿宋" w:cs="宋体"/>
          <w:b/>
          <w:color w:val="auto"/>
          <w:sz w:val="24"/>
          <w:szCs w:val="24"/>
          <w:lang w:bidi="ar"/>
        </w:rPr>
        <w:t>备注：</w:t>
      </w:r>
    </w:p>
    <w:p>
      <w:pPr>
        <w:rPr>
          <w:rFonts w:ascii="仿宋" w:hAnsi="仿宋" w:eastAsia="仿宋" w:cs="宋体"/>
          <w:b/>
          <w:color w:val="auto"/>
          <w:sz w:val="24"/>
          <w:szCs w:val="24"/>
          <w:lang w:bidi="ar"/>
        </w:rPr>
      </w:pPr>
      <w:r>
        <w:rPr>
          <w:rFonts w:hint="eastAsia" w:ascii="仿宋" w:hAnsi="仿宋" w:eastAsia="仿宋" w:cs="宋体"/>
          <w:b/>
          <w:color w:val="auto"/>
          <w:sz w:val="24"/>
          <w:szCs w:val="24"/>
          <w:lang w:bidi="ar"/>
        </w:rPr>
        <w:t>需按照技术规范书中的相关要求，列明本项目服务团队所有人员信息及职责分工。</w:t>
      </w:r>
    </w:p>
    <w:p>
      <w:pPr>
        <w:spacing w:line="360" w:lineRule="auto"/>
        <w:ind w:firstLine="4080"/>
        <w:jc w:val="right"/>
        <w:rPr>
          <w:rFonts w:ascii="仿宋" w:hAnsi="仿宋" w:eastAsia="仿宋" w:cs="宋体"/>
          <w:color w:val="auto"/>
          <w:sz w:val="24"/>
          <w:szCs w:val="24"/>
        </w:rPr>
      </w:pPr>
    </w:p>
    <w:p>
      <w:pPr>
        <w:spacing w:line="360" w:lineRule="auto"/>
        <w:ind w:firstLine="4080"/>
        <w:jc w:val="right"/>
        <w:rPr>
          <w:rFonts w:ascii="仿宋" w:hAnsi="仿宋" w:eastAsia="仿宋" w:cs="宋体"/>
          <w:color w:val="auto"/>
          <w:sz w:val="24"/>
          <w:szCs w:val="24"/>
        </w:rPr>
      </w:pPr>
    </w:p>
    <w:p>
      <w:pPr>
        <w:ind w:firstLine="482"/>
        <w:rPr>
          <w:rFonts w:ascii="仿宋" w:hAnsi="仿宋" w:eastAsia="仿宋" w:cs="宋体"/>
          <w:b/>
          <w:bCs/>
          <w:color w:val="auto"/>
          <w:sz w:val="24"/>
        </w:rPr>
      </w:pPr>
    </w:p>
    <w:p>
      <w:pPr>
        <w:ind w:firstLine="482"/>
        <w:rPr>
          <w:rFonts w:ascii="仿宋" w:hAnsi="仿宋" w:eastAsia="仿宋" w:cs="宋体"/>
          <w:b/>
          <w:bCs/>
          <w:color w:val="auto"/>
          <w:sz w:val="24"/>
        </w:rPr>
        <w:sectPr>
          <w:pgSz w:w="11906" w:h="16838"/>
          <w:pgMar w:top="1440" w:right="1800" w:bottom="1440" w:left="1800" w:header="851" w:footer="992" w:gutter="0"/>
          <w:cols w:space="720" w:num="1"/>
          <w:titlePg/>
        </w:sectPr>
      </w:pPr>
    </w:p>
    <w:p>
      <w:pPr>
        <w:pStyle w:val="6"/>
        <w:rPr>
          <w:rFonts w:ascii="仿宋" w:hAnsi="仿宋" w:cs="宋体"/>
          <w:color w:val="auto"/>
        </w:rPr>
      </w:pPr>
      <w:r>
        <w:rPr>
          <w:rFonts w:hint="eastAsia" w:ascii="仿宋" w:hAnsi="仿宋" w:cs="宋体"/>
          <w:color w:val="auto"/>
        </w:rPr>
        <w:t>2、拟派团队成员简历表</w:t>
      </w:r>
    </w:p>
    <w:tbl>
      <w:tblPr>
        <w:tblStyle w:val="41"/>
        <w:tblW w:w="937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宋体"/>
                <w:color w:val="auto"/>
                <w:sz w:val="24"/>
                <w:szCs w:val="24"/>
              </w:rPr>
            </w:pPr>
            <w:r>
              <w:rPr>
                <w:rFonts w:hint="eastAsia" w:ascii="仿宋" w:hAnsi="仿宋" w:eastAsia="仿宋" w:cs="宋体"/>
                <w:color w:val="auto"/>
                <w:sz w:val="24"/>
                <w:szCs w:val="24"/>
              </w:rPr>
              <w:t>姓  名</w:t>
            </w:r>
          </w:p>
        </w:tc>
        <w:tc>
          <w:tcPr>
            <w:tcW w:w="1680" w:type="dxa"/>
            <w:gridSpan w:val="3"/>
            <w:vAlign w:val="center"/>
          </w:tcPr>
          <w:p>
            <w:pPr>
              <w:jc w:val="center"/>
              <w:rPr>
                <w:rFonts w:ascii="仿宋" w:hAnsi="仿宋" w:eastAsia="仿宋" w:cs="宋体"/>
                <w:color w:val="auto"/>
                <w:sz w:val="24"/>
                <w:szCs w:val="24"/>
              </w:rPr>
            </w:pPr>
          </w:p>
        </w:tc>
        <w:tc>
          <w:tcPr>
            <w:tcW w:w="945" w:type="dxa"/>
            <w:gridSpan w:val="2"/>
            <w:vAlign w:val="center"/>
          </w:tcPr>
          <w:p>
            <w:pPr>
              <w:rPr>
                <w:rFonts w:ascii="仿宋" w:hAnsi="仿宋" w:eastAsia="仿宋" w:cs="宋体"/>
                <w:color w:val="auto"/>
                <w:sz w:val="24"/>
                <w:szCs w:val="24"/>
              </w:rPr>
            </w:pPr>
            <w:r>
              <w:rPr>
                <w:rFonts w:hint="eastAsia" w:ascii="仿宋" w:hAnsi="仿宋" w:eastAsia="仿宋" w:cs="宋体"/>
                <w:color w:val="auto"/>
                <w:sz w:val="24"/>
                <w:szCs w:val="24"/>
              </w:rPr>
              <w:t>性 别</w:t>
            </w:r>
          </w:p>
        </w:tc>
        <w:tc>
          <w:tcPr>
            <w:tcW w:w="945" w:type="dxa"/>
            <w:vAlign w:val="center"/>
          </w:tcPr>
          <w:p>
            <w:pPr>
              <w:rPr>
                <w:rFonts w:ascii="仿宋" w:hAnsi="仿宋" w:eastAsia="仿宋" w:cs="宋体"/>
                <w:color w:val="auto"/>
                <w:sz w:val="24"/>
                <w:szCs w:val="24"/>
              </w:rPr>
            </w:pPr>
          </w:p>
        </w:tc>
        <w:tc>
          <w:tcPr>
            <w:tcW w:w="1854" w:type="dxa"/>
            <w:gridSpan w:val="2"/>
            <w:vAlign w:val="center"/>
          </w:tcPr>
          <w:p>
            <w:pPr>
              <w:rPr>
                <w:rFonts w:ascii="仿宋" w:hAnsi="仿宋" w:eastAsia="仿宋" w:cs="宋体"/>
                <w:color w:val="auto"/>
                <w:sz w:val="24"/>
                <w:szCs w:val="24"/>
              </w:rPr>
            </w:pPr>
            <w:r>
              <w:rPr>
                <w:rFonts w:hint="eastAsia" w:ascii="仿宋" w:hAnsi="仿宋" w:eastAsia="仿宋" w:cs="宋体"/>
                <w:color w:val="auto"/>
                <w:sz w:val="24"/>
                <w:szCs w:val="24"/>
              </w:rPr>
              <w:t>出 生 日 期</w:t>
            </w:r>
          </w:p>
        </w:tc>
        <w:tc>
          <w:tcPr>
            <w:tcW w:w="2566" w:type="dxa"/>
            <w:vAlign w:val="center"/>
          </w:tcPr>
          <w:p>
            <w:pPr>
              <w:rPr>
                <w:rFonts w:ascii="仿宋" w:hAnsi="仿宋" w:eastAsia="仿宋" w:cs="宋体"/>
                <w:color w:val="auto"/>
                <w:sz w:val="24"/>
                <w:szCs w:val="24"/>
              </w:rPr>
            </w:pPr>
            <w:r>
              <w:rPr>
                <w:rFonts w:hint="eastAsia" w:ascii="仿宋" w:hAnsi="仿宋" w:eastAsia="仿宋" w:cs="宋体"/>
                <w:color w:val="auto"/>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0" w:hRule="atLeast"/>
        </w:trPr>
        <w:tc>
          <w:tcPr>
            <w:tcW w:w="1380" w:type="dxa"/>
            <w:vAlign w:val="center"/>
          </w:tcPr>
          <w:p>
            <w:pPr>
              <w:rPr>
                <w:rFonts w:ascii="仿宋" w:hAnsi="仿宋" w:eastAsia="仿宋" w:cs="宋体"/>
                <w:color w:val="auto"/>
                <w:sz w:val="24"/>
                <w:szCs w:val="24"/>
              </w:rPr>
            </w:pPr>
            <w:r>
              <w:rPr>
                <w:rFonts w:hint="eastAsia" w:ascii="仿宋" w:hAnsi="仿宋" w:eastAsia="仿宋" w:cs="宋体"/>
                <w:color w:val="auto"/>
                <w:sz w:val="24"/>
                <w:szCs w:val="24"/>
              </w:rPr>
              <w:t>毕业院校及专业</w:t>
            </w:r>
          </w:p>
        </w:tc>
        <w:tc>
          <w:tcPr>
            <w:tcW w:w="3570" w:type="dxa"/>
            <w:gridSpan w:val="6"/>
            <w:vAlign w:val="center"/>
          </w:tcPr>
          <w:p>
            <w:pPr>
              <w:rPr>
                <w:rFonts w:ascii="仿宋" w:hAnsi="仿宋" w:eastAsia="仿宋" w:cs="宋体"/>
                <w:color w:val="auto"/>
                <w:sz w:val="24"/>
                <w:szCs w:val="24"/>
              </w:rPr>
            </w:pPr>
          </w:p>
        </w:tc>
        <w:tc>
          <w:tcPr>
            <w:tcW w:w="1854" w:type="dxa"/>
            <w:gridSpan w:val="2"/>
            <w:vAlign w:val="center"/>
          </w:tcPr>
          <w:p>
            <w:pPr>
              <w:ind w:left="-18"/>
              <w:jc w:val="center"/>
              <w:rPr>
                <w:rFonts w:ascii="仿宋" w:hAnsi="仿宋" w:eastAsia="仿宋" w:cs="宋体"/>
                <w:color w:val="auto"/>
                <w:sz w:val="24"/>
                <w:szCs w:val="24"/>
              </w:rPr>
            </w:pPr>
            <w:r>
              <w:rPr>
                <w:rFonts w:hint="eastAsia" w:ascii="仿宋" w:hAnsi="仿宋" w:eastAsia="仿宋" w:cs="宋体"/>
                <w:color w:val="auto"/>
                <w:sz w:val="24"/>
                <w:szCs w:val="24"/>
              </w:rPr>
              <w:t>学历</w:t>
            </w:r>
          </w:p>
        </w:tc>
        <w:tc>
          <w:tcPr>
            <w:tcW w:w="2566" w:type="dxa"/>
            <w:vAlign w:val="center"/>
          </w:tcPr>
          <w:p>
            <w:pPr>
              <w:ind w:left="45"/>
              <w:rPr>
                <w:rFonts w:ascii="仿宋" w:hAnsi="仿宋" w:eastAsia="仿宋" w:cs="宋体"/>
                <w:color w:val="auto"/>
                <w:sz w:val="24"/>
                <w:szCs w:val="24"/>
              </w:rPr>
            </w:pPr>
            <w:r>
              <w:rPr>
                <w:rFonts w:hint="eastAsia" w:ascii="仿宋" w:hAnsi="仿宋" w:eastAsia="仿宋" w:cs="宋体"/>
                <w:color w:val="auto"/>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宋体"/>
                <w:color w:val="auto"/>
                <w:sz w:val="24"/>
                <w:szCs w:val="24"/>
              </w:rPr>
            </w:pPr>
            <w:r>
              <w:rPr>
                <w:rFonts w:hint="eastAsia" w:ascii="仿宋" w:hAnsi="仿宋" w:eastAsia="仿宋" w:cs="宋体"/>
                <w:color w:val="auto"/>
                <w:sz w:val="24"/>
                <w:szCs w:val="24"/>
              </w:rPr>
              <w:t>工作年限</w:t>
            </w:r>
          </w:p>
        </w:tc>
        <w:tc>
          <w:tcPr>
            <w:tcW w:w="1974" w:type="dxa"/>
            <w:gridSpan w:val="2"/>
            <w:vAlign w:val="center"/>
          </w:tcPr>
          <w:p>
            <w:pPr>
              <w:rPr>
                <w:rFonts w:ascii="仿宋" w:hAnsi="仿宋" w:eastAsia="仿宋" w:cs="宋体"/>
                <w:color w:val="auto"/>
                <w:sz w:val="24"/>
                <w:szCs w:val="24"/>
              </w:rPr>
            </w:pPr>
          </w:p>
        </w:tc>
        <w:tc>
          <w:tcPr>
            <w:tcW w:w="2835" w:type="dxa"/>
            <w:gridSpan w:val="4"/>
            <w:vAlign w:val="center"/>
          </w:tcPr>
          <w:p>
            <w:pPr>
              <w:jc w:val="center"/>
              <w:rPr>
                <w:rFonts w:ascii="仿宋" w:hAnsi="仿宋" w:eastAsia="仿宋" w:cs="宋体"/>
                <w:color w:val="auto"/>
                <w:sz w:val="24"/>
                <w:szCs w:val="24"/>
              </w:rPr>
            </w:pPr>
            <w:r>
              <w:rPr>
                <w:rFonts w:hint="eastAsia" w:ascii="仿宋" w:hAnsi="仿宋" w:eastAsia="仿宋" w:cs="宋体"/>
                <w:color w:val="auto"/>
                <w:sz w:val="24"/>
                <w:szCs w:val="24"/>
              </w:rPr>
              <w:t>为投标人服务时间</w:t>
            </w:r>
          </w:p>
        </w:tc>
        <w:tc>
          <w:tcPr>
            <w:tcW w:w="2566" w:type="dxa"/>
            <w:vAlign w:val="center"/>
          </w:tcPr>
          <w:p>
            <w:pPr>
              <w:rPr>
                <w:rFonts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宋体"/>
                <w:color w:val="auto"/>
                <w:sz w:val="24"/>
                <w:szCs w:val="24"/>
              </w:rPr>
            </w:pPr>
            <w:r>
              <w:rPr>
                <w:rFonts w:hint="eastAsia" w:ascii="仿宋" w:hAnsi="仿宋" w:eastAsia="仿宋" w:cs="宋体"/>
                <w:color w:val="auto"/>
                <w:sz w:val="24"/>
                <w:szCs w:val="24"/>
              </w:rPr>
              <w:t>专业资质</w:t>
            </w:r>
          </w:p>
        </w:tc>
        <w:tc>
          <w:tcPr>
            <w:tcW w:w="1974" w:type="dxa"/>
            <w:gridSpan w:val="2"/>
            <w:vAlign w:val="center"/>
          </w:tcPr>
          <w:p>
            <w:pPr>
              <w:rPr>
                <w:rFonts w:ascii="仿宋" w:hAnsi="仿宋" w:eastAsia="仿宋" w:cs="宋体"/>
                <w:color w:val="auto"/>
                <w:sz w:val="24"/>
                <w:szCs w:val="24"/>
              </w:rPr>
            </w:pPr>
          </w:p>
        </w:tc>
        <w:tc>
          <w:tcPr>
            <w:tcW w:w="2835" w:type="dxa"/>
            <w:gridSpan w:val="4"/>
            <w:vAlign w:val="center"/>
          </w:tcPr>
          <w:p>
            <w:pPr>
              <w:jc w:val="center"/>
              <w:rPr>
                <w:rFonts w:ascii="仿宋" w:hAnsi="仿宋" w:eastAsia="仿宋" w:cs="宋体"/>
                <w:color w:val="auto"/>
                <w:sz w:val="24"/>
                <w:szCs w:val="24"/>
              </w:rPr>
            </w:pPr>
            <w:r>
              <w:rPr>
                <w:rFonts w:hint="eastAsia" w:ascii="仿宋" w:hAnsi="仿宋" w:eastAsia="仿宋" w:cs="宋体"/>
                <w:color w:val="auto"/>
                <w:sz w:val="24"/>
                <w:szCs w:val="24"/>
              </w:rPr>
              <w:t>在本项目中的职务</w:t>
            </w:r>
          </w:p>
        </w:tc>
        <w:tc>
          <w:tcPr>
            <w:tcW w:w="2566" w:type="dxa"/>
            <w:vAlign w:val="center"/>
          </w:tcPr>
          <w:p>
            <w:pPr>
              <w:rPr>
                <w:rFonts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370" w:type="dxa"/>
            <w:gridSpan w:val="10"/>
            <w:vAlign w:val="center"/>
          </w:tcPr>
          <w:p>
            <w:pPr>
              <w:ind w:firstLine="3360"/>
              <w:rPr>
                <w:rFonts w:ascii="仿宋" w:hAnsi="仿宋" w:eastAsia="仿宋" w:cs="宋体"/>
                <w:color w:val="auto"/>
                <w:sz w:val="24"/>
                <w:szCs w:val="24"/>
              </w:rPr>
            </w:pPr>
            <w:r>
              <w:rPr>
                <w:rFonts w:hint="eastAsia" w:ascii="仿宋" w:hAnsi="仿宋" w:eastAsia="仿宋" w:cs="宋体"/>
                <w:color w:val="auto"/>
                <w:sz w:val="24"/>
                <w:szCs w:val="24"/>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370" w:type="dxa"/>
            <w:gridSpan w:val="10"/>
            <w:vAlign w:val="center"/>
          </w:tcPr>
          <w:p>
            <w:pPr>
              <w:rPr>
                <w:rFonts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370" w:type="dxa"/>
            <w:gridSpan w:val="10"/>
            <w:vAlign w:val="center"/>
          </w:tcPr>
          <w:p>
            <w:pPr>
              <w:rPr>
                <w:rFonts w:ascii="仿宋" w:hAnsi="仿宋" w:eastAsia="仿宋" w:cs="宋体"/>
                <w:color w:val="auto"/>
                <w:sz w:val="24"/>
                <w:szCs w:val="24"/>
              </w:rPr>
            </w:pPr>
            <w:r>
              <w:rPr>
                <w:rFonts w:hint="eastAsia" w:ascii="仿宋" w:hAnsi="仿宋" w:eastAsia="仿宋" w:cs="宋体"/>
                <w:color w:val="auto"/>
                <w:sz w:val="24"/>
                <w:szCs w:val="24"/>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宋体"/>
                <w:color w:val="auto"/>
                <w:sz w:val="24"/>
                <w:szCs w:val="24"/>
              </w:rPr>
            </w:pPr>
            <w:r>
              <w:rPr>
                <w:rFonts w:hint="eastAsia" w:ascii="仿宋" w:hAnsi="仿宋" w:eastAsia="仿宋" w:cs="宋体"/>
                <w:color w:val="auto"/>
                <w:sz w:val="24"/>
                <w:szCs w:val="24"/>
              </w:rPr>
              <w:t>时   间</w:t>
            </w:r>
          </w:p>
        </w:tc>
        <w:tc>
          <w:tcPr>
            <w:tcW w:w="4536" w:type="dxa"/>
            <w:gridSpan w:val="6"/>
            <w:vAlign w:val="center"/>
          </w:tcPr>
          <w:p>
            <w:pPr>
              <w:jc w:val="center"/>
              <w:rPr>
                <w:rFonts w:ascii="仿宋" w:hAnsi="仿宋" w:eastAsia="仿宋" w:cs="宋体"/>
                <w:color w:val="auto"/>
                <w:sz w:val="24"/>
                <w:szCs w:val="24"/>
              </w:rPr>
            </w:pPr>
            <w:r>
              <w:rPr>
                <w:rFonts w:hint="eastAsia" w:ascii="仿宋" w:hAnsi="仿宋" w:eastAsia="仿宋" w:cs="宋体"/>
                <w:color w:val="auto"/>
                <w:sz w:val="24"/>
                <w:szCs w:val="24"/>
              </w:rPr>
              <w:t>同类项目名称及简要描述</w:t>
            </w:r>
          </w:p>
        </w:tc>
        <w:tc>
          <w:tcPr>
            <w:tcW w:w="3133" w:type="dxa"/>
            <w:gridSpan w:val="2"/>
            <w:vAlign w:val="center"/>
          </w:tcPr>
          <w:p>
            <w:pPr>
              <w:jc w:val="center"/>
              <w:rPr>
                <w:rFonts w:ascii="仿宋" w:hAnsi="仿宋" w:eastAsia="仿宋" w:cs="宋体"/>
                <w:color w:val="auto"/>
                <w:sz w:val="24"/>
                <w:szCs w:val="24"/>
              </w:rPr>
            </w:pPr>
            <w:r>
              <w:rPr>
                <w:rFonts w:hint="eastAsia" w:ascii="仿宋" w:hAnsi="仿宋" w:eastAsia="仿宋" w:cs="宋体"/>
                <w:color w:val="auto"/>
                <w:sz w:val="24"/>
                <w:szCs w:val="24"/>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宋体"/>
                <w:color w:val="auto"/>
                <w:sz w:val="24"/>
                <w:szCs w:val="24"/>
              </w:rPr>
            </w:pPr>
          </w:p>
        </w:tc>
        <w:tc>
          <w:tcPr>
            <w:tcW w:w="4536" w:type="dxa"/>
            <w:gridSpan w:val="6"/>
          </w:tcPr>
          <w:p>
            <w:pPr>
              <w:rPr>
                <w:rFonts w:ascii="仿宋" w:hAnsi="仿宋" w:eastAsia="仿宋" w:cs="宋体"/>
                <w:color w:val="auto"/>
                <w:sz w:val="24"/>
                <w:szCs w:val="24"/>
              </w:rPr>
            </w:pPr>
          </w:p>
        </w:tc>
        <w:tc>
          <w:tcPr>
            <w:tcW w:w="3133" w:type="dxa"/>
            <w:gridSpan w:val="2"/>
          </w:tcPr>
          <w:p>
            <w:pPr>
              <w:rPr>
                <w:rFonts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宋体"/>
                <w:color w:val="auto"/>
                <w:sz w:val="24"/>
                <w:szCs w:val="24"/>
              </w:rPr>
            </w:pPr>
          </w:p>
        </w:tc>
        <w:tc>
          <w:tcPr>
            <w:tcW w:w="4536" w:type="dxa"/>
            <w:gridSpan w:val="6"/>
          </w:tcPr>
          <w:p>
            <w:pPr>
              <w:rPr>
                <w:rFonts w:ascii="仿宋" w:hAnsi="仿宋" w:eastAsia="仿宋" w:cs="宋体"/>
                <w:color w:val="auto"/>
                <w:sz w:val="24"/>
                <w:szCs w:val="24"/>
              </w:rPr>
            </w:pPr>
          </w:p>
        </w:tc>
        <w:tc>
          <w:tcPr>
            <w:tcW w:w="3133" w:type="dxa"/>
            <w:gridSpan w:val="2"/>
          </w:tcPr>
          <w:p>
            <w:pPr>
              <w:rPr>
                <w:rFonts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宋体"/>
                <w:color w:val="auto"/>
                <w:sz w:val="24"/>
                <w:szCs w:val="24"/>
              </w:rPr>
            </w:pPr>
          </w:p>
        </w:tc>
        <w:tc>
          <w:tcPr>
            <w:tcW w:w="4536" w:type="dxa"/>
            <w:gridSpan w:val="6"/>
          </w:tcPr>
          <w:p>
            <w:pPr>
              <w:rPr>
                <w:rFonts w:ascii="仿宋" w:hAnsi="仿宋" w:eastAsia="仿宋" w:cs="宋体"/>
                <w:color w:val="auto"/>
                <w:sz w:val="24"/>
                <w:szCs w:val="24"/>
              </w:rPr>
            </w:pPr>
          </w:p>
        </w:tc>
        <w:tc>
          <w:tcPr>
            <w:tcW w:w="3133" w:type="dxa"/>
            <w:gridSpan w:val="2"/>
          </w:tcPr>
          <w:p>
            <w:pPr>
              <w:rPr>
                <w:rFonts w:ascii="仿宋" w:hAnsi="仿宋" w:eastAsia="仿宋"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宋体"/>
                <w:color w:val="auto"/>
                <w:sz w:val="24"/>
                <w:szCs w:val="24"/>
              </w:rPr>
            </w:pPr>
          </w:p>
        </w:tc>
        <w:tc>
          <w:tcPr>
            <w:tcW w:w="4536" w:type="dxa"/>
            <w:gridSpan w:val="6"/>
          </w:tcPr>
          <w:p>
            <w:pPr>
              <w:rPr>
                <w:rFonts w:ascii="仿宋" w:hAnsi="仿宋" w:eastAsia="仿宋" w:cs="宋体"/>
                <w:color w:val="auto"/>
                <w:sz w:val="24"/>
                <w:szCs w:val="24"/>
              </w:rPr>
            </w:pPr>
          </w:p>
        </w:tc>
        <w:tc>
          <w:tcPr>
            <w:tcW w:w="3133" w:type="dxa"/>
            <w:gridSpan w:val="2"/>
          </w:tcPr>
          <w:p>
            <w:pPr>
              <w:rPr>
                <w:rFonts w:ascii="仿宋" w:hAnsi="仿宋" w:eastAsia="仿宋" w:cs="宋体"/>
                <w:color w:val="auto"/>
                <w:sz w:val="24"/>
                <w:szCs w:val="24"/>
              </w:rPr>
            </w:pPr>
          </w:p>
        </w:tc>
      </w:tr>
    </w:tbl>
    <w:p>
      <w:pPr>
        <w:spacing w:line="560" w:lineRule="exact"/>
        <w:rPr>
          <w:rFonts w:ascii="仿宋" w:hAnsi="仿宋" w:eastAsia="仿宋" w:cs="宋体"/>
          <w:b/>
          <w:color w:val="auto"/>
          <w:sz w:val="24"/>
          <w:szCs w:val="24"/>
        </w:rPr>
      </w:pPr>
      <w:r>
        <w:rPr>
          <w:rFonts w:hint="eastAsia" w:ascii="仿宋" w:hAnsi="仿宋" w:eastAsia="仿宋" w:cs="宋体"/>
          <w:b/>
          <w:color w:val="auto"/>
          <w:sz w:val="24"/>
          <w:szCs w:val="24"/>
        </w:rPr>
        <w:t>备注：</w:t>
      </w:r>
    </w:p>
    <w:p>
      <w:pPr>
        <w:spacing w:line="240" w:lineRule="auto"/>
        <w:rPr>
          <w:rFonts w:ascii="仿宋" w:hAnsi="仿宋" w:eastAsia="仿宋" w:cs="宋体"/>
          <w:b/>
          <w:color w:val="auto"/>
          <w:sz w:val="22"/>
          <w:szCs w:val="22"/>
        </w:rPr>
      </w:pPr>
      <w:r>
        <w:rPr>
          <w:rFonts w:hint="eastAsia" w:ascii="仿宋" w:hAnsi="仿宋" w:eastAsia="仿宋" w:cs="宋体"/>
          <w:b/>
          <w:color w:val="auto"/>
          <w:sz w:val="22"/>
          <w:szCs w:val="22"/>
        </w:rPr>
        <w:t>1</w:t>
      </w:r>
      <w:r>
        <w:rPr>
          <w:rFonts w:hint="eastAsia" w:ascii="仿宋" w:hAnsi="仿宋" w:eastAsia="仿宋" w:cs="宋体"/>
          <w:b/>
          <w:color w:val="auto"/>
          <w:sz w:val="22"/>
          <w:szCs w:val="22"/>
          <w:lang w:val="en-US" w:eastAsia="zh-CN"/>
        </w:rPr>
        <w:t>.</w:t>
      </w:r>
      <w:r>
        <w:rPr>
          <w:rFonts w:hint="eastAsia" w:ascii="仿宋" w:hAnsi="仿宋" w:eastAsia="仿宋" w:cs="宋体"/>
          <w:b/>
          <w:color w:val="auto"/>
          <w:sz w:val="22"/>
          <w:szCs w:val="22"/>
          <w:lang w:bidi="ar"/>
        </w:rPr>
        <w:t>根据技术规范书中的团队要求，</w:t>
      </w:r>
      <w:r>
        <w:rPr>
          <w:rFonts w:hint="eastAsia" w:ascii="仿宋" w:hAnsi="仿宋" w:eastAsia="仿宋" w:cs="宋体"/>
          <w:b/>
          <w:color w:val="auto"/>
          <w:sz w:val="22"/>
          <w:szCs w:val="22"/>
        </w:rPr>
        <w:t>投标人需随此表附上团队成员的身份证、毕业证、专业资质证书、同类项目实施经验证明等材料。</w:t>
      </w:r>
    </w:p>
    <w:p>
      <w:pPr>
        <w:spacing w:line="240" w:lineRule="auto"/>
        <w:jc w:val="left"/>
        <w:rPr>
          <w:rFonts w:ascii="仿宋" w:hAnsi="仿宋" w:eastAsia="仿宋" w:cs="宋体"/>
          <w:b/>
          <w:color w:val="auto"/>
          <w:sz w:val="22"/>
          <w:szCs w:val="22"/>
        </w:rPr>
      </w:pPr>
      <w:r>
        <w:rPr>
          <w:rFonts w:hint="eastAsia" w:ascii="仿宋" w:hAnsi="仿宋" w:eastAsia="仿宋" w:cs="宋体"/>
          <w:b/>
          <w:color w:val="auto"/>
          <w:sz w:val="22"/>
          <w:szCs w:val="22"/>
        </w:rPr>
        <w:t>2</w:t>
      </w:r>
      <w:r>
        <w:rPr>
          <w:rFonts w:hint="eastAsia" w:ascii="仿宋" w:hAnsi="仿宋" w:eastAsia="仿宋" w:cs="宋体"/>
          <w:b/>
          <w:color w:val="auto"/>
          <w:sz w:val="22"/>
          <w:szCs w:val="22"/>
          <w:lang w:val="en-US" w:eastAsia="zh-CN"/>
        </w:rPr>
        <w:t>.</w:t>
      </w:r>
      <w:r>
        <w:rPr>
          <w:rFonts w:hint="eastAsia" w:ascii="仿宋" w:hAnsi="仿宋" w:eastAsia="仿宋" w:cs="宋体"/>
          <w:b/>
          <w:color w:val="auto"/>
          <w:sz w:val="22"/>
          <w:szCs w:val="22"/>
        </w:rPr>
        <w:t>“先附简历、再附材料”为一个人员的完整材料，人员简历排放顺序需与人员汇总表一致。</w:t>
      </w:r>
    </w:p>
    <w:p>
      <w:pPr>
        <w:pStyle w:val="5"/>
        <w:rPr>
          <w:rFonts w:hint="default" w:ascii="仿宋" w:hAnsi="仿宋" w:cs="宋体"/>
          <w:color w:val="auto"/>
          <w:szCs w:val="24"/>
        </w:rPr>
      </w:pPr>
      <w:r>
        <w:rPr>
          <w:rFonts w:ascii="仿宋" w:hAnsi="仿宋" w:cs="宋体"/>
          <w:color w:val="auto"/>
          <w:szCs w:val="24"/>
        </w:rPr>
        <w:br w:type="page" w:clear="all"/>
      </w:r>
      <w:bookmarkStart w:id="715" w:name="_Toc65683016"/>
      <w:bookmarkStart w:id="716" w:name="_Toc23092"/>
      <w:bookmarkStart w:id="717" w:name="_Toc109124330"/>
      <w:bookmarkStart w:id="718" w:name="_Toc6712"/>
      <w:r>
        <w:rPr>
          <w:rFonts w:ascii="仿宋" w:hAnsi="仿宋" w:cs="宋体"/>
          <w:color w:val="auto"/>
          <w:szCs w:val="24"/>
        </w:rPr>
        <w:t>（二）其他材料</w:t>
      </w:r>
      <w:bookmarkEnd w:id="715"/>
      <w:bookmarkEnd w:id="716"/>
      <w:bookmarkEnd w:id="717"/>
      <w:bookmarkEnd w:id="718"/>
      <w:r>
        <w:rPr>
          <w:rFonts w:ascii="仿宋" w:hAnsi="仿宋" w:cs="宋体"/>
          <w:color w:val="auto"/>
          <w:szCs w:val="24"/>
        </w:rPr>
        <w:tab/>
      </w:r>
    </w:p>
    <w:p>
      <w:pPr>
        <w:spacing w:line="360" w:lineRule="auto"/>
        <w:rPr>
          <w:rFonts w:ascii="仿宋" w:hAnsi="仿宋" w:eastAsia="仿宋" w:cs="宋体"/>
          <w:color w:val="auto"/>
          <w:sz w:val="24"/>
          <w:szCs w:val="24"/>
        </w:rPr>
      </w:pPr>
      <w:r>
        <w:rPr>
          <w:rFonts w:hint="eastAsia" w:ascii="仿宋" w:hAnsi="仿宋" w:eastAsia="仿宋" w:cs="Cambria Math"/>
          <w:color w:val="auto"/>
          <w:sz w:val="24"/>
        </w:rPr>
        <w:t>详细评审中技术部分涉及的文件及证明材料、</w:t>
      </w:r>
      <w:r>
        <w:rPr>
          <w:rFonts w:hint="eastAsia" w:ascii="仿宋" w:hAnsi="仿宋" w:eastAsia="仿宋" w:cs="宋体"/>
          <w:color w:val="auto"/>
          <w:sz w:val="24"/>
          <w:szCs w:val="24"/>
        </w:rPr>
        <w:t>投标人认为需提供的其他材料。</w:t>
      </w:r>
    </w:p>
    <w:p>
      <w:pPr>
        <w:rPr>
          <w:rFonts w:ascii="仿宋" w:hAnsi="仿宋" w:eastAsia="仿宋" w:cs="宋体"/>
          <w:color w:val="auto"/>
          <w:sz w:val="24"/>
          <w:szCs w:val="24"/>
        </w:rPr>
        <w:sectPr>
          <w:pgSz w:w="11906" w:h="16838"/>
          <w:pgMar w:top="1440" w:right="1800" w:bottom="1440" w:left="1800" w:header="851" w:footer="992" w:gutter="0"/>
          <w:cols w:space="720" w:num="1"/>
          <w:titlePg/>
        </w:sectPr>
      </w:pPr>
    </w:p>
    <w:p>
      <w:pPr>
        <w:pStyle w:val="4"/>
        <w:jc w:val="center"/>
        <w:rPr>
          <w:rFonts w:ascii="仿宋" w:hAnsi="仿宋" w:cs="宋体"/>
          <w:color w:val="auto"/>
          <w:szCs w:val="24"/>
        </w:rPr>
      </w:pPr>
      <w:bookmarkStart w:id="719" w:name="_Toc5944"/>
      <w:bookmarkStart w:id="720" w:name="_Toc109124331"/>
      <w:bookmarkStart w:id="721" w:name="_Toc65683017"/>
      <w:bookmarkStart w:id="722" w:name="_Toc29561"/>
      <w:r>
        <w:rPr>
          <w:rFonts w:hint="eastAsia" w:ascii="仿宋" w:hAnsi="仿宋" w:cs="宋体"/>
          <w:color w:val="auto"/>
          <w:szCs w:val="24"/>
        </w:rPr>
        <w:t>三、报价文件</w:t>
      </w:r>
      <w:bookmarkEnd w:id="719"/>
      <w:bookmarkEnd w:id="720"/>
      <w:bookmarkEnd w:id="721"/>
      <w:bookmarkEnd w:id="722"/>
    </w:p>
    <w:p>
      <w:pPr>
        <w:pStyle w:val="5"/>
        <w:spacing w:line="360" w:lineRule="auto"/>
        <w:jc w:val="center"/>
        <w:rPr>
          <w:rFonts w:hint="default" w:ascii="仿宋" w:hAnsi="仿宋" w:cs="宋体"/>
          <w:color w:val="auto"/>
          <w:szCs w:val="24"/>
        </w:rPr>
      </w:pPr>
      <w:bookmarkStart w:id="723" w:name="_Toc109124332"/>
      <w:bookmarkStart w:id="724" w:name="_Toc20305"/>
      <w:bookmarkStart w:id="725" w:name="_Toc3391"/>
      <w:bookmarkStart w:id="726" w:name="_Toc65683018"/>
      <w:r>
        <w:rPr>
          <w:rFonts w:ascii="仿宋" w:hAnsi="仿宋" w:cs="宋体"/>
          <w:color w:val="auto"/>
          <w:szCs w:val="24"/>
        </w:rPr>
        <w:t>（一）投标一览表</w:t>
      </w:r>
      <w:bookmarkEnd w:id="723"/>
      <w:bookmarkEnd w:id="724"/>
      <w:bookmarkEnd w:id="725"/>
      <w:bookmarkEnd w:id="726"/>
    </w:p>
    <w:p>
      <w:pPr>
        <w:pStyle w:val="13"/>
        <w:spacing w:line="360" w:lineRule="auto"/>
        <w:ind w:hanging="142"/>
        <w:rPr>
          <w:rFonts w:ascii="仿宋" w:hAnsi="仿宋" w:eastAsia="仿宋" w:cs="宋体"/>
          <w:color w:val="auto"/>
          <w:sz w:val="24"/>
          <w:szCs w:val="24"/>
        </w:rPr>
      </w:pPr>
    </w:p>
    <w:p>
      <w:pPr>
        <w:pStyle w:val="13"/>
        <w:spacing w:line="360" w:lineRule="auto"/>
        <w:ind w:hanging="142"/>
        <w:rPr>
          <w:rFonts w:ascii="仿宋" w:hAnsi="仿宋" w:eastAsia="仿宋" w:cs="宋体"/>
          <w:color w:val="auto"/>
          <w:sz w:val="24"/>
          <w:szCs w:val="24"/>
          <w:u w:val="single"/>
        </w:rPr>
      </w:pPr>
      <w:r>
        <w:rPr>
          <w:rFonts w:hint="eastAsia" w:ascii="仿宋" w:hAnsi="仿宋" w:eastAsia="仿宋" w:cs="宋体"/>
          <w:color w:val="auto"/>
          <w:sz w:val="24"/>
          <w:szCs w:val="24"/>
        </w:rPr>
        <w:t>项目名称：</w:t>
      </w:r>
      <w:r>
        <w:rPr>
          <w:rFonts w:hint="eastAsia" w:ascii="仿宋" w:hAnsi="仿宋" w:eastAsia="仿宋" w:cs="宋体"/>
          <w:color w:val="auto"/>
          <w:sz w:val="24"/>
          <w:szCs w:val="24"/>
          <w:u w:val="single"/>
        </w:rPr>
        <w:t>人保财险南充嘉陵支公司办公楼装饰工程采购项目</w:t>
      </w:r>
    </w:p>
    <w:p>
      <w:pPr>
        <w:pStyle w:val="13"/>
        <w:spacing w:line="360" w:lineRule="auto"/>
        <w:ind w:hanging="142"/>
        <w:rPr>
          <w:rFonts w:ascii="仿宋" w:hAnsi="仿宋" w:eastAsia="仿宋" w:cs="宋体"/>
          <w:color w:val="auto"/>
          <w:sz w:val="24"/>
          <w:szCs w:val="24"/>
          <w:u w:val="single"/>
        </w:rPr>
      </w:pPr>
      <w:r>
        <w:rPr>
          <w:rFonts w:hint="eastAsia" w:ascii="仿宋" w:hAnsi="仿宋" w:eastAsia="仿宋" w:cs="宋体"/>
          <w:color w:val="auto"/>
          <w:sz w:val="24"/>
          <w:szCs w:val="24"/>
        </w:rPr>
        <w:t>货币单位：</w:t>
      </w:r>
      <w:r>
        <w:rPr>
          <w:rFonts w:hint="eastAsia" w:ascii="仿宋" w:hAnsi="仿宋" w:eastAsia="仿宋" w:cs="宋体"/>
          <w:color w:val="auto"/>
          <w:sz w:val="24"/>
          <w:szCs w:val="24"/>
          <w:u w:val="single"/>
        </w:rPr>
        <w:t xml:space="preserve">  人民币/元   </w:t>
      </w:r>
    </w:p>
    <w:tbl>
      <w:tblPr>
        <w:tblStyle w:val="41"/>
        <w:tblW w:w="4771" w:type="pct"/>
        <w:jc w:val="center"/>
        <w:tblLayout w:type="autofit"/>
        <w:tblCellMar>
          <w:top w:w="0" w:type="dxa"/>
          <w:left w:w="108" w:type="dxa"/>
          <w:bottom w:w="0" w:type="dxa"/>
          <w:right w:w="108" w:type="dxa"/>
        </w:tblCellMar>
      </w:tblPr>
      <w:tblGrid>
        <w:gridCol w:w="642"/>
        <w:gridCol w:w="1913"/>
        <w:gridCol w:w="1774"/>
        <w:gridCol w:w="1129"/>
        <w:gridCol w:w="1774"/>
        <w:gridCol w:w="900"/>
      </w:tblGrid>
      <w:tr>
        <w:tblPrEx>
          <w:tblCellMar>
            <w:top w:w="0" w:type="dxa"/>
            <w:left w:w="108" w:type="dxa"/>
            <w:bottom w:w="0" w:type="dxa"/>
            <w:right w:w="108" w:type="dxa"/>
          </w:tblCellMar>
        </w:tblPrEx>
        <w:trPr>
          <w:trHeight w:val="1028" w:hRule="atLeast"/>
          <w:jc w:val="center"/>
        </w:trPr>
        <w:tc>
          <w:tcPr>
            <w:tcW w:w="395"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b/>
                <w:bCs/>
                <w:color w:val="auto"/>
                <w:szCs w:val="21"/>
              </w:rPr>
            </w:pPr>
            <w:r>
              <w:rPr>
                <w:rFonts w:hint="eastAsia" w:ascii="仿宋" w:hAnsi="仿宋" w:eastAsia="仿宋" w:cs="宋体"/>
                <w:b/>
                <w:bCs/>
                <w:color w:val="auto"/>
                <w:szCs w:val="21"/>
              </w:rPr>
              <w:t>序号</w:t>
            </w:r>
          </w:p>
        </w:tc>
        <w:tc>
          <w:tcPr>
            <w:tcW w:w="1176" w:type="pct"/>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b/>
                <w:bCs/>
                <w:color w:val="auto"/>
                <w:szCs w:val="21"/>
              </w:rPr>
            </w:pPr>
            <w:r>
              <w:rPr>
                <w:rFonts w:hint="eastAsia" w:ascii="仿宋" w:hAnsi="仿宋" w:eastAsia="仿宋" w:cs="宋体"/>
                <w:b/>
                <w:bCs/>
                <w:color w:val="auto"/>
                <w:szCs w:val="21"/>
              </w:rPr>
              <w:t>报价内容</w:t>
            </w:r>
          </w:p>
        </w:tc>
        <w:tc>
          <w:tcPr>
            <w:tcW w:w="1091" w:type="pct"/>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b/>
                <w:bCs/>
                <w:color w:val="auto"/>
                <w:szCs w:val="21"/>
              </w:rPr>
            </w:pPr>
            <w:r>
              <w:rPr>
                <w:rFonts w:hint="eastAsia" w:ascii="仿宋" w:hAnsi="仿宋" w:eastAsia="仿宋" w:cs="宋体"/>
                <w:b/>
                <w:bCs/>
                <w:color w:val="auto"/>
                <w:szCs w:val="21"/>
              </w:rPr>
              <w:t>不含税投标总价（元）</w:t>
            </w:r>
          </w:p>
        </w:tc>
        <w:tc>
          <w:tcPr>
            <w:tcW w:w="694" w:type="pct"/>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b/>
                <w:bCs/>
                <w:color w:val="auto"/>
                <w:szCs w:val="21"/>
              </w:rPr>
            </w:pPr>
            <w:r>
              <w:rPr>
                <w:rFonts w:hint="eastAsia" w:ascii="仿宋" w:hAnsi="仿宋" w:eastAsia="仿宋" w:cs="宋体"/>
                <w:b/>
                <w:bCs/>
                <w:color w:val="auto"/>
                <w:szCs w:val="21"/>
              </w:rPr>
              <w:t>税率</w:t>
            </w:r>
          </w:p>
          <w:p>
            <w:pPr>
              <w:widowControl/>
              <w:jc w:val="center"/>
              <w:rPr>
                <w:rFonts w:ascii="仿宋" w:hAnsi="仿宋" w:eastAsia="仿宋" w:cs="宋体"/>
                <w:color w:val="auto"/>
                <w:szCs w:val="21"/>
              </w:rPr>
            </w:pPr>
            <w:r>
              <w:rPr>
                <w:rFonts w:hint="eastAsia" w:ascii="仿宋" w:hAnsi="仿宋" w:eastAsia="仿宋" w:cs="宋体"/>
                <w:b/>
                <w:bCs/>
                <w:color w:val="auto"/>
                <w:szCs w:val="21"/>
              </w:rPr>
              <w:t>（%）</w:t>
            </w:r>
          </w:p>
        </w:tc>
        <w:tc>
          <w:tcPr>
            <w:tcW w:w="1091" w:type="pct"/>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宋体"/>
                <w:b/>
                <w:bCs/>
                <w:color w:val="auto"/>
                <w:szCs w:val="21"/>
              </w:rPr>
            </w:pPr>
            <w:r>
              <w:rPr>
                <w:rFonts w:hint="eastAsia" w:ascii="仿宋" w:hAnsi="仿宋" w:eastAsia="仿宋" w:cs="宋体"/>
                <w:b/>
                <w:bCs/>
                <w:color w:val="auto"/>
                <w:szCs w:val="21"/>
              </w:rPr>
              <w:t>含税投标总价</w:t>
            </w:r>
            <w:r>
              <w:rPr>
                <w:rFonts w:hint="eastAsia" w:ascii="仿宋" w:hAnsi="仿宋" w:eastAsia="仿宋" w:cs="宋体"/>
                <w:b/>
                <w:color w:val="auto"/>
                <w:szCs w:val="21"/>
              </w:rPr>
              <w:t>（元）</w:t>
            </w:r>
          </w:p>
        </w:tc>
        <w:tc>
          <w:tcPr>
            <w:tcW w:w="553"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b/>
                <w:bCs/>
                <w:color w:val="auto"/>
                <w:szCs w:val="21"/>
              </w:rPr>
            </w:pPr>
            <w:r>
              <w:rPr>
                <w:rFonts w:hint="eastAsia" w:ascii="仿宋" w:hAnsi="仿宋" w:eastAsia="仿宋" w:cs="宋体"/>
                <w:b/>
                <w:bCs/>
                <w:color w:val="auto"/>
                <w:szCs w:val="21"/>
              </w:rPr>
              <w:t>备注</w:t>
            </w:r>
          </w:p>
        </w:tc>
      </w:tr>
      <w:tr>
        <w:tblPrEx>
          <w:tblCellMar>
            <w:top w:w="0" w:type="dxa"/>
            <w:left w:w="108" w:type="dxa"/>
            <w:bottom w:w="0" w:type="dxa"/>
            <w:right w:w="108" w:type="dxa"/>
          </w:tblCellMar>
        </w:tblPrEx>
        <w:trPr>
          <w:trHeight w:val="1563" w:hRule="atLeast"/>
          <w:jc w:val="center"/>
        </w:trPr>
        <w:tc>
          <w:tcPr>
            <w:tcW w:w="395" w:type="pct"/>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宋体"/>
                <w:bCs/>
                <w:color w:val="auto"/>
                <w:szCs w:val="21"/>
              </w:rPr>
            </w:pPr>
            <w:r>
              <w:rPr>
                <w:rFonts w:hint="eastAsia" w:ascii="仿宋" w:hAnsi="仿宋" w:eastAsia="仿宋" w:cs="宋体"/>
                <w:bCs/>
                <w:color w:val="auto"/>
                <w:szCs w:val="21"/>
              </w:rPr>
              <w:t>1</w:t>
            </w:r>
          </w:p>
        </w:tc>
        <w:tc>
          <w:tcPr>
            <w:tcW w:w="1176" w:type="pct"/>
            <w:tcBorders>
              <w:top w:val="nil"/>
              <w:left w:val="nil"/>
              <w:bottom w:val="single" w:color="auto" w:sz="4" w:space="0"/>
              <w:right w:val="single" w:color="auto" w:sz="4" w:space="0"/>
            </w:tcBorders>
            <w:vAlign w:val="center"/>
          </w:tcPr>
          <w:p>
            <w:pPr>
              <w:widowControl/>
              <w:jc w:val="center"/>
              <w:rPr>
                <w:rFonts w:ascii="仿宋" w:hAnsi="仿宋" w:eastAsia="仿宋" w:cs="宋体"/>
                <w:bCs/>
                <w:color w:val="auto"/>
                <w:szCs w:val="21"/>
              </w:rPr>
            </w:pPr>
          </w:p>
        </w:tc>
        <w:tc>
          <w:tcPr>
            <w:tcW w:w="1091" w:type="pct"/>
            <w:tcBorders>
              <w:top w:val="nil"/>
              <w:left w:val="nil"/>
              <w:bottom w:val="single" w:color="auto" w:sz="4" w:space="0"/>
              <w:right w:val="single" w:color="auto" w:sz="4" w:space="0"/>
            </w:tcBorders>
            <w:vAlign w:val="center"/>
          </w:tcPr>
          <w:p>
            <w:pPr>
              <w:widowControl/>
              <w:jc w:val="center"/>
              <w:rPr>
                <w:rFonts w:ascii="仿宋" w:hAnsi="仿宋" w:eastAsia="仿宋" w:cs="宋体"/>
                <w:color w:val="auto"/>
                <w:szCs w:val="21"/>
              </w:rPr>
            </w:pPr>
          </w:p>
        </w:tc>
        <w:tc>
          <w:tcPr>
            <w:tcW w:w="694" w:type="pct"/>
            <w:tcBorders>
              <w:top w:val="nil"/>
              <w:left w:val="nil"/>
              <w:bottom w:val="single" w:color="auto" w:sz="4" w:space="0"/>
              <w:right w:val="single" w:color="auto" w:sz="4" w:space="0"/>
            </w:tcBorders>
            <w:vAlign w:val="center"/>
          </w:tcPr>
          <w:p>
            <w:pPr>
              <w:widowControl/>
              <w:jc w:val="left"/>
              <w:rPr>
                <w:rFonts w:ascii="仿宋" w:hAnsi="仿宋" w:eastAsia="仿宋" w:cs="宋体"/>
                <w:color w:val="auto"/>
                <w:szCs w:val="21"/>
              </w:rPr>
            </w:pPr>
            <w:r>
              <w:rPr>
                <w:rFonts w:hint="eastAsia" w:ascii="仿宋" w:hAnsi="仿宋" w:eastAsia="仿宋" w:cs="宋体"/>
                <w:color w:val="auto"/>
                <w:szCs w:val="21"/>
                <w:u w:val="single"/>
              </w:rPr>
              <w:t xml:space="preserve">       </w:t>
            </w:r>
          </w:p>
          <w:p>
            <w:pPr>
              <w:rPr>
                <w:rFonts w:ascii="仿宋" w:hAnsi="仿宋" w:cs="宋体"/>
                <w:color w:val="auto"/>
                <w:szCs w:val="21"/>
              </w:rPr>
            </w:pPr>
          </w:p>
        </w:tc>
        <w:tc>
          <w:tcPr>
            <w:tcW w:w="1091" w:type="pct"/>
            <w:tcBorders>
              <w:top w:val="nil"/>
              <w:left w:val="nil"/>
              <w:bottom w:val="single" w:color="auto" w:sz="4" w:space="0"/>
              <w:right w:val="single" w:color="auto" w:sz="4" w:space="0"/>
            </w:tcBorders>
            <w:vAlign w:val="center"/>
          </w:tcPr>
          <w:p>
            <w:pPr>
              <w:widowControl/>
              <w:jc w:val="center"/>
              <w:rPr>
                <w:rFonts w:ascii="仿宋" w:hAnsi="仿宋" w:eastAsia="仿宋" w:cs="宋体"/>
                <w:color w:val="auto"/>
                <w:szCs w:val="21"/>
              </w:rPr>
            </w:pPr>
          </w:p>
        </w:tc>
        <w:tc>
          <w:tcPr>
            <w:tcW w:w="553"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color w:val="auto"/>
                <w:szCs w:val="21"/>
              </w:rPr>
            </w:pPr>
          </w:p>
        </w:tc>
      </w:tr>
    </w:tbl>
    <w:p>
      <w:pPr>
        <w:rPr>
          <w:rFonts w:ascii="仿宋" w:hAnsi="仿宋" w:eastAsia="仿宋" w:cs="宋体"/>
          <w:bCs/>
          <w:color w:val="auto"/>
          <w:sz w:val="24"/>
          <w:szCs w:val="24"/>
        </w:rPr>
      </w:pPr>
      <w:r>
        <w:rPr>
          <w:rFonts w:hint="eastAsia" w:ascii="仿宋" w:hAnsi="仿宋" w:eastAsia="仿宋" w:cs="宋体"/>
          <w:bCs/>
          <w:color w:val="auto"/>
          <w:sz w:val="24"/>
          <w:szCs w:val="24"/>
        </w:rPr>
        <w:t>备注：</w:t>
      </w:r>
    </w:p>
    <w:p>
      <w:pPr>
        <w:pStyle w:val="248"/>
        <w:spacing w:line="360" w:lineRule="auto"/>
        <w:ind w:firstLine="0"/>
        <w:rPr>
          <w:rFonts w:ascii="仿宋" w:hAnsi="仿宋" w:eastAsia="仿宋" w:cs="宋体"/>
          <w:bCs/>
          <w:color w:val="auto"/>
          <w:sz w:val="24"/>
        </w:rPr>
      </w:pPr>
      <w:r>
        <w:rPr>
          <w:rFonts w:hint="eastAsia" w:ascii="仿宋" w:hAnsi="仿宋" w:eastAsia="仿宋" w:cs="宋体"/>
          <w:bCs/>
          <w:color w:val="auto"/>
          <w:sz w:val="24"/>
        </w:rPr>
        <w:t>1.本次报价精确到小数点后两位（四舍五入）。</w:t>
      </w:r>
    </w:p>
    <w:p>
      <w:pPr>
        <w:pStyle w:val="248"/>
        <w:spacing w:line="360" w:lineRule="auto"/>
        <w:ind w:firstLine="0"/>
        <w:rPr>
          <w:rFonts w:ascii="仿宋" w:hAnsi="仿宋" w:eastAsia="仿宋" w:cs="宋体"/>
          <w:bCs/>
          <w:color w:val="auto"/>
          <w:sz w:val="24"/>
        </w:rPr>
      </w:pPr>
      <w:r>
        <w:rPr>
          <w:rFonts w:hint="eastAsia" w:ascii="仿宋" w:hAnsi="仿宋" w:eastAsia="仿宋" w:cs="宋体"/>
          <w:bCs/>
          <w:color w:val="auto"/>
          <w:sz w:val="24"/>
        </w:rPr>
        <w:t>2.含税价=不含税价*(1+税率)，若报价与此公式不符，增值税专用发票以不含税价为准进行修正，增值税普通发票以含税价进行修正。</w:t>
      </w:r>
    </w:p>
    <w:p>
      <w:pPr>
        <w:pStyle w:val="248"/>
        <w:spacing w:line="360" w:lineRule="auto"/>
        <w:ind w:firstLine="0"/>
        <w:rPr>
          <w:rFonts w:ascii="仿宋" w:hAnsi="仿宋" w:eastAsia="仿宋" w:cs="宋体"/>
          <w:bCs/>
          <w:color w:val="auto"/>
          <w:sz w:val="24"/>
        </w:rPr>
      </w:pPr>
      <w:r>
        <w:rPr>
          <w:rFonts w:hint="eastAsia" w:ascii="仿宋" w:hAnsi="仿宋" w:eastAsia="仿宋" w:cs="宋体"/>
          <w:bCs/>
          <w:color w:val="auto"/>
          <w:sz w:val="24"/>
        </w:rPr>
        <w:t>3.后续如因国家税率调整，专票以不含税价不变进行调整，普票以含税价不变进行调整。</w:t>
      </w:r>
    </w:p>
    <w:p>
      <w:pPr>
        <w:pStyle w:val="13"/>
        <w:rPr>
          <w:rFonts w:ascii="仿宋" w:hAnsi="仿宋" w:eastAsia="仿宋" w:cs="宋体"/>
          <w:color w:val="auto"/>
          <w:szCs w:val="21"/>
        </w:rPr>
      </w:pPr>
    </w:p>
    <w:p>
      <w:pPr>
        <w:pStyle w:val="13"/>
        <w:rPr>
          <w:rFonts w:ascii="仿宋" w:hAnsi="仿宋" w:eastAsia="仿宋" w:cs="宋体"/>
          <w:color w:val="auto"/>
          <w:szCs w:val="21"/>
        </w:rPr>
      </w:pPr>
    </w:p>
    <w:p>
      <w:pPr>
        <w:numPr>
          <w:ilvl w:val="0"/>
          <w:numId w:val="2"/>
        </w:numPr>
        <w:spacing w:line="440" w:lineRule="exact"/>
        <w:jc w:val="right"/>
        <w:rPr>
          <w:rFonts w:ascii="仿宋" w:hAnsi="仿宋" w:eastAsia="仿宋" w:cs="宋体"/>
          <w:color w:val="auto"/>
          <w:sz w:val="24"/>
        </w:rPr>
      </w:pPr>
      <w:r>
        <w:rPr>
          <w:rFonts w:hint="eastAsia" w:ascii="仿宋" w:hAnsi="仿宋" w:eastAsia="仿宋" w:cs="宋体"/>
          <w:color w:val="auto"/>
          <w:sz w:val="24"/>
        </w:rPr>
        <w:t>投标人名称：</w:t>
      </w:r>
      <w:r>
        <w:rPr>
          <w:rFonts w:hint="eastAsia" w:ascii="仿宋" w:hAnsi="仿宋" w:eastAsia="仿宋" w:cs="宋体"/>
          <w:color w:val="auto"/>
          <w:sz w:val="24"/>
          <w:u w:val="single"/>
        </w:rPr>
        <w:t xml:space="preserve">             </w:t>
      </w:r>
      <w:r>
        <w:rPr>
          <w:rFonts w:hint="eastAsia" w:ascii="仿宋" w:hAnsi="仿宋" w:eastAsia="仿宋" w:cs="宋体"/>
          <w:color w:val="auto"/>
          <w:sz w:val="24"/>
        </w:rPr>
        <w:t>（盖章）</w:t>
      </w:r>
    </w:p>
    <w:p>
      <w:pPr>
        <w:numPr>
          <w:ilvl w:val="0"/>
          <w:numId w:val="2"/>
        </w:numPr>
        <w:spacing w:line="440" w:lineRule="exact"/>
        <w:jc w:val="right"/>
        <w:rPr>
          <w:rFonts w:ascii="仿宋" w:hAnsi="仿宋" w:eastAsia="仿宋" w:cs="宋体"/>
          <w:color w:val="auto"/>
          <w:sz w:val="24"/>
        </w:rPr>
      </w:pPr>
      <w:r>
        <w:rPr>
          <w:rFonts w:hint="eastAsia" w:ascii="仿宋" w:hAnsi="仿宋" w:eastAsia="仿宋" w:cs="宋体"/>
          <w:color w:val="auto"/>
          <w:sz w:val="24"/>
        </w:rPr>
        <w:t>法定代表人或其授权代理人：</w:t>
      </w:r>
      <w:r>
        <w:rPr>
          <w:rFonts w:hint="eastAsia" w:ascii="仿宋" w:hAnsi="仿宋" w:eastAsia="仿宋" w:cs="宋体"/>
          <w:color w:val="auto"/>
          <w:sz w:val="24"/>
          <w:u w:val="single"/>
        </w:rPr>
        <w:t xml:space="preserve">             </w:t>
      </w:r>
      <w:r>
        <w:rPr>
          <w:rFonts w:hint="eastAsia" w:ascii="仿宋" w:hAnsi="仿宋" w:eastAsia="仿宋" w:cs="宋体"/>
          <w:color w:val="auto"/>
          <w:sz w:val="24"/>
        </w:rPr>
        <w:t>（签字）</w:t>
      </w:r>
    </w:p>
    <w:p>
      <w:pPr>
        <w:numPr>
          <w:ilvl w:val="0"/>
          <w:numId w:val="2"/>
        </w:numPr>
        <w:spacing w:line="440" w:lineRule="exact"/>
        <w:jc w:val="right"/>
        <w:rPr>
          <w:rFonts w:ascii="仿宋" w:hAnsi="仿宋" w:eastAsia="仿宋" w:cs="宋体"/>
          <w:color w:val="auto"/>
          <w:sz w:val="24"/>
        </w:rPr>
      </w:pPr>
      <w:r>
        <w:rPr>
          <w:rFonts w:hint="eastAsia" w:ascii="仿宋" w:hAnsi="仿宋" w:eastAsia="仿宋" w:cs="宋体"/>
          <w:color w:val="auto"/>
          <w:sz w:val="24"/>
        </w:rPr>
        <w:t>日期：</w:t>
      </w:r>
      <w:r>
        <w:rPr>
          <w:rFonts w:hint="eastAsia" w:ascii="仿宋" w:hAnsi="仿宋" w:eastAsia="仿宋" w:cs="宋体"/>
          <w:color w:val="auto"/>
          <w:sz w:val="24"/>
          <w:u w:val="single"/>
        </w:rPr>
        <w:t xml:space="preserve">   </w:t>
      </w:r>
      <w:r>
        <w:rPr>
          <w:rFonts w:hint="eastAsia" w:ascii="仿宋" w:hAnsi="仿宋" w:eastAsia="仿宋" w:cs="宋体"/>
          <w:color w:val="auto"/>
          <w:sz w:val="24"/>
        </w:rPr>
        <w:t>年</w:t>
      </w:r>
      <w:r>
        <w:rPr>
          <w:rFonts w:hint="eastAsia" w:ascii="仿宋" w:hAnsi="仿宋" w:eastAsia="仿宋" w:cs="宋体"/>
          <w:color w:val="auto"/>
          <w:sz w:val="24"/>
          <w:u w:val="single"/>
        </w:rPr>
        <w:t xml:space="preserve">   </w:t>
      </w:r>
      <w:r>
        <w:rPr>
          <w:rFonts w:hint="eastAsia" w:ascii="仿宋" w:hAnsi="仿宋" w:eastAsia="仿宋" w:cs="宋体"/>
          <w:color w:val="auto"/>
          <w:sz w:val="24"/>
        </w:rPr>
        <w:t>月</w:t>
      </w:r>
      <w:r>
        <w:rPr>
          <w:rFonts w:hint="eastAsia" w:ascii="仿宋" w:hAnsi="仿宋" w:eastAsia="仿宋" w:cs="宋体"/>
          <w:color w:val="auto"/>
          <w:sz w:val="24"/>
          <w:u w:val="single"/>
        </w:rPr>
        <w:t xml:space="preserve">   </w:t>
      </w:r>
      <w:r>
        <w:rPr>
          <w:rFonts w:hint="eastAsia" w:ascii="仿宋" w:hAnsi="仿宋" w:eastAsia="仿宋" w:cs="宋体"/>
          <w:color w:val="auto"/>
          <w:sz w:val="24"/>
        </w:rPr>
        <w:t>日</w:t>
      </w:r>
    </w:p>
    <w:p>
      <w:pPr>
        <w:spacing w:line="360" w:lineRule="auto"/>
        <w:ind w:firstLine="480"/>
        <w:jc w:val="right"/>
        <w:rPr>
          <w:rFonts w:ascii="仿宋" w:hAnsi="仿宋" w:eastAsia="仿宋" w:cs="宋体"/>
          <w:color w:val="auto"/>
          <w:sz w:val="24"/>
          <w:szCs w:val="24"/>
        </w:rPr>
        <w:sectPr>
          <w:pgSz w:w="11906" w:h="16838"/>
          <w:pgMar w:top="1440" w:right="1800" w:bottom="1440" w:left="1800" w:header="851" w:footer="992" w:gutter="0"/>
          <w:cols w:space="720" w:num="1"/>
          <w:titlePg/>
        </w:sectPr>
      </w:pPr>
    </w:p>
    <w:p>
      <w:pPr>
        <w:pStyle w:val="5"/>
        <w:rPr>
          <w:rFonts w:hint="default" w:ascii="仿宋" w:hAnsi="仿宋" w:cs="宋体"/>
          <w:color w:val="auto"/>
          <w:szCs w:val="24"/>
        </w:rPr>
      </w:pPr>
      <w:bookmarkStart w:id="727" w:name="_Toc65683019"/>
      <w:bookmarkStart w:id="728" w:name="_Toc109124334"/>
      <w:bookmarkStart w:id="729" w:name="_Toc14404"/>
      <w:bookmarkStart w:id="730" w:name="_Toc11074"/>
    </w:p>
    <w:p>
      <w:pPr>
        <w:pStyle w:val="5"/>
        <w:rPr>
          <w:rFonts w:hint="default" w:ascii="仿宋" w:hAnsi="仿宋" w:cs="宋体"/>
          <w:color w:val="auto"/>
          <w:szCs w:val="24"/>
        </w:rPr>
      </w:pPr>
    </w:p>
    <w:p>
      <w:pPr>
        <w:pStyle w:val="5"/>
        <w:rPr>
          <w:rFonts w:hint="default" w:ascii="仿宋" w:hAnsi="仿宋" w:cs="宋体"/>
          <w:color w:val="auto"/>
          <w:szCs w:val="24"/>
        </w:rPr>
      </w:pPr>
    </w:p>
    <w:p>
      <w:pPr>
        <w:pStyle w:val="5"/>
        <w:rPr>
          <w:rFonts w:hint="default" w:ascii="仿宋" w:hAnsi="仿宋" w:cs="宋体"/>
          <w:color w:val="auto"/>
          <w:szCs w:val="24"/>
        </w:rPr>
      </w:pPr>
    </w:p>
    <w:p>
      <w:pPr>
        <w:rPr>
          <w:rFonts w:hint="default"/>
          <w:color w:val="auto"/>
        </w:rPr>
      </w:pPr>
    </w:p>
    <w:p>
      <w:pPr>
        <w:pStyle w:val="5"/>
        <w:rPr>
          <w:rFonts w:hint="default" w:ascii="仿宋" w:hAnsi="仿宋" w:cs="宋体"/>
          <w:color w:val="auto"/>
          <w:szCs w:val="24"/>
        </w:rPr>
      </w:pPr>
    </w:p>
    <w:p>
      <w:pPr>
        <w:pStyle w:val="5"/>
        <w:rPr>
          <w:rFonts w:hint="default" w:ascii="仿宋" w:hAnsi="仿宋" w:cs="宋体"/>
          <w:color w:val="auto"/>
          <w:szCs w:val="24"/>
        </w:rPr>
      </w:pPr>
    </w:p>
    <w:p>
      <w:pPr>
        <w:pStyle w:val="5"/>
        <w:rPr>
          <w:rFonts w:hint="default" w:ascii="仿宋" w:hAnsi="仿宋" w:cs="宋体"/>
          <w:color w:val="auto"/>
          <w:szCs w:val="24"/>
        </w:rPr>
      </w:pPr>
    </w:p>
    <w:p>
      <w:pPr>
        <w:pStyle w:val="5"/>
        <w:rPr>
          <w:rFonts w:hint="default" w:ascii="仿宋" w:hAnsi="仿宋" w:cs="宋体"/>
          <w:color w:val="auto"/>
          <w:szCs w:val="24"/>
        </w:rPr>
      </w:pPr>
      <w:r>
        <w:rPr>
          <w:rFonts w:ascii="仿宋" w:hAnsi="仿宋" w:cs="宋体"/>
          <w:color w:val="auto"/>
          <w:szCs w:val="24"/>
        </w:rPr>
        <w:t>（二）分项报价表</w:t>
      </w:r>
      <w:bookmarkEnd w:id="727"/>
      <w:bookmarkEnd w:id="728"/>
      <w:bookmarkEnd w:id="729"/>
      <w:bookmarkEnd w:id="730"/>
    </w:p>
    <w:p>
      <w:pPr>
        <w:pStyle w:val="13"/>
        <w:spacing w:line="360" w:lineRule="auto"/>
        <w:ind w:left="982" w:hanging="982"/>
        <w:rPr>
          <w:rFonts w:ascii="仿宋" w:hAnsi="仿宋" w:eastAsia="仿宋" w:cs="宋体"/>
          <w:color w:val="auto"/>
          <w:sz w:val="24"/>
          <w:szCs w:val="24"/>
          <w:u w:val="single"/>
        </w:rPr>
      </w:pPr>
      <w:r>
        <w:rPr>
          <w:rFonts w:hint="eastAsia" w:ascii="仿宋" w:hAnsi="仿宋" w:eastAsia="仿宋" w:cs="宋体"/>
          <w:color w:val="auto"/>
          <w:sz w:val="24"/>
          <w:szCs w:val="24"/>
        </w:rPr>
        <w:t>项目名称：</w:t>
      </w:r>
      <w:r>
        <w:rPr>
          <w:rFonts w:hint="eastAsia" w:ascii="仿宋" w:hAnsi="仿宋" w:eastAsia="仿宋" w:cs="宋体"/>
          <w:color w:val="auto"/>
          <w:sz w:val="24"/>
          <w:szCs w:val="24"/>
          <w:u w:val="single"/>
        </w:rPr>
        <w:t>人保财险南充嘉陵支公司办公楼装饰工程采购项目</w:t>
      </w:r>
    </w:p>
    <w:p>
      <w:pPr>
        <w:pStyle w:val="13"/>
        <w:spacing w:line="360" w:lineRule="auto"/>
        <w:ind w:left="982" w:hanging="982"/>
        <w:rPr>
          <w:rFonts w:ascii="仿宋" w:hAnsi="仿宋" w:eastAsia="仿宋" w:cs="宋体"/>
          <w:color w:val="auto"/>
          <w:sz w:val="24"/>
          <w:szCs w:val="24"/>
        </w:rPr>
      </w:pPr>
      <w:r>
        <w:rPr>
          <w:rFonts w:hint="eastAsia" w:ascii="仿宋" w:hAnsi="仿宋" w:eastAsia="仿宋" w:cs="宋体"/>
          <w:color w:val="auto"/>
          <w:sz w:val="24"/>
          <w:szCs w:val="24"/>
        </w:rPr>
        <w:t>货币单位：</w:t>
      </w:r>
      <w:bookmarkStart w:id="731" w:name="_Hlk69457289"/>
      <w:r>
        <w:rPr>
          <w:rFonts w:hint="eastAsia" w:ascii="仿宋" w:hAnsi="仿宋" w:eastAsia="仿宋" w:cs="宋体"/>
          <w:color w:val="auto"/>
          <w:sz w:val="24"/>
          <w:szCs w:val="24"/>
          <w:u w:val="single"/>
        </w:rPr>
        <w:t>人民币/元</w:t>
      </w:r>
      <w:bookmarkEnd w:id="731"/>
    </w:p>
    <w:p>
      <w:pPr>
        <w:pStyle w:val="248"/>
        <w:spacing w:line="360" w:lineRule="auto"/>
        <w:ind w:firstLine="0"/>
        <w:rPr>
          <w:rFonts w:ascii="仿宋" w:hAnsi="仿宋" w:eastAsia="仿宋" w:cs="宋体"/>
          <w:b/>
          <w:bCs/>
          <w:color w:val="auto"/>
          <w:sz w:val="24"/>
        </w:rPr>
      </w:pPr>
      <w:r>
        <w:rPr>
          <w:rFonts w:hint="eastAsia" w:ascii="仿宋" w:hAnsi="仿宋" w:eastAsia="仿宋" w:cs="宋体"/>
          <w:b/>
          <w:color w:val="auto"/>
          <w:sz w:val="24"/>
        </w:rPr>
        <w:t>根据</w:t>
      </w:r>
      <w:r>
        <w:rPr>
          <w:rFonts w:hint="eastAsia" w:ascii="仿宋" w:hAnsi="仿宋" w:eastAsia="仿宋" w:cs="宋体"/>
          <w:b/>
          <w:color w:val="auto"/>
          <w:sz w:val="24"/>
          <w:highlight w:val="yellow"/>
        </w:rPr>
        <w:t>分部分项工程量</w:t>
      </w:r>
      <w:r>
        <w:rPr>
          <w:rFonts w:hint="eastAsia" w:ascii="仿宋" w:hAnsi="仿宋" w:eastAsia="仿宋" w:cs="宋体"/>
          <w:b/>
          <w:color w:val="auto"/>
          <w:sz w:val="24"/>
        </w:rPr>
        <w:t>清单作出报价。</w:t>
      </w:r>
    </w:p>
    <w:p>
      <w:pPr>
        <w:pStyle w:val="13"/>
        <w:spacing w:line="360" w:lineRule="auto"/>
        <w:ind w:firstLine="0"/>
        <w:rPr>
          <w:rFonts w:ascii="仿宋" w:hAnsi="仿宋" w:eastAsia="仿宋" w:cs="宋体"/>
          <w:color w:val="auto"/>
          <w:sz w:val="24"/>
          <w:szCs w:val="24"/>
        </w:rPr>
      </w:pPr>
    </w:p>
    <w:p>
      <w:pPr>
        <w:rPr>
          <w:rFonts w:hAnsi="宋体"/>
          <w:color w:val="auto"/>
          <w:szCs w:val="21"/>
        </w:rPr>
      </w:pPr>
    </w:p>
    <w:sectPr>
      <w:headerReference r:id="rId13" w:type="first"/>
      <w:headerReference r:id="rId12" w:type="default"/>
      <w:type w:val="continuous"/>
      <w:pgSz w:w="11906" w:h="16838"/>
      <w:pgMar w:top="1800" w:right="1440" w:bottom="1800" w:left="1440" w:header="851" w:footer="992" w:gutter="0"/>
      <w:cols w:space="425"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rFonts w:ascii="黑体" w:hAnsi="黑体" w:eastAsia="黑体"/>
        <w:szCs w:val="18"/>
      </w:rPr>
    </w:pP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38100</wp:posOffset>
              </wp:positionV>
              <wp:extent cx="210185" cy="132715"/>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210185" cy="132715"/>
                      </a:xfrm>
                      <a:prstGeom prst="rect">
                        <a:avLst/>
                      </a:prstGeom>
                      <a:noFill/>
                      <a:ln>
                        <a:noFill/>
                      </a:ln>
                    </wps:spPr>
                    <wps:txbx>
                      <w:txbxContent>
                        <w:p>
                          <w:pPr>
                            <w:pStyle w:val="26"/>
                          </w:pPr>
                          <w:r>
                            <w:rPr>
                              <w:rFonts w:hint="eastAsia"/>
                            </w:rPr>
                            <w:fldChar w:fldCharType="begin"/>
                          </w:r>
                          <w:r>
                            <w:rPr>
                              <w:rFonts w:hint="eastAsia"/>
                            </w:rPr>
                            <w:instrText xml:space="preserve"> PAGE  \* MERGEFORMAT </w:instrText>
                          </w:r>
                          <w:r>
                            <w:rPr>
                              <w:rFonts w:hint="eastAsia"/>
                            </w:rPr>
                            <w:fldChar w:fldCharType="separate"/>
                          </w:r>
                          <w:r>
                            <w:t>81</w:t>
                          </w:r>
                          <w:r>
                            <w:rPr>
                              <w:rFonts w:hint="eastAsia"/>
                            </w:rPr>
                            <w:fldChar w:fldCharType="end"/>
                          </w:r>
                        </w:p>
                      </w:txbxContent>
                    </wps:txbx>
                    <wps:bodyPr wrap="square" lIns="0" tIns="0" rIns="0" bIns="0"/>
                  </wps:wsp>
                </a:graphicData>
              </a:graphic>
            </wp:anchor>
          </w:drawing>
        </mc:Choice>
        <mc:Fallback>
          <w:pict>
            <v:shape id="文本框 5" o:spid="_x0000_s1026" o:spt="202" type="#_x0000_t202" style="position:absolute;left:0pt;margin-top:3pt;height:10.45pt;width:16.55pt;mso-position-horizontal:center;mso-position-horizontal-relative:margin;z-index:251660288;mso-width-relative:page;mso-height-relative:page;" filled="f" stroked="f" coordsize="21600,21600" o:gfxdata="UEsDBAoAAAAAAIdO4kAAAAAAAAAAAAAAAAAEAAAAZHJzL1BLAwQUAAAACACHTuJAnrNEZNQAAAAE&#10;AQAADwAAAGRycy9kb3ducmV2LnhtbE2PzU7DMBCE70h9B2srcaN2WimiIU6FEJyQEGk4cHTibWI1&#10;XofY/eHtWU5wWo1mNPNtubv6UZxxji6QhmylQCB1wTrqNXw0L3f3IGIyZM0YCDV8Y4RdtbgpTWHD&#10;hWo871MvuIRiYTQMKU2FlLEb0Ju4ChMSe4cwe5NYzr20s7lwuR/lWqlceuOIFwYz4dOA3XF/8hoe&#10;P6l+dl9v7Xt9qF3TbBW95ketb5eZegCR8Jr+wvCLz+hQMVMbTmSjGDXwI0lDzofNzSYD0WpY51uQ&#10;VSn/w1c/UEsDBBQAAAAIAIdO4kDl0qsMxwEAAIEDAAAOAAAAZHJzL2Uyb0RvYy54bWytU82O0zAQ&#10;viPxDpbvNEnRwipquhKqFiHxJy08gOM4jSXbYzxuk74AvAEnLtx5rj7Hjt20wHLZAxdrPP7yzXzf&#10;TFY3kzVsrwJqcA2vFiVnyknotNs2/POn22fXnGEUrhMGnGr4QSG/WT99shp9rZYwgOlUYETisB59&#10;w4cYfV0UKAdlBS7AK0ePPQQrIl3DtuiCGIndmmJZli+KEULnA0iFSNnN6ZHPjOExhND3WqoNyJ1V&#10;Lp5YgzIikiQctEe+zt32vZLxQ9+jisw0nJTGfFIRitt0FuuVqLdB+EHLuQXxmBYeaLJCOyp6odqI&#10;KNgu6H+orJYBEPq4kGCLk5DsCKmoygfe3A3Cq6yFrEZ/MR3/H618v/8YmO5oEzhzwtLAj9+/HX/8&#10;Ov78yq6SPaPHmlB3nnBxegVTgs55TMl2fAcdfSd2EbIHUx9s8oLUMUKT1YeL1WqKTFJyWZXV9RVn&#10;kp6q58uXVa5ViPr8sQ8YXyuwLAUNDzTJTC72bzFSeYKeIamWg1ttTJ6mcX8lCJgyRdKR+j0pilM7&#10;zSJa6A4kY6QlaDh+2YmgODNvHLmcNuYchHPQzkFqIpHSZHI78xal0f95z6jff876H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J6zRGTUAAAABAEAAA8AAAAAAAAAAQAgAAAAIgAAAGRycy9kb3ducmV2&#10;LnhtbFBLAQIUABQAAAAIAIdO4kDl0qsMxwEAAIEDAAAOAAAAAAAAAAEAIAAAACMBAABkcnMvZTJv&#10;RG9jLnhtbFBLBQYAAAAABgAGAFkBAABcBQAAAAA=&#10;">
              <v:fill on="f" focussize="0,0"/>
              <v:stroke on="f"/>
              <v:imagedata o:title=""/>
              <o:lock v:ext="edit" aspectratio="f"/>
              <v:textbox inset="0mm,0mm,0mm,0mm">
                <w:txbxContent>
                  <w:p>
                    <w:pPr>
                      <w:pStyle w:val="26"/>
                    </w:pPr>
                    <w:r>
                      <w:rPr>
                        <w:rFonts w:hint="eastAsia"/>
                      </w:rPr>
                      <w:fldChar w:fldCharType="begin"/>
                    </w:r>
                    <w:r>
                      <w:rPr>
                        <w:rFonts w:hint="eastAsia"/>
                      </w:rPr>
                      <w:instrText xml:space="preserve"> PAGE  \* MERGEFORMAT </w:instrText>
                    </w:r>
                    <w:r>
                      <w:rPr>
                        <w:rFonts w:hint="eastAsia"/>
                      </w:rPr>
                      <w:fldChar w:fldCharType="separate"/>
                    </w:r>
                    <w:r>
                      <w:t>81</w:t>
                    </w:r>
                    <w:r>
                      <w:rPr>
                        <w:rFonts w:hint="eastAsia"/>
                      </w:rPr>
                      <w:fldChar w:fldCharType="end"/>
                    </w:r>
                  </w:p>
                </w:txbxContent>
              </v:textbox>
            </v:shape>
          </w:pict>
        </mc:Fallback>
      </mc:AlternateContent>
    </w: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rFonts w:ascii="黑体" w:hAnsi="黑体" w:eastAsia="黑体"/>
        <w:szCs w:val="1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4310" cy="159385"/>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94310" cy="159385"/>
                      </a:xfrm>
                      <a:prstGeom prst="rect">
                        <a:avLst/>
                      </a:prstGeom>
                      <a:noFill/>
                      <a:ln>
                        <a:noFill/>
                      </a:ln>
                    </wps:spPr>
                    <wps:txbx>
                      <w:txbxContent>
                        <w:p>
                          <w:pPr>
                            <w:pStyle w:val="26"/>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82</w:t>
                          </w:r>
                          <w:r>
                            <w:rPr>
                              <w:rFonts w:hint="eastAsia" w:ascii="仿宋" w:hAnsi="仿宋" w:eastAsia="仿宋" w:cs="仿宋"/>
                            </w:rPr>
                            <w:fldChar w:fldCharType="end"/>
                          </w:r>
                        </w:p>
                      </w:txbxContent>
                    </wps:txbx>
                    <wps:bodyPr wrap="square" lIns="0" tIns="0" rIns="0" bIns="0"/>
                  </wps:wsp>
                </a:graphicData>
              </a:graphic>
            </wp:anchor>
          </w:drawing>
        </mc:Choice>
        <mc:Fallback>
          <w:pict>
            <v:shape id="文本框 6" o:spid="_x0000_s1026" o:spt="202" type="#_x0000_t202" style="position:absolute;left:0pt;margin-top:0pt;height:12.55pt;width:15.3pt;mso-position-horizontal:center;mso-position-horizontal-relative:margin;z-index:251661312;mso-width-relative:page;mso-height-relative:page;" filled="f" stroked="f" coordsize="21600,21600" o:gfxdata="UEsDBAoAAAAAAIdO4kAAAAAAAAAAAAAAAAAEAAAAZHJzL1BLAwQUAAAACACHTuJAw0jvN9MAAAAD&#10;AQAADwAAAGRycy9kb3ducmV2LnhtbE2PT0vEMBDF74LfIYzgzU26YtHa6SKiJ2GxWw8e02a2DdtM&#10;apP99+2NXvQy8HiP935Trk5uFAeag/WMkC0UCOLOG8s9wkfzenMPIkTNRo+eCeFMAVbV5UWpC+OP&#10;XNNhE3uRSjgUGmGIcSqkDN1AToeFn4iTt/Wz0zHJuZdm1sdU7ka5VCqXTltOC4Oe6HmgbrfZO4Sn&#10;T65f7Ne6fa+3tW2aB8Vv+Q7x+ipTjyAineJfGH7wEzpUian1ezZBjAjpkfh7k3erchAtwvIuA1mV&#10;8j979Q1QSwMEFAAAAAgAh07iQI6V75THAQAAgQMAAA4AAABkcnMvZTJvRG9jLnhtbK1TS24bMQzd&#10;F+gdBO3rsZ0mSAYeBwiMFAX6A5IcQKPReARIoirKnvEF2ht01U33PZfPEWo+bptusshGoEjqke+R&#10;Wl131rC9CqjBFXwxm3OmnIRKu23BH+5v31xyhlG4ShhwquAHhfx6/frVqvW5WkIDplKBEYjDvPUF&#10;b2L0eZahbJQVOAOvHAVrCFZEuoZtVgXREro12XI+v8haCJUPIBUieTdDkI+I4TmAUNdaqg3InVUu&#10;DqhBGRGJEjbaI1/33da1kvFzXaOKzBScmMb+pCJkl+nM1iuRb4PwjZZjC+I5LTzhZIV2VPQEtRFR&#10;sF3Q/0FZLQMg1HEmwWYDkV4RYrGYP9HmrhFe9VxIavQn0fHlYOWn/ZfAdFXwJWdOWBr48cf348/f&#10;x1/f2EWSp/WYU9adp7zY3UBHSzP5MTnL9iNU9E7sIvQadHWwSQtixyibpD6cpFZdZDJBXL09W1BE&#10;UmhxfnV2eZ4wM5FPj33A+E6BZckoeKBJ9uBi/wHjkDqlpFoObrUx/TSN+8dBmMmTJR6p34FR7Mpu&#10;JFdCdSAaLS1BwfHrTgTFmXnvSOW0MZMRJqMcjdREAqXJ9J2PW5RG//e9z/rzc9a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w0jvN9MAAAADAQAADwAAAAAAAAABACAAAAAiAAAAZHJzL2Rvd25yZXYu&#10;eG1sUEsBAhQAFAAAAAgAh07iQI6V75THAQAAgQMAAA4AAAAAAAAAAQAgAAAAIgEAAGRycy9lMm9E&#10;b2MueG1sUEsFBgAAAAAGAAYAWQEAAFsFAAAAAA==&#10;">
              <v:fill on="f" focussize="0,0"/>
              <v:stroke on="f"/>
              <v:imagedata o:title=""/>
              <o:lock v:ext="edit" aspectratio="f"/>
              <v:textbox inset="0mm,0mm,0mm,0mm">
                <w:txbxContent>
                  <w:p>
                    <w:pPr>
                      <w:pStyle w:val="26"/>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82</w:t>
                    </w:r>
                    <w:r>
                      <w:rPr>
                        <w:rFonts w:hint="eastAsia" w:ascii="仿宋" w:hAnsi="仿宋" w:eastAsia="仿宋" w:cs="仿宋"/>
                      </w:rPr>
                      <w:fldChar w:fldCharType="end"/>
                    </w:r>
                  </w:p>
                </w:txbxContent>
              </v:textbox>
            </v:shape>
          </w:pict>
        </mc:Fallback>
      </mc:AlternateContent>
    </w:r>
  </w:p>
  <w:p>
    <w:pPr>
      <w:pStyle w:val="2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000000" w:sz="0" w:space="0"/>
        <w:left w:val="none" w:color="000000" w:sz="0" w:space="0"/>
        <w:bottom w:val="single" w:color="000000" w:sz="4" w:space="1"/>
        <w:right w:val="none" w:color="000000" w:sz="0" w:space="0"/>
      </w:pBdr>
      <w:jc w:val="right"/>
      <w:rPr>
        <w:rFonts w:ascii="仿宋" w:hAnsi="仿宋" w:eastAsia="仿宋" w:cs="仿宋"/>
        <w:b/>
        <w:bCs/>
        <w:sz w:val="20"/>
        <w:szCs w:val="21"/>
      </w:rPr>
    </w:pPr>
    <w:r>
      <w:rPr>
        <w:rFonts w:hint="eastAsia" w:ascii="仿宋" w:hAnsi="仿宋" w:eastAsia="仿宋" w:cs="仿宋"/>
        <w:b/>
        <w:bCs/>
        <w:sz w:val="20"/>
        <w:szCs w:val="21"/>
      </w:rPr>
      <w:t>人保财险南充嘉陵支公司办公楼装饰工程招标文件</w:t>
    </w:r>
  </w:p>
  <w:p>
    <w:pPr>
      <w:pStyle w:val="2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000000" w:sz="0" w:space="0"/>
        <w:left w:val="none" w:color="000000" w:sz="0" w:space="0"/>
        <w:bottom w:val="single" w:color="000000" w:sz="4" w:space="1"/>
        <w:right w:val="none" w:color="000000" w:sz="0" w:space="0"/>
      </w:pBdr>
      <w:jc w:val="right"/>
      <w:rPr>
        <w:rFonts w:ascii="仿宋" w:hAnsi="仿宋" w:eastAsia="仿宋" w:cs="仿宋"/>
      </w:rPr>
    </w:pPr>
    <w:r>
      <w:rPr>
        <w:rFonts w:hint="eastAsia" w:ascii="仿宋" w:hAnsi="仿宋" w:eastAsia="仿宋" w:cs="仿宋"/>
        <w:b/>
        <w:bCs/>
        <w:sz w:val="20"/>
        <w:szCs w:val="21"/>
      </w:rPr>
      <w:t>人保财险南充嘉陵支公司办公楼装饰工程招标文件</w:t>
    </w:r>
  </w:p>
  <w:p>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000000" w:sz="0" w:space="0"/>
        <w:left w:val="none" w:color="000000" w:sz="0" w:space="0"/>
        <w:bottom w:val="single" w:color="000000" w:sz="4" w:space="1"/>
        <w:right w:val="none" w:color="000000" w:sz="0" w:space="0"/>
      </w:pBdr>
      <w:jc w:val="right"/>
      <w:rPr>
        <w:rFonts w:ascii="仿宋" w:hAnsi="仿宋" w:eastAsia="仿宋" w:cs="仿宋"/>
        <w:b/>
        <w:bCs/>
        <w:sz w:val="20"/>
        <w:szCs w:val="21"/>
      </w:rPr>
    </w:pPr>
    <w:r>
      <w:rPr>
        <w:rFonts w:hint="eastAsia" w:ascii="仿宋" w:hAnsi="仿宋" w:eastAsia="仿宋" w:cs="仿宋"/>
        <w:b/>
        <w:bCs/>
        <w:sz w:val="20"/>
        <w:szCs w:val="21"/>
      </w:rPr>
      <w:t>人保财险南充嘉陵支公司办公楼装饰工程招标文件</w:t>
    </w:r>
  </w:p>
  <w:p>
    <w:pPr>
      <w:pStyle w:val="27"/>
      <w:rPr>
        <w:rFonts w:ascii="仿宋" w:hAnsi="仿宋" w:eastAsia="仿宋" w:cs="仿宋"/>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000000" w:sz="0" w:space="0"/>
        <w:left w:val="none" w:color="000000" w:sz="0" w:space="0"/>
        <w:bottom w:val="single" w:color="000000" w:sz="4" w:space="1"/>
        <w:right w:val="none" w:color="000000" w:sz="0" w:space="0"/>
      </w:pBdr>
      <w:jc w:val="center"/>
      <w:rPr>
        <w:rFonts w:ascii="仿宋" w:hAnsi="仿宋" w:eastAsia="仿宋" w:cs="仿宋"/>
      </w:rPr>
    </w:pPr>
    <w:r>
      <w:rPr>
        <w:rFonts w:hint="eastAsia" w:ascii="仿宋" w:hAnsi="仿宋" w:eastAsia="仿宋" w:cs="仿宋"/>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none" w:color="000000" w:sz="0" w:space="0"/>
        <w:left w:val="none" w:color="000000" w:sz="0" w:space="0"/>
        <w:bottom w:val="single" w:color="000000" w:sz="4" w:space="1"/>
        <w:right w:val="none" w:color="000000" w:sz="0" w:space="0"/>
      </w:pBdr>
      <w:jc w:val="center"/>
      <w:rPr>
        <w:rFonts w:ascii="仿宋" w:hAnsi="仿宋" w:eastAsia="仿宋" w:cs="仿宋"/>
      </w:rPr>
    </w:pPr>
    <w:r>
      <w:rPr>
        <w:rFonts w:hint="eastAsia" w:ascii="仿宋" w:hAnsi="仿宋" w:eastAsia="仿宋" w:cs="仿宋"/>
      </w:rPr>
      <w:t>招标文件</w:t>
    </w:r>
  </w:p>
  <w:p>
    <w:pPr>
      <w:pStyle w:val="27"/>
      <w:rPr>
        <w:rFonts w:ascii="仿宋" w:hAnsi="仿宋" w:eastAsia="仿宋" w:cs="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0053208E"/>
    <w:multiLevelType w:val="multilevel"/>
    <w:tmpl w:val="0053208E"/>
    <w:lvl w:ilvl="0" w:tentative="0">
      <w:start w:val="11"/>
      <w:numFmt w:val="decimal"/>
      <w:suff w:val="space"/>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E1D"/>
    <w:rsid w:val="00026E1D"/>
    <w:rsid w:val="00402FF9"/>
    <w:rsid w:val="006C3B10"/>
    <w:rsid w:val="02174EDB"/>
    <w:rsid w:val="05036F0A"/>
    <w:rsid w:val="051E4962"/>
    <w:rsid w:val="091F175A"/>
    <w:rsid w:val="0EAF1BA0"/>
    <w:rsid w:val="0F0F051A"/>
    <w:rsid w:val="17A50CDA"/>
    <w:rsid w:val="18BA47B6"/>
    <w:rsid w:val="1CB92C4B"/>
    <w:rsid w:val="1D4809E3"/>
    <w:rsid w:val="1EB342A2"/>
    <w:rsid w:val="22D56882"/>
    <w:rsid w:val="29D363AD"/>
    <w:rsid w:val="2B97636B"/>
    <w:rsid w:val="2FE23B19"/>
    <w:rsid w:val="31376626"/>
    <w:rsid w:val="3BC761E8"/>
    <w:rsid w:val="3F527A1B"/>
    <w:rsid w:val="40575891"/>
    <w:rsid w:val="42176E89"/>
    <w:rsid w:val="44AD1CB3"/>
    <w:rsid w:val="46810D7D"/>
    <w:rsid w:val="49124056"/>
    <w:rsid w:val="4CCB4592"/>
    <w:rsid w:val="4E73775D"/>
    <w:rsid w:val="4E870795"/>
    <w:rsid w:val="529444DC"/>
    <w:rsid w:val="541A35B4"/>
    <w:rsid w:val="57B4783C"/>
    <w:rsid w:val="58F32332"/>
    <w:rsid w:val="63FB4CD8"/>
    <w:rsid w:val="6B0E5024"/>
    <w:rsid w:val="72B905AB"/>
    <w:rsid w:val="73E641AE"/>
    <w:rsid w:val="753B5897"/>
    <w:rsid w:val="772067E2"/>
    <w:rsid w:val="77784D95"/>
    <w:rsid w:val="79BF6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sz w:val="21"/>
      <w:lang w:val="en-US" w:eastAsia="zh-CN" w:bidi="ar-SA"/>
    </w:rPr>
  </w:style>
  <w:style w:type="paragraph" w:styleId="3">
    <w:name w:val="heading 1"/>
    <w:basedOn w:val="1"/>
    <w:next w:val="1"/>
    <w:link w:val="207"/>
    <w:qFormat/>
    <w:uiPriority w:val="0"/>
    <w:pPr>
      <w:keepNext/>
      <w:keepLines/>
      <w:spacing w:before="340" w:after="330" w:line="576" w:lineRule="auto"/>
      <w:jc w:val="center"/>
      <w:outlineLvl w:val="0"/>
    </w:pPr>
    <w:rPr>
      <w:rFonts w:eastAsia="仿宋"/>
      <w:b/>
      <w:sz w:val="28"/>
    </w:rPr>
  </w:style>
  <w:style w:type="paragraph" w:styleId="4">
    <w:name w:val="heading 2"/>
    <w:basedOn w:val="1"/>
    <w:next w:val="1"/>
    <w:link w:val="208"/>
    <w:qFormat/>
    <w:uiPriority w:val="0"/>
    <w:pPr>
      <w:keepNext/>
      <w:keepLines/>
      <w:spacing w:before="120" w:after="120" w:line="360" w:lineRule="auto"/>
      <w:jc w:val="left"/>
      <w:outlineLvl w:val="1"/>
    </w:pPr>
    <w:rPr>
      <w:rFonts w:ascii="宋体" w:hAnsi="Arial" w:eastAsia="仿宋"/>
      <w:b/>
      <w:sz w:val="24"/>
    </w:rPr>
  </w:style>
  <w:style w:type="paragraph" w:styleId="5">
    <w:name w:val="heading 3"/>
    <w:basedOn w:val="1"/>
    <w:next w:val="1"/>
    <w:link w:val="210"/>
    <w:qFormat/>
    <w:uiPriority w:val="9"/>
    <w:pPr>
      <w:spacing w:before="120" w:after="120" w:line="17" w:lineRule="atLeast"/>
      <w:jc w:val="left"/>
      <w:outlineLvl w:val="2"/>
    </w:pPr>
    <w:rPr>
      <w:rFonts w:hint="eastAsia" w:ascii="宋体" w:hAnsi="宋体" w:eastAsia="仿宋"/>
      <w:b/>
      <w:sz w:val="24"/>
      <w:szCs w:val="36"/>
    </w:rPr>
  </w:style>
  <w:style w:type="paragraph" w:styleId="6">
    <w:name w:val="heading 4"/>
    <w:basedOn w:val="1"/>
    <w:next w:val="1"/>
    <w:link w:val="212"/>
    <w:qFormat/>
    <w:uiPriority w:val="0"/>
    <w:pPr>
      <w:keepNext/>
      <w:keepLines/>
      <w:spacing w:line="376" w:lineRule="auto"/>
      <w:outlineLvl w:val="3"/>
    </w:pPr>
    <w:rPr>
      <w:rFonts w:ascii="Cambria" w:hAnsi="Cambria" w:eastAsia="仿宋"/>
      <w:b/>
      <w:bCs/>
      <w:sz w:val="24"/>
      <w:szCs w:val="28"/>
    </w:rPr>
  </w:style>
  <w:style w:type="paragraph" w:styleId="7">
    <w:name w:val="heading 5"/>
    <w:basedOn w:val="1"/>
    <w:next w:val="1"/>
    <w:link w:val="213"/>
    <w:qFormat/>
    <w:uiPriority w:val="9"/>
    <w:pPr>
      <w:keepNext/>
      <w:keepLines/>
      <w:spacing w:before="280" w:after="290" w:line="376" w:lineRule="auto"/>
      <w:outlineLvl w:val="4"/>
    </w:pPr>
    <w:rPr>
      <w:b/>
      <w:bCs/>
      <w:sz w:val="28"/>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187"/>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188"/>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1">
    <w:name w:val="heading 9"/>
    <w:basedOn w:val="1"/>
    <w:next w:val="1"/>
    <w:link w:val="189"/>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06"/>
    <w:unhideWhenUsed/>
    <w:qFormat/>
    <w:uiPriority w:val="99"/>
    <w:pPr>
      <w:spacing w:after="120"/>
    </w:pPr>
  </w:style>
  <w:style w:type="paragraph" w:styleId="12">
    <w:name w:val="toc 7"/>
    <w:basedOn w:val="1"/>
    <w:next w:val="1"/>
    <w:qFormat/>
    <w:uiPriority w:val="39"/>
    <w:pPr>
      <w:spacing w:line="240" w:lineRule="auto"/>
      <w:ind w:left="2520"/>
    </w:pPr>
  </w:style>
  <w:style w:type="paragraph" w:styleId="13">
    <w:name w:val="Normal Indent"/>
    <w:basedOn w:val="1"/>
    <w:link w:val="211"/>
    <w:qFormat/>
    <w:uiPriority w:val="0"/>
    <w:pPr>
      <w:ind w:firstLine="420"/>
    </w:pPr>
  </w:style>
  <w:style w:type="paragraph" w:styleId="14">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15">
    <w:name w:val="Document Map"/>
    <w:basedOn w:val="1"/>
    <w:link w:val="214"/>
    <w:unhideWhenUsed/>
    <w:qFormat/>
    <w:uiPriority w:val="0"/>
    <w:rPr>
      <w:rFonts w:ascii="宋体"/>
      <w:sz w:val="18"/>
      <w:szCs w:val="18"/>
    </w:rPr>
  </w:style>
  <w:style w:type="paragraph" w:styleId="16">
    <w:name w:val="annotation text"/>
    <w:basedOn w:val="1"/>
    <w:link w:val="215"/>
    <w:qFormat/>
    <w:uiPriority w:val="99"/>
    <w:pPr>
      <w:jc w:val="left"/>
    </w:pPr>
  </w:style>
  <w:style w:type="paragraph" w:styleId="17">
    <w:name w:val="Body Text Indent"/>
    <w:basedOn w:val="1"/>
    <w:link w:val="216"/>
    <w:qFormat/>
    <w:uiPriority w:val="0"/>
    <w:pPr>
      <w:spacing w:after="120"/>
      <w:ind w:left="420"/>
    </w:pPr>
  </w:style>
  <w:style w:type="paragraph" w:styleId="18">
    <w:name w:val="toc 5"/>
    <w:basedOn w:val="1"/>
    <w:next w:val="1"/>
    <w:qFormat/>
    <w:uiPriority w:val="39"/>
    <w:pPr>
      <w:spacing w:line="240" w:lineRule="auto"/>
      <w:ind w:left="1680"/>
    </w:pPr>
  </w:style>
  <w:style w:type="paragraph" w:styleId="19">
    <w:name w:val="toc 3"/>
    <w:basedOn w:val="1"/>
    <w:next w:val="1"/>
    <w:qFormat/>
    <w:uiPriority w:val="39"/>
    <w:pPr>
      <w:ind w:left="840"/>
    </w:pPr>
  </w:style>
  <w:style w:type="paragraph" w:styleId="20">
    <w:name w:val="Plain Text"/>
    <w:basedOn w:val="1"/>
    <w:link w:val="217"/>
    <w:qFormat/>
    <w:uiPriority w:val="0"/>
    <w:pPr>
      <w:spacing w:line="240" w:lineRule="auto"/>
    </w:pPr>
    <w:rPr>
      <w:rFonts w:ascii="宋体" w:hAnsi="Courier New"/>
    </w:rPr>
  </w:style>
  <w:style w:type="paragraph" w:styleId="21">
    <w:name w:val="toc 8"/>
    <w:basedOn w:val="1"/>
    <w:next w:val="1"/>
    <w:qFormat/>
    <w:uiPriority w:val="39"/>
    <w:pPr>
      <w:spacing w:line="240" w:lineRule="auto"/>
      <w:ind w:left="2940"/>
    </w:pPr>
  </w:style>
  <w:style w:type="paragraph" w:styleId="22">
    <w:name w:val="Date"/>
    <w:basedOn w:val="1"/>
    <w:next w:val="1"/>
    <w:link w:val="218"/>
    <w:qFormat/>
    <w:uiPriority w:val="0"/>
    <w:pPr>
      <w:spacing w:line="240" w:lineRule="auto"/>
    </w:pPr>
    <w:rPr>
      <w:rFonts w:ascii="Times New Roman" w:hAnsi="Times New Roman"/>
      <w:sz w:val="24"/>
    </w:rPr>
  </w:style>
  <w:style w:type="paragraph" w:styleId="23">
    <w:name w:val="Body Text Indent 2"/>
    <w:basedOn w:val="1"/>
    <w:link w:val="219"/>
    <w:qFormat/>
    <w:uiPriority w:val="0"/>
    <w:pPr>
      <w:widowControl/>
      <w:spacing w:line="360" w:lineRule="auto"/>
      <w:ind w:left="525" w:firstLine="420"/>
      <w:jc w:val="left"/>
    </w:pPr>
    <w:rPr>
      <w:rFonts w:ascii="Arial" w:hAnsi="Arial"/>
      <w:sz w:val="24"/>
      <w:lang w:eastAsia="en-US"/>
    </w:rPr>
  </w:style>
  <w:style w:type="paragraph" w:styleId="24">
    <w:name w:val="endnote text"/>
    <w:basedOn w:val="1"/>
    <w:link w:val="204"/>
    <w:semiHidden/>
    <w:unhideWhenUsed/>
    <w:qFormat/>
    <w:uiPriority w:val="99"/>
    <w:pPr>
      <w:spacing w:line="240" w:lineRule="auto"/>
    </w:pPr>
    <w:rPr>
      <w:sz w:val="20"/>
    </w:rPr>
  </w:style>
  <w:style w:type="paragraph" w:styleId="25">
    <w:name w:val="Balloon Text"/>
    <w:basedOn w:val="1"/>
    <w:link w:val="220"/>
    <w:qFormat/>
    <w:uiPriority w:val="0"/>
    <w:rPr>
      <w:sz w:val="18"/>
    </w:rPr>
  </w:style>
  <w:style w:type="paragraph" w:styleId="26">
    <w:name w:val="footer"/>
    <w:basedOn w:val="1"/>
    <w:link w:val="221"/>
    <w:qFormat/>
    <w:uiPriority w:val="0"/>
    <w:pPr>
      <w:tabs>
        <w:tab w:val="center" w:pos="4153"/>
        <w:tab w:val="right" w:pos="8306"/>
      </w:tabs>
      <w:jc w:val="left"/>
    </w:pPr>
    <w:rPr>
      <w:sz w:val="18"/>
    </w:rPr>
  </w:style>
  <w:style w:type="paragraph" w:styleId="27">
    <w:name w:val="header"/>
    <w:basedOn w:val="1"/>
    <w:link w:val="222"/>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pPr>
    <w:rPr>
      <w:sz w:val="18"/>
    </w:rPr>
  </w:style>
  <w:style w:type="paragraph" w:styleId="28">
    <w:name w:val="toc 1"/>
    <w:basedOn w:val="1"/>
    <w:next w:val="1"/>
    <w:qFormat/>
    <w:uiPriority w:val="39"/>
  </w:style>
  <w:style w:type="paragraph" w:styleId="29">
    <w:name w:val="toc 4"/>
    <w:basedOn w:val="1"/>
    <w:next w:val="1"/>
    <w:qFormat/>
    <w:uiPriority w:val="39"/>
    <w:pPr>
      <w:spacing w:line="240" w:lineRule="auto"/>
      <w:ind w:left="1260"/>
    </w:pPr>
  </w:style>
  <w:style w:type="paragraph" w:styleId="30">
    <w:name w:val="Subtitle"/>
    <w:basedOn w:val="1"/>
    <w:next w:val="1"/>
    <w:qFormat/>
    <w:uiPriority w:val="0"/>
    <w:pPr>
      <w:spacing w:before="240" w:after="60"/>
      <w:jc w:val="center"/>
      <w:outlineLvl w:val="1"/>
    </w:pPr>
    <w:rPr>
      <w:rFonts w:ascii="Arial" w:hAnsi="Arial"/>
      <w:b/>
      <w:bCs/>
      <w:sz w:val="32"/>
      <w:szCs w:val="32"/>
    </w:rPr>
  </w:style>
  <w:style w:type="paragraph" w:styleId="31">
    <w:name w:val="List"/>
    <w:basedOn w:val="1"/>
    <w:qFormat/>
    <w:uiPriority w:val="0"/>
    <w:pPr>
      <w:tabs>
        <w:tab w:val="left" w:pos="960"/>
      </w:tabs>
      <w:spacing w:line="360" w:lineRule="auto"/>
      <w:ind w:left="960" w:hanging="420"/>
    </w:pPr>
    <w:rPr>
      <w:bCs/>
      <w:sz w:val="24"/>
    </w:rPr>
  </w:style>
  <w:style w:type="paragraph" w:styleId="32">
    <w:name w:val="footnote text"/>
    <w:basedOn w:val="1"/>
    <w:link w:val="203"/>
    <w:semiHidden/>
    <w:unhideWhenUsed/>
    <w:qFormat/>
    <w:uiPriority w:val="99"/>
    <w:pPr>
      <w:spacing w:line="240" w:lineRule="auto"/>
    </w:pPr>
    <w:rPr>
      <w:sz w:val="20"/>
    </w:rPr>
  </w:style>
  <w:style w:type="paragraph" w:styleId="33">
    <w:name w:val="toc 6"/>
    <w:basedOn w:val="1"/>
    <w:next w:val="1"/>
    <w:qFormat/>
    <w:uiPriority w:val="39"/>
    <w:pPr>
      <w:spacing w:line="240" w:lineRule="auto"/>
      <w:ind w:left="2100"/>
    </w:pPr>
  </w:style>
  <w:style w:type="paragraph" w:styleId="34">
    <w:name w:val="Body Text Indent 3"/>
    <w:basedOn w:val="1"/>
    <w:link w:val="223"/>
    <w:unhideWhenUsed/>
    <w:qFormat/>
    <w:uiPriority w:val="99"/>
    <w:pPr>
      <w:spacing w:after="120"/>
      <w:ind w:left="420"/>
    </w:pPr>
    <w:rPr>
      <w:sz w:val="16"/>
      <w:szCs w:val="16"/>
    </w:rPr>
  </w:style>
  <w:style w:type="paragraph" w:styleId="35">
    <w:name w:val="table of figures"/>
    <w:basedOn w:val="1"/>
    <w:next w:val="1"/>
    <w:unhideWhenUsed/>
    <w:qFormat/>
    <w:uiPriority w:val="99"/>
  </w:style>
  <w:style w:type="paragraph" w:styleId="36">
    <w:name w:val="toc 2"/>
    <w:basedOn w:val="1"/>
    <w:next w:val="1"/>
    <w:qFormat/>
    <w:uiPriority w:val="39"/>
    <w:pPr>
      <w:ind w:left="420"/>
    </w:pPr>
  </w:style>
  <w:style w:type="paragraph" w:styleId="37">
    <w:name w:val="toc 9"/>
    <w:basedOn w:val="1"/>
    <w:next w:val="1"/>
    <w:qFormat/>
    <w:uiPriority w:val="39"/>
    <w:pPr>
      <w:spacing w:line="240" w:lineRule="auto"/>
      <w:ind w:left="3360"/>
    </w:pPr>
  </w:style>
  <w:style w:type="paragraph" w:styleId="38">
    <w:name w:val="Normal (Web)"/>
    <w:basedOn w:val="1"/>
    <w:unhideWhenUsed/>
    <w:qFormat/>
    <w:uiPriority w:val="99"/>
    <w:pPr>
      <w:pBdr>
        <w:top w:val="none" w:color="000000" w:sz="0" w:space="0"/>
        <w:left w:val="none" w:color="000000" w:sz="0" w:space="0"/>
        <w:bottom w:val="none" w:color="000000" w:sz="0" w:space="0"/>
        <w:right w:val="none" w:color="000000" w:sz="0" w:space="0"/>
      </w:pBdr>
      <w:jc w:val="left"/>
    </w:pPr>
    <w:rPr>
      <w:rFonts w:cs="Times New Roman"/>
      <w:sz w:val="24"/>
    </w:rPr>
  </w:style>
  <w:style w:type="paragraph" w:styleId="39">
    <w:name w:val="Title"/>
    <w:basedOn w:val="1"/>
    <w:next w:val="1"/>
    <w:link w:val="190"/>
    <w:qFormat/>
    <w:uiPriority w:val="10"/>
    <w:pPr>
      <w:spacing w:after="80" w:line="240" w:lineRule="auto"/>
      <w:contextualSpacing/>
    </w:pPr>
    <w:rPr>
      <w:rFonts w:ascii="Arial" w:hAnsi="Arial" w:eastAsia="Arial" w:cs="Arial"/>
      <w:spacing w:val="-10"/>
      <w:sz w:val="56"/>
      <w:szCs w:val="56"/>
    </w:rPr>
  </w:style>
  <w:style w:type="paragraph" w:styleId="40">
    <w:name w:val="annotation subject"/>
    <w:basedOn w:val="16"/>
    <w:next w:val="16"/>
    <w:link w:val="224"/>
    <w:qFormat/>
    <w:uiPriority w:val="0"/>
    <w:rPr>
      <w:b/>
    </w:rPr>
  </w:style>
  <w:style w:type="table" w:styleId="42">
    <w:name w:val="Table Grid"/>
    <w:basedOn w:val="4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qFormat/>
    <w:uiPriority w:val="22"/>
    <w:rPr>
      <w:rFonts w:ascii="宋体" w:hAnsi="宋体" w:eastAsia="宋体"/>
      <w:b/>
      <w:sz w:val="21"/>
      <w:szCs w:val="21"/>
      <w:lang w:val="en-US" w:eastAsia="zh-CN" w:bidi="ar-SA"/>
    </w:rPr>
  </w:style>
  <w:style w:type="character" w:styleId="45">
    <w:name w:val="endnote reference"/>
    <w:basedOn w:val="43"/>
    <w:semiHidden/>
    <w:unhideWhenUsed/>
    <w:qFormat/>
    <w:uiPriority w:val="99"/>
    <w:rPr>
      <w:vertAlign w:val="superscript"/>
    </w:rPr>
  </w:style>
  <w:style w:type="character" w:styleId="46">
    <w:name w:val="page number"/>
    <w:qFormat/>
    <w:uiPriority w:val="0"/>
    <w:rPr>
      <w:lang w:val="en-US" w:eastAsia="zh-CN" w:bidi="ar-SA"/>
    </w:rPr>
  </w:style>
  <w:style w:type="character" w:styleId="47">
    <w:name w:val="FollowedHyperlink"/>
    <w:unhideWhenUsed/>
    <w:qFormat/>
    <w:uiPriority w:val="99"/>
    <w:rPr>
      <w:rFonts w:ascii="宋体" w:hAnsi="宋体" w:eastAsia="宋体"/>
      <w:color w:val="333333"/>
      <w:sz w:val="21"/>
      <w:szCs w:val="21"/>
      <w:u w:val="none"/>
      <w:lang w:val="en-US" w:eastAsia="zh-CN" w:bidi="ar-SA"/>
    </w:rPr>
  </w:style>
  <w:style w:type="character" w:styleId="48">
    <w:name w:val="Emphasis"/>
    <w:qFormat/>
    <w:uiPriority w:val="20"/>
    <w:rPr>
      <w:rFonts w:ascii="宋体" w:hAnsi="宋体" w:eastAsia="宋体"/>
      <w:sz w:val="21"/>
      <w:szCs w:val="21"/>
      <w:shd w:val="clear" w:color="auto" w:fill="5BC0DE"/>
      <w:lang w:val="en-US" w:eastAsia="zh-CN" w:bidi="ar-SA"/>
    </w:rPr>
  </w:style>
  <w:style w:type="character" w:styleId="49">
    <w:name w:val="HTML Definition"/>
    <w:unhideWhenUsed/>
    <w:qFormat/>
    <w:uiPriority w:val="99"/>
    <w:rPr>
      <w:rFonts w:ascii="宋体" w:hAnsi="宋体" w:eastAsia="宋体"/>
      <w:i/>
      <w:sz w:val="21"/>
      <w:szCs w:val="21"/>
      <w:lang w:val="en-US" w:eastAsia="zh-CN" w:bidi="ar-SA"/>
    </w:rPr>
  </w:style>
  <w:style w:type="character" w:styleId="50">
    <w:name w:val="Hyperlink"/>
    <w:qFormat/>
    <w:uiPriority w:val="99"/>
    <w:rPr>
      <w:color w:val="0563C1"/>
      <w:u w:val="single"/>
    </w:rPr>
  </w:style>
  <w:style w:type="character" w:styleId="51">
    <w:name w:val="HTML Code"/>
    <w:unhideWhenUsed/>
    <w:qFormat/>
    <w:uiPriority w:val="99"/>
    <w:rPr>
      <w:rFonts w:ascii="Monaco" w:hAnsi="Monaco" w:eastAsia="Monaco" w:cs="Monaco"/>
      <w:color w:val="C7254E"/>
      <w:sz w:val="21"/>
      <w:szCs w:val="21"/>
      <w:shd w:val="clear" w:color="auto" w:fill="F9F2F4"/>
      <w:lang w:val="en-US" w:eastAsia="zh-CN" w:bidi="ar-SA"/>
    </w:rPr>
  </w:style>
  <w:style w:type="character" w:styleId="52">
    <w:name w:val="annotation reference"/>
    <w:qFormat/>
    <w:uiPriority w:val="0"/>
    <w:rPr>
      <w:sz w:val="21"/>
    </w:rPr>
  </w:style>
  <w:style w:type="character" w:styleId="53">
    <w:name w:val="footnote reference"/>
    <w:basedOn w:val="43"/>
    <w:semiHidden/>
    <w:unhideWhenUsed/>
    <w:qFormat/>
    <w:uiPriority w:val="99"/>
    <w:rPr>
      <w:vertAlign w:val="superscript"/>
    </w:rPr>
  </w:style>
  <w:style w:type="character" w:styleId="54">
    <w:name w:val="HTML Keyboard"/>
    <w:unhideWhenUsed/>
    <w:qFormat/>
    <w:uiPriority w:val="99"/>
    <w:rPr>
      <w:rFonts w:hint="default" w:ascii="Monaco" w:hAnsi="Monaco" w:eastAsia="Monaco" w:cs="Monaco"/>
      <w:color w:val="FFFFFF"/>
      <w:sz w:val="21"/>
      <w:szCs w:val="21"/>
      <w:shd w:val="clear" w:color="auto" w:fill="333333"/>
      <w:lang w:val="en-US" w:eastAsia="zh-CN" w:bidi="ar-SA"/>
    </w:rPr>
  </w:style>
  <w:style w:type="character" w:styleId="55">
    <w:name w:val="HTML Sample"/>
    <w:unhideWhenUsed/>
    <w:qFormat/>
    <w:uiPriority w:val="99"/>
    <w:rPr>
      <w:rFonts w:hint="default" w:ascii="Monaco" w:hAnsi="Monaco" w:eastAsia="Monaco" w:cs="Monaco"/>
      <w:sz w:val="21"/>
      <w:szCs w:val="21"/>
      <w:lang w:val="en-US" w:eastAsia="zh-CN" w:bidi="ar-SA"/>
    </w:rPr>
  </w:style>
  <w:style w:type="table" w:customStyle="1" w:styleId="56">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无格式表格 31"/>
    <w:basedOn w:val="41"/>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41"/>
    <w:basedOn w:val="41"/>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51"/>
    <w:basedOn w:val="41"/>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basedOn w:val="4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basedOn w:val="4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basedOn w:val="4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basedOn w:val="4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basedOn w:val="4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basedOn w:val="4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basedOn w:val="4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basedOn w:val="4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1">
    <w:name w:val="Grid Table 6 Colorful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basedOn w:val="4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basedOn w:val="4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basedOn w:val="4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basedOn w:val="4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basedOn w:val="4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7 Colorful - Accent 4"/>
    <w:basedOn w:val="4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basedOn w:val="4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basedOn w:val="4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清单表 1 浅色1"/>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basedOn w:val="41"/>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basedOn w:val="4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basedOn w:val="4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basedOn w:val="4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basedOn w:val="4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basedOn w:val="4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basedOn w:val="4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basedOn w:val="4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basedOn w:val="4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basedOn w:val="4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basedOn w:val="4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basedOn w:val="4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basedOn w:val="4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basedOn w:val="4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basedOn w:val="4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basedOn w:val="4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basedOn w:val="4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basedOn w:val="4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basedOn w:val="4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basedOn w:val="4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basedOn w:val="4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basedOn w:val="4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basedOn w:val="4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清单表 6 彩色1"/>
    <w:basedOn w:val="41"/>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basedOn w:val="41"/>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basedOn w:val="41"/>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basedOn w:val="41"/>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basedOn w:val="41"/>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basedOn w:val="41"/>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basedOn w:val="41"/>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清单表 7 彩色1"/>
    <w:basedOn w:val="41"/>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basedOn w:val="41"/>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basedOn w:val="41"/>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basedOn w:val="41"/>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basedOn w:val="41"/>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basedOn w:val="41"/>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basedOn w:val="41"/>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basedOn w:val="41"/>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basedOn w:val="4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basedOn w:val="4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basedOn w:val="4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basedOn w:val="4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basedOn w:val="4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basedOn w:val="4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Heading 1 Char"/>
    <w:basedOn w:val="43"/>
    <w:qFormat/>
    <w:uiPriority w:val="9"/>
    <w:rPr>
      <w:rFonts w:ascii="Arial" w:hAnsi="Arial" w:eastAsia="Arial" w:cs="Arial"/>
      <w:color w:val="376092" w:themeColor="accent1" w:themeShade="BF"/>
      <w:sz w:val="40"/>
      <w:szCs w:val="40"/>
    </w:rPr>
  </w:style>
  <w:style w:type="character" w:customStyle="1" w:styleId="182">
    <w:name w:val="Heading 2 Char"/>
    <w:basedOn w:val="43"/>
    <w:qFormat/>
    <w:uiPriority w:val="9"/>
    <w:rPr>
      <w:rFonts w:ascii="Arial" w:hAnsi="Arial" w:eastAsia="Arial" w:cs="Arial"/>
      <w:color w:val="376092" w:themeColor="accent1" w:themeShade="BF"/>
      <w:sz w:val="32"/>
      <w:szCs w:val="32"/>
    </w:rPr>
  </w:style>
  <w:style w:type="character" w:customStyle="1" w:styleId="183">
    <w:name w:val="Heading 3 Char"/>
    <w:basedOn w:val="43"/>
    <w:qFormat/>
    <w:uiPriority w:val="9"/>
    <w:rPr>
      <w:rFonts w:ascii="Arial" w:hAnsi="Arial" w:eastAsia="Arial" w:cs="Arial"/>
      <w:color w:val="376092" w:themeColor="accent1" w:themeShade="BF"/>
      <w:sz w:val="28"/>
      <w:szCs w:val="28"/>
    </w:rPr>
  </w:style>
  <w:style w:type="character" w:customStyle="1" w:styleId="184">
    <w:name w:val="Heading 4 Char"/>
    <w:basedOn w:val="43"/>
    <w:qFormat/>
    <w:uiPriority w:val="9"/>
    <w:rPr>
      <w:rFonts w:ascii="Arial" w:hAnsi="Arial" w:eastAsia="Arial" w:cs="Arial"/>
      <w:i/>
      <w:iCs/>
      <w:color w:val="376092" w:themeColor="accent1" w:themeShade="BF"/>
    </w:rPr>
  </w:style>
  <w:style w:type="character" w:customStyle="1" w:styleId="185">
    <w:name w:val="Heading 5 Char"/>
    <w:basedOn w:val="43"/>
    <w:qFormat/>
    <w:uiPriority w:val="9"/>
    <w:rPr>
      <w:rFonts w:ascii="Arial" w:hAnsi="Arial" w:eastAsia="Arial" w:cs="Arial"/>
      <w:color w:val="376092" w:themeColor="accent1" w:themeShade="BF"/>
    </w:rPr>
  </w:style>
  <w:style w:type="character" w:customStyle="1" w:styleId="186">
    <w:name w:val="Heading 6 Char"/>
    <w:basedOn w:val="43"/>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87">
    <w:name w:val="标题 7 Char"/>
    <w:basedOn w:val="43"/>
    <w:link w:val="9"/>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88">
    <w:name w:val="标题 8 Char"/>
    <w:basedOn w:val="43"/>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9">
    <w:name w:val="标题 9 Char"/>
    <w:basedOn w:val="43"/>
    <w:link w:val="1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0">
    <w:name w:val="标题 Char"/>
    <w:basedOn w:val="43"/>
    <w:link w:val="39"/>
    <w:qFormat/>
    <w:uiPriority w:val="10"/>
    <w:rPr>
      <w:rFonts w:ascii="Arial" w:hAnsi="Arial" w:eastAsia="Arial" w:cs="Arial"/>
      <w:spacing w:val="-10"/>
      <w:sz w:val="56"/>
      <w:szCs w:val="56"/>
    </w:rPr>
  </w:style>
  <w:style w:type="character" w:customStyle="1" w:styleId="191">
    <w:name w:val="Subtitle Char"/>
    <w:basedOn w:val="43"/>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92">
    <w:name w:val="Quote"/>
    <w:basedOn w:val="1"/>
    <w:next w:val="1"/>
    <w:link w:val="19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93">
    <w:name w:val="引用 Char"/>
    <w:basedOn w:val="43"/>
    <w:link w:val="192"/>
    <w:qFormat/>
    <w:uiPriority w:val="29"/>
    <w:rPr>
      <w:i/>
      <w:iCs/>
      <w:color w:val="404040" w:themeColor="text1" w:themeTint="BF"/>
      <w14:textFill>
        <w14:solidFill>
          <w14:schemeClr w14:val="tx1">
            <w14:lumMod w14:val="75000"/>
            <w14:lumOff w14:val="25000"/>
          </w14:schemeClr>
        </w14:solidFill>
      </w14:textFill>
    </w:rPr>
  </w:style>
  <w:style w:type="character" w:customStyle="1" w:styleId="194">
    <w:name w:val="明显强调1"/>
    <w:basedOn w:val="43"/>
    <w:qFormat/>
    <w:uiPriority w:val="21"/>
    <w:rPr>
      <w:i/>
      <w:iCs/>
      <w:color w:val="376092" w:themeColor="accent1" w:themeShade="BF"/>
    </w:rPr>
  </w:style>
  <w:style w:type="paragraph" w:styleId="195">
    <w:name w:val="Intense Quote"/>
    <w:basedOn w:val="1"/>
    <w:next w:val="1"/>
    <w:link w:val="196"/>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96">
    <w:name w:val="明显引用 Char"/>
    <w:basedOn w:val="43"/>
    <w:link w:val="195"/>
    <w:qFormat/>
    <w:uiPriority w:val="30"/>
    <w:rPr>
      <w:i/>
      <w:iCs/>
      <w:color w:val="376092" w:themeColor="accent1" w:themeShade="BF"/>
    </w:rPr>
  </w:style>
  <w:style w:type="character" w:customStyle="1" w:styleId="197">
    <w:name w:val="明显参考1"/>
    <w:basedOn w:val="43"/>
    <w:qFormat/>
    <w:uiPriority w:val="32"/>
    <w:rPr>
      <w:b/>
      <w:bCs/>
      <w:smallCaps/>
      <w:color w:val="376092" w:themeColor="accent1" w:themeShade="BF"/>
      <w:spacing w:val="5"/>
    </w:rPr>
  </w:style>
  <w:style w:type="character" w:customStyle="1" w:styleId="198">
    <w:name w:val="不明显强调1"/>
    <w:basedOn w:val="43"/>
    <w:qFormat/>
    <w:uiPriority w:val="19"/>
    <w:rPr>
      <w:i/>
      <w:iCs/>
      <w:color w:val="404040" w:themeColor="text1" w:themeTint="BF"/>
      <w14:textFill>
        <w14:solidFill>
          <w14:schemeClr w14:val="tx1">
            <w14:lumMod w14:val="75000"/>
            <w14:lumOff w14:val="25000"/>
          </w14:schemeClr>
        </w14:solidFill>
      </w14:textFill>
    </w:rPr>
  </w:style>
  <w:style w:type="character" w:customStyle="1" w:styleId="199">
    <w:name w:val="不明显参考1"/>
    <w:basedOn w:val="43"/>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00">
    <w:name w:val="书籍标题1"/>
    <w:basedOn w:val="43"/>
    <w:qFormat/>
    <w:uiPriority w:val="33"/>
    <w:rPr>
      <w:b/>
      <w:bCs/>
      <w:i/>
      <w:iCs/>
      <w:spacing w:val="5"/>
    </w:rPr>
  </w:style>
  <w:style w:type="character" w:customStyle="1" w:styleId="201">
    <w:name w:val="Header Char"/>
    <w:basedOn w:val="43"/>
    <w:qFormat/>
    <w:uiPriority w:val="99"/>
  </w:style>
  <w:style w:type="character" w:customStyle="1" w:styleId="202">
    <w:name w:val="Footer Char"/>
    <w:basedOn w:val="43"/>
    <w:qFormat/>
    <w:uiPriority w:val="99"/>
  </w:style>
  <w:style w:type="character" w:customStyle="1" w:styleId="203">
    <w:name w:val="脚注文本 Char"/>
    <w:basedOn w:val="43"/>
    <w:link w:val="32"/>
    <w:semiHidden/>
    <w:qFormat/>
    <w:uiPriority w:val="99"/>
    <w:rPr>
      <w:sz w:val="20"/>
      <w:szCs w:val="20"/>
    </w:rPr>
  </w:style>
  <w:style w:type="character" w:customStyle="1" w:styleId="204">
    <w:name w:val="尾注文本 Char"/>
    <w:basedOn w:val="43"/>
    <w:link w:val="24"/>
    <w:semiHidden/>
    <w:qFormat/>
    <w:uiPriority w:val="99"/>
    <w:rPr>
      <w:sz w:val="20"/>
      <w:szCs w:val="20"/>
    </w:rPr>
  </w:style>
  <w:style w:type="paragraph" w:customStyle="1" w:styleId="205">
    <w:name w:val="TOC 标题1"/>
    <w:unhideWhenUsed/>
    <w:qFormat/>
    <w:uiPriority w:val="39"/>
    <w:rPr>
      <w:rFonts w:ascii="Times New Roman" w:hAnsi="Times New Roman" w:eastAsia="宋体" w:cs="Times New Roman"/>
      <w:lang w:val="en-US" w:eastAsia="zh-CN" w:bidi="ar-SA"/>
    </w:rPr>
  </w:style>
  <w:style w:type="character" w:customStyle="1" w:styleId="206">
    <w:name w:val="正文文本 Char"/>
    <w:link w:val="2"/>
    <w:semiHidden/>
    <w:qFormat/>
    <w:uiPriority w:val="99"/>
    <w:rPr>
      <w:sz w:val="21"/>
    </w:rPr>
  </w:style>
  <w:style w:type="character" w:customStyle="1" w:styleId="207">
    <w:name w:val="标题 1 Char"/>
    <w:link w:val="3"/>
    <w:qFormat/>
    <w:uiPriority w:val="0"/>
    <w:rPr>
      <w:rFonts w:eastAsia="仿宋"/>
      <w:b/>
      <w:sz w:val="28"/>
    </w:rPr>
  </w:style>
  <w:style w:type="character" w:customStyle="1" w:styleId="208">
    <w:name w:val="标题 2 Char1"/>
    <w:link w:val="4"/>
    <w:qFormat/>
    <w:uiPriority w:val="9"/>
    <w:rPr>
      <w:rFonts w:ascii="宋体" w:hAnsi="Arial" w:eastAsia="仿宋"/>
      <w:b/>
      <w:sz w:val="24"/>
    </w:rPr>
  </w:style>
  <w:style w:type="paragraph" w:customStyle="1" w:styleId="209">
    <w:name w:val="标题 60"/>
    <w:basedOn w:val="8"/>
    <w:qFormat/>
    <w:uiPriority w:val="0"/>
    <w:pPr>
      <w:spacing w:line="319" w:lineRule="auto"/>
      <w:ind w:firstLine="200"/>
    </w:pPr>
    <w:rPr>
      <w:b w:val="0"/>
      <w:bCs w:val="0"/>
    </w:rPr>
  </w:style>
  <w:style w:type="character" w:customStyle="1" w:styleId="210">
    <w:name w:val="标题 3 Char1"/>
    <w:link w:val="5"/>
    <w:qFormat/>
    <w:uiPriority w:val="9"/>
    <w:rPr>
      <w:rFonts w:ascii="宋体" w:hAnsi="宋体" w:eastAsia="仿宋"/>
      <w:b/>
      <w:sz w:val="24"/>
      <w:szCs w:val="36"/>
    </w:rPr>
  </w:style>
  <w:style w:type="character" w:customStyle="1" w:styleId="211">
    <w:name w:val="正文缩进 Char"/>
    <w:link w:val="13"/>
    <w:qFormat/>
    <w:uiPriority w:val="0"/>
    <w:rPr>
      <w:sz w:val="21"/>
    </w:rPr>
  </w:style>
  <w:style w:type="character" w:customStyle="1" w:styleId="212">
    <w:name w:val="标题 4 Char1"/>
    <w:link w:val="6"/>
    <w:qFormat/>
    <w:uiPriority w:val="0"/>
    <w:rPr>
      <w:rFonts w:ascii="Cambria" w:hAnsi="Cambria" w:eastAsia="仿宋"/>
      <w:b/>
      <w:bCs/>
      <w:sz w:val="24"/>
      <w:szCs w:val="28"/>
    </w:rPr>
  </w:style>
  <w:style w:type="character" w:customStyle="1" w:styleId="213">
    <w:name w:val="标题 5 Char"/>
    <w:link w:val="7"/>
    <w:semiHidden/>
    <w:qFormat/>
    <w:uiPriority w:val="9"/>
    <w:rPr>
      <w:b/>
      <w:bCs/>
      <w:sz w:val="28"/>
      <w:szCs w:val="28"/>
    </w:rPr>
  </w:style>
  <w:style w:type="character" w:customStyle="1" w:styleId="214">
    <w:name w:val="文档结构图 Char1"/>
    <w:link w:val="15"/>
    <w:semiHidden/>
    <w:qFormat/>
    <w:uiPriority w:val="0"/>
    <w:rPr>
      <w:rFonts w:ascii="宋体"/>
      <w:sz w:val="18"/>
      <w:szCs w:val="18"/>
    </w:rPr>
  </w:style>
  <w:style w:type="character" w:customStyle="1" w:styleId="215">
    <w:name w:val="批注文字 Char2"/>
    <w:link w:val="16"/>
    <w:qFormat/>
    <w:uiPriority w:val="99"/>
    <w:rPr>
      <w:sz w:val="21"/>
    </w:rPr>
  </w:style>
  <w:style w:type="character" w:customStyle="1" w:styleId="216">
    <w:name w:val="正文文本缩进 Char"/>
    <w:link w:val="17"/>
    <w:qFormat/>
    <w:uiPriority w:val="0"/>
    <w:rPr>
      <w:sz w:val="21"/>
    </w:rPr>
  </w:style>
  <w:style w:type="character" w:customStyle="1" w:styleId="217">
    <w:name w:val="纯文本 Char"/>
    <w:link w:val="20"/>
    <w:qFormat/>
    <w:uiPriority w:val="0"/>
    <w:rPr>
      <w:rFonts w:ascii="宋体" w:hAnsi="Courier New"/>
      <w:sz w:val="21"/>
    </w:rPr>
  </w:style>
  <w:style w:type="character" w:customStyle="1" w:styleId="218">
    <w:name w:val="日期 Char"/>
    <w:link w:val="22"/>
    <w:qFormat/>
    <w:uiPriority w:val="0"/>
    <w:rPr>
      <w:rFonts w:ascii="Times New Roman" w:hAnsi="Times New Roman" w:eastAsia="宋体"/>
      <w:sz w:val="24"/>
      <w:szCs w:val="21"/>
      <w:lang w:val="en-US" w:eastAsia="zh-CN" w:bidi="ar-SA"/>
    </w:rPr>
  </w:style>
  <w:style w:type="character" w:customStyle="1" w:styleId="219">
    <w:name w:val="正文文本缩进 2 Char"/>
    <w:link w:val="23"/>
    <w:qFormat/>
    <w:uiPriority w:val="0"/>
    <w:rPr>
      <w:rFonts w:ascii="Arial" w:hAnsi="Arial"/>
      <w:sz w:val="24"/>
      <w:lang w:eastAsia="en-US"/>
    </w:rPr>
  </w:style>
  <w:style w:type="character" w:customStyle="1" w:styleId="220">
    <w:name w:val="批注框文本 Char1"/>
    <w:link w:val="25"/>
    <w:qFormat/>
    <w:uiPriority w:val="0"/>
    <w:rPr>
      <w:sz w:val="18"/>
    </w:rPr>
  </w:style>
  <w:style w:type="character" w:customStyle="1" w:styleId="221">
    <w:name w:val="页脚 Char"/>
    <w:link w:val="26"/>
    <w:qFormat/>
    <w:uiPriority w:val="99"/>
    <w:rPr>
      <w:rFonts w:eastAsia="宋体"/>
      <w:sz w:val="18"/>
      <w:lang w:val="en-US" w:eastAsia="zh-CN"/>
    </w:rPr>
  </w:style>
  <w:style w:type="character" w:customStyle="1" w:styleId="222">
    <w:name w:val="页眉 Char"/>
    <w:link w:val="27"/>
    <w:qFormat/>
    <w:uiPriority w:val="0"/>
    <w:rPr>
      <w:rFonts w:eastAsia="宋体"/>
      <w:sz w:val="18"/>
      <w:lang w:val="en-US" w:eastAsia="zh-CN"/>
    </w:rPr>
  </w:style>
  <w:style w:type="character" w:customStyle="1" w:styleId="223">
    <w:name w:val="正文文本缩进 3 Char"/>
    <w:link w:val="34"/>
    <w:semiHidden/>
    <w:qFormat/>
    <w:uiPriority w:val="99"/>
    <w:rPr>
      <w:rFonts w:ascii="宋体" w:hAnsi="宋体" w:eastAsia="宋体"/>
      <w:sz w:val="16"/>
      <w:szCs w:val="16"/>
      <w:lang w:val="en-US" w:eastAsia="zh-CN" w:bidi="ar-SA"/>
    </w:rPr>
  </w:style>
  <w:style w:type="character" w:customStyle="1" w:styleId="224">
    <w:name w:val="批注主题 Char1"/>
    <w:link w:val="40"/>
    <w:qFormat/>
    <w:uiPriority w:val="0"/>
    <w:rPr>
      <w:b/>
      <w:sz w:val="21"/>
    </w:rPr>
  </w:style>
  <w:style w:type="character" w:customStyle="1" w:styleId="225">
    <w:name w:val="next"/>
    <w:qFormat/>
    <w:uiPriority w:val="0"/>
    <w:rPr>
      <w:rFonts w:ascii="宋体" w:hAnsi="宋体" w:eastAsia="宋体"/>
      <w:color w:val="888888"/>
      <w:sz w:val="21"/>
      <w:szCs w:val="21"/>
      <w:lang w:val="en-US" w:eastAsia="zh-CN" w:bidi="ar-SA"/>
    </w:rPr>
  </w:style>
  <w:style w:type="character" w:customStyle="1" w:styleId="226">
    <w:name w:val="bd-open"/>
    <w:qFormat/>
    <w:uiPriority w:val="0"/>
    <w:rPr>
      <w:lang w:val="en-US" w:eastAsia="zh-CN" w:bidi="ar-SA"/>
    </w:rPr>
  </w:style>
  <w:style w:type="character" w:customStyle="1" w:styleId="227">
    <w:name w:val="样式1 字符"/>
    <w:link w:val="228"/>
    <w:qFormat/>
    <w:uiPriority w:val="0"/>
    <w:rPr>
      <w:rFonts w:ascii="宋体" w:hAnsi="宋体" w:eastAsia="宋体"/>
      <w:b/>
      <w:sz w:val="21"/>
      <w:szCs w:val="21"/>
      <w:lang w:val="en-US" w:eastAsia="zh-CN" w:bidi="ar-SA"/>
    </w:rPr>
  </w:style>
  <w:style w:type="paragraph" w:customStyle="1" w:styleId="228">
    <w:name w:val="样式1"/>
    <w:basedOn w:val="1"/>
    <w:link w:val="227"/>
    <w:qFormat/>
    <w:uiPriority w:val="0"/>
    <w:pPr>
      <w:spacing w:before="19" w:after="19" w:line="360" w:lineRule="auto"/>
      <w:ind w:firstLine="200"/>
      <w:outlineLvl w:val="2"/>
    </w:pPr>
    <w:rPr>
      <w:b/>
    </w:rPr>
  </w:style>
  <w:style w:type="character" w:customStyle="1" w:styleId="229">
    <w:name w:val="15"/>
    <w:qFormat/>
    <w:uiPriority w:val="0"/>
    <w:rPr>
      <w:rFonts w:hint="default" w:ascii="Times New Roman" w:hAnsi="Times New Roman"/>
      <w:b/>
      <w:sz w:val="20"/>
    </w:rPr>
  </w:style>
  <w:style w:type="character" w:customStyle="1" w:styleId="230">
    <w:name w:val="文档结构图 Char"/>
    <w:qFormat/>
    <w:uiPriority w:val="0"/>
    <w:rPr>
      <w:rFonts w:ascii="宋体"/>
      <w:sz w:val="18"/>
      <w:szCs w:val="18"/>
    </w:rPr>
  </w:style>
  <w:style w:type="character" w:customStyle="1" w:styleId="231">
    <w:name w:val="hover34"/>
    <w:qFormat/>
    <w:uiPriority w:val="0"/>
    <w:rPr>
      <w:rFonts w:ascii="宋体" w:hAnsi="宋体" w:eastAsia="宋体"/>
      <w:sz w:val="21"/>
      <w:szCs w:val="21"/>
      <w:shd w:val="clear" w:color="auto" w:fill="F3F3F3"/>
      <w:lang w:val="en-US" w:eastAsia="zh-CN" w:bidi="ar-SA"/>
    </w:rPr>
  </w:style>
  <w:style w:type="character" w:customStyle="1" w:styleId="232">
    <w:name w:val="tmpztreemove_arrow"/>
    <w:qFormat/>
    <w:uiPriority w:val="0"/>
    <w:rPr>
      <w:rFonts w:ascii="宋体" w:hAnsi="宋体" w:eastAsia="宋体"/>
      <w:sz w:val="21"/>
      <w:szCs w:val="21"/>
      <w:lang w:val="en-US" w:eastAsia="zh-CN" w:bidi="ar-SA"/>
    </w:rPr>
  </w:style>
  <w:style w:type="character" w:customStyle="1" w:styleId="233">
    <w:name w:val="_Style 71"/>
    <w:qFormat/>
    <w:uiPriority w:val="21"/>
    <w:rPr>
      <w:rFonts w:ascii="宋体" w:hAnsi="宋体" w:eastAsia="宋体"/>
      <w:b/>
      <w:bCs/>
      <w:i/>
      <w:iCs/>
      <w:color w:val="4F81BD"/>
      <w:sz w:val="21"/>
      <w:szCs w:val="21"/>
      <w:lang w:val="en-US" w:eastAsia="zh-CN" w:bidi="ar-SA"/>
    </w:rPr>
  </w:style>
  <w:style w:type="character" w:customStyle="1" w:styleId="234">
    <w:name w:val="标题 4 Char"/>
    <w:semiHidden/>
    <w:qFormat/>
    <w:uiPriority w:val="0"/>
    <w:rPr>
      <w:rFonts w:ascii="Calibri Light" w:hAnsi="Calibri Light" w:eastAsia="宋体" w:cs="Times New Roman"/>
      <w:b/>
      <w:bCs/>
      <w:sz w:val="28"/>
      <w:szCs w:val="28"/>
    </w:rPr>
  </w:style>
  <w:style w:type="character" w:customStyle="1" w:styleId="235">
    <w:name w:val="right"/>
    <w:qFormat/>
    <w:uiPriority w:val="0"/>
    <w:rPr>
      <w:lang w:val="en-US" w:eastAsia="zh-CN" w:bidi="ar-SA"/>
    </w:rPr>
  </w:style>
  <w:style w:type="character" w:customStyle="1" w:styleId="236">
    <w:name w:val="font31"/>
    <w:basedOn w:val="43"/>
    <w:qFormat/>
    <w:uiPriority w:val="0"/>
    <w:rPr>
      <w:rFonts w:hint="eastAsia" w:ascii="仿宋" w:hAnsi="仿宋" w:eastAsia="仿宋" w:cs="仿宋"/>
      <w:color w:val="000000"/>
      <w:sz w:val="20"/>
      <w:szCs w:val="20"/>
      <w:u w:val="none"/>
      <w:lang w:val="en-US" w:eastAsia="zh-CN" w:bidi="ar-SA"/>
    </w:rPr>
  </w:style>
  <w:style w:type="character" w:customStyle="1" w:styleId="237">
    <w:name w:val="Plain Text Char1"/>
    <w:link w:val="238"/>
    <w:qFormat/>
    <w:uiPriority w:val="0"/>
    <w:rPr>
      <w:rFonts w:ascii="宋体" w:hAnsi="Courier New" w:cs="宋体"/>
      <w:szCs w:val="21"/>
    </w:rPr>
  </w:style>
  <w:style w:type="paragraph" w:customStyle="1" w:styleId="238">
    <w:name w:val="纯文本1"/>
    <w:basedOn w:val="1"/>
    <w:link w:val="237"/>
    <w:qFormat/>
    <w:uiPriority w:val="0"/>
    <w:pPr>
      <w:spacing w:line="240" w:lineRule="auto"/>
    </w:pPr>
    <w:rPr>
      <w:rFonts w:ascii="宋体" w:hAnsi="Courier New"/>
      <w:sz w:val="20"/>
      <w:szCs w:val="21"/>
    </w:rPr>
  </w:style>
  <w:style w:type="character" w:customStyle="1" w:styleId="239">
    <w:name w:val="bd-close"/>
    <w:qFormat/>
    <w:uiPriority w:val="0"/>
    <w:rPr>
      <w:rFonts w:ascii="宋体" w:hAnsi="宋体" w:eastAsia="宋体"/>
      <w:vanish/>
      <w:sz w:val="21"/>
      <w:szCs w:val="21"/>
      <w:lang w:val="en-US" w:eastAsia="zh-CN" w:bidi="ar-SA"/>
    </w:rPr>
  </w:style>
  <w:style w:type="character" w:customStyle="1" w:styleId="240">
    <w:name w:val="ISMS-封面-内容"/>
    <w:qFormat/>
    <w:uiPriority w:val="0"/>
    <w:rPr>
      <w:rFonts w:ascii="宋体" w:hAnsi="宋体"/>
      <w:sz w:val="21"/>
    </w:rPr>
  </w:style>
  <w:style w:type="character" w:customStyle="1" w:styleId="241">
    <w:name w:val="批注框文本 Char"/>
    <w:qFormat/>
    <w:uiPriority w:val="0"/>
    <w:rPr>
      <w:sz w:val="18"/>
      <w:szCs w:val="18"/>
    </w:rPr>
  </w:style>
  <w:style w:type="character" w:customStyle="1" w:styleId="242">
    <w:name w:val="hover35"/>
    <w:qFormat/>
    <w:uiPriority w:val="0"/>
    <w:rPr>
      <w:rFonts w:ascii="宋体" w:hAnsi="宋体" w:eastAsia="宋体"/>
      <w:sz w:val="21"/>
      <w:szCs w:val="21"/>
      <w:shd w:val="clear" w:color="auto" w:fill="F3F3F3"/>
      <w:lang w:val="en-US" w:eastAsia="zh-CN" w:bidi="ar-SA"/>
    </w:rPr>
  </w:style>
  <w:style w:type="character" w:customStyle="1" w:styleId="243">
    <w:name w:val="button"/>
    <w:qFormat/>
    <w:uiPriority w:val="0"/>
    <w:rPr>
      <w:rFonts w:ascii="宋体" w:hAnsi="宋体" w:eastAsia="宋体"/>
      <w:sz w:val="21"/>
      <w:szCs w:val="21"/>
      <w:lang w:val="en-US" w:eastAsia="zh-CN" w:bidi="ar-SA"/>
    </w:rPr>
  </w:style>
  <w:style w:type="character" w:customStyle="1" w:styleId="244">
    <w:name w:val="gpa"/>
    <w:qFormat/>
    <w:uiPriority w:val="0"/>
    <w:rPr>
      <w:rFonts w:ascii="Arial" w:hAnsi="Arial" w:eastAsia="宋体" w:cs="Arial"/>
      <w:sz w:val="15"/>
      <w:szCs w:val="15"/>
      <w:lang w:val="en-US" w:eastAsia="zh-CN" w:bidi="ar-SA"/>
    </w:rPr>
  </w:style>
  <w:style w:type="character" w:customStyle="1" w:styleId="245">
    <w:name w:val="标题 2 Char"/>
    <w:qFormat/>
    <w:uiPriority w:val="0"/>
    <w:rPr>
      <w:rFonts w:ascii="Arial" w:hAnsi="Arial" w:eastAsia="黑体"/>
      <w:b/>
      <w:bCs/>
      <w:sz w:val="32"/>
      <w:szCs w:val="32"/>
    </w:rPr>
  </w:style>
  <w:style w:type="character" w:customStyle="1" w:styleId="246">
    <w:name w:val="列出段落 Char"/>
    <w:link w:val="247"/>
    <w:qFormat/>
    <w:uiPriority w:val="34"/>
    <w:rPr>
      <w:rFonts w:ascii="Times New Roman" w:hAnsi="Times New Roman" w:eastAsia="宋体" w:cs="Times New Roman"/>
      <w:szCs w:val="24"/>
    </w:rPr>
  </w:style>
  <w:style w:type="paragraph" w:customStyle="1" w:styleId="247">
    <w:name w:val="_Style 128"/>
    <w:basedOn w:val="1"/>
    <w:next w:val="248"/>
    <w:link w:val="246"/>
    <w:qFormat/>
    <w:uiPriority w:val="34"/>
    <w:pPr>
      <w:widowControl/>
      <w:spacing w:line="240" w:lineRule="auto"/>
      <w:ind w:firstLine="420"/>
    </w:pPr>
    <w:rPr>
      <w:sz w:val="20"/>
      <w:szCs w:val="24"/>
    </w:rPr>
  </w:style>
  <w:style w:type="paragraph" w:styleId="248">
    <w:name w:val="List Paragraph"/>
    <w:basedOn w:val="1"/>
    <w:link w:val="249"/>
    <w:qFormat/>
    <w:uiPriority w:val="34"/>
    <w:pPr>
      <w:spacing w:line="240" w:lineRule="auto"/>
      <w:ind w:firstLine="420"/>
    </w:pPr>
    <w:rPr>
      <w:szCs w:val="24"/>
    </w:rPr>
  </w:style>
  <w:style w:type="character" w:customStyle="1" w:styleId="249">
    <w:name w:val="列出段落 Char2"/>
    <w:link w:val="248"/>
    <w:qFormat/>
    <w:uiPriority w:val="34"/>
    <w:rPr>
      <w:sz w:val="21"/>
      <w:szCs w:val="24"/>
    </w:rPr>
  </w:style>
  <w:style w:type="character" w:customStyle="1" w:styleId="250">
    <w:name w:val="批注主题 Char"/>
    <w:qFormat/>
    <w:uiPriority w:val="0"/>
    <w:rPr>
      <w:b/>
      <w:bCs/>
      <w:sz w:val="21"/>
      <w:szCs w:val="24"/>
    </w:rPr>
  </w:style>
  <w:style w:type="character" w:customStyle="1" w:styleId="251">
    <w:name w:val="标题3 Char"/>
    <w:link w:val="252"/>
    <w:qFormat/>
    <w:uiPriority w:val="0"/>
    <w:rPr>
      <w:rFonts w:ascii="黑体" w:hAnsi="Arial" w:eastAsia="黑体"/>
      <w:b/>
      <w:sz w:val="24"/>
    </w:rPr>
  </w:style>
  <w:style w:type="paragraph" w:customStyle="1" w:styleId="252">
    <w:name w:val="标题3"/>
    <w:basedOn w:val="4"/>
    <w:next w:val="13"/>
    <w:link w:val="251"/>
    <w:qFormat/>
    <w:uiPriority w:val="0"/>
    <w:pPr>
      <w:spacing w:before="156" w:after="156" w:line="440" w:lineRule="exact"/>
      <w:outlineLvl w:val="2"/>
    </w:pPr>
    <w:rPr>
      <w:rFonts w:ascii="黑体" w:eastAsia="黑体"/>
      <w:b w:val="0"/>
    </w:rPr>
  </w:style>
  <w:style w:type="character" w:customStyle="1" w:styleId="253">
    <w:name w:val="left2"/>
    <w:qFormat/>
    <w:uiPriority w:val="0"/>
    <w:rPr>
      <w:rFonts w:ascii="宋体" w:hAnsi="宋体" w:eastAsia="宋体"/>
      <w:color w:val="FF4700"/>
      <w:sz w:val="21"/>
      <w:szCs w:val="21"/>
      <w:lang w:val="en-US" w:eastAsia="zh-CN" w:bidi="ar-SA"/>
    </w:rPr>
  </w:style>
  <w:style w:type="character" w:customStyle="1" w:styleId="254">
    <w:name w:val="prev2"/>
    <w:qFormat/>
    <w:uiPriority w:val="0"/>
    <w:rPr>
      <w:rFonts w:ascii="宋体" w:hAnsi="宋体" w:eastAsia="宋体"/>
      <w:color w:val="888888"/>
      <w:sz w:val="21"/>
      <w:szCs w:val="21"/>
      <w:lang w:val="en-US" w:eastAsia="zh-CN" w:bidi="ar-SA"/>
    </w:rPr>
  </w:style>
  <w:style w:type="character" w:customStyle="1" w:styleId="255">
    <w:name w:val="批注文字 Char"/>
    <w:qFormat/>
    <w:uiPriority w:val="99"/>
    <w:rPr>
      <w:sz w:val="21"/>
    </w:rPr>
  </w:style>
  <w:style w:type="character" w:customStyle="1" w:styleId="256">
    <w:name w:val="ISMS-封面-标题 Char"/>
    <w:link w:val="257"/>
    <w:qFormat/>
    <w:uiPriority w:val="0"/>
    <w:rPr>
      <w:b/>
      <w:bCs/>
      <w:sz w:val="52"/>
      <w:szCs w:val="52"/>
    </w:rPr>
  </w:style>
  <w:style w:type="paragraph" w:customStyle="1" w:styleId="257">
    <w:name w:val="ISMS-封面-标题"/>
    <w:basedOn w:val="1"/>
    <w:link w:val="256"/>
    <w:qFormat/>
    <w:uiPriority w:val="0"/>
    <w:pPr>
      <w:spacing w:line="240" w:lineRule="auto"/>
      <w:jc w:val="center"/>
    </w:pPr>
    <w:rPr>
      <w:b/>
      <w:bCs/>
      <w:sz w:val="52"/>
      <w:szCs w:val="52"/>
    </w:rPr>
  </w:style>
  <w:style w:type="character" w:customStyle="1" w:styleId="258">
    <w:name w:val="layui-layer-tabnow"/>
    <w:qFormat/>
    <w:uiPriority w:val="0"/>
    <w:rPr>
      <w:rFonts w:ascii="宋体" w:hAnsi="宋体" w:eastAsia="宋体"/>
      <w:sz w:val="21"/>
      <w:szCs w:val="21"/>
      <w:shd w:val="clear" w:color="auto" w:fill="FFFFFF"/>
      <w:lang w:val="en-US" w:eastAsia="zh-CN" w:bidi="ar-SA"/>
    </w:rPr>
  </w:style>
  <w:style w:type="character" w:customStyle="1" w:styleId="259">
    <w:name w:val="inf"/>
    <w:qFormat/>
    <w:uiPriority w:val="0"/>
    <w:rPr>
      <w:rFonts w:ascii="宋体" w:hAnsi="宋体" w:eastAsia="宋体"/>
      <w:color w:val="333333"/>
      <w:sz w:val="18"/>
      <w:szCs w:val="18"/>
      <w:shd w:val="clear" w:color="auto" w:fill="EEEEEE"/>
      <w:lang w:val="en-US" w:eastAsia="zh-CN" w:bidi="ar-SA"/>
    </w:rPr>
  </w:style>
  <w:style w:type="character" w:customStyle="1" w:styleId="260">
    <w:name w:val="first-child"/>
    <w:qFormat/>
    <w:uiPriority w:val="0"/>
    <w:rPr>
      <w:rFonts w:ascii="宋体" w:hAnsi="宋体" w:eastAsia="宋体"/>
      <w:sz w:val="21"/>
      <w:szCs w:val="21"/>
      <w:lang w:val="en-US" w:eastAsia="zh-CN" w:bidi="ar-SA"/>
    </w:rPr>
  </w:style>
  <w:style w:type="character" w:customStyle="1" w:styleId="261">
    <w:name w:val="left"/>
    <w:qFormat/>
    <w:uiPriority w:val="0"/>
    <w:rPr>
      <w:rFonts w:ascii="宋体" w:hAnsi="宋体" w:eastAsia="宋体"/>
      <w:color w:val="FF4700"/>
      <w:sz w:val="21"/>
      <w:szCs w:val="21"/>
      <w:lang w:val="en-US" w:eastAsia="zh-CN" w:bidi="ar-SA"/>
    </w:rPr>
  </w:style>
  <w:style w:type="character" w:customStyle="1" w:styleId="262">
    <w:name w:val="font11"/>
    <w:qFormat/>
    <w:uiPriority w:val="0"/>
    <w:rPr>
      <w:rFonts w:hint="eastAsia" w:ascii="仿宋" w:hAnsi="仿宋" w:eastAsia="仿宋" w:cs="仿宋"/>
      <w:color w:val="FF0000"/>
      <w:sz w:val="20"/>
      <w:szCs w:val="20"/>
      <w:u w:val="none"/>
      <w:lang w:val="en-US" w:eastAsia="zh-CN" w:bidi="ar-SA"/>
    </w:rPr>
  </w:style>
  <w:style w:type="character" w:customStyle="1" w:styleId="263">
    <w:name w:val="列出段落 Char1"/>
    <w:link w:val="264"/>
    <w:qFormat/>
    <w:uiPriority w:val="34"/>
    <w:rPr>
      <w:sz w:val="21"/>
      <w:szCs w:val="24"/>
    </w:rPr>
  </w:style>
  <w:style w:type="paragraph" w:customStyle="1" w:styleId="264">
    <w:name w:val="_Style 126"/>
    <w:basedOn w:val="1"/>
    <w:next w:val="248"/>
    <w:link w:val="263"/>
    <w:qFormat/>
    <w:uiPriority w:val="34"/>
    <w:pPr>
      <w:spacing w:line="240" w:lineRule="auto"/>
      <w:ind w:firstLine="420"/>
    </w:pPr>
    <w:rPr>
      <w:szCs w:val="24"/>
    </w:rPr>
  </w:style>
  <w:style w:type="character" w:customStyle="1" w:styleId="265">
    <w:name w:val="正文文本 2 Char1"/>
    <w:qFormat/>
    <w:uiPriority w:val="99"/>
    <w:rPr>
      <w:rFonts w:ascii="Times New Roman" w:hAnsi="Times New Roman" w:eastAsia="宋体" w:cs="Times New Roman"/>
      <w:sz w:val="21"/>
      <w:szCs w:val="24"/>
      <w:lang w:val="en-US" w:eastAsia="zh-CN" w:bidi="ar-SA"/>
    </w:rPr>
  </w:style>
  <w:style w:type="character" w:customStyle="1" w:styleId="266">
    <w:name w:val="selected"/>
    <w:qFormat/>
    <w:uiPriority w:val="0"/>
    <w:rPr>
      <w:rFonts w:ascii="宋体" w:hAnsi="宋体" w:eastAsia="宋体"/>
      <w:sz w:val="21"/>
      <w:szCs w:val="21"/>
      <w:shd w:val="clear" w:color="auto" w:fill="B00006"/>
      <w:lang w:val="en-US" w:eastAsia="zh-CN" w:bidi="ar-SA"/>
    </w:rPr>
  </w:style>
  <w:style w:type="character" w:customStyle="1" w:styleId="267">
    <w:name w:val="_Style 105"/>
    <w:unhideWhenUsed/>
    <w:qFormat/>
    <w:uiPriority w:val="99"/>
    <w:rPr>
      <w:rFonts w:ascii="宋体" w:hAnsi="宋体" w:eastAsia="宋体"/>
      <w:color w:val="605E5C"/>
      <w:sz w:val="21"/>
      <w:szCs w:val="21"/>
      <w:shd w:val="clear" w:color="auto" w:fill="E1DFDD"/>
      <w:lang w:val="en-US" w:eastAsia="zh-CN" w:bidi="ar-SA"/>
    </w:rPr>
  </w:style>
  <w:style w:type="character" w:customStyle="1" w:styleId="268">
    <w:name w:val="font01"/>
    <w:qFormat/>
    <w:uiPriority w:val="0"/>
    <w:rPr>
      <w:rFonts w:hint="eastAsia" w:ascii="仿宋" w:hAnsi="仿宋" w:eastAsia="仿宋" w:cs="仿宋"/>
      <w:color w:val="000000"/>
      <w:sz w:val="20"/>
      <w:szCs w:val="20"/>
      <w:u w:val="none"/>
      <w:lang w:val="en-US" w:eastAsia="zh-CN" w:bidi="ar-SA"/>
    </w:rPr>
  </w:style>
  <w:style w:type="character" w:customStyle="1" w:styleId="269">
    <w:name w:val="info7"/>
    <w:qFormat/>
    <w:uiPriority w:val="0"/>
    <w:rPr>
      <w:lang w:val="en-US" w:eastAsia="zh-CN" w:bidi="ar-SA"/>
    </w:rPr>
  </w:style>
  <w:style w:type="character" w:customStyle="1" w:styleId="270">
    <w:name w:val="hover36"/>
    <w:qFormat/>
    <w:uiPriority w:val="0"/>
    <w:rPr>
      <w:rFonts w:ascii="宋体" w:hAnsi="宋体" w:eastAsia="宋体"/>
      <w:sz w:val="21"/>
      <w:szCs w:val="21"/>
      <w:lang w:val="en-US" w:eastAsia="zh-CN" w:bidi="ar-SA"/>
    </w:rPr>
  </w:style>
  <w:style w:type="character" w:customStyle="1" w:styleId="271">
    <w:name w:val="批注文字 字符"/>
    <w:qFormat/>
    <w:uiPriority w:val="99"/>
    <w:rPr>
      <w:sz w:val="21"/>
    </w:rPr>
  </w:style>
  <w:style w:type="paragraph" w:customStyle="1" w:styleId="272">
    <w:name w:val="p18"/>
    <w:basedOn w:val="1"/>
    <w:qFormat/>
    <w:uiPriority w:val="0"/>
    <w:pPr>
      <w:widowControl/>
      <w:spacing w:after="120" w:line="240" w:lineRule="auto"/>
    </w:pPr>
  </w:style>
  <w:style w:type="paragraph" w:customStyle="1" w:styleId="273">
    <w:name w:val="_Style 111"/>
    <w:basedOn w:val="1"/>
    <w:next w:val="1"/>
    <w:qFormat/>
    <w:uiPriority w:val="0"/>
    <w:pPr>
      <w:pBdr>
        <w:top w:val="single" w:color="000000" w:sz="6" w:space="1"/>
      </w:pBdr>
      <w:jc w:val="center"/>
    </w:pPr>
    <w:rPr>
      <w:rFonts w:ascii="Arial"/>
      <w:vanish/>
      <w:sz w:val="16"/>
    </w:rPr>
  </w:style>
  <w:style w:type="paragraph" w:customStyle="1" w:styleId="274">
    <w:name w:val="p0"/>
    <w:basedOn w:val="1"/>
    <w:qFormat/>
    <w:uiPriority w:val="0"/>
    <w:pPr>
      <w:widowControl/>
    </w:pPr>
  </w:style>
  <w:style w:type="paragraph" w:customStyle="1" w:styleId="275">
    <w:name w:val="p15"/>
    <w:basedOn w:val="1"/>
    <w:qFormat/>
    <w:uiPriority w:val="0"/>
    <w:pPr>
      <w:widowControl/>
      <w:spacing w:line="240" w:lineRule="auto"/>
    </w:pPr>
    <w:rPr>
      <w:rFonts w:ascii="宋体" w:hAnsi="宋体"/>
      <w:sz w:val="24"/>
    </w:rPr>
  </w:style>
  <w:style w:type="paragraph" w:customStyle="1" w:styleId="276">
    <w:name w:val="p19"/>
    <w:basedOn w:val="1"/>
    <w:qFormat/>
    <w:uiPriority w:val="0"/>
    <w:pPr>
      <w:widowControl/>
      <w:spacing w:line="240" w:lineRule="auto"/>
      <w:ind w:firstLine="420"/>
    </w:pPr>
    <w:rPr>
      <w:sz w:val="24"/>
    </w:rPr>
  </w:style>
  <w:style w:type="paragraph" w:customStyle="1" w:styleId="277">
    <w:name w:val="正文缩进(ALT+Z)"/>
    <w:basedOn w:val="1"/>
    <w:qFormat/>
    <w:uiPriority w:val="0"/>
    <w:pPr>
      <w:spacing w:line="360" w:lineRule="auto"/>
      <w:ind w:firstLine="200"/>
    </w:pPr>
    <w:rPr>
      <w:rFonts w:ascii="宋体" w:eastAsia="仿宋_GB2312"/>
      <w:sz w:val="24"/>
      <w:szCs w:val="24"/>
    </w:rPr>
  </w:style>
  <w:style w:type="paragraph" w:customStyle="1" w:styleId="278">
    <w:name w:val="正文文本 31"/>
    <w:basedOn w:val="1"/>
    <w:qFormat/>
    <w:uiPriority w:val="0"/>
    <w:rPr>
      <w:rFonts w:ascii="宋体"/>
      <w:sz w:val="24"/>
    </w:rPr>
  </w:style>
  <w:style w:type="paragraph" w:customStyle="1" w:styleId="279">
    <w:name w:val="p16"/>
    <w:basedOn w:val="1"/>
    <w:qFormat/>
    <w:uiPriority w:val="0"/>
    <w:pPr>
      <w:widowControl/>
      <w:spacing w:line="240" w:lineRule="auto"/>
    </w:pPr>
    <w:rPr>
      <w:rFonts w:ascii="宋体" w:hAnsi="宋体"/>
      <w:sz w:val="24"/>
    </w:rPr>
  </w:style>
  <w:style w:type="paragraph" w:customStyle="1" w:styleId="280">
    <w:name w:val="1"/>
    <w:basedOn w:val="1"/>
    <w:next w:val="23"/>
    <w:qFormat/>
    <w:uiPriority w:val="0"/>
    <w:pPr>
      <w:spacing w:line="360" w:lineRule="auto"/>
      <w:jc w:val="center"/>
    </w:pPr>
    <w:rPr>
      <w:rFonts w:ascii="宋体" w:hAnsi="宋体"/>
      <w:b/>
      <w:sz w:val="30"/>
    </w:rPr>
  </w:style>
  <w:style w:type="paragraph" w:customStyle="1" w:styleId="281">
    <w:name w:val="段"/>
    <w:qFormat/>
    <w:uiPriority w:val="0"/>
    <w:pPr>
      <w:ind w:firstLine="200"/>
      <w:jc w:val="both"/>
    </w:pPr>
    <w:rPr>
      <w:rFonts w:ascii="宋体" w:hAnsi="Calibri" w:eastAsia="宋体" w:cs="Calibri"/>
      <w:sz w:val="21"/>
      <w:lang w:val="en-US" w:eastAsia="zh-CN" w:bidi="ar-SA"/>
    </w:rPr>
  </w:style>
  <w:style w:type="paragraph" w:customStyle="1" w:styleId="282">
    <w:name w:val="页眉1"/>
    <w:basedOn w:val="1"/>
    <w:qFormat/>
    <w:uiPriority w:val="0"/>
    <w:pPr>
      <w:pBdr>
        <w:bottom w:val="single" w:color="000000" w:sz="6" w:space="1"/>
      </w:pBdr>
      <w:tabs>
        <w:tab w:val="center" w:pos="4153"/>
        <w:tab w:val="right" w:pos="8306"/>
      </w:tabs>
      <w:jc w:val="center"/>
    </w:pPr>
    <w:rPr>
      <w:sz w:val="18"/>
    </w:rPr>
  </w:style>
  <w:style w:type="paragraph" w:customStyle="1" w:styleId="283">
    <w:name w:val="_Style 52"/>
    <w:basedOn w:val="1"/>
    <w:next w:val="248"/>
    <w:qFormat/>
    <w:uiPriority w:val="34"/>
    <w:pPr>
      <w:spacing w:line="240" w:lineRule="auto"/>
      <w:ind w:firstLine="420"/>
    </w:pPr>
    <w:rPr>
      <w:szCs w:val="24"/>
    </w:rPr>
  </w:style>
  <w:style w:type="paragraph" w:styleId="284">
    <w:name w:val="No Spacing"/>
    <w:qFormat/>
    <w:uiPriority w:val="1"/>
    <w:pPr>
      <w:widowControl w:val="0"/>
      <w:jc w:val="both"/>
    </w:pPr>
    <w:rPr>
      <w:rFonts w:ascii="Calibri" w:hAnsi="Calibri" w:eastAsia="宋体" w:cs="Calibri"/>
      <w:sz w:val="24"/>
      <w:lang w:val="en-US" w:eastAsia="zh-CN" w:bidi="ar-SA"/>
    </w:rPr>
  </w:style>
  <w:style w:type="paragraph" w:customStyle="1" w:styleId="285">
    <w:name w:val="1正文"/>
    <w:basedOn w:val="1"/>
    <w:qFormat/>
    <w:uiPriority w:val="0"/>
    <w:pPr>
      <w:spacing w:line="560" w:lineRule="exact"/>
      <w:ind w:firstLine="200"/>
    </w:pPr>
    <w:rPr>
      <w:rFonts w:ascii="Times New Roman" w:hAnsi="Times New Roman" w:eastAsia="Cambria Math" w:cs="Times New Roman"/>
      <w:sz w:val="32"/>
      <w:szCs w:val="24"/>
    </w:rPr>
  </w:style>
  <w:style w:type="paragraph" w:customStyle="1" w:styleId="286">
    <w:name w:val="p17"/>
    <w:basedOn w:val="1"/>
    <w:qFormat/>
    <w:uiPriority w:val="0"/>
    <w:pPr>
      <w:widowControl/>
      <w:spacing w:line="240" w:lineRule="auto"/>
      <w:ind w:firstLine="420"/>
    </w:pPr>
  </w:style>
  <w:style w:type="paragraph" w:customStyle="1" w:styleId="287">
    <w:name w:val="页脚1"/>
    <w:basedOn w:val="1"/>
    <w:qFormat/>
    <w:uiPriority w:val="0"/>
    <w:pPr>
      <w:tabs>
        <w:tab w:val="center" w:pos="4153"/>
        <w:tab w:val="right" w:pos="8306"/>
      </w:tabs>
      <w:jc w:val="left"/>
    </w:pPr>
    <w:rPr>
      <w:sz w:val="18"/>
    </w:rPr>
  </w:style>
  <w:style w:type="paragraph" w:customStyle="1" w:styleId="288">
    <w:name w:val="正文1"/>
    <w:basedOn w:val="1"/>
    <w:qFormat/>
    <w:uiPriority w:val="0"/>
    <w:pPr>
      <w:spacing w:line="360" w:lineRule="auto"/>
      <w:ind w:firstLine="200"/>
    </w:pPr>
    <w:rPr>
      <w:rFonts w:ascii="宋体" w:hAnsi="宋体" w:cs="微软雅黑"/>
      <w:szCs w:val="24"/>
    </w:rPr>
  </w:style>
  <w:style w:type="paragraph" w:customStyle="1" w:styleId="289">
    <w:name w:val="Char2 Char Char Char1 Char Char Char Char Char Char Char Char1 Char1 Char Char1 Char"/>
    <w:basedOn w:val="1"/>
    <w:qFormat/>
    <w:uiPriority w:val="0"/>
    <w:pPr>
      <w:spacing w:line="240" w:lineRule="auto"/>
    </w:pPr>
    <w:rPr>
      <w:rFonts w:ascii="宋体" w:hAnsi="宋体"/>
      <w:szCs w:val="21"/>
    </w:rPr>
  </w:style>
  <w:style w:type="paragraph" w:customStyle="1" w:styleId="290">
    <w:name w:val="正文格式"/>
    <w:basedOn w:val="1"/>
    <w:qFormat/>
    <w:uiPriority w:val="0"/>
    <w:pPr>
      <w:spacing w:line="300" w:lineRule="auto"/>
      <w:ind w:firstLine="480"/>
    </w:pPr>
    <w:rPr>
      <w:rFonts w:cs="宋体"/>
      <w:sz w:val="24"/>
      <w:szCs w:val="22"/>
    </w:rPr>
  </w:style>
  <w:style w:type="paragraph" w:customStyle="1" w:styleId="291">
    <w:name w:val="_Style 129"/>
    <w:semiHidden/>
    <w:qFormat/>
    <w:uiPriority w:val="99"/>
    <w:rPr>
      <w:rFonts w:ascii="Calibri" w:hAnsi="Calibri" w:eastAsia="宋体" w:cs="Calibri"/>
      <w:sz w:val="21"/>
      <w:lang w:val="en-US" w:eastAsia="zh-CN" w:bidi="ar-SA"/>
    </w:rPr>
  </w:style>
  <w:style w:type="paragraph" w:customStyle="1" w:styleId="29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jc w:val="left"/>
    </w:pPr>
    <w:rPr>
      <w:rFonts w:ascii="Courier New" w:hAnsi="Courier New"/>
      <w:sz w:val="20"/>
    </w:rPr>
  </w:style>
  <w:style w:type="paragraph" w:customStyle="1" w:styleId="293">
    <w:name w:val="图中文字"/>
    <w:basedOn w:val="1"/>
    <w:qFormat/>
    <w:uiPriority w:val="0"/>
    <w:pPr>
      <w:spacing w:line="0" w:lineRule="atLeast"/>
      <w:jc w:val="center"/>
    </w:pPr>
  </w:style>
  <w:style w:type="paragraph" w:customStyle="1" w:styleId="294">
    <w:name w:val="_Style 132"/>
    <w:basedOn w:val="1"/>
    <w:next w:val="1"/>
    <w:qFormat/>
    <w:uiPriority w:val="0"/>
    <w:pPr>
      <w:pBdr>
        <w:bottom w:val="single" w:color="000000" w:sz="6" w:space="1"/>
      </w:pBdr>
      <w:jc w:val="center"/>
    </w:pPr>
    <w:rPr>
      <w:rFonts w:ascii="Arial"/>
      <w:vanish/>
      <w:sz w:val="16"/>
    </w:rPr>
  </w:style>
  <w:style w:type="paragraph" w:customStyle="1" w:styleId="295">
    <w:name w:val="正文00"/>
    <w:basedOn w:val="1"/>
    <w:qFormat/>
    <w:uiPriority w:val="0"/>
    <w:pPr>
      <w:spacing w:line="360" w:lineRule="auto"/>
      <w:ind w:firstLine="200"/>
    </w:pPr>
    <w:rPr>
      <w:sz w:val="24"/>
      <w:szCs w:val="21"/>
    </w:rPr>
  </w:style>
  <w:style w:type="character" w:customStyle="1" w:styleId="296">
    <w:name w:val="批注文字 Char1"/>
    <w:qFormat/>
    <w:uiPriority w:val="99"/>
    <w:rPr>
      <w:sz w:val="21"/>
    </w:rPr>
  </w:style>
  <w:style w:type="character" w:customStyle="1" w:styleId="297">
    <w:name w:val="标题 3 Char"/>
    <w:qFormat/>
    <w:uiPriority w:val="9"/>
    <w:rPr>
      <w:rFonts w:ascii="宋体" w:hAnsi="宋体" w:eastAsia="仿宋"/>
      <w:b/>
      <w:sz w:val="24"/>
      <w:szCs w:val="36"/>
    </w:rPr>
  </w:style>
  <w:style w:type="paragraph" w:customStyle="1" w:styleId="298">
    <w:name w:val="正文文本 33"/>
    <w:basedOn w:val="1"/>
    <w:qFormat/>
    <w:uiPriority w:val="0"/>
    <w:rPr>
      <w:rFonts w:ascii="宋体" w:hAnsi="Times New Roman" w:cs="Times New Roman"/>
      <w:sz w:val="24"/>
    </w:rPr>
  </w:style>
  <w:style w:type="character" w:customStyle="1" w:styleId="299">
    <w:name w:val="批注文字 字符2"/>
    <w:qFormat/>
    <w:uiPriority w:val="99"/>
    <w:rPr>
      <w:sz w:val="21"/>
    </w:rPr>
  </w:style>
  <w:style w:type="paragraph" w:customStyle="1" w:styleId="300">
    <w:name w:val="彩色列表 - 强调文字颜色 11"/>
    <w:basedOn w:val="1"/>
    <w:qFormat/>
    <w:uiPriority w:val="34"/>
    <w:pPr>
      <w:ind w:firstLine="420"/>
    </w:pPr>
    <w:rPr>
      <w:szCs w:val="22"/>
    </w:rPr>
  </w:style>
  <w:style w:type="paragraph" w:customStyle="1" w:styleId="301">
    <w:name w:val="_Style 160"/>
    <w:basedOn w:val="1"/>
    <w:next w:val="248"/>
    <w:qFormat/>
    <w:uiPriority w:val="34"/>
    <w:pPr>
      <w:spacing w:line="240" w:lineRule="auto"/>
      <w:ind w:firstLine="420"/>
    </w:pPr>
    <w:rPr>
      <w:szCs w:val="24"/>
    </w:rPr>
  </w:style>
  <w:style w:type="paragraph" w:customStyle="1" w:styleId="302">
    <w:name w:val="正文首行缩进两字符"/>
    <w:basedOn w:val="1"/>
    <w:qFormat/>
    <w:uiPriority w:val="0"/>
    <w:pPr>
      <w:spacing w:line="360" w:lineRule="auto"/>
      <w:ind w:firstLine="200"/>
    </w:pPr>
  </w:style>
  <w:style w:type="character" w:customStyle="1" w:styleId="303">
    <w:name w:val="font61"/>
    <w:basedOn w:val="43"/>
    <w:qFormat/>
    <w:uiPriority w:val="0"/>
    <w:rPr>
      <w:rFonts w:hint="eastAsia" w:ascii="仿宋" w:hAnsi="仿宋" w:eastAsia="仿宋" w:cs="仿宋"/>
      <w:color w:val="000000"/>
      <w:sz w:val="21"/>
      <w:szCs w:val="21"/>
      <w:u w:val="none"/>
    </w:rPr>
  </w:style>
  <w:style w:type="character" w:customStyle="1" w:styleId="304">
    <w:name w:val="font51"/>
    <w:basedOn w:val="43"/>
    <w:qFormat/>
    <w:uiPriority w:val="0"/>
    <w:rPr>
      <w:rFonts w:hint="eastAsia" w:ascii="仿宋" w:hAnsi="仿宋" w:eastAsia="仿宋" w:cs="仿宋"/>
      <w:color w:val="000000"/>
      <w:sz w:val="20"/>
      <w:szCs w:val="20"/>
      <w:u w:val="none"/>
    </w:rPr>
  </w:style>
  <w:style w:type="character" w:customStyle="1" w:styleId="305">
    <w:name w:val="font41"/>
    <w:basedOn w:val="43"/>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GCMC</Company>
  <Pages>86</Pages>
  <Words>3725</Words>
  <Characters>4275</Characters>
  <Lines>343</Lines>
  <Paragraphs>96</Paragraphs>
  <TotalTime>0</TotalTime>
  <ScaleCrop>false</ScaleCrop>
  <LinksUpToDate>false</LinksUpToDate>
  <CharactersWithSpaces>4448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2024-08-22T06:50:00Z</dcterms:created>
  <dc:creator>GCMC-YD-Hzy</dc:creator>
  <cp:lastModifiedBy>文美霖</cp:lastModifiedBy>
  <dcterms:modified xsi:type="dcterms:W3CDTF">2025-12-22T10:22:58Z</dcterms:modified>
  <dc:title>交通银行股份有限公司北京市分行阜外支行消防改造工程项目</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05C41E6EDA104C4C974DEB86CA093357_13</vt:lpwstr>
  </property>
  <property fmtid="{D5CDD505-2E9C-101B-9397-08002B2CF9AE}" pid="4" name="KSOTemplateDocerSaveRecord">
    <vt:lpwstr>eyJoZGlkIjoiYzNkNjcxOTgwOTA2NDg1ODVlYTExMDZjOWM4YzE0NjMiLCJ1c2VySWQiOiI0MTU1MDc3ODQifQ==</vt:lpwstr>
  </property>
</Properties>
</file>