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018EBF6">
      <w:pPr>
        <w:pStyle w:val="3"/>
        <w:spacing w:before="0" w:after="0" w:line="360" w:lineRule="auto"/>
        <w:jc w:val="center"/>
        <w:rPr>
          <w:rFonts w:hint="eastAsia" w:ascii="仿宋" w:hAnsi="仿宋" w:eastAsia="仿宋" w:cs="仿宋"/>
          <w:bCs/>
          <w:color w:val="000000"/>
          <w:sz w:val="28"/>
          <w:szCs w:val="28"/>
          <w:lang w:eastAsia="zh-CN"/>
        </w:rPr>
      </w:pPr>
      <w:bookmarkStart w:id="0" w:name="_Toc11826"/>
      <w:bookmarkStart w:id="1" w:name="_Toc7300"/>
      <w:bookmarkStart w:id="2" w:name="_Toc517281813"/>
      <w:bookmarkStart w:id="3" w:name="_Toc19709"/>
      <w:bookmarkStart w:id="4" w:name="_Toc444891333"/>
      <w:bookmarkStart w:id="5" w:name="_Toc11838"/>
      <w:bookmarkStart w:id="6" w:name="_Toc287600115"/>
      <w:bookmarkStart w:id="7" w:name="_Toc209042533"/>
      <w:bookmarkStart w:id="8" w:name="_Hlk209736829"/>
      <w:r>
        <w:rPr>
          <w:rFonts w:hint="eastAsia" w:ascii="仿宋" w:hAnsi="仿宋" w:eastAsia="仿宋" w:cs="仿宋"/>
          <w:bCs/>
          <w:color w:val="000000"/>
          <w:sz w:val="28"/>
          <w:szCs w:val="28"/>
        </w:rPr>
        <w:t>竞争性</w:t>
      </w:r>
      <w:bookmarkEnd w:id="0"/>
      <w:bookmarkEnd w:id="1"/>
      <w:bookmarkEnd w:id="2"/>
      <w:bookmarkEnd w:id="3"/>
      <w:bookmarkEnd w:id="4"/>
      <w:bookmarkEnd w:id="5"/>
      <w:bookmarkEnd w:id="6"/>
      <w:r>
        <w:rPr>
          <w:rFonts w:hint="eastAsia" w:ascii="仿宋" w:hAnsi="仿宋" w:eastAsia="仿宋" w:cs="仿宋"/>
          <w:bCs/>
          <w:color w:val="000000"/>
          <w:sz w:val="28"/>
          <w:szCs w:val="28"/>
        </w:rPr>
        <w:t>磋商</w:t>
      </w:r>
      <w:bookmarkEnd w:id="7"/>
      <w:r>
        <w:rPr>
          <w:rFonts w:hint="eastAsia" w:ascii="仿宋" w:hAnsi="仿宋" w:eastAsia="仿宋" w:cs="仿宋"/>
          <w:bCs/>
          <w:color w:val="000000"/>
          <w:sz w:val="28"/>
          <w:szCs w:val="28"/>
          <w:lang w:val="en-US" w:eastAsia="zh-CN"/>
        </w:rPr>
        <w:t>公告</w:t>
      </w:r>
    </w:p>
    <w:p w14:paraId="37212B90">
      <w:pPr>
        <w:adjustRightInd w:val="0"/>
        <w:snapToGrid w:val="0"/>
        <w:spacing w:line="360" w:lineRule="auto"/>
        <w:ind w:firstLine="480" w:firstLineChars="200"/>
        <w:jc w:val="left"/>
        <w:rPr>
          <w:rFonts w:hint="eastAsia" w:ascii="仿宋" w:hAnsi="仿宋" w:eastAsia="仿宋" w:cs="仿宋"/>
          <w:color w:val="000000"/>
          <w:sz w:val="24"/>
        </w:rPr>
      </w:pPr>
      <w:r>
        <w:rPr>
          <w:rFonts w:hint="eastAsia" w:ascii="仿宋" w:hAnsi="仿宋" w:eastAsia="仿宋" w:cs="仿宋"/>
          <w:color w:val="000000"/>
          <w:sz w:val="24"/>
        </w:rPr>
        <w:t>受人保投控（北京）运营管理有限公司辽宁分公司(以下简称“采购人”)的委托，公诚管理咨询有限公司（以下简称“采购代理机构”）就人保财险鞍山市分公司及各支公司营业职场保安服务、专项服务项目（项目编号：07-07-04F-2025-D-F-E24730）进行竞争性磋商，资金已落实，现邀请潜在供应商提交响应文件并参与竞争性磋商。</w:t>
      </w:r>
    </w:p>
    <w:p w14:paraId="0E90FC12">
      <w:pPr>
        <w:pStyle w:val="4"/>
        <w:spacing w:before="240" w:after="240"/>
        <w:ind w:left="368" w:leftChars="175"/>
        <w:jc w:val="left"/>
        <w:rPr>
          <w:rFonts w:hint="eastAsia" w:ascii="仿宋" w:hAnsi="仿宋" w:eastAsia="仿宋" w:cs="仿宋"/>
          <w:color w:val="000000"/>
          <w:sz w:val="24"/>
          <w:szCs w:val="24"/>
        </w:rPr>
      </w:pPr>
      <w:bookmarkStart w:id="9" w:name="_Toc209042534"/>
      <w:r>
        <w:rPr>
          <w:rFonts w:hint="eastAsia" w:ascii="仿宋" w:hAnsi="仿宋" w:eastAsia="仿宋" w:cs="仿宋"/>
          <w:color w:val="000000"/>
          <w:sz w:val="24"/>
          <w:szCs w:val="24"/>
        </w:rPr>
        <w:t>一、项目概况与采购范围</w:t>
      </w:r>
      <w:bookmarkEnd w:id="9"/>
    </w:p>
    <w:p w14:paraId="6B230053">
      <w:pPr>
        <w:adjustRightInd w:val="0"/>
        <w:snapToGrid w:val="0"/>
        <w:spacing w:line="360" w:lineRule="auto"/>
        <w:ind w:firstLine="480" w:firstLineChars="200"/>
        <w:jc w:val="left"/>
        <w:rPr>
          <w:rFonts w:hint="eastAsia" w:ascii="仿宋" w:hAnsi="仿宋" w:eastAsia="仿宋" w:cs="仿宋"/>
          <w:color w:val="000000"/>
          <w:sz w:val="24"/>
        </w:rPr>
      </w:pPr>
      <w:bookmarkStart w:id="10" w:name="_Hlk77264910"/>
      <w:r>
        <w:rPr>
          <w:rFonts w:hint="eastAsia" w:ascii="仿宋" w:hAnsi="仿宋" w:eastAsia="仿宋" w:cs="仿宋"/>
          <w:color w:val="000000"/>
          <w:sz w:val="24"/>
        </w:rPr>
        <w:t>1.1项目名称：人保财险鞍山市分公司及各支公司营业职场保安服务、专项服务项目。</w:t>
      </w:r>
    </w:p>
    <w:p w14:paraId="312C7C1E">
      <w:pPr>
        <w:spacing w:line="360" w:lineRule="auto"/>
        <w:ind w:firstLine="480" w:firstLineChars="200"/>
        <w:textAlignment w:val="baseline"/>
        <w:rPr>
          <w:rFonts w:hint="eastAsia" w:ascii="仿宋" w:hAnsi="仿宋" w:eastAsia="仿宋"/>
          <w:sz w:val="24"/>
        </w:rPr>
      </w:pPr>
      <w:r>
        <w:rPr>
          <w:rFonts w:hint="eastAsia" w:ascii="仿宋" w:hAnsi="仿宋" w:eastAsia="仿宋"/>
          <w:sz w:val="24"/>
        </w:rPr>
        <w:t>1.2标包划分情况：本项目划分2个标段，允许兼投兼中，每个标段选取1名中标人，具体内容如下：</w:t>
      </w:r>
    </w:p>
    <w:tbl>
      <w:tblPr>
        <w:tblStyle w:val="17"/>
        <w:tblW w:w="5000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left w:w="108" w:type="dxa"/>
          <w:right w:w="108" w:type="dxa"/>
        </w:tblCellMar>
      </w:tblPr>
      <w:tblGrid>
        <w:gridCol w:w="905"/>
        <w:gridCol w:w="1867"/>
        <w:gridCol w:w="3349"/>
        <w:gridCol w:w="2401"/>
      </w:tblGrid>
      <w:tr w14:paraId="7002279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c>
          <w:tcPr>
            <w:tcW w:w="530" w:type="pct"/>
            <w:vAlign w:val="center"/>
          </w:tcPr>
          <w:p w14:paraId="4C2CF2C5">
            <w:pPr>
              <w:spacing w:line="360" w:lineRule="auto"/>
              <w:jc w:val="center"/>
              <w:textAlignment w:val="baseline"/>
              <w:rPr>
                <w:rFonts w:hint="eastAsia"/>
                <w:vertAlign w:val="baseline"/>
              </w:rPr>
            </w:pPr>
            <w:r>
              <w:rPr>
                <w:rFonts w:hint="eastAsia" w:ascii="仿宋" w:hAnsi="仿宋" w:eastAsia="仿宋"/>
                <w:sz w:val="24"/>
              </w:rPr>
              <w:t>标段</w:t>
            </w:r>
            <w:bookmarkStart w:id="22" w:name="_GoBack"/>
            <w:bookmarkEnd w:id="22"/>
          </w:p>
        </w:tc>
        <w:tc>
          <w:tcPr>
            <w:tcW w:w="1095" w:type="pct"/>
            <w:vAlign w:val="center"/>
          </w:tcPr>
          <w:p w14:paraId="32CB14A4">
            <w:pPr>
              <w:spacing w:line="360" w:lineRule="auto"/>
              <w:jc w:val="center"/>
              <w:textAlignment w:val="baseline"/>
              <w:rPr>
                <w:rFonts w:hint="eastAsia"/>
                <w:vertAlign w:val="baseline"/>
              </w:rPr>
            </w:pPr>
            <w:r>
              <w:rPr>
                <w:rFonts w:hint="eastAsia" w:ascii="仿宋" w:hAnsi="仿宋" w:eastAsia="仿宋"/>
                <w:sz w:val="24"/>
              </w:rPr>
              <w:t>标段编号</w:t>
            </w:r>
          </w:p>
        </w:tc>
        <w:tc>
          <w:tcPr>
            <w:tcW w:w="1964" w:type="pct"/>
            <w:vAlign w:val="center"/>
          </w:tcPr>
          <w:p w14:paraId="6F720394">
            <w:pPr>
              <w:spacing w:line="360" w:lineRule="auto"/>
              <w:jc w:val="center"/>
              <w:textAlignment w:val="baseline"/>
              <w:rPr>
                <w:rFonts w:hint="eastAsia"/>
                <w:vertAlign w:val="baseline"/>
              </w:rPr>
            </w:pPr>
            <w:r>
              <w:rPr>
                <w:rFonts w:hint="eastAsia" w:ascii="仿宋" w:hAnsi="仿宋" w:eastAsia="仿宋"/>
                <w:sz w:val="24"/>
              </w:rPr>
              <w:t>标段名称</w:t>
            </w:r>
          </w:p>
        </w:tc>
        <w:tc>
          <w:tcPr>
            <w:tcW w:w="1408" w:type="pct"/>
            <w:vAlign w:val="center"/>
          </w:tcPr>
          <w:p w14:paraId="3B34359B">
            <w:pPr>
              <w:spacing w:line="360" w:lineRule="auto"/>
              <w:jc w:val="center"/>
              <w:textAlignment w:val="baseline"/>
              <w:rPr>
                <w:rFonts w:hint="eastAsia"/>
                <w:vertAlign w:val="baseline"/>
              </w:rPr>
            </w:pPr>
            <w:r>
              <w:rPr>
                <w:rFonts w:hint="eastAsia" w:ascii="仿宋" w:hAnsi="仿宋" w:eastAsia="仿宋"/>
                <w:sz w:val="24"/>
              </w:rPr>
              <w:t>采购预算</w:t>
            </w:r>
            <w:r>
              <w:rPr>
                <w:rFonts w:hint="eastAsia" w:ascii="仿宋" w:hAnsi="仿宋" w:eastAsia="仿宋" w:cs="仿宋"/>
                <w:sz w:val="24"/>
              </w:rPr>
              <w:t>（最高投标限价）</w:t>
            </w:r>
          </w:p>
        </w:tc>
      </w:tr>
      <w:tr w14:paraId="4D4DF8F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c>
          <w:tcPr>
            <w:tcW w:w="530" w:type="pct"/>
            <w:vAlign w:val="center"/>
          </w:tcPr>
          <w:p w14:paraId="7BA9CB60">
            <w:pPr>
              <w:spacing w:line="360" w:lineRule="auto"/>
              <w:jc w:val="left"/>
              <w:textAlignment w:val="baseline"/>
              <w:rPr>
                <w:rFonts w:hint="eastAsia"/>
                <w:vertAlign w:val="baseline"/>
              </w:rPr>
            </w:pPr>
            <w:r>
              <w:rPr>
                <w:rFonts w:hint="eastAsia" w:ascii="仿宋" w:hAnsi="仿宋" w:eastAsia="仿宋"/>
                <w:sz w:val="24"/>
              </w:rPr>
              <w:t>标段1</w:t>
            </w:r>
          </w:p>
        </w:tc>
        <w:tc>
          <w:tcPr>
            <w:tcW w:w="1095" w:type="pct"/>
            <w:vAlign w:val="center"/>
          </w:tcPr>
          <w:p w14:paraId="4533B555">
            <w:pPr>
              <w:spacing w:line="360" w:lineRule="auto"/>
              <w:jc w:val="left"/>
              <w:textAlignment w:val="baseline"/>
              <w:rPr>
                <w:rFonts w:hint="eastAsia"/>
                <w:vertAlign w:val="baseline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</w:rPr>
              <w:t>07-07-04F-2025-D-F-E24730</w:t>
            </w:r>
          </w:p>
        </w:tc>
        <w:tc>
          <w:tcPr>
            <w:tcW w:w="1964" w:type="pct"/>
            <w:vAlign w:val="center"/>
          </w:tcPr>
          <w:p w14:paraId="3C8D5C41">
            <w:pPr>
              <w:spacing w:line="360" w:lineRule="auto"/>
              <w:jc w:val="left"/>
              <w:textAlignment w:val="baseline"/>
              <w:rPr>
                <w:rFonts w:hint="eastAsia"/>
                <w:vertAlign w:val="baseline"/>
              </w:rPr>
            </w:pPr>
            <w:r>
              <w:rPr>
                <w:rFonts w:hint="eastAsia" w:ascii="仿宋" w:hAnsi="仿宋" w:eastAsia="仿宋"/>
                <w:sz w:val="24"/>
              </w:rPr>
              <w:t>人保财险鞍山市分公司及各支公司营业职场保安服务、专项服务项目（标段1：保安服务）</w:t>
            </w:r>
          </w:p>
        </w:tc>
        <w:tc>
          <w:tcPr>
            <w:tcW w:w="1408" w:type="pct"/>
            <w:vAlign w:val="center"/>
          </w:tcPr>
          <w:p w14:paraId="0F6F83A9">
            <w:pPr>
              <w:spacing w:line="360" w:lineRule="auto"/>
              <w:jc w:val="left"/>
              <w:textAlignment w:val="baseline"/>
              <w:rPr>
                <w:rFonts w:hint="eastAsia"/>
                <w:vertAlign w:val="baseline"/>
              </w:rPr>
            </w:pPr>
            <w:r>
              <w:rPr>
                <w:rFonts w:ascii="仿宋" w:hAnsi="仿宋" w:eastAsia="仿宋"/>
                <w:sz w:val="24"/>
              </w:rPr>
              <w:t>671075.65</w:t>
            </w:r>
            <w:r>
              <w:rPr>
                <w:rFonts w:hint="eastAsia" w:ascii="仿宋" w:hAnsi="仿宋" w:eastAsia="仿宋"/>
                <w:sz w:val="24"/>
              </w:rPr>
              <w:t>元/年（含税）。超过最高投标限价的投标将被否决</w:t>
            </w:r>
          </w:p>
        </w:tc>
      </w:tr>
    </w:tbl>
    <w:p w14:paraId="195D325B">
      <w:pPr>
        <w:pStyle w:val="2"/>
        <w:rPr>
          <w:rFonts w:hint="eastAsia"/>
        </w:rPr>
      </w:pPr>
    </w:p>
    <w:p w14:paraId="12A256E1">
      <w:pPr>
        <w:adjustRightInd w:val="0"/>
        <w:snapToGrid w:val="0"/>
        <w:spacing w:line="360" w:lineRule="auto"/>
        <w:ind w:firstLine="480" w:firstLineChars="200"/>
        <w:jc w:val="left"/>
        <w:rPr>
          <w:rFonts w:hint="eastAsia" w:ascii="仿宋" w:hAnsi="仿宋" w:eastAsia="仿宋" w:cs="仿宋"/>
          <w:color w:val="000000"/>
          <w:sz w:val="24"/>
        </w:rPr>
      </w:pPr>
      <w:r>
        <w:rPr>
          <w:rFonts w:hint="eastAsia" w:ascii="仿宋" w:hAnsi="仿宋" w:eastAsia="仿宋" w:cs="仿宋"/>
          <w:color w:val="000000"/>
          <w:sz w:val="24"/>
        </w:rPr>
        <w:t>1.3采购范围：</w:t>
      </w:r>
      <w:r>
        <w:rPr>
          <w:rFonts w:hint="eastAsia" w:ascii="仿宋" w:hAnsi="仿宋" w:eastAsia="仿宋" w:cs="仿宋"/>
          <w:color w:val="000000"/>
          <w:kern w:val="0"/>
          <w:sz w:val="24"/>
          <w:lang w:bidi="ar"/>
        </w:rPr>
        <w:t>提供保安服务</w:t>
      </w:r>
      <w:r>
        <w:rPr>
          <w:rFonts w:hint="eastAsia" w:ascii="仿宋" w:hAnsi="仿宋" w:eastAsia="仿宋" w:cs="仿宋"/>
          <w:color w:val="000000"/>
          <w:sz w:val="24"/>
        </w:rPr>
        <w:t>对各职场进行安全保障及巡视管理工作。</w:t>
      </w:r>
      <w:r>
        <w:rPr>
          <w:rFonts w:hint="eastAsia" w:ascii="仿宋" w:hAnsi="仿宋" w:eastAsia="仿宋" w:cs="Cambria Math"/>
          <w:color w:val="000000"/>
          <w:sz w:val="24"/>
        </w:rPr>
        <w:t>（详细要求及需求内容请参阅采购文件）</w:t>
      </w:r>
    </w:p>
    <w:p w14:paraId="78EBB041">
      <w:pPr>
        <w:pStyle w:val="20"/>
        <w:ind w:firstLine="482"/>
        <w:rPr>
          <w:rFonts w:hint="eastAsia" w:ascii="仿宋" w:hAnsi="仿宋" w:eastAsia="仿宋"/>
          <w:b/>
          <w:bCs/>
        </w:rPr>
      </w:pPr>
      <w:r>
        <w:rPr>
          <w:rFonts w:hint="eastAsia" w:ascii="仿宋" w:hAnsi="仿宋" w:eastAsia="仿宋"/>
          <w:b/>
          <w:bCs/>
          <w:sz w:val="24"/>
        </w:rPr>
        <w:t>（</w:t>
      </w:r>
      <w:bookmarkStart w:id="11" w:name="OLE_LINK18"/>
      <w:r>
        <w:rPr>
          <w:rFonts w:hint="eastAsia" w:ascii="仿宋" w:hAnsi="仿宋" w:eastAsia="仿宋"/>
          <w:b/>
          <w:bCs/>
          <w:sz w:val="24"/>
        </w:rPr>
        <w:t>标段1：保安服务</w:t>
      </w:r>
      <w:bookmarkEnd w:id="11"/>
      <w:r>
        <w:rPr>
          <w:rFonts w:hint="eastAsia" w:ascii="仿宋" w:hAnsi="仿宋" w:eastAsia="仿宋"/>
          <w:b/>
          <w:bCs/>
          <w:sz w:val="24"/>
        </w:rPr>
        <w:t>）</w:t>
      </w:r>
    </w:p>
    <w:tbl>
      <w:tblPr>
        <w:tblStyle w:val="16"/>
        <w:tblW w:w="10096" w:type="dxa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93"/>
        <w:gridCol w:w="1236"/>
        <w:gridCol w:w="2648"/>
        <w:gridCol w:w="1673"/>
        <w:gridCol w:w="1673"/>
        <w:gridCol w:w="1673"/>
      </w:tblGrid>
      <w:tr w14:paraId="78BE9DB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  <w:jc w:val="center"/>
        </w:trPr>
        <w:tc>
          <w:tcPr>
            <w:tcW w:w="11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4D5A880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lang w:bidi="ar"/>
              </w:rPr>
              <w:t>序号</w:t>
            </w:r>
          </w:p>
        </w:tc>
        <w:tc>
          <w:tcPr>
            <w:tcW w:w="12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3ADE5C8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</w:rPr>
              <w:t>工种</w:t>
            </w:r>
          </w:p>
        </w:tc>
        <w:tc>
          <w:tcPr>
            <w:tcW w:w="26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154F4BD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</w:rPr>
              <w:t>职场</w:t>
            </w:r>
          </w:p>
        </w:tc>
        <w:tc>
          <w:tcPr>
            <w:tcW w:w="16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33DAA4A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lang w:bidi="ar"/>
              </w:rPr>
              <w:t>数量</w:t>
            </w:r>
          </w:p>
        </w:tc>
        <w:tc>
          <w:tcPr>
            <w:tcW w:w="16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FBA9220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lang w:bidi="ar"/>
              </w:rPr>
              <w:t>上班班次</w:t>
            </w:r>
          </w:p>
        </w:tc>
        <w:tc>
          <w:tcPr>
            <w:tcW w:w="16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384CD23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lang w:bidi="ar"/>
              </w:rPr>
              <w:t>时间</w:t>
            </w:r>
          </w:p>
        </w:tc>
      </w:tr>
      <w:tr w14:paraId="1C00FE0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2" w:hRule="atLeast"/>
          <w:jc w:val="center"/>
        </w:trPr>
        <w:tc>
          <w:tcPr>
            <w:tcW w:w="11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3B4714F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lang w:bidi="ar"/>
              </w:rPr>
              <w:t>1</w:t>
            </w:r>
          </w:p>
        </w:tc>
        <w:tc>
          <w:tcPr>
            <w:tcW w:w="12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C6BADA6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</w:rPr>
              <w:t>保安员</w:t>
            </w:r>
          </w:p>
        </w:tc>
        <w:tc>
          <w:tcPr>
            <w:tcW w:w="26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9F1C439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</w:rPr>
              <w:t>鞍山市分公司</w:t>
            </w:r>
          </w:p>
        </w:tc>
        <w:tc>
          <w:tcPr>
            <w:tcW w:w="16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B018F8E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lang w:val="en-US" w:eastAsia="zh-CN"/>
              </w:rPr>
              <w:t>4</w:t>
            </w:r>
          </w:p>
        </w:tc>
        <w:tc>
          <w:tcPr>
            <w:tcW w:w="16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5ED140C">
            <w:pPr>
              <w:widowControl/>
              <w:jc w:val="center"/>
              <w:textAlignment w:val="center"/>
              <w:rPr>
                <w:rFonts w:hint="eastAsia"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2班次</w:t>
            </w:r>
          </w:p>
        </w:tc>
        <w:tc>
          <w:tcPr>
            <w:tcW w:w="16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3270BEA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</w:rPr>
              <w:t>24小时</w:t>
            </w:r>
          </w:p>
        </w:tc>
      </w:tr>
      <w:tr w14:paraId="64F48A3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3" w:hRule="atLeast"/>
          <w:jc w:val="center"/>
        </w:trPr>
        <w:tc>
          <w:tcPr>
            <w:tcW w:w="11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D1D38B6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lang w:bidi="ar"/>
              </w:rPr>
              <w:t>2</w:t>
            </w:r>
          </w:p>
        </w:tc>
        <w:tc>
          <w:tcPr>
            <w:tcW w:w="12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515A1D8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</w:rPr>
              <w:t>保安（监控员）</w:t>
            </w:r>
          </w:p>
        </w:tc>
        <w:tc>
          <w:tcPr>
            <w:tcW w:w="26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9EE9B87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</w:rPr>
              <w:t>鞍山市分公司</w:t>
            </w:r>
          </w:p>
        </w:tc>
        <w:tc>
          <w:tcPr>
            <w:tcW w:w="16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1D195DC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lang w:val="en-US" w:eastAsia="zh-CN"/>
              </w:rPr>
              <w:t>4</w:t>
            </w:r>
          </w:p>
        </w:tc>
        <w:tc>
          <w:tcPr>
            <w:tcW w:w="16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06EF0A9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</w:rPr>
              <w:t>3班次</w:t>
            </w:r>
          </w:p>
        </w:tc>
        <w:tc>
          <w:tcPr>
            <w:tcW w:w="16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B137821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</w:rPr>
              <w:t>24小时</w:t>
            </w:r>
          </w:p>
        </w:tc>
      </w:tr>
      <w:tr w14:paraId="0539629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  <w:jc w:val="center"/>
        </w:trPr>
        <w:tc>
          <w:tcPr>
            <w:tcW w:w="11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4664B8D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lang w:bidi="ar"/>
              </w:rPr>
              <w:t>3</w:t>
            </w:r>
          </w:p>
        </w:tc>
        <w:tc>
          <w:tcPr>
            <w:tcW w:w="12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36D1A38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</w:rPr>
              <w:t>保安员</w:t>
            </w:r>
          </w:p>
        </w:tc>
        <w:tc>
          <w:tcPr>
            <w:tcW w:w="26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B93A072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</w:rPr>
              <w:t>鞍钢支公司</w:t>
            </w:r>
          </w:p>
        </w:tc>
        <w:tc>
          <w:tcPr>
            <w:tcW w:w="16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97F27E7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</w:rPr>
              <w:t>2</w:t>
            </w:r>
          </w:p>
        </w:tc>
        <w:tc>
          <w:tcPr>
            <w:tcW w:w="16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E2AB7BD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2班次</w:t>
            </w:r>
          </w:p>
        </w:tc>
        <w:tc>
          <w:tcPr>
            <w:tcW w:w="16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7D799F0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</w:rPr>
              <w:t>24小时</w:t>
            </w:r>
          </w:p>
        </w:tc>
      </w:tr>
      <w:tr w14:paraId="23D0A29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  <w:jc w:val="center"/>
        </w:trPr>
        <w:tc>
          <w:tcPr>
            <w:tcW w:w="11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587B22B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</w:rPr>
              <w:t>4</w:t>
            </w:r>
          </w:p>
        </w:tc>
        <w:tc>
          <w:tcPr>
            <w:tcW w:w="12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1CACC66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</w:rPr>
              <w:t>保安员</w:t>
            </w:r>
          </w:p>
        </w:tc>
        <w:tc>
          <w:tcPr>
            <w:tcW w:w="26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C10486A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</w:rPr>
              <w:t>千山支公司</w:t>
            </w:r>
          </w:p>
        </w:tc>
        <w:tc>
          <w:tcPr>
            <w:tcW w:w="16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7B6B871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</w:rPr>
              <w:t>2</w:t>
            </w:r>
          </w:p>
        </w:tc>
        <w:tc>
          <w:tcPr>
            <w:tcW w:w="16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7CE87C9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2班次</w:t>
            </w:r>
          </w:p>
        </w:tc>
        <w:tc>
          <w:tcPr>
            <w:tcW w:w="16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93C27D3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</w:rPr>
              <w:t>24小时</w:t>
            </w:r>
          </w:p>
        </w:tc>
      </w:tr>
      <w:tr w14:paraId="14CB1D7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  <w:jc w:val="center"/>
        </w:trPr>
        <w:tc>
          <w:tcPr>
            <w:tcW w:w="11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5FA6C00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</w:rPr>
              <w:t>5</w:t>
            </w:r>
          </w:p>
        </w:tc>
        <w:tc>
          <w:tcPr>
            <w:tcW w:w="12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30DFA1E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</w:rPr>
              <w:t>保安员</w:t>
            </w:r>
          </w:p>
        </w:tc>
        <w:tc>
          <w:tcPr>
            <w:tcW w:w="26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A411AA2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</w:rPr>
              <w:t>海城支公司</w:t>
            </w:r>
          </w:p>
        </w:tc>
        <w:tc>
          <w:tcPr>
            <w:tcW w:w="16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EA76222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</w:rPr>
              <w:t>3</w:t>
            </w:r>
          </w:p>
        </w:tc>
        <w:tc>
          <w:tcPr>
            <w:tcW w:w="16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66CB5C6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2班次</w:t>
            </w:r>
          </w:p>
        </w:tc>
        <w:tc>
          <w:tcPr>
            <w:tcW w:w="16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3865DD9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</w:rPr>
              <w:t>24小时</w:t>
            </w:r>
          </w:p>
        </w:tc>
      </w:tr>
      <w:tr w14:paraId="2FCB0F0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  <w:jc w:val="center"/>
        </w:trPr>
        <w:tc>
          <w:tcPr>
            <w:tcW w:w="11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F36D4BE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</w:rPr>
              <w:t>6</w:t>
            </w:r>
          </w:p>
        </w:tc>
        <w:tc>
          <w:tcPr>
            <w:tcW w:w="12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58C6DCB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</w:rPr>
              <w:t>保安员</w:t>
            </w:r>
          </w:p>
        </w:tc>
        <w:tc>
          <w:tcPr>
            <w:tcW w:w="26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75CC661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</w:rPr>
              <w:t>台安支公司</w:t>
            </w:r>
          </w:p>
        </w:tc>
        <w:tc>
          <w:tcPr>
            <w:tcW w:w="16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D337BF0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</w:rPr>
              <w:t>2</w:t>
            </w:r>
          </w:p>
        </w:tc>
        <w:tc>
          <w:tcPr>
            <w:tcW w:w="16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B267409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2班次</w:t>
            </w:r>
          </w:p>
        </w:tc>
        <w:tc>
          <w:tcPr>
            <w:tcW w:w="16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D3E72E9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</w:rPr>
              <w:t>24小时</w:t>
            </w:r>
          </w:p>
        </w:tc>
      </w:tr>
      <w:tr w14:paraId="6D3B8DD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  <w:jc w:val="center"/>
        </w:trPr>
        <w:tc>
          <w:tcPr>
            <w:tcW w:w="11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C0BD30A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</w:rPr>
              <w:t>7</w:t>
            </w:r>
          </w:p>
        </w:tc>
        <w:tc>
          <w:tcPr>
            <w:tcW w:w="12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CABDE28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</w:rPr>
              <w:t>保安员</w:t>
            </w:r>
          </w:p>
        </w:tc>
        <w:tc>
          <w:tcPr>
            <w:tcW w:w="26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8766EDC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</w:rPr>
              <w:t>岫岩支公司</w:t>
            </w:r>
          </w:p>
        </w:tc>
        <w:tc>
          <w:tcPr>
            <w:tcW w:w="16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287CEF5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</w:rPr>
              <w:t>2</w:t>
            </w:r>
          </w:p>
        </w:tc>
        <w:tc>
          <w:tcPr>
            <w:tcW w:w="16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F1B4919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2班次</w:t>
            </w:r>
          </w:p>
        </w:tc>
        <w:tc>
          <w:tcPr>
            <w:tcW w:w="16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4D0117B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</w:rPr>
              <w:t>24小时</w:t>
            </w:r>
          </w:p>
        </w:tc>
      </w:tr>
      <w:tr w14:paraId="44B52BE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  <w:jc w:val="center"/>
        </w:trPr>
        <w:tc>
          <w:tcPr>
            <w:tcW w:w="11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0BE9D53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</w:rPr>
              <w:t>8</w:t>
            </w:r>
          </w:p>
        </w:tc>
        <w:tc>
          <w:tcPr>
            <w:tcW w:w="388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BA62FA0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lang w:bidi="ar"/>
              </w:rPr>
              <w:t>合计</w:t>
            </w:r>
          </w:p>
        </w:tc>
        <w:tc>
          <w:tcPr>
            <w:tcW w:w="16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17DE8FD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</w:rPr>
              <w:t>19</w:t>
            </w:r>
          </w:p>
        </w:tc>
        <w:tc>
          <w:tcPr>
            <w:tcW w:w="16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65FFFEA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</w:rPr>
            </w:pPr>
          </w:p>
        </w:tc>
        <w:tc>
          <w:tcPr>
            <w:tcW w:w="16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BE96ADA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</w:rPr>
            </w:pPr>
          </w:p>
        </w:tc>
      </w:tr>
    </w:tbl>
    <w:p w14:paraId="7561F663">
      <w:pPr>
        <w:adjustRightInd w:val="0"/>
        <w:snapToGrid w:val="0"/>
        <w:spacing w:line="360" w:lineRule="auto"/>
        <w:jc w:val="left"/>
        <w:rPr>
          <w:rFonts w:hint="eastAsia" w:ascii="仿宋" w:hAnsi="仿宋" w:eastAsia="仿宋" w:cs="Cambria Math"/>
          <w:color w:val="000000"/>
          <w:sz w:val="24"/>
        </w:rPr>
      </w:pPr>
      <w:r>
        <w:rPr>
          <w:rFonts w:hint="eastAsia" w:ascii="仿宋" w:hAnsi="仿宋" w:eastAsia="仿宋"/>
          <w:color w:val="000000"/>
          <w:sz w:val="24"/>
        </w:rPr>
        <w:t>备注：消防中控员（监控员）：消防中控人员需具备消防设施操作员证书，持有消防中级证书。身体健康、吃苦耐劳，工作认真，仪表端庄。</w:t>
      </w:r>
      <w:r>
        <w:rPr>
          <w:rFonts w:hint="eastAsia" w:ascii="仿宋" w:hAnsi="仿宋" w:eastAsia="仿宋" w:cs="Cambria Math"/>
          <w:color w:val="000000"/>
          <w:sz w:val="24"/>
        </w:rPr>
        <w:t>（详细要求及需求内容请参阅采购文件）</w:t>
      </w:r>
    </w:p>
    <w:p w14:paraId="4A361A04">
      <w:pPr>
        <w:tabs>
          <w:tab w:val="left" w:pos="-105"/>
          <w:tab w:val="left" w:pos="420"/>
          <w:tab w:val="left" w:pos="630"/>
          <w:tab w:val="left" w:pos="1155"/>
          <w:tab w:val="left" w:pos="1890"/>
          <w:tab w:val="left" w:pos="3150"/>
          <w:tab w:val="left" w:pos="3780"/>
        </w:tabs>
        <w:spacing w:line="360" w:lineRule="auto"/>
        <w:ind w:firstLine="480" w:firstLineChars="200"/>
        <w:jc w:val="left"/>
        <w:rPr>
          <w:rFonts w:hint="eastAsia"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sz w:val="24"/>
        </w:rPr>
        <w:t>1.4项目性质：服务</w:t>
      </w:r>
    </w:p>
    <w:p w14:paraId="1890F495">
      <w:pPr>
        <w:tabs>
          <w:tab w:val="left" w:pos="-105"/>
          <w:tab w:val="left" w:pos="420"/>
          <w:tab w:val="left" w:pos="630"/>
          <w:tab w:val="left" w:pos="1155"/>
          <w:tab w:val="left" w:pos="1890"/>
          <w:tab w:val="left" w:pos="3150"/>
          <w:tab w:val="left" w:pos="3780"/>
        </w:tabs>
        <w:spacing w:line="360" w:lineRule="auto"/>
        <w:ind w:firstLine="480" w:firstLineChars="200"/>
        <w:jc w:val="left"/>
        <w:rPr>
          <w:rFonts w:hint="eastAsia"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sz w:val="24"/>
        </w:rPr>
        <w:t>1.5服务地点：</w:t>
      </w:r>
      <w:r>
        <w:rPr>
          <w:rFonts w:hint="eastAsia" w:ascii="仿宋" w:hAnsi="仿宋" w:eastAsia="仿宋" w:cs="仿宋"/>
          <w:color w:val="000000"/>
          <w:sz w:val="24"/>
        </w:rPr>
        <w:t>人保财险鞍山市及各支公司</w:t>
      </w:r>
      <w:r>
        <w:rPr>
          <w:rFonts w:hint="eastAsia" w:ascii="仿宋" w:hAnsi="仿宋" w:eastAsia="仿宋" w:cs="仿宋"/>
          <w:sz w:val="24"/>
        </w:rPr>
        <w:t>及采购人指定地点。</w:t>
      </w:r>
    </w:p>
    <w:p w14:paraId="0C03A58A">
      <w:pPr>
        <w:spacing w:line="360" w:lineRule="auto"/>
        <w:ind w:firstLine="480" w:firstLineChars="200"/>
        <w:textAlignment w:val="baseline"/>
        <w:rPr>
          <w:rFonts w:hint="eastAsia" w:ascii="仿宋" w:hAnsi="仿宋" w:eastAsia="仿宋" w:cs="仿宋"/>
          <w:color w:val="000000"/>
          <w:sz w:val="24"/>
        </w:rPr>
      </w:pPr>
      <w:r>
        <w:rPr>
          <w:rFonts w:hint="eastAsia" w:ascii="仿宋" w:hAnsi="仿宋" w:eastAsia="仿宋" w:cs="仿宋"/>
          <w:sz w:val="24"/>
        </w:rPr>
        <w:t>1.6服务期限：</w:t>
      </w:r>
      <w:r>
        <w:rPr>
          <w:rFonts w:hint="eastAsia" w:ascii="仿宋" w:hAnsi="仿宋" w:eastAsia="仿宋"/>
          <w:sz w:val="24"/>
        </w:rPr>
        <w:t>合同期限一年。合同到期前，采购人根据年度供应商履约情况和协商结果，决定是否续签。如不进行续签，将在合同到期前一个月通知供应商相关事宜，如续签，每期合同一年，服务期含原合同累计不超过三年</w:t>
      </w:r>
      <w:r>
        <w:rPr>
          <w:rFonts w:hint="eastAsia" w:ascii="仿宋" w:hAnsi="仿宋" w:eastAsia="仿宋"/>
          <w:bCs/>
          <w:sz w:val="24"/>
          <w:szCs w:val="32"/>
        </w:rPr>
        <w:t>。</w:t>
      </w:r>
    </w:p>
    <w:bookmarkEnd w:id="10"/>
    <w:p w14:paraId="02F25576">
      <w:pPr>
        <w:pStyle w:val="4"/>
        <w:spacing w:before="240" w:after="240"/>
        <w:ind w:left="368" w:leftChars="175"/>
        <w:jc w:val="left"/>
        <w:rPr>
          <w:rFonts w:hint="eastAsia" w:ascii="仿宋" w:hAnsi="仿宋" w:eastAsia="仿宋" w:cs="仿宋"/>
          <w:color w:val="000000"/>
          <w:sz w:val="24"/>
          <w:szCs w:val="24"/>
        </w:rPr>
      </w:pPr>
      <w:bookmarkStart w:id="12" w:name="_Toc209042535"/>
      <w:r>
        <w:rPr>
          <w:rFonts w:hint="eastAsia" w:ascii="仿宋" w:hAnsi="仿宋" w:eastAsia="仿宋" w:cs="仿宋"/>
          <w:color w:val="000000"/>
          <w:sz w:val="24"/>
          <w:szCs w:val="24"/>
        </w:rPr>
        <w:t>二、供应商资格要求</w:t>
      </w:r>
      <w:bookmarkEnd w:id="12"/>
    </w:p>
    <w:p w14:paraId="25C5376E">
      <w:pPr>
        <w:spacing w:line="360" w:lineRule="auto"/>
        <w:ind w:firstLine="480" w:firstLineChars="200"/>
        <w:textAlignment w:val="baseline"/>
        <w:rPr>
          <w:rFonts w:hint="eastAsia" w:ascii="仿宋" w:hAnsi="仿宋" w:eastAsia="仿宋" w:cs="仿宋"/>
          <w:color w:val="000000"/>
          <w:sz w:val="24"/>
        </w:rPr>
      </w:pPr>
      <w:bookmarkStart w:id="13" w:name="_Hlk69456964"/>
      <w:r>
        <w:rPr>
          <w:rFonts w:hint="eastAsia" w:ascii="仿宋" w:hAnsi="仿宋" w:eastAsia="仿宋" w:cs="仿宋"/>
          <w:color w:val="000000"/>
          <w:sz w:val="24"/>
        </w:rPr>
        <w:t>2.1.在中华人民共和国境内依法登记的法人或其他组织，具有独立承担民事责任的能力，合法运作并独立于采购人和采购代理机构，需提供合法有效的营业执照。</w:t>
      </w:r>
    </w:p>
    <w:p w14:paraId="19EC4D35">
      <w:pPr>
        <w:spacing w:line="360" w:lineRule="auto"/>
        <w:ind w:firstLine="480" w:firstLineChars="200"/>
        <w:textAlignment w:val="baseline"/>
        <w:rPr>
          <w:rFonts w:hint="eastAsia" w:ascii="仿宋" w:hAnsi="仿宋" w:eastAsia="仿宋" w:cs="仿宋"/>
          <w:color w:val="000000"/>
          <w:sz w:val="24"/>
        </w:rPr>
      </w:pPr>
      <w:r>
        <w:rPr>
          <w:rFonts w:hint="eastAsia" w:ascii="仿宋" w:hAnsi="仿宋" w:eastAsia="仿宋" w:cs="仿宋"/>
          <w:color w:val="000000"/>
          <w:sz w:val="24"/>
        </w:rPr>
        <w:t>2.2.（标段1：保安服务）的供应商须具有有效的《保安服务许可证》。</w:t>
      </w:r>
    </w:p>
    <w:p w14:paraId="195AB75C">
      <w:pPr>
        <w:spacing w:line="360" w:lineRule="auto"/>
        <w:ind w:firstLine="480" w:firstLineChars="200"/>
        <w:textAlignment w:val="baseline"/>
        <w:rPr>
          <w:rFonts w:hint="eastAsia" w:ascii="仿宋" w:hAnsi="仿宋" w:eastAsia="仿宋" w:cs="仿宋"/>
          <w:color w:val="000000"/>
          <w:sz w:val="24"/>
        </w:rPr>
      </w:pPr>
      <w:r>
        <w:rPr>
          <w:rFonts w:hint="eastAsia" w:ascii="仿宋" w:hAnsi="仿宋" w:eastAsia="仿宋" w:cs="仿宋"/>
          <w:color w:val="000000"/>
          <w:sz w:val="24"/>
        </w:rPr>
        <w:t>2.3.单位负责人为同一人或存在控股、管理关系的不同单位，不得参加同一标段/标包投标或未划分标段/标包的同一招标项目投标，需填写《供应商控股及管理关系情况申报表》。</w:t>
      </w:r>
    </w:p>
    <w:p w14:paraId="4838F460">
      <w:pPr>
        <w:spacing w:line="360" w:lineRule="auto"/>
        <w:ind w:firstLine="480" w:firstLineChars="200"/>
        <w:textAlignment w:val="baseline"/>
        <w:rPr>
          <w:rFonts w:hint="eastAsia" w:ascii="仿宋" w:hAnsi="仿宋" w:eastAsia="仿宋" w:cs="仿宋"/>
          <w:color w:val="000000"/>
          <w:sz w:val="24"/>
        </w:rPr>
      </w:pPr>
      <w:r>
        <w:rPr>
          <w:rFonts w:hint="eastAsia" w:ascii="仿宋" w:hAnsi="仿宋" w:eastAsia="仿宋" w:cs="仿宋"/>
          <w:color w:val="000000"/>
          <w:sz w:val="24"/>
        </w:rPr>
        <w:t>2.4.能够为本项目开具增值税专用发票，需提供承诺函。</w:t>
      </w:r>
    </w:p>
    <w:p w14:paraId="4C03EA4E">
      <w:pPr>
        <w:spacing w:line="360" w:lineRule="auto"/>
        <w:ind w:firstLine="480" w:firstLineChars="200"/>
        <w:textAlignment w:val="baseline"/>
        <w:rPr>
          <w:rFonts w:hint="eastAsia" w:ascii="仿宋" w:hAnsi="仿宋" w:eastAsia="仿宋" w:cs="仿宋"/>
          <w:color w:val="000000"/>
          <w:sz w:val="24"/>
        </w:rPr>
      </w:pPr>
      <w:r>
        <w:rPr>
          <w:rFonts w:hint="eastAsia" w:ascii="仿宋" w:hAnsi="仿宋" w:eastAsia="仿宋" w:cs="仿宋"/>
          <w:color w:val="000000"/>
          <w:sz w:val="24"/>
        </w:rPr>
        <w:t>2.5.具有履行合同所必需的设备和专业技术能力，需提供承诺函。</w:t>
      </w:r>
    </w:p>
    <w:p w14:paraId="4D408D99">
      <w:pPr>
        <w:spacing w:line="360" w:lineRule="auto"/>
        <w:ind w:firstLine="480" w:firstLineChars="200"/>
        <w:textAlignment w:val="baseline"/>
        <w:rPr>
          <w:rFonts w:hint="eastAsia" w:ascii="仿宋" w:hAnsi="仿宋" w:eastAsia="仿宋" w:cs="仿宋"/>
          <w:color w:val="000000"/>
          <w:sz w:val="24"/>
        </w:rPr>
      </w:pPr>
      <w:r>
        <w:rPr>
          <w:rFonts w:hint="eastAsia" w:ascii="仿宋" w:hAnsi="仿宋" w:eastAsia="仿宋" w:cs="仿宋"/>
          <w:color w:val="000000"/>
          <w:sz w:val="24"/>
        </w:rPr>
        <w:t>2.6.有良好的商业信誉和健全的财务会计制度，需提供承诺函。</w:t>
      </w:r>
    </w:p>
    <w:p w14:paraId="40850990">
      <w:pPr>
        <w:spacing w:line="360" w:lineRule="auto"/>
        <w:ind w:firstLine="480" w:firstLineChars="200"/>
        <w:textAlignment w:val="baseline"/>
        <w:rPr>
          <w:rFonts w:hint="eastAsia" w:ascii="仿宋" w:hAnsi="仿宋" w:eastAsia="仿宋" w:cs="仿宋"/>
          <w:color w:val="000000"/>
          <w:sz w:val="24"/>
        </w:rPr>
      </w:pPr>
      <w:r>
        <w:rPr>
          <w:rFonts w:hint="eastAsia" w:ascii="仿宋" w:hAnsi="仿宋" w:eastAsia="仿宋" w:cs="仿宋"/>
          <w:color w:val="000000"/>
          <w:sz w:val="24"/>
        </w:rPr>
        <w:t>2.7.具有依法缴纳税收和社会保障资金的良好记录，提供近六个月任意一个月的企业税收和社会保障资金缴纳凭证。</w:t>
      </w:r>
    </w:p>
    <w:p w14:paraId="4ACCB121">
      <w:pPr>
        <w:spacing w:line="360" w:lineRule="auto"/>
        <w:ind w:firstLine="480" w:firstLineChars="200"/>
        <w:jc w:val="left"/>
        <w:textAlignment w:val="baseline"/>
        <w:rPr>
          <w:rFonts w:hint="eastAsia" w:ascii="仿宋" w:hAnsi="仿宋" w:eastAsia="仿宋" w:cs="仿宋"/>
          <w:color w:val="000000"/>
          <w:sz w:val="24"/>
        </w:rPr>
      </w:pPr>
      <w:r>
        <w:rPr>
          <w:rFonts w:ascii="仿宋" w:hAnsi="仿宋" w:eastAsia="仿宋" w:cs="仿宋"/>
          <w:color w:val="000000"/>
          <w:sz w:val="24"/>
        </w:rPr>
        <w:t>2.</w:t>
      </w:r>
      <w:r>
        <w:rPr>
          <w:rFonts w:hint="eastAsia" w:ascii="仿宋" w:hAnsi="仿宋" w:eastAsia="仿宋" w:cs="仿宋"/>
          <w:color w:val="000000"/>
          <w:sz w:val="24"/>
        </w:rPr>
        <w:t>8.供应商应经营状况良好，且</w:t>
      </w:r>
      <w:bookmarkStart w:id="14" w:name="OLE_LINK8"/>
      <w:r>
        <w:rPr>
          <w:rFonts w:hint="eastAsia" w:ascii="仿宋" w:hAnsi="仿宋" w:eastAsia="仿宋" w:cs="仿宋"/>
          <w:color w:val="000000"/>
          <w:sz w:val="24"/>
        </w:rPr>
        <w:t>近三年内（</w:t>
      </w:r>
      <w:bookmarkStart w:id="15" w:name="OLE_LINK5"/>
      <w:r>
        <w:rPr>
          <w:rFonts w:hint="eastAsia" w:ascii="仿宋" w:hAnsi="仿宋" w:eastAsia="仿宋" w:cs="仿宋"/>
          <w:color w:val="000000"/>
          <w:sz w:val="24"/>
        </w:rPr>
        <w:t>2022年</w:t>
      </w:r>
      <w:r>
        <w:rPr>
          <w:rFonts w:ascii="仿宋" w:hAnsi="仿宋" w:eastAsia="仿宋" w:cs="仿宋"/>
          <w:color w:val="000000"/>
          <w:sz w:val="24"/>
        </w:rPr>
        <w:t>1</w:t>
      </w:r>
      <w:r>
        <w:rPr>
          <w:rFonts w:hint="eastAsia" w:ascii="仿宋" w:hAnsi="仿宋" w:eastAsia="仿宋" w:cs="仿宋"/>
          <w:color w:val="000000"/>
          <w:sz w:val="24"/>
        </w:rPr>
        <w:t>月1日至今</w:t>
      </w:r>
      <w:bookmarkEnd w:id="15"/>
      <w:r>
        <w:rPr>
          <w:rFonts w:hint="eastAsia" w:ascii="仿宋" w:hAnsi="仿宋" w:eastAsia="仿宋" w:cs="仿宋"/>
          <w:color w:val="000000"/>
          <w:sz w:val="24"/>
        </w:rPr>
        <w:t>）</w:t>
      </w:r>
      <w:bookmarkEnd w:id="14"/>
      <w:r>
        <w:rPr>
          <w:rFonts w:hint="eastAsia" w:ascii="仿宋" w:hAnsi="仿宋" w:eastAsia="仿宋" w:cs="仿宋"/>
          <w:color w:val="000000"/>
          <w:sz w:val="24"/>
        </w:rPr>
        <w:t>无违法违规记录。违法违规记录是指被“信用中国”列入失信被执行人、重大税收违法失信主体、政府采购严重违法失信行为记录名单。供应商需提供投标截止时间前15日内对以上三项内容的查询截图并加盖公章。</w:t>
      </w:r>
    </w:p>
    <w:p w14:paraId="29B41455">
      <w:pPr>
        <w:spacing w:line="360" w:lineRule="auto"/>
        <w:ind w:firstLine="480" w:firstLineChars="200"/>
        <w:jc w:val="both"/>
        <w:textAlignment w:val="baseline"/>
        <w:rPr>
          <w:rFonts w:hint="eastAsia" w:ascii="仿宋" w:hAnsi="仿宋" w:eastAsia="仿宋" w:cs="仿宋"/>
          <w:color w:val="000000"/>
          <w:sz w:val="24"/>
        </w:rPr>
      </w:pPr>
      <w:r>
        <w:rPr>
          <w:rFonts w:hint="eastAsia" w:ascii="仿宋" w:hAnsi="仿宋" w:eastAsia="仿宋" w:cs="仿宋"/>
          <w:color w:val="000000"/>
          <w:sz w:val="24"/>
        </w:rPr>
        <w:t>信用中国查询网址：https://www.creditchina.gov.cn/xinyongfuwu/?navPage=5</w:t>
      </w:r>
    </w:p>
    <w:p w14:paraId="7C7CD672">
      <w:pPr>
        <w:spacing w:line="360" w:lineRule="auto"/>
        <w:ind w:firstLine="480" w:firstLineChars="200"/>
        <w:textAlignment w:val="baseline"/>
        <w:rPr>
          <w:rFonts w:hint="eastAsia" w:ascii="仿宋" w:hAnsi="仿宋" w:eastAsia="仿宋" w:cs="宋体"/>
          <w:color w:val="000000"/>
          <w:sz w:val="24"/>
        </w:rPr>
      </w:pPr>
      <w:r>
        <w:rPr>
          <w:rFonts w:hint="eastAsia" w:ascii="仿宋" w:hAnsi="仿宋" w:eastAsia="仿宋" w:cs="仿宋"/>
          <w:color w:val="000000"/>
          <w:sz w:val="24"/>
        </w:rPr>
        <w:t>2.9.根据《中国人民保险集团供应商管理办法》及《人保投控（北京）运营管理有限公司供应商管理办法》规定，严禁列入中国人民保险集团及人保投控（北京）运营管理有限公司黑名单且在禁入期内的供应商参与采购活动。</w:t>
      </w:r>
    </w:p>
    <w:p w14:paraId="5C3BBDE3">
      <w:pPr>
        <w:spacing w:line="360" w:lineRule="auto"/>
        <w:ind w:firstLine="480" w:firstLineChars="200"/>
        <w:textAlignment w:val="baseline"/>
        <w:rPr>
          <w:rFonts w:hint="eastAsia" w:ascii="仿宋" w:hAnsi="仿宋" w:eastAsia="仿宋" w:cs="仿宋"/>
          <w:color w:val="000000"/>
          <w:sz w:val="24"/>
        </w:rPr>
      </w:pPr>
      <w:r>
        <w:rPr>
          <w:rFonts w:ascii="仿宋" w:hAnsi="仿宋" w:eastAsia="仿宋" w:cs="仿宋"/>
          <w:color w:val="000000"/>
          <w:sz w:val="24"/>
        </w:rPr>
        <w:t>2.</w:t>
      </w:r>
      <w:r>
        <w:rPr>
          <w:rFonts w:hint="eastAsia" w:ascii="仿宋" w:hAnsi="仿宋" w:eastAsia="仿宋" w:cs="仿宋"/>
          <w:color w:val="000000"/>
          <w:sz w:val="24"/>
        </w:rPr>
        <w:t>10.项目不接受联合体投标。</w:t>
      </w:r>
    </w:p>
    <w:bookmarkEnd w:id="13"/>
    <w:p w14:paraId="7AF08BA5">
      <w:pPr>
        <w:pStyle w:val="4"/>
        <w:spacing w:before="240" w:after="240"/>
        <w:ind w:left="368" w:leftChars="175"/>
        <w:jc w:val="left"/>
        <w:rPr>
          <w:rFonts w:hint="eastAsia" w:ascii="仿宋" w:hAnsi="仿宋" w:eastAsia="仿宋" w:cs="仿宋"/>
          <w:color w:val="000000"/>
          <w:sz w:val="24"/>
          <w:szCs w:val="24"/>
        </w:rPr>
      </w:pPr>
      <w:bookmarkStart w:id="16" w:name="_Toc209042536"/>
      <w:r>
        <w:rPr>
          <w:rFonts w:hint="eastAsia" w:ascii="仿宋" w:hAnsi="仿宋" w:eastAsia="仿宋" w:cs="仿宋"/>
          <w:color w:val="000000"/>
          <w:sz w:val="24"/>
          <w:szCs w:val="24"/>
        </w:rPr>
        <w:t>三、资格审查方法</w:t>
      </w:r>
      <w:bookmarkEnd w:id="16"/>
    </w:p>
    <w:p w14:paraId="792A4581">
      <w:pPr>
        <w:spacing w:line="360" w:lineRule="auto"/>
        <w:ind w:firstLine="480" w:firstLineChars="200"/>
        <w:textAlignment w:val="baseline"/>
        <w:rPr>
          <w:rFonts w:hint="eastAsia" w:ascii="仿宋" w:hAnsi="仿宋" w:eastAsia="仿宋" w:cs="仿宋"/>
          <w:color w:val="000000"/>
          <w:sz w:val="24"/>
        </w:rPr>
      </w:pPr>
      <w:r>
        <w:rPr>
          <w:rFonts w:hint="eastAsia" w:ascii="仿宋" w:hAnsi="仿宋" w:eastAsia="仿宋" w:cs="仿宋"/>
          <w:color w:val="000000"/>
          <w:sz w:val="24"/>
        </w:rPr>
        <w:t>本项目将进行资格后审，资格审查方法为合格制，资格审查标准和内容见竞争性磋商文件第三章评审办法。未通过资格后审的供应商，磋商响应文件将被否决，不进入磋商、评审等后续环节。</w:t>
      </w:r>
    </w:p>
    <w:p w14:paraId="65B95CC6">
      <w:pPr>
        <w:pStyle w:val="4"/>
        <w:spacing w:before="240" w:after="240"/>
        <w:ind w:left="368" w:leftChars="175"/>
        <w:jc w:val="left"/>
        <w:rPr>
          <w:rFonts w:hint="eastAsia" w:ascii="仿宋" w:hAnsi="仿宋" w:eastAsia="仿宋" w:cs="仿宋"/>
          <w:color w:val="000000"/>
          <w:sz w:val="24"/>
          <w:szCs w:val="24"/>
        </w:rPr>
      </w:pPr>
      <w:bookmarkStart w:id="17" w:name="_Toc209042537"/>
      <w:r>
        <w:rPr>
          <w:rFonts w:hint="eastAsia" w:ascii="仿宋" w:hAnsi="仿宋" w:eastAsia="仿宋" w:cs="仿宋"/>
          <w:color w:val="000000"/>
          <w:sz w:val="24"/>
          <w:szCs w:val="24"/>
        </w:rPr>
        <w:t>四、竞争性磋商文件的领取</w:t>
      </w:r>
      <w:bookmarkEnd w:id="17"/>
    </w:p>
    <w:p w14:paraId="1328FBF6">
      <w:pPr>
        <w:spacing w:line="360" w:lineRule="auto"/>
        <w:ind w:firstLine="600" w:firstLineChars="250"/>
        <w:jc w:val="left"/>
        <w:textAlignment w:val="baseline"/>
        <w:rPr>
          <w:rFonts w:hint="eastAsia" w:ascii="仿宋" w:hAnsi="仿宋" w:eastAsia="仿宋" w:cs="仿宋"/>
          <w:color w:val="000000"/>
          <w:sz w:val="24"/>
        </w:rPr>
      </w:pPr>
      <w:r>
        <w:rPr>
          <w:rFonts w:ascii="仿宋" w:hAnsi="仿宋" w:eastAsia="仿宋" w:cs="仿宋"/>
          <w:color w:val="000000"/>
          <w:sz w:val="24"/>
        </w:rPr>
        <w:t>4</w:t>
      </w:r>
      <w:r>
        <w:rPr>
          <w:rFonts w:hint="eastAsia" w:ascii="仿宋" w:hAnsi="仿宋" w:eastAsia="仿宋" w:cs="仿宋"/>
          <w:color w:val="000000"/>
          <w:sz w:val="24"/>
        </w:rPr>
        <w:t>.1凡有意参加者，请</w:t>
      </w:r>
      <w:r>
        <w:rPr>
          <w:rFonts w:hint="eastAsia" w:ascii="仿宋" w:hAnsi="仿宋" w:eastAsia="仿宋" w:cs="仿宋"/>
          <w:color w:val="auto"/>
          <w:sz w:val="24"/>
        </w:rPr>
        <w:t xml:space="preserve">于 </w:t>
      </w:r>
      <w:r>
        <w:rPr>
          <w:rFonts w:hint="eastAsia" w:ascii="仿宋" w:hAnsi="仿宋" w:eastAsia="仿宋" w:cs="仿宋"/>
          <w:color w:val="auto"/>
          <w:sz w:val="24"/>
          <w:u w:val="single"/>
        </w:rPr>
        <w:t>2025</w:t>
      </w:r>
      <w:r>
        <w:rPr>
          <w:rFonts w:hint="eastAsia" w:ascii="仿宋" w:hAnsi="仿宋" w:eastAsia="仿宋" w:cs="仿宋"/>
          <w:color w:val="auto"/>
          <w:sz w:val="24"/>
        </w:rPr>
        <w:t>年</w:t>
      </w:r>
      <w:r>
        <w:rPr>
          <w:rFonts w:hint="eastAsia" w:ascii="仿宋" w:hAnsi="仿宋" w:eastAsia="仿宋" w:cs="仿宋"/>
          <w:color w:val="auto"/>
          <w:sz w:val="24"/>
          <w:u w:val="single"/>
          <w:lang w:val="en-US" w:eastAsia="zh-CN"/>
        </w:rPr>
        <w:t>12</w:t>
      </w:r>
      <w:r>
        <w:rPr>
          <w:rFonts w:hint="eastAsia" w:ascii="仿宋" w:hAnsi="仿宋" w:eastAsia="仿宋" w:cs="仿宋"/>
          <w:color w:val="auto"/>
          <w:sz w:val="24"/>
        </w:rPr>
        <w:t>月</w:t>
      </w:r>
      <w:r>
        <w:rPr>
          <w:rFonts w:hint="eastAsia" w:ascii="仿宋" w:hAnsi="仿宋" w:eastAsia="仿宋" w:cs="仿宋"/>
          <w:color w:val="auto"/>
          <w:sz w:val="24"/>
          <w:u w:val="single"/>
          <w:lang w:val="en-US" w:eastAsia="zh-CN"/>
        </w:rPr>
        <w:t>23</w:t>
      </w:r>
      <w:r>
        <w:rPr>
          <w:rFonts w:hint="eastAsia" w:ascii="仿宋" w:hAnsi="仿宋" w:eastAsia="仿宋" w:cs="仿宋"/>
          <w:color w:val="auto"/>
          <w:sz w:val="24"/>
        </w:rPr>
        <w:t>日</w:t>
      </w:r>
      <w:r>
        <w:rPr>
          <w:rFonts w:hint="eastAsia" w:ascii="仿宋" w:hAnsi="仿宋" w:eastAsia="仿宋" w:cs="仿宋"/>
          <w:color w:val="auto"/>
          <w:sz w:val="24"/>
          <w:u w:val="single"/>
        </w:rPr>
        <w:t>08</w:t>
      </w:r>
      <w:r>
        <w:rPr>
          <w:rFonts w:hint="eastAsia" w:ascii="仿宋" w:hAnsi="仿宋" w:eastAsia="仿宋" w:cs="仿宋"/>
          <w:color w:val="auto"/>
          <w:sz w:val="24"/>
        </w:rPr>
        <w:t>时</w:t>
      </w:r>
      <w:r>
        <w:rPr>
          <w:rFonts w:hint="eastAsia" w:ascii="仿宋" w:hAnsi="仿宋" w:eastAsia="仿宋" w:cs="仿宋"/>
          <w:color w:val="auto"/>
          <w:sz w:val="24"/>
          <w:u w:val="single"/>
        </w:rPr>
        <w:t>30</w:t>
      </w:r>
      <w:r>
        <w:rPr>
          <w:rFonts w:hint="eastAsia" w:ascii="仿宋" w:hAnsi="仿宋" w:eastAsia="仿宋" w:cs="仿宋"/>
          <w:color w:val="auto"/>
          <w:sz w:val="24"/>
        </w:rPr>
        <w:t>分至</w:t>
      </w:r>
      <w:r>
        <w:rPr>
          <w:rFonts w:hint="eastAsia" w:ascii="仿宋" w:hAnsi="仿宋" w:eastAsia="仿宋" w:cs="仿宋"/>
          <w:color w:val="auto"/>
          <w:sz w:val="24"/>
          <w:u w:val="single"/>
        </w:rPr>
        <w:t>2025</w:t>
      </w:r>
      <w:r>
        <w:rPr>
          <w:rFonts w:hint="eastAsia" w:ascii="仿宋" w:hAnsi="仿宋" w:eastAsia="仿宋" w:cs="仿宋"/>
          <w:color w:val="auto"/>
          <w:sz w:val="24"/>
        </w:rPr>
        <w:t>年</w:t>
      </w:r>
      <w:r>
        <w:rPr>
          <w:rFonts w:hint="eastAsia" w:ascii="仿宋" w:hAnsi="仿宋" w:eastAsia="仿宋" w:cs="仿宋"/>
          <w:color w:val="auto"/>
          <w:sz w:val="24"/>
          <w:u w:val="single"/>
          <w:lang w:val="en-US" w:eastAsia="zh-CN"/>
        </w:rPr>
        <w:t>12</w:t>
      </w:r>
      <w:r>
        <w:rPr>
          <w:rFonts w:hint="eastAsia" w:ascii="仿宋" w:hAnsi="仿宋" w:eastAsia="仿宋" w:cs="仿宋"/>
          <w:color w:val="auto"/>
          <w:sz w:val="24"/>
        </w:rPr>
        <w:t>月</w:t>
      </w:r>
      <w:r>
        <w:rPr>
          <w:rFonts w:hint="eastAsia" w:ascii="仿宋" w:hAnsi="仿宋" w:eastAsia="仿宋" w:cs="仿宋"/>
          <w:color w:val="auto"/>
          <w:sz w:val="24"/>
          <w:u w:val="single"/>
          <w:lang w:val="en-US" w:eastAsia="zh-CN"/>
        </w:rPr>
        <w:t>30</w:t>
      </w:r>
      <w:r>
        <w:rPr>
          <w:rFonts w:hint="eastAsia" w:ascii="仿宋" w:hAnsi="仿宋" w:eastAsia="仿宋" w:cs="仿宋"/>
          <w:color w:val="auto"/>
          <w:sz w:val="24"/>
        </w:rPr>
        <w:t>日</w:t>
      </w:r>
      <w:r>
        <w:rPr>
          <w:rFonts w:hint="eastAsia" w:ascii="仿宋" w:hAnsi="仿宋" w:eastAsia="仿宋" w:cs="仿宋"/>
          <w:color w:val="auto"/>
          <w:sz w:val="24"/>
          <w:u w:val="single"/>
        </w:rPr>
        <w:t>16</w:t>
      </w:r>
      <w:r>
        <w:rPr>
          <w:rFonts w:hint="eastAsia" w:ascii="仿宋" w:hAnsi="仿宋" w:eastAsia="仿宋" w:cs="仿宋"/>
          <w:color w:val="auto"/>
          <w:sz w:val="24"/>
        </w:rPr>
        <w:t>时</w:t>
      </w:r>
      <w:r>
        <w:rPr>
          <w:rFonts w:hint="eastAsia" w:ascii="仿宋" w:hAnsi="仿宋" w:eastAsia="仿宋" w:cs="仿宋"/>
          <w:color w:val="auto"/>
          <w:sz w:val="24"/>
          <w:u w:val="single"/>
        </w:rPr>
        <w:t>30</w:t>
      </w:r>
      <w:r>
        <w:rPr>
          <w:rFonts w:hint="eastAsia" w:ascii="仿宋" w:hAnsi="仿宋" w:eastAsia="仿宋" w:cs="仿宋"/>
          <w:color w:val="auto"/>
          <w:sz w:val="24"/>
        </w:rPr>
        <w:t>分</w:t>
      </w:r>
      <w:r>
        <w:rPr>
          <w:rFonts w:hint="eastAsia" w:ascii="仿宋" w:hAnsi="仿宋" w:eastAsia="仿宋" w:cs="仿宋"/>
          <w:color w:val="000000"/>
          <w:sz w:val="24"/>
        </w:rPr>
        <w:t>（北京时间，下同），登录“诚E招电子采购交易平台”（网址：https://www.chengezhao.com）注册账号，并线上获取招标文件。“诚E招电子采购交易平台”线上发售，不接受供应商现场领取、邮寄等其他方式。</w:t>
      </w:r>
    </w:p>
    <w:p w14:paraId="2656D2A7">
      <w:pPr>
        <w:spacing w:line="360" w:lineRule="auto"/>
        <w:ind w:firstLine="600" w:firstLineChars="250"/>
        <w:textAlignment w:val="baseline"/>
        <w:rPr>
          <w:rFonts w:hint="eastAsia" w:ascii="仿宋" w:hAnsi="仿宋" w:eastAsia="仿宋" w:cs="仿宋"/>
          <w:color w:val="000000"/>
          <w:sz w:val="24"/>
        </w:rPr>
      </w:pPr>
      <w:r>
        <w:rPr>
          <w:rFonts w:ascii="仿宋" w:hAnsi="仿宋" w:eastAsia="仿宋" w:cs="仿宋"/>
          <w:color w:val="000000"/>
          <w:sz w:val="24"/>
        </w:rPr>
        <w:t>4</w:t>
      </w:r>
      <w:r>
        <w:rPr>
          <w:rFonts w:hint="eastAsia" w:ascii="仿宋" w:hAnsi="仿宋" w:eastAsia="仿宋" w:cs="仿宋"/>
          <w:color w:val="000000"/>
          <w:sz w:val="24"/>
        </w:rPr>
        <w:t>.2 磋商文件售价：200元，逾期不售，售后不退。</w:t>
      </w:r>
    </w:p>
    <w:p w14:paraId="6BDC12AD">
      <w:pPr>
        <w:spacing w:line="360" w:lineRule="auto"/>
        <w:ind w:firstLine="600" w:firstLineChars="250"/>
        <w:textAlignment w:val="baseline"/>
        <w:rPr>
          <w:rFonts w:hint="eastAsia" w:ascii="仿宋" w:hAnsi="仿宋" w:eastAsia="仿宋" w:cs="仿宋"/>
          <w:color w:val="000000"/>
          <w:sz w:val="24"/>
        </w:rPr>
      </w:pPr>
      <w:r>
        <w:rPr>
          <w:rFonts w:ascii="仿宋" w:hAnsi="仿宋" w:eastAsia="仿宋" w:cs="仿宋"/>
          <w:color w:val="000000"/>
          <w:sz w:val="24"/>
        </w:rPr>
        <w:t>4</w:t>
      </w:r>
      <w:r>
        <w:rPr>
          <w:rFonts w:hint="eastAsia" w:ascii="仿宋" w:hAnsi="仿宋" w:eastAsia="仿宋" w:cs="仿宋"/>
          <w:color w:val="000000"/>
          <w:sz w:val="24"/>
        </w:rPr>
        <w:t>.3诚E招电子采购交易平台购标方式指引:</w:t>
      </w:r>
    </w:p>
    <w:p w14:paraId="74C57805">
      <w:pPr>
        <w:spacing w:line="360" w:lineRule="auto"/>
        <w:ind w:firstLine="600" w:firstLineChars="250"/>
        <w:textAlignment w:val="baseline"/>
        <w:rPr>
          <w:rFonts w:hint="eastAsia" w:ascii="仿宋" w:hAnsi="仿宋" w:eastAsia="仿宋" w:cs="仿宋"/>
          <w:color w:val="000000"/>
          <w:sz w:val="24"/>
        </w:rPr>
      </w:pPr>
      <w:r>
        <w:rPr>
          <w:rFonts w:ascii="仿宋" w:hAnsi="仿宋" w:eastAsia="仿宋" w:cs="仿宋"/>
          <w:color w:val="000000"/>
          <w:sz w:val="24"/>
        </w:rPr>
        <w:t>4</w:t>
      </w:r>
      <w:r>
        <w:rPr>
          <w:rFonts w:hint="eastAsia" w:ascii="仿宋" w:hAnsi="仿宋" w:eastAsia="仿宋" w:cs="仿宋"/>
          <w:color w:val="000000"/>
          <w:sz w:val="24"/>
        </w:rPr>
        <w:t>.3.1注册：输入网址，点击【新用户注册】（注册步骤详见门户网站：【投标人操作指南】-【注册指引】）。登陆账号后点击【常用文件】，下载《投标人&amp;供应商操作手册》。</w:t>
      </w:r>
    </w:p>
    <w:p w14:paraId="569A5DB6">
      <w:pPr>
        <w:spacing w:line="360" w:lineRule="auto"/>
        <w:ind w:firstLine="600" w:firstLineChars="250"/>
        <w:textAlignment w:val="baseline"/>
        <w:rPr>
          <w:rFonts w:hint="eastAsia" w:ascii="仿宋" w:hAnsi="仿宋" w:eastAsia="仿宋" w:cs="仿宋"/>
          <w:color w:val="000000"/>
          <w:sz w:val="24"/>
        </w:rPr>
      </w:pPr>
      <w:r>
        <w:rPr>
          <w:rFonts w:ascii="仿宋" w:hAnsi="仿宋" w:eastAsia="仿宋" w:cs="仿宋"/>
          <w:color w:val="000000"/>
          <w:sz w:val="24"/>
        </w:rPr>
        <w:t>4</w:t>
      </w:r>
      <w:r>
        <w:rPr>
          <w:rFonts w:hint="eastAsia" w:ascii="仿宋" w:hAnsi="仿宋" w:eastAsia="仿宋" w:cs="仿宋"/>
          <w:color w:val="000000"/>
          <w:sz w:val="24"/>
        </w:rPr>
        <w:t>.3.2支付：注册成功后登录平台，点击【商机发现】，检索本项目。</w:t>
      </w:r>
    </w:p>
    <w:p w14:paraId="7B09FFBB">
      <w:pPr>
        <w:spacing w:line="360" w:lineRule="auto"/>
        <w:ind w:firstLine="600" w:firstLineChars="250"/>
        <w:textAlignment w:val="baseline"/>
        <w:rPr>
          <w:rFonts w:hint="eastAsia" w:ascii="仿宋" w:hAnsi="仿宋" w:eastAsia="仿宋" w:cs="仿宋"/>
          <w:color w:val="000000"/>
          <w:sz w:val="24"/>
        </w:rPr>
      </w:pPr>
      <w:r>
        <w:rPr>
          <w:rFonts w:ascii="仿宋" w:hAnsi="仿宋" w:eastAsia="仿宋" w:cs="仿宋"/>
          <w:color w:val="000000"/>
          <w:sz w:val="24"/>
        </w:rPr>
        <w:t>4</w:t>
      </w:r>
      <w:r>
        <w:rPr>
          <w:rFonts w:hint="eastAsia" w:ascii="仿宋" w:hAnsi="仿宋" w:eastAsia="仿宋" w:cs="仿宋"/>
          <w:color w:val="000000"/>
          <w:sz w:val="24"/>
        </w:rPr>
        <w:t>.3.3疑问反馈：具体操作若有疑问，可致电客服热线：020-89524219。服务时间08:30-17:30（工作日）。</w:t>
      </w:r>
    </w:p>
    <w:p w14:paraId="49A4A95C">
      <w:pPr>
        <w:spacing w:line="360" w:lineRule="auto"/>
        <w:ind w:firstLine="600" w:firstLineChars="250"/>
        <w:textAlignment w:val="baseline"/>
        <w:rPr>
          <w:rFonts w:hint="eastAsia" w:ascii="仿宋" w:hAnsi="仿宋" w:eastAsia="仿宋" w:cs="仿宋"/>
          <w:color w:val="000000"/>
          <w:sz w:val="24"/>
        </w:rPr>
      </w:pPr>
      <w:r>
        <w:rPr>
          <w:rFonts w:ascii="仿宋" w:hAnsi="仿宋" w:eastAsia="仿宋" w:cs="仿宋"/>
          <w:color w:val="000000"/>
          <w:sz w:val="24"/>
        </w:rPr>
        <w:t>4</w:t>
      </w:r>
      <w:r>
        <w:rPr>
          <w:rFonts w:hint="eastAsia" w:ascii="仿宋" w:hAnsi="仿宋" w:eastAsia="仿宋" w:cs="仿宋"/>
          <w:color w:val="000000"/>
          <w:sz w:val="24"/>
        </w:rPr>
        <w:t>.3.4支付方式（三选一）：①网上支付（微信/支付宝扫码）、②电汇（须上传汇款凭证）、③钱包支付（点击“钱包管理”，充值后即可支付）。</w:t>
      </w:r>
    </w:p>
    <w:p w14:paraId="4D021526">
      <w:pPr>
        <w:spacing w:line="360" w:lineRule="auto"/>
        <w:ind w:firstLine="600" w:firstLineChars="250"/>
        <w:textAlignment w:val="baseline"/>
        <w:rPr>
          <w:rFonts w:hint="eastAsia" w:ascii="仿宋" w:hAnsi="仿宋" w:eastAsia="仿宋" w:cs="仿宋"/>
          <w:color w:val="000000"/>
          <w:sz w:val="24"/>
        </w:rPr>
      </w:pPr>
      <w:r>
        <w:rPr>
          <w:rFonts w:ascii="仿宋" w:hAnsi="仿宋" w:eastAsia="仿宋" w:cs="仿宋"/>
          <w:color w:val="000000"/>
          <w:sz w:val="24"/>
        </w:rPr>
        <w:t>4</w:t>
      </w:r>
      <w:r>
        <w:rPr>
          <w:rFonts w:hint="eastAsia" w:ascii="仿宋" w:hAnsi="仿宋" w:eastAsia="仿宋" w:cs="仿宋"/>
          <w:color w:val="000000"/>
          <w:sz w:val="24"/>
        </w:rPr>
        <w:t>.3.5免责声明：“诚E招电子采购交易平台”（网址：https://www.chengezhao.com/）为本项目购买招标文件的唯一渠道，其他购买支付方式均属无效。</w:t>
      </w:r>
    </w:p>
    <w:p w14:paraId="63F22DC4">
      <w:pPr>
        <w:spacing w:line="360" w:lineRule="auto"/>
        <w:ind w:firstLine="600" w:firstLineChars="250"/>
        <w:textAlignment w:val="baseline"/>
        <w:rPr>
          <w:rFonts w:hint="eastAsia" w:ascii="仿宋" w:hAnsi="仿宋" w:eastAsia="仿宋" w:cs="仿宋"/>
          <w:color w:val="000000"/>
          <w:sz w:val="24"/>
        </w:rPr>
      </w:pPr>
      <w:r>
        <w:rPr>
          <w:rFonts w:ascii="仿宋" w:hAnsi="仿宋" w:eastAsia="仿宋" w:cs="仿宋"/>
          <w:color w:val="000000"/>
          <w:sz w:val="24"/>
        </w:rPr>
        <w:t>4</w:t>
      </w:r>
      <w:r>
        <w:rPr>
          <w:rFonts w:hint="eastAsia" w:ascii="仿宋" w:hAnsi="仿宋" w:eastAsia="仿宋" w:cs="仿宋"/>
          <w:color w:val="000000"/>
          <w:sz w:val="24"/>
        </w:rPr>
        <w:t>.3.6投标人在平台注册时所留的联系人及联系方式将作为唯一联系方式，请务必保证信息真实、准确。</w:t>
      </w:r>
    </w:p>
    <w:p w14:paraId="5CD2A5AC">
      <w:pPr>
        <w:pStyle w:val="4"/>
        <w:ind w:left="368" w:leftChars="175"/>
        <w:jc w:val="left"/>
        <w:rPr>
          <w:rFonts w:hint="eastAsia" w:ascii="仿宋" w:hAnsi="仿宋" w:eastAsia="仿宋" w:cs="仿宋"/>
          <w:color w:val="000000"/>
          <w:sz w:val="24"/>
          <w:szCs w:val="24"/>
        </w:rPr>
      </w:pPr>
      <w:bookmarkStart w:id="18" w:name="_Toc209042538"/>
      <w:r>
        <w:rPr>
          <w:rFonts w:hint="eastAsia" w:ascii="仿宋" w:hAnsi="仿宋" w:eastAsia="仿宋" w:cs="仿宋"/>
          <w:color w:val="000000"/>
          <w:sz w:val="24"/>
          <w:szCs w:val="24"/>
        </w:rPr>
        <w:t>五、磋商响应文件的递交</w:t>
      </w:r>
      <w:bookmarkEnd w:id="18"/>
    </w:p>
    <w:p w14:paraId="182A9FCA">
      <w:pPr>
        <w:spacing w:line="360" w:lineRule="auto"/>
        <w:ind w:firstLine="480" w:firstLineChars="200"/>
        <w:textAlignment w:val="baseline"/>
        <w:rPr>
          <w:rFonts w:hint="eastAsia" w:ascii="仿宋" w:hAnsi="仿宋" w:eastAsia="仿宋" w:cs="Cambria Math"/>
          <w:color w:val="000000"/>
          <w:sz w:val="24"/>
        </w:rPr>
      </w:pPr>
      <w:r>
        <w:rPr>
          <w:rFonts w:ascii="仿宋" w:hAnsi="仿宋" w:eastAsia="仿宋" w:cs="Cambria Math"/>
          <w:color w:val="000000"/>
          <w:sz w:val="24"/>
        </w:rPr>
        <w:t>5</w:t>
      </w:r>
      <w:r>
        <w:rPr>
          <w:rFonts w:hint="eastAsia" w:ascii="仿宋" w:hAnsi="仿宋" w:eastAsia="仿宋" w:cs="Cambria Math"/>
          <w:color w:val="000000"/>
          <w:sz w:val="24"/>
        </w:rPr>
        <w:t>.1磋商响应文件递交截止时间：</w:t>
      </w:r>
      <w:r>
        <w:rPr>
          <w:rFonts w:hint="eastAsia" w:ascii="仿宋" w:hAnsi="仿宋" w:eastAsia="仿宋" w:cs="Cambria Math"/>
          <w:b/>
          <w:color w:val="auto"/>
          <w:sz w:val="24"/>
          <w:highlight w:val="none"/>
          <w:u w:val="single"/>
        </w:rPr>
        <w:t>202</w:t>
      </w:r>
      <w:r>
        <w:rPr>
          <w:rFonts w:hint="eastAsia" w:ascii="仿宋" w:hAnsi="仿宋" w:eastAsia="仿宋" w:cs="Cambria Math"/>
          <w:b/>
          <w:color w:val="auto"/>
          <w:sz w:val="24"/>
          <w:highlight w:val="none"/>
          <w:u w:val="single"/>
          <w:lang w:val="en-US" w:eastAsia="zh-CN"/>
        </w:rPr>
        <w:t>6</w:t>
      </w:r>
      <w:r>
        <w:rPr>
          <w:rFonts w:hint="eastAsia" w:ascii="仿宋" w:hAnsi="仿宋" w:eastAsia="仿宋" w:cs="Cambria Math"/>
          <w:b/>
          <w:color w:val="auto"/>
          <w:sz w:val="24"/>
          <w:highlight w:val="none"/>
          <w:u w:val="single"/>
        </w:rPr>
        <w:t>年</w:t>
      </w:r>
      <w:r>
        <w:rPr>
          <w:rFonts w:hint="eastAsia" w:ascii="仿宋" w:hAnsi="仿宋" w:eastAsia="仿宋" w:cs="Cambria Math"/>
          <w:b/>
          <w:color w:val="auto"/>
          <w:sz w:val="24"/>
          <w:highlight w:val="none"/>
          <w:u w:val="single"/>
          <w:lang w:val="en-US" w:eastAsia="zh-CN"/>
        </w:rPr>
        <w:t>1</w:t>
      </w:r>
      <w:r>
        <w:rPr>
          <w:rFonts w:hint="eastAsia" w:ascii="仿宋" w:hAnsi="仿宋" w:eastAsia="仿宋" w:cs="Cambria Math"/>
          <w:b/>
          <w:color w:val="auto"/>
          <w:sz w:val="24"/>
          <w:highlight w:val="none"/>
          <w:u w:val="single"/>
        </w:rPr>
        <w:t>月</w:t>
      </w:r>
      <w:r>
        <w:rPr>
          <w:rFonts w:hint="eastAsia" w:ascii="仿宋" w:hAnsi="仿宋" w:eastAsia="仿宋" w:cs="Cambria Math"/>
          <w:b/>
          <w:color w:val="auto"/>
          <w:sz w:val="24"/>
          <w:highlight w:val="none"/>
          <w:u w:val="single"/>
          <w:lang w:val="en-US" w:eastAsia="zh-CN"/>
        </w:rPr>
        <w:t>7</w:t>
      </w:r>
      <w:r>
        <w:rPr>
          <w:rFonts w:hint="eastAsia" w:ascii="仿宋" w:hAnsi="仿宋" w:eastAsia="仿宋" w:cs="Cambria Math"/>
          <w:b/>
          <w:color w:val="auto"/>
          <w:sz w:val="24"/>
          <w:highlight w:val="none"/>
          <w:u w:val="single"/>
        </w:rPr>
        <w:t>日</w:t>
      </w:r>
      <w:r>
        <w:rPr>
          <w:rFonts w:hint="eastAsia" w:ascii="仿宋" w:hAnsi="仿宋" w:eastAsia="仿宋" w:cs="Cambria Math"/>
          <w:b/>
          <w:color w:val="auto"/>
          <w:sz w:val="24"/>
          <w:highlight w:val="none"/>
          <w:u w:val="single"/>
          <w:lang w:val="en-US" w:eastAsia="zh-CN"/>
        </w:rPr>
        <w:t>9</w:t>
      </w:r>
      <w:r>
        <w:rPr>
          <w:rFonts w:hint="eastAsia" w:ascii="仿宋" w:hAnsi="仿宋" w:eastAsia="仿宋" w:cs="Cambria Math"/>
          <w:b/>
          <w:color w:val="auto"/>
          <w:sz w:val="24"/>
          <w:highlight w:val="none"/>
          <w:u w:val="single"/>
        </w:rPr>
        <w:t>时</w:t>
      </w:r>
      <w:r>
        <w:rPr>
          <w:rFonts w:hint="eastAsia" w:ascii="仿宋" w:hAnsi="仿宋" w:eastAsia="仿宋" w:cs="Cambria Math"/>
          <w:b/>
          <w:color w:val="auto"/>
          <w:sz w:val="24"/>
          <w:highlight w:val="none"/>
          <w:u w:val="single"/>
          <w:lang w:val="en-US" w:eastAsia="zh-CN"/>
        </w:rPr>
        <w:t>3</w:t>
      </w:r>
      <w:r>
        <w:rPr>
          <w:rFonts w:ascii="仿宋" w:hAnsi="仿宋" w:eastAsia="仿宋" w:cs="Cambria Math"/>
          <w:b/>
          <w:color w:val="auto"/>
          <w:sz w:val="24"/>
          <w:highlight w:val="none"/>
          <w:u w:val="single"/>
        </w:rPr>
        <w:t>0</w:t>
      </w:r>
      <w:r>
        <w:rPr>
          <w:rFonts w:hint="eastAsia" w:ascii="仿宋" w:hAnsi="仿宋" w:eastAsia="仿宋" w:cs="Cambria Math"/>
          <w:b/>
          <w:color w:val="auto"/>
          <w:sz w:val="24"/>
          <w:highlight w:val="none"/>
          <w:u w:val="single"/>
        </w:rPr>
        <w:t>分</w:t>
      </w:r>
      <w:r>
        <w:rPr>
          <w:rFonts w:hint="eastAsia" w:ascii="仿宋" w:hAnsi="仿宋" w:eastAsia="仿宋" w:cs="Cambria Math"/>
          <w:color w:val="000000"/>
          <w:sz w:val="24"/>
        </w:rPr>
        <w:t>。</w:t>
      </w:r>
    </w:p>
    <w:p w14:paraId="3640B5DD">
      <w:pPr>
        <w:spacing w:line="360" w:lineRule="auto"/>
        <w:ind w:firstLine="480" w:firstLineChars="200"/>
        <w:textAlignment w:val="baseline"/>
        <w:rPr>
          <w:rFonts w:hint="eastAsia" w:ascii="仿宋" w:hAnsi="仿宋" w:eastAsia="仿宋" w:cs="Cambria Math"/>
          <w:b/>
          <w:color w:val="0000FF"/>
          <w:sz w:val="24"/>
          <w:u w:val="single"/>
        </w:rPr>
      </w:pPr>
      <w:r>
        <w:rPr>
          <w:rFonts w:hint="eastAsia" w:ascii="仿宋" w:hAnsi="仿宋" w:eastAsia="仿宋" w:cs="Cambria Math"/>
          <w:color w:val="000000"/>
          <w:sz w:val="24"/>
        </w:rPr>
        <w:t>5.2磋商响应文件递交地点：</w:t>
      </w:r>
      <w:r>
        <w:rPr>
          <w:rFonts w:hint="eastAsia" w:ascii="仿宋" w:hAnsi="仿宋" w:eastAsia="仿宋" w:cs="Cambria Math"/>
          <w:b/>
          <w:color w:val="auto"/>
          <w:sz w:val="24"/>
          <w:u w:val="single"/>
        </w:rPr>
        <w:t>辽宁省沈阳市皇姑区崇山东路11号沈阳利星行广场901室</w:t>
      </w:r>
      <w:r>
        <w:rPr>
          <w:rFonts w:hint="eastAsia" w:ascii="仿宋" w:hAnsi="仿宋" w:eastAsia="仿宋" w:cs="Cambria Math"/>
          <w:b/>
          <w:color w:val="auto"/>
          <w:sz w:val="24"/>
          <w:u w:val="single"/>
          <w:lang w:val="en-US" w:eastAsia="zh-CN"/>
        </w:rPr>
        <w:t>会议室B</w:t>
      </w:r>
      <w:r>
        <w:rPr>
          <w:rFonts w:hint="eastAsia" w:ascii="仿宋" w:hAnsi="仿宋" w:eastAsia="仿宋" w:cs="Cambria Math"/>
          <w:b/>
          <w:color w:val="auto"/>
          <w:sz w:val="24"/>
          <w:u w:val="single"/>
        </w:rPr>
        <w:t>。</w:t>
      </w:r>
    </w:p>
    <w:p w14:paraId="6B8DC2F0">
      <w:pPr>
        <w:spacing w:line="360" w:lineRule="auto"/>
        <w:ind w:firstLine="480" w:firstLineChars="200"/>
        <w:textAlignment w:val="baseline"/>
        <w:rPr>
          <w:rFonts w:hint="eastAsia" w:ascii="仿宋" w:hAnsi="仿宋" w:eastAsia="仿宋" w:cs="Cambria Math"/>
          <w:color w:val="000000"/>
          <w:sz w:val="24"/>
        </w:rPr>
      </w:pPr>
      <w:r>
        <w:rPr>
          <w:rFonts w:ascii="仿宋" w:hAnsi="仿宋" w:eastAsia="仿宋" w:cs="Cambria Math"/>
          <w:color w:val="000000"/>
          <w:sz w:val="24"/>
        </w:rPr>
        <w:t>5</w:t>
      </w:r>
      <w:r>
        <w:rPr>
          <w:rFonts w:hint="eastAsia" w:ascii="仿宋" w:hAnsi="仿宋" w:eastAsia="仿宋" w:cs="Cambria Math"/>
          <w:color w:val="000000"/>
          <w:sz w:val="24"/>
        </w:rPr>
        <w:t>.3出现以下情形之一时，磋商响应文件将不予接收：</w:t>
      </w:r>
    </w:p>
    <w:p w14:paraId="387C615B">
      <w:pPr>
        <w:spacing w:line="360" w:lineRule="auto"/>
        <w:ind w:firstLine="480" w:firstLineChars="200"/>
        <w:textAlignment w:val="baseline"/>
        <w:rPr>
          <w:rFonts w:hint="eastAsia" w:ascii="仿宋" w:hAnsi="仿宋" w:eastAsia="仿宋" w:cs="Cambria Math"/>
          <w:color w:val="000000"/>
          <w:sz w:val="24"/>
        </w:rPr>
      </w:pPr>
      <w:r>
        <w:rPr>
          <w:rFonts w:ascii="仿宋" w:hAnsi="仿宋" w:eastAsia="仿宋" w:cs="Cambria Math"/>
          <w:color w:val="000000"/>
          <w:sz w:val="24"/>
        </w:rPr>
        <w:t>5</w:t>
      </w:r>
      <w:r>
        <w:rPr>
          <w:rFonts w:hint="eastAsia" w:ascii="仿宋" w:hAnsi="仿宋" w:eastAsia="仿宋" w:cs="Cambria Math"/>
          <w:color w:val="000000"/>
          <w:sz w:val="24"/>
        </w:rPr>
        <w:t>.3.1逾期送达或者未送达指定地点的；</w:t>
      </w:r>
    </w:p>
    <w:p w14:paraId="16AFB6C1">
      <w:pPr>
        <w:spacing w:line="360" w:lineRule="auto"/>
        <w:ind w:firstLine="480" w:firstLineChars="200"/>
        <w:textAlignment w:val="baseline"/>
        <w:rPr>
          <w:rFonts w:hint="eastAsia" w:ascii="仿宋" w:hAnsi="仿宋" w:eastAsia="仿宋" w:cs="Cambria Math"/>
          <w:color w:val="000000"/>
          <w:sz w:val="24"/>
        </w:rPr>
      </w:pPr>
      <w:r>
        <w:rPr>
          <w:rFonts w:ascii="仿宋" w:hAnsi="仿宋" w:eastAsia="仿宋" w:cs="Cambria Math"/>
          <w:color w:val="000000"/>
          <w:sz w:val="24"/>
        </w:rPr>
        <w:t>5</w:t>
      </w:r>
      <w:r>
        <w:rPr>
          <w:rFonts w:hint="eastAsia" w:ascii="仿宋" w:hAnsi="仿宋" w:eastAsia="仿宋" w:cs="Cambria Math"/>
          <w:color w:val="000000"/>
          <w:sz w:val="24"/>
        </w:rPr>
        <w:t>.3.2未按照竞争性磋商文件要求密封的；</w:t>
      </w:r>
    </w:p>
    <w:p w14:paraId="6E02C3A8">
      <w:pPr>
        <w:spacing w:line="360" w:lineRule="auto"/>
        <w:ind w:firstLine="480" w:firstLineChars="200"/>
        <w:textAlignment w:val="baseline"/>
        <w:rPr>
          <w:rFonts w:hint="eastAsia" w:ascii="仿宋" w:hAnsi="仿宋" w:eastAsia="仿宋" w:cs="Cambria Math"/>
          <w:color w:val="000000"/>
          <w:sz w:val="24"/>
        </w:rPr>
      </w:pPr>
      <w:r>
        <w:rPr>
          <w:rFonts w:ascii="仿宋" w:hAnsi="仿宋" w:eastAsia="仿宋" w:cs="Cambria Math"/>
          <w:color w:val="000000"/>
          <w:sz w:val="24"/>
        </w:rPr>
        <w:t>5</w:t>
      </w:r>
      <w:r>
        <w:rPr>
          <w:rFonts w:hint="eastAsia" w:ascii="仿宋" w:hAnsi="仿宋" w:eastAsia="仿宋" w:cs="Cambria Math"/>
          <w:color w:val="000000"/>
          <w:sz w:val="24"/>
        </w:rPr>
        <w:t>.3.3未按照竞争性磋商公告要求获取竞争性磋商文件的。</w:t>
      </w:r>
    </w:p>
    <w:p w14:paraId="7B18F10C">
      <w:pPr>
        <w:pStyle w:val="4"/>
        <w:ind w:left="368" w:leftChars="175"/>
        <w:jc w:val="left"/>
        <w:rPr>
          <w:rFonts w:hint="eastAsia" w:ascii="仿宋" w:hAnsi="仿宋" w:eastAsia="仿宋" w:cs="仿宋"/>
          <w:color w:val="000000"/>
          <w:sz w:val="24"/>
          <w:szCs w:val="24"/>
        </w:rPr>
      </w:pPr>
      <w:bookmarkStart w:id="19" w:name="_Toc209042539"/>
      <w:r>
        <w:rPr>
          <w:rFonts w:hint="eastAsia" w:ascii="仿宋" w:hAnsi="仿宋" w:eastAsia="仿宋" w:cs="仿宋"/>
          <w:color w:val="000000"/>
          <w:sz w:val="24"/>
          <w:szCs w:val="24"/>
        </w:rPr>
        <w:t>六、发布公告的媒介</w:t>
      </w:r>
      <w:bookmarkEnd w:id="19"/>
    </w:p>
    <w:p w14:paraId="06E464A8">
      <w:pPr>
        <w:spacing w:line="360" w:lineRule="auto"/>
        <w:ind w:firstLine="480" w:firstLineChars="200"/>
        <w:textAlignment w:val="baseline"/>
        <w:rPr>
          <w:rFonts w:hint="eastAsia" w:ascii="仿宋" w:hAnsi="仿宋" w:eastAsia="仿宋" w:cs="仿宋"/>
          <w:color w:val="000000"/>
          <w:sz w:val="24"/>
        </w:rPr>
      </w:pPr>
      <w:r>
        <w:rPr>
          <w:rFonts w:hint="eastAsia" w:ascii="仿宋" w:hAnsi="仿宋" w:eastAsia="仿宋" w:cs="仿宋"/>
          <w:color w:val="000000"/>
          <w:sz w:val="24"/>
        </w:rPr>
        <w:t>本项目磋商公告同时在中国招标投标公共服务平台（www.cebpubservice.com）、中国采购与招标网（www.chinabidding.com.cn）、金采网（www.cfcpn.com）</w:t>
      </w:r>
      <w:r>
        <w:rPr>
          <w:rFonts w:hint="eastAsia" w:ascii="仿宋" w:hAnsi="仿宋" w:eastAsia="仿宋" w:cs="仿宋"/>
          <w:sz w:val="32"/>
          <w:szCs w:val="32"/>
        </w:rPr>
        <w:t>、</w:t>
      </w:r>
      <w:r>
        <w:rPr>
          <w:rFonts w:hint="eastAsia" w:ascii="仿宋" w:hAnsi="仿宋" w:eastAsia="仿宋" w:cs="仿宋"/>
          <w:color w:val="000000"/>
          <w:sz w:val="24"/>
        </w:rPr>
        <w:t>人保e采外网门户（https://ec.picc.com/）上发布，其他媒介转载无效。对于非法转载、篡改采购公告信息的组织或个人，采购人/采购代理机构保留追究其法律责任的权利。</w:t>
      </w:r>
    </w:p>
    <w:p w14:paraId="02F627EC">
      <w:pPr>
        <w:pStyle w:val="4"/>
        <w:ind w:left="368" w:leftChars="175"/>
        <w:jc w:val="left"/>
        <w:rPr>
          <w:rFonts w:hint="eastAsia" w:ascii="仿宋" w:hAnsi="仿宋" w:eastAsia="仿宋" w:cs="仿宋"/>
          <w:color w:val="000000"/>
          <w:sz w:val="24"/>
          <w:szCs w:val="24"/>
        </w:rPr>
      </w:pPr>
      <w:bookmarkStart w:id="20" w:name="_Toc209042540"/>
      <w:r>
        <w:rPr>
          <w:rFonts w:hint="eastAsia" w:ascii="仿宋" w:hAnsi="仿宋" w:eastAsia="仿宋" w:cs="仿宋"/>
          <w:color w:val="000000"/>
          <w:sz w:val="24"/>
          <w:szCs w:val="24"/>
        </w:rPr>
        <w:t>七、联系方式</w:t>
      </w:r>
      <w:bookmarkEnd w:id="20"/>
    </w:p>
    <w:p w14:paraId="386646A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2" w:firstLineChars="200"/>
        <w:textAlignment w:val="baseline"/>
        <w:rPr>
          <w:rFonts w:hint="eastAsia" w:ascii="仿宋" w:hAnsi="仿宋" w:eastAsia="仿宋" w:cs="仿宋"/>
          <w:b/>
          <w:color w:val="000000"/>
          <w:sz w:val="24"/>
        </w:rPr>
      </w:pPr>
      <w:r>
        <w:rPr>
          <w:rFonts w:hint="eastAsia" w:ascii="仿宋" w:hAnsi="仿宋" w:eastAsia="仿宋" w:cs="仿宋"/>
          <w:b/>
          <w:color w:val="000000"/>
          <w:sz w:val="24"/>
        </w:rPr>
        <w:t>采购人：</w:t>
      </w:r>
      <w:r>
        <w:rPr>
          <w:rFonts w:hint="eastAsia" w:ascii="仿宋" w:hAnsi="仿宋" w:eastAsia="仿宋" w:cs="仿宋"/>
          <w:b/>
          <w:bCs/>
          <w:color w:val="000000"/>
          <w:sz w:val="24"/>
        </w:rPr>
        <w:t>人保投控（北京）运营管理有限公司辽宁分公司</w:t>
      </w:r>
    </w:p>
    <w:p w14:paraId="46B0435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baseline"/>
        <w:rPr>
          <w:rFonts w:hint="eastAsia" w:ascii="仿宋" w:hAnsi="仿宋" w:eastAsia="仿宋" w:cs="仿宋"/>
          <w:color w:val="000000"/>
          <w:sz w:val="24"/>
        </w:rPr>
      </w:pPr>
      <w:r>
        <w:rPr>
          <w:rFonts w:hint="eastAsia" w:ascii="仿宋" w:hAnsi="仿宋" w:eastAsia="仿宋" w:cs="仿宋"/>
          <w:color w:val="000000"/>
          <w:sz w:val="24"/>
        </w:rPr>
        <w:t>地址：辽宁省沈阳市皇姑区岐山中路20号</w:t>
      </w:r>
    </w:p>
    <w:p w14:paraId="7313471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2" w:firstLineChars="200"/>
        <w:textAlignment w:val="baseline"/>
        <w:rPr>
          <w:rFonts w:hint="eastAsia" w:ascii="仿宋" w:hAnsi="仿宋" w:eastAsia="仿宋" w:cs="仿宋"/>
          <w:b/>
          <w:color w:val="000000"/>
          <w:sz w:val="24"/>
        </w:rPr>
      </w:pPr>
      <w:bookmarkStart w:id="21" w:name="OLE_LINK6"/>
      <w:r>
        <w:rPr>
          <w:rFonts w:hint="eastAsia" w:ascii="仿宋" w:hAnsi="仿宋" w:eastAsia="仿宋" w:cs="仿宋"/>
          <w:b/>
          <w:color w:val="000000"/>
          <w:sz w:val="24"/>
        </w:rPr>
        <w:t>招标代理机构：公诚管理咨询有限公司</w:t>
      </w:r>
    </w:p>
    <w:p w14:paraId="459A9D2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baseline"/>
        <w:rPr>
          <w:rFonts w:hint="eastAsia" w:ascii="仿宋" w:hAnsi="仿宋" w:eastAsia="仿宋" w:cs="仿宋"/>
          <w:color w:val="000000"/>
          <w:sz w:val="24"/>
        </w:rPr>
      </w:pPr>
      <w:r>
        <w:rPr>
          <w:rFonts w:hint="eastAsia" w:ascii="仿宋" w:hAnsi="仿宋" w:eastAsia="仿宋" w:cs="仿宋"/>
          <w:color w:val="000000"/>
          <w:sz w:val="24"/>
        </w:rPr>
        <w:t>地址：辽宁省沈阳市皇姑区崇山东路11号沈阳利星行广场901室</w:t>
      </w:r>
    </w:p>
    <w:p w14:paraId="578B1DA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left"/>
        <w:rPr>
          <w:rFonts w:hint="eastAsia" w:ascii="仿宋" w:hAnsi="仿宋" w:eastAsia="仿宋" w:cs="宋体"/>
          <w:bCs/>
          <w:sz w:val="24"/>
        </w:rPr>
      </w:pPr>
      <w:r>
        <w:rPr>
          <w:rFonts w:hint="eastAsia" w:ascii="仿宋" w:hAnsi="仿宋" w:eastAsia="仿宋" w:cs="宋体"/>
          <w:bCs/>
          <w:sz w:val="24"/>
        </w:rPr>
        <w:t>高级工程师、招标师：单浩、葛东兴、盛菲、李涛</w:t>
      </w:r>
    </w:p>
    <w:p w14:paraId="59D077E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left"/>
        <w:rPr>
          <w:rFonts w:hint="eastAsia" w:ascii="仿宋" w:hAnsi="仿宋" w:eastAsia="仿宋" w:cs="宋体"/>
          <w:bCs/>
          <w:sz w:val="24"/>
        </w:rPr>
      </w:pPr>
      <w:r>
        <w:rPr>
          <w:rFonts w:hint="eastAsia" w:ascii="仿宋" w:hAnsi="仿宋" w:eastAsia="仿宋" w:cs="宋体"/>
          <w:bCs/>
          <w:sz w:val="24"/>
        </w:rPr>
        <w:t>联系人：</w:t>
      </w:r>
      <w:r>
        <w:rPr>
          <w:rFonts w:hint="eastAsia" w:ascii="仿宋" w:hAnsi="仿宋" w:eastAsia="仿宋" w:cs="宋体"/>
          <w:bCs/>
          <w:sz w:val="24"/>
          <w:lang w:val="en-US" w:eastAsia="zh-CN"/>
        </w:rPr>
        <w:t>李莹莹</w:t>
      </w:r>
      <w:r>
        <w:rPr>
          <w:rFonts w:hint="eastAsia" w:ascii="仿宋" w:hAnsi="仿宋" w:eastAsia="仿宋" w:cs="宋体"/>
          <w:bCs/>
          <w:sz w:val="24"/>
        </w:rPr>
        <w:t>、尉堃宇</w:t>
      </w:r>
    </w:p>
    <w:p w14:paraId="4794598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left"/>
        <w:rPr>
          <w:rFonts w:hint="default" w:ascii="仿宋" w:hAnsi="仿宋" w:eastAsia="仿宋" w:cs="宋体"/>
          <w:bCs/>
          <w:sz w:val="24"/>
          <w:lang w:val="en-US" w:eastAsia="zh-CN"/>
        </w:rPr>
      </w:pPr>
      <w:r>
        <w:rPr>
          <w:rFonts w:hint="eastAsia" w:ascii="仿宋" w:hAnsi="仿宋" w:eastAsia="仿宋" w:cs="宋体"/>
          <w:bCs/>
          <w:sz w:val="24"/>
        </w:rPr>
        <w:t>电话：</w:t>
      </w:r>
      <w:r>
        <w:rPr>
          <w:rFonts w:hint="eastAsia" w:ascii="仿宋" w:hAnsi="仿宋" w:eastAsia="仿宋" w:cs="宋体"/>
          <w:bCs/>
          <w:sz w:val="24"/>
          <w:lang w:val="en-US" w:eastAsia="zh-CN"/>
        </w:rPr>
        <w:t>15840290099</w:t>
      </w:r>
    </w:p>
    <w:p w14:paraId="6AD8D22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baseline"/>
        <w:rPr>
          <w:rFonts w:hint="eastAsia" w:ascii="仿宋" w:hAnsi="仿宋" w:eastAsia="仿宋" w:cs="宋体"/>
          <w:bCs/>
          <w:sz w:val="24"/>
        </w:rPr>
      </w:pPr>
      <w:r>
        <w:rPr>
          <w:rFonts w:hint="eastAsia" w:ascii="仿宋" w:hAnsi="仿宋" w:eastAsia="仿宋" w:cs="宋体"/>
          <w:bCs/>
          <w:sz w:val="24"/>
        </w:rPr>
        <w:t>电子邮件：</w:t>
      </w:r>
      <w:r>
        <w:rPr>
          <w:rFonts w:hint="eastAsia" w:ascii="仿宋" w:hAnsi="仿宋" w:eastAsia="仿宋" w:cs="宋体"/>
          <w:bCs/>
          <w:sz w:val="24"/>
          <w:lang w:val="en-US" w:eastAsia="zh-CN"/>
        </w:rPr>
        <w:t>3465414885@qq.com</w:t>
      </w:r>
    </w:p>
    <w:p w14:paraId="037F167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baseline"/>
        <w:rPr>
          <w:rFonts w:hint="eastAsia" w:ascii="仿宋" w:hAnsi="仿宋" w:eastAsia="仿宋" w:cs="仿宋"/>
          <w:color w:val="000000"/>
          <w:sz w:val="24"/>
        </w:rPr>
      </w:pPr>
      <w:r>
        <w:rPr>
          <w:rFonts w:hint="eastAsia" w:ascii="仿宋" w:hAnsi="仿宋" w:eastAsia="仿宋" w:cs="仿宋"/>
          <w:color w:val="000000"/>
          <w:sz w:val="24"/>
        </w:rPr>
        <w:t>开户银行：中信银行广州花园支行</w:t>
      </w:r>
    </w:p>
    <w:p w14:paraId="3D8CB65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baseline"/>
        <w:rPr>
          <w:rFonts w:hint="eastAsia" w:ascii="仿宋" w:hAnsi="仿宋" w:eastAsia="仿宋" w:cs="仿宋"/>
          <w:bCs/>
          <w:color w:val="000000"/>
          <w:sz w:val="24"/>
        </w:rPr>
      </w:pPr>
      <w:r>
        <w:rPr>
          <w:rFonts w:hint="eastAsia" w:ascii="仿宋" w:hAnsi="仿宋" w:eastAsia="仿宋" w:cs="仿宋"/>
          <w:color w:val="000000"/>
          <w:sz w:val="24"/>
        </w:rPr>
        <w:t>账号：3110910037672524730（注：此账号为该项目独立账号，请各供应商注意避免汇款错误，进而影响项目投标。）</w:t>
      </w:r>
    </w:p>
    <w:bookmarkEnd w:id="21"/>
    <w:p w14:paraId="5A3BA714">
      <w:pPr>
        <w:spacing w:line="360" w:lineRule="auto"/>
        <w:ind w:firstLine="540"/>
        <w:jc w:val="right"/>
        <w:rPr>
          <w:rFonts w:hint="eastAsia" w:ascii="仿宋" w:hAnsi="仿宋" w:eastAsia="仿宋" w:cs="仿宋"/>
          <w:b/>
          <w:bCs/>
          <w:color w:val="000000"/>
          <w:sz w:val="24"/>
        </w:rPr>
      </w:pPr>
    </w:p>
    <w:p w14:paraId="3D85A00E">
      <w:pPr>
        <w:spacing w:line="360" w:lineRule="auto"/>
        <w:ind w:firstLine="480" w:firstLineChars="200"/>
        <w:jc w:val="right"/>
        <w:textAlignment w:val="baseline"/>
        <w:rPr>
          <w:rFonts w:hint="eastAsia" w:ascii="仿宋" w:hAnsi="仿宋" w:eastAsia="仿宋" w:cs="Cambria Math"/>
          <w:color w:val="000000"/>
          <w:sz w:val="24"/>
        </w:rPr>
      </w:pPr>
      <w:r>
        <w:rPr>
          <w:rFonts w:hint="eastAsia" w:ascii="仿宋" w:hAnsi="仿宋" w:eastAsia="仿宋" w:cs="Cambria Math"/>
          <w:color w:val="000000"/>
          <w:sz w:val="24"/>
        </w:rPr>
        <w:t>采购人：人保投控（北京）运营管理有限公司辽宁分公司</w:t>
      </w:r>
    </w:p>
    <w:p w14:paraId="4A5A013E">
      <w:pPr>
        <w:spacing w:line="360" w:lineRule="auto"/>
        <w:jc w:val="right"/>
        <w:rPr>
          <w:rFonts w:hint="eastAsia" w:ascii="仿宋" w:hAnsi="仿宋" w:eastAsia="仿宋" w:cs="仿宋"/>
          <w:color w:val="000000"/>
          <w:sz w:val="24"/>
        </w:rPr>
      </w:pPr>
      <w:r>
        <w:rPr>
          <w:rFonts w:hint="eastAsia" w:ascii="仿宋" w:hAnsi="仿宋" w:eastAsia="仿宋" w:cs="仿宋"/>
          <w:color w:val="000000"/>
          <w:sz w:val="24"/>
        </w:rPr>
        <w:t>采购代理机构：公诚管理咨询有限公司</w:t>
      </w:r>
    </w:p>
    <w:p w14:paraId="3A60ECD1">
      <w:pPr>
        <w:jc w:val="right"/>
      </w:pPr>
      <w:r>
        <w:rPr>
          <w:rFonts w:hint="eastAsia" w:ascii="仿宋" w:hAnsi="仿宋" w:eastAsia="仿宋" w:cs="仿宋"/>
          <w:color w:val="000000"/>
          <w:sz w:val="24"/>
        </w:rPr>
        <w:t>2025年</w:t>
      </w:r>
      <w:r>
        <w:rPr>
          <w:rFonts w:hint="eastAsia" w:ascii="仿宋" w:hAnsi="仿宋" w:eastAsia="仿宋" w:cs="仿宋"/>
          <w:color w:val="000000"/>
          <w:sz w:val="24"/>
          <w:lang w:val="en-US" w:eastAsia="zh-CN"/>
        </w:rPr>
        <w:t>12</w:t>
      </w:r>
      <w:r>
        <w:rPr>
          <w:rFonts w:hint="eastAsia" w:ascii="仿宋" w:hAnsi="仿宋" w:eastAsia="仿宋" w:cs="仿宋"/>
          <w:color w:val="000000"/>
          <w:sz w:val="24"/>
        </w:rPr>
        <w:t>月</w:t>
      </w:r>
      <w:r>
        <w:rPr>
          <w:rFonts w:hint="eastAsia" w:ascii="仿宋" w:hAnsi="仿宋" w:eastAsia="仿宋" w:cs="仿宋"/>
          <w:color w:val="000000"/>
          <w:sz w:val="24"/>
          <w:lang w:val="en-US" w:eastAsia="zh-CN"/>
        </w:rPr>
        <w:t>23</w:t>
      </w:r>
      <w:r>
        <w:rPr>
          <w:rFonts w:hint="eastAsia" w:ascii="仿宋" w:hAnsi="仿宋" w:eastAsia="仿宋" w:cs="仿宋"/>
          <w:color w:val="000000"/>
          <w:sz w:val="24"/>
        </w:rPr>
        <w:t>日</w:t>
      </w:r>
      <w:bookmarkEnd w:id="8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0"/>
    <w:family w:val="swiss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mbria Math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00CA"/>
    <w:rsid w:val="001118E3"/>
    <w:rsid w:val="00114F98"/>
    <w:rsid w:val="00235741"/>
    <w:rsid w:val="0025128C"/>
    <w:rsid w:val="004167D5"/>
    <w:rsid w:val="00501B47"/>
    <w:rsid w:val="006900CA"/>
    <w:rsid w:val="008C4AA0"/>
    <w:rsid w:val="009175AF"/>
    <w:rsid w:val="009B0910"/>
    <w:rsid w:val="00AF7D50"/>
    <w:rsid w:val="00BB5A72"/>
    <w:rsid w:val="00D72F45"/>
    <w:rsid w:val="00E90551"/>
    <w:rsid w:val="00EA488D"/>
    <w:rsid w:val="0D305579"/>
    <w:rsid w:val="0EA36836"/>
    <w:rsid w:val="0EE505E5"/>
    <w:rsid w:val="24351FC6"/>
    <w:rsid w:val="2E435C95"/>
    <w:rsid w:val="373C0B61"/>
    <w:rsid w:val="3EC82FB3"/>
    <w:rsid w:val="42C6780A"/>
    <w:rsid w:val="4D38611F"/>
    <w:rsid w:val="62132500"/>
    <w:rsid w:val="6BC060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nhideWhenUsed="0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nhideWhenUsed="0" w:uiPriority="0" w:semiHidden="0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qFormat="1" w:unhideWhenUsed="0" w:uiPriority="29" w:semiHidden="0" w:name="Quote"/>
    <w:lsdException w:qFormat="1" w:unhideWhenUsed="0" w:uiPriority="30" w:semiHidden="0" w:name="Intense Quote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3">
    <w:name w:val="heading 1"/>
    <w:basedOn w:val="1"/>
    <w:next w:val="1"/>
    <w:link w:val="21"/>
    <w:qFormat/>
    <w:uiPriority w:val="0"/>
    <w:pPr>
      <w:keepNext/>
      <w:keepLines/>
      <w:spacing w:before="480" w:after="80"/>
      <w:outlineLvl w:val="0"/>
    </w:pPr>
    <w:rPr>
      <w:rFonts w:asciiTheme="majorHAnsi" w:hAnsiTheme="majorHAnsi" w:eastAsiaTheme="majorEastAsia" w:cstheme="majorBidi"/>
      <w:color w:val="104862" w:themeColor="accent1" w:themeShade="BF"/>
      <w:sz w:val="48"/>
      <w:szCs w:val="48"/>
    </w:rPr>
  </w:style>
  <w:style w:type="paragraph" w:styleId="4">
    <w:name w:val="heading 2"/>
    <w:basedOn w:val="1"/>
    <w:next w:val="1"/>
    <w:link w:val="22"/>
    <w:unhideWhenUsed/>
    <w:qFormat/>
    <w:uiPriority w:val="0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104862" w:themeColor="accent1" w:themeShade="BF"/>
      <w:sz w:val="40"/>
      <w:szCs w:val="40"/>
    </w:rPr>
  </w:style>
  <w:style w:type="paragraph" w:styleId="5">
    <w:name w:val="heading 3"/>
    <w:basedOn w:val="1"/>
    <w:next w:val="1"/>
    <w:link w:val="23"/>
    <w:semiHidden/>
    <w:unhideWhenUsed/>
    <w:qFormat/>
    <w:uiPriority w:val="9"/>
    <w:pPr>
      <w:keepNext/>
      <w:keepLines/>
      <w:spacing w:before="160" w:after="80"/>
      <w:outlineLvl w:val="2"/>
    </w:pPr>
    <w:rPr>
      <w:rFonts w:asciiTheme="majorHAnsi" w:hAnsiTheme="majorHAnsi" w:eastAsiaTheme="majorEastAsia" w:cstheme="majorBidi"/>
      <w:color w:val="104862" w:themeColor="accent1" w:themeShade="BF"/>
      <w:sz w:val="32"/>
      <w:szCs w:val="32"/>
    </w:rPr>
  </w:style>
  <w:style w:type="paragraph" w:styleId="6">
    <w:name w:val="heading 4"/>
    <w:basedOn w:val="1"/>
    <w:next w:val="1"/>
    <w:link w:val="24"/>
    <w:semiHidden/>
    <w:unhideWhenUsed/>
    <w:qFormat/>
    <w:uiPriority w:val="9"/>
    <w:pPr>
      <w:keepNext/>
      <w:keepLines/>
      <w:spacing w:before="80" w:after="40"/>
      <w:outlineLvl w:val="3"/>
    </w:pPr>
    <w:rPr>
      <w:rFonts w:asciiTheme="minorHAnsi" w:hAnsiTheme="minorHAnsi" w:eastAsiaTheme="minorEastAsia" w:cstheme="majorBidi"/>
      <w:color w:val="104862" w:themeColor="accent1" w:themeShade="BF"/>
      <w:sz w:val="28"/>
      <w:szCs w:val="28"/>
    </w:rPr>
  </w:style>
  <w:style w:type="paragraph" w:styleId="7">
    <w:name w:val="heading 5"/>
    <w:basedOn w:val="1"/>
    <w:next w:val="1"/>
    <w:link w:val="25"/>
    <w:semiHidden/>
    <w:unhideWhenUsed/>
    <w:qFormat/>
    <w:uiPriority w:val="9"/>
    <w:pPr>
      <w:keepNext/>
      <w:keepLines/>
      <w:spacing w:before="80" w:after="40"/>
      <w:outlineLvl w:val="4"/>
    </w:pPr>
    <w:rPr>
      <w:rFonts w:asciiTheme="minorHAnsi" w:hAnsiTheme="minorHAnsi" w:eastAsiaTheme="minorEastAsia" w:cstheme="majorBidi"/>
      <w:color w:val="104862" w:themeColor="accent1" w:themeShade="BF"/>
      <w:sz w:val="24"/>
    </w:rPr>
  </w:style>
  <w:style w:type="paragraph" w:styleId="8">
    <w:name w:val="heading 6"/>
    <w:basedOn w:val="1"/>
    <w:next w:val="1"/>
    <w:link w:val="26"/>
    <w:semiHidden/>
    <w:unhideWhenUsed/>
    <w:qFormat/>
    <w:uiPriority w:val="9"/>
    <w:pPr>
      <w:keepNext/>
      <w:keepLines/>
      <w:spacing w:before="40"/>
      <w:outlineLvl w:val="5"/>
    </w:pPr>
    <w:rPr>
      <w:rFonts w:asciiTheme="minorHAnsi" w:hAnsiTheme="minorHAnsi" w:eastAsiaTheme="minorEastAsia" w:cstheme="majorBidi"/>
      <w:b/>
      <w:bCs/>
      <w:color w:val="104862" w:themeColor="accent1" w:themeShade="BF"/>
      <w:szCs w:val="22"/>
    </w:rPr>
  </w:style>
  <w:style w:type="paragraph" w:styleId="9">
    <w:name w:val="heading 7"/>
    <w:basedOn w:val="1"/>
    <w:next w:val="1"/>
    <w:link w:val="27"/>
    <w:semiHidden/>
    <w:unhideWhenUsed/>
    <w:qFormat/>
    <w:uiPriority w:val="9"/>
    <w:pPr>
      <w:keepNext/>
      <w:keepLines/>
      <w:spacing w:before="40"/>
      <w:outlineLvl w:val="6"/>
    </w:pPr>
    <w:rPr>
      <w:rFonts w:asciiTheme="minorHAnsi" w:hAnsiTheme="minorHAnsi" w:eastAsiaTheme="minorEastAsia" w:cstheme="majorBidi"/>
      <w:b/>
      <w:bCs/>
      <w:color w:val="595959" w:themeColor="text1" w:themeTint="A6"/>
      <w:szCs w:val="22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10">
    <w:name w:val="heading 8"/>
    <w:basedOn w:val="1"/>
    <w:next w:val="1"/>
    <w:link w:val="28"/>
    <w:semiHidden/>
    <w:unhideWhenUsed/>
    <w:qFormat/>
    <w:uiPriority w:val="9"/>
    <w:pPr>
      <w:keepNext/>
      <w:keepLines/>
      <w:outlineLvl w:val="7"/>
    </w:pPr>
    <w:rPr>
      <w:rFonts w:asciiTheme="minorHAnsi" w:hAnsiTheme="minorHAnsi" w:eastAsiaTheme="minorEastAsia" w:cstheme="majorBidi"/>
      <w:color w:val="595959" w:themeColor="text1" w:themeTint="A6"/>
      <w:szCs w:val="22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11">
    <w:name w:val="heading 9"/>
    <w:basedOn w:val="1"/>
    <w:next w:val="1"/>
    <w:link w:val="29"/>
    <w:semiHidden/>
    <w:unhideWhenUsed/>
    <w:qFormat/>
    <w:uiPriority w:val="9"/>
    <w:pPr>
      <w:keepNext/>
      <w:keepLines/>
      <w:outlineLvl w:val="8"/>
    </w:pPr>
    <w:rPr>
      <w:rFonts w:asciiTheme="minorHAnsi" w:hAnsiTheme="minorHAnsi" w:eastAsiaTheme="majorEastAsia" w:cstheme="majorBidi"/>
      <w:color w:val="595959" w:themeColor="text1" w:themeTint="A6"/>
      <w:szCs w:val="22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default="1" w:styleId="18">
    <w:name w:val="Default Paragraph Font"/>
    <w:semiHidden/>
    <w:unhideWhenUsed/>
    <w:uiPriority w:val="1"/>
  </w:style>
  <w:style w:type="table" w:default="1" w:styleId="1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Plain Text"/>
    <w:basedOn w:val="1"/>
    <w:qFormat/>
    <w:uiPriority w:val="0"/>
    <w:rPr>
      <w:rFonts w:ascii="宋体" w:hAnsi="Courier New"/>
      <w:szCs w:val="20"/>
    </w:rPr>
  </w:style>
  <w:style w:type="paragraph" w:styleId="12">
    <w:name w:val="footer"/>
    <w:basedOn w:val="1"/>
    <w:link w:val="39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rFonts w:asciiTheme="minorHAnsi" w:hAnsiTheme="minorHAnsi" w:eastAsiaTheme="minorEastAsia" w:cstheme="minorBidi"/>
      <w:sz w:val="18"/>
      <w:szCs w:val="18"/>
    </w:rPr>
  </w:style>
  <w:style w:type="paragraph" w:styleId="13">
    <w:name w:val="header"/>
    <w:basedOn w:val="1"/>
    <w:link w:val="38"/>
    <w:unhideWhenUsed/>
    <w:qFormat/>
    <w:uiPriority w:val="99"/>
    <w:pPr>
      <w:tabs>
        <w:tab w:val="center" w:pos="4153"/>
        <w:tab w:val="right" w:pos="8306"/>
      </w:tabs>
      <w:snapToGrid w:val="0"/>
      <w:jc w:val="center"/>
    </w:pPr>
    <w:rPr>
      <w:rFonts w:asciiTheme="minorHAnsi" w:hAnsiTheme="minorHAnsi" w:eastAsiaTheme="minorEastAsia" w:cstheme="minorBidi"/>
      <w:sz w:val="18"/>
      <w:szCs w:val="18"/>
    </w:rPr>
  </w:style>
  <w:style w:type="paragraph" w:styleId="14">
    <w:name w:val="Subtitle"/>
    <w:basedOn w:val="1"/>
    <w:next w:val="1"/>
    <w:link w:val="31"/>
    <w:qFormat/>
    <w:uiPriority w:val="11"/>
    <w:pPr>
      <w:spacing w:after="160"/>
      <w:jc w:val="center"/>
    </w:pPr>
    <w:rPr>
      <w:rFonts w:asciiTheme="majorHAnsi" w:hAnsiTheme="majorHAnsi" w:eastAsiaTheme="majorEastAsia" w:cstheme="majorBidi"/>
      <w:color w:val="595959" w:themeColor="text1" w:themeTint="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15">
    <w:name w:val="Title"/>
    <w:basedOn w:val="1"/>
    <w:next w:val="1"/>
    <w:link w:val="30"/>
    <w:qFormat/>
    <w:uiPriority w:val="10"/>
    <w:pPr>
      <w:spacing w:after="80"/>
      <w:contextualSpacing/>
      <w:jc w:val="center"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table" w:styleId="17">
    <w:name w:val="Table Grid"/>
    <w:basedOn w:val="16"/>
    <w:uiPriority w:val="3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9">
    <w:name w:val="Hyperlink"/>
    <w:qFormat/>
    <w:uiPriority w:val="99"/>
    <w:rPr>
      <w:color w:val="333333"/>
      <w:u w:val="none"/>
    </w:rPr>
  </w:style>
  <w:style w:type="paragraph" w:styleId="20">
    <w:name w:val="List Paragraph"/>
    <w:basedOn w:val="1"/>
    <w:link w:val="40"/>
    <w:qFormat/>
    <w:uiPriority w:val="34"/>
    <w:pPr>
      <w:ind w:left="720"/>
      <w:contextualSpacing/>
    </w:pPr>
    <w:rPr>
      <w:rFonts w:asciiTheme="minorHAnsi" w:hAnsiTheme="minorHAnsi" w:eastAsiaTheme="minorEastAsia" w:cstheme="minorBidi"/>
      <w:szCs w:val="22"/>
    </w:rPr>
  </w:style>
  <w:style w:type="character" w:customStyle="1" w:styleId="21">
    <w:name w:val="标题 1 字符"/>
    <w:basedOn w:val="18"/>
    <w:link w:val="3"/>
    <w:qFormat/>
    <w:uiPriority w:val="0"/>
    <w:rPr>
      <w:rFonts w:asciiTheme="majorHAnsi" w:hAnsiTheme="majorHAnsi" w:eastAsiaTheme="majorEastAsia" w:cstheme="majorBidi"/>
      <w:color w:val="104862" w:themeColor="accent1" w:themeShade="BF"/>
      <w:sz w:val="48"/>
      <w:szCs w:val="48"/>
    </w:rPr>
  </w:style>
  <w:style w:type="character" w:customStyle="1" w:styleId="22">
    <w:name w:val="标题 2 字符"/>
    <w:basedOn w:val="18"/>
    <w:link w:val="4"/>
    <w:qFormat/>
    <w:uiPriority w:val="0"/>
    <w:rPr>
      <w:rFonts w:asciiTheme="majorHAnsi" w:hAnsiTheme="majorHAnsi" w:eastAsiaTheme="majorEastAsia" w:cstheme="majorBidi"/>
      <w:color w:val="104862" w:themeColor="accent1" w:themeShade="BF"/>
      <w:sz w:val="40"/>
      <w:szCs w:val="40"/>
    </w:rPr>
  </w:style>
  <w:style w:type="character" w:customStyle="1" w:styleId="23">
    <w:name w:val="标题 3 字符"/>
    <w:basedOn w:val="18"/>
    <w:link w:val="5"/>
    <w:semiHidden/>
    <w:qFormat/>
    <w:uiPriority w:val="9"/>
    <w:rPr>
      <w:rFonts w:asciiTheme="majorHAnsi" w:hAnsiTheme="majorHAnsi" w:eastAsiaTheme="majorEastAsia" w:cstheme="majorBidi"/>
      <w:color w:val="104862" w:themeColor="accent1" w:themeShade="BF"/>
      <w:sz w:val="32"/>
      <w:szCs w:val="32"/>
    </w:rPr>
  </w:style>
  <w:style w:type="character" w:customStyle="1" w:styleId="24">
    <w:name w:val="标题 4 字符"/>
    <w:basedOn w:val="18"/>
    <w:link w:val="6"/>
    <w:semiHidden/>
    <w:qFormat/>
    <w:uiPriority w:val="9"/>
    <w:rPr>
      <w:rFonts w:cstheme="majorBidi"/>
      <w:color w:val="104862" w:themeColor="accent1" w:themeShade="BF"/>
      <w:sz w:val="28"/>
      <w:szCs w:val="28"/>
    </w:rPr>
  </w:style>
  <w:style w:type="character" w:customStyle="1" w:styleId="25">
    <w:name w:val="标题 5 字符"/>
    <w:basedOn w:val="18"/>
    <w:link w:val="7"/>
    <w:semiHidden/>
    <w:qFormat/>
    <w:uiPriority w:val="9"/>
    <w:rPr>
      <w:rFonts w:cstheme="majorBidi"/>
      <w:color w:val="104862" w:themeColor="accent1" w:themeShade="BF"/>
      <w:sz w:val="24"/>
      <w:szCs w:val="24"/>
    </w:rPr>
  </w:style>
  <w:style w:type="character" w:customStyle="1" w:styleId="26">
    <w:name w:val="标题 6 字符"/>
    <w:basedOn w:val="18"/>
    <w:link w:val="8"/>
    <w:semiHidden/>
    <w:qFormat/>
    <w:uiPriority w:val="9"/>
    <w:rPr>
      <w:rFonts w:cstheme="majorBidi"/>
      <w:b/>
      <w:bCs/>
      <w:color w:val="104862" w:themeColor="accent1" w:themeShade="BF"/>
    </w:rPr>
  </w:style>
  <w:style w:type="character" w:customStyle="1" w:styleId="27">
    <w:name w:val="标题 7 字符"/>
    <w:basedOn w:val="18"/>
    <w:link w:val="9"/>
    <w:semiHidden/>
    <w:qFormat/>
    <w:uiPriority w:val="9"/>
    <w:rPr>
      <w:rFonts w:cstheme="majorBidi"/>
      <w:b/>
      <w:bC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8">
    <w:name w:val="标题 8 字符"/>
    <w:basedOn w:val="18"/>
    <w:link w:val="10"/>
    <w:semiHidden/>
    <w:qFormat/>
    <w:uiPriority w:val="9"/>
    <w:rPr>
      <w:rFonts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9">
    <w:name w:val="标题 9 字符"/>
    <w:basedOn w:val="18"/>
    <w:link w:val="11"/>
    <w:semiHidden/>
    <w:qFormat/>
    <w:uiPriority w:val="9"/>
    <w:rPr>
      <w:rFonts w:eastAsiaTheme="majorEastAsia"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30">
    <w:name w:val="标题 字符"/>
    <w:basedOn w:val="18"/>
    <w:link w:val="15"/>
    <w:qFormat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customStyle="1" w:styleId="31">
    <w:name w:val="副标题 字符"/>
    <w:basedOn w:val="18"/>
    <w:link w:val="14"/>
    <w:qFormat/>
    <w:uiPriority w:val="11"/>
    <w:rPr>
      <w:rFonts w:asciiTheme="majorHAnsi" w:hAnsiTheme="majorHAnsi" w:eastAsiaTheme="majorEastAsia" w:cstheme="majorBidi"/>
      <w:color w:val="595959" w:themeColor="text1" w:themeTint="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32">
    <w:name w:val="Quote"/>
    <w:basedOn w:val="1"/>
    <w:next w:val="1"/>
    <w:link w:val="33"/>
    <w:qFormat/>
    <w:uiPriority w:val="29"/>
    <w:pPr>
      <w:spacing w:before="160" w:after="160"/>
      <w:jc w:val="center"/>
    </w:pPr>
    <w:rPr>
      <w:rFonts w:asciiTheme="minorHAnsi" w:hAnsiTheme="minorHAnsi" w:eastAsiaTheme="minorEastAsia" w:cstheme="minorBidi"/>
      <w:i/>
      <w:iCs/>
      <w:color w:val="404040" w:themeColor="text1" w:themeTint="BF"/>
      <w:szCs w:val="22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customStyle="1" w:styleId="33">
    <w:name w:val="引用 字符"/>
    <w:basedOn w:val="18"/>
    <w:link w:val="32"/>
    <w:qFormat/>
    <w:uiPriority w:val="29"/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customStyle="1" w:styleId="34">
    <w:name w:val="Intense Emphasis"/>
    <w:basedOn w:val="18"/>
    <w:qFormat/>
    <w:uiPriority w:val="21"/>
    <w:rPr>
      <w:i/>
      <w:iCs/>
      <w:color w:val="104862" w:themeColor="accent1" w:themeShade="BF"/>
    </w:rPr>
  </w:style>
  <w:style w:type="paragraph" w:styleId="35">
    <w:name w:val="Intense Quote"/>
    <w:basedOn w:val="1"/>
    <w:next w:val="1"/>
    <w:link w:val="36"/>
    <w:qFormat/>
    <w:uiPriority w:val="30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rFonts w:asciiTheme="minorHAnsi" w:hAnsiTheme="minorHAnsi" w:eastAsiaTheme="minorEastAsia" w:cstheme="minorBidi"/>
      <w:i/>
      <w:iCs/>
      <w:color w:val="104862" w:themeColor="accent1" w:themeShade="BF"/>
      <w:szCs w:val="22"/>
    </w:rPr>
  </w:style>
  <w:style w:type="character" w:customStyle="1" w:styleId="36">
    <w:name w:val="明显引用 字符"/>
    <w:basedOn w:val="18"/>
    <w:link w:val="35"/>
    <w:qFormat/>
    <w:uiPriority w:val="30"/>
    <w:rPr>
      <w:i/>
      <w:iCs/>
      <w:color w:val="104862" w:themeColor="accent1" w:themeShade="BF"/>
    </w:rPr>
  </w:style>
  <w:style w:type="character" w:customStyle="1" w:styleId="37">
    <w:name w:val="Intense Reference"/>
    <w:basedOn w:val="18"/>
    <w:qFormat/>
    <w:uiPriority w:val="32"/>
    <w:rPr>
      <w:b/>
      <w:bCs/>
      <w:smallCaps/>
      <w:color w:val="104862" w:themeColor="accent1" w:themeShade="BF"/>
      <w:spacing w:val="5"/>
    </w:rPr>
  </w:style>
  <w:style w:type="character" w:customStyle="1" w:styleId="38">
    <w:name w:val="页眉 字符"/>
    <w:basedOn w:val="18"/>
    <w:link w:val="13"/>
    <w:qFormat/>
    <w:uiPriority w:val="99"/>
    <w:rPr>
      <w:sz w:val="18"/>
      <w:szCs w:val="18"/>
    </w:rPr>
  </w:style>
  <w:style w:type="character" w:customStyle="1" w:styleId="39">
    <w:name w:val="页脚 字符"/>
    <w:basedOn w:val="18"/>
    <w:link w:val="12"/>
    <w:qFormat/>
    <w:uiPriority w:val="99"/>
    <w:rPr>
      <w:sz w:val="18"/>
      <w:szCs w:val="18"/>
    </w:rPr>
  </w:style>
  <w:style w:type="character" w:customStyle="1" w:styleId="40">
    <w:name w:val="列表段落 字符"/>
    <w:link w:val="20"/>
    <w:qFormat/>
    <w:locked/>
    <w:uiPriority w:val="34"/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4</Pages>
  <Words>2378</Words>
  <Characters>2810</Characters>
  <Lines>21</Lines>
  <Paragraphs>5</Paragraphs>
  <TotalTime>0</TotalTime>
  <ScaleCrop>false</ScaleCrop>
  <LinksUpToDate>false</LinksUpToDate>
  <CharactersWithSpaces>2812</CharactersWithSpaces>
  <Application>WPS Office_12.1.0.24034_F1E327BC-269C-435d-A152-05C5408002CA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2025-09-26T02:00:00Z</dcterms:created>
  <dc:creator>宝 宝</dc:creator>
  <cp:lastModifiedBy>萌翻小宇宙</cp:lastModifiedBy>
  <dcterms:modified xsi:type="dcterms:W3CDTF">2025-12-23T04:31:26Z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eyJoZGlkIjoiM2Y0NWQ3Y2UyYjVjODg1NTk1ZThmMDgwZmRiNDhmYmMiLCJ1c2VySWQiOiIzMDU0Mjk5MDkifQ==</vt:lpwstr>
  </property>
  <property fmtid="{D5CDD505-2E9C-101B-9397-08002B2CF9AE}" pid="3" name="KSOProductBuildVer">
    <vt:lpwstr>2052-12.1.0.24034</vt:lpwstr>
  </property>
  <property fmtid="{D5CDD505-2E9C-101B-9397-08002B2CF9AE}" pid="4" name="ICV">
    <vt:lpwstr>E1481F8C305E4A6EA3468AD81AAAC2CE_12</vt:lpwstr>
  </property>
</Properties>
</file>