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54A2A">
      <w:pPr>
        <w:rPr>
          <w:rFonts w:ascii="仿宋" w:hAnsi="仿宋" w:eastAsia="仿宋" w:cs="仿宋"/>
          <w:color w:val="000000"/>
          <w:sz w:val="28"/>
          <w:szCs w:val="28"/>
        </w:rPr>
      </w:pPr>
      <w:r>
        <w:rPr>
          <w:rFonts w:hint="eastAsia" w:ascii="仿宋" w:hAnsi="仿宋" w:eastAsia="仿宋" w:cs="仿宋"/>
          <w:color w:val="000000"/>
          <w:sz w:val="28"/>
          <w:szCs w:val="28"/>
        </w:rPr>
        <w:t xml:space="preserve">                                                                                                                                                                                                                                                                                                                                                                                                                                                                                                                          </w:t>
      </w:r>
    </w:p>
    <w:p w14:paraId="537CBAB6">
      <w:pPr>
        <w:adjustRightInd w:val="0"/>
        <w:snapToGrid w:val="0"/>
        <w:spacing w:line="360" w:lineRule="auto"/>
        <w:jc w:val="center"/>
        <w:rPr>
          <w:rFonts w:hint="eastAsia" w:ascii="仿宋" w:hAnsi="仿宋" w:eastAsia="仿宋" w:cs="仿宋"/>
          <w:bCs/>
          <w:color w:val="000000"/>
          <w:sz w:val="28"/>
          <w:szCs w:val="28"/>
        </w:rPr>
      </w:pPr>
    </w:p>
    <w:p w14:paraId="0EFD0C7B">
      <w:pPr>
        <w:adjustRightInd w:val="0"/>
        <w:snapToGrid w:val="0"/>
        <w:spacing w:line="360" w:lineRule="auto"/>
        <w:jc w:val="center"/>
        <w:rPr>
          <w:rFonts w:hint="eastAsia" w:ascii="仿宋" w:hAnsi="仿宋" w:eastAsia="仿宋" w:cs="仿宋"/>
          <w:bCs/>
          <w:color w:val="000000"/>
          <w:sz w:val="28"/>
          <w:szCs w:val="28"/>
        </w:rPr>
      </w:pPr>
    </w:p>
    <w:p w14:paraId="7D6ED43A">
      <w:pPr>
        <w:adjustRightInd w:val="0"/>
        <w:snapToGrid w:val="0"/>
        <w:spacing w:line="360" w:lineRule="auto"/>
        <w:jc w:val="center"/>
        <w:rPr>
          <w:rFonts w:hint="eastAsia" w:ascii="仿宋" w:hAnsi="仿宋" w:eastAsia="仿宋" w:cs="仿宋"/>
          <w:b/>
          <w:color w:val="000000"/>
          <w:sz w:val="44"/>
          <w:szCs w:val="44"/>
        </w:rPr>
      </w:pPr>
    </w:p>
    <w:p w14:paraId="2860E15A">
      <w:pPr>
        <w:jc w:val="center"/>
        <w:rPr>
          <w:rFonts w:hint="eastAsia" w:ascii="仿宋" w:hAnsi="仿宋" w:eastAsia="仿宋" w:cs="宋体"/>
          <w:b/>
          <w:color w:val="000000"/>
          <w:spacing w:val="40"/>
          <w:sz w:val="36"/>
          <w:szCs w:val="36"/>
          <w:lang w:eastAsia="zh-CN"/>
        </w:rPr>
      </w:pPr>
      <w:r>
        <w:rPr>
          <w:rFonts w:hint="eastAsia" w:ascii="仿宋" w:hAnsi="仿宋" w:eastAsia="仿宋" w:cs="宋体"/>
          <w:b/>
          <w:color w:val="000000"/>
          <w:spacing w:val="40"/>
          <w:sz w:val="40"/>
          <w:szCs w:val="40"/>
          <w:lang w:eastAsia="zh-CN"/>
        </w:rPr>
        <w:t>人保健康青岛分公司理赔外包服务采购项目</w:t>
      </w:r>
    </w:p>
    <w:p w14:paraId="1571EFCC">
      <w:pPr>
        <w:jc w:val="center"/>
        <w:rPr>
          <w:rFonts w:hint="eastAsia" w:ascii="仿宋" w:hAnsi="仿宋" w:eastAsia="仿宋" w:cs="宋体"/>
          <w:b/>
          <w:color w:val="000000"/>
          <w:spacing w:val="40"/>
          <w:sz w:val="36"/>
          <w:szCs w:val="36"/>
        </w:rPr>
      </w:pPr>
    </w:p>
    <w:p w14:paraId="58CA46D3">
      <w:pPr>
        <w:adjustRightInd w:val="0"/>
        <w:snapToGrid w:val="0"/>
        <w:spacing w:line="360" w:lineRule="auto"/>
        <w:jc w:val="center"/>
        <w:rPr>
          <w:rFonts w:ascii="仿宋" w:hAnsi="仿宋" w:eastAsia="仿宋" w:cs="仿宋"/>
          <w:b/>
          <w:color w:val="000000"/>
          <w:sz w:val="28"/>
          <w:szCs w:val="28"/>
        </w:rPr>
      </w:pPr>
    </w:p>
    <w:p w14:paraId="2D394E6B">
      <w:pPr>
        <w:tabs>
          <w:tab w:val="left" w:pos="720"/>
          <w:tab w:val="left" w:pos="8295"/>
        </w:tabs>
        <w:spacing w:line="360" w:lineRule="auto"/>
        <w:jc w:val="center"/>
        <w:rPr>
          <w:rFonts w:hint="eastAsia" w:ascii="仿宋" w:hAnsi="仿宋" w:eastAsia="仿宋" w:cs="仿宋"/>
          <w:b/>
          <w:color w:val="000000"/>
          <w:sz w:val="28"/>
          <w:szCs w:val="28"/>
        </w:rPr>
      </w:pPr>
    </w:p>
    <w:p w14:paraId="2C7F142A">
      <w:pPr>
        <w:tabs>
          <w:tab w:val="left" w:pos="720"/>
          <w:tab w:val="left" w:pos="8295"/>
        </w:tabs>
        <w:spacing w:line="360" w:lineRule="auto"/>
        <w:jc w:val="center"/>
        <w:rPr>
          <w:rFonts w:hint="eastAsia" w:ascii="仿宋" w:hAnsi="仿宋" w:eastAsia="仿宋" w:cs="仿宋"/>
          <w:b/>
          <w:color w:val="000000"/>
          <w:sz w:val="28"/>
          <w:szCs w:val="28"/>
        </w:rPr>
      </w:pPr>
    </w:p>
    <w:p w14:paraId="3B6DEFBC">
      <w:pPr>
        <w:rPr>
          <w:rFonts w:hint="eastAsia" w:ascii="仿宋" w:hAnsi="仿宋" w:eastAsia="仿宋" w:cs="仿宋"/>
          <w:color w:val="000000"/>
        </w:rPr>
      </w:pPr>
    </w:p>
    <w:p w14:paraId="03E0E9E4">
      <w:pPr>
        <w:tabs>
          <w:tab w:val="left" w:pos="720"/>
          <w:tab w:val="left" w:pos="8295"/>
        </w:tabs>
        <w:spacing w:line="360" w:lineRule="auto"/>
        <w:jc w:val="center"/>
        <w:rPr>
          <w:rFonts w:hint="eastAsia" w:ascii="仿宋" w:hAnsi="仿宋" w:eastAsia="仿宋" w:cs="仿宋"/>
          <w:b/>
          <w:color w:val="000000"/>
          <w:sz w:val="28"/>
          <w:szCs w:val="28"/>
        </w:rPr>
      </w:pPr>
    </w:p>
    <w:p w14:paraId="4CB4C97D">
      <w:pPr>
        <w:tabs>
          <w:tab w:val="left" w:pos="720"/>
          <w:tab w:val="left" w:pos="8295"/>
        </w:tabs>
        <w:spacing w:line="360" w:lineRule="auto"/>
        <w:jc w:val="center"/>
        <w:rPr>
          <w:rFonts w:hint="eastAsia" w:ascii="仿宋" w:hAnsi="仿宋" w:eastAsia="仿宋" w:cs="仿宋"/>
          <w:b/>
          <w:bCs/>
          <w:color w:val="000000"/>
          <w:sz w:val="84"/>
          <w:szCs w:val="84"/>
        </w:rPr>
      </w:pPr>
      <w:r>
        <w:rPr>
          <w:rFonts w:hint="eastAsia" w:ascii="仿宋" w:hAnsi="仿宋" w:eastAsia="仿宋" w:cs="仿宋"/>
          <w:b/>
          <w:bCs/>
          <w:color w:val="000000"/>
          <w:sz w:val="84"/>
          <w:szCs w:val="84"/>
          <w:lang w:val="en-US" w:eastAsia="zh-CN"/>
        </w:rPr>
        <w:t>单一来源采购</w:t>
      </w:r>
      <w:r>
        <w:rPr>
          <w:rFonts w:hint="eastAsia" w:ascii="仿宋" w:hAnsi="仿宋" w:eastAsia="仿宋" w:cs="仿宋"/>
          <w:b/>
          <w:bCs/>
          <w:color w:val="000000"/>
          <w:sz w:val="84"/>
          <w:szCs w:val="84"/>
        </w:rPr>
        <w:t>文件</w:t>
      </w:r>
    </w:p>
    <w:p w14:paraId="6A0D06F7">
      <w:pPr>
        <w:tabs>
          <w:tab w:val="left" w:pos="720"/>
          <w:tab w:val="left" w:pos="8295"/>
        </w:tabs>
        <w:spacing w:line="360" w:lineRule="auto"/>
        <w:jc w:val="center"/>
        <w:rPr>
          <w:rFonts w:hint="eastAsia" w:ascii="仿宋" w:hAnsi="仿宋" w:eastAsia="仿宋" w:cs="仿宋"/>
          <w:b/>
          <w:color w:val="000000"/>
          <w:sz w:val="28"/>
          <w:szCs w:val="28"/>
        </w:rPr>
      </w:pPr>
    </w:p>
    <w:p w14:paraId="2DB1AA65">
      <w:pPr>
        <w:tabs>
          <w:tab w:val="left" w:pos="720"/>
          <w:tab w:val="left" w:pos="8295"/>
        </w:tabs>
        <w:spacing w:line="360" w:lineRule="auto"/>
        <w:rPr>
          <w:rFonts w:hint="eastAsia" w:ascii="仿宋" w:hAnsi="仿宋" w:eastAsia="仿宋" w:cs="仿宋"/>
          <w:b/>
          <w:color w:val="000000"/>
          <w:sz w:val="28"/>
          <w:szCs w:val="28"/>
        </w:rPr>
      </w:pPr>
    </w:p>
    <w:p w14:paraId="55302CC7">
      <w:pPr>
        <w:tabs>
          <w:tab w:val="left" w:pos="720"/>
          <w:tab w:val="left" w:pos="8295"/>
        </w:tabs>
        <w:spacing w:line="360" w:lineRule="auto"/>
        <w:jc w:val="center"/>
        <w:rPr>
          <w:rFonts w:hint="eastAsia" w:ascii="仿宋" w:hAnsi="仿宋" w:eastAsia="仿宋" w:cs="仿宋"/>
          <w:b/>
          <w:color w:val="000000"/>
          <w:sz w:val="28"/>
          <w:szCs w:val="28"/>
        </w:rPr>
      </w:pPr>
    </w:p>
    <w:p w14:paraId="44732346">
      <w:pPr>
        <w:pStyle w:val="17"/>
        <w:rPr>
          <w:rFonts w:hint="eastAsia" w:ascii="宋体" w:hAnsi="宋体"/>
          <w:kern w:val="0"/>
          <w:szCs w:val="21"/>
        </w:rPr>
      </w:pPr>
    </w:p>
    <w:p w14:paraId="0093E211">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kern w:val="0"/>
          <w:sz w:val="28"/>
          <w:szCs w:val="28"/>
        </w:rPr>
      </w:pPr>
    </w:p>
    <w:p w14:paraId="501C12A2">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kern w:val="0"/>
          <w:sz w:val="28"/>
          <w:szCs w:val="28"/>
        </w:rPr>
      </w:pPr>
    </w:p>
    <w:p w14:paraId="7BDEF986">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kern w:val="0"/>
          <w:sz w:val="28"/>
          <w:szCs w:val="28"/>
        </w:rPr>
      </w:pPr>
    </w:p>
    <w:p w14:paraId="338E9357">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采购人：中国人民健康保险股份有限公司青岛分公司</w:t>
      </w:r>
    </w:p>
    <w:p w14:paraId="04520CBA">
      <w:pPr>
        <w:tabs>
          <w:tab w:val="left" w:pos="720"/>
          <w:tab w:val="left" w:pos="8295"/>
        </w:tabs>
        <w:spacing w:line="360" w:lineRule="auto"/>
        <w:jc w:val="center"/>
        <w:rPr>
          <w:rFonts w:hint="eastAsia" w:ascii="仿宋" w:hAnsi="仿宋" w:eastAsia="仿宋" w:cs="仿宋"/>
          <w:b/>
          <w:color w:val="000000"/>
          <w:sz w:val="36"/>
          <w:szCs w:val="36"/>
        </w:rPr>
      </w:pPr>
      <w:r>
        <w:rPr>
          <w:rFonts w:hint="eastAsia" w:ascii="仿宋" w:hAnsi="仿宋" w:eastAsia="仿宋" w:cs="仿宋"/>
          <w:b/>
          <w:color w:val="000000"/>
          <w:sz w:val="28"/>
          <w:szCs w:val="28"/>
        </w:rPr>
        <w:t>日期：202</w:t>
      </w:r>
      <w:r>
        <w:rPr>
          <w:rFonts w:hint="eastAsia" w:ascii="仿宋" w:hAnsi="仿宋" w:eastAsia="仿宋" w:cs="仿宋"/>
          <w:b/>
          <w:color w:val="000000"/>
          <w:sz w:val="28"/>
          <w:szCs w:val="28"/>
          <w:lang w:val="en-US" w:eastAsia="zh-CN"/>
        </w:rPr>
        <w:t>6</w:t>
      </w:r>
      <w:r>
        <w:rPr>
          <w:rFonts w:hint="eastAsia" w:ascii="仿宋" w:hAnsi="仿宋" w:eastAsia="仿宋" w:cs="仿宋"/>
          <w:b/>
          <w:color w:val="000000"/>
          <w:sz w:val="28"/>
          <w:szCs w:val="28"/>
        </w:rPr>
        <w:t>年</w:t>
      </w:r>
      <w:r>
        <w:rPr>
          <w:rFonts w:hint="eastAsia" w:ascii="仿宋" w:hAnsi="仿宋" w:eastAsia="仿宋" w:cs="仿宋"/>
          <w:b/>
          <w:color w:val="000000"/>
          <w:sz w:val="28"/>
          <w:szCs w:val="28"/>
          <w:lang w:val="en-US" w:eastAsia="zh-CN"/>
        </w:rPr>
        <w:t>01</w:t>
      </w:r>
      <w:r>
        <w:rPr>
          <w:rFonts w:hint="eastAsia" w:ascii="仿宋" w:hAnsi="仿宋" w:eastAsia="仿宋" w:cs="仿宋"/>
          <w:b/>
          <w:color w:val="000000"/>
          <w:sz w:val="28"/>
          <w:szCs w:val="28"/>
        </w:rPr>
        <w:t>月</w:t>
      </w:r>
    </w:p>
    <w:p w14:paraId="57A993AD">
      <w:pPr>
        <w:spacing w:line="360" w:lineRule="auto"/>
        <w:jc w:val="center"/>
        <w:rPr>
          <w:rFonts w:hint="eastAsia" w:ascii="仿宋" w:hAnsi="仿宋" w:eastAsia="仿宋" w:cs="仿宋"/>
          <w:color w:val="000000"/>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14:paraId="4DAE7E8B">
      <w:pPr>
        <w:jc w:val="center"/>
        <w:rPr>
          <w:rFonts w:hint="eastAsia"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p w14:paraId="0026FD36">
      <w:pPr>
        <w:pStyle w:val="28"/>
        <w:tabs>
          <w:tab w:val="right" w:leader="dot" w:pos="9638"/>
        </w:tabs>
      </w:pP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TOC \o "1-2" \h \u </w:instrText>
      </w:r>
      <w:r>
        <w:rPr>
          <w:rFonts w:hint="eastAsia" w:ascii="仿宋" w:hAnsi="仿宋" w:eastAsia="仿宋" w:cs="仿宋"/>
          <w:color w:val="000000"/>
          <w:sz w:val="24"/>
        </w:rPr>
        <w:fldChar w:fldCharType="separate"/>
      </w:r>
      <w:r>
        <w:rPr>
          <w:rFonts w:hint="eastAsia" w:ascii="仿宋" w:hAnsi="仿宋" w:eastAsia="仿宋" w:cs="仿宋"/>
          <w:color w:val="000000"/>
        </w:rPr>
        <w:fldChar w:fldCharType="begin"/>
      </w:r>
      <w:r>
        <w:rPr>
          <w:rFonts w:hint="eastAsia" w:ascii="仿宋" w:hAnsi="仿宋" w:eastAsia="仿宋" w:cs="仿宋"/>
        </w:rPr>
        <w:instrText xml:space="preserve"> HYPERLINK \l _Toc18681 </w:instrText>
      </w:r>
      <w:r>
        <w:rPr>
          <w:rFonts w:hint="eastAsia" w:ascii="仿宋" w:hAnsi="仿宋" w:eastAsia="仿宋" w:cs="仿宋"/>
        </w:rPr>
        <w:fldChar w:fldCharType="separate"/>
      </w:r>
      <w:r>
        <w:rPr>
          <w:rFonts w:hint="eastAsia" w:ascii="仿宋" w:hAnsi="仿宋" w:eastAsia="仿宋" w:cs="仿宋"/>
          <w:bCs w:val="0"/>
          <w:szCs w:val="28"/>
        </w:rPr>
        <w:t xml:space="preserve">第一章 </w:t>
      </w:r>
      <w:r>
        <w:rPr>
          <w:rFonts w:hint="eastAsia" w:ascii="仿宋" w:hAnsi="仿宋" w:eastAsia="仿宋" w:cs="仿宋"/>
          <w:bCs w:val="0"/>
          <w:szCs w:val="28"/>
          <w:lang w:val="en-US" w:eastAsia="zh-CN"/>
        </w:rPr>
        <w:t>单一来源采购</w:t>
      </w:r>
      <w:r>
        <w:rPr>
          <w:rFonts w:hint="eastAsia" w:ascii="仿宋" w:hAnsi="仿宋" w:eastAsia="仿宋" w:cs="仿宋"/>
          <w:bCs w:val="0"/>
          <w:szCs w:val="28"/>
        </w:rPr>
        <w:t>公告</w:t>
      </w:r>
      <w:r>
        <w:tab/>
      </w:r>
      <w:r>
        <w:fldChar w:fldCharType="begin"/>
      </w:r>
      <w:r>
        <w:instrText xml:space="preserve"> PAGEREF _Toc18681 \h </w:instrText>
      </w:r>
      <w:r>
        <w:fldChar w:fldCharType="separate"/>
      </w:r>
      <w:r>
        <w:t>2</w:t>
      </w:r>
      <w:r>
        <w:fldChar w:fldCharType="end"/>
      </w:r>
      <w:r>
        <w:rPr>
          <w:rFonts w:hint="eastAsia" w:ascii="仿宋" w:hAnsi="仿宋" w:eastAsia="仿宋" w:cs="仿宋"/>
          <w:color w:val="000000"/>
        </w:rPr>
        <w:fldChar w:fldCharType="end"/>
      </w:r>
    </w:p>
    <w:p w14:paraId="69EA2B3D">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_Toc28739 </w:instrText>
      </w:r>
      <w:r>
        <w:rPr>
          <w:rFonts w:hint="eastAsia" w:ascii="仿宋" w:hAnsi="仿宋" w:eastAsia="仿宋" w:cs="仿宋"/>
        </w:rPr>
        <w:fldChar w:fldCharType="separate"/>
      </w:r>
      <w:r>
        <w:rPr>
          <w:rFonts w:hint="eastAsia" w:ascii="仿宋" w:hAnsi="仿宋" w:eastAsia="仿宋" w:cs="仿宋"/>
          <w:szCs w:val="24"/>
        </w:rPr>
        <w:t>一、项目概况与采购范围</w:t>
      </w:r>
      <w:r>
        <w:tab/>
      </w:r>
      <w:r>
        <w:fldChar w:fldCharType="begin"/>
      </w:r>
      <w:r>
        <w:instrText xml:space="preserve"> PAGEREF _Toc28739 \h </w:instrText>
      </w:r>
      <w:r>
        <w:fldChar w:fldCharType="separate"/>
      </w:r>
      <w:r>
        <w:t>2</w:t>
      </w:r>
      <w:r>
        <w:fldChar w:fldCharType="end"/>
      </w:r>
      <w:r>
        <w:rPr>
          <w:rFonts w:hint="eastAsia" w:ascii="仿宋" w:hAnsi="仿宋" w:eastAsia="仿宋" w:cs="仿宋"/>
          <w:color w:val="000000"/>
        </w:rPr>
        <w:fldChar w:fldCharType="end"/>
      </w:r>
    </w:p>
    <w:p w14:paraId="7CEF0D0B">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_Toc29391 </w:instrText>
      </w:r>
      <w:r>
        <w:rPr>
          <w:rFonts w:hint="eastAsia" w:ascii="仿宋" w:hAnsi="仿宋" w:eastAsia="仿宋" w:cs="仿宋"/>
        </w:rPr>
        <w:fldChar w:fldCharType="separate"/>
      </w:r>
      <w:r>
        <w:rPr>
          <w:rFonts w:hint="eastAsia" w:ascii="仿宋" w:hAnsi="仿宋" w:eastAsia="仿宋" w:cs="仿宋"/>
          <w:szCs w:val="24"/>
        </w:rPr>
        <w:t>二、供应商资格要求</w:t>
      </w:r>
      <w:r>
        <w:tab/>
      </w:r>
      <w:r>
        <w:fldChar w:fldCharType="begin"/>
      </w:r>
      <w:r>
        <w:instrText xml:space="preserve"> PAGEREF _Toc29391 \h </w:instrText>
      </w:r>
      <w:r>
        <w:fldChar w:fldCharType="separate"/>
      </w:r>
      <w:r>
        <w:t>2</w:t>
      </w:r>
      <w:r>
        <w:fldChar w:fldCharType="end"/>
      </w:r>
      <w:r>
        <w:rPr>
          <w:rFonts w:hint="eastAsia" w:ascii="仿宋" w:hAnsi="仿宋" w:eastAsia="仿宋" w:cs="仿宋"/>
          <w:color w:val="000000"/>
        </w:rPr>
        <w:fldChar w:fldCharType="end"/>
      </w:r>
    </w:p>
    <w:p w14:paraId="2F6DD20D">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_Toc21411 </w:instrText>
      </w:r>
      <w:r>
        <w:rPr>
          <w:rFonts w:hint="eastAsia" w:ascii="仿宋" w:hAnsi="仿宋" w:eastAsia="仿宋" w:cs="仿宋"/>
        </w:rPr>
        <w:fldChar w:fldCharType="separate"/>
      </w:r>
      <w:r>
        <w:rPr>
          <w:rFonts w:hint="eastAsia" w:ascii="仿宋" w:hAnsi="仿宋" w:eastAsia="仿宋" w:cs="仿宋"/>
          <w:szCs w:val="24"/>
        </w:rPr>
        <w:t>三、</w:t>
      </w:r>
      <w:r>
        <w:rPr>
          <w:rFonts w:hint="eastAsia" w:ascii="仿宋" w:hAnsi="仿宋" w:eastAsia="仿宋" w:cs="仿宋"/>
          <w:szCs w:val="24"/>
          <w:lang w:val="en-US" w:eastAsia="zh-CN"/>
        </w:rPr>
        <w:t>采购</w:t>
      </w:r>
      <w:r>
        <w:rPr>
          <w:rFonts w:hint="eastAsia" w:ascii="仿宋" w:hAnsi="仿宋" w:eastAsia="仿宋" w:cs="仿宋"/>
          <w:szCs w:val="24"/>
        </w:rPr>
        <w:t>文件的领取</w:t>
      </w:r>
      <w:r>
        <w:tab/>
      </w:r>
      <w:r>
        <w:fldChar w:fldCharType="begin"/>
      </w:r>
      <w:r>
        <w:instrText xml:space="preserve"> PAGEREF _Toc21411 \h </w:instrText>
      </w:r>
      <w:r>
        <w:fldChar w:fldCharType="separate"/>
      </w:r>
      <w:r>
        <w:t>3</w:t>
      </w:r>
      <w:r>
        <w:fldChar w:fldCharType="end"/>
      </w:r>
      <w:r>
        <w:rPr>
          <w:rFonts w:hint="eastAsia" w:ascii="仿宋" w:hAnsi="仿宋" w:eastAsia="仿宋" w:cs="仿宋"/>
          <w:color w:val="000000"/>
        </w:rPr>
        <w:fldChar w:fldCharType="end"/>
      </w:r>
    </w:p>
    <w:p w14:paraId="26D84D5A">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_Toc17076 </w:instrText>
      </w:r>
      <w:r>
        <w:rPr>
          <w:rFonts w:hint="eastAsia" w:ascii="仿宋" w:hAnsi="仿宋" w:eastAsia="仿宋" w:cs="仿宋"/>
        </w:rPr>
        <w:fldChar w:fldCharType="separate"/>
      </w:r>
      <w:r>
        <w:rPr>
          <w:rFonts w:hint="eastAsia" w:ascii="仿宋" w:hAnsi="仿宋" w:eastAsia="仿宋" w:cs="仿宋"/>
          <w:szCs w:val="24"/>
        </w:rPr>
        <w:t>四、响应文件的递交</w:t>
      </w:r>
      <w:r>
        <w:tab/>
      </w:r>
      <w:r>
        <w:fldChar w:fldCharType="begin"/>
      </w:r>
      <w:r>
        <w:instrText xml:space="preserve"> PAGEREF _Toc17076 \h </w:instrText>
      </w:r>
      <w:r>
        <w:fldChar w:fldCharType="separate"/>
      </w:r>
      <w:r>
        <w:t>3</w:t>
      </w:r>
      <w:r>
        <w:fldChar w:fldCharType="end"/>
      </w:r>
      <w:r>
        <w:rPr>
          <w:rFonts w:hint="eastAsia" w:ascii="仿宋" w:hAnsi="仿宋" w:eastAsia="仿宋" w:cs="仿宋"/>
          <w:color w:val="000000"/>
        </w:rPr>
        <w:fldChar w:fldCharType="end"/>
      </w:r>
    </w:p>
    <w:p w14:paraId="1DFF7614">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_Toc8197 </w:instrText>
      </w:r>
      <w:r>
        <w:rPr>
          <w:rFonts w:hint="eastAsia" w:ascii="仿宋" w:hAnsi="仿宋" w:eastAsia="仿宋" w:cs="仿宋"/>
        </w:rPr>
        <w:fldChar w:fldCharType="separate"/>
      </w:r>
      <w:r>
        <w:rPr>
          <w:rFonts w:hint="eastAsia" w:ascii="仿宋" w:hAnsi="仿宋" w:eastAsia="仿宋" w:cs="仿宋"/>
          <w:szCs w:val="24"/>
        </w:rPr>
        <w:t>五、发布公告的媒介</w:t>
      </w:r>
      <w:r>
        <w:tab/>
      </w:r>
      <w:r>
        <w:fldChar w:fldCharType="begin"/>
      </w:r>
      <w:r>
        <w:instrText xml:space="preserve"> PAGEREF _Toc8197 \h </w:instrText>
      </w:r>
      <w:r>
        <w:fldChar w:fldCharType="separate"/>
      </w:r>
      <w:r>
        <w:t>3</w:t>
      </w:r>
      <w:r>
        <w:fldChar w:fldCharType="end"/>
      </w:r>
      <w:r>
        <w:rPr>
          <w:rFonts w:hint="eastAsia" w:ascii="仿宋" w:hAnsi="仿宋" w:eastAsia="仿宋" w:cs="仿宋"/>
          <w:color w:val="000000"/>
        </w:rPr>
        <w:fldChar w:fldCharType="end"/>
      </w:r>
    </w:p>
    <w:p w14:paraId="14E8F0BA">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_Toc10994 </w:instrText>
      </w:r>
      <w:r>
        <w:rPr>
          <w:rFonts w:hint="eastAsia" w:ascii="仿宋" w:hAnsi="仿宋" w:eastAsia="仿宋" w:cs="仿宋"/>
        </w:rPr>
        <w:fldChar w:fldCharType="separate"/>
      </w:r>
      <w:r>
        <w:rPr>
          <w:rFonts w:hint="eastAsia" w:ascii="仿宋" w:hAnsi="仿宋" w:eastAsia="仿宋" w:cs="仿宋"/>
          <w:szCs w:val="24"/>
        </w:rPr>
        <w:t>六、联系方式</w:t>
      </w:r>
      <w:r>
        <w:tab/>
      </w:r>
      <w:r>
        <w:fldChar w:fldCharType="begin"/>
      </w:r>
      <w:r>
        <w:instrText xml:space="preserve"> PAGEREF _Toc10994 \h </w:instrText>
      </w:r>
      <w:r>
        <w:fldChar w:fldCharType="separate"/>
      </w:r>
      <w:r>
        <w:t>3</w:t>
      </w:r>
      <w:r>
        <w:fldChar w:fldCharType="end"/>
      </w:r>
      <w:r>
        <w:rPr>
          <w:rFonts w:hint="eastAsia" w:ascii="仿宋" w:hAnsi="仿宋" w:eastAsia="仿宋" w:cs="仿宋"/>
          <w:color w:val="000000"/>
        </w:rPr>
        <w:fldChar w:fldCharType="end"/>
      </w:r>
    </w:p>
    <w:p w14:paraId="211E37D7">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_Toc31295 </w:instrText>
      </w:r>
      <w:r>
        <w:rPr>
          <w:rFonts w:hint="eastAsia" w:ascii="仿宋" w:hAnsi="仿宋" w:eastAsia="仿宋" w:cs="仿宋"/>
        </w:rPr>
        <w:fldChar w:fldCharType="separate"/>
      </w:r>
      <w:r>
        <w:rPr>
          <w:rFonts w:hint="eastAsia" w:ascii="仿宋" w:hAnsi="仿宋" w:eastAsia="仿宋" w:cs="仿宋"/>
          <w:szCs w:val="28"/>
        </w:rPr>
        <w:t>第二章 供应商须知</w:t>
      </w:r>
      <w:r>
        <w:tab/>
      </w:r>
      <w:r>
        <w:fldChar w:fldCharType="begin"/>
      </w:r>
      <w:r>
        <w:instrText xml:space="preserve"> PAGEREF _Toc31295 \h </w:instrText>
      </w:r>
      <w:r>
        <w:fldChar w:fldCharType="separate"/>
      </w:r>
      <w:r>
        <w:t>4</w:t>
      </w:r>
      <w:r>
        <w:fldChar w:fldCharType="end"/>
      </w:r>
      <w:r>
        <w:rPr>
          <w:rFonts w:hint="eastAsia" w:ascii="仿宋" w:hAnsi="仿宋" w:eastAsia="仿宋" w:cs="仿宋"/>
          <w:color w:val="000000"/>
        </w:rPr>
        <w:fldChar w:fldCharType="end"/>
      </w:r>
    </w:p>
    <w:p w14:paraId="2B63F161">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_Toc29193 </w:instrText>
      </w:r>
      <w:r>
        <w:rPr>
          <w:rFonts w:hint="eastAsia" w:ascii="仿宋" w:hAnsi="仿宋" w:eastAsia="仿宋" w:cs="仿宋"/>
        </w:rPr>
        <w:fldChar w:fldCharType="separate"/>
      </w:r>
      <w:r>
        <w:rPr>
          <w:rFonts w:hint="eastAsia" w:ascii="仿宋" w:hAnsi="仿宋" w:eastAsia="仿宋" w:cs="仿宋"/>
          <w:szCs w:val="24"/>
        </w:rPr>
        <w:t>一、供应商须知前附表</w:t>
      </w:r>
      <w:r>
        <w:tab/>
      </w:r>
      <w:r>
        <w:fldChar w:fldCharType="begin"/>
      </w:r>
      <w:r>
        <w:instrText xml:space="preserve"> PAGEREF _Toc29193 \h </w:instrText>
      </w:r>
      <w:r>
        <w:fldChar w:fldCharType="separate"/>
      </w:r>
      <w:r>
        <w:t>4</w:t>
      </w:r>
      <w:r>
        <w:fldChar w:fldCharType="end"/>
      </w:r>
      <w:r>
        <w:rPr>
          <w:rFonts w:hint="eastAsia" w:ascii="仿宋" w:hAnsi="仿宋" w:eastAsia="仿宋" w:cs="仿宋"/>
          <w:color w:val="000000"/>
        </w:rPr>
        <w:fldChar w:fldCharType="end"/>
      </w:r>
    </w:p>
    <w:p w14:paraId="1FB33FDD">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_Toc30662 </w:instrText>
      </w:r>
      <w:r>
        <w:rPr>
          <w:rFonts w:hint="eastAsia" w:ascii="仿宋" w:hAnsi="仿宋" w:eastAsia="仿宋" w:cs="仿宋"/>
        </w:rPr>
        <w:fldChar w:fldCharType="separate"/>
      </w:r>
      <w:r>
        <w:rPr>
          <w:rFonts w:hint="eastAsia" w:ascii="仿宋" w:hAnsi="仿宋" w:eastAsia="仿宋" w:cs="仿宋"/>
          <w:szCs w:val="24"/>
        </w:rPr>
        <w:t>二、供应商须知正文</w:t>
      </w:r>
      <w:r>
        <w:tab/>
      </w:r>
      <w:r>
        <w:fldChar w:fldCharType="begin"/>
      </w:r>
      <w:r>
        <w:instrText xml:space="preserve"> PAGEREF _Toc30662 \h </w:instrText>
      </w:r>
      <w:r>
        <w:fldChar w:fldCharType="separate"/>
      </w:r>
      <w:r>
        <w:t>6</w:t>
      </w:r>
      <w:r>
        <w:fldChar w:fldCharType="end"/>
      </w:r>
      <w:r>
        <w:rPr>
          <w:rFonts w:hint="eastAsia" w:ascii="仿宋" w:hAnsi="仿宋" w:eastAsia="仿宋" w:cs="仿宋"/>
          <w:color w:val="000000"/>
        </w:rPr>
        <w:fldChar w:fldCharType="end"/>
      </w:r>
    </w:p>
    <w:p w14:paraId="33E96373">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_Toc1200 </w:instrText>
      </w:r>
      <w:r>
        <w:rPr>
          <w:rFonts w:hint="eastAsia" w:ascii="仿宋" w:hAnsi="仿宋" w:eastAsia="仿宋" w:cs="仿宋"/>
        </w:rPr>
        <w:fldChar w:fldCharType="separate"/>
      </w:r>
      <w:r>
        <w:rPr>
          <w:rFonts w:hint="eastAsia" w:ascii="仿宋" w:hAnsi="仿宋" w:eastAsia="仿宋" w:cs="仿宋"/>
          <w:szCs w:val="28"/>
        </w:rPr>
        <w:t>第三章 评审办法</w:t>
      </w:r>
      <w:r>
        <w:tab/>
      </w:r>
      <w:r>
        <w:fldChar w:fldCharType="begin"/>
      </w:r>
      <w:r>
        <w:instrText xml:space="preserve"> PAGEREF _Toc1200 \h </w:instrText>
      </w:r>
      <w:r>
        <w:fldChar w:fldCharType="separate"/>
      </w:r>
      <w:r>
        <w:t>7</w:t>
      </w:r>
      <w:r>
        <w:fldChar w:fldCharType="end"/>
      </w:r>
      <w:r>
        <w:rPr>
          <w:rFonts w:hint="eastAsia" w:ascii="仿宋" w:hAnsi="仿宋" w:eastAsia="仿宋" w:cs="仿宋"/>
          <w:color w:val="000000"/>
        </w:rPr>
        <w:fldChar w:fldCharType="end"/>
      </w:r>
    </w:p>
    <w:p w14:paraId="51F598A1">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_Toc4930 </w:instrText>
      </w:r>
      <w:r>
        <w:rPr>
          <w:rFonts w:hint="eastAsia" w:ascii="仿宋" w:hAnsi="仿宋" w:eastAsia="仿宋" w:cs="仿宋"/>
        </w:rPr>
        <w:fldChar w:fldCharType="separate"/>
      </w:r>
      <w:r>
        <w:rPr>
          <w:rFonts w:hint="eastAsia" w:ascii="仿宋" w:hAnsi="仿宋" w:eastAsia="仿宋" w:cs="仿宋"/>
          <w:szCs w:val="28"/>
          <w:highlight w:val="none"/>
          <w:lang w:val="en-US" w:eastAsia="zh-CN"/>
        </w:rPr>
        <w:t>第四章</w:t>
      </w:r>
      <w:r>
        <w:rPr>
          <w:rFonts w:hint="eastAsia" w:ascii="仿宋" w:hAnsi="仿宋" w:eastAsia="仿宋" w:cs="仿宋"/>
          <w:szCs w:val="28"/>
          <w:highlight w:val="none"/>
        </w:rPr>
        <w:t>合同条款</w:t>
      </w:r>
      <w:r>
        <w:tab/>
      </w:r>
      <w:r>
        <w:fldChar w:fldCharType="begin"/>
      </w:r>
      <w:r>
        <w:instrText xml:space="preserve"> PAGEREF _Toc4930 \h </w:instrText>
      </w:r>
      <w:r>
        <w:fldChar w:fldCharType="separate"/>
      </w:r>
      <w:r>
        <w:t>8</w:t>
      </w:r>
      <w:r>
        <w:fldChar w:fldCharType="end"/>
      </w:r>
      <w:r>
        <w:rPr>
          <w:rFonts w:hint="eastAsia" w:ascii="仿宋" w:hAnsi="仿宋" w:eastAsia="仿宋" w:cs="仿宋"/>
          <w:color w:val="000000"/>
        </w:rPr>
        <w:fldChar w:fldCharType="end"/>
      </w:r>
      <w:bookmarkStart w:id="191" w:name="_GoBack"/>
      <w:bookmarkEnd w:id="191"/>
    </w:p>
    <w:p w14:paraId="0D03EB92">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_Toc22669 </w:instrText>
      </w:r>
      <w:r>
        <w:rPr>
          <w:rFonts w:hint="eastAsia" w:ascii="仿宋" w:hAnsi="仿宋" w:eastAsia="仿宋" w:cs="仿宋"/>
        </w:rPr>
        <w:fldChar w:fldCharType="separate"/>
      </w:r>
      <w:r>
        <w:rPr>
          <w:szCs w:val="44"/>
        </w:rPr>
        <w:t xml:space="preserve">一、 </w:t>
      </w:r>
      <w:r>
        <w:rPr>
          <w:rFonts w:hint="eastAsia"/>
          <w:szCs w:val="44"/>
        </w:rPr>
        <w:t>开始与终止</w:t>
      </w:r>
      <w:r>
        <w:tab/>
      </w:r>
      <w:r>
        <w:fldChar w:fldCharType="begin"/>
      </w:r>
      <w:r>
        <w:instrText xml:space="preserve"> PAGEREF _Toc22669 \h </w:instrText>
      </w:r>
      <w:r>
        <w:fldChar w:fldCharType="separate"/>
      </w:r>
      <w:r>
        <w:t>9</w:t>
      </w:r>
      <w:r>
        <w:fldChar w:fldCharType="end"/>
      </w:r>
      <w:r>
        <w:rPr>
          <w:rFonts w:hint="eastAsia" w:ascii="仿宋" w:hAnsi="仿宋" w:eastAsia="仿宋" w:cs="仿宋"/>
          <w:color w:val="000000"/>
        </w:rPr>
        <w:fldChar w:fldCharType="end"/>
      </w:r>
    </w:p>
    <w:p w14:paraId="496EC099">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_Toc17113 </w:instrText>
      </w:r>
      <w:r>
        <w:rPr>
          <w:rFonts w:hint="eastAsia" w:ascii="仿宋" w:hAnsi="仿宋" w:eastAsia="仿宋" w:cs="仿宋"/>
        </w:rPr>
        <w:fldChar w:fldCharType="separate"/>
      </w:r>
      <w:r>
        <w:t xml:space="preserve">二、 </w:t>
      </w:r>
      <w:r>
        <w:rPr>
          <w:rFonts w:hint="eastAsia"/>
        </w:rPr>
        <w:t>服务内容</w:t>
      </w:r>
      <w:r>
        <w:tab/>
      </w:r>
      <w:r>
        <w:fldChar w:fldCharType="begin"/>
      </w:r>
      <w:r>
        <w:instrText xml:space="preserve"> PAGEREF _Toc17113 \h </w:instrText>
      </w:r>
      <w:r>
        <w:fldChar w:fldCharType="separate"/>
      </w:r>
      <w:r>
        <w:t>9</w:t>
      </w:r>
      <w:r>
        <w:fldChar w:fldCharType="end"/>
      </w:r>
      <w:r>
        <w:rPr>
          <w:rFonts w:hint="eastAsia" w:ascii="仿宋" w:hAnsi="仿宋" w:eastAsia="仿宋" w:cs="仿宋"/>
          <w:color w:val="000000"/>
        </w:rPr>
        <w:fldChar w:fldCharType="end"/>
      </w:r>
    </w:p>
    <w:p w14:paraId="40D5E79A">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_Toc28131 </w:instrText>
      </w:r>
      <w:r>
        <w:rPr>
          <w:rFonts w:hint="eastAsia" w:ascii="仿宋" w:hAnsi="仿宋" w:eastAsia="仿宋" w:cs="仿宋"/>
        </w:rPr>
        <w:fldChar w:fldCharType="separate"/>
      </w:r>
      <w:r>
        <w:t xml:space="preserve">三、 </w:t>
      </w:r>
      <w:r>
        <w:rPr>
          <w:rFonts w:hint="eastAsia"/>
        </w:rPr>
        <w:t>服务费用</w:t>
      </w:r>
      <w:r>
        <w:tab/>
      </w:r>
      <w:r>
        <w:fldChar w:fldCharType="begin"/>
      </w:r>
      <w:r>
        <w:instrText xml:space="preserve"> PAGEREF _Toc28131 \h </w:instrText>
      </w:r>
      <w:r>
        <w:fldChar w:fldCharType="separate"/>
      </w:r>
      <w:r>
        <w:t>10</w:t>
      </w:r>
      <w:r>
        <w:fldChar w:fldCharType="end"/>
      </w:r>
      <w:r>
        <w:rPr>
          <w:rFonts w:hint="eastAsia" w:ascii="仿宋" w:hAnsi="仿宋" w:eastAsia="仿宋" w:cs="仿宋"/>
          <w:color w:val="000000"/>
        </w:rPr>
        <w:fldChar w:fldCharType="end"/>
      </w:r>
    </w:p>
    <w:p w14:paraId="6C9836FB">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_Toc9642 </w:instrText>
      </w:r>
      <w:r>
        <w:rPr>
          <w:rFonts w:hint="eastAsia" w:ascii="仿宋" w:hAnsi="仿宋" w:eastAsia="仿宋" w:cs="仿宋"/>
        </w:rPr>
        <w:fldChar w:fldCharType="separate"/>
      </w:r>
      <w:r>
        <w:t xml:space="preserve">四、 </w:t>
      </w:r>
      <w:r>
        <w:rPr>
          <w:rFonts w:hint="eastAsia"/>
        </w:rPr>
        <w:t>服务</w:t>
      </w:r>
      <w:r>
        <w:t>考核</w:t>
      </w:r>
      <w:r>
        <w:tab/>
      </w:r>
      <w:r>
        <w:fldChar w:fldCharType="begin"/>
      </w:r>
      <w:r>
        <w:instrText xml:space="preserve"> PAGEREF _Toc9642 \h </w:instrText>
      </w:r>
      <w:r>
        <w:fldChar w:fldCharType="separate"/>
      </w:r>
      <w:r>
        <w:t>11</w:t>
      </w:r>
      <w:r>
        <w:fldChar w:fldCharType="end"/>
      </w:r>
      <w:r>
        <w:rPr>
          <w:rFonts w:hint="eastAsia" w:ascii="仿宋" w:hAnsi="仿宋" w:eastAsia="仿宋" w:cs="仿宋"/>
          <w:color w:val="000000"/>
        </w:rPr>
        <w:fldChar w:fldCharType="end"/>
      </w:r>
    </w:p>
    <w:p w14:paraId="793B9947">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_Toc12177 </w:instrText>
      </w:r>
      <w:r>
        <w:rPr>
          <w:rFonts w:hint="eastAsia" w:ascii="仿宋" w:hAnsi="仿宋" w:eastAsia="仿宋" w:cs="仿宋"/>
        </w:rPr>
        <w:fldChar w:fldCharType="separate"/>
      </w:r>
      <w:r>
        <w:t>五、 消费者权益保护条款</w:t>
      </w:r>
      <w:r>
        <w:tab/>
      </w:r>
      <w:r>
        <w:fldChar w:fldCharType="begin"/>
      </w:r>
      <w:r>
        <w:instrText xml:space="preserve"> PAGEREF _Toc12177 \h </w:instrText>
      </w:r>
      <w:r>
        <w:fldChar w:fldCharType="separate"/>
      </w:r>
      <w:r>
        <w:t>12</w:t>
      </w:r>
      <w:r>
        <w:fldChar w:fldCharType="end"/>
      </w:r>
      <w:r>
        <w:rPr>
          <w:rFonts w:hint="eastAsia" w:ascii="仿宋" w:hAnsi="仿宋" w:eastAsia="仿宋" w:cs="仿宋"/>
          <w:color w:val="000000"/>
        </w:rPr>
        <w:fldChar w:fldCharType="end"/>
      </w:r>
    </w:p>
    <w:p w14:paraId="6A554959">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_Toc10838 </w:instrText>
      </w:r>
      <w:r>
        <w:rPr>
          <w:rFonts w:hint="eastAsia" w:ascii="仿宋" w:hAnsi="仿宋" w:eastAsia="仿宋" w:cs="仿宋"/>
        </w:rPr>
        <w:fldChar w:fldCharType="separate"/>
      </w:r>
      <w:r>
        <w:t xml:space="preserve">六、 </w:t>
      </w:r>
      <w:r>
        <w:rPr>
          <w:rFonts w:hint="eastAsia"/>
        </w:rPr>
        <w:t>通知</w:t>
      </w:r>
      <w:r>
        <w:tab/>
      </w:r>
      <w:r>
        <w:fldChar w:fldCharType="begin"/>
      </w:r>
      <w:r>
        <w:instrText xml:space="preserve"> PAGEREF _Toc10838 \h </w:instrText>
      </w:r>
      <w:r>
        <w:fldChar w:fldCharType="separate"/>
      </w:r>
      <w:r>
        <w:t>12</w:t>
      </w:r>
      <w:r>
        <w:fldChar w:fldCharType="end"/>
      </w:r>
      <w:r>
        <w:rPr>
          <w:rFonts w:hint="eastAsia" w:ascii="仿宋" w:hAnsi="仿宋" w:eastAsia="仿宋" w:cs="仿宋"/>
          <w:color w:val="000000"/>
        </w:rPr>
        <w:fldChar w:fldCharType="end"/>
      </w:r>
    </w:p>
    <w:p w14:paraId="28984D90">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_Toc11277 </w:instrText>
      </w:r>
      <w:r>
        <w:rPr>
          <w:rFonts w:hint="eastAsia" w:ascii="仿宋" w:hAnsi="仿宋" w:eastAsia="仿宋" w:cs="仿宋"/>
        </w:rPr>
        <w:fldChar w:fldCharType="separate"/>
      </w:r>
      <w:r>
        <w:rPr>
          <w:rFonts w:hint="eastAsia"/>
          <w:lang w:eastAsia="zh-CN"/>
        </w:rPr>
        <w:t>七、</w:t>
      </w:r>
      <w:r>
        <w:rPr>
          <w:rFonts w:hint="eastAsia"/>
        </w:rPr>
        <w:t>未尽事宜</w:t>
      </w:r>
      <w:r>
        <w:tab/>
      </w:r>
      <w:r>
        <w:fldChar w:fldCharType="begin"/>
      </w:r>
      <w:r>
        <w:instrText xml:space="preserve"> PAGEREF _Toc11277 \h </w:instrText>
      </w:r>
      <w:r>
        <w:fldChar w:fldCharType="separate"/>
      </w:r>
      <w:r>
        <w:t>13</w:t>
      </w:r>
      <w:r>
        <w:fldChar w:fldCharType="end"/>
      </w:r>
      <w:r>
        <w:rPr>
          <w:rFonts w:hint="eastAsia" w:ascii="仿宋" w:hAnsi="仿宋" w:eastAsia="仿宋" w:cs="仿宋"/>
          <w:color w:val="000000"/>
        </w:rPr>
        <w:fldChar w:fldCharType="end"/>
      </w:r>
    </w:p>
    <w:p w14:paraId="356417F7">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_Toc24194 </w:instrText>
      </w:r>
      <w:r>
        <w:rPr>
          <w:rFonts w:hint="eastAsia" w:ascii="仿宋" w:hAnsi="仿宋" w:eastAsia="仿宋" w:cs="仿宋"/>
        </w:rPr>
        <w:fldChar w:fldCharType="separate"/>
      </w:r>
      <w:r>
        <w:rPr>
          <w:rFonts w:hint="eastAsia" w:ascii="仿宋" w:hAnsi="仿宋" w:eastAsia="仿宋" w:cs="仿宋"/>
          <w:bCs/>
          <w:kern w:val="44"/>
          <w:szCs w:val="30"/>
          <w:lang w:val="en-US" w:eastAsia="zh-CN"/>
        </w:rPr>
        <w:t>第五章</w:t>
      </w:r>
      <w:r>
        <w:rPr>
          <w:rFonts w:hint="eastAsia" w:ascii="仿宋" w:hAnsi="仿宋" w:eastAsia="仿宋" w:cs="仿宋"/>
          <w:bCs/>
          <w:kern w:val="44"/>
          <w:szCs w:val="30"/>
        </w:rPr>
        <w:t>采购需求</w:t>
      </w:r>
      <w:r>
        <w:tab/>
      </w:r>
      <w:r>
        <w:fldChar w:fldCharType="begin"/>
      </w:r>
      <w:r>
        <w:instrText xml:space="preserve"> PAGEREF _Toc24194 \h </w:instrText>
      </w:r>
      <w:r>
        <w:fldChar w:fldCharType="separate"/>
      </w:r>
      <w:r>
        <w:t>14</w:t>
      </w:r>
      <w:r>
        <w:fldChar w:fldCharType="end"/>
      </w:r>
      <w:r>
        <w:rPr>
          <w:rFonts w:hint="eastAsia" w:ascii="仿宋" w:hAnsi="仿宋" w:eastAsia="仿宋" w:cs="仿宋"/>
          <w:color w:val="000000"/>
        </w:rPr>
        <w:fldChar w:fldCharType="end"/>
      </w:r>
    </w:p>
    <w:p w14:paraId="5A623059">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_Toc14152 </w:instrText>
      </w:r>
      <w:r>
        <w:rPr>
          <w:rFonts w:hint="eastAsia" w:ascii="仿宋" w:hAnsi="仿宋" w:eastAsia="仿宋" w:cs="仿宋"/>
        </w:rPr>
        <w:fldChar w:fldCharType="separate"/>
      </w:r>
      <w:r>
        <w:rPr>
          <w:rFonts w:hint="eastAsia" w:ascii="仿宋" w:hAnsi="仿宋" w:eastAsia="仿宋" w:cs="仿宋"/>
          <w:bCs/>
        </w:rPr>
        <w:t>一、项目背景</w:t>
      </w:r>
      <w:r>
        <w:tab/>
      </w:r>
      <w:r>
        <w:fldChar w:fldCharType="begin"/>
      </w:r>
      <w:r>
        <w:instrText xml:space="preserve"> PAGEREF _Toc14152 \h </w:instrText>
      </w:r>
      <w:r>
        <w:fldChar w:fldCharType="separate"/>
      </w:r>
      <w:r>
        <w:t>14</w:t>
      </w:r>
      <w:r>
        <w:fldChar w:fldCharType="end"/>
      </w:r>
      <w:r>
        <w:rPr>
          <w:rFonts w:hint="eastAsia" w:ascii="仿宋" w:hAnsi="仿宋" w:eastAsia="仿宋" w:cs="仿宋"/>
          <w:color w:val="000000"/>
        </w:rPr>
        <w:fldChar w:fldCharType="end"/>
      </w:r>
    </w:p>
    <w:p w14:paraId="19203E7A">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_Toc22453 </w:instrText>
      </w:r>
      <w:r>
        <w:rPr>
          <w:rFonts w:hint="eastAsia" w:ascii="仿宋" w:hAnsi="仿宋" w:eastAsia="仿宋" w:cs="仿宋"/>
        </w:rPr>
        <w:fldChar w:fldCharType="separate"/>
      </w:r>
      <w:r>
        <w:rPr>
          <w:rFonts w:hint="eastAsia" w:ascii="仿宋" w:hAnsi="仿宋" w:eastAsia="仿宋" w:cs="仿宋"/>
          <w:bCs/>
          <w:lang w:val="en-US" w:eastAsia="zh-CN"/>
        </w:rPr>
        <w:t>二、采购需求</w:t>
      </w:r>
      <w:r>
        <w:tab/>
      </w:r>
      <w:r>
        <w:fldChar w:fldCharType="begin"/>
      </w:r>
      <w:r>
        <w:instrText xml:space="preserve"> PAGEREF _Toc22453 \h </w:instrText>
      </w:r>
      <w:r>
        <w:fldChar w:fldCharType="separate"/>
      </w:r>
      <w:r>
        <w:t>14</w:t>
      </w:r>
      <w:r>
        <w:fldChar w:fldCharType="end"/>
      </w:r>
      <w:r>
        <w:rPr>
          <w:rFonts w:hint="eastAsia" w:ascii="仿宋" w:hAnsi="仿宋" w:eastAsia="仿宋" w:cs="仿宋"/>
          <w:color w:val="000000"/>
        </w:rPr>
        <w:fldChar w:fldCharType="end"/>
      </w:r>
    </w:p>
    <w:p w14:paraId="46A738E2">
      <w:pPr>
        <w:pStyle w:val="28"/>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_Toc17564 </w:instrText>
      </w:r>
      <w:r>
        <w:rPr>
          <w:rFonts w:hint="eastAsia" w:ascii="仿宋" w:hAnsi="仿宋" w:eastAsia="仿宋" w:cs="仿宋"/>
        </w:rPr>
        <w:fldChar w:fldCharType="separate"/>
      </w:r>
      <w:r>
        <w:rPr>
          <w:rFonts w:hint="eastAsia" w:ascii="仿宋" w:hAnsi="仿宋" w:eastAsia="仿宋" w:cs="仿宋"/>
          <w:bCs/>
          <w:kern w:val="44"/>
          <w:szCs w:val="30"/>
          <w:lang w:val="en-US" w:eastAsia="zh-CN"/>
        </w:rPr>
        <w:t>第六章 响应文件格式</w:t>
      </w:r>
      <w:r>
        <w:tab/>
      </w:r>
      <w:r>
        <w:fldChar w:fldCharType="begin"/>
      </w:r>
      <w:r>
        <w:instrText xml:space="preserve"> PAGEREF _Toc17564 \h </w:instrText>
      </w:r>
      <w:r>
        <w:fldChar w:fldCharType="separate"/>
      </w:r>
      <w:r>
        <w:t>15</w:t>
      </w:r>
      <w:r>
        <w:fldChar w:fldCharType="end"/>
      </w:r>
      <w:r>
        <w:rPr>
          <w:rFonts w:hint="eastAsia" w:ascii="仿宋" w:hAnsi="仿宋" w:eastAsia="仿宋" w:cs="仿宋"/>
          <w:color w:val="000000"/>
        </w:rPr>
        <w:fldChar w:fldCharType="end"/>
      </w:r>
    </w:p>
    <w:p w14:paraId="016F2880">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_Toc26640 </w:instrText>
      </w:r>
      <w:r>
        <w:rPr>
          <w:rFonts w:hint="eastAsia" w:ascii="仿宋" w:hAnsi="仿宋" w:eastAsia="仿宋" w:cs="仿宋"/>
        </w:rPr>
        <w:fldChar w:fldCharType="separate"/>
      </w:r>
      <w:r>
        <w:rPr>
          <w:rFonts w:hint="default" w:ascii="仿宋" w:hAnsi="仿宋" w:eastAsia="仿宋" w:cs="仿宋"/>
          <w:szCs w:val="24"/>
        </w:rPr>
        <w:t xml:space="preserve">一、 </w:t>
      </w:r>
      <w:r>
        <w:rPr>
          <w:rFonts w:hint="eastAsia" w:ascii="仿宋" w:hAnsi="仿宋" w:eastAsia="仿宋" w:cs="仿宋"/>
          <w:szCs w:val="24"/>
        </w:rPr>
        <w:t>商务文件</w:t>
      </w:r>
      <w:r>
        <w:tab/>
      </w:r>
      <w:r>
        <w:fldChar w:fldCharType="begin"/>
      </w:r>
      <w:r>
        <w:instrText xml:space="preserve"> PAGEREF _Toc26640 \h </w:instrText>
      </w:r>
      <w:r>
        <w:fldChar w:fldCharType="separate"/>
      </w:r>
      <w:r>
        <w:t>16</w:t>
      </w:r>
      <w:r>
        <w:fldChar w:fldCharType="end"/>
      </w:r>
      <w:r>
        <w:rPr>
          <w:rFonts w:hint="eastAsia" w:ascii="仿宋" w:hAnsi="仿宋" w:eastAsia="仿宋" w:cs="仿宋"/>
          <w:color w:val="000000"/>
        </w:rPr>
        <w:fldChar w:fldCharType="end"/>
      </w:r>
    </w:p>
    <w:p w14:paraId="23BD45F5">
      <w:pPr>
        <w:pStyle w:val="33"/>
        <w:tabs>
          <w:tab w:val="right" w:leader="dot" w:pos="9638"/>
        </w:tabs>
      </w:pPr>
      <w:r>
        <w:rPr>
          <w:rFonts w:hint="eastAsia" w:ascii="仿宋" w:hAnsi="仿宋" w:eastAsia="仿宋" w:cs="仿宋"/>
          <w:color w:val="000000"/>
        </w:rPr>
        <w:fldChar w:fldCharType="begin"/>
      </w:r>
      <w:r>
        <w:rPr>
          <w:rFonts w:hint="eastAsia" w:ascii="仿宋" w:hAnsi="仿宋" w:eastAsia="仿宋" w:cs="仿宋"/>
        </w:rPr>
        <w:instrText xml:space="preserve"> HYPERLINK \l _Toc301 </w:instrText>
      </w:r>
      <w:r>
        <w:rPr>
          <w:rFonts w:hint="eastAsia" w:ascii="仿宋" w:hAnsi="仿宋" w:eastAsia="仿宋" w:cs="仿宋"/>
        </w:rPr>
        <w:fldChar w:fldCharType="separate"/>
      </w:r>
      <w:r>
        <w:rPr>
          <w:rFonts w:hint="eastAsia" w:ascii="仿宋" w:hAnsi="仿宋" w:eastAsia="仿宋" w:cs="仿宋"/>
          <w:szCs w:val="24"/>
          <w:lang w:val="en-US" w:eastAsia="zh-CN"/>
        </w:rPr>
        <w:t>二</w:t>
      </w:r>
      <w:r>
        <w:rPr>
          <w:rFonts w:hint="eastAsia" w:ascii="仿宋" w:hAnsi="仿宋" w:eastAsia="仿宋" w:cs="仿宋"/>
          <w:szCs w:val="24"/>
        </w:rPr>
        <w:t>、报价文件</w:t>
      </w:r>
      <w:r>
        <w:tab/>
      </w:r>
      <w:r>
        <w:fldChar w:fldCharType="begin"/>
      </w:r>
      <w:r>
        <w:instrText xml:space="preserve"> PAGEREF _Toc301 \h </w:instrText>
      </w:r>
      <w:r>
        <w:fldChar w:fldCharType="separate"/>
      </w:r>
      <w:r>
        <w:t>31</w:t>
      </w:r>
      <w:r>
        <w:fldChar w:fldCharType="end"/>
      </w:r>
      <w:r>
        <w:rPr>
          <w:rFonts w:hint="eastAsia" w:ascii="仿宋" w:hAnsi="仿宋" w:eastAsia="仿宋" w:cs="仿宋"/>
          <w:color w:val="000000"/>
        </w:rPr>
        <w:fldChar w:fldCharType="end"/>
      </w:r>
    </w:p>
    <w:p w14:paraId="71A7012D">
      <w:pPr>
        <w:tabs>
          <w:tab w:val="right" w:leader="dot" w:pos="8302"/>
          <w:tab w:val="right" w:leader="dot" w:pos="8891"/>
        </w:tabs>
        <w:spacing w:line="360" w:lineRule="auto"/>
        <w:rPr>
          <w:rFonts w:hint="eastAsia" w:ascii="仿宋" w:hAnsi="仿宋" w:eastAsia="仿宋" w:cs="仿宋"/>
          <w:color w:val="000000"/>
          <w:sz w:val="24"/>
        </w:rPr>
      </w:pPr>
      <w:r>
        <w:rPr>
          <w:rFonts w:hint="eastAsia" w:ascii="仿宋" w:hAnsi="仿宋" w:eastAsia="仿宋" w:cs="仿宋"/>
          <w:color w:val="000000"/>
        </w:rPr>
        <w:fldChar w:fldCharType="end"/>
      </w:r>
    </w:p>
    <w:p w14:paraId="722AD925">
      <w:pPr>
        <w:tabs>
          <w:tab w:val="right" w:leader="dot" w:pos="8494"/>
        </w:tabs>
        <w:adjustRightInd w:val="0"/>
        <w:snapToGrid w:val="0"/>
        <w:spacing w:line="360" w:lineRule="auto"/>
        <w:jc w:val="center"/>
        <w:rPr>
          <w:rFonts w:hint="eastAsia" w:ascii="仿宋" w:hAnsi="仿宋" w:eastAsia="仿宋" w:cs="仿宋"/>
          <w:color w:val="000000"/>
          <w:sz w:val="24"/>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p>
    <w:p w14:paraId="1B837228">
      <w:pPr>
        <w:pStyle w:val="2"/>
        <w:spacing w:before="0" w:after="0" w:line="360" w:lineRule="auto"/>
        <w:jc w:val="center"/>
        <w:rPr>
          <w:rFonts w:hint="eastAsia" w:ascii="仿宋" w:hAnsi="仿宋" w:eastAsia="仿宋" w:cs="仿宋"/>
          <w:bCs w:val="0"/>
          <w:color w:val="000000"/>
          <w:sz w:val="28"/>
          <w:szCs w:val="28"/>
        </w:rPr>
      </w:pPr>
      <w:bookmarkStart w:id="1" w:name="_Toc19709"/>
      <w:bookmarkStart w:id="2" w:name="_Toc11826"/>
      <w:bookmarkStart w:id="3" w:name="_Toc287600115"/>
      <w:bookmarkStart w:id="4" w:name="_Toc11838"/>
      <w:bookmarkStart w:id="5" w:name="_Toc517281813"/>
      <w:bookmarkStart w:id="6" w:name="_Toc444891333"/>
      <w:bookmarkStart w:id="7" w:name="_Toc7300"/>
      <w:bookmarkStart w:id="8" w:name="_Toc2414"/>
      <w:bookmarkStart w:id="9" w:name="_Toc18681"/>
      <w:r>
        <w:rPr>
          <w:rFonts w:hint="eastAsia" w:ascii="仿宋" w:hAnsi="仿宋" w:eastAsia="仿宋" w:cs="仿宋"/>
          <w:bCs w:val="0"/>
          <w:color w:val="000000"/>
          <w:sz w:val="28"/>
          <w:szCs w:val="28"/>
        </w:rPr>
        <w:t xml:space="preserve">第一章 </w:t>
      </w:r>
      <w:bookmarkEnd w:id="1"/>
      <w:bookmarkEnd w:id="2"/>
      <w:bookmarkEnd w:id="3"/>
      <w:bookmarkEnd w:id="4"/>
      <w:bookmarkEnd w:id="5"/>
      <w:bookmarkEnd w:id="6"/>
      <w:bookmarkEnd w:id="7"/>
      <w:r>
        <w:rPr>
          <w:rFonts w:hint="eastAsia" w:ascii="仿宋" w:hAnsi="仿宋" w:eastAsia="仿宋" w:cs="仿宋"/>
          <w:bCs w:val="0"/>
          <w:color w:val="000000"/>
          <w:sz w:val="28"/>
          <w:szCs w:val="28"/>
          <w:lang w:val="en-US" w:eastAsia="zh-CN"/>
        </w:rPr>
        <w:t>单一来源采购</w:t>
      </w:r>
      <w:r>
        <w:rPr>
          <w:rFonts w:hint="eastAsia" w:ascii="仿宋" w:hAnsi="仿宋" w:eastAsia="仿宋" w:cs="仿宋"/>
          <w:bCs w:val="0"/>
          <w:color w:val="000000"/>
          <w:sz w:val="28"/>
          <w:szCs w:val="28"/>
        </w:rPr>
        <w:t>公告</w:t>
      </w:r>
      <w:bookmarkEnd w:id="8"/>
      <w:bookmarkEnd w:id="9"/>
    </w:p>
    <w:p w14:paraId="0258A8A8">
      <w:pPr>
        <w:pStyle w:val="3"/>
        <w:spacing w:before="240" w:after="240"/>
        <w:ind w:firstLine="0" w:firstLineChars="0"/>
        <w:jc w:val="left"/>
        <w:rPr>
          <w:rFonts w:hint="eastAsia" w:ascii="仿宋" w:hAnsi="仿宋" w:eastAsia="仿宋" w:cs="仿宋"/>
          <w:color w:val="000000"/>
          <w:sz w:val="24"/>
          <w:szCs w:val="24"/>
        </w:rPr>
      </w:pPr>
      <w:bookmarkStart w:id="10" w:name="_Toc26896"/>
      <w:bookmarkStart w:id="11" w:name="_Toc28739"/>
      <w:r>
        <w:rPr>
          <w:rFonts w:hint="eastAsia" w:ascii="仿宋" w:hAnsi="仿宋" w:eastAsia="仿宋" w:cs="仿宋"/>
          <w:color w:val="000000"/>
          <w:sz w:val="24"/>
          <w:szCs w:val="24"/>
        </w:rPr>
        <w:t>一、项目概况与采购范围</w:t>
      </w:r>
      <w:bookmarkEnd w:id="10"/>
      <w:bookmarkEnd w:id="11"/>
    </w:p>
    <w:p w14:paraId="304FA750">
      <w:pPr>
        <w:adjustRightInd w:val="0"/>
        <w:snapToGrid w:val="0"/>
        <w:spacing w:line="360" w:lineRule="auto"/>
        <w:ind w:firstLine="480" w:firstLineChars="200"/>
        <w:jc w:val="left"/>
        <w:rPr>
          <w:rFonts w:hint="eastAsia" w:ascii="仿宋" w:hAnsi="仿宋" w:eastAsia="仿宋" w:cs="仿宋"/>
          <w:color w:val="000000"/>
          <w:sz w:val="24"/>
        </w:rPr>
      </w:pPr>
      <w:bookmarkStart w:id="12" w:name="_Hlk77264910"/>
      <w:r>
        <w:rPr>
          <w:rFonts w:hint="eastAsia" w:ascii="仿宋" w:hAnsi="仿宋" w:eastAsia="仿宋" w:cs="仿宋"/>
          <w:color w:val="000000"/>
          <w:sz w:val="24"/>
        </w:rPr>
        <w:t>1.1 项目名称：</w:t>
      </w:r>
      <w:r>
        <w:rPr>
          <w:rFonts w:hint="eastAsia" w:ascii="仿宋" w:hAnsi="仿宋" w:eastAsia="仿宋" w:cs="仿宋"/>
          <w:color w:val="000000"/>
          <w:sz w:val="24"/>
          <w:lang w:eastAsia="zh-CN"/>
        </w:rPr>
        <w:t>人保健康青岛分公司理赔外包服务采购项目</w:t>
      </w:r>
      <w:r>
        <w:rPr>
          <w:rFonts w:hint="eastAsia" w:ascii="仿宋" w:hAnsi="仿宋" w:eastAsia="仿宋" w:cs="仿宋"/>
          <w:color w:val="000000"/>
          <w:sz w:val="24"/>
        </w:rPr>
        <w:t>。</w:t>
      </w:r>
    </w:p>
    <w:p w14:paraId="00197340">
      <w:pPr>
        <w:spacing w:line="360" w:lineRule="auto"/>
        <w:ind w:firstLine="480" w:firstLineChars="200"/>
        <w:textAlignment w:val="baseline"/>
        <w:rPr>
          <w:rFonts w:hint="eastAsia" w:ascii="仿宋" w:hAnsi="仿宋" w:eastAsia="仿宋" w:cs="仿宋"/>
          <w:color w:val="000000"/>
          <w:sz w:val="24"/>
        </w:rPr>
      </w:pPr>
      <w:r>
        <w:rPr>
          <w:rFonts w:hint="eastAsia" w:ascii="仿宋" w:hAnsi="仿宋" w:eastAsia="仿宋" w:cs="仿宋"/>
          <w:sz w:val="24"/>
        </w:rPr>
        <w:t>1.</w:t>
      </w:r>
      <w:r>
        <w:rPr>
          <w:rFonts w:hint="eastAsia" w:ascii="仿宋" w:hAnsi="仿宋" w:eastAsia="仿宋" w:cs="仿宋"/>
          <w:color w:val="000000"/>
          <w:sz w:val="24"/>
        </w:rPr>
        <w:t>2 采购范围：</w:t>
      </w:r>
      <w:bookmarkStart w:id="13" w:name="_Hlk69456860"/>
      <w:r>
        <w:rPr>
          <w:rFonts w:hint="eastAsia" w:ascii="仿宋" w:hAnsi="仿宋" w:eastAsia="仿宋" w:cs="宋体"/>
          <w:color w:val="auto"/>
          <w:sz w:val="24"/>
          <w:szCs w:val="24"/>
        </w:rPr>
        <w:t>本项目拟采购</w:t>
      </w:r>
      <w:bookmarkEnd w:id="13"/>
      <w:r>
        <w:rPr>
          <w:rFonts w:hint="eastAsia" w:ascii="仿宋" w:hAnsi="仿宋" w:eastAsia="仿宋" w:cs="宋体"/>
          <w:color w:val="auto"/>
          <w:sz w:val="24"/>
          <w:szCs w:val="24"/>
          <w:lang w:val="en-US" w:eastAsia="zh-CN"/>
        </w:rPr>
        <w:t>一家供应商提供理赔外包服务</w:t>
      </w:r>
      <w:r>
        <w:rPr>
          <w:rFonts w:hint="eastAsia" w:ascii="仿宋" w:hAnsi="仿宋" w:eastAsia="仿宋" w:cs="宋体"/>
          <w:color w:val="auto"/>
          <w:sz w:val="24"/>
          <w:szCs w:val="24"/>
          <w:lang w:eastAsia="zh-CN"/>
        </w:rPr>
        <w:t>；</w:t>
      </w:r>
      <w:r>
        <w:rPr>
          <w:rFonts w:hint="eastAsia" w:ascii="仿宋" w:hAnsi="仿宋" w:eastAsia="仿宋" w:cs="仿宋"/>
          <w:sz w:val="24"/>
        </w:rPr>
        <w:t>具体内容及要求见</w:t>
      </w:r>
      <w:r>
        <w:rPr>
          <w:rFonts w:hint="eastAsia" w:ascii="仿宋" w:hAnsi="仿宋" w:eastAsia="仿宋" w:cs="仿宋"/>
          <w:sz w:val="24"/>
          <w:lang w:eastAsia="zh-CN"/>
        </w:rPr>
        <w:t>采购文件</w:t>
      </w:r>
      <w:r>
        <w:rPr>
          <w:rFonts w:hint="eastAsia" w:ascii="仿宋" w:hAnsi="仿宋" w:eastAsia="仿宋" w:cs="仿宋"/>
          <w:sz w:val="24"/>
        </w:rPr>
        <w:t>第五章采购需求</w:t>
      </w:r>
      <w:r>
        <w:rPr>
          <w:rFonts w:hint="eastAsia" w:ascii="仿宋" w:hAnsi="仿宋" w:eastAsia="仿宋" w:cs="仿宋"/>
          <w:color w:val="000000"/>
          <w:sz w:val="24"/>
        </w:rPr>
        <w:t>。</w:t>
      </w:r>
    </w:p>
    <w:p w14:paraId="57F421B9">
      <w:pPr>
        <w:spacing w:line="360" w:lineRule="auto"/>
        <w:ind w:firstLine="480" w:firstLineChars="200"/>
        <w:textAlignment w:val="baseline"/>
        <w:rPr>
          <w:rFonts w:hint="eastAsia"/>
        </w:rPr>
      </w:pPr>
      <w:r>
        <w:rPr>
          <w:rFonts w:hint="eastAsia" w:ascii="仿宋" w:hAnsi="仿宋" w:eastAsia="仿宋" w:cs="仿宋"/>
          <w:sz w:val="24"/>
          <w:lang w:val="en-US" w:eastAsia="zh-CN"/>
        </w:rPr>
        <w:t>1.3采购方式：因情况紧急，为保证商业险理赔外包服务服务配套的要求，需要再次向原供应商北京沛合健康科技有限公司进行单一采购。</w:t>
      </w:r>
    </w:p>
    <w:bookmarkEnd w:id="12"/>
    <w:p w14:paraId="722B98EB">
      <w:pPr>
        <w:spacing w:line="360" w:lineRule="auto"/>
        <w:ind w:firstLine="480" w:firstLineChars="200"/>
        <w:textAlignment w:val="baseline"/>
        <w:rPr>
          <w:rFonts w:hint="default"/>
          <w:lang w:val="en-US" w:eastAsia="zh-CN"/>
        </w:rPr>
      </w:pPr>
      <w:r>
        <w:rPr>
          <w:rFonts w:hint="eastAsia" w:ascii="仿宋" w:hAnsi="仿宋" w:eastAsia="仿宋" w:cs="宋体"/>
          <w:color w:val="000000"/>
          <w:sz w:val="24"/>
        </w:rPr>
        <w:t>1.</w:t>
      </w:r>
      <w:r>
        <w:rPr>
          <w:rFonts w:hint="eastAsia" w:ascii="仿宋" w:hAnsi="仿宋" w:eastAsia="仿宋" w:cs="宋体"/>
          <w:color w:val="000000"/>
          <w:sz w:val="24"/>
          <w:lang w:val="en-US" w:eastAsia="zh-CN"/>
        </w:rPr>
        <w:t>4</w:t>
      </w:r>
      <w:r>
        <w:rPr>
          <w:rFonts w:hint="eastAsia" w:ascii="仿宋" w:hAnsi="仿宋" w:eastAsia="仿宋" w:cs="宋体"/>
          <w:color w:val="000000"/>
          <w:sz w:val="24"/>
        </w:rPr>
        <w:t xml:space="preserve"> 服务期限：自合同签订之日起</w:t>
      </w:r>
      <w:r>
        <w:rPr>
          <w:rFonts w:hint="eastAsia" w:ascii="仿宋" w:hAnsi="仿宋" w:eastAsia="仿宋" w:cs="宋体"/>
          <w:color w:val="000000"/>
          <w:sz w:val="24"/>
          <w:lang w:val="en-US" w:eastAsia="zh-CN"/>
        </w:rPr>
        <w:t>6个月。</w:t>
      </w:r>
    </w:p>
    <w:p w14:paraId="34F05FB0">
      <w:pPr>
        <w:pStyle w:val="3"/>
        <w:ind w:firstLine="0" w:firstLineChars="0"/>
        <w:jc w:val="left"/>
        <w:rPr>
          <w:rFonts w:hint="eastAsia" w:ascii="仿宋" w:hAnsi="仿宋" w:eastAsia="仿宋" w:cs="仿宋"/>
          <w:color w:val="000000"/>
          <w:sz w:val="24"/>
          <w:szCs w:val="24"/>
        </w:rPr>
      </w:pPr>
      <w:bookmarkStart w:id="14" w:name="_Toc5892"/>
      <w:bookmarkStart w:id="15" w:name="_Toc29391"/>
      <w:r>
        <w:rPr>
          <w:rFonts w:hint="eastAsia" w:ascii="仿宋" w:hAnsi="仿宋" w:eastAsia="仿宋" w:cs="仿宋"/>
          <w:color w:val="000000"/>
          <w:sz w:val="24"/>
          <w:szCs w:val="24"/>
        </w:rPr>
        <w:t>二、供应商资格要求</w:t>
      </w:r>
      <w:bookmarkEnd w:id="14"/>
      <w:bookmarkEnd w:id="15"/>
    </w:p>
    <w:p w14:paraId="12C4B4B3">
      <w:pPr>
        <w:spacing w:line="360" w:lineRule="auto"/>
        <w:ind w:firstLine="480" w:firstLineChars="200"/>
        <w:textAlignment w:val="baseline"/>
        <w:rPr>
          <w:rFonts w:hint="eastAsia"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.1</w:t>
      </w:r>
      <w:r>
        <w:rPr>
          <w:rFonts w:hint="eastAsia" w:ascii="仿宋" w:hAnsi="仿宋" w:eastAsia="仿宋" w:cs="Monaco"/>
          <w:color w:val="000000"/>
          <w:sz w:val="24"/>
        </w:rPr>
        <w:t>在中华人民共和国境内依法登记的法人或其他组织，</w:t>
      </w:r>
      <w:r>
        <w:rPr>
          <w:rFonts w:hint="eastAsia" w:ascii="仿宋" w:hAnsi="仿宋" w:eastAsia="仿宋" w:cs="Monaco"/>
          <w:b/>
          <w:bCs/>
          <w:color w:val="000000"/>
          <w:sz w:val="24"/>
        </w:rPr>
        <w:t>具有独立承担民事责任的能力</w:t>
      </w:r>
      <w:r>
        <w:rPr>
          <w:rFonts w:hint="eastAsia" w:ascii="仿宋" w:hAnsi="仿宋" w:eastAsia="仿宋" w:cs="Monaco"/>
          <w:color w:val="000000"/>
          <w:sz w:val="24"/>
        </w:rPr>
        <w:t>，供应商如为企业法人，须提供企业法人营业执照（复印件）；供应商如为事业单位或其他组织，须提供事业单位法人证书或登记证或组织机构代码证或其他有效证明文件（复印件）。</w:t>
      </w:r>
    </w:p>
    <w:p w14:paraId="3841B41D">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ascii="仿宋" w:hAnsi="仿宋" w:eastAsia="仿宋" w:cs="宋体"/>
          <w:color w:val="000000"/>
          <w:sz w:val="24"/>
        </w:rPr>
        <w:t>2</w:t>
      </w:r>
      <w:r>
        <w:rPr>
          <w:rFonts w:hint="eastAsia" w:ascii="仿宋" w:hAnsi="仿宋" w:eastAsia="仿宋" w:cs="宋体"/>
          <w:b/>
          <w:bCs/>
          <w:color w:val="000000"/>
          <w:sz w:val="24"/>
        </w:rPr>
        <w:t>具有良好的商业信誉和健全的财务会计制度</w:t>
      </w:r>
      <w:r>
        <w:rPr>
          <w:rFonts w:hint="eastAsia" w:ascii="仿宋" w:hAnsi="仿宋" w:eastAsia="仿宋" w:cs="宋体"/>
          <w:color w:val="000000"/>
          <w:sz w:val="24"/>
        </w:rPr>
        <w:t>，需提供202</w:t>
      </w:r>
      <w:r>
        <w:rPr>
          <w:rFonts w:hint="eastAsia" w:ascii="仿宋" w:hAnsi="仿宋" w:eastAsia="仿宋" w:cs="宋体"/>
          <w:color w:val="000000"/>
          <w:sz w:val="24"/>
          <w:lang w:val="en-US" w:eastAsia="zh-CN"/>
        </w:rPr>
        <w:t>5</w:t>
      </w:r>
      <w:r>
        <w:rPr>
          <w:rFonts w:hint="eastAsia" w:ascii="仿宋" w:hAnsi="仿宋" w:eastAsia="仿宋" w:cs="宋体"/>
          <w:color w:val="000000"/>
          <w:sz w:val="24"/>
        </w:rPr>
        <w:t>年度财务报表或者</w:t>
      </w:r>
      <w:r>
        <w:rPr>
          <w:rFonts w:hint="eastAsia" w:ascii="仿宋" w:hAnsi="仿宋" w:eastAsia="仿宋" w:cs="Cambria Math"/>
          <w:color w:val="000000"/>
          <w:sz w:val="24"/>
        </w:rPr>
        <w:t>响应文件递交截止日前</w:t>
      </w:r>
      <w:r>
        <w:rPr>
          <w:rFonts w:ascii="仿宋" w:hAnsi="仿宋" w:eastAsia="仿宋" w:cs="宋体"/>
          <w:color w:val="000000"/>
          <w:sz w:val="24"/>
        </w:rPr>
        <w:t>6</w:t>
      </w:r>
      <w:r>
        <w:rPr>
          <w:rFonts w:hint="eastAsia" w:ascii="仿宋" w:hAnsi="仿宋" w:eastAsia="仿宋" w:cs="宋体"/>
          <w:color w:val="000000"/>
          <w:sz w:val="24"/>
        </w:rPr>
        <w:t>个月内开具的银行资信证明。</w:t>
      </w:r>
    </w:p>
    <w:p w14:paraId="16F8F4A6">
      <w:pPr>
        <w:spacing w:line="360" w:lineRule="auto"/>
        <w:ind w:firstLine="540" w:firstLineChars="225"/>
        <w:textAlignment w:val="baseline"/>
        <w:rPr>
          <w:rFonts w:hint="eastAsia"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ascii="仿宋" w:hAnsi="仿宋" w:eastAsia="仿宋" w:cs="宋体"/>
          <w:color w:val="000000"/>
          <w:sz w:val="24"/>
        </w:rPr>
        <w:t xml:space="preserve">3 </w:t>
      </w:r>
      <w:r>
        <w:rPr>
          <w:rFonts w:hint="eastAsia" w:ascii="仿宋" w:hAnsi="仿宋" w:eastAsia="仿宋" w:cs="宋体"/>
          <w:b/>
          <w:bCs/>
          <w:color w:val="000000"/>
          <w:sz w:val="24"/>
        </w:rPr>
        <w:t>供应商应具有履行合同所必需的设备和专业技术能力</w:t>
      </w:r>
      <w:r>
        <w:rPr>
          <w:rFonts w:hint="eastAsia" w:ascii="仿宋" w:hAnsi="仿宋" w:eastAsia="仿宋" w:cs="宋体"/>
          <w:color w:val="000000"/>
          <w:sz w:val="24"/>
        </w:rPr>
        <w:t>，</w:t>
      </w:r>
      <w:r>
        <w:rPr>
          <w:rFonts w:hint="eastAsia" w:ascii="仿宋" w:hAnsi="仿宋" w:eastAsia="仿宋" w:cs="仿宋"/>
          <w:color w:val="000000"/>
          <w:sz w:val="24"/>
        </w:rPr>
        <w:t>供应商202</w:t>
      </w:r>
      <w:r>
        <w:rPr>
          <w:rFonts w:hint="eastAsia" w:ascii="仿宋" w:hAnsi="仿宋" w:eastAsia="仿宋" w:cs="仿宋"/>
          <w:color w:val="000000"/>
          <w:sz w:val="24"/>
          <w:lang w:val="en-US" w:eastAsia="zh-CN"/>
        </w:rPr>
        <w:t>3</w:t>
      </w:r>
      <w:r>
        <w:rPr>
          <w:rFonts w:hint="eastAsia" w:ascii="仿宋" w:hAnsi="仿宋" w:eastAsia="仿宋" w:cs="仿宋"/>
          <w:color w:val="000000"/>
          <w:sz w:val="24"/>
        </w:rPr>
        <w:t>年</w:t>
      </w:r>
      <w:r>
        <w:rPr>
          <w:rFonts w:hint="eastAsia" w:ascii="仿宋" w:hAnsi="仿宋" w:eastAsia="仿宋" w:cs="仿宋"/>
          <w:color w:val="000000"/>
          <w:sz w:val="24"/>
          <w:lang w:val="en-US" w:eastAsia="zh-CN"/>
        </w:rPr>
        <w:t>0</w:t>
      </w:r>
      <w:r>
        <w:rPr>
          <w:rFonts w:hint="eastAsia" w:ascii="仿宋" w:hAnsi="仿宋" w:eastAsia="仿宋" w:cs="仿宋"/>
          <w:color w:val="000000"/>
          <w:sz w:val="24"/>
        </w:rPr>
        <w:t>1月</w:t>
      </w:r>
      <w:r>
        <w:rPr>
          <w:rFonts w:hint="eastAsia" w:ascii="仿宋" w:hAnsi="仿宋" w:eastAsia="仿宋" w:cs="仿宋"/>
          <w:color w:val="000000"/>
          <w:sz w:val="24"/>
          <w:lang w:val="en-US" w:eastAsia="zh-CN"/>
        </w:rPr>
        <w:t>0</w:t>
      </w:r>
      <w:r>
        <w:rPr>
          <w:rFonts w:hint="eastAsia" w:ascii="仿宋" w:hAnsi="仿宋" w:eastAsia="仿宋" w:cs="仿宋"/>
          <w:color w:val="000000"/>
          <w:sz w:val="24"/>
        </w:rPr>
        <w:t>1日至磋商截止时间，</w:t>
      </w:r>
      <w:r>
        <w:rPr>
          <w:rFonts w:hint="eastAsia" w:ascii="仿宋" w:hAnsi="仿宋" w:eastAsia="仿宋" w:cs="宋体"/>
          <w:color w:val="000000"/>
          <w:sz w:val="24"/>
        </w:rPr>
        <w:t>应具有至少1个</w:t>
      </w:r>
      <w:r>
        <w:rPr>
          <w:rFonts w:hint="eastAsia" w:ascii="仿宋" w:hAnsi="仿宋" w:eastAsia="仿宋" w:cs="宋体"/>
          <w:color w:val="auto"/>
          <w:sz w:val="24"/>
          <w:szCs w:val="24"/>
        </w:rPr>
        <w:t>同类项目实施案例，并提供符合上述要求的合同关键页作为有效的业绩证明材料。合同关键页包含但不限于合同首页、合同标的页、签署日期页及盖章页等。</w:t>
      </w:r>
      <w:r>
        <w:rPr>
          <w:rFonts w:hint="eastAsia" w:ascii="仿宋" w:hAnsi="仿宋" w:eastAsia="仿宋" w:cs="仿宋"/>
          <w:color w:val="000000"/>
          <w:sz w:val="24"/>
        </w:rPr>
        <w:t>如合同为框架协议类，须同时提供该框架协议下经双方确认的、发生具体服务事项的相关材料。</w:t>
      </w:r>
    </w:p>
    <w:p w14:paraId="2A986630">
      <w:pPr>
        <w:spacing w:line="360" w:lineRule="auto"/>
        <w:ind w:firstLine="540" w:firstLineChars="225"/>
        <w:textAlignment w:val="baseline"/>
        <w:rPr>
          <w:rFonts w:hint="eastAsia"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.4</w:t>
      </w:r>
      <w:r>
        <w:rPr>
          <w:rFonts w:hint="eastAsia" w:ascii="仿宋" w:hAnsi="仿宋" w:eastAsia="仿宋" w:cs="宋体"/>
          <w:b/>
          <w:bCs/>
          <w:color w:val="000000"/>
          <w:sz w:val="24"/>
        </w:rPr>
        <w:t>具有依法缴纳税收和社会保障资金的良好记录</w:t>
      </w:r>
      <w:r>
        <w:rPr>
          <w:rFonts w:hint="eastAsia" w:ascii="仿宋" w:hAnsi="仿宋" w:eastAsia="仿宋" w:cs="宋体"/>
          <w:color w:val="000000"/>
          <w:sz w:val="24"/>
        </w:rPr>
        <w:t>，提供近6个月任意一个月的税收和社会保障资金缴纳凭证。</w:t>
      </w:r>
    </w:p>
    <w:p w14:paraId="5FFAA12D">
      <w:pPr>
        <w:spacing w:line="360" w:lineRule="auto"/>
        <w:ind w:firstLine="480" w:firstLineChars="200"/>
        <w:textAlignment w:val="baseline"/>
        <w:rPr>
          <w:rFonts w:hint="eastAsia" w:ascii="仿宋" w:hAnsi="仿宋" w:eastAsia="仿宋" w:cs="Monaco"/>
          <w:color w:val="000000"/>
          <w:sz w:val="24"/>
        </w:rPr>
      </w:pPr>
      <w:r>
        <w:rPr>
          <w:rFonts w:ascii="仿宋" w:hAnsi="仿宋" w:eastAsia="仿宋" w:cs="宋体"/>
          <w:color w:val="000000"/>
          <w:sz w:val="24"/>
        </w:rPr>
        <w:t>2</w:t>
      </w:r>
      <w:r>
        <w:rPr>
          <w:rFonts w:hint="eastAsia" w:ascii="仿宋" w:hAnsi="仿宋" w:eastAsia="仿宋" w:cs="宋体"/>
          <w:color w:val="000000"/>
          <w:sz w:val="24"/>
        </w:rPr>
        <w:t>.5</w:t>
      </w:r>
      <w:r>
        <w:rPr>
          <w:rFonts w:hint="eastAsia" w:ascii="仿宋" w:hAnsi="仿宋" w:eastAsia="仿宋" w:cs="Monaco"/>
          <w:b/>
          <w:bCs/>
          <w:color w:val="000000"/>
          <w:sz w:val="24"/>
        </w:rPr>
        <w:t>供应商应经营状况良好，</w:t>
      </w:r>
      <w:r>
        <w:rPr>
          <w:rFonts w:hint="eastAsia" w:ascii="仿宋" w:hAnsi="仿宋" w:eastAsia="仿宋" w:cs="仿宋"/>
          <w:b/>
          <w:bCs/>
          <w:color w:val="000000"/>
          <w:sz w:val="24"/>
        </w:rPr>
        <w:t>且近三年内（202</w:t>
      </w:r>
      <w:r>
        <w:rPr>
          <w:rFonts w:hint="eastAsia" w:ascii="仿宋" w:hAnsi="仿宋" w:eastAsia="仿宋" w:cs="仿宋"/>
          <w:b/>
          <w:bCs/>
          <w:color w:val="000000"/>
          <w:sz w:val="24"/>
          <w:lang w:val="en-US" w:eastAsia="zh-CN"/>
        </w:rPr>
        <w:t>3</w:t>
      </w:r>
      <w:r>
        <w:rPr>
          <w:rFonts w:hint="eastAsia" w:ascii="仿宋" w:hAnsi="仿宋" w:eastAsia="仿宋" w:cs="仿宋"/>
          <w:b/>
          <w:bCs/>
          <w:color w:val="000000"/>
          <w:sz w:val="24"/>
        </w:rPr>
        <w:t>年</w:t>
      </w:r>
      <w:r>
        <w:rPr>
          <w:rFonts w:hint="eastAsia" w:ascii="仿宋" w:hAnsi="仿宋" w:eastAsia="仿宋" w:cs="仿宋"/>
          <w:b/>
          <w:bCs/>
          <w:color w:val="000000"/>
          <w:sz w:val="24"/>
          <w:lang w:val="en-US" w:eastAsia="zh-CN"/>
        </w:rPr>
        <w:t>01</w:t>
      </w:r>
      <w:r>
        <w:rPr>
          <w:rFonts w:hint="eastAsia" w:ascii="仿宋" w:hAnsi="仿宋" w:eastAsia="仿宋" w:cs="仿宋"/>
          <w:b/>
          <w:bCs/>
          <w:color w:val="000000"/>
          <w:sz w:val="24"/>
        </w:rPr>
        <w:t>月</w:t>
      </w:r>
      <w:r>
        <w:rPr>
          <w:rFonts w:hint="eastAsia" w:ascii="仿宋" w:hAnsi="仿宋" w:eastAsia="仿宋" w:cs="仿宋"/>
          <w:b/>
          <w:bCs/>
          <w:color w:val="000000"/>
          <w:sz w:val="24"/>
          <w:lang w:val="en-US" w:eastAsia="zh-CN"/>
        </w:rPr>
        <w:t>0</w:t>
      </w:r>
      <w:r>
        <w:rPr>
          <w:rFonts w:hint="eastAsia" w:ascii="仿宋" w:hAnsi="仿宋" w:eastAsia="仿宋" w:cs="仿宋"/>
          <w:b/>
          <w:bCs/>
          <w:color w:val="000000"/>
          <w:sz w:val="24"/>
        </w:rPr>
        <w:t>1日至磋商截止时间）无违法违规记录</w:t>
      </w:r>
      <w:r>
        <w:rPr>
          <w:rFonts w:hint="eastAsia" w:ascii="仿宋" w:hAnsi="仿宋" w:eastAsia="仿宋" w:cs="Monaco"/>
          <w:color w:val="000000"/>
          <w:sz w:val="24"/>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14:paraId="416873C0">
      <w:pPr>
        <w:spacing w:line="360" w:lineRule="auto"/>
        <w:ind w:firstLine="480" w:firstLineChars="200"/>
        <w:textAlignment w:val="baseline"/>
        <w:rPr>
          <w:rFonts w:hint="eastAsia" w:ascii="仿宋" w:hAnsi="仿宋" w:eastAsia="仿宋" w:cs="Monaco"/>
          <w:color w:val="000000"/>
          <w:sz w:val="24"/>
        </w:rPr>
      </w:pPr>
      <w:r>
        <w:rPr>
          <w:rFonts w:hint="eastAsia" w:ascii="仿宋" w:hAnsi="仿宋" w:eastAsia="仿宋" w:cs="Monaco"/>
          <w:color w:val="000000"/>
          <w:sz w:val="24"/>
        </w:rPr>
        <w:t>信用中国查询网址：</w:t>
      </w:r>
      <w:r>
        <w:rPr>
          <w:rFonts w:hint="eastAsia" w:ascii="仿宋" w:hAnsi="仿宋" w:eastAsia="仿宋" w:cs="Monaco"/>
          <w:color w:val="000000"/>
          <w:sz w:val="24"/>
        </w:rPr>
        <w:fldChar w:fldCharType="begin"/>
      </w:r>
      <w:r>
        <w:rPr>
          <w:rFonts w:hint="eastAsia" w:ascii="仿宋" w:hAnsi="仿宋" w:eastAsia="仿宋" w:cs="Monaco"/>
          <w:color w:val="000000"/>
          <w:sz w:val="24"/>
        </w:rPr>
        <w:instrText xml:space="preserve"> HYPERLINK "https://www.creditchina.gov.cn/xinyongfuwu/?navPage=5" </w:instrText>
      </w:r>
      <w:r>
        <w:rPr>
          <w:rFonts w:hint="eastAsia" w:ascii="仿宋" w:hAnsi="仿宋" w:eastAsia="仿宋" w:cs="Monaco"/>
          <w:color w:val="000000"/>
          <w:sz w:val="24"/>
        </w:rPr>
        <w:fldChar w:fldCharType="separate"/>
      </w:r>
      <w:r>
        <w:rPr>
          <w:rStyle w:val="49"/>
          <w:rFonts w:hint="eastAsia" w:ascii="仿宋" w:hAnsi="仿宋" w:eastAsia="仿宋" w:cs="Monaco"/>
          <w:sz w:val="24"/>
        </w:rPr>
        <w:t>https://www.creditchina.gov.cn/xinyongfuwu/?navPage=5</w:t>
      </w:r>
      <w:r>
        <w:rPr>
          <w:rFonts w:hint="eastAsia" w:ascii="仿宋" w:hAnsi="仿宋" w:eastAsia="仿宋" w:cs="Monaco"/>
          <w:color w:val="000000"/>
          <w:sz w:val="24"/>
        </w:rPr>
        <w:fldChar w:fldCharType="end"/>
      </w:r>
    </w:p>
    <w:p w14:paraId="4A54EF1E">
      <w:pPr>
        <w:spacing w:line="360" w:lineRule="auto"/>
        <w:ind w:firstLine="482" w:firstLineChars="200"/>
        <w:textAlignment w:val="baseline"/>
        <w:rPr>
          <w:rFonts w:hint="eastAsia" w:ascii="仿宋" w:hAnsi="仿宋" w:eastAsia="仿宋" w:cs="Monaco"/>
          <w:b/>
          <w:bCs/>
          <w:color w:val="000000"/>
          <w:sz w:val="24"/>
        </w:rPr>
      </w:pPr>
      <w:r>
        <w:rPr>
          <w:rFonts w:hint="eastAsia" w:ascii="仿宋" w:hAnsi="仿宋" w:eastAsia="仿宋" w:cs="Monaco"/>
          <w:b/>
          <w:bCs/>
          <w:color w:val="000000"/>
          <w:sz w:val="24"/>
        </w:rPr>
        <w:t>2.</w:t>
      </w:r>
      <w:r>
        <w:rPr>
          <w:rFonts w:hint="eastAsia" w:ascii="仿宋" w:hAnsi="仿宋" w:eastAsia="仿宋" w:cs="Monaco"/>
          <w:b/>
          <w:bCs/>
          <w:color w:val="000000"/>
          <w:sz w:val="24"/>
          <w:lang w:val="en-US" w:eastAsia="zh-CN"/>
        </w:rPr>
        <w:t>6</w:t>
      </w:r>
      <w:r>
        <w:rPr>
          <w:rFonts w:hint="eastAsia" w:ascii="仿宋" w:hAnsi="仿宋" w:eastAsia="仿宋" w:cs="宋体"/>
          <w:b/>
          <w:bCs/>
          <w:color w:val="000000"/>
          <w:sz w:val="24"/>
        </w:rPr>
        <w:t>根据《中国人民保险集团供应商管理办法》规定，严禁列入中国人民保险集团黑名单且在禁入期内的供应商参与采购活动。</w:t>
      </w:r>
    </w:p>
    <w:p w14:paraId="23E9C9AC">
      <w:pPr>
        <w:pStyle w:val="3"/>
        <w:ind w:firstLine="0" w:firstLineChars="0"/>
        <w:jc w:val="left"/>
        <w:rPr>
          <w:rFonts w:hint="eastAsia" w:ascii="仿宋" w:hAnsi="仿宋" w:eastAsia="仿宋" w:cs="仿宋"/>
          <w:color w:val="000000"/>
          <w:sz w:val="24"/>
          <w:szCs w:val="24"/>
        </w:rPr>
      </w:pPr>
      <w:bookmarkStart w:id="16" w:name="_Toc3738"/>
      <w:bookmarkStart w:id="17" w:name="_Toc21411"/>
      <w:r>
        <w:rPr>
          <w:rFonts w:hint="eastAsia" w:ascii="仿宋" w:hAnsi="仿宋" w:eastAsia="仿宋" w:cs="仿宋"/>
          <w:color w:val="000000"/>
          <w:sz w:val="24"/>
          <w:szCs w:val="24"/>
        </w:rPr>
        <w:t>三、</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文件的领取</w:t>
      </w:r>
      <w:bookmarkEnd w:id="16"/>
      <w:bookmarkEnd w:id="17"/>
    </w:p>
    <w:p w14:paraId="74D19883">
      <w:pPr>
        <w:spacing w:line="360" w:lineRule="auto"/>
        <w:ind w:firstLine="480" w:firstLineChars="200"/>
        <w:textAlignment w:val="baseline"/>
        <w:rPr>
          <w:rFonts w:hint="eastAsia" w:ascii="仿宋" w:hAnsi="仿宋" w:eastAsia="仿宋" w:cs="仿宋"/>
          <w:color w:val="000000"/>
          <w:sz w:val="24"/>
        </w:rPr>
      </w:pPr>
      <w:r>
        <w:rPr>
          <w:rFonts w:hint="eastAsia" w:ascii="仿宋" w:hAnsi="仿宋" w:eastAsia="仿宋" w:cs="仿宋"/>
          <w:color w:val="000000"/>
          <w:sz w:val="24"/>
        </w:rPr>
        <w:t>3.1</w:t>
      </w:r>
      <w:r>
        <w:rPr>
          <w:rFonts w:hint="eastAsia" w:ascii="仿宋" w:hAnsi="仿宋" w:eastAsia="仿宋" w:cs="仿宋"/>
          <w:color w:val="000000"/>
          <w:sz w:val="24"/>
          <w:lang w:val="en-US" w:eastAsia="zh-CN"/>
        </w:rPr>
        <w:t>通过采购人在“人保e采”外网门户发布的采购公告链接下载，（“人保e采”外网门户网址https://ec.picc.com/cms/default/webfile/index.html），领取时间</w:t>
      </w:r>
      <w:r>
        <w:rPr>
          <w:rFonts w:hint="eastAsia" w:ascii="仿宋" w:hAnsi="仿宋" w:eastAsia="仿宋" w:cs="仿宋"/>
          <w:color w:val="000000"/>
          <w:sz w:val="24"/>
        </w:rPr>
        <w:t xml:space="preserve">为 </w:t>
      </w:r>
      <w:r>
        <w:rPr>
          <w:rFonts w:hint="eastAsia" w:ascii="仿宋" w:hAnsi="仿宋" w:eastAsia="仿宋" w:cs="仿宋"/>
          <w:b/>
          <w:bCs/>
          <w:color w:val="000000"/>
          <w:sz w:val="24"/>
          <w:u w:val="single"/>
        </w:rPr>
        <w:t>202</w:t>
      </w:r>
      <w:r>
        <w:rPr>
          <w:rFonts w:hint="eastAsia" w:ascii="仿宋" w:hAnsi="仿宋" w:eastAsia="仿宋" w:cs="仿宋"/>
          <w:b/>
          <w:bCs/>
          <w:color w:val="000000"/>
          <w:sz w:val="24"/>
          <w:u w:val="single"/>
          <w:lang w:val="en-US" w:eastAsia="zh-CN"/>
        </w:rPr>
        <w:t>6</w:t>
      </w:r>
      <w:r>
        <w:rPr>
          <w:rFonts w:hint="eastAsia" w:ascii="仿宋" w:hAnsi="仿宋" w:eastAsia="仿宋" w:cs="仿宋"/>
          <w:b/>
          <w:bCs/>
          <w:color w:val="000000"/>
          <w:sz w:val="24"/>
          <w:u w:val="single"/>
        </w:rPr>
        <w:t>年</w:t>
      </w:r>
      <w:r>
        <w:rPr>
          <w:rFonts w:hint="eastAsia" w:ascii="仿宋" w:hAnsi="仿宋" w:eastAsia="仿宋" w:cs="仿宋"/>
          <w:b/>
          <w:bCs/>
          <w:color w:val="000000"/>
          <w:sz w:val="24"/>
          <w:u w:val="single"/>
          <w:lang w:val="en-US" w:eastAsia="zh-CN"/>
        </w:rPr>
        <w:t>01</w:t>
      </w:r>
      <w:r>
        <w:rPr>
          <w:rFonts w:hint="eastAsia" w:ascii="仿宋" w:hAnsi="仿宋" w:eastAsia="仿宋" w:cs="仿宋"/>
          <w:b/>
          <w:bCs/>
          <w:color w:val="000000"/>
          <w:sz w:val="24"/>
          <w:u w:val="single"/>
        </w:rPr>
        <w:t>月</w:t>
      </w:r>
      <w:r>
        <w:rPr>
          <w:rFonts w:hint="eastAsia" w:ascii="仿宋" w:hAnsi="仿宋" w:eastAsia="仿宋" w:cs="仿宋"/>
          <w:b/>
          <w:bCs/>
          <w:color w:val="000000"/>
          <w:sz w:val="24"/>
          <w:u w:val="single"/>
          <w:lang w:val="en-US" w:eastAsia="zh-CN"/>
        </w:rPr>
        <w:t>8</w:t>
      </w:r>
      <w:r>
        <w:rPr>
          <w:rFonts w:hint="eastAsia" w:ascii="仿宋" w:hAnsi="仿宋" w:eastAsia="仿宋" w:cs="仿宋"/>
          <w:b/>
          <w:bCs/>
          <w:color w:val="000000"/>
          <w:sz w:val="24"/>
          <w:u w:val="single"/>
        </w:rPr>
        <w:t>日</w:t>
      </w:r>
      <w:r>
        <w:rPr>
          <w:rFonts w:hint="eastAsia" w:ascii="仿宋" w:hAnsi="仿宋" w:eastAsia="仿宋" w:cs="仿宋"/>
          <w:b/>
          <w:bCs/>
          <w:color w:val="000000"/>
          <w:sz w:val="24"/>
        </w:rPr>
        <w:t xml:space="preserve"> 至 </w:t>
      </w:r>
      <w:r>
        <w:rPr>
          <w:rFonts w:hint="eastAsia" w:ascii="仿宋" w:hAnsi="仿宋" w:eastAsia="仿宋" w:cs="仿宋"/>
          <w:b/>
          <w:bCs/>
          <w:color w:val="000000"/>
          <w:sz w:val="24"/>
          <w:u w:val="single"/>
        </w:rPr>
        <w:t>202</w:t>
      </w:r>
      <w:r>
        <w:rPr>
          <w:rFonts w:hint="eastAsia" w:ascii="仿宋" w:hAnsi="仿宋" w:eastAsia="仿宋" w:cs="仿宋"/>
          <w:b/>
          <w:bCs/>
          <w:color w:val="000000"/>
          <w:sz w:val="24"/>
          <w:u w:val="single"/>
          <w:lang w:val="en-US" w:eastAsia="zh-CN"/>
        </w:rPr>
        <w:t>6</w:t>
      </w:r>
      <w:r>
        <w:rPr>
          <w:rFonts w:hint="eastAsia" w:ascii="仿宋" w:hAnsi="仿宋" w:eastAsia="仿宋" w:cs="仿宋"/>
          <w:b/>
          <w:bCs/>
          <w:color w:val="000000"/>
          <w:sz w:val="24"/>
          <w:u w:val="single"/>
        </w:rPr>
        <w:t>年</w:t>
      </w:r>
      <w:r>
        <w:rPr>
          <w:rFonts w:hint="eastAsia" w:ascii="仿宋" w:hAnsi="仿宋" w:eastAsia="仿宋" w:cs="仿宋"/>
          <w:b/>
          <w:bCs/>
          <w:color w:val="000000"/>
          <w:sz w:val="24"/>
          <w:u w:val="single"/>
          <w:lang w:val="en-US" w:eastAsia="zh-CN"/>
        </w:rPr>
        <w:t>01</w:t>
      </w:r>
      <w:r>
        <w:rPr>
          <w:rFonts w:hint="eastAsia" w:ascii="仿宋" w:hAnsi="仿宋" w:eastAsia="仿宋" w:cs="仿宋"/>
          <w:b/>
          <w:bCs/>
          <w:color w:val="000000"/>
          <w:sz w:val="24"/>
          <w:u w:val="single"/>
        </w:rPr>
        <w:t>月</w:t>
      </w:r>
      <w:r>
        <w:rPr>
          <w:rFonts w:hint="eastAsia" w:ascii="仿宋" w:hAnsi="仿宋" w:eastAsia="仿宋" w:cs="仿宋"/>
          <w:b/>
          <w:bCs/>
          <w:color w:val="000000"/>
          <w:sz w:val="24"/>
          <w:u w:val="single"/>
          <w:lang w:val="en-US" w:eastAsia="zh-CN"/>
        </w:rPr>
        <w:t>12</w:t>
      </w:r>
      <w:r>
        <w:rPr>
          <w:rFonts w:hint="eastAsia" w:ascii="仿宋" w:hAnsi="仿宋" w:eastAsia="仿宋" w:cs="仿宋"/>
          <w:b/>
          <w:bCs/>
          <w:color w:val="000000"/>
          <w:sz w:val="24"/>
          <w:u w:val="single"/>
        </w:rPr>
        <w:t>日</w:t>
      </w:r>
      <w:r>
        <w:rPr>
          <w:rFonts w:hint="eastAsia" w:ascii="仿宋" w:hAnsi="仿宋" w:eastAsia="仿宋" w:cs="仿宋"/>
          <w:b/>
          <w:bCs/>
          <w:color w:val="000000"/>
          <w:sz w:val="24"/>
        </w:rPr>
        <w:t>（北京时间，下同）</w:t>
      </w:r>
      <w:r>
        <w:rPr>
          <w:rFonts w:hint="eastAsia" w:ascii="仿宋" w:hAnsi="仿宋" w:eastAsia="仿宋" w:cs="仿宋"/>
          <w:color w:val="000000"/>
          <w:sz w:val="24"/>
        </w:rPr>
        <w:t>。</w:t>
      </w:r>
    </w:p>
    <w:p w14:paraId="003BF60A">
      <w:pPr>
        <w:pStyle w:val="3"/>
        <w:ind w:firstLine="0" w:firstLineChars="0"/>
        <w:jc w:val="left"/>
        <w:rPr>
          <w:rFonts w:hint="eastAsia" w:ascii="仿宋" w:hAnsi="仿宋" w:eastAsia="仿宋" w:cs="仿宋"/>
          <w:color w:val="000000"/>
          <w:sz w:val="24"/>
          <w:szCs w:val="24"/>
        </w:rPr>
      </w:pPr>
      <w:bookmarkStart w:id="18" w:name="_Toc16789"/>
      <w:bookmarkStart w:id="19" w:name="_Toc17076"/>
      <w:r>
        <w:rPr>
          <w:rFonts w:hint="eastAsia" w:ascii="仿宋" w:hAnsi="仿宋" w:eastAsia="仿宋" w:cs="仿宋"/>
          <w:color w:val="000000"/>
          <w:sz w:val="24"/>
          <w:szCs w:val="24"/>
        </w:rPr>
        <w:t>四、响应文件的递交</w:t>
      </w:r>
      <w:bookmarkEnd w:id="18"/>
      <w:bookmarkEnd w:id="19"/>
    </w:p>
    <w:p w14:paraId="33F85992">
      <w:pPr>
        <w:spacing w:line="360" w:lineRule="auto"/>
        <w:ind w:firstLine="480" w:firstLineChars="200"/>
        <w:textAlignment w:val="baseline"/>
        <w:rPr>
          <w:rFonts w:hint="eastAsia" w:ascii="仿宋" w:hAnsi="仿宋" w:eastAsia="仿宋" w:cs="宋体"/>
          <w:color w:val="000000"/>
          <w:sz w:val="24"/>
        </w:rPr>
      </w:pPr>
      <w:r>
        <w:rPr>
          <w:rFonts w:ascii="仿宋" w:hAnsi="仿宋" w:eastAsia="仿宋" w:cs="宋体"/>
          <w:color w:val="000000"/>
          <w:sz w:val="24"/>
        </w:rPr>
        <w:t>4</w:t>
      </w:r>
      <w:r>
        <w:rPr>
          <w:rFonts w:hint="eastAsia" w:ascii="仿宋" w:hAnsi="仿宋" w:eastAsia="仿宋" w:cs="宋体"/>
          <w:color w:val="000000"/>
          <w:sz w:val="24"/>
        </w:rPr>
        <w:t>.1递交截止时间</w:t>
      </w:r>
      <w:r>
        <w:rPr>
          <w:rFonts w:hint="eastAsia" w:ascii="仿宋" w:hAnsi="仿宋" w:eastAsia="仿宋" w:cs="宋体"/>
          <w:b/>
          <w:bCs/>
          <w:color w:val="000000"/>
          <w:sz w:val="24"/>
          <w:u w:val="single"/>
        </w:rPr>
        <w:t>202</w:t>
      </w:r>
      <w:r>
        <w:rPr>
          <w:rFonts w:hint="eastAsia" w:ascii="仿宋" w:hAnsi="仿宋" w:eastAsia="仿宋" w:cs="宋体"/>
          <w:b/>
          <w:bCs/>
          <w:color w:val="000000"/>
          <w:sz w:val="24"/>
          <w:u w:val="single"/>
          <w:lang w:val="en-US" w:eastAsia="zh-CN"/>
        </w:rPr>
        <w:t>6</w:t>
      </w:r>
      <w:r>
        <w:rPr>
          <w:rFonts w:hint="eastAsia" w:ascii="仿宋" w:hAnsi="仿宋" w:eastAsia="仿宋" w:cs="宋体"/>
          <w:b/>
          <w:bCs/>
          <w:color w:val="000000"/>
          <w:sz w:val="24"/>
          <w:u w:val="single"/>
        </w:rPr>
        <w:t>年</w:t>
      </w:r>
      <w:r>
        <w:rPr>
          <w:rFonts w:hint="eastAsia" w:ascii="仿宋" w:hAnsi="仿宋" w:eastAsia="仿宋" w:cs="宋体"/>
          <w:b/>
          <w:bCs/>
          <w:color w:val="000000"/>
          <w:sz w:val="24"/>
          <w:u w:val="single"/>
          <w:lang w:val="en-US" w:eastAsia="zh-CN"/>
        </w:rPr>
        <w:t>01</w:t>
      </w:r>
      <w:r>
        <w:rPr>
          <w:rFonts w:hint="eastAsia" w:ascii="仿宋" w:hAnsi="仿宋" w:eastAsia="仿宋" w:cs="宋体"/>
          <w:b/>
          <w:bCs/>
          <w:color w:val="000000"/>
          <w:sz w:val="24"/>
          <w:u w:val="single"/>
        </w:rPr>
        <w:t>月</w:t>
      </w:r>
      <w:r>
        <w:rPr>
          <w:rFonts w:hint="eastAsia" w:ascii="仿宋" w:hAnsi="仿宋" w:eastAsia="仿宋" w:cs="宋体"/>
          <w:b/>
          <w:bCs/>
          <w:color w:val="000000"/>
          <w:sz w:val="24"/>
          <w:u w:val="single"/>
          <w:lang w:val="en-US" w:eastAsia="zh-CN"/>
        </w:rPr>
        <w:t>13</w:t>
      </w:r>
      <w:r>
        <w:rPr>
          <w:rFonts w:hint="eastAsia" w:ascii="仿宋" w:hAnsi="仿宋" w:eastAsia="仿宋" w:cs="宋体"/>
          <w:b/>
          <w:bCs/>
          <w:color w:val="000000"/>
          <w:sz w:val="24"/>
          <w:u w:val="single"/>
        </w:rPr>
        <w:t>日</w:t>
      </w:r>
      <w:r>
        <w:rPr>
          <w:rFonts w:hint="eastAsia" w:ascii="仿宋" w:hAnsi="仿宋" w:eastAsia="仿宋" w:cs="宋体"/>
          <w:b/>
          <w:bCs/>
          <w:color w:val="000000"/>
          <w:sz w:val="24"/>
          <w:u w:val="single"/>
          <w:lang w:val="en-US" w:eastAsia="zh-CN"/>
        </w:rPr>
        <w:t>15</w:t>
      </w:r>
      <w:r>
        <w:rPr>
          <w:rFonts w:hint="eastAsia" w:ascii="仿宋" w:hAnsi="仿宋" w:eastAsia="仿宋" w:cs="宋体"/>
          <w:b/>
          <w:bCs/>
          <w:color w:val="000000"/>
          <w:sz w:val="24"/>
          <w:u w:val="single"/>
        </w:rPr>
        <w:t>时</w:t>
      </w:r>
      <w:r>
        <w:rPr>
          <w:rFonts w:hint="eastAsia" w:ascii="仿宋" w:hAnsi="仿宋" w:eastAsia="仿宋" w:cs="宋体"/>
          <w:b/>
          <w:bCs/>
          <w:color w:val="000000"/>
          <w:sz w:val="24"/>
          <w:u w:val="single"/>
          <w:lang w:val="en-US" w:eastAsia="zh-CN"/>
        </w:rPr>
        <w:t>0</w:t>
      </w:r>
      <w:r>
        <w:rPr>
          <w:rFonts w:hint="eastAsia" w:ascii="仿宋" w:hAnsi="仿宋" w:eastAsia="仿宋" w:cs="宋体"/>
          <w:b/>
          <w:bCs/>
          <w:color w:val="000000"/>
          <w:sz w:val="24"/>
          <w:u w:val="single"/>
        </w:rPr>
        <w:t>0分</w:t>
      </w:r>
      <w:r>
        <w:rPr>
          <w:rFonts w:hint="eastAsia" w:ascii="仿宋" w:hAnsi="仿宋" w:eastAsia="仿宋" w:cs="宋体"/>
          <w:bCs/>
          <w:color w:val="000000"/>
          <w:sz w:val="24"/>
          <w:u w:val="single"/>
        </w:rPr>
        <w:t>，</w:t>
      </w:r>
      <w:r>
        <w:rPr>
          <w:rFonts w:hint="eastAsia" w:ascii="仿宋" w:hAnsi="仿宋" w:eastAsia="仿宋" w:cs="宋体"/>
          <w:color w:val="000000"/>
          <w:sz w:val="24"/>
        </w:rPr>
        <w:t>递交地点</w:t>
      </w:r>
      <w:r>
        <w:rPr>
          <w:rFonts w:hint="eastAsia" w:ascii="仿宋" w:hAnsi="仿宋" w:eastAsia="仿宋" w:cs="宋体"/>
          <w:b/>
          <w:bCs/>
          <w:color w:val="000000"/>
          <w:sz w:val="24"/>
          <w:u w:val="single"/>
          <w:lang w:eastAsia="zh-CN"/>
        </w:rPr>
        <w:t>青岛市</w:t>
      </w:r>
      <w:r>
        <w:rPr>
          <w:rFonts w:hint="eastAsia" w:ascii="仿宋" w:hAnsi="仿宋" w:eastAsia="仿宋" w:cs="宋体"/>
          <w:b/>
          <w:bCs/>
          <w:color w:val="000000"/>
          <w:sz w:val="24"/>
          <w:u w:val="single"/>
          <w:lang w:val="en-US" w:eastAsia="zh-CN"/>
        </w:rPr>
        <w:t>市南区东海西路15号英德隆大厦17层</w:t>
      </w:r>
      <w:r>
        <w:rPr>
          <w:rFonts w:hint="eastAsia" w:ascii="仿宋" w:hAnsi="仿宋" w:eastAsia="仿宋" w:cs="宋体"/>
          <w:color w:val="000000"/>
          <w:sz w:val="24"/>
        </w:rPr>
        <w:t>，逾期送达或者未送达指定地点的响应文件将不予接收。</w:t>
      </w:r>
    </w:p>
    <w:p w14:paraId="185B048B">
      <w:pPr>
        <w:spacing w:line="360" w:lineRule="auto"/>
        <w:ind w:firstLine="480" w:firstLineChars="200"/>
        <w:textAlignment w:val="baseline"/>
        <w:rPr>
          <w:rFonts w:hint="eastAsia" w:ascii="仿宋" w:hAnsi="仿宋" w:eastAsia="仿宋" w:cs="Cambria Math"/>
          <w:color w:val="000000"/>
          <w:sz w:val="24"/>
        </w:rPr>
      </w:pPr>
      <w:r>
        <w:rPr>
          <w:rFonts w:ascii="仿宋" w:hAnsi="仿宋" w:eastAsia="仿宋" w:cs="宋体"/>
          <w:color w:val="000000"/>
          <w:sz w:val="24"/>
        </w:rPr>
        <w:t>4</w:t>
      </w:r>
      <w:r>
        <w:rPr>
          <w:rFonts w:hint="eastAsia" w:ascii="仿宋" w:hAnsi="仿宋" w:eastAsia="仿宋" w:cs="宋体"/>
          <w:color w:val="000000"/>
          <w:sz w:val="24"/>
        </w:rPr>
        <w:t>.2</w:t>
      </w:r>
      <w:r>
        <w:rPr>
          <w:rFonts w:hint="eastAsia" w:ascii="仿宋" w:hAnsi="仿宋" w:eastAsia="仿宋" w:cs="宋体"/>
          <w:color w:val="000000"/>
          <w:sz w:val="24"/>
          <w:lang w:val="en-US" w:eastAsia="zh-CN"/>
        </w:rPr>
        <w:t>谈判会议</w:t>
      </w:r>
      <w:r>
        <w:rPr>
          <w:rFonts w:hint="eastAsia" w:ascii="仿宋" w:hAnsi="仿宋" w:eastAsia="仿宋" w:cs="宋体"/>
          <w:color w:val="000000"/>
          <w:sz w:val="24"/>
        </w:rPr>
        <w:t>在递交截止时间当日进行，会议地点同响应文件递交地点，供应商至少应派法定代表人（负责人）或其授权委托人</w:t>
      </w:r>
      <w:r>
        <w:rPr>
          <w:rFonts w:hint="eastAsia" w:ascii="仿宋" w:hAnsi="仿宋" w:eastAsia="仿宋" w:cs="宋体"/>
          <w:color w:val="000000"/>
          <w:sz w:val="24"/>
          <w:lang w:val="en-US" w:eastAsia="zh-CN"/>
        </w:rPr>
        <w:t>到现场或者通过视频</w:t>
      </w:r>
      <w:r>
        <w:rPr>
          <w:rFonts w:hint="eastAsia" w:ascii="仿宋" w:hAnsi="仿宋" w:eastAsia="仿宋" w:cs="宋体"/>
          <w:color w:val="000000"/>
          <w:sz w:val="24"/>
        </w:rPr>
        <w:t>准时参会。</w:t>
      </w:r>
    </w:p>
    <w:p w14:paraId="52C795D1">
      <w:pPr>
        <w:pStyle w:val="3"/>
        <w:ind w:firstLine="0" w:firstLineChars="0"/>
        <w:jc w:val="left"/>
        <w:rPr>
          <w:rFonts w:hint="eastAsia" w:ascii="仿宋" w:hAnsi="仿宋" w:eastAsia="仿宋" w:cs="仿宋"/>
          <w:color w:val="000000"/>
          <w:sz w:val="24"/>
          <w:szCs w:val="24"/>
        </w:rPr>
      </w:pPr>
      <w:bookmarkStart w:id="20" w:name="_Toc24671"/>
      <w:bookmarkStart w:id="21" w:name="_Toc8197"/>
      <w:r>
        <w:rPr>
          <w:rFonts w:hint="eastAsia" w:ascii="仿宋" w:hAnsi="仿宋" w:eastAsia="仿宋" w:cs="仿宋"/>
          <w:color w:val="000000"/>
          <w:sz w:val="24"/>
          <w:szCs w:val="24"/>
        </w:rPr>
        <w:t>五、发布公告的媒介</w:t>
      </w:r>
      <w:bookmarkEnd w:id="20"/>
      <w:bookmarkEnd w:id="21"/>
    </w:p>
    <w:p w14:paraId="597B3E92">
      <w:pPr>
        <w:spacing w:line="360" w:lineRule="auto"/>
        <w:ind w:firstLine="480" w:firstLineChars="200"/>
        <w:textAlignment w:val="baseline"/>
        <w:rPr>
          <w:rFonts w:hint="eastAsia" w:ascii="仿宋" w:hAnsi="仿宋" w:eastAsia="仿宋" w:cs="仿宋"/>
          <w:color w:val="000000"/>
          <w:sz w:val="24"/>
        </w:rPr>
      </w:pPr>
      <w:r>
        <w:rPr>
          <w:rFonts w:hint="eastAsia" w:ascii="仿宋" w:hAnsi="仿宋" w:eastAsia="仿宋" w:cs="仿宋"/>
          <w:sz w:val="24"/>
        </w:rPr>
        <w:t>本项目</w:t>
      </w:r>
      <w:r>
        <w:rPr>
          <w:rFonts w:hint="eastAsia" w:ascii="仿宋" w:hAnsi="仿宋" w:eastAsia="仿宋" w:cs="仿宋"/>
          <w:sz w:val="24"/>
          <w:lang w:val="en-US" w:eastAsia="zh-CN"/>
        </w:rPr>
        <w:t>采购公告只</w:t>
      </w:r>
      <w:r>
        <w:rPr>
          <w:rFonts w:hint="eastAsia" w:ascii="仿宋" w:hAnsi="仿宋" w:eastAsia="仿宋" w:cs="仿宋"/>
          <w:sz w:val="24"/>
        </w:rPr>
        <w:t>在</w:t>
      </w:r>
      <w:r>
        <w:rPr>
          <w:rFonts w:hint="eastAsia" w:ascii="仿宋" w:hAnsi="仿宋" w:eastAsia="仿宋" w:cs="仿宋"/>
          <w:color w:val="000000"/>
          <w:sz w:val="24"/>
          <w:lang w:val="en-US" w:eastAsia="zh-CN"/>
        </w:rPr>
        <w:t>“人保e采”外网门户网址https://ec.picc.com/cms/default/webfile/index.html</w:t>
      </w:r>
      <w:r>
        <w:rPr>
          <w:rFonts w:hint="eastAsia" w:ascii="仿宋" w:hAnsi="仿宋" w:eastAsia="仿宋" w:cs="仿宋"/>
          <w:sz w:val="24"/>
        </w:rPr>
        <w:t>上发布，其他媒介转载无效。对于非法转载、篡改磋商公告信息的组织或个人，采购人/采购代理机构保留追究其法律责任的权利</w:t>
      </w:r>
      <w:r>
        <w:rPr>
          <w:rFonts w:hint="eastAsia" w:ascii="仿宋" w:hAnsi="仿宋" w:eastAsia="仿宋" w:cs="仿宋"/>
          <w:color w:val="000000"/>
          <w:sz w:val="24"/>
        </w:rPr>
        <w:t>。</w:t>
      </w:r>
    </w:p>
    <w:p w14:paraId="04F3F984">
      <w:pPr>
        <w:pStyle w:val="3"/>
        <w:ind w:firstLine="0" w:firstLineChars="0"/>
        <w:jc w:val="left"/>
        <w:rPr>
          <w:rFonts w:hint="eastAsia" w:ascii="仿宋" w:hAnsi="仿宋" w:eastAsia="仿宋" w:cs="仿宋"/>
          <w:color w:val="000000"/>
          <w:sz w:val="24"/>
          <w:szCs w:val="24"/>
        </w:rPr>
      </w:pPr>
      <w:bookmarkStart w:id="22" w:name="_Toc3584"/>
      <w:bookmarkStart w:id="23" w:name="_Toc10994"/>
      <w:r>
        <w:rPr>
          <w:rFonts w:hint="eastAsia" w:ascii="仿宋" w:hAnsi="仿宋" w:eastAsia="仿宋" w:cs="仿宋"/>
          <w:color w:val="000000"/>
          <w:sz w:val="24"/>
          <w:szCs w:val="24"/>
        </w:rPr>
        <w:t>六、联系方式</w:t>
      </w:r>
      <w:bookmarkEnd w:id="22"/>
      <w:bookmarkEnd w:id="23"/>
    </w:p>
    <w:p w14:paraId="18BC657F">
      <w:pPr>
        <w:spacing w:line="360" w:lineRule="auto"/>
        <w:ind w:firstLine="482" w:firstLineChars="200"/>
        <w:textAlignment w:val="baseline"/>
        <w:rPr>
          <w:rFonts w:hint="eastAsia" w:ascii="仿宋" w:hAnsi="仿宋" w:eastAsia="仿宋" w:cs="仿宋"/>
          <w:b/>
          <w:sz w:val="24"/>
        </w:rPr>
      </w:pPr>
      <w:bookmarkStart w:id="24" w:name="_Hlk69457004"/>
      <w:bookmarkStart w:id="25" w:name="_Toc1895"/>
      <w:bookmarkStart w:id="26" w:name="_Toc517281814"/>
      <w:bookmarkStart w:id="27" w:name="_Toc23165"/>
      <w:bookmarkStart w:id="28" w:name="_Toc17103"/>
      <w:bookmarkStart w:id="29" w:name="_Toc287600116"/>
      <w:bookmarkStart w:id="30" w:name="_Toc2797"/>
      <w:bookmarkStart w:id="31" w:name="_Toc444891334"/>
      <w:r>
        <w:rPr>
          <w:rFonts w:hint="eastAsia" w:ascii="仿宋" w:hAnsi="仿宋" w:eastAsia="仿宋" w:cs="仿宋"/>
          <w:b/>
          <w:sz w:val="24"/>
        </w:rPr>
        <w:t>采购人：中国人民健康保险股份有限公司青岛分公司</w:t>
      </w:r>
    </w:p>
    <w:p w14:paraId="333B0F40">
      <w:pPr>
        <w:spacing w:line="360" w:lineRule="auto"/>
        <w:ind w:firstLine="482" w:firstLineChars="200"/>
        <w:textAlignment w:val="baseline"/>
        <w:rPr>
          <w:rFonts w:hint="eastAsia" w:ascii="仿宋" w:hAnsi="仿宋" w:eastAsia="仿宋" w:cs="仿宋"/>
          <w:b/>
          <w:sz w:val="24"/>
        </w:rPr>
      </w:pPr>
      <w:r>
        <w:rPr>
          <w:rFonts w:hint="eastAsia" w:ascii="仿宋" w:hAnsi="仿宋" w:eastAsia="仿宋" w:cs="仿宋"/>
          <w:b/>
          <w:sz w:val="24"/>
        </w:rPr>
        <w:t>地址：青岛市市南区东海西路15号英德隆大厦17层</w:t>
      </w:r>
    </w:p>
    <w:p w14:paraId="7CC6A56F">
      <w:pPr>
        <w:spacing w:line="360" w:lineRule="auto"/>
        <w:ind w:firstLine="482" w:firstLineChars="200"/>
        <w:textAlignment w:val="baseline"/>
        <w:rPr>
          <w:rFonts w:hint="eastAsia" w:ascii="仿宋" w:hAnsi="仿宋" w:eastAsia="仿宋" w:cs="宋体"/>
          <w:b/>
          <w:color w:val="000000"/>
          <w:sz w:val="24"/>
          <w:lang w:val="en-US" w:eastAsia="zh-CN"/>
        </w:rPr>
      </w:pPr>
      <w:bookmarkStart w:id="32" w:name="_Hlk112069734"/>
      <w:r>
        <w:rPr>
          <w:rFonts w:hint="eastAsia" w:ascii="仿宋" w:hAnsi="仿宋" w:eastAsia="仿宋" w:cs="宋体"/>
          <w:b/>
          <w:color w:val="000000"/>
          <w:sz w:val="24"/>
        </w:rPr>
        <w:t>联系人：</w:t>
      </w:r>
      <w:r>
        <w:rPr>
          <w:rFonts w:hint="eastAsia" w:ascii="仿宋" w:hAnsi="仿宋" w:eastAsia="仿宋" w:cs="宋体"/>
          <w:b/>
          <w:color w:val="000000"/>
          <w:sz w:val="24"/>
          <w:lang w:val="en-US" w:eastAsia="zh-CN"/>
        </w:rPr>
        <w:t>林楠</w:t>
      </w:r>
    </w:p>
    <w:p w14:paraId="14CF51C0">
      <w:pPr>
        <w:spacing w:line="360" w:lineRule="auto"/>
        <w:ind w:firstLine="482" w:firstLineChars="200"/>
        <w:textAlignment w:val="baseline"/>
        <w:rPr>
          <w:rFonts w:hint="default" w:ascii="仿宋" w:hAnsi="仿宋" w:eastAsia="仿宋" w:cs="宋体"/>
          <w:b/>
          <w:color w:val="000000"/>
          <w:sz w:val="24"/>
          <w:lang w:val="en-US" w:eastAsia="zh-CN"/>
        </w:rPr>
      </w:pPr>
      <w:r>
        <w:rPr>
          <w:rFonts w:hint="eastAsia" w:ascii="仿宋" w:hAnsi="仿宋" w:eastAsia="仿宋" w:cs="宋体"/>
          <w:b/>
          <w:color w:val="000000"/>
          <w:sz w:val="24"/>
        </w:rPr>
        <w:t>电话：</w:t>
      </w:r>
      <w:r>
        <w:rPr>
          <w:rFonts w:hint="eastAsia" w:ascii="仿宋" w:hAnsi="仿宋" w:eastAsia="仿宋" w:cs="宋体"/>
          <w:b/>
          <w:color w:val="000000"/>
          <w:sz w:val="24"/>
          <w:lang w:val="en-US" w:eastAsia="zh-CN"/>
        </w:rPr>
        <w:t>83079853</w:t>
      </w:r>
    </w:p>
    <w:p w14:paraId="58D5ACCD">
      <w:pPr>
        <w:spacing w:line="360" w:lineRule="auto"/>
        <w:ind w:firstLine="482" w:firstLineChars="200"/>
        <w:textAlignment w:val="baseline"/>
        <w:rPr>
          <w:rFonts w:hint="default" w:ascii="仿宋" w:hAnsi="仿宋" w:eastAsia="仿宋" w:cs="宋体"/>
          <w:b/>
          <w:color w:val="000000"/>
          <w:sz w:val="24"/>
          <w:lang w:val="en-US" w:eastAsia="zh-CN"/>
        </w:rPr>
      </w:pPr>
      <w:r>
        <w:rPr>
          <w:rFonts w:hint="eastAsia" w:ascii="仿宋" w:hAnsi="仿宋" w:eastAsia="仿宋" w:cs="宋体"/>
          <w:b/>
          <w:color w:val="000000"/>
          <w:sz w:val="24"/>
        </w:rPr>
        <w:t>电子邮件：</w:t>
      </w:r>
      <w:r>
        <w:rPr>
          <w:rFonts w:hint="eastAsia" w:ascii="仿宋" w:hAnsi="仿宋" w:eastAsia="仿宋" w:cs="宋体"/>
          <w:b/>
          <w:color w:val="000000"/>
          <w:sz w:val="24"/>
          <w:lang w:val="en-US" w:eastAsia="zh-CN"/>
        </w:rPr>
        <w:t>linnan@picchealth.com</w:t>
      </w:r>
    </w:p>
    <w:bookmarkEnd w:id="24"/>
    <w:bookmarkEnd w:id="32"/>
    <w:p w14:paraId="4AF9379E">
      <w:pPr>
        <w:spacing w:line="360" w:lineRule="auto"/>
        <w:ind w:firstLine="480" w:firstLineChars="200"/>
        <w:jc w:val="right"/>
        <w:textAlignment w:val="baseline"/>
        <w:rPr>
          <w:rFonts w:hint="eastAsia" w:ascii="仿宋" w:hAnsi="仿宋" w:eastAsia="仿宋" w:cs="宋体"/>
          <w:color w:val="000000"/>
          <w:sz w:val="24"/>
        </w:rPr>
      </w:pPr>
    </w:p>
    <w:p w14:paraId="4FD1E0F9">
      <w:pPr>
        <w:spacing w:line="360" w:lineRule="auto"/>
        <w:ind w:firstLine="480" w:firstLineChars="200"/>
        <w:jc w:val="right"/>
        <w:textAlignment w:val="baseline"/>
        <w:rPr>
          <w:rFonts w:hint="eastAsia" w:ascii="仿宋" w:hAnsi="仿宋" w:eastAsia="仿宋" w:cs="宋体"/>
          <w:color w:val="000000"/>
          <w:sz w:val="24"/>
        </w:rPr>
      </w:pPr>
    </w:p>
    <w:p w14:paraId="27931CD9">
      <w:pPr>
        <w:spacing w:line="360" w:lineRule="auto"/>
        <w:ind w:firstLine="480" w:firstLineChars="200"/>
        <w:jc w:val="right"/>
        <w:textAlignment w:val="baseline"/>
        <w:rPr>
          <w:rFonts w:hint="eastAsia" w:ascii="仿宋" w:hAnsi="仿宋" w:eastAsia="仿宋" w:cs="宋体"/>
          <w:color w:val="000000"/>
          <w:sz w:val="24"/>
        </w:rPr>
      </w:pPr>
    </w:p>
    <w:p w14:paraId="318D4F65">
      <w:pPr>
        <w:spacing w:line="360" w:lineRule="auto"/>
        <w:ind w:firstLine="480" w:firstLineChars="200"/>
        <w:jc w:val="right"/>
        <w:textAlignment w:val="baseline"/>
        <w:rPr>
          <w:rFonts w:hint="eastAsia" w:ascii="仿宋" w:hAnsi="仿宋" w:eastAsia="仿宋" w:cs="宋体"/>
          <w:color w:val="000000"/>
          <w:sz w:val="24"/>
        </w:rPr>
      </w:pPr>
    </w:p>
    <w:p w14:paraId="0D6B35E2">
      <w:pPr>
        <w:spacing w:line="360" w:lineRule="auto"/>
        <w:ind w:firstLine="480" w:firstLineChars="200"/>
        <w:jc w:val="right"/>
        <w:textAlignment w:val="baseline"/>
        <w:rPr>
          <w:rFonts w:hint="eastAsia" w:ascii="仿宋" w:hAnsi="仿宋" w:eastAsia="仿宋" w:cs="宋体"/>
          <w:color w:val="000000"/>
          <w:sz w:val="24"/>
        </w:rPr>
      </w:pPr>
    </w:p>
    <w:p w14:paraId="4FE2D9AD">
      <w:pPr>
        <w:spacing w:line="360" w:lineRule="auto"/>
        <w:ind w:firstLine="480" w:firstLineChars="200"/>
        <w:jc w:val="right"/>
        <w:textAlignment w:val="baseline"/>
        <w:rPr>
          <w:rFonts w:hint="eastAsia" w:ascii="仿宋" w:hAnsi="仿宋" w:eastAsia="仿宋" w:cs="宋体"/>
          <w:color w:val="000000"/>
          <w:sz w:val="24"/>
        </w:rPr>
      </w:pPr>
    </w:p>
    <w:p w14:paraId="73D5DF21">
      <w:pPr>
        <w:spacing w:line="360" w:lineRule="auto"/>
        <w:ind w:firstLine="480" w:firstLineChars="200"/>
        <w:jc w:val="right"/>
        <w:textAlignment w:val="baseline"/>
        <w:rPr>
          <w:rFonts w:hint="eastAsia" w:ascii="仿宋" w:hAnsi="仿宋" w:eastAsia="仿宋" w:cs="宋体"/>
          <w:color w:val="000000"/>
          <w:sz w:val="24"/>
        </w:rPr>
      </w:pPr>
    </w:p>
    <w:p w14:paraId="7F5EF54F">
      <w:pPr>
        <w:spacing w:line="360" w:lineRule="auto"/>
        <w:ind w:firstLine="480" w:firstLineChars="200"/>
        <w:jc w:val="right"/>
        <w:textAlignment w:val="baseline"/>
        <w:rPr>
          <w:rFonts w:hint="eastAsia" w:ascii="仿宋" w:hAnsi="仿宋" w:eastAsia="仿宋" w:cs="宋体"/>
          <w:color w:val="000000"/>
          <w:sz w:val="24"/>
        </w:rPr>
      </w:pPr>
      <w:r>
        <w:rPr>
          <w:rFonts w:hint="eastAsia" w:ascii="仿宋" w:hAnsi="仿宋" w:eastAsia="仿宋" w:cs="宋体"/>
          <w:color w:val="000000"/>
          <w:sz w:val="24"/>
        </w:rPr>
        <w:t>采购人：</w:t>
      </w:r>
      <w:r>
        <w:rPr>
          <w:rFonts w:hint="eastAsia" w:ascii="仿宋" w:hAnsi="仿宋" w:eastAsia="仿宋" w:cs="仿宋"/>
          <w:sz w:val="24"/>
        </w:rPr>
        <w:t>中国人民健康保险股份有限公司青岛分公司</w:t>
      </w:r>
    </w:p>
    <w:p w14:paraId="2592ABF3">
      <w:pPr>
        <w:spacing w:line="360" w:lineRule="auto"/>
        <w:ind w:firstLine="480" w:firstLineChars="200"/>
        <w:jc w:val="right"/>
        <w:textAlignment w:val="baseline"/>
        <w:rPr>
          <w:rFonts w:ascii="仿宋" w:hAnsi="仿宋" w:eastAsia="仿宋" w:cs="宋体"/>
          <w:color w:val="000000"/>
          <w:sz w:val="24"/>
        </w:rPr>
      </w:pPr>
      <w:r>
        <w:rPr>
          <w:rFonts w:hint="eastAsia" w:ascii="仿宋" w:hAnsi="仿宋" w:eastAsia="仿宋" w:cs="宋体"/>
          <w:color w:val="000000"/>
          <w:sz w:val="24"/>
        </w:rPr>
        <w:t>202</w:t>
      </w:r>
      <w:r>
        <w:rPr>
          <w:rFonts w:hint="eastAsia" w:ascii="仿宋" w:hAnsi="仿宋" w:eastAsia="仿宋" w:cs="宋体"/>
          <w:color w:val="000000"/>
          <w:sz w:val="24"/>
          <w:lang w:val="en-US" w:eastAsia="zh-CN"/>
        </w:rPr>
        <w:t>6</w:t>
      </w:r>
      <w:r>
        <w:rPr>
          <w:rFonts w:hint="eastAsia" w:ascii="仿宋" w:hAnsi="仿宋" w:eastAsia="仿宋" w:cs="宋体"/>
          <w:color w:val="000000"/>
          <w:sz w:val="24"/>
        </w:rPr>
        <w:t>年</w:t>
      </w:r>
      <w:r>
        <w:rPr>
          <w:rFonts w:hint="eastAsia" w:ascii="仿宋" w:hAnsi="仿宋" w:eastAsia="仿宋" w:cs="宋体"/>
          <w:color w:val="000000"/>
          <w:sz w:val="24"/>
          <w:lang w:val="en-US" w:eastAsia="zh-CN"/>
        </w:rPr>
        <w:t>1</w:t>
      </w:r>
      <w:r>
        <w:rPr>
          <w:rFonts w:hint="eastAsia" w:ascii="仿宋" w:hAnsi="仿宋" w:eastAsia="仿宋" w:cs="宋体"/>
          <w:color w:val="000000"/>
          <w:sz w:val="24"/>
        </w:rPr>
        <w:t>月</w:t>
      </w:r>
      <w:r>
        <w:rPr>
          <w:rFonts w:hint="eastAsia" w:ascii="仿宋" w:hAnsi="仿宋" w:eastAsia="仿宋" w:cs="宋体"/>
          <w:color w:val="000000"/>
          <w:sz w:val="24"/>
          <w:lang w:val="en-US" w:eastAsia="zh-CN"/>
        </w:rPr>
        <w:t>8</w:t>
      </w:r>
      <w:r>
        <w:rPr>
          <w:rFonts w:hint="eastAsia" w:ascii="仿宋" w:hAnsi="仿宋" w:eastAsia="仿宋" w:cs="宋体"/>
          <w:color w:val="000000"/>
          <w:sz w:val="24"/>
        </w:rPr>
        <w:t>日</w:t>
      </w:r>
    </w:p>
    <w:p w14:paraId="6B64BA79">
      <w:pPr>
        <w:pStyle w:val="2"/>
        <w:spacing w:before="0" w:after="0" w:line="360" w:lineRule="auto"/>
        <w:jc w:val="center"/>
        <w:rPr>
          <w:rFonts w:hint="eastAsia" w:ascii="仿宋" w:hAnsi="仿宋" w:eastAsia="仿宋" w:cs="仿宋"/>
          <w:color w:val="000000"/>
          <w:sz w:val="28"/>
          <w:szCs w:val="28"/>
        </w:rPr>
      </w:pPr>
      <w:r>
        <w:rPr>
          <w:rFonts w:ascii="仿宋" w:hAnsi="仿宋" w:eastAsia="仿宋" w:cs="仿宋"/>
          <w:color w:val="000000"/>
          <w:sz w:val="28"/>
          <w:szCs w:val="28"/>
        </w:rPr>
        <w:br w:type="page"/>
      </w:r>
      <w:bookmarkStart w:id="33" w:name="_Toc5004"/>
      <w:bookmarkStart w:id="34" w:name="_Toc31295"/>
      <w:r>
        <w:rPr>
          <w:rFonts w:hint="eastAsia" w:ascii="仿宋" w:hAnsi="仿宋" w:eastAsia="仿宋" w:cs="仿宋"/>
          <w:color w:val="000000"/>
          <w:sz w:val="28"/>
          <w:szCs w:val="28"/>
        </w:rPr>
        <w:t>第二章 供应商须知</w:t>
      </w:r>
      <w:bookmarkEnd w:id="25"/>
      <w:bookmarkEnd w:id="26"/>
      <w:bookmarkEnd w:id="27"/>
      <w:bookmarkEnd w:id="28"/>
      <w:bookmarkEnd w:id="29"/>
      <w:bookmarkEnd w:id="30"/>
      <w:bookmarkEnd w:id="31"/>
      <w:bookmarkEnd w:id="33"/>
      <w:bookmarkEnd w:id="34"/>
    </w:p>
    <w:p w14:paraId="15C5165E">
      <w:pPr>
        <w:pStyle w:val="3"/>
        <w:ind w:firstLine="0" w:firstLineChars="0"/>
        <w:jc w:val="left"/>
        <w:rPr>
          <w:rFonts w:hint="eastAsia" w:ascii="仿宋" w:hAnsi="仿宋" w:eastAsia="仿宋" w:cs="仿宋"/>
          <w:color w:val="000000"/>
          <w:sz w:val="24"/>
          <w:szCs w:val="24"/>
        </w:rPr>
      </w:pPr>
      <w:bookmarkStart w:id="35" w:name="_Toc29571"/>
      <w:bookmarkStart w:id="36" w:name="_Toc287600117"/>
      <w:bookmarkStart w:id="37" w:name="_Toc444891335"/>
      <w:bookmarkStart w:id="38" w:name="_Toc4684"/>
      <w:bookmarkStart w:id="39" w:name="_Toc32464"/>
      <w:bookmarkStart w:id="40" w:name="_Toc27353"/>
      <w:bookmarkStart w:id="41" w:name="_Toc517281815"/>
      <w:bookmarkStart w:id="42" w:name="_Toc19783312"/>
      <w:bookmarkStart w:id="43" w:name="_Toc17721"/>
      <w:bookmarkStart w:id="44" w:name="_Toc29193"/>
      <w:r>
        <w:rPr>
          <w:rFonts w:hint="eastAsia" w:ascii="仿宋" w:hAnsi="仿宋" w:eastAsia="仿宋" w:cs="仿宋"/>
          <w:color w:val="000000"/>
          <w:sz w:val="24"/>
          <w:szCs w:val="24"/>
        </w:rPr>
        <w:t>一、供应商须知前附表</w:t>
      </w:r>
      <w:bookmarkEnd w:id="35"/>
      <w:bookmarkEnd w:id="36"/>
      <w:bookmarkEnd w:id="37"/>
      <w:bookmarkEnd w:id="38"/>
      <w:bookmarkEnd w:id="39"/>
      <w:bookmarkEnd w:id="40"/>
      <w:bookmarkEnd w:id="41"/>
      <w:bookmarkEnd w:id="42"/>
      <w:bookmarkEnd w:id="43"/>
      <w:bookmarkEnd w:id="44"/>
    </w:p>
    <w:p w14:paraId="2D5D9EEE">
      <w:pPr>
        <w:spacing w:line="360" w:lineRule="auto"/>
        <w:jc w:val="left"/>
        <w:rPr>
          <w:rFonts w:hint="eastAsia" w:ascii="仿宋" w:hAnsi="仿宋" w:eastAsia="仿宋" w:cs="仿宋"/>
          <w:bCs/>
          <w:color w:val="000000"/>
          <w:sz w:val="24"/>
        </w:rPr>
      </w:pPr>
      <w:r>
        <w:rPr>
          <w:rFonts w:hint="eastAsia" w:ascii="仿宋" w:hAnsi="仿宋" w:eastAsia="仿宋" w:cs="仿宋"/>
          <w:bCs/>
          <w:color w:val="000000"/>
          <w:sz w:val="24"/>
        </w:rPr>
        <w:t>供应商须知前附表是对供应商须知正文的具体补充和修改，如有矛盾，以本前附表为准。</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53"/>
        <w:gridCol w:w="1833"/>
        <w:gridCol w:w="7066"/>
      </w:tblGrid>
      <w:tr w14:paraId="0AC9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953" w:type="dxa"/>
            <w:noWrap w:val="0"/>
            <w:vAlign w:val="center"/>
          </w:tcPr>
          <w:p w14:paraId="03B5C1EE">
            <w:pPr>
              <w:adjustRightInd w:val="0"/>
              <w:snapToGrid w:val="0"/>
              <w:spacing w:line="360" w:lineRule="auto"/>
              <w:jc w:val="center"/>
              <w:rPr>
                <w:rFonts w:hint="eastAsia" w:ascii="仿宋" w:hAnsi="仿宋" w:eastAsia="仿宋" w:cs="仿宋"/>
                <w:b/>
                <w:bCs/>
                <w:color w:val="000000"/>
                <w:szCs w:val="21"/>
              </w:rPr>
            </w:pPr>
            <w:r>
              <w:rPr>
                <w:rFonts w:hint="eastAsia" w:ascii="仿宋" w:hAnsi="仿宋" w:eastAsia="仿宋" w:cs="仿宋"/>
                <w:b/>
                <w:bCs/>
                <w:color w:val="000000"/>
                <w:szCs w:val="21"/>
              </w:rPr>
              <w:t>条款号</w:t>
            </w:r>
          </w:p>
        </w:tc>
        <w:tc>
          <w:tcPr>
            <w:tcW w:w="1833" w:type="dxa"/>
            <w:noWrap w:val="0"/>
            <w:vAlign w:val="center"/>
          </w:tcPr>
          <w:p w14:paraId="22C41A52">
            <w:pPr>
              <w:adjustRightInd w:val="0"/>
              <w:snapToGrid w:val="0"/>
              <w:spacing w:line="360" w:lineRule="auto"/>
              <w:jc w:val="center"/>
              <w:rPr>
                <w:rFonts w:hint="eastAsia" w:ascii="仿宋" w:hAnsi="仿宋" w:eastAsia="仿宋" w:cs="仿宋"/>
                <w:b/>
                <w:bCs/>
                <w:color w:val="000000"/>
                <w:szCs w:val="21"/>
              </w:rPr>
            </w:pPr>
            <w:r>
              <w:rPr>
                <w:rFonts w:hint="eastAsia" w:ascii="仿宋" w:hAnsi="仿宋" w:eastAsia="仿宋" w:cs="仿宋"/>
                <w:b/>
                <w:bCs/>
                <w:color w:val="000000"/>
                <w:szCs w:val="21"/>
              </w:rPr>
              <w:t>条款名称</w:t>
            </w:r>
          </w:p>
        </w:tc>
        <w:tc>
          <w:tcPr>
            <w:tcW w:w="7066" w:type="dxa"/>
            <w:noWrap w:val="0"/>
            <w:vAlign w:val="center"/>
          </w:tcPr>
          <w:p w14:paraId="6C1C8419">
            <w:pPr>
              <w:tabs>
                <w:tab w:val="left" w:pos="1180"/>
              </w:tabs>
              <w:adjustRightInd w:val="0"/>
              <w:snapToGrid w:val="0"/>
              <w:spacing w:line="360" w:lineRule="auto"/>
              <w:jc w:val="center"/>
              <w:rPr>
                <w:rFonts w:hint="eastAsia" w:ascii="仿宋" w:hAnsi="仿宋" w:eastAsia="仿宋" w:cs="仿宋"/>
                <w:b/>
                <w:bCs/>
                <w:color w:val="000000"/>
                <w:szCs w:val="21"/>
              </w:rPr>
            </w:pPr>
            <w:r>
              <w:rPr>
                <w:rFonts w:hint="eastAsia" w:ascii="仿宋" w:hAnsi="仿宋" w:eastAsia="仿宋" w:cs="仿宋"/>
                <w:b/>
                <w:bCs/>
                <w:color w:val="000000"/>
                <w:szCs w:val="21"/>
              </w:rPr>
              <w:t>编列内容</w:t>
            </w:r>
          </w:p>
        </w:tc>
      </w:tr>
      <w:tr w14:paraId="25ED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12EABFE3">
            <w:pPr>
              <w:adjustRightInd w:val="0"/>
              <w:snapToGrid w:val="0"/>
              <w:spacing w:line="360" w:lineRule="auto"/>
              <w:jc w:val="center"/>
              <w:rPr>
                <w:rFonts w:hint="eastAsia" w:ascii="仿宋" w:hAnsi="仿宋" w:eastAsia="仿宋" w:cs="仿宋"/>
                <w:color w:val="000000"/>
                <w:szCs w:val="21"/>
              </w:rPr>
            </w:pPr>
            <w:r>
              <w:rPr>
                <w:rFonts w:ascii="仿宋" w:hAnsi="仿宋" w:eastAsia="仿宋" w:cs="仿宋"/>
                <w:color w:val="000000"/>
                <w:szCs w:val="21"/>
              </w:rPr>
              <w:t>3.3</w:t>
            </w:r>
          </w:p>
        </w:tc>
        <w:tc>
          <w:tcPr>
            <w:tcW w:w="1833" w:type="dxa"/>
            <w:noWrap w:val="0"/>
            <w:vAlign w:val="center"/>
          </w:tcPr>
          <w:p w14:paraId="3A3A2976">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资格审查方式</w:t>
            </w:r>
          </w:p>
        </w:tc>
        <w:tc>
          <w:tcPr>
            <w:tcW w:w="7066" w:type="dxa"/>
            <w:noWrap w:val="0"/>
            <w:vAlign w:val="center"/>
          </w:tcPr>
          <w:p w14:paraId="7D67E0B7">
            <w:pPr>
              <w:pStyle w:val="142"/>
              <w:topLinePunct/>
              <w:spacing w:before="62" w:beforeLines="20" w:after="62" w:afterLines="20"/>
              <w:rPr>
                <w:rFonts w:hint="eastAsia" w:ascii="仿宋" w:hAnsi="仿宋" w:eastAsia="仿宋" w:cs="宋体"/>
                <w:color w:val="000000"/>
                <w:sz w:val="21"/>
                <w:szCs w:val="21"/>
              </w:rPr>
            </w:pPr>
            <w:r>
              <w:rPr>
                <w:rFonts w:hint="eastAsia" w:ascii="仿宋" w:hAnsi="仿宋" w:eastAsia="仿宋" w:cs="宋体"/>
                <w:color w:val="000000"/>
                <w:sz w:val="21"/>
                <w:szCs w:val="21"/>
                <w:lang w:eastAsia="zh-CN"/>
              </w:rPr>
              <w:t>□</w:t>
            </w:r>
            <w:r>
              <w:rPr>
                <w:rFonts w:hint="eastAsia" w:ascii="仿宋" w:hAnsi="仿宋" w:eastAsia="仿宋" w:cs="宋体"/>
                <w:color w:val="000000"/>
                <w:sz w:val="21"/>
                <w:szCs w:val="21"/>
              </w:rPr>
              <w:t>资格预审</w:t>
            </w:r>
          </w:p>
          <w:p w14:paraId="73525411">
            <w:pPr>
              <w:pStyle w:val="148"/>
              <w:spacing w:before="62" w:beforeLines="20" w:after="62" w:afterLines="20" w:line="360" w:lineRule="auto"/>
              <w:rPr>
                <w:rFonts w:hint="eastAsia" w:ascii="仿宋" w:hAnsi="仿宋" w:eastAsia="仿宋" w:cs="仿宋"/>
                <w:color w:val="000000"/>
              </w:rPr>
            </w:pPr>
            <w:r>
              <w:rPr>
                <w:rFonts w:hint="eastAsia" w:ascii="仿宋" w:hAnsi="仿宋" w:eastAsia="仿宋" w:cs="仿宋"/>
                <w:color w:val="000000"/>
              </w:rPr>
              <w:t>■</w:t>
            </w:r>
            <w:r>
              <w:rPr>
                <w:rFonts w:hint="eastAsia" w:ascii="仿宋" w:hAnsi="仿宋" w:eastAsia="仿宋" w:cs="宋体"/>
                <w:color w:val="000000"/>
              </w:rPr>
              <w:t>资格后审</w:t>
            </w:r>
          </w:p>
        </w:tc>
      </w:tr>
      <w:tr w14:paraId="32646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5B21B310">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6.</w:t>
            </w:r>
            <w:r>
              <w:rPr>
                <w:rFonts w:ascii="仿宋" w:hAnsi="仿宋" w:eastAsia="仿宋" w:cs="仿宋"/>
                <w:color w:val="000000"/>
                <w:szCs w:val="21"/>
              </w:rPr>
              <w:t>2</w:t>
            </w:r>
          </w:p>
        </w:tc>
        <w:tc>
          <w:tcPr>
            <w:tcW w:w="1833" w:type="dxa"/>
            <w:noWrap w:val="0"/>
            <w:vAlign w:val="center"/>
          </w:tcPr>
          <w:p w14:paraId="2BDE3A3F">
            <w:pPr>
              <w:spacing w:before="62" w:beforeLines="20" w:after="62" w:afterLines="2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★实质性要求的标识</w:t>
            </w:r>
          </w:p>
        </w:tc>
        <w:tc>
          <w:tcPr>
            <w:tcW w:w="7066" w:type="dxa"/>
            <w:noWrap w:val="0"/>
            <w:vAlign w:val="center"/>
          </w:tcPr>
          <w:p w14:paraId="628D413B">
            <w:pPr>
              <w:pStyle w:val="142"/>
              <w:topLinePunct/>
              <w:spacing w:before="62" w:beforeLines="20" w:after="62" w:afterLines="20" w:line="360" w:lineRule="auto"/>
              <w:rPr>
                <w:rFonts w:hint="eastAsia" w:ascii="仿宋" w:hAnsi="仿宋" w:eastAsia="仿宋" w:cs="Cambria Math"/>
                <w:b/>
                <w:color w:val="000000"/>
                <w:sz w:val="21"/>
                <w:szCs w:val="21"/>
              </w:rPr>
            </w:pPr>
            <w:r>
              <w:rPr>
                <w:rFonts w:hint="eastAsia" w:ascii="仿宋" w:hAnsi="仿宋" w:eastAsia="仿宋" w:cs="Cambria Math"/>
                <w:color w:val="000000"/>
                <w:sz w:val="21"/>
                <w:szCs w:val="21"/>
                <w:u w:val="single"/>
                <w:lang w:eastAsia="zh-CN"/>
              </w:rPr>
              <w:t>采购文件</w:t>
            </w:r>
            <w:r>
              <w:rPr>
                <w:rFonts w:hint="eastAsia" w:ascii="仿宋" w:hAnsi="仿宋" w:eastAsia="仿宋" w:cs="Cambria Math"/>
                <w:color w:val="000000"/>
                <w:sz w:val="21"/>
                <w:szCs w:val="21"/>
                <w:u w:val="single"/>
              </w:rPr>
              <w:t>中标识“★”号条款、注明“响应将被否决”、“对其响应做否决处理”的条款</w:t>
            </w:r>
            <w:r>
              <w:rPr>
                <w:rFonts w:hint="eastAsia" w:ascii="仿宋" w:hAnsi="仿宋" w:eastAsia="仿宋" w:cs="Cambria Math"/>
                <w:color w:val="000000"/>
                <w:sz w:val="21"/>
                <w:szCs w:val="21"/>
              </w:rPr>
              <w:t>均为实质性条款，</w:t>
            </w:r>
            <w:r>
              <w:rPr>
                <w:rFonts w:hint="eastAsia" w:ascii="仿宋" w:hAnsi="仿宋" w:eastAsia="仿宋" w:cs="Cambria Math"/>
                <w:b/>
                <w:color w:val="000000"/>
                <w:sz w:val="21"/>
                <w:szCs w:val="21"/>
              </w:rPr>
              <w:t>不满足任一实质性条款的响应将被否决。</w:t>
            </w:r>
          </w:p>
        </w:tc>
      </w:tr>
      <w:tr w14:paraId="2492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435D461B">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7</w:t>
            </w:r>
            <w:r>
              <w:rPr>
                <w:rFonts w:ascii="仿宋" w:hAnsi="仿宋" w:eastAsia="仿宋" w:cs="仿宋"/>
                <w:color w:val="000000"/>
                <w:szCs w:val="21"/>
              </w:rPr>
              <w:t>.1</w:t>
            </w:r>
          </w:p>
        </w:tc>
        <w:tc>
          <w:tcPr>
            <w:tcW w:w="1833" w:type="dxa"/>
            <w:noWrap w:val="0"/>
            <w:vAlign w:val="center"/>
          </w:tcPr>
          <w:p w14:paraId="1856538F">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供应商提出澄清的截止时间和方式</w:t>
            </w:r>
          </w:p>
        </w:tc>
        <w:tc>
          <w:tcPr>
            <w:tcW w:w="7066" w:type="dxa"/>
            <w:noWrap w:val="0"/>
            <w:vAlign w:val="center"/>
          </w:tcPr>
          <w:p w14:paraId="2844CDEC">
            <w:pPr>
              <w:pStyle w:val="142"/>
              <w:topLinePunct/>
              <w:spacing w:before="62" w:beforeLines="20" w:after="62" w:afterLines="20"/>
              <w:rPr>
                <w:rFonts w:hint="eastAsia" w:ascii="仿宋" w:hAnsi="仿宋" w:eastAsia="仿宋" w:cs="宋体"/>
                <w:color w:val="000000"/>
                <w:sz w:val="21"/>
                <w:szCs w:val="21"/>
              </w:rPr>
            </w:pPr>
            <w:r>
              <w:rPr>
                <w:rFonts w:hint="eastAsia" w:ascii="仿宋" w:hAnsi="仿宋" w:eastAsia="仿宋" w:cs="宋体"/>
                <w:b/>
                <w:color w:val="000000"/>
                <w:sz w:val="21"/>
                <w:szCs w:val="21"/>
              </w:rPr>
              <w:t>截止时间：</w:t>
            </w:r>
            <w:r>
              <w:rPr>
                <w:rFonts w:hint="eastAsia" w:ascii="仿宋" w:hAnsi="仿宋" w:eastAsia="仿宋" w:cs="宋体"/>
                <w:b/>
                <w:color w:val="000000"/>
                <w:sz w:val="21"/>
                <w:szCs w:val="21"/>
                <w:u w:val="single"/>
              </w:rPr>
              <w:t>202</w:t>
            </w:r>
            <w:r>
              <w:rPr>
                <w:rFonts w:hint="eastAsia" w:ascii="仿宋" w:hAnsi="仿宋" w:eastAsia="仿宋" w:cs="宋体"/>
                <w:b/>
                <w:color w:val="000000"/>
                <w:sz w:val="21"/>
                <w:szCs w:val="21"/>
                <w:u w:val="single"/>
                <w:lang w:val="en-US" w:eastAsia="zh-CN"/>
              </w:rPr>
              <w:t>6</w:t>
            </w:r>
            <w:r>
              <w:rPr>
                <w:rFonts w:hint="eastAsia" w:ascii="仿宋" w:hAnsi="仿宋" w:eastAsia="仿宋" w:cs="宋体"/>
                <w:b/>
                <w:color w:val="000000"/>
                <w:sz w:val="21"/>
                <w:szCs w:val="21"/>
                <w:u w:val="single"/>
              </w:rPr>
              <w:t>年</w:t>
            </w:r>
            <w:r>
              <w:rPr>
                <w:rFonts w:hint="eastAsia" w:ascii="仿宋" w:hAnsi="仿宋" w:eastAsia="仿宋" w:cs="宋体"/>
                <w:b/>
                <w:color w:val="000000"/>
                <w:sz w:val="21"/>
                <w:szCs w:val="21"/>
                <w:u w:val="single"/>
                <w:lang w:val="en-US" w:eastAsia="zh-CN"/>
              </w:rPr>
              <w:t>01</w:t>
            </w:r>
            <w:r>
              <w:rPr>
                <w:rFonts w:hint="eastAsia" w:ascii="仿宋" w:hAnsi="仿宋" w:eastAsia="仿宋" w:cs="宋体"/>
                <w:b/>
                <w:color w:val="000000"/>
                <w:sz w:val="21"/>
                <w:szCs w:val="21"/>
                <w:u w:val="single"/>
              </w:rPr>
              <w:t>月</w:t>
            </w:r>
            <w:r>
              <w:rPr>
                <w:rFonts w:hint="eastAsia" w:ascii="仿宋" w:hAnsi="仿宋" w:eastAsia="仿宋" w:cs="宋体"/>
                <w:b/>
                <w:color w:val="000000"/>
                <w:sz w:val="21"/>
                <w:szCs w:val="21"/>
                <w:u w:val="single"/>
                <w:lang w:val="en-US" w:eastAsia="zh-CN"/>
              </w:rPr>
              <w:t>12</w:t>
            </w:r>
            <w:r>
              <w:rPr>
                <w:rFonts w:hint="eastAsia" w:ascii="仿宋" w:hAnsi="仿宋" w:eastAsia="仿宋" w:cs="宋体"/>
                <w:b/>
                <w:color w:val="000000"/>
                <w:sz w:val="21"/>
                <w:szCs w:val="21"/>
                <w:u w:val="single"/>
              </w:rPr>
              <w:t>日 17时 30分</w:t>
            </w:r>
            <w:r>
              <w:rPr>
                <w:rFonts w:hint="eastAsia" w:ascii="仿宋" w:hAnsi="仿宋" w:eastAsia="仿宋" w:cs="宋体"/>
                <w:b/>
                <w:color w:val="000000"/>
                <w:sz w:val="21"/>
                <w:szCs w:val="21"/>
              </w:rPr>
              <w:t>（北京时间）</w:t>
            </w:r>
          </w:p>
          <w:p w14:paraId="7A44F785">
            <w:pPr>
              <w:pStyle w:val="180"/>
              <w:spacing w:before="62" w:beforeLines="20" w:after="62" w:afterLines="20" w:line="360" w:lineRule="auto"/>
              <w:rPr>
                <w:rFonts w:hint="eastAsia" w:ascii="仿宋" w:hAnsi="仿宋" w:eastAsia="仿宋" w:cs="仿宋"/>
                <w:b/>
                <w:color w:val="000000"/>
                <w:sz w:val="21"/>
                <w:szCs w:val="21"/>
              </w:rPr>
            </w:pPr>
            <w:r>
              <w:rPr>
                <w:rFonts w:hint="eastAsia" w:ascii="仿宋" w:hAnsi="仿宋" w:eastAsia="仿宋" w:cs="宋体"/>
                <w:color w:val="000000"/>
                <w:sz w:val="21"/>
                <w:szCs w:val="21"/>
              </w:rPr>
              <w:t>提出澄清的方式：需澄清的疑问以书面形式（盖章扫描件及WORD文档）发送至</w:t>
            </w:r>
          </w:p>
        </w:tc>
      </w:tr>
      <w:tr w14:paraId="4F53A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5768D587">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8</w:t>
            </w:r>
          </w:p>
        </w:tc>
        <w:tc>
          <w:tcPr>
            <w:tcW w:w="1833" w:type="dxa"/>
            <w:noWrap w:val="0"/>
            <w:vAlign w:val="center"/>
          </w:tcPr>
          <w:p w14:paraId="0B5EEFB7">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响应预备会</w:t>
            </w:r>
          </w:p>
        </w:tc>
        <w:tc>
          <w:tcPr>
            <w:tcW w:w="7066" w:type="dxa"/>
            <w:noWrap w:val="0"/>
            <w:vAlign w:val="center"/>
          </w:tcPr>
          <w:p w14:paraId="1767A2A5">
            <w:pPr>
              <w:pStyle w:val="142"/>
              <w:topLinePunct/>
              <w:spacing w:before="62" w:beforeLines="20" w:after="62" w:afterLines="20"/>
              <w:rPr>
                <w:rFonts w:hint="eastAsia" w:ascii="仿宋" w:hAnsi="仿宋" w:eastAsia="仿宋" w:cs="宋体"/>
                <w:color w:val="000000"/>
                <w:sz w:val="21"/>
                <w:szCs w:val="21"/>
              </w:rPr>
            </w:pPr>
            <w:r>
              <w:rPr>
                <w:rFonts w:hint="eastAsia" w:ascii="仿宋" w:hAnsi="仿宋" w:eastAsia="仿宋" w:cs="仿宋"/>
                <w:color w:val="000000"/>
                <w:szCs w:val="21"/>
              </w:rPr>
              <w:t>■</w:t>
            </w:r>
            <w:r>
              <w:rPr>
                <w:rFonts w:hint="eastAsia" w:ascii="仿宋" w:hAnsi="仿宋" w:eastAsia="仿宋" w:cs="宋体"/>
                <w:color w:val="000000"/>
                <w:sz w:val="21"/>
                <w:szCs w:val="21"/>
              </w:rPr>
              <w:t>不召开</w:t>
            </w:r>
          </w:p>
          <w:p w14:paraId="2C27F3F9">
            <w:pPr>
              <w:autoSpaceDE w:val="0"/>
              <w:autoSpaceDN w:val="0"/>
              <w:spacing w:line="360" w:lineRule="auto"/>
              <w:rPr>
                <w:rFonts w:hint="eastAsia" w:ascii="仿宋" w:hAnsi="仿宋" w:eastAsia="仿宋" w:cs="仿宋"/>
                <w:color w:val="000000"/>
                <w:szCs w:val="21"/>
              </w:rPr>
            </w:pPr>
            <w:r>
              <w:rPr>
                <w:rFonts w:hint="eastAsia" w:ascii="仿宋" w:hAnsi="仿宋" w:eastAsia="仿宋" w:cs="宋体"/>
                <w:color w:val="000000"/>
                <w:szCs w:val="21"/>
              </w:rPr>
              <w:t>□召开</w:t>
            </w:r>
            <w:r>
              <w:rPr>
                <w:rFonts w:hint="eastAsia" w:ascii="仿宋" w:hAnsi="仿宋" w:eastAsia="仿宋" w:cs="仿宋"/>
                <w:color w:val="000000"/>
                <w:szCs w:val="21"/>
              </w:rPr>
              <w:t xml:space="preserve"> </w:t>
            </w:r>
          </w:p>
        </w:tc>
      </w:tr>
      <w:tr w14:paraId="68419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4D9E9A04">
            <w:pPr>
              <w:adjustRightInd w:val="0"/>
              <w:snapToGrid w:val="0"/>
              <w:spacing w:line="360" w:lineRule="auto"/>
              <w:jc w:val="center"/>
              <w:rPr>
                <w:rFonts w:hint="eastAsia" w:ascii="仿宋" w:hAnsi="仿宋" w:eastAsia="仿宋" w:cs="仿宋"/>
                <w:color w:val="000000"/>
                <w:szCs w:val="21"/>
              </w:rPr>
            </w:pPr>
            <w:r>
              <w:rPr>
                <w:rFonts w:ascii="仿宋" w:hAnsi="仿宋" w:eastAsia="仿宋" w:cs="仿宋"/>
                <w:color w:val="000000"/>
                <w:szCs w:val="21"/>
              </w:rPr>
              <w:t>9</w:t>
            </w:r>
          </w:p>
        </w:tc>
        <w:tc>
          <w:tcPr>
            <w:tcW w:w="1833" w:type="dxa"/>
            <w:noWrap w:val="0"/>
            <w:vAlign w:val="center"/>
          </w:tcPr>
          <w:p w14:paraId="3A5FC50F">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响应文件的组成</w:t>
            </w:r>
          </w:p>
        </w:tc>
        <w:tc>
          <w:tcPr>
            <w:tcW w:w="7066" w:type="dxa"/>
            <w:noWrap w:val="0"/>
            <w:vAlign w:val="center"/>
          </w:tcPr>
          <w:p w14:paraId="53DB6EF1">
            <w:pPr>
              <w:autoSpaceDE w:val="0"/>
              <w:autoSpaceDN w:val="0"/>
              <w:spacing w:line="276" w:lineRule="auto"/>
              <w:rPr>
                <w:rFonts w:hint="eastAsia" w:ascii="仿宋" w:hAnsi="仿宋" w:eastAsia="仿宋" w:cs="宋体"/>
                <w:b/>
                <w:color w:val="000000"/>
                <w:szCs w:val="21"/>
              </w:rPr>
            </w:pPr>
            <w:r>
              <w:rPr>
                <w:rFonts w:hint="eastAsia" w:ascii="仿宋" w:hAnsi="仿宋" w:eastAsia="仿宋" w:cs="仿宋"/>
                <w:b/>
                <w:color w:val="000000"/>
                <w:szCs w:val="21"/>
              </w:rPr>
              <w:t>响应文件按照以下架构分成三册并顺序编制，</w:t>
            </w:r>
            <w:r>
              <w:rPr>
                <w:rFonts w:hint="eastAsia" w:ascii="仿宋" w:hAnsi="仿宋" w:eastAsia="仿宋" w:cs="宋体"/>
                <w:b/>
                <w:bCs/>
                <w:color w:val="000000"/>
                <w:szCs w:val="21"/>
              </w:rPr>
              <w:t>如同时参与多个标包，需独立编制各个标包的响应文件</w:t>
            </w:r>
            <w:r>
              <w:rPr>
                <w:rFonts w:hint="eastAsia" w:ascii="仿宋" w:hAnsi="仿宋" w:eastAsia="仿宋" w:cs="宋体"/>
                <w:b/>
                <w:color w:val="000000"/>
                <w:szCs w:val="21"/>
              </w:rPr>
              <w:t>（本条款十分重要，请遵照办理）。</w:t>
            </w:r>
          </w:p>
          <w:p w14:paraId="6BC5909B">
            <w:pPr>
              <w:pStyle w:val="148"/>
              <w:spacing w:before="62" w:beforeLines="20" w:after="62" w:afterLines="20" w:line="276" w:lineRule="auto"/>
              <w:rPr>
                <w:rFonts w:hint="eastAsia" w:ascii="仿宋" w:hAnsi="仿宋" w:eastAsia="仿宋" w:cs="仿宋"/>
                <w:color w:val="000000"/>
              </w:rPr>
            </w:pPr>
            <w:r>
              <w:rPr>
                <w:rFonts w:hint="eastAsia" w:ascii="仿宋" w:hAnsi="仿宋" w:eastAsia="仿宋" w:cs="仿宋"/>
                <w:color w:val="000000"/>
              </w:rPr>
              <w:t>（一）响应函</w:t>
            </w:r>
          </w:p>
          <w:p w14:paraId="410A73CE">
            <w:pPr>
              <w:pStyle w:val="180"/>
              <w:spacing w:before="62" w:beforeLines="20" w:after="62" w:afterLines="20"/>
              <w:rPr>
                <w:rFonts w:hint="eastAsia" w:ascii="仿宋" w:hAnsi="仿宋" w:eastAsia="仿宋" w:cs="仿宋"/>
                <w:color w:val="000000"/>
              </w:rPr>
            </w:pPr>
            <w:r>
              <w:rPr>
                <w:rFonts w:hint="eastAsia" w:ascii="仿宋" w:hAnsi="仿宋" w:eastAsia="仿宋" w:cs="宋体"/>
                <w:color w:val="000000"/>
                <w:sz w:val="21"/>
                <w:szCs w:val="21"/>
              </w:rPr>
              <w:t>（二）法定代表人授权委托书</w:t>
            </w:r>
          </w:p>
          <w:p w14:paraId="716885FD">
            <w:pPr>
              <w:pStyle w:val="148"/>
              <w:spacing w:before="62" w:beforeLines="20" w:after="62" w:afterLines="20" w:line="276" w:lineRule="auto"/>
              <w:rPr>
                <w:rFonts w:hint="eastAsia" w:ascii="仿宋" w:hAnsi="仿宋" w:eastAsia="仿宋" w:cs="仿宋"/>
                <w:color w:val="000000"/>
              </w:rPr>
            </w:pPr>
            <w:r>
              <w:rPr>
                <w:rFonts w:hint="eastAsia" w:ascii="仿宋" w:hAnsi="仿宋" w:eastAsia="仿宋" w:cs="仿宋"/>
                <w:color w:val="000000"/>
              </w:rPr>
              <w:t>（三）资格证明文件</w:t>
            </w:r>
          </w:p>
          <w:p w14:paraId="6DCA9677">
            <w:pPr>
              <w:pStyle w:val="148"/>
              <w:spacing w:before="62" w:beforeLines="20" w:after="62" w:afterLines="20" w:line="276" w:lineRule="auto"/>
              <w:rPr>
                <w:rFonts w:hint="eastAsia"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四</w:t>
            </w:r>
            <w:r>
              <w:rPr>
                <w:rFonts w:hint="eastAsia" w:ascii="仿宋" w:hAnsi="仿宋" w:eastAsia="仿宋" w:cs="仿宋"/>
                <w:color w:val="000000"/>
              </w:rPr>
              <w:t>）供应商行为准则承诺书</w:t>
            </w:r>
          </w:p>
          <w:p w14:paraId="2271CB6C">
            <w:pPr>
              <w:pStyle w:val="148"/>
              <w:spacing w:before="62" w:beforeLines="20" w:after="62" w:afterLines="20" w:line="276" w:lineRule="auto"/>
              <w:rPr>
                <w:rFonts w:hint="default" w:ascii="仿宋" w:hAnsi="仿宋" w:eastAsia="仿宋" w:cs="仿宋"/>
                <w:color w:val="000000"/>
                <w:lang w:val="en-US" w:eastAsia="zh-CN"/>
              </w:rPr>
            </w:pPr>
            <w:r>
              <w:rPr>
                <w:rFonts w:hint="eastAsia" w:ascii="仿宋" w:hAnsi="仿宋" w:eastAsia="仿宋" w:cs="仿宋"/>
                <w:color w:val="000000"/>
                <w:lang w:eastAsia="zh-CN"/>
              </w:rPr>
              <w:t>（</w:t>
            </w:r>
            <w:r>
              <w:rPr>
                <w:rFonts w:hint="eastAsia" w:ascii="仿宋" w:hAnsi="仿宋" w:eastAsia="仿宋" w:cs="仿宋"/>
                <w:color w:val="000000"/>
                <w:lang w:val="en-US" w:eastAsia="zh-CN"/>
              </w:rPr>
              <w:t>五</w:t>
            </w:r>
            <w:r>
              <w:rPr>
                <w:rFonts w:hint="eastAsia" w:ascii="仿宋" w:hAnsi="仿宋" w:eastAsia="仿宋" w:cs="仿宋"/>
                <w:color w:val="000000"/>
                <w:lang w:eastAsia="zh-CN"/>
              </w:rPr>
              <w:t>）</w:t>
            </w:r>
            <w:r>
              <w:rPr>
                <w:rFonts w:hint="eastAsia" w:ascii="仿宋" w:hAnsi="仿宋" w:eastAsia="仿宋" w:cs="仿宋"/>
                <w:color w:val="000000"/>
                <w:lang w:val="en-US" w:eastAsia="zh-CN"/>
              </w:rPr>
              <w:t>报价表</w:t>
            </w:r>
          </w:p>
          <w:p w14:paraId="18772B2A">
            <w:pPr>
              <w:pStyle w:val="148"/>
              <w:spacing w:before="62" w:beforeLines="20" w:after="62" w:afterLines="20" w:line="276" w:lineRule="auto"/>
              <w:rPr>
                <w:rFonts w:hint="eastAsia"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六</w:t>
            </w:r>
            <w:r>
              <w:rPr>
                <w:rFonts w:hint="eastAsia" w:ascii="仿宋" w:hAnsi="仿宋" w:eastAsia="仿宋" w:cs="仿宋"/>
                <w:color w:val="000000"/>
              </w:rPr>
              <w:t>）其他材料</w:t>
            </w:r>
          </w:p>
          <w:p w14:paraId="041121C4">
            <w:pPr>
              <w:autoSpaceDE w:val="0"/>
              <w:autoSpaceDN w:val="0"/>
              <w:spacing w:line="276" w:lineRule="auto"/>
              <w:rPr>
                <w:rFonts w:hint="eastAsia" w:ascii="仿宋" w:hAnsi="仿宋" w:eastAsia="仿宋" w:cs="宋体"/>
                <w:bCs/>
                <w:color w:val="000000"/>
                <w:szCs w:val="21"/>
              </w:rPr>
            </w:pPr>
          </w:p>
        </w:tc>
      </w:tr>
      <w:tr w14:paraId="7CBDF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49C007B4">
            <w:pPr>
              <w:adjustRightInd w:val="0"/>
              <w:snapToGrid w:val="0"/>
              <w:spacing w:line="360" w:lineRule="auto"/>
              <w:jc w:val="center"/>
              <w:rPr>
                <w:rFonts w:hint="eastAsia" w:ascii="仿宋" w:hAnsi="仿宋" w:eastAsia="仿宋" w:cs="仿宋"/>
                <w:color w:val="000000"/>
                <w:szCs w:val="21"/>
                <w:lang w:eastAsia="zh-CN"/>
              </w:rPr>
            </w:pPr>
            <w:r>
              <w:rPr>
                <w:rFonts w:hint="eastAsia" w:ascii="仿宋" w:hAnsi="仿宋" w:eastAsia="仿宋" w:cs="仿宋"/>
                <w:color w:val="000000"/>
                <w:szCs w:val="21"/>
              </w:rPr>
              <w:t>1</w:t>
            </w:r>
            <w:r>
              <w:rPr>
                <w:rFonts w:hint="eastAsia" w:ascii="仿宋" w:hAnsi="仿宋" w:eastAsia="仿宋" w:cs="仿宋"/>
                <w:color w:val="000000"/>
                <w:szCs w:val="21"/>
                <w:lang w:val="en-US" w:eastAsia="zh-CN"/>
              </w:rPr>
              <w:t>2</w:t>
            </w:r>
          </w:p>
        </w:tc>
        <w:tc>
          <w:tcPr>
            <w:tcW w:w="1833" w:type="dxa"/>
            <w:noWrap w:val="0"/>
            <w:vAlign w:val="center"/>
          </w:tcPr>
          <w:p w14:paraId="1FD53A49">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响应报价</w:t>
            </w:r>
          </w:p>
        </w:tc>
        <w:tc>
          <w:tcPr>
            <w:tcW w:w="7066" w:type="dxa"/>
            <w:noWrap w:val="0"/>
            <w:vAlign w:val="center"/>
          </w:tcPr>
          <w:p w14:paraId="174B2049">
            <w:pPr>
              <w:pStyle w:val="148"/>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1）本次报价采用</w:t>
            </w:r>
            <w:r>
              <w:rPr>
                <w:rFonts w:hint="eastAsia" w:ascii="仿宋" w:hAnsi="仿宋" w:eastAsia="仿宋" w:cs="仿宋"/>
                <w:b/>
                <w:bCs/>
                <w:color w:val="000000"/>
                <w:u w:val="single"/>
              </w:rPr>
              <w:t>固定单价</w:t>
            </w:r>
            <w:r>
              <w:rPr>
                <w:rFonts w:hint="eastAsia" w:ascii="仿宋" w:hAnsi="仿宋" w:eastAsia="仿宋" w:cs="仿宋"/>
                <w:color w:val="000000"/>
              </w:rPr>
              <w:t>方式报价，供应商应结合自身实力与经验、市场价格竞争及合同实施风险等因素进行综合考虑进行报价。</w:t>
            </w:r>
          </w:p>
          <w:p w14:paraId="634697DB">
            <w:pPr>
              <w:pStyle w:val="148"/>
              <w:spacing w:before="62" w:beforeLines="20" w:after="62" w:afterLines="20" w:line="360" w:lineRule="auto"/>
              <w:rPr>
                <w:rFonts w:hint="eastAsia" w:ascii="仿宋" w:hAnsi="仿宋" w:eastAsia="仿宋" w:cs="仿宋"/>
                <w:color w:val="000000"/>
              </w:rPr>
            </w:pPr>
            <w:r>
              <w:rPr>
                <w:rFonts w:ascii="仿宋" w:hAnsi="仿宋" w:eastAsia="仿宋" w:cs="仿宋"/>
                <w:color w:val="000000"/>
              </w:rPr>
              <w:t>2</w:t>
            </w:r>
            <w:r>
              <w:rPr>
                <w:rFonts w:hint="eastAsia" w:ascii="仿宋" w:hAnsi="仿宋" w:eastAsia="仿宋" w:cs="仿宋"/>
                <w:color w:val="000000"/>
              </w:rPr>
              <w:t>）响应报价应为完成“第五章 采购需求”所示服务内容及要求所产生的全部费用及税金，包含但不限于必要设备/工具使用费、加班餐费、交通费、通信费、速递费、差旅费等各项杂费，除此之外，不再收取任何费用。</w:t>
            </w:r>
          </w:p>
          <w:p w14:paraId="3E37E6CC">
            <w:pPr>
              <w:pStyle w:val="148"/>
              <w:spacing w:before="62" w:beforeLines="20" w:after="62" w:afterLines="20" w:line="360" w:lineRule="auto"/>
              <w:rPr>
                <w:rFonts w:hint="eastAsia" w:ascii="仿宋" w:hAnsi="仿宋" w:eastAsia="仿宋" w:cs="仿宋"/>
                <w:color w:val="000000"/>
              </w:rPr>
            </w:pPr>
            <w:r>
              <w:rPr>
                <w:rFonts w:ascii="仿宋" w:hAnsi="仿宋" w:eastAsia="仿宋" w:cs="仿宋"/>
                <w:color w:val="000000"/>
              </w:rPr>
              <w:t>3</w:t>
            </w:r>
            <w:r>
              <w:rPr>
                <w:rFonts w:hint="eastAsia" w:ascii="仿宋" w:hAnsi="仿宋" w:eastAsia="仿宋" w:cs="仿宋"/>
                <w:color w:val="000000"/>
              </w:rPr>
              <w:t>）</w:t>
            </w:r>
            <w:r>
              <w:rPr>
                <w:rFonts w:hint="eastAsia" w:ascii="仿宋" w:hAnsi="仿宋" w:eastAsia="仿宋" w:cs="仿宋"/>
                <w:color w:val="000000"/>
                <w:lang w:val="en-US" w:eastAsia="zh-CN"/>
              </w:rPr>
              <w:t>评审</w:t>
            </w:r>
            <w:r>
              <w:rPr>
                <w:rFonts w:hint="eastAsia" w:ascii="仿宋" w:hAnsi="仿宋" w:eastAsia="仿宋" w:cs="仿宋"/>
                <w:color w:val="000000"/>
              </w:rPr>
              <w:t>小组将视</w:t>
            </w:r>
            <w:r>
              <w:rPr>
                <w:rFonts w:hint="eastAsia" w:ascii="仿宋" w:hAnsi="仿宋" w:eastAsia="仿宋" w:cs="仿宋"/>
                <w:color w:val="000000"/>
                <w:lang w:val="en-US" w:eastAsia="zh-CN"/>
              </w:rPr>
              <w:t>谈判</w:t>
            </w:r>
            <w:r>
              <w:rPr>
                <w:rFonts w:hint="eastAsia" w:ascii="仿宋" w:hAnsi="仿宋" w:eastAsia="仿宋" w:cs="仿宋"/>
                <w:color w:val="000000"/>
              </w:rPr>
              <w:t>情况决定是否进行多轮次报价，供应商</w:t>
            </w:r>
            <w:r>
              <w:rPr>
                <w:rFonts w:hint="eastAsia" w:ascii="仿宋" w:hAnsi="仿宋" w:eastAsia="仿宋" w:cs="仿宋"/>
                <w:color w:val="000000"/>
                <w:u w:val="single"/>
              </w:rPr>
              <w:t>最后一轮提交的报价</w:t>
            </w:r>
            <w:r>
              <w:rPr>
                <w:rFonts w:hint="eastAsia" w:ascii="仿宋" w:hAnsi="仿宋" w:eastAsia="仿宋" w:cs="仿宋"/>
                <w:color w:val="000000"/>
              </w:rPr>
              <w:t>将作为该供应商的</w:t>
            </w:r>
            <w:r>
              <w:rPr>
                <w:rFonts w:hint="eastAsia" w:ascii="仿宋" w:hAnsi="仿宋" w:eastAsia="仿宋" w:cs="仿宋"/>
                <w:b/>
                <w:bCs/>
                <w:color w:val="000000"/>
              </w:rPr>
              <w:t>最终报价</w:t>
            </w:r>
            <w:r>
              <w:rPr>
                <w:rFonts w:hint="eastAsia" w:ascii="仿宋" w:hAnsi="仿宋" w:eastAsia="仿宋" w:cs="仿宋"/>
                <w:color w:val="000000"/>
              </w:rPr>
              <w:t>进行评审。</w:t>
            </w:r>
          </w:p>
        </w:tc>
      </w:tr>
      <w:tr w14:paraId="0E3C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07313DD2">
            <w:pPr>
              <w:adjustRightInd w:val="0"/>
              <w:snapToGrid w:val="0"/>
              <w:spacing w:line="360" w:lineRule="auto"/>
              <w:jc w:val="center"/>
              <w:rPr>
                <w:rFonts w:hint="eastAsia" w:ascii="仿宋" w:hAnsi="仿宋" w:eastAsia="仿宋" w:cs="仿宋"/>
                <w:color w:val="000000"/>
                <w:szCs w:val="21"/>
                <w:lang w:eastAsia="zh-CN"/>
              </w:rPr>
            </w:pPr>
            <w:r>
              <w:rPr>
                <w:rFonts w:hint="eastAsia" w:ascii="仿宋" w:hAnsi="仿宋" w:eastAsia="仿宋" w:cs="仿宋"/>
                <w:color w:val="000000"/>
                <w:szCs w:val="21"/>
              </w:rPr>
              <w:t>1</w:t>
            </w:r>
            <w:r>
              <w:rPr>
                <w:rFonts w:hint="eastAsia" w:ascii="仿宋" w:hAnsi="仿宋" w:eastAsia="仿宋" w:cs="仿宋"/>
                <w:color w:val="000000"/>
                <w:szCs w:val="21"/>
                <w:lang w:val="en-US" w:eastAsia="zh-CN"/>
              </w:rPr>
              <w:t>3</w:t>
            </w:r>
          </w:p>
        </w:tc>
        <w:tc>
          <w:tcPr>
            <w:tcW w:w="1833" w:type="dxa"/>
            <w:noWrap w:val="0"/>
            <w:vAlign w:val="center"/>
          </w:tcPr>
          <w:p w14:paraId="233C9B02">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响应有效期</w:t>
            </w:r>
          </w:p>
        </w:tc>
        <w:tc>
          <w:tcPr>
            <w:tcW w:w="7066" w:type="dxa"/>
            <w:noWrap w:val="0"/>
            <w:vAlign w:val="center"/>
          </w:tcPr>
          <w:p w14:paraId="3662D120">
            <w:pPr>
              <w:pStyle w:val="148"/>
              <w:spacing w:before="62" w:beforeLines="20" w:after="62" w:afterLines="20" w:line="360" w:lineRule="auto"/>
              <w:rPr>
                <w:rFonts w:hint="eastAsia" w:ascii="仿宋" w:hAnsi="仿宋" w:eastAsia="仿宋" w:cs="仿宋"/>
                <w:color w:val="000000"/>
              </w:rPr>
            </w:pPr>
            <w:r>
              <w:rPr>
                <w:rFonts w:hint="eastAsia" w:ascii="仿宋" w:hAnsi="仿宋" w:eastAsia="仿宋" w:cs="Cambria Math"/>
                <w:color w:val="000000"/>
                <w:u w:val="single"/>
              </w:rPr>
              <w:t>自响应文件递交截止之日起</w:t>
            </w:r>
            <w:r>
              <w:rPr>
                <w:rFonts w:ascii="仿宋" w:hAnsi="仿宋" w:eastAsia="仿宋" w:cs="宋体"/>
                <w:color w:val="000000"/>
                <w:u w:val="single"/>
              </w:rPr>
              <w:t>1</w:t>
            </w:r>
            <w:r>
              <w:rPr>
                <w:rFonts w:hint="eastAsia" w:ascii="仿宋" w:hAnsi="仿宋" w:eastAsia="仿宋" w:cs="宋体"/>
                <w:color w:val="000000"/>
                <w:u w:val="single"/>
              </w:rPr>
              <w:t>8</w:t>
            </w:r>
            <w:r>
              <w:rPr>
                <w:rFonts w:ascii="仿宋" w:hAnsi="仿宋" w:eastAsia="仿宋" w:cs="宋体"/>
                <w:color w:val="000000"/>
                <w:u w:val="single"/>
              </w:rPr>
              <w:t>0</w:t>
            </w:r>
            <w:r>
              <w:rPr>
                <w:rFonts w:hint="eastAsia" w:ascii="仿宋" w:hAnsi="仿宋" w:eastAsia="仿宋" w:cs="宋体"/>
                <w:color w:val="000000"/>
                <w:u w:val="single"/>
              </w:rPr>
              <w:t>个日历日</w:t>
            </w:r>
          </w:p>
        </w:tc>
      </w:tr>
      <w:tr w14:paraId="15D30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874" w:hRule="atLeast"/>
          <w:jc w:val="center"/>
        </w:trPr>
        <w:tc>
          <w:tcPr>
            <w:tcW w:w="953" w:type="dxa"/>
            <w:noWrap w:val="0"/>
            <w:vAlign w:val="center"/>
          </w:tcPr>
          <w:p w14:paraId="5B02A24A">
            <w:pPr>
              <w:pStyle w:val="148"/>
              <w:spacing w:before="62" w:beforeLines="20" w:after="62" w:afterLines="20" w:line="360" w:lineRule="auto"/>
              <w:jc w:val="center"/>
              <w:rPr>
                <w:rFonts w:hint="default" w:ascii="仿宋" w:hAnsi="仿宋" w:eastAsia="仿宋" w:cs="仿宋"/>
                <w:color w:val="000000"/>
                <w:lang w:val="en-US" w:eastAsia="zh-CN"/>
              </w:rPr>
            </w:pPr>
            <w:r>
              <w:rPr>
                <w:rFonts w:hint="eastAsia" w:ascii="仿宋" w:hAnsi="仿宋" w:eastAsia="仿宋" w:cs="仿宋"/>
                <w:color w:val="000000"/>
              </w:rPr>
              <w:t>1</w:t>
            </w:r>
            <w:r>
              <w:rPr>
                <w:rFonts w:hint="eastAsia" w:ascii="仿宋" w:hAnsi="仿宋" w:eastAsia="仿宋" w:cs="仿宋"/>
                <w:color w:val="000000"/>
                <w:lang w:val="en-US" w:eastAsia="zh-CN"/>
              </w:rPr>
              <w:t>4.1</w:t>
            </w:r>
          </w:p>
        </w:tc>
        <w:tc>
          <w:tcPr>
            <w:tcW w:w="1833" w:type="dxa"/>
            <w:noWrap w:val="0"/>
            <w:vAlign w:val="center"/>
          </w:tcPr>
          <w:p w14:paraId="6E25B4CD">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响应文件的份数</w:t>
            </w:r>
          </w:p>
        </w:tc>
        <w:tc>
          <w:tcPr>
            <w:tcW w:w="7066" w:type="dxa"/>
            <w:noWrap w:val="0"/>
            <w:vAlign w:val="center"/>
          </w:tcPr>
          <w:p w14:paraId="62123579">
            <w:pPr>
              <w:adjustRightInd w:val="0"/>
              <w:snapToGrid w:val="0"/>
              <w:spacing w:line="360" w:lineRule="auto"/>
              <w:ind w:left="36" w:leftChars="17"/>
              <w:jc w:val="left"/>
              <w:rPr>
                <w:rFonts w:hint="eastAsia" w:ascii="仿宋" w:hAnsi="仿宋" w:eastAsia="仿宋" w:cs="仿宋"/>
                <w:color w:val="000000"/>
                <w:szCs w:val="21"/>
              </w:rPr>
            </w:pPr>
            <w:r>
              <w:rPr>
                <w:rFonts w:hint="eastAsia" w:ascii="仿宋" w:hAnsi="仿宋" w:eastAsia="仿宋" w:cs="仿宋"/>
                <w:color w:val="000000"/>
                <w:kern w:val="0"/>
                <w:szCs w:val="21"/>
              </w:rPr>
              <w:t>正本</w:t>
            </w:r>
            <w:r>
              <w:rPr>
                <w:rFonts w:ascii="仿宋" w:hAnsi="仿宋" w:eastAsia="仿宋" w:cs="仿宋"/>
                <w:color w:val="000000"/>
                <w:kern w:val="0"/>
                <w:szCs w:val="21"/>
                <w:u w:val="single"/>
              </w:rPr>
              <w:t>1</w:t>
            </w:r>
            <w:r>
              <w:rPr>
                <w:rFonts w:hint="eastAsia" w:ascii="仿宋" w:hAnsi="仿宋" w:eastAsia="仿宋" w:cs="仿宋"/>
                <w:color w:val="000000"/>
                <w:kern w:val="0"/>
                <w:szCs w:val="21"/>
              </w:rPr>
              <w:t>份，副本</w:t>
            </w:r>
            <w:r>
              <w:rPr>
                <w:rFonts w:hint="eastAsia" w:ascii="仿宋" w:hAnsi="仿宋" w:eastAsia="仿宋" w:cs="仿宋"/>
                <w:color w:val="000000"/>
                <w:kern w:val="0"/>
                <w:szCs w:val="21"/>
                <w:u w:val="single"/>
              </w:rPr>
              <w:t>4</w:t>
            </w:r>
            <w:r>
              <w:rPr>
                <w:rFonts w:hint="eastAsia" w:ascii="仿宋" w:hAnsi="仿宋" w:eastAsia="仿宋" w:cs="仿宋"/>
                <w:color w:val="000000"/>
                <w:kern w:val="0"/>
                <w:szCs w:val="21"/>
              </w:rPr>
              <w:t>份，电子文档</w:t>
            </w:r>
            <w:r>
              <w:rPr>
                <w:rFonts w:ascii="仿宋" w:hAnsi="仿宋" w:eastAsia="仿宋" w:cs="仿宋"/>
                <w:color w:val="000000"/>
                <w:kern w:val="0"/>
                <w:szCs w:val="21"/>
                <w:u w:val="single"/>
              </w:rPr>
              <w:t>1</w:t>
            </w:r>
            <w:r>
              <w:rPr>
                <w:rFonts w:hint="eastAsia" w:ascii="仿宋" w:hAnsi="仿宋" w:eastAsia="仿宋" w:cs="仿宋"/>
                <w:color w:val="000000"/>
                <w:kern w:val="0"/>
                <w:szCs w:val="21"/>
              </w:rPr>
              <w:t>份。</w:t>
            </w:r>
          </w:p>
        </w:tc>
      </w:tr>
      <w:tr w14:paraId="6732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03" w:hRule="atLeast"/>
          <w:jc w:val="center"/>
        </w:trPr>
        <w:tc>
          <w:tcPr>
            <w:tcW w:w="953" w:type="dxa"/>
            <w:noWrap w:val="0"/>
            <w:vAlign w:val="center"/>
          </w:tcPr>
          <w:p w14:paraId="0C300A8E">
            <w:pPr>
              <w:adjustRightInd w:val="0"/>
              <w:snapToGrid w:val="0"/>
              <w:spacing w:line="360" w:lineRule="auto"/>
              <w:jc w:val="center"/>
              <w:rPr>
                <w:rFonts w:hint="eastAsia" w:ascii="仿宋" w:hAnsi="仿宋" w:eastAsia="仿宋" w:cs="仿宋"/>
                <w:color w:val="000000"/>
                <w:szCs w:val="21"/>
                <w:lang w:eastAsia="zh-CN"/>
              </w:rPr>
            </w:pPr>
            <w:r>
              <w:rPr>
                <w:rFonts w:ascii="仿宋" w:hAnsi="仿宋" w:eastAsia="仿宋" w:cs="仿宋"/>
                <w:color w:val="000000"/>
                <w:szCs w:val="21"/>
              </w:rPr>
              <w:t>14.</w:t>
            </w:r>
            <w:r>
              <w:rPr>
                <w:rFonts w:hint="eastAsia" w:ascii="仿宋" w:hAnsi="仿宋" w:eastAsia="仿宋" w:cs="仿宋"/>
                <w:color w:val="000000"/>
                <w:szCs w:val="21"/>
                <w:lang w:val="en-US" w:eastAsia="zh-CN"/>
              </w:rPr>
              <w:t>2</w:t>
            </w:r>
          </w:p>
        </w:tc>
        <w:tc>
          <w:tcPr>
            <w:tcW w:w="1833" w:type="dxa"/>
            <w:noWrap w:val="0"/>
            <w:vAlign w:val="center"/>
          </w:tcPr>
          <w:p w14:paraId="3B06878A">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响应文件的装订、密封和标记</w:t>
            </w:r>
          </w:p>
        </w:tc>
        <w:tc>
          <w:tcPr>
            <w:tcW w:w="7066" w:type="dxa"/>
            <w:noWrap w:val="0"/>
            <w:vAlign w:val="center"/>
          </w:tcPr>
          <w:p w14:paraId="3629FB07">
            <w:pPr>
              <w:pStyle w:val="148"/>
              <w:spacing w:before="62" w:beforeLines="20" w:after="62" w:afterLines="20" w:line="276" w:lineRule="auto"/>
              <w:rPr>
                <w:rFonts w:hint="eastAsia" w:ascii="仿宋" w:hAnsi="仿宋" w:eastAsia="仿宋" w:cs="仿宋"/>
                <w:b/>
                <w:bCs/>
                <w:color w:val="000000"/>
              </w:rPr>
            </w:pPr>
            <w:r>
              <w:rPr>
                <w:rFonts w:hint="eastAsia" w:ascii="仿宋" w:hAnsi="仿宋" w:eastAsia="仿宋" w:cs="仿宋"/>
                <w:b/>
                <w:bCs/>
                <w:color w:val="000000"/>
              </w:rPr>
              <w:t>1）纸版响应文件：</w:t>
            </w:r>
          </w:p>
          <w:p w14:paraId="0F5217E0">
            <w:pPr>
              <w:pStyle w:val="148"/>
              <w:spacing w:before="62" w:beforeLines="20" w:after="62" w:afterLines="20"/>
              <w:rPr>
                <w:rFonts w:hint="eastAsia" w:ascii="仿宋" w:hAnsi="仿宋" w:eastAsia="仿宋" w:cs="Cambria Math"/>
                <w:color w:val="000000"/>
              </w:rPr>
            </w:pPr>
            <w:r>
              <w:rPr>
                <w:rFonts w:hint="eastAsia" w:ascii="仿宋" w:hAnsi="仿宋" w:eastAsia="仿宋" w:cs="仿宋"/>
                <w:color w:val="000000"/>
              </w:rPr>
              <w:t>所有纸质文件采用A4纸胶装，</w:t>
            </w:r>
            <w:r>
              <w:rPr>
                <w:rFonts w:hint="eastAsia" w:ascii="仿宋" w:hAnsi="仿宋" w:eastAsia="仿宋" w:cs="Cambria Math"/>
                <w:color w:val="000000"/>
              </w:rPr>
              <w:t>双面打印，密封要求如下：</w:t>
            </w:r>
          </w:p>
          <w:p w14:paraId="45F95D9E">
            <w:pPr>
              <w:pStyle w:val="148"/>
              <w:spacing w:before="62" w:beforeLines="20" w:after="62" w:afterLines="20" w:line="276" w:lineRule="auto"/>
              <w:rPr>
                <w:rFonts w:hint="eastAsia" w:ascii="仿宋" w:hAnsi="仿宋" w:eastAsia="仿宋" w:cs="仿宋"/>
                <w:color w:val="000000"/>
              </w:rPr>
            </w:pPr>
            <w:r>
              <w:rPr>
                <w:rFonts w:hint="eastAsia" w:ascii="仿宋" w:hAnsi="仿宋" w:eastAsia="仿宋" w:cs="仿宋"/>
                <w:color w:val="000000"/>
              </w:rPr>
              <w:t>密封袋一：所有商务文件</w:t>
            </w:r>
          </w:p>
          <w:p w14:paraId="33412622">
            <w:pPr>
              <w:pStyle w:val="148"/>
              <w:spacing w:before="62" w:beforeLines="20" w:after="62" w:afterLines="20" w:line="276" w:lineRule="auto"/>
              <w:rPr>
                <w:rFonts w:hint="eastAsia" w:ascii="仿宋" w:hAnsi="仿宋" w:eastAsia="仿宋" w:cs="仿宋"/>
                <w:color w:val="000000"/>
              </w:rPr>
            </w:pPr>
            <w:r>
              <w:rPr>
                <w:rFonts w:hint="eastAsia" w:ascii="仿宋" w:hAnsi="仿宋" w:eastAsia="仿宋" w:cs="仿宋"/>
                <w:color w:val="000000"/>
              </w:rPr>
              <w:t>密封袋二：所有技术文件</w:t>
            </w:r>
          </w:p>
          <w:p w14:paraId="1D2D1BBD">
            <w:pPr>
              <w:pStyle w:val="148"/>
              <w:spacing w:before="62" w:beforeLines="20" w:after="62" w:afterLines="20" w:line="276" w:lineRule="auto"/>
              <w:rPr>
                <w:rFonts w:hint="eastAsia" w:ascii="仿宋" w:hAnsi="仿宋" w:eastAsia="仿宋" w:cs="仿宋"/>
                <w:color w:val="000000"/>
              </w:rPr>
            </w:pPr>
            <w:r>
              <w:rPr>
                <w:rFonts w:hint="eastAsia" w:ascii="仿宋" w:hAnsi="仿宋" w:eastAsia="仿宋" w:cs="仿宋"/>
                <w:color w:val="000000"/>
              </w:rPr>
              <w:t>密封袋三：所有报价文件</w:t>
            </w:r>
          </w:p>
          <w:p w14:paraId="14AC758D">
            <w:pPr>
              <w:rPr>
                <w:rFonts w:ascii="仿宋" w:hAnsi="仿宋" w:eastAsia="仿宋"/>
                <w:color w:val="000000"/>
              </w:rPr>
            </w:pPr>
            <w:r>
              <w:rPr>
                <w:rFonts w:hint="eastAsia" w:ascii="仿宋" w:hAnsi="仿宋" w:eastAsia="仿宋" w:cs="Cambria Math"/>
                <w:color w:val="000000"/>
                <w:szCs w:val="21"/>
              </w:rPr>
              <w:t>外层包封具体样式如下：</w:t>
            </w:r>
          </w:p>
          <w:p w14:paraId="26A69882">
            <w:pPr>
              <w:pStyle w:val="148"/>
              <w:spacing w:before="62" w:beforeLines="20" w:after="62" w:afterLines="20" w:line="360" w:lineRule="auto"/>
              <w:rPr>
                <w:rFonts w:hint="eastAsia" w:ascii="仿宋" w:hAnsi="仿宋" w:eastAsia="仿宋" w:cs="仿宋"/>
                <w:color w:val="000000"/>
              </w:rPr>
            </w:pPr>
            <w:r>
              <w:rPr>
                <w:rFonts w:hint="eastAsia" w:ascii="仿宋" w:hAnsi="仿宋" w:eastAsia="仿宋" w:cs="仿宋"/>
                <w:color w:val="000000"/>
              </w:rPr>
              <mc:AlternateContent>
                <mc:Choice Requires="wps">
                  <w:drawing>
                    <wp:inline distT="0" distB="0" distL="114300" distR="114300">
                      <wp:extent cx="4248150" cy="2775585"/>
                      <wp:effectExtent l="4445" t="4445" r="14605" b="20320"/>
                      <wp:docPr id="1" name="文本框 3"/>
                      <wp:cNvGraphicFramePr/>
                      <a:graphic xmlns:a="http://schemas.openxmlformats.org/drawingml/2006/main">
                        <a:graphicData uri="http://schemas.microsoft.com/office/word/2010/wordprocessingShape">
                          <wps:wsp>
                            <wps:cNvSpPr txBox="1">
                              <a:spLocks noRot="1"/>
                            </wps:cNvSpPr>
                            <wps:spPr>
                              <a:xfrm>
                                <a:off x="0" y="0"/>
                                <a:ext cx="424815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5F28B0A">
                                  <w:pPr>
                                    <w:spacing w:line="360" w:lineRule="auto"/>
                                    <w:rPr>
                                      <w:rFonts w:ascii="仿宋" w:hAnsi="仿宋" w:eastAsia="仿宋" w:cs="仿宋"/>
                                      <w:kern w:val="0"/>
                                      <w:szCs w:val="21"/>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ascii="仿宋" w:hAnsi="仿宋" w:eastAsia="仿宋" w:cs="仿宋"/>
                                      <w:kern w:val="0"/>
                                      <w:szCs w:val="21"/>
                                      <w:u w:val="single"/>
                                    </w:rPr>
                                    <w:t xml:space="preserve"> </w:t>
                                  </w:r>
                                  <w:r>
                                    <w:rPr>
                                      <w:rFonts w:ascii="仿宋" w:hAnsi="仿宋" w:eastAsia="仿宋" w:cs="仿宋"/>
                                      <w:kern w:val="0"/>
                                      <w:szCs w:val="21"/>
                                    </w:rPr>
                                    <w:t xml:space="preserve"> </w:t>
                                  </w:r>
                                </w:p>
                                <w:p w14:paraId="10F18F18">
                                  <w:pPr>
                                    <w:spacing w:line="360" w:lineRule="auto"/>
                                    <w:rPr>
                                      <w:rFonts w:ascii="仿宋" w:hAnsi="仿宋" w:eastAsia="仿宋" w:cs="仿宋"/>
                                      <w:kern w:val="0"/>
                                      <w:szCs w:val="21"/>
                                    </w:rPr>
                                  </w:pPr>
                                  <w:r>
                                    <w:rPr>
                                      <w:rFonts w:hint="eastAsia" w:ascii="仿宋" w:hAnsi="仿宋" w:eastAsia="仿宋" w:cs="仿宋"/>
                                      <w:kern w:val="0"/>
                                      <w:szCs w:val="21"/>
                                    </w:rPr>
                                    <w:t>采购代理编号:</w:t>
                                  </w:r>
                                  <w:r>
                                    <w:rPr>
                                      <w:rFonts w:hint="eastAsia" w:ascii="仿宋" w:hAnsi="仿宋" w:eastAsia="仿宋" w:cs="仿宋"/>
                                      <w:kern w:val="0"/>
                                      <w:szCs w:val="21"/>
                                      <w:u w:val="single"/>
                                    </w:rPr>
                                    <w:t xml:space="preserve">            </w:t>
                                  </w:r>
                                  <w:r>
                                    <w:rPr>
                                      <w:rFonts w:ascii="仿宋" w:hAnsi="仿宋" w:eastAsia="仿宋" w:cs="仿宋"/>
                                      <w:kern w:val="0"/>
                                      <w:szCs w:val="21"/>
                                      <w:u w:val="single"/>
                                    </w:rPr>
                                    <w:t xml:space="preserve"> </w:t>
                                  </w:r>
                                  <w:r>
                                    <w:rPr>
                                      <w:rFonts w:ascii="仿宋" w:hAnsi="仿宋" w:eastAsia="仿宋" w:cs="仿宋"/>
                                      <w:kern w:val="0"/>
                                      <w:szCs w:val="21"/>
                                    </w:rPr>
                                    <w:t xml:space="preserve"> </w:t>
                                  </w:r>
                                </w:p>
                                <w:p w14:paraId="27154CD7">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采购人名称和地址：</w:t>
                                  </w:r>
                                  <w:r>
                                    <w:rPr>
                                      <w:rFonts w:hint="eastAsia" w:ascii="仿宋" w:hAnsi="仿宋" w:eastAsia="仿宋" w:cs="仿宋"/>
                                      <w:kern w:val="0"/>
                                      <w:szCs w:val="21"/>
                                      <w:u w:val="single"/>
                                    </w:rPr>
                                    <w:t xml:space="preserve">                 </w:t>
                                  </w:r>
                                </w:p>
                                <w:p w14:paraId="438E355D">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782410F7">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66129E29">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20E31ABF">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3B12FDF3">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34.5pt;" fillcolor="#FFFFFF" filled="t" stroked="t" coordsize="21600,21600" o:gfxdata="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9sKwR1QAAAAUBAAAPAAAAAAAAAAEAIAAAACIAAABkcnMvZG93bnJldi54bWxQSwEC&#10;FAAUAAAACACHTuJAJQMMiTACAACCBAAADgAAAAAAAAABACAAAAAkAQAAZHJzL2Uyb0RvYy54bWxQ&#10;SwUGAAAAAAYABgBZAQAAxgUAAAAA&#10;">
                      <v:fill on="t" focussize="0,0"/>
                      <v:stroke color="#000000" joinstyle="miter"/>
                      <v:imagedata o:title=""/>
                      <o:lock v:ext="edit" rotation="t" aspectratio="f"/>
                      <v:textbox style="mso-fit-shape-to-text:t;">
                        <w:txbxContent>
                          <w:p w14:paraId="55F28B0A">
                            <w:pPr>
                              <w:spacing w:line="360" w:lineRule="auto"/>
                              <w:rPr>
                                <w:rFonts w:ascii="仿宋" w:hAnsi="仿宋" w:eastAsia="仿宋" w:cs="仿宋"/>
                                <w:kern w:val="0"/>
                                <w:szCs w:val="21"/>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ascii="仿宋" w:hAnsi="仿宋" w:eastAsia="仿宋" w:cs="仿宋"/>
                                <w:kern w:val="0"/>
                                <w:szCs w:val="21"/>
                                <w:u w:val="single"/>
                              </w:rPr>
                              <w:t xml:space="preserve"> </w:t>
                            </w:r>
                            <w:r>
                              <w:rPr>
                                <w:rFonts w:ascii="仿宋" w:hAnsi="仿宋" w:eastAsia="仿宋" w:cs="仿宋"/>
                                <w:kern w:val="0"/>
                                <w:szCs w:val="21"/>
                              </w:rPr>
                              <w:t xml:space="preserve"> </w:t>
                            </w:r>
                          </w:p>
                          <w:p w14:paraId="10F18F18">
                            <w:pPr>
                              <w:spacing w:line="360" w:lineRule="auto"/>
                              <w:rPr>
                                <w:rFonts w:ascii="仿宋" w:hAnsi="仿宋" w:eastAsia="仿宋" w:cs="仿宋"/>
                                <w:kern w:val="0"/>
                                <w:szCs w:val="21"/>
                              </w:rPr>
                            </w:pPr>
                            <w:r>
                              <w:rPr>
                                <w:rFonts w:hint="eastAsia" w:ascii="仿宋" w:hAnsi="仿宋" w:eastAsia="仿宋" w:cs="仿宋"/>
                                <w:kern w:val="0"/>
                                <w:szCs w:val="21"/>
                              </w:rPr>
                              <w:t>采购代理编号:</w:t>
                            </w:r>
                            <w:r>
                              <w:rPr>
                                <w:rFonts w:hint="eastAsia" w:ascii="仿宋" w:hAnsi="仿宋" w:eastAsia="仿宋" w:cs="仿宋"/>
                                <w:kern w:val="0"/>
                                <w:szCs w:val="21"/>
                                <w:u w:val="single"/>
                              </w:rPr>
                              <w:t xml:space="preserve">            </w:t>
                            </w:r>
                            <w:r>
                              <w:rPr>
                                <w:rFonts w:ascii="仿宋" w:hAnsi="仿宋" w:eastAsia="仿宋" w:cs="仿宋"/>
                                <w:kern w:val="0"/>
                                <w:szCs w:val="21"/>
                                <w:u w:val="single"/>
                              </w:rPr>
                              <w:t xml:space="preserve"> </w:t>
                            </w:r>
                            <w:r>
                              <w:rPr>
                                <w:rFonts w:ascii="仿宋" w:hAnsi="仿宋" w:eastAsia="仿宋" w:cs="仿宋"/>
                                <w:kern w:val="0"/>
                                <w:szCs w:val="21"/>
                              </w:rPr>
                              <w:t xml:space="preserve"> </w:t>
                            </w:r>
                          </w:p>
                          <w:p w14:paraId="27154CD7">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采购人名称和地址：</w:t>
                            </w:r>
                            <w:r>
                              <w:rPr>
                                <w:rFonts w:hint="eastAsia" w:ascii="仿宋" w:hAnsi="仿宋" w:eastAsia="仿宋" w:cs="仿宋"/>
                                <w:kern w:val="0"/>
                                <w:szCs w:val="21"/>
                                <w:u w:val="single"/>
                              </w:rPr>
                              <w:t xml:space="preserve">                 </w:t>
                            </w:r>
                          </w:p>
                          <w:p w14:paraId="438E355D">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782410F7">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66129E29">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20E31ABF">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3B12FDF3">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p w14:paraId="605E3DCE">
            <w:pPr>
              <w:pStyle w:val="148"/>
              <w:spacing w:before="62" w:beforeLines="20" w:after="62" w:afterLines="20" w:line="360" w:lineRule="auto"/>
              <w:rPr>
                <w:rFonts w:hint="eastAsia" w:ascii="仿宋" w:hAnsi="仿宋" w:eastAsia="仿宋" w:cs="仿宋"/>
                <w:bCs/>
                <w:color w:val="000000"/>
              </w:rPr>
            </w:pPr>
            <w:r>
              <w:rPr>
                <w:rFonts w:hint="eastAsia" w:ascii="仿宋" w:hAnsi="仿宋" w:eastAsia="仿宋" w:cs="仿宋"/>
                <w:bCs/>
                <w:color w:val="000000"/>
                <w:lang w:val="en-US" w:eastAsia="zh-CN"/>
              </w:rPr>
              <w:t>2</w:t>
            </w:r>
            <w:r>
              <w:rPr>
                <w:rFonts w:hint="eastAsia" w:ascii="仿宋" w:hAnsi="仿宋" w:eastAsia="仿宋" w:cs="仿宋"/>
                <w:bCs/>
                <w:color w:val="000000"/>
              </w:rPr>
              <w:t>）</w:t>
            </w:r>
            <w:r>
              <w:rPr>
                <w:rFonts w:hint="eastAsia" w:ascii="仿宋" w:hAnsi="仿宋" w:eastAsia="仿宋" w:cs="Cambria Math"/>
                <w:color w:val="000000"/>
              </w:rPr>
              <w:t>响应文件的全部内容（正本、副本、电子文档）须在响应文件递交截止时间前一并递交至指定地点。</w:t>
            </w:r>
            <w:r>
              <w:rPr>
                <w:rFonts w:hint="eastAsia" w:ascii="仿宋" w:hAnsi="仿宋" w:eastAsia="仿宋" w:cs="Cambria Math"/>
                <w:b/>
                <w:color w:val="000000"/>
              </w:rPr>
              <w:t>密封粘接缝隙均须加盖公章或由法定代表人（负责人）签字或其委托代理人签字。</w:t>
            </w:r>
          </w:p>
        </w:tc>
      </w:tr>
      <w:tr w14:paraId="71F41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0002E1A8">
            <w:pPr>
              <w:adjustRightInd w:val="0"/>
              <w:snapToGrid w:val="0"/>
              <w:spacing w:line="360" w:lineRule="auto"/>
              <w:jc w:val="center"/>
              <w:rPr>
                <w:rFonts w:ascii="仿宋" w:hAnsi="仿宋" w:eastAsia="仿宋" w:cs="仿宋"/>
                <w:color w:val="000000"/>
                <w:szCs w:val="21"/>
              </w:rPr>
            </w:pPr>
            <w:r>
              <w:rPr>
                <w:rFonts w:ascii="仿宋" w:hAnsi="仿宋" w:eastAsia="仿宋" w:cs="仿宋"/>
                <w:color w:val="000000"/>
                <w:szCs w:val="21"/>
              </w:rPr>
              <w:t>18.1</w:t>
            </w:r>
          </w:p>
        </w:tc>
        <w:tc>
          <w:tcPr>
            <w:tcW w:w="1833" w:type="dxa"/>
            <w:noWrap w:val="0"/>
            <w:vAlign w:val="center"/>
          </w:tcPr>
          <w:p w14:paraId="046EF208">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rPr>
              <w:t>组建</w:t>
            </w:r>
            <w:r>
              <w:rPr>
                <w:rFonts w:hint="eastAsia" w:ascii="仿宋" w:hAnsi="仿宋" w:eastAsia="仿宋" w:cs="仿宋"/>
                <w:color w:val="000000"/>
                <w:szCs w:val="21"/>
                <w:lang w:val="en-US" w:eastAsia="zh-CN"/>
              </w:rPr>
              <w:t>谈判</w:t>
            </w:r>
            <w:r>
              <w:rPr>
                <w:rFonts w:hint="eastAsia" w:ascii="仿宋" w:hAnsi="仿宋" w:eastAsia="仿宋" w:cs="仿宋"/>
                <w:color w:val="000000"/>
                <w:szCs w:val="21"/>
              </w:rPr>
              <w:t>小组</w:t>
            </w:r>
          </w:p>
        </w:tc>
        <w:tc>
          <w:tcPr>
            <w:tcW w:w="7066" w:type="dxa"/>
            <w:noWrap w:val="0"/>
            <w:vAlign w:val="center"/>
          </w:tcPr>
          <w:p w14:paraId="60B268B5">
            <w:pPr>
              <w:pStyle w:val="148"/>
              <w:spacing w:before="62" w:beforeLines="20" w:after="62" w:afterLines="20" w:line="360" w:lineRule="auto"/>
              <w:rPr>
                <w:rFonts w:hint="eastAsia" w:ascii="仿宋" w:hAnsi="仿宋" w:eastAsia="仿宋" w:cs="仿宋"/>
                <w:color w:val="000000"/>
              </w:rPr>
            </w:pPr>
            <w:r>
              <w:rPr>
                <w:rFonts w:hint="eastAsia" w:ascii="仿宋" w:hAnsi="仿宋" w:eastAsia="仿宋" w:cs="仿宋"/>
                <w:color w:val="000000"/>
              </w:rPr>
              <w:t>本项目</w:t>
            </w:r>
            <w:r>
              <w:rPr>
                <w:rFonts w:hint="eastAsia" w:ascii="仿宋" w:hAnsi="仿宋" w:eastAsia="仿宋" w:cs="仿宋"/>
                <w:color w:val="000000"/>
                <w:lang w:val="en-US" w:eastAsia="zh-CN"/>
              </w:rPr>
              <w:t>谈判</w:t>
            </w:r>
            <w:r>
              <w:rPr>
                <w:rFonts w:hint="eastAsia" w:ascii="仿宋" w:hAnsi="仿宋" w:eastAsia="仿宋" w:cs="仿宋"/>
                <w:color w:val="000000"/>
              </w:rPr>
              <w:t>小组成员人数为</w:t>
            </w:r>
            <w:r>
              <w:rPr>
                <w:rFonts w:hint="eastAsia" w:ascii="仿宋" w:hAnsi="仿宋" w:eastAsia="仿宋" w:cs="仿宋"/>
                <w:color w:val="000000"/>
                <w:u w:val="single"/>
              </w:rPr>
              <w:t>5人</w:t>
            </w:r>
          </w:p>
        </w:tc>
      </w:tr>
      <w:tr w14:paraId="46FE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53" w:type="dxa"/>
            <w:noWrap w:val="0"/>
            <w:vAlign w:val="center"/>
          </w:tcPr>
          <w:p w14:paraId="30284680">
            <w:pPr>
              <w:adjustRightInd w:val="0"/>
              <w:snapToGrid w:val="0"/>
              <w:spacing w:line="360" w:lineRule="auto"/>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19.1</w:t>
            </w:r>
          </w:p>
        </w:tc>
        <w:tc>
          <w:tcPr>
            <w:tcW w:w="1833" w:type="dxa"/>
            <w:noWrap w:val="0"/>
            <w:vAlign w:val="center"/>
          </w:tcPr>
          <w:p w14:paraId="494AAFB9">
            <w:pPr>
              <w:adjustRightInd w:val="0"/>
              <w:snapToGrid w:val="0"/>
              <w:spacing w:line="360" w:lineRule="auto"/>
              <w:ind w:left="36" w:leftChars="17"/>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谈判</w:t>
            </w:r>
            <w:r>
              <w:rPr>
                <w:rFonts w:hint="eastAsia" w:ascii="仿宋" w:hAnsi="仿宋" w:eastAsia="仿宋" w:cs="仿宋"/>
                <w:color w:val="000000"/>
                <w:szCs w:val="21"/>
              </w:rPr>
              <w:t>内容</w:t>
            </w:r>
          </w:p>
        </w:tc>
        <w:tc>
          <w:tcPr>
            <w:tcW w:w="7066" w:type="dxa"/>
            <w:noWrap w:val="0"/>
            <w:vAlign w:val="center"/>
          </w:tcPr>
          <w:p w14:paraId="29C2B5B0">
            <w:pPr>
              <w:pStyle w:val="148"/>
              <w:spacing w:before="62" w:beforeLines="20" w:after="62" w:afterLines="20" w:line="360" w:lineRule="auto"/>
              <w:rPr>
                <w:rFonts w:hint="eastAsia" w:ascii="仿宋" w:hAnsi="仿宋" w:eastAsia="仿宋" w:cs="仿宋"/>
                <w:color w:val="000000"/>
                <w:lang w:eastAsia="zh-CN"/>
              </w:rPr>
            </w:pPr>
            <w:r>
              <w:rPr>
                <w:rFonts w:hint="eastAsia" w:ascii="仿宋" w:hAnsi="仿宋" w:eastAsia="仿宋" w:cs="仿宋"/>
                <w:highlight w:val="none"/>
              </w:rPr>
              <w:t>包含但不仅限于</w:t>
            </w:r>
            <w:r>
              <w:rPr>
                <w:rFonts w:hint="eastAsia" w:ascii="仿宋" w:hAnsi="仿宋" w:eastAsia="仿宋" w:cs="仿宋"/>
                <w:highlight w:val="none"/>
                <w:u w:val="single"/>
              </w:rPr>
              <w:t>报价、服务方案、团队配备</w:t>
            </w:r>
            <w:r>
              <w:rPr>
                <w:rFonts w:hint="eastAsia" w:ascii="仿宋" w:hAnsi="仿宋" w:eastAsia="仿宋" w:cs="仿宋"/>
                <w:highlight w:val="none"/>
                <w:u w:val="none"/>
              </w:rPr>
              <w:t>等</w:t>
            </w:r>
            <w:r>
              <w:rPr>
                <w:rFonts w:hint="eastAsia" w:ascii="仿宋" w:hAnsi="仿宋" w:eastAsia="仿宋" w:cs="仿宋"/>
                <w:highlight w:val="none"/>
                <w:u w:val="none"/>
                <w:lang w:eastAsia="zh-CN"/>
              </w:rPr>
              <w:t>。</w:t>
            </w:r>
          </w:p>
        </w:tc>
      </w:tr>
    </w:tbl>
    <w:p w14:paraId="0DBEF314">
      <w:pPr>
        <w:pStyle w:val="3"/>
        <w:ind w:firstLine="0" w:firstLineChars="0"/>
        <w:jc w:val="left"/>
        <w:rPr>
          <w:rFonts w:hint="eastAsia" w:ascii="仿宋" w:hAnsi="仿宋" w:eastAsia="仿宋" w:cs="仿宋"/>
          <w:color w:val="000000"/>
          <w:sz w:val="24"/>
          <w:szCs w:val="24"/>
        </w:rPr>
      </w:pPr>
      <w:r>
        <w:rPr>
          <w:rFonts w:hint="eastAsia" w:ascii="仿宋" w:hAnsi="仿宋" w:eastAsia="仿宋" w:cs="仿宋"/>
          <w:color w:val="000000"/>
        </w:rPr>
        <w:br w:type="page"/>
      </w:r>
      <w:bookmarkStart w:id="45" w:name="_Toc444891336"/>
      <w:bookmarkStart w:id="46" w:name="_Toc19783313"/>
      <w:bookmarkStart w:id="47" w:name="_Toc27232"/>
      <w:bookmarkStart w:id="48" w:name="_Toc517281816"/>
      <w:bookmarkStart w:id="49" w:name="_Toc20514"/>
      <w:bookmarkStart w:id="50" w:name="_Toc11071"/>
      <w:bookmarkStart w:id="51" w:name="_Toc287600118"/>
      <w:bookmarkStart w:id="52" w:name="_Toc6047"/>
      <w:bookmarkStart w:id="53" w:name="_Toc30674"/>
      <w:bookmarkStart w:id="54" w:name="_Toc30662"/>
      <w:r>
        <w:rPr>
          <w:rFonts w:hint="eastAsia" w:ascii="仿宋" w:hAnsi="仿宋" w:eastAsia="仿宋" w:cs="仿宋"/>
          <w:color w:val="000000"/>
          <w:sz w:val="24"/>
          <w:szCs w:val="24"/>
        </w:rPr>
        <w:t>二、供应商须知</w:t>
      </w:r>
      <w:bookmarkEnd w:id="45"/>
      <w:bookmarkEnd w:id="46"/>
      <w:bookmarkEnd w:id="47"/>
      <w:bookmarkEnd w:id="48"/>
      <w:bookmarkEnd w:id="49"/>
      <w:bookmarkEnd w:id="50"/>
      <w:bookmarkEnd w:id="51"/>
      <w:bookmarkEnd w:id="52"/>
      <w:r>
        <w:rPr>
          <w:rFonts w:hint="eastAsia" w:ascii="仿宋" w:hAnsi="仿宋" w:eastAsia="仿宋" w:cs="仿宋"/>
          <w:color w:val="000000"/>
          <w:sz w:val="24"/>
          <w:szCs w:val="24"/>
        </w:rPr>
        <w:t>正文</w:t>
      </w:r>
      <w:bookmarkEnd w:id="53"/>
      <w:bookmarkEnd w:id="54"/>
    </w:p>
    <w:p w14:paraId="1F78E389">
      <w:pPr>
        <w:pStyle w:val="4"/>
        <w:spacing w:before="0" w:after="0" w:line="360" w:lineRule="auto"/>
        <w:rPr>
          <w:rFonts w:hint="eastAsia" w:ascii="仿宋" w:hAnsi="仿宋" w:eastAsia="仿宋" w:cs="仿宋"/>
          <w:color w:val="000000"/>
          <w:sz w:val="24"/>
          <w:szCs w:val="24"/>
        </w:rPr>
      </w:pPr>
      <w:bookmarkStart w:id="55" w:name="_Toc517281817"/>
      <w:bookmarkStart w:id="56" w:name="_Toc12830"/>
      <w:bookmarkStart w:id="57" w:name="_Toc444891337"/>
      <w:bookmarkStart w:id="58" w:name="_Toc16441"/>
      <w:bookmarkStart w:id="59" w:name="_Toc22969"/>
      <w:bookmarkStart w:id="60" w:name="_Toc11851"/>
      <w:bookmarkStart w:id="61" w:name="_Toc287600119"/>
      <w:bookmarkStart w:id="62" w:name="_Toc6681"/>
      <w:bookmarkStart w:id="63" w:name="_Toc431"/>
      <w:bookmarkStart w:id="64" w:name="_Toc19783314"/>
      <w:r>
        <w:rPr>
          <w:rFonts w:hint="eastAsia" w:ascii="仿宋" w:hAnsi="仿宋" w:eastAsia="仿宋" w:cs="仿宋"/>
          <w:color w:val="000000"/>
          <w:sz w:val="24"/>
          <w:szCs w:val="24"/>
        </w:rPr>
        <w:t>（一）总 则</w:t>
      </w:r>
      <w:bookmarkEnd w:id="55"/>
      <w:bookmarkEnd w:id="56"/>
      <w:bookmarkEnd w:id="57"/>
      <w:bookmarkEnd w:id="58"/>
      <w:bookmarkEnd w:id="59"/>
      <w:bookmarkEnd w:id="60"/>
      <w:bookmarkEnd w:id="61"/>
      <w:bookmarkEnd w:id="62"/>
      <w:bookmarkEnd w:id="63"/>
      <w:bookmarkEnd w:id="64"/>
    </w:p>
    <w:p w14:paraId="1F00A2B5">
      <w:pPr>
        <w:pStyle w:val="5"/>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1.项目说明</w:t>
      </w:r>
    </w:p>
    <w:p w14:paraId="709E245F">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本项目按照中华人民共和国有关法律、行政法规和部门规章以及采购人的采购管理制度，通过竞争性磋商方式确定签约供应商。</w:t>
      </w:r>
    </w:p>
    <w:p w14:paraId="6D45898F">
      <w:pPr>
        <w:pStyle w:val="5"/>
        <w:spacing w:before="0" w:after="0" w:line="360" w:lineRule="auto"/>
        <w:jc w:val="left"/>
        <w:rPr>
          <w:rFonts w:hint="eastAsia" w:ascii="仿宋" w:hAnsi="仿宋" w:eastAsia="仿宋" w:cs="仿宋"/>
          <w:color w:val="000000"/>
          <w:sz w:val="24"/>
          <w:szCs w:val="24"/>
        </w:rPr>
      </w:pPr>
      <w:r>
        <w:rPr>
          <w:rFonts w:ascii="仿宋" w:hAnsi="仿宋" w:eastAsia="仿宋" w:cs="仿宋"/>
          <w:color w:val="000000"/>
          <w:sz w:val="24"/>
          <w:szCs w:val="24"/>
        </w:rPr>
        <w:t>2</w:t>
      </w:r>
      <w:r>
        <w:rPr>
          <w:rFonts w:hint="eastAsia" w:ascii="仿宋" w:hAnsi="仿宋" w:eastAsia="仿宋" w:cs="仿宋"/>
          <w:color w:val="000000"/>
          <w:sz w:val="24"/>
          <w:szCs w:val="24"/>
        </w:rPr>
        <w:t>.资金来源</w:t>
      </w:r>
    </w:p>
    <w:p w14:paraId="7A0E06CD">
      <w:pPr>
        <w:tabs>
          <w:tab w:val="left" w:pos="3150"/>
          <w:tab w:val="left" w:pos="3780"/>
        </w:tabs>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资金来源于采购人或其子公司（含分支机构）自筹（比例100%），且资金已落实。</w:t>
      </w:r>
    </w:p>
    <w:p w14:paraId="606355A0">
      <w:pPr>
        <w:pStyle w:val="5"/>
        <w:spacing w:before="0" w:after="0" w:line="360" w:lineRule="auto"/>
        <w:jc w:val="left"/>
        <w:rPr>
          <w:rFonts w:hint="eastAsia" w:ascii="仿宋" w:hAnsi="仿宋" w:eastAsia="仿宋" w:cs="仿宋"/>
          <w:color w:val="00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.资格审查</w:t>
      </w:r>
    </w:p>
    <w:p w14:paraId="1860D992">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3.1</w:t>
      </w:r>
      <w:r>
        <w:rPr>
          <w:rFonts w:hint="eastAsia" w:ascii="仿宋" w:hAnsi="仿宋" w:eastAsia="仿宋" w:cs="宋体"/>
          <w:color w:val="000000"/>
          <w:kern w:val="0"/>
          <w:sz w:val="24"/>
        </w:rPr>
        <w:t>资格预审：是指在递交响应文件前对潜在供应商进行的资格审查。采用资格预审方式的，资格条件已经在</w:t>
      </w:r>
      <w:r>
        <w:rPr>
          <w:rFonts w:hint="eastAsia" w:ascii="仿宋" w:hAnsi="仿宋" w:eastAsia="仿宋" w:cs="宋体"/>
          <w:color w:val="000000"/>
          <w:kern w:val="0"/>
          <w:sz w:val="24"/>
          <w:lang w:eastAsia="zh-CN"/>
        </w:rPr>
        <w:t>采购文件</w:t>
      </w:r>
      <w:r>
        <w:rPr>
          <w:rFonts w:hint="eastAsia" w:ascii="仿宋" w:hAnsi="仿宋" w:eastAsia="仿宋" w:cs="宋体"/>
          <w:color w:val="000000"/>
          <w:kern w:val="0"/>
          <w:sz w:val="24"/>
        </w:rPr>
        <w:t>发出前的资格预审文件中作出规定。</w:t>
      </w:r>
    </w:p>
    <w:p w14:paraId="673F2742">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3</w:t>
      </w:r>
      <w:r>
        <w:rPr>
          <w:rFonts w:hint="eastAsia" w:ascii="仿宋" w:hAnsi="仿宋" w:eastAsia="仿宋" w:cs="宋体"/>
          <w:color w:val="000000"/>
          <w:kern w:val="0"/>
          <w:sz w:val="24"/>
        </w:rPr>
        <w:t>.2资格后审：是指在响应文件递交截止时间后由磋商小组根据</w:t>
      </w:r>
      <w:r>
        <w:rPr>
          <w:rFonts w:hint="eastAsia" w:ascii="仿宋" w:hAnsi="仿宋" w:eastAsia="仿宋" w:cs="宋体"/>
          <w:color w:val="000000"/>
          <w:kern w:val="0"/>
          <w:sz w:val="24"/>
          <w:lang w:eastAsia="zh-CN"/>
        </w:rPr>
        <w:t>采购文件</w:t>
      </w:r>
      <w:r>
        <w:rPr>
          <w:rFonts w:hint="eastAsia" w:ascii="仿宋" w:hAnsi="仿宋" w:eastAsia="仿宋" w:cs="宋体"/>
          <w:color w:val="000000"/>
          <w:kern w:val="0"/>
          <w:sz w:val="24"/>
        </w:rPr>
        <w:t>的规定对供应商进行的资格审查。采用资格后审的，采购人必须在</w:t>
      </w:r>
      <w:r>
        <w:rPr>
          <w:rFonts w:hint="eastAsia" w:ascii="仿宋" w:hAnsi="仿宋" w:eastAsia="仿宋" w:cs="宋体"/>
          <w:color w:val="000000"/>
          <w:kern w:val="0"/>
          <w:sz w:val="24"/>
          <w:lang w:eastAsia="zh-CN"/>
        </w:rPr>
        <w:t>采购文件</w:t>
      </w:r>
      <w:r>
        <w:rPr>
          <w:rFonts w:hint="eastAsia" w:ascii="仿宋" w:hAnsi="仿宋" w:eastAsia="仿宋" w:cs="宋体"/>
          <w:color w:val="000000"/>
          <w:kern w:val="0"/>
          <w:sz w:val="24"/>
        </w:rPr>
        <w:t>中详细规定资格审查标准和方法，供应商应具备的资格条件见第一章“竞争性磋商公告”。</w:t>
      </w:r>
    </w:p>
    <w:p w14:paraId="402543E8">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rPr>
        <w:t>3</w:t>
      </w:r>
      <w:r>
        <w:rPr>
          <w:rFonts w:ascii="仿宋" w:hAnsi="仿宋" w:eastAsia="仿宋" w:cs="宋体"/>
          <w:color w:val="000000"/>
          <w:kern w:val="0"/>
          <w:sz w:val="24"/>
        </w:rPr>
        <w:t>.3</w:t>
      </w:r>
      <w:r>
        <w:rPr>
          <w:rFonts w:hint="eastAsia" w:ascii="仿宋" w:hAnsi="仿宋" w:eastAsia="仿宋" w:cs="宋体"/>
          <w:color w:val="000000"/>
          <w:kern w:val="0"/>
          <w:sz w:val="24"/>
        </w:rPr>
        <w:t>本项目资格审查方式</w:t>
      </w:r>
      <w:r>
        <w:rPr>
          <w:rFonts w:hint="eastAsia" w:ascii="仿宋" w:hAnsi="仿宋" w:eastAsia="仿宋" w:cs="宋体"/>
          <w:color w:val="000000"/>
          <w:kern w:val="0"/>
          <w:sz w:val="24"/>
          <w:u w:val="single"/>
        </w:rPr>
        <w:t>详见供应商须知前附表。</w:t>
      </w:r>
    </w:p>
    <w:p w14:paraId="47230046">
      <w:pPr>
        <w:pStyle w:val="5"/>
        <w:spacing w:before="0" w:after="0" w:line="360" w:lineRule="auto"/>
        <w:jc w:val="left"/>
        <w:rPr>
          <w:rFonts w:hint="eastAsia" w:ascii="仿宋" w:hAnsi="仿宋" w:eastAsia="仿宋" w:cs="仿宋"/>
          <w:color w:val="000000"/>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.响应费用</w:t>
      </w:r>
    </w:p>
    <w:p w14:paraId="0937F166">
      <w:pPr>
        <w:spacing w:line="360" w:lineRule="auto"/>
        <w:textAlignment w:val="baseline"/>
        <w:rPr>
          <w:rFonts w:ascii="仿宋" w:hAnsi="仿宋" w:eastAsia="仿宋" w:cs="宋体"/>
          <w:color w:val="000000"/>
          <w:sz w:val="24"/>
        </w:rPr>
      </w:pPr>
      <w:r>
        <w:rPr>
          <w:rFonts w:hint="eastAsia" w:ascii="仿宋" w:hAnsi="仿宋" w:eastAsia="仿宋" w:cs="宋体"/>
          <w:color w:val="000000"/>
          <w:sz w:val="24"/>
        </w:rPr>
        <w:t>不论结果如何，</w:t>
      </w:r>
      <w:r>
        <w:rPr>
          <w:rFonts w:hint="eastAsia" w:ascii="仿宋" w:hAnsi="仿宋" w:eastAsia="仿宋" w:cs="仿宋"/>
          <w:color w:val="000000"/>
          <w:sz w:val="24"/>
        </w:rPr>
        <w:t>供应商</w:t>
      </w:r>
      <w:r>
        <w:rPr>
          <w:rFonts w:hint="eastAsia" w:ascii="仿宋" w:hAnsi="仿宋" w:eastAsia="仿宋" w:cs="宋体"/>
          <w:color w:val="000000"/>
          <w:sz w:val="24"/>
        </w:rPr>
        <w:t>自行承担所有准备和参与本次</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响应的有关费用。</w:t>
      </w:r>
    </w:p>
    <w:p w14:paraId="6481E30C">
      <w:pPr>
        <w:pStyle w:val="5"/>
        <w:spacing w:before="0" w:after="0" w:line="360" w:lineRule="auto"/>
        <w:jc w:val="left"/>
        <w:rPr>
          <w:rFonts w:ascii="仿宋" w:hAnsi="仿宋" w:eastAsia="仿宋" w:cs="仿宋"/>
          <w:color w:val="000000"/>
          <w:sz w:val="24"/>
          <w:szCs w:val="24"/>
        </w:rPr>
      </w:pPr>
      <w:bookmarkStart w:id="65" w:name="_Toc71191961"/>
      <w:bookmarkStart w:id="66" w:name="_Toc112068336"/>
      <w:bookmarkStart w:id="67" w:name="_Toc60224328"/>
      <w:bookmarkStart w:id="68" w:name="_Toc18962"/>
      <w:r>
        <w:rPr>
          <w:rFonts w:ascii="仿宋" w:hAnsi="仿宋" w:eastAsia="仿宋" w:cs="仿宋"/>
          <w:color w:val="000000"/>
          <w:sz w:val="24"/>
          <w:szCs w:val="24"/>
        </w:rPr>
        <w:t>5.保密</w:t>
      </w:r>
      <w:bookmarkEnd w:id="65"/>
      <w:bookmarkEnd w:id="66"/>
      <w:bookmarkEnd w:id="67"/>
      <w:bookmarkEnd w:id="68"/>
    </w:p>
    <w:p w14:paraId="53D476B0">
      <w:pPr>
        <w:spacing w:line="360" w:lineRule="auto"/>
        <w:textAlignment w:val="baseline"/>
        <w:rPr>
          <w:rFonts w:hint="eastAsia" w:ascii="仿宋" w:hAnsi="仿宋" w:eastAsia="仿宋" w:cs="宋体"/>
          <w:color w:val="000000"/>
          <w:sz w:val="24"/>
        </w:rPr>
      </w:pP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活动的各方应对</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文件和响应文件中的商业和技术等秘密保密，违者应对由此造成的后果承担法律责任。</w:t>
      </w:r>
    </w:p>
    <w:p w14:paraId="79D21CF4">
      <w:pPr>
        <w:pStyle w:val="4"/>
        <w:spacing w:before="0" w:after="0" w:line="360" w:lineRule="auto"/>
        <w:rPr>
          <w:rFonts w:hint="eastAsia" w:ascii="仿宋" w:hAnsi="仿宋" w:eastAsia="仿宋" w:cs="仿宋"/>
          <w:color w:val="000000"/>
          <w:sz w:val="24"/>
          <w:szCs w:val="24"/>
        </w:rPr>
      </w:pPr>
      <w:bookmarkStart w:id="69" w:name="_Toc25513"/>
      <w:bookmarkStart w:id="70" w:name="_Toc24246"/>
      <w:bookmarkStart w:id="71" w:name="_Toc287600120"/>
      <w:bookmarkStart w:id="72" w:name="_Toc21009"/>
      <w:bookmarkStart w:id="73" w:name="_Toc5255"/>
      <w:bookmarkStart w:id="74" w:name="_Toc3016"/>
      <w:bookmarkStart w:id="75" w:name="_Toc19783315"/>
      <w:bookmarkStart w:id="76" w:name="_Toc517281818"/>
      <w:bookmarkStart w:id="77" w:name="_Toc10975"/>
      <w:bookmarkStart w:id="78" w:name="_Toc444891338"/>
      <w:r>
        <w:rPr>
          <w:rFonts w:hint="eastAsia" w:ascii="仿宋" w:hAnsi="仿宋" w:eastAsia="仿宋" w:cs="仿宋"/>
          <w:color w:val="000000"/>
          <w:sz w:val="24"/>
          <w:szCs w:val="24"/>
        </w:rPr>
        <w:t>（二）</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文件</w:t>
      </w:r>
      <w:bookmarkEnd w:id="69"/>
      <w:bookmarkEnd w:id="70"/>
      <w:bookmarkEnd w:id="71"/>
      <w:bookmarkEnd w:id="72"/>
      <w:bookmarkEnd w:id="73"/>
      <w:bookmarkEnd w:id="74"/>
      <w:bookmarkEnd w:id="75"/>
      <w:bookmarkEnd w:id="76"/>
      <w:bookmarkEnd w:id="77"/>
      <w:bookmarkEnd w:id="78"/>
    </w:p>
    <w:p w14:paraId="3EAEC0C7">
      <w:pPr>
        <w:pStyle w:val="5"/>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6.</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文件的组成</w:t>
      </w:r>
    </w:p>
    <w:p w14:paraId="74AF1123">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6.1</w:t>
      </w:r>
      <w:r>
        <w:rPr>
          <w:rFonts w:hint="eastAsia" w:ascii="仿宋" w:hAnsi="仿宋" w:eastAsia="仿宋" w:cs="仿宋"/>
          <w:color w:val="000000"/>
          <w:sz w:val="24"/>
          <w:lang w:val="en-US" w:eastAsia="zh-CN"/>
        </w:rPr>
        <w:t>采购</w:t>
      </w:r>
      <w:r>
        <w:rPr>
          <w:rFonts w:hint="eastAsia" w:ascii="仿宋" w:hAnsi="仿宋" w:eastAsia="仿宋" w:cs="仿宋"/>
          <w:color w:val="000000"/>
          <w:sz w:val="24"/>
        </w:rPr>
        <w:t>文件包括下列内容：</w:t>
      </w:r>
    </w:p>
    <w:p w14:paraId="45F75D82">
      <w:pPr>
        <w:pStyle w:val="23"/>
        <w:widowControl/>
        <w:spacing w:line="360" w:lineRule="auto"/>
        <w:ind w:left="0" w:leftChars="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单一来源采购</w:t>
      </w:r>
      <w:r>
        <w:rPr>
          <w:rFonts w:hint="eastAsia" w:ascii="仿宋" w:hAnsi="仿宋" w:eastAsia="仿宋" w:cs="仿宋"/>
          <w:color w:val="000000"/>
          <w:sz w:val="24"/>
        </w:rPr>
        <w:t>公告</w:t>
      </w:r>
    </w:p>
    <w:p w14:paraId="750BACEB">
      <w:pPr>
        <w:pStyle w:val="23"/>
        <w:widowControl/>
        <w:spacing w:line="360" w:lineRule="auto"/>
        <w:ind w:left="0" w:leftChars="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第二章 供应商须知</w:t>
      </w:r>
    </w:p>
    <w:p w14:paraId="18F542F4">
      <w:pPr>
        <w:pStyle w:val="23"/>
        <w:widowControl/>
        <w:spacing w:line="360" w:lineRule="auto"/>
        <w:ind w:left="0" w:leftChars="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第</w:t>
      </w:r>
      <w:r>
        <w:rPr>
          <w:rFonts w:hint="eastAsia" w:ascii="仿宋" w:hAnsi="仿宋" w:eastAsia="仿宋" w:cs="仿宋"/>
          <w:color w:val="000000"/>
          <w:sz w:val="24"/>
          <w:lang w:val="en-US" w:eastAsia="zh-CN"/>
        </w:rPr>
        <w:t>三</w:t>
      </w:r>
      <w:r>
        <w:rPr>
          <w:rFonts w:hint="eastAsia" w:ascii="仿宋" w:hAnsi="仿宋" w:eastAsia="仿宋" w:cs="仿宋"/>
          <w:color w:val="000000"/>
          <w:sz w:val="24"/>
        </w:rPr>
        <w:t>章 合同条款</w:t>
      </w:r>
    </w:p>
    <w:p w14:paraId="22BA1147">
      <w:pPr>
        <w:tabs>
          <w:tab w:val="left" w:pos="540"/>
          <w:tab w:val="left" w:pos="720"/>
        </w:tabs>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第</w:t>
      </w:r>
      <w:r>
        <w:rPr>
          <w:rFonts w:hint="eastAsia" w:ascii="仿宋" w:hAnsi="仿宋" w:eastAsia="仿宋" w:cs="仿宋"/>
          <w:color w:val="000000"/>
          <w:sz w:val="24"/>
          <w:lang w:val="en-US" w:eastAsia="zh-CN"/>
        </w:rPr>
        <w:t>四</w:t>
      </w:r>
      <w:r>
        <w:rPr>
          <w:rFonts w:hint="eastAsia" w:ascii="仿宋" w:hAnsi="仿宋" w:eastAsia="仿宋" w:cs="仿宋"/>
          <w:color w:val="000000"/>
          <w:sz w:val="24"/>
        </w:rPr>
        <w:t>章 采购需求</w:t>
      </w:r>
    </w:p>
    <w:p w14:paraId="513538F1">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w:t>
      </w:r>
      <w:r>
        <w:rPr>
          <w:rFonts w:hint="eastAsia" w:ascii="仿宋" w:hAnsi="仿宋" w:eastAsia="仿宋" w:cs="仿宋"/>
          <w:color w:val="000000"/>
          <w:sz w:val="24"/>
          <w:lang w:val="en-US" w:eastAsia="zh-CN"/>
        </w:rPr>
        <w:t>五</w:t>
      </w:r>
      <w:r>
        <w:rPr>
          <w:rFonts w:hint="eastAsia" w:ascii="仿宋" w:hAnsi="仿宋" w:eastAsia="仿宋" w:cs="仿宋"/>
          <w:color w:val="000000"/>
          <w:sz w:val="24"/>
        </w:rPr>
        <w:t>章 响应文件格式</w:t>
      </w:r>
    </w:p>
    <w:p w14:paraId="4D812248">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6.</w:t>
      </w:r>
      <w:r>
        <w:rPr>
          <w:rFonts w:ascii="仿宋" w:hAnsi="仿宋" w:eastAsia="仿宋" w:cs="仿宋"/>
          <w:color w:val="000000"/>
          <w:kern w:val="0"/>
          <w:sz w:val="24"/>
        </w:rPr>
        <w:t>2</w:t>
      </w:r>
      <w:r>
        <w:rPr>
          <w:rFonts w:hint="eastAsia" w:ascii="仿宋" w:hAnsi="仿宋" w:eastAsia="仿宋" w:cs="仿宋"/>
          <w:color w:val="000000"/>
          <w:kern w:val="0"/>
          <w:sz w:val="24"/>
        </w:rPr>
        <w:t>采购人在</w:t>
      </w:r>
      <w:r>
        <w:rPr>
          <w:rFonts w:hint="eastAsia" w:ascii="仿宋" w:hAnsi="仿宋" w:eastAsia="仿宋" w:cs="仿宋"/>
          <w:color w:val="000000"/>
          <w:kern w:val="0"/>
          <w:sz w:val="24"/>
          <w:lang w:val="en-US" w:eastAsia="zh-CN"/>
        </w:rPr>
        <w:t>采购</w:t>
      </w:r>
      <w:r>
        <w:rPr>
          <w:rFonts w:hint="eastAsia" w:ascii="仿宋" w:hAnsi="仿宋" w:eastAsia="仿宋" w:cs="仿宋"/>
          <w:color w:val="000000"/>
          <w:kern w:val="0"/>
          <w:sz w:val="24"/>
        </w:rPr>
        <w:t>文件中以显著的方式标明实质性要求、条件以及不满足实质性要求和条件的响应文件将被否决的提示，实质性要求的标识方式</w:t>
      </w:r>
      <w:r>
        <w:rPr>
          <w:rFonts w:hint="eastAsia" w:ascii="仿宋" w:hAnsi="仿宋" w:eastAsia="仿宋" w:cs="仿宋"/>
          <w:color w:val="000000"/>
          <w:kern w:val="0"/>
          <w:sz w:val="24"/>
          <w:u w:val="single"/>
        </w:rPr>
        <w:t>见供应商须知前附表</w:t>
      </w:r>
      <w:r>
        <w:rPr>
          <w:rFonts w:hint="eastAsia" w:ascii="仿宋" w:hAnsi="仿宋" w:eastAsia="仿宋" w:cs="仿宋"/>
          <w:color w:val="000000"/>
          <w:kern w:val="0"/>
          <w:sz w:val="24"/>
        </w:rPr>
        <w:t>。</w:t>
      </w:r>
    </w:p>
    <w:p w14:paraId="1D3062EB">
      <w:pPr>
        <w:pStyle w:val="4"/>
        <w:spacing w:before="0" w:after="0" w:line="360" w:lineRule="auto"/>
        <w:rPr>
          <w:rFonts w:hint="eastAsia" w:ascii="仿宋" w:hAnsi="仿宋" w:eastAsia="仿宋" w:cs="仿宋"/>
          <w:color w:val="000000"/>
          <w:sz w:val="24"/>
          <w:szCs w:val="24"/>
        </w:rPr>
      </w:pPr>
      <w:bookmarkStart w:id="79" w:name="_Toc5983"/>
      <w:bookmarkStart w:id="80" w:name="_Toc27642"/>
      <w:bookmarkStart w:id="81" w:name="_Toc13691"/>
      <w:bookmarkStart w:id="82" w:name="_Toc14308"/>
      <w:bookmarkStart w:id="83" w:name="_Toc287600121"/>
      <w:bookmarkStart w:id="84" w:name="_Toc16985"/>
      <w:bookmarkStart w:id="85" w:name="_Toc517281819"/>
      <w:bookmarkStart w:id="86" w:name="_Toc444891339"/>
      <w:bookmarkStart w:id="87" w:name="_Toc19783316"/>
      <w:bookmarkStart w:id="88" w:name="_Toc27563"/>
      <w:r>
        <w:rPr>
          <w:rFonts w:hint="eastAsia" w:ascii="仿宋" w:hAnsi="仿宋" w:eastAsia="仿宋" w:cs="仿宋"/>
          <w:color w:val="000000"/>
          <w:sz w:val="24"/>
          <w:szCs w:val="24"/>
        </w:rPr>
        <w:t>（三）响应文件</w:t>
      </w:r>
      <w:bookmarkEnd w:id="79"/>
      <w:bookmarkEnd w:id="80"/>
      <w:bookmarkEnd w:id="81"/>
      <w:bookmarkEnd w:id="82"/>
      <w:bookmarkEnd w:id="83"/>
      <w:bookmarkEnd w:id="84"/>
      <w:bookmarkEnd w:id="85"/>
      <w:bookmarkEnd w:id="86"/>
      <w:bookmarkEnd w:id="87"/>
      <w:bookmarkEnd w:id="88"/>
    </w:p>
    <w:p w14:paraId="4CF7C60B">
      <w:pPr>
        <w:pStyle w:val="5"/>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.响应文件的组成</w:t>
      </w:r>
    </w:p>
    <w:p w14:paraId="761A8792">
      <w:pPr>
        <w:spacing w:line="360" w:lineRule="auto"/>
        <w:jc w:val="left"/>
        <w:rPr>
          <w:rFonts w:hint="eastAsia" w:ascii="仿宋" w:hAnsi="仿宋" w:eastAsia="仿宋" w:cs="仿宋"/>
          <w:color w:val="000000"/>
          <w:sz w:val="24"/>
        </w:rPr>
      </w:pPr>
      <w:r>
        <w:rPr>
          <w:rFonts w:hint="eastAsia" w:ascii="仿宋" w:hAnsi="仿宋" w:eastAsia="仿宋" w:cs="宋体"/>
          <w:color w:val="000000"/>
          <w:sz w:val="24"/>
        </w:rPr>
        <w:t>供应商应当按照供应商须知前附表的要求制作并提交响应文件，具体组成</w:t>
      </w:r>
      <w:r>
        <w:rPr>
          <w:rFonts w:hint="eastAsia" w:ascii="仿宋" w:hAnsi="仿宋" w:eastAsia="仿宋" w:cs="仿宋"/>
          <w:color w:val="000000"/>
          <w:sz w:val="24"/>
          <w:u w:val="single"/>
        </w:rPr>
        <w:t>见供应商须知前附表</w:t>
      </w:r>
      <w:r>
        <w:rPr>
          <w:rFonts w:hint="eastAsia" w:ascii="仿宋" w:hAnsi="仿宋" w:eastAsia="仿宋" w:cs="仿宋"/>
          <w:color w:val="000000"/>
          <w:sz w:val="24"/>
        </w:rPr>
        <w:t>。</w:t>
      </w:r>
    </w:p>
    <w:p w14:paraId="44365C9F">
      <w:pPr>
        <w:keepNext/>
        <w:keepLines/>
        <w:spacing w:line="360" w:lineRule="auto"/>
        <w:jc w:val="left"/>
        <w:outlineLvl w:val="3"/>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8</w:t>
      </w:r>
      <w:r>
        <w:rPr>
          <w:rFonts w:hint="eastAsia" w:ascii="仿宋" w:hAnsi="仿宋" w:eastAsia="仿宋" w:cs="仿宋"/>
          <w:b/>
          <w:bCs/>
          <w:color w:val="000000"/>
          <w:sz w:val="24"/>
        </w:rPr>
        <w:t xml:space="preserve">.响应报价 </w:t>
      </w:r>
    </w:p>
    <w:p w14:paraId="4FE0557B">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rPr>
        <w:t>供应商应当根据</w:t>
      </w:r>
      <w:r>
        <w:rPr>
          <w:rFonts w:hint="eastAsia" w:ascii="仿宋" w:hAnsi="仿宋" w:eastAsia="仿宋" w:cs="宋体"/>
          <w:color w:val="000000"/>
          <w:kern w:val="0"/>
          <w:sz w:val="24"/>
          <w:lang w:eastAsia="zh-CN"/>
        </w:rPr>
        <w:t>采购文件</w:t>
      </w:r>
      <w:r>
        <w:rPr>
          <w:rFonts w:hint="eastAsia" w:ascii="仿宋" w:hAnsi="仿宋" w:eastAsia="仿宋" w:cs="宋体"/>
          <w:color w:val="000000"/>
          <w:kern w:val="0"/>
          <w:sz w:val="24"/>
        </w:rPr>
        <w:t>要求进行报价，供应商应当报出符合</w:t>
      </w:r>
      <w:r>
        <w:rPr>
          <w:rFonts w:hint="eastAsia" w:ascii="仿宋" w:hAnsi="仿宋" w:eastAsia="仿宋" w:cs="宋体"/>
          <w:color w:val="000000"/>
          <w:kern w:val="0"/>
          <w:sz w:val="24"/>
          <w:lang w:eastAsia="zh-CN"/>
        </w:rPr>
        <w:t>采购文件</w:t>
      </w:r>
      <w:r>
        <w:rPr>
          <w:rFonts w:hint="eastAsia" w:ascii="仿宋" w:hAnsi="仿宋" w:eastAsia="仿宋" w:cs="宋体"/>
          <w:color w:val="000000"/>
          <w:kern w:val="0"/>
          <w:sz w:val="24"/>
        </w:rPr>
        <w:t>要求的拟提供货物或服务的单价、总价、费率、税率等内容，其他报价要求</w:t>
      </w:r>
      <w:r>
        <w:rPr>
          <w:rFonts w:hint="eastAsia" w:ascii="仿宋" w:hAnsi="仿宋" w:eastAsia="仿宋" w:cs="仿宋"/>
          <w:color w:val="000000"/>
          <w:sz w:val="24"/>
        </w:rPr>
        <w:t>见</w:t>
      </w:r>
      <w:r>
        <w:rPr>
          <w:rFonts w:hint="eastAsia" w:ascii="仿宋" w:hAnsi="仿宋" w:eastAsia="仿宋" w:cs="仿宋"/>
          <w:color w:val="000000"/>
          <w:sz w:val="24"/>
          <w:u w:val="single"/>
        </w:rPr>
        <w:t>供应商须知前附表</w:t>
      </w:r>
      <w:r>
        <w:rPr>
          <w:rFonts w:hint="eastAsia" w:ascii="仿宋" w:hAnsi="仿宋" w:eastAsia="仿宋" w:cs="仿宋"/>
          <w:color w:val="000000"/>
          <w:sz w:val="24"/>
        </w:rPr>
        <w:t>。</w:t>
      </w:r>
    </w:p>
    <w:p w14:paraId="50A035C5">
      <w:pPr>
        <w:pStyle w:val="5"/>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rPr>
        <w:t>.响应文件的式样、密封和标记</w:t>
      </w:r>
    </w:p>
    <w:p w14:paraId="375EBD44">
      <w:pPr>
        <w:widowControl/>
        <w:topLinePunct/>
        <w:spacing w:line="360" w:lineRule="auto"/>
        <w:ind w:firstLine="480" w:firstLineChars="200"/>
        <w:rPr>
          <w:rFonts w:hint="eastAsia" w:ascii="仿宋" w:hAnsi="仿宋" w:eastAsia="仿宋" w:cs="宋体"/>
          <w:color w:val="000000"/>
          <w:kern w:val="0"/>
          <w:sz w:val="24"/>
        </w:rPr>
      </w:pPr>
      <w:bookmarkStart w:id="89" w:name="_Toc19783317"/>
      <w:bookmarkStart w:id="90" w:name="_Toc14726"/>
      <w:bookmarkStart w:id="91" w:name="_Toc21600"/>
      <w:bookmarkStart w:id="92" w:name="_Toc444891340"/>
      <w:bookmarkStart w:id="93" w:name="_Toc4155"/>
      <w:bookmarkStart w:id="94" w:name="_Toc7129"/>
      <w:bookmarkStart w:id="95" w:name="_Toc287600122"/>
      <w:bookmarkStart w:id="96" w:name="_Toc18673"/>
      <w:bookmarkStart w:id="97" w:name="_Toc517281820"/>
      <w:r>
        <w:rPr>
          <w:rFonts w:hint="eastAsia" w:ascii="仿宋" w:hAnsi="仿宋" w:eastAsia="仿宋" w:cs="宋体"/>
          <w:color w:val="000000"/>
          <w:kern w:val="0"/>
          <w:sz w:val="24"/>
        </w:rPr>
        <w:t>供应商应当编制一份响应文件“正本”和</w:t>
      </w:r>
      <w:r>
        <w:rPr>
          <w:rFonts w:hint="eastAsia" w:ascii="仿宋" w:hAnsi="仿宋" w:eastAsia="仿宋" w:cs="宋体"/>
          <w:color w:val="000000"/>
          <w:kern w:val="0"/>
          <w:sz w:val="24"/>
          <w:u w:val="single"/>
        </w:rPr>
        <w:t>供应商须知前附表</w:t>
      </w:r>
      <w:r>
        <w:rPr>
          <w:rFonts w:hint="eastAsia" w:ascii="仿宋" w:hAnsi="仿宋" w:eastAsia="仿宋" w:cs="宋体"/>
          <w:color w:val="000000"/>
          <w:kern w:val="0"/>
          <w:sz w:val="24"/>
        </w:rPr>
        <w:t>所述份数的“副本”和“电子版”，副本为正本复印件。响应文件正本和副本如有不一致之处，以正本为准；纸质版文件与电子版文件不一致时，以纸质版文件为准。</w:t>
      </w:r>
    </w:p>
    <w:p w14:paraId="56F69213">
      <w:pPr>
        <w:pStyle w:val="4"/>
        <w:spacing w:before="0" w:after="0" w:line="360" w:lineRule="auto"/>
        <w:rPr>
          <w:rFonts w:hint="eastAsia" w:ascii="仿宋" w:hAnsi="仿宋" w:eastAsia="仿宋" w:cs="仿宋"/>
          <w:color w:val="000000"/>
          <w:sz w:val="24"/>
          <w:szCs w:val="24"/>
        </w:rPr>
      </w:pPr>
      <w:bookmarkStart w:id="98" w:name="_Toc25332"/>
      <w:r>
        <w:rPr>
          <w:rFonts w:hint="eastAsia" w:ascii="仿宋" w:hAnsi="仿宋" w:eastAsia="仿宋" w:cs="仿宋"/>
          <w:color w:val="000000"/>
          <w:sz w:val="24"/>
          <w:szCs w:val="24"/>
        </w:rPr>
        <w:t>（四）响应文件的</w:t>
      </w:r>
      <w:bookmarkEnd w:id="89"/>
      <w:bookmarkEnd w:id="90"/>
      <w:bookmarkEnd w:id="91"/>
      <w:bookmarkEnd w:id="92"/>
      <w:bookmarkEnd w:id="93"/>
      <w:bookmarkEnd w:id="94"/>
      <w:bookmarkEnd w:id="95"/>
      <w:bookmarkEnd w:id="96"/>
      <w:bookmarkEnd w:id="97"/>
      <w:r>
        <w:rPr>
          <w:rFonts w:hint="eastAsia" w:ascii="仿宋" w:hAnsi="仿宋" w:eastAsia="仿宋" w:cs="仿宋"/>
          <w:color w:val="000000"/>
          <w:sz w:val="24"/>
          <w:szCs w:val="24"/>
        </w:rPr>
        <w:t>递交</w:t>
      </w:r>
      <w:bookmarkEnd w:id="98"/>
    </w:p>
    <w:p w14:paraId="3F2EA544">
      <w:pPr>
        <w:pStyle w:val="5"/>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10</w:t>
      </w:r>
      <w:r>
        <w:rPr>
          <w:rFonts w:hint="eastAsia" w:ascii="仿宋" w:hAnsi="仿宋" w:eastAsia="仿宋" w:cs="仿宋"/>
          <w:color w:val="000000"/>
          <w:sz w:val="24"/>
          <w:szCs w:val="24"/>
        </w:rPr>
        <w:t>响应文件的递交</w:t>
      </w:r>
    </w:p>
    <w:p w14:paraId="4FD1067E">
      <w:pPr>
        <w:spacing w:line="360" w:lineRule="auto"/>
        <w:jc w:val="left"/>
        <w:rPr>
          <w:rFonts w:ascii="仿宋" w:hAnsi="仿宋" w:eastAsia="仿宋" w:cs="宋体"/>
          <w:color w:val="000000"/>
          <w:kern w:val="0"/>
          <w:sz w:val="24"/>
        </w:rPr>
      </w:pPr>
      <w:r>
        <w:rPr>
          <w:rFonts w:hint="eastAsia" w:ascii="仿宋" w:hAnsi="仿宋" w:eastAsia="仿宋" w:cs="仿宋"/>
          <w:color w:val="000000"/>
          <w:sz w:val="24"/>
        </w:rPr>
        <w:t>1</w:t>
      </w:r>
      <w:r>
        <w:rPr>
          <w:rFonts w:hint="eastAsia" w:ascii="仿宋" w:hAnsi="仿宋" w:eastAsia="仿宋" w:cs="仿宋"/>
          <w:color w:val="000000"/>
          <w:sz w:val="24"/>
          <w:lang w:val="en-US" w:eastAsia="zh-CN"/>
        </w:rPr>
        <w:t>0</w:t>
      </w:r>
      <w:r>
        <w:rPr>
          <w:rFonts w:hint="eastAsia" w:ascii="仿宋" w:hAnsi="仿宋" w:eastAsia="仿宋" w:cs="仿宋"/>
          <w:color w:val="000000"/>
          <w:sz w:val="24"/>
        </w:rPr>
        <w:t>.1</w:t>
      </w:r>
      <w:r>
        <w:rPr>
          <w:rFonts w:hint="eastAsia" w:ascii="仿宋" w:hAnsi="仿宋" w:eastAsia="仿宋" w:cs="宋体"/>
          <w:color w:val="000000"/>
          <w:kern w:val="0"/>
          <w:sz w:val="24"/>
        </w:rPr>
        <w:t>供应商应当在</w:t>
      </w:r>
      <w:r>
        <w:rPr>
          <w:rFonts w:hint="eastAsia" w:ascii="仿宋" w:hAnsi="仿宋" w:eastAsia="仿宋" w:cs="宋体"/>
          <w:color w:val="000000"/>
          <w:kern w:val="0"/>
          <w:sz w:val="24"/>
          <w:lang w:eastAsia="zh-CN"/>
        </w:rPr>
        <w:t>采购文件</w:t>
      </w:r>
      <w:r>
        <w:rPr>
          <w:rFonts w:hint="eastAsia" w:ascii="仿宋" w:hAnsi="仿宋" w:eastAsia="仿宋" w:cs="宋体"/>
          <w:color w:val="000000"/>
          <w:kern w:val="0"/>
          <w:sz w:val="24"/>
        </w:rPr>
        <w:t>要求提交响应文件的截止时间前，将响应文件送达指定地点。采购人收到响应文件后，应当签收保存，如实记载响应文件的送达时间和密封情况，不得在响应文件递交截止时间前开启。</w:t>
      </w:r>
    </w:p>
    <w:p w14:paraId="7AC4FEE4">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1</w:t>
      </w:r>
      <w:r>
        <w:rPr>
          <w:rFonts w:hint="eastAsia" w:ascii="仿宋" w:hAnsi="仿宋" w:eastAsia="仿宋" w:cs="仿宋"/>
          <w:color w:val="000000"/>
          <w:sz w:val="24"/>
          <w:lang w:val="en-US" w:eastAsia="zh-CN"/>
        </w:rPr>
        <w:t>0</w:t>
      </w:r>
      <w:r>
        <w:rPr>
          <w:rFonts w:ascii="仿宋" w:hAnsi="仿宋" w:eastAsia="仿宋" w:cs="仿宋"/>
          <w:color w:val="000000"/>
          <w:sz w:val="24"/>
        </w:rPr>
        <w:t>.2</w:t>
      </w:r>
      <w:r>
        <w:rPr>
          <w:rFonts w:hint="eastAsia" w:ascii="仿宋" w:hAnsi="仿宋" w:eastAsia="仿宋" w:cs="仿宋"/>
          <w:color w:val="000000"/>
          <w:sz w:val="24"/>
        </w:rPr>
        <w:t>供应商所递交的响应文件不予退还。</w:t>
      </w:r>
    </w:p>
    <w:p w14:paraId="4C7E5EF6">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1</w:t>
      </w:r>
      <w:r>
        <w:rPr>
          <w:rFonts w:hint="eastAsia" w:ascii="仿宋" w:hAnsi="仿宋" w:eastAsia="仿宋" w:cs="宋体"/>
          <w:color w:val="000000"/>
          <w:kern w:val="0"/>
          <w:sz w:val="24"/>
          <w:lang w:val="en-US" w:eastAsia="zh-CN"/>
        </w:rPr>
        <w:t>0</w:t>
      </w:r>
      <w:r>
        <w:rPr>
          <w:rFonts w:ascii="仿宋" w:hAnsi="仿宋" w:eastAsia="仿宋" w:cs="宋体"/>
          <w:color w:val="000000"/>
          <w:kern w:val="0"/>
          <w:sz w:val="24"/>
        </w:rPr>
        <w:t>.3</w:t>
      </w:r>
      <w:r>
        <w:rPr>
          <w:rFonts w:hint="eastAsia" w:ascii="仿宋" w:hAnsi="仿宋" w:eastAsia="仿宋" w:cs="宋体"/>
          <w:color w:val="000000"/>
          <w:kern w:val="0"/>
          <w:sz w:val="24"/>
        </w:rPr>
        <w:t xml:space="preserve"> 出现下列情形之一时，响应文件不予接收：</w:t>
      </w:r>
    </w:p>
    <w:p w14:paraId="505961D3">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rPr>
        <w:t>（1）逾期送达或者未送达指定地点的；</w:t>
      </w:r>
    </w:p>
    <w:p w14:paraId="3CE7545E">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rPr>
        <w:t>（2）响应文件未密封的；</w:t>
      </w:r>
    </w:p>
    <w:p w14:paraId="4C6B36B8">
      <w:pPr>
        <w:pStyle w:val="2"/>
        <w:spacing w:before="0" w:after="0" w:line="360" w:lineRule="auto"/>
        <w:jc w:val="center"/>
        <w:rPr>
          <w:rFonts w:hint="eastAsia" w:ascii="仿宋" w:hAnsi="仿宋" w:eastAsia="仿宋" w:cs="仿宋"/>
          <w:color w:val="auto"/>
          <w:sz w:val="28"/>
          <w:szCs w:val="28"/>
        </w:rPr>
      </w:pPr>
      <w:bookmarkStart w:id="99" w:name="_Toc6136"/>
      <w:bookmarkStart w:id="100" w:name="_Toc120545496"/>
      <w:bookmarkStart w:id="101" w:name="_Toc1200"/>
      <w:r>
        <w:rPr>
          <w:rFonts w:hint="eastAsia" w:ascii="仿宋" w:hAnsi="仿宋" w:eastAsia="仿宋" w:cs="仿宋"/>
          <w:color w:val="auto"/>
          <w:sz w:val="28"/>
          <w:szCs w:val="28"/>
        </w:rPr>
        <w:t>第三章 评审办法</w:t>
      </w:r>
      <w:bookmarkEnd w:id="99"/>
      <w:bookmarkEnd w:id="100"/>
      <w:bookmarkEnd w:id="101"/>
    </w:p>
    <w:p w14:paraId="540A842E">
      <w:pPr>
        <w:pStyle w:val="5"/>
        <w:spacing w:before="0" w:after="0" w:line="360"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谈判小组对响应文件中的相关内容进行评审。评审按照以下程序进行：</w:t>
      </w:r>
    </w:p>
    <w:p w14:paraId="05BB5613">
      <w:pPr>
        <w:spacing w:line="360" w:lineRule="auto"/>
        <w:ind w:firstLine="420" w:firstLineChars="175"/>
        <w:jc w:val="left"/>
        <w:rPr>
          <w:rFonts w:ascii="仿宋" w:hAnsi="仿宋" w:eastAsia="仿宋" w:cs="仿宋"/>
          <w:color w:val="auto"/>
          <w:kern w:val="0"/>
          <w:sz w:val="24"/>
        </w:rPr>
      </w:pPr>
      <w:r>
        <w:rPr>
          <w:rFonts w:hint="eastAsia" w:ascii="仿宋" w:hAnsi="仿宋" w:eastAsia="仿宋" w:cs="仿宋"/>
          <w:color w:val="auto"/>
          <w:kern w:val="0"/>
          <w:sz w:val="24"/>
        </w:rPr>
        <w:t>（一）熟悉单一来源谈判文件；</w:t>
      </w:r>
    </w:p>
    <w:p w14:paraId="5FC5E127">
      <w:pPr>
        <w:spacing w:line="360" w:lineRule="auto"/>
        <w:ind w:firstLine="420" w:firstLineChars="175"/>
        <w:jc w:val="left"/>
        <w:rPr>
          <w:rFonts w:ascii="仿宋" w:hAnsi="仿宋" w:eastAsia="仿宋" w:cs="仿宋"/>
          <w:color w:val="auto"/>
          <w:kern w:val="0"/>
          <w:sz w:val="24"/>
        </w:rPr>
      </w:pPr>
      <w:r>
        <w:rPr>
          <w:rFonts w:hint="eastAsia" w:ascii="仿宋" w:hAnsi="仿宋" w:eastAsia="仿宋" w:cs="仿宋"/>
          <w:color w:val="auto"/>
          <w:kern w:val="0"/>
          <w:sz w:val="24"/>
        </w:rPr>
        <w:t>（二）对响应文件进行初步评审，检查响应文件是否完全满足谈判文件的初审要求；初步评审中有一项不符合评审标准的，将做否决谈判响应处理；</w:t>
      </w:r>
    </w:p>
    <w:p w14:paraId="356611DD">
      <w:pPr>
        <w:spacing w:line="360" w:lineRule="auto"/>
        <w:ind w:firstLine="420" w:firstLineChars="175"/>
        <w:jc w:val="left"/>
        <w:rPr>
          <w:rFonts w:ascii="仿宋" w:hAnsi="仿宋" w:eastAsia="仿宋" w:cs="仿宋"/>
          <w:color w:val="auto"/>
          <w:kern w:val="0"/>
          <w:sz w:val="24"/>
        </w:rPr>
      </w:pPr>
      <w:r>
        <w:rPr>
          <w:rFonts w:hint="eastAsia" w:ascii="仿宋" w:hAnsi="仿宋" w:eastAsia="仿宋" w:cs="仿宋"/>
          <w:color w:val="auto"/>
          <w:kern w:val="0"/>
          <w:sz w:val="24"/>
        </w:rPr>
        <w:t>（三）与通过初步评审的供应商进行谈判；</w:t>
      </w:r>
    </w:p>
    <w:p w14:paraId="03C5EEAE">
      <w:pPr>
        <w:spacing w:line="360" w:lineRule="auto"/>
        <w:ind w:firstLine="420" w:firstLineChars="175"/>
        <w:jc w:val="left"/>
        <w:rPr>
          <w:rFonts w:ascii="仿宋" w:hAnsi="仿宋" w:eastAsia="仿宋" w:cs="仿宋"/>
          <w:color w:val="auto"/>
          <w:kern w:val="0"/>
          <w:sz w:val="24"/>
        </w:rPr>
      </w:pPr>
      <w:r>
        <w:rPr>
          <w:rFonts w:hint="eastAsia" w:ascii="仿宋" w:hAnsi="仿宋" w:eastAsia="仿宋" w:cs="仿宋"/>
          <w:color w:val="auto"/>
          <w:kern w:val="0"/>
          <w:sz w:val="24"/>
        </w:rPr>
        <w:t>（四）供应商进行最终报价；</w:t>
      </w:r>
    </w:p>
    <w:p w14:paraId="000DA31A">
      <w:pPr>
        <w:spacing w:line="360" w:lineRule="auto"/>
        <w:ind w:firstLine="420" w:firstLineChars="175"/>
        <w:jc w:val="left"/>
        <w:rPr>
          <w:rFonts w:hint="eastAsia" w:ascii="仿宋" w:hAnsi="仿宋" w:eastAsia="仿宋" w:cs="仿宋"/>
          <w:color w:val="auto"/>
          <w:kern w:val="0"/>
          <w:sz w:val="24"/>
        </w:rPr>
      </w:pPr>
      <w:r>
        <w:rPr>
          <w:rFonts w:hint="eastAsia" w:ascii="仿宋" w:hAnsi="仿宋" w:eastAsia="仿宋" w:cs="仿宋"/>
          <w:color w:val="auto"/>
          <w:kern w:val="0"/>
          <w:sz w:val="24"/>
        </w:rPr>
        <w:t>（五）完成评审报告，评审报告应包含评审情况说明、成交人及其他说明事项。</w:t>
      </w:r>
    </w:p>
    <w:p w14:paraId="2B40F5C4">
      <w:pPr>
        <w:rPr>
          <w:rFonts w:hint="eastAsia"/>
        </w:rPr>
      </w:pPr>
    </w:p>
    <w:p w14:paraId="208ECFBC">
      <w:pPr>
        <w:pStyle w:val="2"/>
        <w:numPr>
          <w:ilvl w:val="0"/>
          <w:numId w:val="0"/>
        </w:numPr>
        <w:spacing w:before="0" w:after="0" w:line="360" w:lineRule="auto"/>
        <w:jc w:val="center"/>
        <w:rPr>
          <w:rFonts w:hint="eastAsia" w:ascii="仿宋" w:hAnsi="仿宋" w:eastAsia="仿宋" w:cs="仿宋"/>
          <w:color w:val="000000"/>
          <w:sz w:val="28"/>
          <w:szCs w:val="28"/>
          <w:highlight w:val="none"/>
        </w:rPr>
      </w:pPr>
      <w:bookmarkStart w:id="102" w:name="_Toc2237"/>
      <w:bookmarkStart w:id="103" w:name="_Toc4930"/>
      <w:bookmarkStart w:id="104" w:name="_Toc517281824"/>
      <w:bookmarkStart w:id="105" w:name="_Toc444891343"/>
      <w:r>
        <w:rPr>
          <w:rFonts w:hint="eastAsia" w:ascii="仿宋" w:hAnsi="仿宋" w:eastAsia="仿宋" w:cs="仿宋"/>
          <w:color w:val="000000"/>
          <w:sz w:val="28"/>
          <w:szCs w:val="28"/>
          <w:highlight w:val="none"/>
          <w:lang w:val="en-US" w:eastAsia="zh-CN"/>
        </w:rPr>
        <w:t>第四章</w:t>
      </w:r>
      <w:r>
        <w:rPr>
          <w:rFonts w:hint="eastAsia" w:ascii="仿宋" w:hAnsi="仿宋" w:eastAsia="仿宋" w:cs="仿宋"/>
          <w:color w:val="000000"/>
          <w:sz w:val="28"/>
          <w:szCs w:val="28"/>
          <w:highlight w:val="none"/>
        </w:rPr>
        <w:t>合同条款</w:t>
      </w:r>
      <w:bookmarkEnd w:id="102"/>
      <w:bookmarkEnd w:id="103"/>
    </w:p>
    <w:bookmarkEnd w:id="104"/>
    <w:bookmarkEnd w:id="105"/>
    <w:p w14:paraId="741E02B1">
      <w:pPr>
        <w:spacing w:line="360" w:lineRule="auto"/>
        <w:jc w:val="both"/>
        <w:rPr>
          <w:rFonts w:ascii="方正小标宋简体" w:eastAsia="方正小标宋简体"/>
          <w:b/>
          <w:sz w:val="52"/>
          <w:szCs w:val="72"/>
        </w:rPr>
      </w:pPr>
      <w:bookmarkStart w:id="106" w:name="_Toc17141"/>
      <w:bookmarkStart w:id="107" w:name="_Toc21125"/>
      <w:bookmarkStart w:id="108" w:name="_Toc517281835"/>
      <w:bookmarkStart w:id="109" w:name="_Toc287600128"/>
      <w:bookmarkStart w:id="110" w:name="_Toc444891352"/>
      <w:bookmarkStart w:id="111" w:name="_Toc11206"/>
      <w:bookmarkStart w:id="112" w:name="_Toc10693"/>
    </w:p>
    <w:p w14:paraId="611BA6FE">
      <w:pPr>
        <w:spacing w:after="2430" w:line="300" w:lineRule="exact"/>
        <w:ind w:firstLine="660" w:firstLineChars="300"/>
        <w:rPr>
          <w:rFonts w:hint="eastAsia"/>
          <w:b/>
          <w:bCs/>
          <w:color w:val="000000"/>
          <w:sz w:val="50"/>
          <w:lang w:val="en-US" w:eastAsia="zh-CN"/>
        </w:rPr>
      </w:pPr>
      <w:r>
        <w:rPr>
          <w:color w:val="000000"/>
          <w:sz w:val="22"/>
        </w:rPr>
        <w:t>合同编号：</w:t>
      </w:r>
      <w:r>
        <w:rPr>
          <w:color w:val="000000"/>
          <w:sz w:val="22"/>
          <w:u w:val="single"/>
        </w:rPr>
        <w:tab/>
      </w:r>
      <w:r>
        <w:rPr>
          <w:color w:val="000000"/>
          <w:sz w:val="22"/>
          <w:u w:val="single"/>
        </w:rPr>
        <w:tab/>
      </w:r>
      <w:r>
        <w:rPr>
          <w:color w:val="000000"/>
          <w:sz w:val="22"/>
          <w:u w:val="single"/>
        </w:rPr>
        <w:tab/>
      </w:r>
      <w:r>
        <w:rPr>
          <w:color w:val="000000"/>
          <w:sz w:val="22"/>
          <w:u w:val="single"/>
        </w:rPr>
        <w:tab/>
      </w:r>
      <w:r>
        <w:rPr>
          <w:color w:val="000000"/>
          <w:sz w:val="22"/>
          <w:u w:val="single"/>
        </w:rPr>
        <w:tab/>
      </w:r>
    </w:p>
    <w:p w14:paraId="02626998">
      <w:pPr>
        <w:spacing w:after="3960" w:line="680" w:lineRule="exact"/>
        <w:ind w:firstLine="0"/>
        <w:jc w:val="center"/>
      </w:pPr>
      <w:r>
        <w:rPr>
          <w:rFonts w:hint="eastAsia"/>
          <w:b/>
          <w:bCs/>
          <w:color w:val="000000"/>
          <w:sz w:val="50"/>
          <w:lang w:val="en-US" w:eastAsia="zh-CN"/>
        </w:rPr>
        <w:t>理赔外包</w:t>
      </w:r>
      <w:r>
        <w:rPr>
          <w:b/>
          <w:bCs/>
          <w:color w:val="000000"/>
          <w:sz w:val="50"/>
        </w:rPr>
        <w:t>服务合同</w:t>
      </w:r>
    </w:p>
    <w:p w14:paraId="54378244">
      <w:pPr>
        <w:rPr>
          <w:rFonts w:hint="eastAsia"/>
          <w:b/>
          <w:sz w:val="28"/>
        </w:rPr>
      </w:pPr>
      <w:r>
        <w:rPr>
          <w:rFonts w:hint="eastAsia"/>
          <w:b/>
          <w:sz w:val="28"/>
        </w:rPr>
        <w:br w:type="page"/>
      </w:r>
    </w:p>
    <w:p w14:paraId="54D92BD3">
      <w:pPr>
        <w:rPr>
          <w:b/>
          <w:sz w:val="28"/>
        </w:rPr>
      </w:pPr>
      <w:r>
        <w:rPr>
          <w:rFonts w:hint="eastAsia"/>
          <w:b/>
          <w:sz w:val="28"/>
        </w:rPr>
        <w:t>甲方：中国人民健康保险股份有限公司青岛分公司</w:t>
      </w:r>
    </w:p>
    <w:p w14:paraId="6FEDD5E3">
      <w:pPr>
        <w:rPr>
          <w:b/>
          <w:sz w:val="28"/>
        </w:rPr>
      </w:pPr>
      <w:r>
        <w:rPr>
          <w:rFonts w:hint="eastAsia"/>
          <w:b/>
          <w:sz w:val="28"/>
        </w:rPr>
        <w:t>乙方：</w:t>
      </w:r>
    </w:p>
    <w:p w14:paraId="3308BAEA">
      <w:pPr>
        <w:rPr>
          <w:b/>
          <w:sz w:val="28"/>
        </w:rPr>
      </w:pPr>
    </w:p>
    <w:p w14:paraId="4C7C86CE">
      <w:pPr>
        <w:ind w:firstLine="420" w:firstLineChars="200"/>
      </w:pPr>
      <w:r>
        <w:rPr>
          <w:rFonts w:hint="eastAsia"/>
        </w:rPr>
        <w:t>根据中华人民共和国法律法规，甲方向乙方提出商业险理赔外包服务订单，具体内容：</w:t>
      </w:r>
    </w:p>
    <w:p w14:paraId="67A4A212">
      <w:pPr>
        <w:pStyle w:val="2"/>
        <w:numPr>
          <w:ilvl w:val="0"/>
          <w:numId w:val="4"/>
        </w:numPr>
        <w:rPr>
          <w:sz w:val="44"/>
          <w:szCs w:val="44"/>
        </w:rPr>
      </w:pPr>
      <w:bookmarkStart w:id="113" w:name="_Toc22669"/>
      <w:r>
        <w:rPr>
          <w:rFonts w:hint="eastAsia"/>
          <w:sz w:val="44"/>
          <w:szCs w:val="44"/>
        </w:rPr>
        <w:t>开始与终止</w:t>
      </w:r>
      <w:bookmarkEnd w:id="113"/>
    </w:p>
    <w:p w14:paraId="3434D1FD">
      <w:pPr>
        <w:ind w:firstLine="420" w:firstLineChars="200"/>
      </w:pPr>
      <w:r>
        <w:rPr>
          <w:rFonts w:hint="eastAsia"/>
        </w:rPr>
        <w:t>本订单开始与终止日期</w:t>
      </w:r>
      <w:r>
        <w:rPr>
          <w:rFonts w:hint="eastAsia"/>
          <w:lang w:val="en-US" w:eastAsia="zh-CN"/>
        </w:rPr>
        <w:t>为</w:t>
      </w:r>
      <w:r>
        <w:rPr>
          <w:rFonts w:hint="eastAsia"/>
        </w:rPr>
        <w:t>：</w:t>
      </w:r>
      <w:r>
        <w:t>20</w:t>
      </w:r>
      <w:r>
        <w:rPr>
          <w:rFonts w:hint="eastAsia"/>
          <w:lang w:val="en-US" w:eastAsia="zh-CN"/>
        </w:rPr>
        <w:t>26</w:t>
      </w:r>
      <w:r>
        <w:t>年</w:t>
      </w:r>
      <w:r>
        <w:rPr>
          <w:rFonts w:hint="eastAsia"/>
          <w:lang w:val="en-US" w:eastAsia="zh-CN"/>
        </w:rPr>
        <w:t>01</w:t>
      </w:r>
      <w:r>
        <w:t>月</w:t>
      </w:r>
      <w:r>
        <w:rPr>
          <w:rFonts w:hint="eastAsia"/>
          <w:lang w:val="en-US" w:eastAsia="zh-CN"/>
        </w:rPr>
        <w:t>14</w:t>
      </w:r>
      <w:r>
        <w:t>日-20</w:t>
      </w:r>
      <w:r>
        <w:rPr>
          <w:rFonts w:hint="eastAsia"/>
          <w:lang w:val="en-US" w:eastAsia="zh-CN"/>
        </w:rPr>
        <w:t>26 年7</w:t>
      </w:r>
      <w:r>
        <w:t>月</w:t>
      </w:r>
      <w:r>
        <w:rPr>
          <w:rFonts w:hint="eastAsia"/>
          <w:lang w:val="en-US" w:eastAsia="zh-CN"/>
        </w:rPr>
        <w:t>13</w:t>
      </w:r>
      <w:r>
        <w:t>日。</w:t>
      </w:r>
    </w:p>
    <w:p w14:paraId="2893A881">
      <w:pPr>
        <w:pStyle w:val="2"/>
        <w:numPr>
          <w:ilvl w:val="0"/>
          <w:numId w:val="4"/>
        </w:numPr>
      </w:pPr>
      <w:bookmarkStart w:id="114" w:name="_Toc17113"/>
      <w:r>
        <w:rPr>
          <w:rFonts w:hint="eastAsia"/>
        </w:rPr>
        <w:t>服务内容</w:t>
      </w:r>
      <w:bookmarkEnd w:id="114"/>
    </w:p>
    <w:p w14:paraId="216AF839">
      <w:pPr>
        <w:ind w:firstLine="420" w:firstLineChars="200"/>
      </w:pPr>
      <w:r>
        <w:rPr>
          <w:rFonts w:hint="eastAsia"/>
        </w:rPr>
        <w:t>任何理赔申请和甲方收到的理赔纸质材料/影像件应转交至乙方。乙方依照本附件的规定提供的服务统称为“理赔处理服务”。包括理赔资料收集（纸质资料、电子影像资料）、理赔资料整件核对、理赔资料扫描、理赔数据录入、理算审核、质检复核、数据回传、理赔资料退件、理赔档案整理、理赔系统需求定制开发、理赔数据分析报表提供等服务。乙方须按照甲方下发的实时最新作业规程提供服务。</w:t>
      </w:r>
    </w:p>
    <w:p w14:paraId="30B0F1EC">
      <w:pPr>
        <w:ind w:firstLine="420" w:firstLineChars="200"/>
      </w:pPr>
      <w:r>
        <w:t xml:space="preserve">1  </w:t>
      </w:r>
      <w:r>
        <w:rPr>
          <w:rFonts w:hint="eastAsia"/>
        </w:rPr>
        <w:t>案件处理服务</w:t>
      </w:r>
    </w:p>
    <w:p w14:paraId="5E8D28E1">
      <w:pPr>
        <w:ind w:firstLine="420" w:firstLineChars="200"/>
      </w:pPr>
      <w:r>
        <w:t xml:space="preserve">1.1  </w:t>
      </w:r>
      <w:r>
        <w:rPr>
          <w:rFonts w:hint="eastAsia"/>
        </w:rPr>
        <w:t>理赔资料收集与审核</w:t>
      </w:r>
    </w:p>
    <w:p w14:paraId="3C6E18FC">
      <w:pPr>
        <w:ind w:left="372" w:leftChars="177" w:firstLine="415" w:firstLineChars="198"/>
      </w:pPr>
      <w:r>
        <w:rPr>
          <w:rFonts w:hint="eastAsia"/>
        </w:rPr>
        <w:t>乙方应负责收取来自甲方转交的被保险人的理赔申请资料，包括影像件与纸质资料。对影像件、纸质材料进行完整性、真实性审核，对纸质理赔资料扫描，对问题材料客户推送通知信息。乙方应对收到的理赔材料进行核对，对于部分材料缺失应在收到理赔材料后一（1）个工作日内一次性告知被保险人。自首次告知的三十（30）天内仍未收到缺失的文件或仅收到部分缺失的文件，乙方应再次提醒被保险人；对于超出在线理赔影像件的新增理赔纸质材料，应在一（1）个工作日内将多出的材料扫描至原始案件中，并依据增加的资料对原案件进行理赔处理。</w:t>
      </w:r>
    </w:p>
    <w:p w14:paraId="73C403BE">
      <w:pPr>
        <w:ind w:firstLine="420" w:firstLineChars="200"/>
        <w:rPr>
          <w:rFonts w:cs="Times New Roman"/>
          <w:szCs w:val="20"/>
        </w:rPr>
      </w:pPr>
      <w:r>
        <w:rPr>
          <w:rFonts w:hint="eastAsia" w:cs="Times New Roman"/>
          <w:szCs w:val="20"/>
        </w:rPr>
        <w:t>1.2</w:t>
      </w:r>
      <w:r>
        <w:t xml:space="preserve">  </w:t>
      </w:r>
      <w:r>
        <w:rPr>
          <w:rFonts w:hint="eastAsia" w:cs="Times New Roman"/>
          <w:szCs w:val="20"/>
        </w:rPr>
        <w:t>理赔信息的录入与理算</w:t>
      </w:r>
    </w:p>
    <w:p w14:paraId="3E228683">
      <w:pPr>
        <w:ind w:left="372" w:leftChars="177" w:firstLine="415" w:firstLineChars="198"/>
        <w:rPr>
          <w:rFonts w:ascii="SwissReSans" w:hAnsi="SwissReSans" w:cs="Times New Roman"/>
          <w:szCs w:val="20"/>
        </w:rPr>
      </w:pPr>
      <w:r>
        <w:rPr>
          <w:rFonts w:hint="eastAsia" w:ascii="SwissReSans" w:hAnsi="SwissReSans" w:cs="Times New Roman"/>
          <w:szCs w:val="20"/>
        </w:rPr>
        <w:t>乙方须按照甲方的核赔审核规则和保单约定协助进行案件信息录入和理算审核。</w:t>
      </w:r>
    </w:p>
    <w:p w14:paraId="683F750A">
      <w:pPr>
        <w:ind w:firstLine="420" w:firstLineChars="200"/>
        <w:rPr>
          <w:rFonts w:cs="Times New Roman"/>
          <w:szCs w:val="20"/>
        </w:rPr>
      </w:pPr>
      <w:r>
        <w:rPr>
          <w:rFonts w:hint="eastAsia" w:cs="Times New Roman"/>
          <w:szCs w:val="20"/>
        </w:rPr>
        <w:t>1.3</w:t>
      </w:r>
      <w:r>
        <w:t xml:space="preserve">  </w:t>
      </w:r>
      <w:r>
        <w:rPr>
          <w:rFonts w:hint="eastAsia" w:cs="Times New Roman"/>
          <w:szCs w:val="20"/>
        </w:rPr>
        <w:t>理赔档案整理</w:t>
      </w:r>
    </w:p>
    <w:p w14:paraId="6D0A3F1A">
      <w:pPr>
        <w:ind w:left="372" w:leftChars="177" w:firstLine="415" w:firstLineChars="198"/>
        <w:rPr>
          <w:rFonts w:ascii="SwissReSans" w:hAnsi="SwissReSans" w:cs="Times New Roman"/>
          <w:szCs w:val="20"/>
        </w:rPr>
      </w:pPr>
      <w:r>
        <w:rPr>
          <w:rFonts w:hint="eastAsia" w:ascii="SwissReSans" w:hAnsi="SwissReSans" w:cs="Times New Roman"/>
          <w:szCs w:val="20"/>
        </w:rPr>
        <w:t>乙方须按要求对已结案的案件书写甲方核心系统案件号后完整归还至甲方。</w:t>
      </w:r>
    </w:p>
    <w:p w14:paraId="3059A14E">
      <w:pPr>
        <w:ind w:firstLine="420" w:firstLineChars="200"/>
        <w:rPr>
          <w:rFonts w:cs="Times New Roman"/>
          <w:szCs w:val="20"/>
        </w:rPr>
      </w:pPr>
      <w:r>
        <w:rPr>
          <w:rFonts w:hint="eastAsia" w:cs="Times New Roman"/>
          <w:szCs w:val="20"/>
        </w:rPr>
        <w:t>1.4</w:t>
      </w:r>
      <w:r>
        <w:t xml:space="preserve">  </w:t>
      </w:r>
      <w:r>
        <w:rPr>
          <w:rFonts w:hint="eastAsia" w:cs="Times New Roman"/>
          <w:szCs w:val="20"/>
        </w:rPr>
        <w:t>理赔数据分析</w:t>
      </w:r>
    </w:p>
    <w:p w14:paraId="01D62982">
      <w:pPr>
        <w:ind w:left="372" w:leftChars="177" w:firstLine="415" w:firstLineChars="198"/>
        <w:rPr>
          <w:rFonts w:ascii="SwissReSans" w:hAnsi="SwissReSans" w:cs="Times New Roman"/>
          <w:szCs w:val="20"/>
        </w:rPr>
      </w:pPr>
      <w:r>
        <w:rPr>
          <w:rFonts w:hint="eastAsia" w:ascii="SwissReSans" w:hAnsi="SwissReSans" w:cs="Times New Roman"/>
          <w:szCs w:val="20"/>
        </w:rPr>
        <w:t>乙方须按照甲方的要求，定期提供完整的理赔数据分析报告和案件运营数据报表，可形成人群特征、保险责任、医疗机构、费用构成、疾病类别等多维度多层次的分析，协助甲方对医疗行为和费用的分析建立风控数学模型，以及提供相关数据支持。</w:t>
      </w:r>
    </w:p>
    <w:p w14:paraId="688709CE">
      <w:pPr>
        <w:ind w:firstLine="420" w:firstLineChars="200"/>
        <w:rPr>
          <w:rFonts w:cs="Times New Roman"/>
          <w:szCs w:val="20"/>
        </w:rPr>
      </w:pPr>
      <w:r>
        <w:rPr>
          <w:rFonts w:hint="eastAsia" w:cs="Times New Roman"/>
          <w:szCs w:val="20"/>
        </w:rPr>
        <w:t>1.5</w:t>
      </w:r>
      <w:r>
        <w:t xml:space="preserve">  </w:t>
      </w:r>
      <w:r>
        <w:rPr>
          <w:rFonts w:hint="eastAsia" w:cs="Times New Roman"/>
          <w:szCs w:val="20"/>
        </w:rPr>
        <w:t>数据文件回传</w:t>
      </w:r>
    </w:p>
    <w:p w14:paraId="73FAD145">
      <w:pPr>
        <w:ind w:left="372" w:leftChars="177" w:firstLine="415" w:firstLineChars="198"/>
        <w:rPr>
          <w:rFonts w:ascii="SwissReSans" w:hAnsi="SwissReSans" w:cs="Times New Roman"/>
          <w:szCs w:val="20"/>
        </w:rPr>
      </w:pPr>
      <w:r>
        <w:rPr>
          <w:rFonts w:hint="eastAsia" w:ascii="SwissReSans" w:hAnsi="SwissReSans" w:cs="Times New Roman"/>
          <w:szCs w:val="20"/>
        </w:rPr>
        <w:t>理赔审核完成后，乙方将扫描后的理赔数据和影像文件以双方商定的方式回传给甲方,涉及系统对接服务应满足甲方提出的接口规范要求。</w:t>
      </w:r>
    </w:p>
    <w:p w14:paraId="1416BA3C">
      <w:pPr>
        <w:ind w:firstLine="420" w:firstLineChars="200"/>
        <w:rPr>
          <w:rFonts w:cs="Times New Roman"/>
          <w:szCs w:val="20"/>
        </w:rPr>
      </w:pPr>
      <w:r>
        <w:rPr>
          <w:rFonts w:hint="eastAsia" w:cs="Times New Roman"/>
          <w:szCs w:val="20"/>
        </w:rPr>
        <w:t>1.6</w:t>
      </w:r>
      <w:r>
        <w:t xml:space="preserve">  </w:t>
      </w:r>
      <w:r>
        <w:rPr>
          <w:rFonts w:hint="eastAsia" w:cs="Times New Roman"/>
          <w:szCs w:val="20"/>
        </w:rPr>
        <w:t>理赔通知短信邮件发送</w:t>
      </w:r>
    </w:p>
    <w:p w14:paraId="1DC62C08">
      <w:pPr>
        <w:ind w:left="372" w:leftChars="177" w:firstLine="415" w:firstLineChars="198"/>
        <w:rPr>
          <w:rFonts w:ascii="SwissReSans" w:hAnsi="SwissReSans" w:cs="Times New Roman"/>
          <w:szCs w:val="20"/>
        </w:rPr>
      </w:pPr>
      <w:r>
        <w:rPr>
          <w:rFonts w:hint="eastAsia" w:ascii="SwissReSans" w:hAnsi="SwissReSans" w:cs="Times New Roman"/>
          <w:szCs w:val="20"/>
        </w:rPr>
        <w:t>乙方须根据结案情况按照甲方要求向被保险人或投保人发送结案短信或结案邮件，通知赔付详情。</w:t>
      </w:r>
    </w:p>
    <w:p w14:paraId="0E2D6E75">
      <w:pPr>
        <w:ind w:firstLine="420" w:firstLineChars="200"/>
        <w:rPr>
          <w:rFonts w:cs="Times New Roman"/>
          <w:szCs w:val="20"/>
        </w:rPr>
      </w:pPr>
      <w:r>
        <w:rPr>
          <w:rFonts w:hint="eastAsia" w:cs="Times New Roman"/>
          <w:szCs w:val="20"/>
        </w:rPr>
        <w:t>1.7</w:t>
      </w:r>
      <w:r>
        <w:t xml:space="preserve">  </w:t>
      </w:r>
      <w:r>
        <w:rPr>
          <w:rFonts w:hint="eastAsia" w:cs="Times New Roman"/>
          <w:szCs w:val="20"/>
        </w:rPr>
        <w:t>乙方须向甲方理赔人员提供派驻到乙方的工位，接受并积极配合甲方的考核。</w:t>
      </w:r>
    </w:p>
    <w:p w14:paraId="314D5E4C">
      <w:pPr>
        <w:ind w:firstLine="420" w:firstLineChars="200"/>
        <w:rPr>
          <w:rFonts w:cs="Times New Roman"/>
          <w:szCs w:val="20"/>
        </w:rPr>
      </w:pPr>
      <w:r>
        <w:rPr>
          <w:rFonts w:hint="eastAsia" w:cs="Times New Roman"/>
          <w:szCs w:val="20"/>
        </w:rPr>
        <w:t>1.8</w:t>
      </w:r>
      <w:r>
        <w:t xml:space="preserve">  </w:t>
      </w:r>
      <w:r>
        <w:rPr>
          <w:rFonts w:hint="eastAsia" w:cs="Times New Roman"/>
          <w:szCs w:val="20"/>
        </w:rPr>
        <w:t>乙方须提供系统开发支持，进行系统对接，对甲方提出的系统开发需求，积极响应。</w:t>
      </w:r>
    </w:p>
    <w:p w14:paraId="2DD964B3">
      <w:pPr>
        <w:ind w:firstLine="420" w:firstLineChars="200"/>
        <w:rPr>
          <w:rFonts w:cs="Times New Roman"/>
          <w:szCs w:val="20"/>
        </w:rPr>
      </w:pPr>
      <w:r>
        <w:rPr>
          <w:rFonts w:hint="eastAsia" w:cs="Times New Roman"/>
          <w:szCs w:val="20"/>
        </w:rPr>
        <w:t>1.9</w:t>
      </w:r>
      <w:r>
        <w:t xml:space="preserve">  </w:t>
      </w:r>
      <w:r>
        <w:rPr>
          <w:rFonts w:hint="eastAsia" w:cs="Times New Roman"/>
          <w:szCs w:val="20"/>
        </w:rPr>
        <w:t>乙方须无条件配合甲方做好效能、合规等方面监察工作。</w:t>
      </w:r>
    </w:p>
    <w:p w14:paraId="0B2D63EF">
      <w:pPr>
        <w:ind w:firstLine="420" w:firstLineChars="200"/>
        <w:rPr>
          <w:rFonts w:cs="Times New Roman"/>
          <w:szCs w:val="20"/>
        </w:rPr>
      </w:pPr>
      <w:r>
        <w:t xml:space="preserve">2  </w:t>
      </w:r>
      <w:r>
        <w:rPr>
          <w:rFonts w:hint="eastAsia" w:cs="Times New Roman"/>
          <w:szCs w:val="20"/>
        </w:rPr>
        <w:t>上门收件服务</w:t>
      </w:r>
    </w:p>
    <w:p w14:paraId="76E9A993">
      <w:pPr>
        <w:ind w:firstLine="420" w:firstLineChars="200"/>
        <w:rPr>
          <w:rFonts w:cs="Times New Roman"/>
          <w:szCs w:val="20"/>
        </w:rPr>
      </w:pPr>
      <w:r>
        <w:t xml:space="preserve">2.1  </w:t>
      </w:r>
      <w:r>
        <w:rPr>
          <w:rFonts w:hint="eastAsia" w:cs="Times New Roman"/>
          <w:szCs w:val="20"/>
        </w:rPr>
        <w:t>服务内容</w:t>
      </w:r>
    </w:p>
    <w:p w14:paraId="44F99A5D">
      <w:pPr>
        <w:ind w:left="372" w:leftChars="177" w:firstLine="415" w:firstLineChars="198"/>
        <w:rPr>
          <w:rFonts w:ascii="SwissReSans" w:hAnsi="SwissReSans" w:cs="Times New Roman"/>
          <w:szCs w:val="20"/>
        </w:rPr>
      </w:pPr>
      <w:r>
        <w:rPr>
          <w:rFonts w:hint="eastAsia" w:ascii="SwissReSans" w:hAnsi="SwissReSans" w:cs="Times New Roman"/>
          <w:szCs w:val="20"/>
        </w:rPr>
        <w:t>乙方须按照约定时间，到甲方指定的收件点收取理赔案件，填写和确认理赔案件清单（清单内容需包含但不限于投保单位名称、案件数量、出险人姓名、申请金额以及发票张数），逐一核对案件数与清单是否一致，并将理赔资料整理后扫描进理赔系统。在完成案件处理后将全部案件资料归还给甲方，协助查询理赔情况等工作。</w:t>
      </w:r>
    </w:p>
    <w:p w14:paraId="6FA709F8">
      <w:pPr>
        <w:ind w:firstLine="420" w:firstLineChars="200"/>
        <w:rPr>
          <w:rFonts w:cs="Times New Roman"/>
          <w:szCs w:val="20"/>
        </w:rPr>
      </w:pPr>
      <w:r>
        <w:rPr>
          <w:rFonts w:hint="eastAsia" w:cs="Times New Roman"/>
          <w:szCs w:val="20"/>
        </w:rPr>
        <w:t>2.2</w:t>
      </w:r>
      <w:r>
        <w:t xml:space="preserve">  </w:t>
      </w:r>
      <w:r>
        <w:rPr>
          <w:rFonts w:hint="eastAsia" w:cs="Times New Roman"/>
          <w:szCs w:val="20"/>
        </w:rPr>
        <w:t>服务流程</w:t>
      </w:r>
    </w:p>
    <w:p w14:paraId="305B1DC9">
      <w:pPr>
        <w:ind w:left="867" w:leftChars="413"/>
      </w:pPr>
      <w:r>
        <w:t>1）按照与甲方客户确定的时间，提前3天与客户电话沟通确定上门收件事宜；</w:t>
      </w:r>
    </w:p>
    <w:p w14:paraId="6E7263E2">
      <w:pPr>
        <w:ind w:left="867" w:leftChars="413"/>
      </w:pPr>
      <w:r>
        <w:t>2）按时上门收件服务；</w:t>
      </w:r>
    </w:p>
    <w:p w14:paraId="154311F5">
      <w:pPr>
        <w:ind w:left="867" w:leftChars="413"/>
      </w:pPr>
      <w:r>
        <w:t>3）上门服务需礼貌用语，并着职业装；</w:t>
      </w:r>
    </w:p>
    <w:p w14:paraId="1F29BD33">
      <w:pPr>
        <w:ind w:left="867" w:leftChars="413"/>
      </w:pPr>
      <w:r>
        <w:t>4）携带好收件服务的所有设备和工具用品；</w:t>
      </w:r>
    </w:p>
    <w:p w14:paraId="41669C9F">
      <w:pPr>
        <w:ind w:left="867" w:leftChars="413"/>
      </w:pPr>
      <w:r>
        <w:t>5）案件清点按照收件标准执行；</w:t>
      </w:r>
    </w:p>
    <w:p w14:paraId="79E9987E">
      <w:pPr>
        <w:ind w:left="867" w:leftChars="413"/>
      </w:pPr>
      <w:r>
        <w:t>6）案件交接按照交接表要求执行；</w:t>
      </w:r>
    </w:p>
    <w:p w14:paraId="148D59A3">
      <w:pPr>
        <w:ind w:left="867" w:leftChars="413"/>
      </w:pPr>
      <w:r>
        <w:t>7）收件人邮件通知文档管理部经理收件完成，并提交收件交接清单扫描件；</w:t>
      </w:r>
    </w:p>
    <w:p w14:paraId="506D426A">
      <w:pPr>
        <w:ind w:left="867" w:leftChars="413"/>
      </w:pPr>
      <w:r>
        <w:t>8）文档部将理赔案件核对整理后完整扫描进乙方系统；</w:t>
      </w:r>
    </w:p>
    <w:p w14:paraId="4B3CCA18">
      <w:pPr>
        <w:ind w:left="867" w:leftChars="413"/>
      </w:pPr>
      <w:r>
        <w:t>9）案件结案整理后快递寄甲方档案管理人员，并将快递凭证扫描后邮件发送甲方档案管理人员，整个过程保证案件安全无丢失。</w:t>
      </w:r>
    </w:p>
    <w:p w14:paraId="10CADBB5">
      <w:pPr>
        <w:pStyle w:val="2"/>
        <w:numPr>
          <w:ilvl w:val="0"/>
          <w:numId w:val="4"/>
        </w:numPr>
      </w:pPr>
      <w:bookmarkStart w:id="115" w:name="_Toc28131"/>
      <w:r>
        <w:rPr>
          <w:rFonts w:hint="eastAsia"/>
        </w:rPr>
        <w:t>服务费用</w:t>
      </w:r>
      <w:bookmarkEnd w:id="115"/>
    </w:p>
    <w:p w14:paraId="04E8D522">
      <w:pPr>
        <w:widowControl/>
        <w:numPr>
          <w:ilvl w:val="0"/>
          <w:numId w:val="5"/>
        </w:numPr>
        <w:ind w:firstLine="415" w:firstLineChars="198"/>
        <w:jc w:val="left"/>
        <w:rPr>
          <w:rFonts w:hint="eastAsia" w:ascii="SwissReSans" w:hAnsi="SwissReSans"/>
          <w:szCs w:val="20"/>
        </w:rPr>
      </w:pPr>
      <w:r>
        <w:rPr>
          <w:rFonts w:hint="eastAsia" w:ascii="SwissReSans" w:hAnsi="SwissReSans"/>
          <w:szCs w:val="20"/>
        </w:rPr>
        <w:t>乙方向甲方收取服务费用标准：</w:t>
      </w:r>
    </w:p>
    <w:p w14:paraId="2E2160C9">
      <w:pPr>
        <w:widowControl/>
        <w:numPr>
          <w:ilvl w:val="0"/>
          <w:numId w:val="0"/>
        </w:numPr>
        <w:jc w:val="left"/>
        <w:rPr>
          <w:rFonts w:hint="eastAsia" w:ascii="SwissReSans" w:hAnsi="SwissReSans"/>
          <w:szCs w:val="20"/>
        </w:rPr>
      </w:pPr>
    </w:p>
    <w:p w14:paraId="52FA60CE">
      <w:pPr>
        <w:widowControl/>
        <w:numPr>
          <w:ilvl w:val="0"/>
          <w:numId w:val="0"/>
        </w:numPr>
        <w:jc w:val="left"/>
        <w:rPr>
          <w:rFonts w:hint="eastAsia" w:ascii="SwissReSans" w:hAnsi="SwissReSans"/>
          <w:szCs w:val="20"/>
        </w:rPr>
      </w:pPr>
    </w:p>
    <w:p w14:paraId="535CD054">
      <w:pPr>
        <w:widowControl/>
        <w:numPr>
          <w:ilvl w:val="0"/>
          <w:numId w:val="0"/>
        </w:numPr>
        <w:jc w:val="left"/>
        <w:rPr>
          <w:rFonts w:hint="eastAsia" w:ascii="SwissReSans" w:hAnsi="SwissReSans"/>
          <w:szCs w:val="20"/>
        </w:rPr>
      </w:pPr>
    </w:p>
    <w:p w14:paraId="25DD5C47">
      <w:pPr>
        <w:widowControl/>
        <w:numPr>
          <w:ilvl w:val="0"/>
          <w:numId w:val="0"/>
        </w:numPr>
        <w:jc w:val="left"/>
        <w:rPr>
          <w:rFonts w:hint="eastAsia" w:ascii="SwissReSans" w:hAnsi="SwissReSans"/>
          <w:szCs w:val="20"/>
        </w:rPr>
      </w:pPr>
    </w:p>
    <w:p w14:paraId="78B9DFAD">
      <w:pPr>
        <w:widowControl/>
        <w:numPr>
          <w:ilvl w:val="0"/>
          <w:numId w:val="0"/>
        </w:numPr>
        <w:jc w:val="left"/>
        <w:rPr>
          <w:rFonts w:hint="eastAsia" w:ascii="SwissReSans" w:hAnsi="SwissReSans"/>
          <w:szCs w:val="20"/>
        </w:rPr>
      </w:pPr>
    </w:p>
    <w:p w14:paraId="79CFD6A7">
      <w:pPr>
        <w:widowControl/>
        <w:numPr>
          <w:ilvl w:val="0"/>
          <w:numId w:val="0"/>
        </w:numPr>
        <w:jc w:val="left"/>
        <w:rPr>
          <w:rFonts w:hint="eastAsia" w:ascii="SwissReSans" w:hAnsi="SwissReSans"/>
          <w:szCs w:val="20"/>
        </w:rPr>
      </w:pPr>
    </w:p>
    <w:p w14:paraId="07C5B56F">
      <w:pPr>
        <w:widowControl/>
        <w:numPr>
          <w:ilvl w:val="0"/>
          <w:numId w:val="0"/>
        </w:numPr>
        <w:jc w:val="left"/>
        <w:rPr>
          <w:rFonts w:hint="eastAsia" w:ascii="SwissReSans" w:hAnsi="SwissReSans"/>
          <w:szCs w:val="20"/>
        </w:rPr>
      </w:pPr>
    </w:p>
    <w:p w14:paraId="01B448AC">
      <w:pPr>
        <w:widowControl/>
        <w:numPr>
          <w:ilvl w:val="0"/>
          <w:numId w:val="0"/>
        </w:numPr>
        <w:jc w:val="left"/>
        <w:rPr>
          <w:rFonts w:hint="eastAsia" w:ascii="SwissReSans" w:hAnsi="SwissReSans"/>
          <w:szCs w:val="20"/>
        </w:rPr>
      </w:pPr>
    </w:p>
    <w:p w14:paraId="20F0A363">
      <w:pPr>
        <w:widowControl/>
        <w:numPr>
          <w:ilvl w:val="0"/>
          <w:numId w:val="0"/>
        </w:numPr>
        <w:jc w:val="left"/>
        <w:rPr>
          <w:rFonts w:hint="eastAsia" w:ascii="SwissReSans" w:hAnsi="SwissReSans"/>
          <w:szCs w:val="20"/>
        </w:rPr>
      </w:pPr>
    </w:p>
    <w:p w14:paraId="496E5E9E">
      <w:pPr>
        <w:widowControl/>
        <w:ind w:firstLine="420" w:firstLineChars="200"/>
        <w:jc w:val="left"/>
        <w:rPr>
          <w:rFonts w:cs="Times New Roman"/>
          <w:szCs w:val="28"/>
        </w:rPr>
      </w:pPr>
      <w:r>
        <w:rPr>
          <w:rFonts w:hint="eastAsia" w:cs="Times New Roman"/>
          <w:szCs w:val="28"/>
        </w:rPr>
        <w:t>以上</w:t>
      </w:r>
      <w:r>
        <w:rPr>
          <w:rFonts w:hint="eastAsia"/>
          <w:szCs w:val="28"/>
        </w:rPr>
        <w:t>均</w:t>
      </w:r>
      <w:r>
        <w:rPr>
          <w:rFonts w:hint="eastAsia" w:cs="Times New Roman"/>
          <w:szCs w:val="28"/>
        </w:rPr>
        <w:t>为含税价。国家规定税率调整时，仅税费做相应调整。</w:t>
      </w:r>
    </w:p>
    <w:p w14:paraId="3291F568">
      <w:pPr>
        <w:widowControl/>
        <w:ind w:firstLine="415" w:firstLineChars="198"/>
        <w:jc w:val="left"/>
        <w:rPr>
          <w:rFonts w:hint="default"/>
          <w:lang w:val="en-US" w:eastAsia="zh-CN"/>
        </w:rPr>
      </w:pPr>
      <w:r>
        <w:rPr>
          <w:rFonts w:hint="eastAsia"/>
          <w:lang w:val="en-US" w:eastAsia="zh-CN"/>
        </w:rPr>
        <w:t>2.本次协议费用支付上限为30万元（不含）。</w:t>
      </w:r>
    </w:p>
    <w:p w14:paraId="5DAC56A7">
      <w:pPr>
        <w:widowControl/>
        <w:ind w:firstLine="422" w:firstLineChars="200"/>
        <w:jc w:val="left"/>
        <w:rPr>
          <w:b/>
        </w:rPr>
      </w:pPr>
      <w:r>
        <w:rPr>
          <w:rFonts w:hint="eastAsia"/>
          <w:b/>
        </w:rPr>
        <w:t>甲方开票信息为：</w:t>
      </w:r>
    </w:p>
    <w:p w14:paraId="037FF4C7">
      <w:pPr>
        <w:widowControl/>
        <w:ind w:firstLine="840" w:firstLineChars="400"/>
        <w:jc w:val="left"/>
      </w:pPr>
      <w:r>
        <w:rPr>
          <w:rFonts w:hint="eastAsia"/>
        </w:rPr>
        <w:t>甲方名称：中国人民健康保险股份有限公司青岛分公司</w:t>
      </w:r>
    </w:p>
    <w:p w14:paraId="376DFBA0">
      <w:pPr>
        <w:widowControl/>
        <w:ind w:firstLine="840" w:firstLineChars="400"/>
        <w:jc w:val="left"/>
      </w:pPr>
      <w:r>
        <w:rPr>
          <w:rFonts w:hint="eastAsia"/>
        </w:rPr>
        <w:t>税号：</w:t>
      </w:r>
      <w:r>
        <w:t>913702007803752678</w:t>
      </w:r>
    </w:p>
    <w:p w14:paraId="58D23613">
      <w:pPr>
        <w:widowControl/>
        <w:ind w:firstLine="840" w:firstLineChars="400"/>
        <w:jc w:val="left"/>
      </w:pPr>
      <w:r>
        <w:rPr>
          <w:rFonts w:hint="eastAsia"/>
        </w:rPr>
        <w:t>地址：山东省青岛市市南区东海西路</w:t>
      </w:r>
      <w:r>
        <w:t>15号英德隆大厦17层</w:t>
      </w:r>
    </w:p>
    <w:p w14:paraId="6B7C0BCB">
      <w:pPr>
        <w:widowControl/>
        <w:ind w:firstLine="840" w:firstLineChars="400"/>
        <w:jc w:val="left"/>
      </w:pPr>
      <w:r>
        <w:rPr>
          <w:rFonts w:hint="eastAsia"/>
        </w:rPr>
        <w:t>联系电话：</w:t>
      </w:r>
      <w:r>
        <w:t>0532-83079887</w:t>
      </w:r>
    </w:p>
    <w:p w14:paraId="47A61F0B">
      <w:pPr>
        <w:widowControl/>
        <w:ind w:firstLine="840" w:firstLineChars="400"/>
        <w:jc w:val="left"/>
      </w:pPr>
    </w:p>
    <w:p w14:paraId="0B3178C0">
      <w:pPr>
        <w:widowControl/>
        <w:ind w:firstLine="422" w:firstLineChars="200"/>
        <w:jc w:val="left"/>
        <w:rPr>
          <w:b/>
        </w:rPr>
      </w:pPr>
      <w:r>
        <w:rPr>
          <w:rFonts w:hint="eastAsia"/>
          <w:b/>
        </w:rPr>
        <w:t>乙方账户信息为：</w:t>
      </w:r>
    </w:p>
    <w:p w14:paraId="1A1CEACD">
      <w:pPr>
        <w:widowControl/>
        <w:ind w:firstLine="840" w:firstLineChars="400"/>
        <w:jc w:val="left"/>
      </w:pPr>
      <w:r>
        <w:rPr>
          <w:rFonts w:hint="eastAsia"/>
        </w:rPr>
        <w:t>开户银行：</w:t>
      </w:r>
    </w:p>
    <w:p w14:paraId="3AC7B67F">
      <w:pPr>
        <w:widowControl/>
        <w:ind w:firstLine="840" w:firstLineChars="400"/>
        <w:jc w:val="left"/>
      </w:pPr>
      <w:r>
        <w:rPr>
          <w:rFonts w:hint="eastAsia"/>
        </w:rPr>
        <w:t>单位名称：</w:t>
      </w:r>
    </w:p>
    <w:p w14:paraId="2A87AF7D">
      <w:pPr>
        <w:widowControl/>
        <w:ind w:firstLine="840" w:firstLineChars="400"/>
        <w:jc w:val="left"/>
      </w:pPr>
      <w:r>
        <w:rPr>
          <w:rFonts w:hint="eastAsia"/>
        </w:rPr>
        <w:t>账号：</w:t>
      </w:r>
    </w:p>
    <w:p w14:paraId="43AD834F">
      <w:pPr>
        <w:pStyle w:val="2"/>
        <w:numPr>
          <w:ilvl w:val="0"/>
          <w:numId w:val="4"/>
        </w:numPr>
      </w:pPr>
      <w:bookmarkStart w:id="116" w:name="_Toc9642"/>
      <w:r>
        <w:rPr>
          <w:rFonts w:hint="eastAsia"/>
        </w:rPr>
        <w:t>服务</w:t>
      </w:r>
      <w:r>
        <w:t>考核</w:t>
      </w:r>
      <w:bookmarkEnd w:id="116"/>
    </w:p>
    <w:p w14:paraId="7FB53BFA">
      <w:pPr>
        <w:widowControl/>
        <w:ind w:firstLine="417" w:firstLineChars="198"/>
        <w:jc w:val="left"/>
        <w:rPr>
          <w:b/>
        </w:rPr>
      </w:pPr>
      <w:r>
        <w:rPr>
          <w:rFonts w:hint="eastAsia"/>
          <w:b/>
        </w:rPr>
        <w:t>（一）时效考核</w:t>
      </w:r>
    </w:p>
    <w:p w14:paraId="4E044422">
      <w:pPr>
        <w:widowControl/>
        <w:ind w:firstLine="415" w:firstLineChars="198"/>
        <w:jc w:val="left"/>
      </w:pPr>
      <w:r>
        <w:t>1.时效标准</w:t>
      </w:r>
    </w:p>
    <w:p w14:paraId="068A8FBF">
      <w:pPr>
        <w:ind w:left="372" w:leftChars="177" w:firstLine="415" w:firstLineChars="198"/>
        <w:rPr>
          <w:rFonts w:ascii="SwissReSans" w:hAnsi="SwissReSans" w:cs="Times New Roman"/>
          <w:szCs w:val="20"/>
        </w:rPr>
      </w:pPr>
      <w:r>
        <w:rPr>
          <w:rFonts w:hint="eastAsia" w:ascii="SwissReSans" w:hAnsi="SwissReSans" w:cs="Times New Roman"/>
          <w:szCs w:val="20"/>
        </w:rPr>
        <w:t>自乙方签收理赔资料次日起，纸质理赔资料五个工作日内；电子理赔资料自客户报案成功后三个工作日内。按照甲方要求完成录入、理算、审核等工作。要求一个工作日内完成的项目，应以一个工作日进行考核。（以不同业务项目时效要求为准。）</w:t>
      </w:r>
    </w:p>
    <w:p w14:paraId="22874BCC">
      <w:pPr>
        <w:ind w:left="372" w:leftChars="177" w:firstLine="415" w:firstLineChars="198"/>
        <w:rPr>
          <w:rFonts w:ascii="SwissReSans" w:hAnsi="SwissReSans" w:cs="Times New Roman"/>
          <w:szCs w:val="20"/>
        </w:rPr>
      </w:pPr>
      <w:r>
        <w:rPr>
          <w:rFonts w:hint="eastAsia" w:ascii="SwissReSans" w:hAnsi="SwissReSans" w:cs="Times New Roman"/>
          <w:szCs w:val="20"/>
        </w:rPr>
        <w:t>时效统计节点：自客户报案成功</w:t>
      </w:r>
      <w:r>
        <w:rPr>
          <w:rFonts w:ascii="SwissReSans" w:hAnsi="SwissReSans" w:cs="Times New Roman"/>
          <w:szCs w:val="20"/>
        </w:rPr>
        <w:t>/收到客户理赔资料起计算，至签批或审核结束为止，剔除客户补充材料、悬挂需甲方人员处理的问题件以及案件调查环节时效。</w:t>
      </w:r>
    </w:p>
    <w:p w14:paraId="1E367F51">
      <w:pPr>
        <w:widowControl/>
        <w:ind w:firstLine="415" w:firstLineChars="198"/>
        <w:jc w:val="left"/>
      </w:pPr>
      <w:r>
        <w:t>2.时效考核</w:t>
      </w:r>
    </w:p>
    <w:p w14:paraId="285836E4">
      <w:pPr>
        <w:ind w:left="372" w:leftChars="177" w:firstLine="415" w:firstLineChars="198"/>
        <w:rPr>
          <w:rFonts w:cs="Times New Roman"/>
          <w:szCs w:val="20"/>
        </w:rPr>
      </w:pPr>
      <w:r>
        <w:rPr>
          <w:rFonts w:cs="Times New Roman"/>
          <w:szCs w:val="20"/>
        </w:rPr>
        <w:t>整体时效考核和个案时效考核服务费用扣减仅执行两项考核的最大值，不重复扣减。</w:t>
      </w:r>
    </w:p>
    <w:p w14:paraId="7F0F13B0">
      <w:pPr>
        <w:ind w:left="372" w:leftChars="177" w:firstLine="415" w:firstLineChars="198"/>
        <w:rPr>
          <w:rFonts w:cs="Times New Roman"/>
          <w:szCs w:val="20"/>
        </w:rPr>
      </w:pPr>
      <w:r>
        <w:rPr>
          <w:rFonts w:hint="eastAsia" w:cs="Times New Roman"/>
          <w:szCs w:val="20"/>
        </w:rPr>
        <w:t>（1</w:t>
      </w:r>
      <w:r>
        <w:rPr>
          <w:rFonts w:cs="Times New Roman"/>
          <w:szCs w:val="20"/>
        </w:rPr>
        <w:t>）整体时效考核</w:t>
      </w:r>
    </w:p>
    <w:p w14:paraId="376C660A">
      <w:pPr>
        <w:ind w:left="372" w:leftChars="177" w:firstLine="415" w:firstLineChars="198"/>
        <w:rPr>
          <w:rFonts w:cs="Times New Roman"/>
          <w:szCs w:val="20"/>
        </w:rPr>
      </w:pPr>
      <w:r>
        <w:rPr>
          <w:rFonts w:hint="eastAsia" w:cs="Times New Roman"/>
          <w:szCs w:val="20"/>
        </w:rPr>
        <w:t>超时率</w:t>
      </w:r>
      <w:r>
        <w:rPr>
          <w:rFonts w:cs="Times New Roman"/>
          <w:szCs w:val="20"/>
        </w:rPr>
        <w:t>=当月超时总件数/当月结案总件数*100%</w:t>
      </w:r>
    </w:p>
    <w:p w14:paraId="1E9F3254">
      <w:pPr>
        <w:ind w:left="372" w:leftChars="177" w:firstLine="415" w:firstLineChars="198"/>
        <w:rPr>
          <w:rFonts w:cs="Times New Roman"/>
          <w:szCs w:val="20"/>
        </w:rPr>
      </w:pPr>
      <w:r>
        <w:rPr>
          <w:rFonts w:hint="eastAsia" w:cs="Times New Roman"/>
          <w:szCs w:val="20"/>
        </w:rPr>
        <w:t>考核标准：超时率≤</w:t>
      </w:r>
      <w:r>
        <w:rPr>
          <w:rFonts w:cs="Times New Roman"/>
          <w:szCs w:val="20"/>
        </w:rPr>
        <w:t>1%，结算费用扣除0%；</w:t>
      </w:r>
    </w:p>
    <w:p w14:paraId="4B67BFCF">
      <w:pPr>
        <w:ind w:left="372" w:leftChars="177" w:firstLine="415" w:firstLineChars="198"/>
        <w:rPr>
          <w:rFonts w:cs="Times New Roman"/>
          <w:szCs w:val="20"/>
        </w:rPr>
      </w:pPr>
      <w:r>
        <w:rPr>
          <w:rFonts w:cs="Times New Roman"/>
          <w:szCs w:val="20"/>
        </w:rPr>
        <w:t>1%≤超时率＜3%，结算费扣除5%；</w:t>
      </w:r>
    </w:p>
    <w:p w14:paraId="17646F1A">
      <w:pPr>
        <w:ind w:left="372" w:leftChars="177" w:firstLine="415" w:firstLineChars="198"/>
        <w:rPr>
          <w:rFonts w:cs="Times New Roman"/>
          <w:szCs w:val="20"/>
        </w:rPr>
      </w:pPr>
      <w:r>
        <w:rPr>
          <w:rFonts w:cs="Times New Roman"/>
          <w:szCs w:val="20"/>
        </w:rPr>
        <w:t>3%≤超时率＜5%，结算费扣除10%；</w:t>
      </w:r>
    </w:p>
    <w:p w14:paraId="11965B8F">
      <w:pPr>
        <w:ind w:left="372" w:leftChars="177" w:firstLine="415" w:firstLineChars="198"/>
        <w:rPr>
          <w:rFonts w:cs="Times New Roman"/>
          <w:szCs w:val="20"/>
        </w:rPr>
      </w:pPr>
      <w:r>
        <w:rPr>
          <w:rFonts w:cs="Times New Roman"/>
          <w:szCs w:val="20"/>
        </w:rPr>
        <w:t>5%≤超时率，结算费用扣除20%。</w:t>
      </w:r>
    </w:p>
    <w:p w14:paraId="129460A8">
      <w:pPr>
        <w:ind w:left="372" w:leftChars="177" w:firstLine="415" w:firstLineChars="198"/>
        <w:rPr>
          <w:rFonts w:cs="Times New Roman"/>
          <w:szCs w:val="20"/>
        </w:rPr>
      </w:pPr>
      <w:r>
        <w:rPr>
          <w:rFonts w:hint="eastAsia" w:cs="Times New Roman"/>
          <w:szCs w:val="20"/>
        </w:rPr>
        <w:t>（</w:t>
      </w:r>
      <w:r>
        <w:rPr>
          <w:rFonts w:cs="Times New Roman"/>
          <w:szCs w:val="20"/>
        </w:rPr>
        <w:t>2）个案考核时效</w:t>
      </w:r>
      <w:r>
        <w:rPr>
          <w:rFonts w:hint="eastAsia" w:cs="Times New Roman"/>
          <w:szCs w:val="20"/>
        </w:rPr>
        <w:t>：</w:t>
      </w:r>
      <w:r>
        <w:rPr>
          <w:rFonts w:cs="Times New Roman"/>
          <w:szCs w:val="20"/>
        </w:rPr>
        <w:t>个案超时效天数不满一个工作日按照一个工作日计算。超三十天结案案件按照“</w:t>
      </w:r>
      <w:r>
        <w:rPr>
          <w:rFonts w:hint="eastAsia" w:cs="Times New Roman"/>
          <w:szCs w:val="20"/>
        </w:rPr>
        <w:t>三</w:t>
      </w:r>
      <w:r>
        <w:rPr>
          <w:rFonts w:cs="Times New Roman"/>
          <w:szCs w:val="20"/>
        </w:rPr>
        <w:t>、其他考核”标准，不重复考核。</w:t>
      </w:r>
    </w:p>
    <w:p w14:paraId="199CE7E3">
      <w:pPr>
        <w:ind w:left="372" w:leftChars="177" w:firstLine="415" w:firstLineChars="198"/>
        <w:rPr>
          <w:rFonts w:cs="Times New Roman"/>
          <w:szCs w:val="20"/>
        </w:rPr>
      </w:pPr>
      <w:r>
        <w:rPr>
          <w:rFonts w:cs="Times New Roman"/>
          <w:szCs w:val="20"/>
        </w:rPr>
        <w:t>5个工作日≤个案结案时效天数＜20个工作日，每件超时效案件扣除100元；</w:t>
      </w:r>
    </w:p>
    <w:p w14:paraId="79F14AFF">
      <w:pPr>
        <w:ind w:left="372" w:leftChars="177" w:firstLine="415" w:firstLineChars="198"/>
        <w:rPr>
          <w:rFonts w:cs="Times New Roman"/>
          <w:szCs w:val="20"/>
        </w:rPr>
      </w:pPr>
      <w:r>
        <w:rPr>
          <w:rFonts w:cs="Times New Roman"/>
          <w:szCs w:val="20"/>
        </w:rPr>
        <w:t>20个工作日≤个案结案时效天数，每件超时效案件扣除500元；</w:t>
      </w:r>
    </w:p>
    <w:p w14:paraId="275EF8B6">
      <w:pPr>
        <w:ind w:left="372" w:leftChars="177" w:firstLine="415" w:firstLineChars="198"/>
        <w:rPr>
          <w:rFonts w:cs="Times New Roman"/>
          <w:szCs w:val="20"/>
        </w:rPr>
      </w:pPr>
      <w:r>
        <w:rPr>
          <w:rFonts w:hint="eastAsia" w:cs="Times New Roman"/>
          <w:szCs w:val="20"/>
        </w:rPr>
        <w:t>连续三个月出现超时率不达标情况，乙方必须对超时情况进行具体分析，并出具书面的整改方案、实施时间表和责任人。</w:t>
      </w:r>
    </w:p>
    <w:p w14:paraId="285C79DE">
      <w:pPr>
        <w:widowControl/>
        <w:ind w:firstLine="417" w:firstLineChars="198"/>
        <w:jc w:val="left"/>
        <w:rPr>
          <w:b/>
        </w:rPr>
      </w:pPr>
      <w:r>
        <w:rPr>
          <w:rFonts w:hint="eastAsia"/>
          <w:b/>
        </w:rPr>
        <w:t>（二）品质考核</w:t>
      </w:r>
    </w:p>
    <w:p w14:paraId="4E7B99C1">
      <w:pPr>
        <w:widowControl/>
        <w:ind w:firstLine="415" w:firstLineChars="198"/>
        <w:jc w:val="left"/>
      </w:pPr>
      <w:r>
        <w:t>1.</w:t>
      </w:r>
      <w:r>
        <w:rPr>
          <w:rFonts w:hint="eastAsia"/>
        </w:rPr>
        <w:t>差错标准</w:t>
      </w:r>
    </w:p>
    <w:p w14:paraId="6EE86CCE">
      <w:pPr>
        <w:ind w:left="372" w:leftChars="177" w:firstLine="415" w:firstLineChars="198"/>
        <w:rPr>
          <w:rFonts w:cs="Times New Roman"/>
          <w:szCs w:val="20"/>
        </w:rPr>
      </w:pPr>
      <w:r>
        <w:rPr>
          <w:rFonts w:hint="eastAsia" w:cs="Times New Roman"/>
          <w:szCs w:val="20"/>
        </w:rPr>
        <w:t>案件处理差错包括但不限于理赔审核错误、理赔结论错误、理算结果错误、领款人权益错误、或未按照甲方作业规范执行等处理不当的操作（因案件基础信息有误或延迟而导致乙方出现判断差错的情况除外）。</w:t>
      </w:r>
    </w:p>
    <w:p w14:paraId="17D5857E">
      <w:pPr>
        <w:widowControl/>
        <w:ind w:firstLine="415" w:firstLineChars="198"/>
        <w:jc w:val="left"/>
      </w:pPr>
      <w:r>
        <w:t>2.</w:t>
      </w:r>
      <w:r>
        <w:rPr>
          <w:rFonts w:hint="eastAsia"/>
        </w:rPr>
        <w:t>差错统计</w:t>
      </w:r>
    </w:p>
    <w:p w14:paraId="564CA3A9">
      <w:pPr>
        <w:ind w:left="372" w:leftChars="177" w:firstLine="415" w:firstLineChars="198"/>
        <w:rPr>
          <w:rFonts w:cs="Times New Roman"/>
          <w:szCs w:val="20"/>
        </w:rPr>
      </w:pPr>
      <w:r>
        <w:rPr>
          <w:rFonts w:hint="eastAsia" w:cs="Times New Roman"/>
          <w:szCs w:val="20"/>
        </w:rPr>
        <w:t>案中质检：每个结算周期内，按甲方理赔质检人员发现差错件数占本周期内所有质检案件总数的比例计算质检差错率，并按照该差错率进行服务费扣罚。</w:t>
      </w:r>
    </w:p>
    <w:p w14:paraId="3D7DBF1A">
      <w:pPr>
        <w:ind w:left="372" w:leftChars="177" w:firstLine="417" w:firstLineChars="198"/>
        <w:rPr>
          <w:rFonts w:cs="Times New Roman"/>
          <w:b/>
          <w:szCs w:val="20"/>
        </w:rPr>
      </w:pPr>
      <w:r>
        <w:rPr>
          <w:rFonts w:hint="eastAsia" w:cs="Times New Roman"/>
          <w:b/>
          <w:szCs w:val="20"/>
        </w:rPr>
        <w:t>质检差错率=质检差错案件数/所有质检案件数*100%</w:t>
      </w:r>
    </w:p>
    <w:p w14:paraId="60FEBAF9">
      <w:pPr>
        <w:ind w:left="372" w:leftChars="177" w:firstLine="415" w:firstLineChars="198"/>
        <w:rPr>
          <w:rFonts w:cs="Times New Roman"/>
          <w:szCs w:val="20"/>
        </w:rPr>
      </w:pPr>
      <w:r>
        <w:rPr>
          <w:rFonts w:hint="eastAsia" w:cs="Times New Roman"/>
          <w:szCs w:val="20"/>
        </w:rPr>
        <w:t>扣罚标准：</w:t>
      </w:r>
    </w:p>
    <w:p w14:paraId="48A8D396">
      <w:pPr>
        <w:ind w:left="372" w:leftChars="177" w:firstLine="415" w:firstLineChars="198"/>
        <w:rPr>
          <w:rFonts w:cs="Times New Roman"/>
          <w:szCs w:val="20"/>
        </w:rPr>
      </w:pPr>
      <w:r>
        <w:rPr>
          <w:rFonts w:hint="eastAsia" w:cs="Times New Roman"/>
          <w:szCs w:val="20"/>
        </w:rPr>
        <w:t>质检差错率&lt;0.5%,结算费扣除0%；</w:t>
      </w:r>
    </w:p>
    <w:p w14:paraId="76D785E4">
      <w:pPr>
        <w:ind w:left="372" w:leftChars="177" w:firstLine="415" w:firstLineChars="198"/>
        <w:rPr>
          <w:rFonts w:cs="Times New Roman"/>
          <w:szCs w:val="20"/>
        </w:rPr>
      </w:pPr>
      <w:r>
        <w:rPr>
          <w:rFonts w:hint="eastAsia" w:cs="Times New Roman"/>
          <w:szCs w:val="20"/>
        </w:rPr>
        <w:t>0.5%≤质检差错率&lt;1%，结算费用扣除2%；</w:t>
      </w:r>
    </w:p>
    <w:p w14:paraId="022EA976">
      <w:pPr>
        <w:ind w:left="372" w:leftChars="177" w:firstLine="415" w:firstLineChars="198"/>
        <w:rPr>
          <w:rFonts w:cs="Times New Roman"/>
          <w:szCs w:val="20"/>
        </w:rPr>
      </w:pPr>
      <w:r>
        <w:rPr>
          <w:rFonts w:hint="eastAsia" w:cs="Times New Roman"/>
          <w:szCs w:val="20"/>
        </w:rPr>
        <w:t>1%≤质检差错率&lt;2%，结算费用扣除5%；</w:t>
      </w:r>
    </w:p>
    <w:p w14:paraId="1959A2F5">
      <w:pPr>
        <w:ind w:left="372" w:leftChars="177" w:firstLine="415" w:firstLineChars="198"/>
        <w:rPr>
          <w:rFonts w:cs="Times New Roman"/>
          <w:szCs w:val="20"/>
        </w:rPr>
      </w:pPr>
      <w:r>
        <w:rPr>
          <w:rFonts w:hint="eastAsia" w:cs="Times New Roman"/>
          <w:szCs w:val="20"/>
        </w:rPr>
        <w:t>质检差错率≥2%,结算费用扣除10%；</w:t>
      </w:r>
    </w:p>
    <w:p w14:paraId="0DF169B2">
      <w:pPr>
        <w:ind w:left="372" w:leftChars="177" w:firstLine="415" w:firstLineChars="198"/>
        <w:rPr>
          <w:rFonts w:cs="Times New Roman"/>
          <w:szCs w:val="20"/>
        </w:rPr>
      </w:pPr>
      <w:r>
        <w:rPr>
          <w:rFonts w:hint="eastAsia" w:cs="Times New Roman"/>
          <w:szCs w:val="20"/>
        </w:rPr>
        <w:t>乙方须每月初对月差错案件进行统计分析，连续三个月出现质检差错率不达标情况，乙方需出具书面的整改方案、实施时间表和责任人。</w:t>
      </w:r>
    </w:p>
    <w:p w14:paraId="49DE5114">
      <w:pPr>
        <w:widowControl/>
        <w:ind w:firstLine="417" w:firstLineChars="198"/>
        <w:jc w:val="left"/>
        <w:rPr>
          <w:b/>
        </w:rPr>
      </w:pPr>
      <w:r>
        <w:rPr>
          <w:rFonts w:hint="eastAsia"/>
          <w:b/>
        </w:rPr>
        <w:t>（三）其他考核</w:t>
      </w:r>
    </w:p>
    <w:p w14:paraId="67621167">
      <w:pPr>
        <w:widowControl/>
        <w:ind w:firstLine="415" w:firstLineChars="198"/>
        <w:jc w:val="left"/>
      </w:pPr>
      <w:r>
        <w:t>1.</w:t>
      </w:r>
      <w:r>
        <w:rPr>
          <w:rFonts w:hint="eastAsia"/>
        </w:rPr>
        <w:t>结案后或案件处理过程中客户投诉差错件：客户反馈、初审错误、甲方审计等方式发现的差错案件，每件差错件扣罚50元。</w:t>
      </w:r>
    </w:p>
    <w:p w14:paraId="0845023B">
      <w:pPr>
        <w:widowControl/>
        <w:ind w:firstLine="415" w:firstLineChars="198"/>
        <w:jc w:val="left"/>
      </w:pPr>
      <w:r>
        <w:t>2.</w:t>
      </w:r>
      <w:r>
        <w:rPr>
          <w:rFonts w:hint="eastAsia"/>
        </w:rPr>
        <w:t>监管案件：由监管机构转办的案件，经核实确认属于乙方责任导致的差错件，每件差错件扣罚2000元。</w:t>
      </w:r>
    </w:p>
    <w:p w14:paraId="37C49B1A">
      <w:pPr>
        <w:widowControl/>
        <w:ind w:firstLine="415" w:firstLineChars="198"/>
        <w:jc w:val="left"/>
      </w:pPr>
      <w:r>
        <w:rPr>
          <w:rFonts w:hint="eastAsia"/>
        </w:rPr>
        <w:t>3.违反保监、保险法规定案件：对于因乙方处理案件差错导致案件违反保险法规定，按违反保险法的次数进行扣罚，2000元/次。（例如：超30天未结案等。）</w:t>
      </w:r>
    </w:p>
    <w:p w14:paraId="22D71D2D">
      <w:pPr>
        <w:widowControl/>
        <w:ind w:firstLine="415" w:firstLineChars="198"/>
        <w:jc w:val="left"/>
      </w:pPr>
      <w:r>
        <w:rPr>
          <w:rFonts w:hint="eastAsia"/>
        </w:rPr>
        <w:t>若一个案件同时符合以上三种个案扣罚情形，则按照最高扣罚标准执行。</w:t>
      </w:r>
    </w:p>
    <w:p w14:paraId="0E42943B">
      <w:pPr>
        <w:widowControl/>
        <w:ind w:firstLine="415" w:firstLineChars="198"/>
        <w:jc w:val="left"/>
      </w:pPr>
      <w:r>
        <w:rPr>
          <w:rFonts w:hint="eastAsia"/>
        </w:rPr>
        <w:t>差错件、监管案件及违反保险法案件的核定：差错件、监管案件及违反保险法案件的确定由甲方的审核、复核人员、电话服务中心人员以及乙方指定服务监督员共同复核确定。</w:t>
      </w:r>
    </w:p>
    <w:p w14:paraId="73683D9B">
      <w:pPr>
        <w:pStyle w:val="2"/>
        <w:numPr>
          <w:ilvl w:val="0"/>
          <w:numId w:val="4"/>
        </w:numPr>
      </w:pPr>
      <w:bookmarkStart w:id="117" w:name="_Toc12177"/>
      <w:r>
        <w:t>消费者权益保护条款</w:t>
      </w:r>
      <w:bookmarkEnd w:id="117"/>
    </w:p>
    <w:p w14:paraId="2D27E2FE">
      <w:pPr>
        <w:widowControl/>
        <w:ind w:firstLine="415" w:firstLineChars="198"/>
        <w:jc w:val="left"/>
      </w:pPr>
      <w:r>
        <w:rPr>
          <w:rFonts w:hint="eastAsia"/>
        </w:rPr>
        <w:t>1.</w:t>
      </w:r>
      <w:r>
        <w:t>甲乙双方须严格执行国家现行消费者权益保护相关法律法规、中国银保监会消费者权益保护制度相关要求，切实做好消费者权益保护工作。包括但不限于：</w:t>
      </w:r>
    </w:p>
    <w:p w14:paraId="45AB41D8">
      <w:pPr>
        <w:widowControl/>
        <w:ind w:firstLine="415" w:firstLineChars="198"/>
        <w:jc w:val="left"/>
      </w:pPr>
      <w:r>
        <w:rPr>
          <w:rFonts w:hint="eastAsia"/>
        </w:rPr>
        <w:t>（</w:t>
      </w:r>
      <w:r>
        <w:t>1）乙方应配合甲方向消费者说明告知必要的产品和服务信息，不得擅自向消费者披露未经甲方许可的信息，不得变相向消费者额外收费，充分保障消费者知情权与公平交易权等合法权益。</w:t>
      </w:r>
    </w:p>
    <w:p w14:paraId="01EC108F">
      <w:pPr>
        <w:widowControl/>
        <w:ind w:firstLine="415" w:firstLineChars="198"/>
        <w:jc w:val="left"/>
      </w:pPr>
      <w:r>
        <w:rPr>
          <w:rFonts w:hint="eastAsia"/>
        </w:rPr>
        <w:t>（</w:t>
      </w:r>
      <w:r>
        <w:t>2）乙方应遵循合法、合理、必要原则，收集、存储、使用客户个人信息，确保在取得消费者明确授权的前提下使用和提供信息，保障消费者信息安全权等合法权益。</w:t>
      </w:r>
    </w:p>
    <w:p w14:paraId="6E3EDDA3">
      <w:pPr>
        <w:widowControl/>
        <w:ind w:firstLine="415" w:firstLineChars="198"/>
        <w:jc w:val="left"/>
      </w:pPr>
      <w:r>
        <w:rPr>
          <w:rFonts w:hint="eastAsia"/>
        </w:rPr>
        <w:t>（</w:t>
      </w:r>
      <w:r>
        <w:t>3）乙方应确保服务的连续性。在本协议约定的合作期间内产生的服务订单，即使双方合同关系终止，如果合同有约定，乙方应按照合同提供相应的服务。</w:t>
      </w:r>
    </w:p>
    <w:p w14:paraId="1ED08F0C">
      <w:pPr>
        <w:widowControl/>
        <w:ind w:firstLine="415" w:firstLineChars="198"/>
        <w:jc w:val="left"/>
      </w:pPr>
      <w:r>
        <w:rPr>
          <w:rFonts w:hint="eastAsia"/>
        </w:rPr>
        <w:t>（</w:t>
      </w:r>
      <w:r>
        <w:t>4）合作中产生的消费纠纷，乙方应积极配合处理消费投诉，协助甲方对消费投诉事项进行核实，配合提供相关情况，促进消费投诉妥善解决。由于乙方原因产生的后果由乙方承担。</w:t>
      </w:r>
    </w:p>
    <w:p w14:paraId="6127E9D4">
      <w:pPr>
        <w:widowControl/>
        <w:ind w:firstLine="415" w:firstLineChars="198"/>
        <w:jc w:val="left"/>
      </w:pPr>
      <w:r>
        <w:rPr>
          <w:rFonts w:hint="eastAsia"/>
        </w:rPr>
        <w:t>（</w:t>
      </w:r>
      <w:r>
        <w:t>5）甲方有权利对乙方消费者权益保护相关工作进行监督评价。若乙方存在侵害消费者权益行为的，应及时整改。若乙方拒不整改或整改后仍不能满足消费者权益保护要求的，甲方有权对乙方进行追责，情节严重的甲方有权列入合作机构黑名单并取消合作，对此造成的后果由乙方承担。</w:t>
      </w:r>
    </w:p>
    <w:p w14:paraId="0BEE7438">
      <w:pPr>
        <w:widowControl/>
        <w:ind w:firstLine="415" w:firstLineChars="198"/>
        <w:jc w:val="left"/>
      </w:pPr>
      <w:r>
        <w:t>2.乙方从事服务提供时，有下列情形之一者，本协议自动终止，乙方须对甲方因此所受经济损失承担赔偿责任，构成犯罪的，由乙方自行承担相关法律责任，并列入甲方合作机构黑名单：</w:t>
      </w:r>
    </w:p>
    <w:p w14:paraId="692FFBB5">
      <w:pPr>
        <w:widowControl/>
        <w:ind w:firstLine="415" w:firstLineChars="198"/>
        <w:jc w:val="left"/>
      </w:pPr>
      <w:r>
        <w:rPr>
          <w:rFonts w:hint="eastAsia"/>
        </w:rPr>
        <w:t>（</w:t>
      </w:r>
      <w:r>
        <w:t>1）消费者权益保护或客户信息安全内控机制存在重大缺陷。</w:t>
      </w:r>
    </w:p>
    <w:p w14:paraId="450E3391">
      <w:pPr>
        <w:widowControl/>
        <w:ind w:firstLine="415" w:firstLineChars="198"/>
        <w:jc w:val="left"/>
      </w:pPr>
      <w:r>
        <w:rPr>
          <w:rFonts w:hint="eastAsia"/>
        </w:rPr>
        <w:t>（</w:t>
      </w:r>
      <w:r>
        <w:t>2）存在消费者权益保护严重问题，受到消费者权益保护方面重大行政处罚。</w:t>
      </w:r>
    </w:p>
    <w:p w14:paraId="53FCB752">
      <w:pPr>
        <w:widowControl/>
        <w:ind w:firstLine="415" w:firstLineChars="198"/>
        <w:jc w:val="left"/>
      </w:pPr>
      <w:r>
        <w:rPr>
          <w:rFonts w:hint="eastAsia"/>
        </w:rPr>
        <w:t>（</w:t>
      </w:r>
      <w:r>
        <w:t>3）因合作期间销售产品或者提供服务而产生消费纠纷时，乙方不配合处理消费投诉，包括但不限于隐瞒或掩盖事实，损害消费者或甲方合法权益。</w:t>
      </w:r>
    </w:p>
    <w:p w14:paraId="760F2ACF">
      <w:pPr>
        <w:widowControl/>
        <w:ind w:firstLine="415" w:firstLineChars="198"/>
        <w:jc w:val="left"/>
      </w:pPr>
      <w:r>
        <w:rPr>
          <w:rFonts w:hint="eastAsia"/>
        </w:rPr>
        <w:t>（</w:t>
      </w:r>
      <w:r>
        <w:t>4）违反国家消费者权益保护法律法规、保险监管机构制度要求，涉嫌侵害保险消费者知情权、公平交易权、自主选择权、财产安全权、信息安全权、受尊重权、受教育权、依法求偿权等各项合法权益，且拒绝整改、拒绝配合甲方妥善处理。</w:t>
      </w:r>
    </w:p>
    <w:p w14:paraId="4BE3F937">
      <w:pPr>
        <w:pStyle w:val="2"/>
        <w:numPr>
          <w:ilvl w:val="0"/>
          <w:numId w:val="4"/>
        </w:numPr>
      </w:pPr>
      <w:bookmarkStart w:id="118" w:name="_Toc10838"/>
      <w:r>
        <w:rPr>
          <w:rFonts w:hint="eastAsia"/>
        </w:rPr>
        <w:t>通知</w:t>
      </w:r>
      <w:bookmarkEnd w:id="118"/>
    </w:p>
    <w:p w14:paraId="1FA52160">
      <w:pPr>
        <w:widowControl/>
        <w:ind w:firstLine="415" w:firstLineChars="198"/>
        <w:jc w:val="left"/>
      </w:pPr>
      <w:r>
        <w:rPr>
          <w:rFonts w:hint="eastAsia"/>
        </w:rPr>
        <w:t>1.在本订单项下，自一方至任何另一方的任何通知或其他形式的书面沟通（统称“通知”）应以中文语言的书面形式发送。</w:t>
      </w:r>
    </w:p>
    <w:p w14:paraId="47AAEBBE">
      <w:pPr>
        <w:widowControl/>
        <w:ind w:firstLine="415" w:firstLineChars="198"/>
        <w:jc w:val="left"/>
      </w:pPr>
      <w:r>
        <w:rPr>
          <w:rFonts w:hint="eastAsia"/>
        </w:rPr>
        <w:t>2.通知应发送至本订单中载明的邮寄地址。任何写明接收一方的详细邮寄地址的通知应视为在以下时间及时送达：</w:t>
      </w:r>
    </w:p>
    <w:p w14:paraId="74051406">
      <w:pPr>
        <w:ind w:firstLine="415" w:firstLineChars="198"/>
        <w:rPr>
          <w:rFonts w:cs="Times New Roman"/>
          <w:szCs w:val="20"/>
        </w:rPr>
      </w:pPr>
      <w:r>
        <w:rPr>
          <w:rFonts w:hint="eastAsia" w:cs="Times New Roman"/>
          <w:szCs w:val="20"/>
        </w:rPr>
        <w:t>（1）</w:t>
      </w:r>
      <w:r>
        <w:rPr>
          <w:rFonts w:hint="eastAsia" w:cs="Times New Roman"/>
          <w:szCs w:val="20"/>
        </w:rPr>
        <w:tab/>
      </w:r>
      <w:r>
        <w:rPr>
          <w:rFonts w:hint="eastAsia" w:cs="Times New Roman"/>
          <w:szCs w:val="20"/>
        </w:rPr>
        <w:t>通过邮递员送达的，则在其到达接收一方的邮寄地址时视为送达；</w:t>
      </w:r>
    </w:p>
    <w:p w14:paraId="59ADC170">
      <w:pPr>
        <w:ind w:firstLine="415" w:firstLineChars="198"/>
        <w:rPr>
          <w:rFonts w:cs="Times New Roman"/>
          <w:szCs w:val="20"/>
        </w:rPr>
      </w:pPr>
      <w:r>
        <w:rPr>
          <w:rFonts w:hint="eastAsia" w:cs="Times New Roman"/>
          <w:szCs w:val="20"/>
        </w:rPr>
        <w:t>（2）</w:t>
      </w:r>
      <w:r>
        <w:rPr>
          <w:rFonts w:hint="eastAsia" w:cs="Times New Roman"/>
          <w:szCs w:val="20"/>
        </w:rPr>
        <w:tab/>
      </w:r>
      <w:r>
        <w:rPr>
          <w:rFonts w:hint="eastAsia" w:cs="Times New Roman"/>
          <w:szCs w:val="20"/>
        </w:rPr>
        <w:t>通过挂号方式送达的，则在邮寄之日起的第7个工作日视为送达；</w:t>
      </w:r>
    </w:p>
    <w:p w14:paraId="6477B884">
      <w:pPr>
        <w:ind w:firstLine="415" w:firstLineChars="198"/>
        <w:rPr>
          <w:rFonts w:cs="Times New Roman"/>
          <w:szCs w:val="20"/>
        </w:rPr>
      </w:pPr>
      <w:r>
        <w:rPr>
          <w:rFonts w:hint="eastAsia" w:cs="Times New Roman"/>
          <w:szCs w:val="20"/>
        </w:rPr>
        <w:t>（3）通过电子邮件发送的，自该电子邮件进入另一方指定的电子邮件接收系统时视为送达；</w:t>
      </w:r>
    </w:p>
    <w:p w14:paraId="3AF9EC3F">
      <w:pPr>
        <w:ind w:firstLine="415" w:firstLineChars="198"/>
        <w:rPr>
          <w:rFonts w:cs="Times New Roman"/>
          <w:szCs w:val="20"/>
        </w:rPr>
      </w:pPr>
      <w:r>
        <w:rPr>
          <w:rFonts w:hint="eastAsia" w:cs="Times New Roman"/>
          <w:szCs w:val="20"/>
        </w:rPr>
        <w:t>（4）</w:t>
      </w:r>
      <w:r>
        <w:rPr>
          <w:rFonts w:hint="eastAsia" w:cs="Times New Roman"/>
          <w:szCs w:val="20"/>
        </w:rPr>
        <w:tab/>
      </w:r>
      <w:r>
        <w:rPr>
          <w:rFonts w:hint="eastAsia" w:cs="Times New Roman"/>
          <w:szCs w:val="20"/>
        </w:rPr>
        <w:t>通过传真送达的，自传真发送时起视为送达（需要证明）。</w:t>
      </w:r>
    </w:p>
    <w:p w14:paraId="5B264B7C">
      <w:pPr>
        <w:widowControl/>
        <w:ind w:firstLine="415" w:firstLineChars="198"/>
        <w:jc w:val="left"/>
      </w:pPr>
      <w:r>
        <w:t>3.</w:t>
      </w:r>
      <w:r>
        <w:rPr>
          <w:rFonts w:hint="eastAsia"/>
        </w:rPr>
        <w:t>甲乙双方的详细通讯信息：</w:t>
      </w:r>
    </w:p>
    <w:p w14:paraId="19446BFE">
      <w:pPr>
        <w:widowControl/>
        <w:ind w:firstLine="415" w:firstLineChars="198"/>
        <w:jc w:val="left"/>
      </w:pPr>
      <w:r>
        <w:rPr>
          <w:rFonts w:hint="eastAsia"/>
        </w:rPr>
        <w:t>甲方：中国人民健康保险股份有限公司青岛分公司</w:t>
      </w:r>
    </w:p>
    <w:p w14:paraId="4C550900">
      <w:pPr>
        <w:widowControl/>
        <w:ind w:firstLine="415" w:firstLineChars="198"/>
        <w:jc w:val="left"/>
      </w:pPr>
      <w:r>
        <w:rPr>
          <w:rFonts w:hint="eastAsia"/>
        </w:rPr>
        <w:t>地址：山东省青岛市市南区东海西路</w:t>
      </w:r>
      <w:r>
        <w:t>15号英德隆大厦17层，邮编：266071</w:t>
      </w:r>
    </w:p>
    <w:p w14:paraId="687B12B4">
      <w:pPr>
        <w:widowControl/>
        <w:ind w:firstLine="415" w:firstLineChars="198"/>
        <w:jc w:val="left"/>
      </w:pPr>
    </w:p>
    <w:p w14:paraId="1C67FA64">
      <w:pPr>
        <w:widowControl/>
        <w:ind w:firstLine="415" w:firstLineChars="198"/>
        <w:jc w:val="left"/>
        <w:rPr>
          <w:rFonts w:hint="eastAsia"/>
        </w:rPr>
      </w:pPr>
      <w:r>
        <w:rPr>
          <w:rFonts w:hint="eastAsia"/>
        </w:rPr>
        <w:t>乙方：</w:t>
      </w:r>
    </w:p>
    <w:p w14:paraId="1B668C05">
      <w:pPr>
        <w:widowControl/>
        <w:ind w:firstLine="415" w:firstLineChars="198"/>
        <w:jc w:val="left"/>
      </w:pPr>
      <w:r>
        <w:rPr>
          <w:rFonts w:hint="eastAsia"/>
        </w:rPr>
        <w:t>地址：</w:t>
      </w:r>
    </w:p>
    <w:p w14:paraId="420FEFA6">
      <w:pPr>
        <w:pStyle w:val="2"/>
        <w:numPr>
          <w:ilvl w:val="0"/>
          <w:numId w:val="0"/>
        </w:numPr>
        <w:ind w:leftChars="0"/>
      </w:pPr>
      <w:bookmarkStart w:id="119" w:name="_Toc11277"/>
      <w:r>
        <w:rPr>
          <w:rFonts w:hint="eastAsia"/>
          <w:lang w:eastAsia="zh-CN"/>
        </w:rPr>
        <w:t>七、</w:t>
      </w:r>
      <w:r>
        <w:rPr>
          <w:rFonts w:hint="eastAsia"/>
        </w:rPr>
        <w:t>未尽事宜</w:t>
      </w:r>
      <w:bookmarkEnd w:id="119"/>
    </w:p>
    <w:p w14:paraId="30AFC499">
      <w:pPr>
        <w:widowControl/>
        <w:ind w:firstLine="415" w:firstLineChars="198"/>
        <w:jc w:val="left"/>
      </w:pPr>
      <w:r>
        <w:t>1.</w:t>
      </w:r>
      <w:r>
        <w:rPr>
          <w:rFonts w:hint="eastAsia"/>
        </w:rPr>
        <w:t>本订单未尽事宜，甲乙双方可协商约定，或按总部协议内容为准。</w:t>
      </w:r>
    </w:p>
    <w:p w14:paraId="611035B7">
      <w:pPr>
        <w:widowControl/>
        <w:ind w:firstLine="415" w:firstLineChars="198"/>
        <w:jc w:val="left"/>
      </w:pPr>
      <w:r>
        <w:rPr>
          <w:rFonts w:hint="eastAsia"/>
        </w:rPr>
        <w:t>2.因服务特殊性，如总部协议到期，本订单服务有未尽事宜，由甲乙双方协商确定订单终止日期。</w:t>
      </w:r>
    </w:p>
    <w:p w14:paraId="1C8A179F">
      <w:pPr>
        <w:widowControl/>
        <w:ind w:firstLine="417" w:firstLineChars="198"/>
        <w:jc w:val="left"/>
        <w:rPr>
          <w:b/>
        </w:rPr>
      </w:pPr>
      <w:r>
        <w:rPr>
          <w:rFonts w:hint="eastAsia"/>
          <w:b/>
        </w:rPr>
        <w:t>（以下无正文）</w:t>
      </w:r>
    </w:p>
    <w:p w14:paraId="6AD44C46">
      <w:pPr>
        <w:widowControl/>
        <w:jc w:val="left"/>
        <w:rPr>
          <w:b/>
          <w:sz w:val="28"/>
        </w:rPr>
      </w:pPr>
      <w:r>
        <w:rPr>
          <w:rFonts w:hint="eastAsia"/>
          <w:b/>
          <w:sz w:val="28"/>
        </w:rPr>
        <w:t>签字页</w:t>
      </w:r>
    </w:p>
    <w:p w14:paraId="5EB69D03">
      <w:pPr>
        <w:widowControl/>
        <w:jc w:val="left"/>
        <w:rPr>
          <w:b/>
        </w:rPr>
      </w:pPr>
    </w:p>
    <w:p w14:paraId="5E697271">
      <w:pPr>
        <w:widowControl/>
        <w:jc w:val="left"/>
      </w:pPr>
      <w:r>
        <w:rPr>
          <w:rFonts w:hint="eastAsia"/>
        </w:rPr>
        <w:t>订单之事宜，特此为证，甲乙双方兹订立本订单，一式四份，由双方法定代表人或授权代表签字并加盖公章后生效。双方各执两份，具有同等法律效力。</w:t>
      </w:r>
    </w:p>
    <w:p w14:paraId="42CDA849">
      <w:pPr>
        <w:widowControl/>
        <w:jc w:val="left"/>
        <w:rPr>
          <w:b/>
        </w:rPr>
      </w:pPr>
    </w:p>
    <w:p w14:paraId="4C3C04CD">
      <w:pPr>
        <w:widowControl/>
        <w:jc w:val="left"/>
        <w:rPr>
          <w:b/>
        </w:rPr>
      </w:pPr>
    </w:p>
    <w:p w14:paraId="095DE917">
      <w:pPr>
        <w:widowControl/>
        <w:jc w:val="left"/>
        <w:rPr>
          <w:b/>
          <w:sz w:val="28"/>
        </w:rPr>
      </w:pPr>
      <w:r>
        <w:rPr>
          <w:rFonts w:hint="eastAsia"/>
          <w:b/>
          <w:sz w:val="28"/>
        </w:rPr>
        <w:t>甲方：中国人民健康保险股份有限公司青岛分公司</w:t>
      </w:r>
      <w:r>
        <w:rPr>
          <w:b/>
          <w:sz w:val="28"/>
        </w:rPr>
        <w:t xml:space="preserve">                                      </w:t>
      </w:r>
    </w:p>
    <w:p w14:paraId="3C8CFC73">
      <w:pPr>
        <w:widowControl/>
        <w:jc w:val="left"/>
        <w:rPr>
          <w:b/>
          <w:sz w:val="28"/>
        </w:rPr>
      </w:pPr>
      <w:r>
        <w:rPr>
          <w:rFonts w:hint="eastAsia"/>
          <w:b/>
          <w:sz w:val="28"/>
        </w:rPr>
        <w:t>（盖公司合同章或公章）</w:t>
      </w:r>
    </w:p>
    <w:p w14:paraId="6BCF0828">
      <w:pPr>
        <w:widowControl/>
        <w:jc w:val="left"/>
        <w:rPr>
          <w:b/>
          <w:sz w:val="28"/>
        </w:rPr>
      </w:pPr>
    </w:p>
    <w:p w14:paraId="75D02C36">
      <w:pPr>
        <w:widowControl/>
        <w:jc w:val="left"/>
        <w:rPr>
          <w:b/>
          <w:sz w:val="28"/>
        </w:rPr>
      </w:pPr>
      <w:r>
        <w:rPr>
          <w:rFonts w:hint="eastAsia"/>
          <w:b/>
          <w:sz w:val="28"/>
        </w:rPr>
        <w:t>法人代表或授权人签字：</w:t>
      </w:r>
    </w:p>
    <w:p w14:paraId="247DA1CF">
      <w:pPr>
        <w:widowControl/>
        <w:jc w:val="left"/>
        <w:rPr>
          <w:sz w:val="28"/>
        </w:rPr>
      </w:pPr>
      <w:r>
        <w:rPr>
          <w:rFonts w:hint="eastAsia"/>
          <w:sz w:val="28"/>
        </w:rPr>
        <w:t>日期：</w:t>
      </w:r>
      <w:r>
        <w:rPr>
          <w:sz w:val="28"/>
        </w:rPr>
        <w:t>____年____月____日</w:t>
      </w:r>
    </w:p>
    <w:p w14:paraId="037F3164">
      <w:pPr>
        <w:widowControl/>
        <w:jc w:val="left"/>
      </w:pPr>
    </w:p>
    <w:p w14:paraId="6372B606">
      <w:pPr>
        <w:widowControl/>
        <w:jc w:val="left"/>
      </w:pPr>
    </w:p>
    <w:p w14:paraId="74D592CD">
      <w:pPr>
        <w:widowControl/>
        <w:jc w:val="left"/>
        <w:rPr>
          <w:b/>
          <w:sz w:val="28"/>
        </w:rPr>
      </w:pPr>
      <w:r>
        <w:rPr>
          <w:rFonts w:hint="eastAsia"/>
          <w:b/>
          <w:sz w:val="28"/>
        </w:rPr>
        <w:t>乙方：</w:t>
      </w:r>
    </w:p>
    <w:p w14:paraId="2848B9DD">
      <w:pPr>
        <w:widowControl/>
        <w:jc w:val="left"/>
        <w:rPr>
          <w:b/>
          <w:sz w:val="28"/>
        </w:rPr>
      </w:pPr>
      <w:r>
        <w:rPr>
          <w:rFonts w:hint="eastAsia"/>
          <w:b/>
          <w:sz w:val="28"/>
        </w:rPr>
        <w:t>（盖公司合同章或公章）</w:t>
      </w:r>
    </w:p>
    <w:p w14:paraId="2FAB6AA8">
      <w:pPr>
        <w:widowControl/>
        <w:jc w:val="left"/>
        <w:rPr>
          <w:b/>
          <w:sz w:val="28"/>
        </w:rPr>
      </w:pPr>
    </w:p>
    <w:p w14:paraId="3E1E8609">
      <w:pPr>
        <w:widowControl/>
        <w:jc w:val="left"/>
        <w:rPr>
          <w:b/>
          <w:sz w:val="28"/>
        </w:rPr>
      </w:pPr>
      <w:r>
        <w:rPr>
          <w:rFonts w:hint="eastAsia"/>
          <w:b/>
          <w:sz w:val="28"/>
        </w:rPr>
        <w:t>法人代表或授权人签字：</w:t>
      </w:r>
    </w:p>
    <w:p w14:paraId="05DCDDC0">
      <w:pPr>
        <w:widowControl/>
        <w:jc w:val="left"/>
        <w:rPr>
          <w:sz w:val="28"/>
        </w:rPr>
      </w:pPr>
      <w:r>
        <w:rPr>
          <w:rFonts w:hint="eastAsia"/>
          <w:sz w:val="28"/>
        </w:rPr>
        <w:t>日期：</w:t>
      </w:r>
      <w:r>
        <w:rPr>
          <w:sz w:val="28"/>
        </w:rPr>
        <w:t>____ 年____月____日</w:t>
      </w:r>
    </w:p>
    <w:p w14:paraId="6C3D7F84">
      <w:pPr>
        <w:pStyle w:val="17"/>
        <w:numPr>
          <w:ilvl w:val="0"/>
          <w:numId w:val="0"/>
        </w:numPr>
        <w:jc w:val="center"/>
        <w:outlineLvl w:val="0"/>
        <w:rPr>
          <w:rFonts w:hint="eastAsia" w:ascii="仿宋" w:hAnsi="仿宋" w:eastAsia="仿宋" w:cs="仿宋"/>
          <w:b/>
          <w:bCs/>
          <w:kern w:val="44"/>
          <w:sz w:val="30"/>
          <w:szCs w:val="30"/>
        </w:rPr>
      </w:pPr>
      <w:bookmarkStart w:id="120" w:name="_Toc25544"/>
      <w:bookmarkStart w:id="121" w:name="_Toc24194"/>
      <w:r>
        <w:rPr>
          <w:rFonts w:hint="eastAsia" w:ascii="仿宋" w:hAnsi="仿宋" w:eastAsia="仿宋" w:cs="仿宋"/>
          <w:b/>
          <w:bCs/>
          <w:kern w:val="44"/>
          <w:sz w:val="30"/>
          <w:szCs w:val="30"/>
          <w:lang w:val="en-US" w:eastAsia="zh-CN"/>
        </w:rPr>
        <w:t>第五章</w:t>
      </w:r>
      <w:r>
        <w:rPr>
          <w:rFonts w:hint="eastAsia" w:ascii="仿宋" w:hAnsi="仿宋" w:eastAsia="仿宋" w:cs="仿宋"/>
          <w:b/>
          <w:bCs/>
          <w:kern w:val="44"/>
          <w:sz w:val="30"/>
          <w:szCs w:val="30"/>
        </w:rPr>
        <w:t>采购需求</w:t>
      </w:r>
      <w:bookmarkEnd w:id="120"/>
      <w:bookmarkEnd w:id="121"/>
    </w:p>
    <w:p w14:paraId="42914F5D"/>
    <w:p w14:paraId="175F61E8">
      <w:pPr>
        <w:widowControl/>
        <w:adjustRightInd w:val="0"/>
        <w:snapToGrid w:val="0"/>
        <w:spacing w:line="360" w:lineRule="auto"/>
        <w:ind w:firstLine="482" w:firstLineChars="200"/>
        <w:outlineLvl w:val="1"/>
        <w:rPr>
          <w:rFonts w:hint="eastAsia" w:ascii="仿宋" w:hAnsi="仿宋" w:eastAsia="仿宋" w:cs="仿宋"/>
          <w:b/>
          <w:bCs/>
          <w:sz w:val="24"/>
        </w:rPr>
      </w:pPr>
      <w:bookmarkStart w:id="122" w:name="_Toc14152"/>
      <w:r>
        <w:rPr>
          <w:rFonts w:hint="eastAsia" w:ascii="仿宋" w:hAnsi="仿宋" w:eastAsia="仿宋" w:cs="仿宋"/>
          <w:b/>
          <w:bCs/>
          <w:sz w:val="24"/>
        </w:rPr>
        <w:t>一、项目背景</w:t>
      </w:r>
      <w:bookmarkEnd w:id="122"/>
    </w:p>
    <w:p w14:paraId="074FFC66">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因2025年总部签约商业险理赔外包协议已到期，总部与新中标的供应商尚未完成签约，总部与原供应商北京沛合健康科技有限公司签订的外包协议的离场规则，设置6个月的过渡期，分公司科技运营部拟对过渡期发生的商业险理赔外包服务进行采购。</w:t>
      </w:r>
    </w:p>
    <w:p w14:paraId="43C24AE2">
      <w:pPr>
        <w:widowControl/>
        <w:adjustRightInd w:val="0"/>
        <w:snapToGrid w:val="0"/>
        <w:spacing w:line="360" w:lineRule="auto"/>
        <w:ind w:firstLine="482" w:firstLineChars="200"/>
        <w:outlineLvl w:val="1"/>
        <w:rPr>
          <w:rFonts w:hint="eastAsia" w:ascii="仿宋" w:hAnsi="仿宋" w:eastAsia="仿宋" w:cs="仿宋"/>
          <w:b/>
          <w:bCs/>
          <w:sz w:val="24"/>
          <w:lang w:val="en-US" w:eastAsia="zh-CN"/>
        </w:rPr>
      </w:pPr>
      <w:bookmarkStart w:id="123" w:name="_Toc22453"/>
      <w:r>
        <w:rPr>
          <w:rFonts w:hint="eastAsia" w:ascii="仿宋" w:hAnsi="仿宋" w:eastAsia="仿宋" w:cs="仿宋"/>
          <w:b/>
          <w:bCs/>
          <w:sz w:val="24"/>
          <w:lang w:val="en-US" w:eastAsia="zh-CN"/>
        </w:rPr>
        <w:t>二、采购需求</w:t>
      </w:r>
      <w:bookmarkEnd w:id="123"/>
    </w:p>
    <w:p w14:paraId="2E9862B7">
      <w:pPr>
        <w:keepNext w:val="0"/>
        <w:keepLines w:val="0"/>
        <w:pageBreakBefore w:val="0"/>
        <w:kinsoku/>
        <w:wordWrap/>
        <w:overflowPunct/>
        <w:topLinePunct w:val="0"/>
        <w:autoSpaceDE/>
        <w:autoSpaceDN/>
        <w:bidi w:val="0"/>
        <w:spacing w:line="360" w:lineRule="auto"/>
        <w:ind w:firstLine="480" w:firstLineChars="200"/>
        <w:textAlignment w:val="baseline"/>
        <w:rPr>
          <w:rFonts w:hint="eastAsia" w:ascii="仿宋" w:hAnsi="仿宋" w:eastAsia="仿宋" w:cs="仿宋"/>
          <w:sz w:val="24"/>
        </w:rPr>
      </w:pPr>
      <w:r>
        <w:rPr>
          <w:rFonts w:hint="eastAsia" w:ascii="仿宋" w:hAnsi="仿宋" w:eastAsia="仿宋" w:cs="宋体"/>
          <w:color w:val="auto"/>
          <w:sz w:val="24"/>
          <w:szCs w:val="24"/>
          <w:lang w:val="en-US" w:eastAsia="zh-CN"/>
        </w:rPr>
        <w:t>2.1</w:t>
      </w:r>
      <w:r>
        <w:rPr>
          <w:rFonts w:hint="eastAsia" w:ascii="仿宋" w:hAnsi="仿宋" w:eastAsia="仿宋" w:cs="宋体"/>
          <w:color w:val="auto"/>
          <w:sz w:val="24"/>
          <w:szCs w:val="24"/>
        </w:rPr>
        <w:t>本项目拟采购</w:t>
      </w:r>
      <w:r>
        <w:rPr>
          <w:rFonts w:hint="eastAsia" w:ascii="仿宋" w:hAnsi="仿宋" w:eastAsia="仿宋" w:cs="宋体"/>
          <w:color w:val="auto"/>
          <w:sz w:val="24"/>
          <w:szCs w:val="24"/>
          <w:lang w:val="en-US" w:eastAsia="zh-CN"/>
        </w:rPr>
        <w:t>一家供应商，提供理赔外包服务，</w:t>
      </w:r>
      <w:r>
        <w:rPr>
          <w:rFonts w:hint="eastAsia" w:ascii="仿宋" w:hAnsi="仿宋" w:eastAsia="仿宋" w:cs="仿宋"/>
          <w:sz w:val="24"/>
          <w:lang w:val="en-US" w:eastAsia="zh-CN"/>
        </w:rPr>
        <w:t>因情况紧急，为保证商业险理赔外包服务服务配套的要求，需要再次向原供应商北京沛合健康科技有限公司进行单一采购。</w:t>
      </w:r>
      <w:r>
        <w:rPr>
          <w:rFonts w:hint="eastAsia" w:ascii="仿宋" w:hAnsi="仿宋" w:eastAsia="仿宋" w:cs="宋体"/>
          <w:color w:val="auto"/>
          <w:sz w:val="24"/>
          <w:szCs w:val="24"/>
          <w:lang w:val="en-US" w:eastAsia="zh-CN"/>
        </w:rPr>
        <w:t>。</w:t>
      </w:r>
    </w:p>
    <w:p w14:paraId="1B668A3D">
      <w:pPr>
        <w:keepNext w:val="0"/>
        <w:keepLines w:val="0"/>
        <w:pageBreakBefore w:val="0"/>
        <w:kinsoku/>
        <w:wordWrap/>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lang w:val="en-US" w:eastAsia="zh-CN"/>
        </w:rPr>
        <w:t>2</w:t>
      </w:r>
      <w:r>
        <w:rPr>
          <w:rFonts w:hint="eastAsia" w:ascii="仿宋" w:hAnsi="仿宋" w:eastAsia="仿宋" w:cs="宋体"/>
          <w:color w:val="auto"/>
          <w:sz w:val="24"/>
          <w:szCs w:val="24"/>
        </w:rPr>
        <w:t>.</w:t>
      </w:r>
      <w:r>
        <w:rPr>
          <w:rFonts w:hint="eastAsia" w:ascii="仿宋" w:hAnsi="仿宋" w:eastAsia="仿宋" w:cs="宋体"/>
          <w:color w:val="auto"/>
          <w:sz w:val="24"/>
          <w:szCs w:val="24"/>
          <w:lang w:val="en-US" w:eastAsia="zh-CN"/>
        </w:rPr>
        <w:t>2</w:t>
      </w:r>
      <w:r>
        <w:rPr>
          <w:rFonts w:hint="eastAsia" w:ascii="仿宋" w:hAnsi="仿宋" w:eastAsia="仿宋" w:cs="宋体"/>
          <w:color w:val="auto"/>
          <w:sz w:val="24"/>
          <w:szCs w:val="24"/>
        </w:rPr>
        <w:t xml:space="preserve"> 服务期限：</w:t>
      </w:r>
      <w:r>
        <w:rPr>
          <w:rFonts w:hint="eastAsia" w:ascii="仿宋" w:hAnsi="仿宋" w:eastAsia="仿宋" w:cs="宋体"/>
          <w:color w:val="auto"/>
          <w:sz w:val="24"/>
          <w:szCs w:val="24"/>
          <w:lang w:val="en-US" w:eastAsia="zh-CN"/>
        </w:rPr>
        <w:t>自合同签订日期起6个月</w:t>
      </w:r>
      <w:r>
        <w:rPr>
          <w:rFonts w:hint="eastAsia" w:ascii="仿宋" w:hAnsi="仿宋" w:eastAsia="仿宋" w:cs="宋体"/>
          <w:color w:val="auto"/>
          <w:sz w:val="24"/>
          <w:szCs w:val="24"/>
        </w:rPr>
        <w:t>。</w:t>
      </w:r>
    </w:p>
    <w:p w14:paraId="215A797B">
      <w:pPr>
        <w:keepNext w:val="0"/>
        <w:keepLines w:val="0"/>
        <w:pageBreakBefore w:val="0"/>
        <w:kinsoku/>
        <w:wordWrap/>
        <w:overflowPunct/>
        <w:topLinePunct w:val="0"/>
        <w:autoSpaceDE/>
        <w:autoSpaceDN/>
        <w:bidi w:val="0"/>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2.3含税单价最高限价：11.5元/件，报价高于最高限价的，其响应将被否决。</w:t>
      </w:r>
    </w:p>
    <w:p w14:paraId="4F88D1F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default"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2.4</w:t>
      </w:r>
      <w:r>
        <w:rPr>
          <w:rFonts w:hint="default" w:ascii="仿宋" w:hAnsi="仿宋" w:eastAsia="仿宋" w:cs="宋体"/>
          <w:color w:val="000000"/>
          <w:kern w:val="2"/>
          <w:sz w:val="24"/>
          <w:szCs w:val="24"/>
          <w:lang w:val="en-US" w:eastAsia="zh-CN" w:bidi="ar-SA"/>
        </w:rPr>
        <w:t>采购</w:t>
      </w:r>
      <w:r>
        <w:rPr>
          <w:rFonts w:hint="eastAsia" w:ascii="仿宋" w:hAnsi="仿宋" w:eastAsia="仿宋" w:cs="宋体"/>
          <w:color w:val="000000"/>
          <w:kern w:val="2"/>
          <w:sz w:val="24"/>
          <w:szCs w:val="24"/>
          <w:lang w:val="en-US" w:eastAsia="zh-CN" w:bidi="ar-SA"/>
        </w:rPr>
        <w:t>拟</w:t>
      </w:r>
      <w:r>
        <w:rPr>
          <w:rFonts w:hint="default" w:ascii="仿宋" w:hAnsi="仿宋" w:eastAsia="仿宋" w:cs="宋体"/>
          <w:color w:val="000000"/>
          <w:kern w:val="2"/>
          <w:sz w:val="24"/>
          <w:szCs w:val="24"/>
          <w:lang w:val="en-US" w:eastAsia="zh-CN" w:bidi="ar-SA"/>
        </w:rPr>
        <w:t>针对现有理赔案件中的门诊和住院类低于</w:t>
      </w:r>
      <w:r>
        <w:rPr>
          <w:rFonts w:hint="eastAsia" w:ascii="仿宋" w:hAnsi="仿宋" w:eastAsia="仿宋" w:cs="宋体"/>
          <w:color w:val="000000"/>
          <w:kern w:val="2"/>
          <w:sz w:val="24"/>
          <w:szCs w:val="24"/>
          <w:lang w:val="en-US" w:eastAsia="zh-CN" w:bidi="ar-SA"/>
        </w:rPr>
        <w:t>小额</w:t>
      </w:r>
      <w:r>
        <w:rPr>
          <w:rFonts w:hint="default" w:ascii="仿宋" w:hAnsi="仿宋" w:eastAsia="仿宋" w:cs="宋体"/>
          <w:color w:val="000000"/>
          <w:kern w:val="2"/>
          <w:sz w:val="24"/>
          <w:szCs w:val="24"/>
          <w:lang w:val="en-US" w:eastAsia="zh-CN" w:bidi="ar-SA"/>
        </w:rPr>
        <w:t>理赔案件完成全流程自动化理赔服务。主要</w:t>
      </w:r>
      <w:r>
        <w:rPr>
          <w:rFonts w:hint="eastAsia" w:ascii="仿宋" w:hAnsi="仿宋" w:eastAsia="仿宋" w:cs="宋体"/>
          <w:color w:val="000000"/>
          <w:kern w:val="2"/>
          <w:sz w:val="24"/>
          <w:szCs w:val="24"/>
          <w:lang w:val="en-US" w:eastAsia="zh-CN" w:bidi="ar-SA"/>
        </w:rPr>
        <w:t>内容</w:t>
      </w:r>
      <w:r>
        <w:rPr>
          <w:rFonts w:hint="default" w:ascii="仿宋" w:hAnsi="仿宋" w:eastAsia="仿宋" w:cs="宋体"/>
          <w:color w:val="000000"/>
          <w:kern w:val="2"/>
          <w:sz w:val="24"/>
          <w:szCs w:val="24"/>
          <w:lang w:val="en-US" w:eastAsia="zh-CN" w:bidi="ar-SA"/>
        </w:rPr>
        <w:t>包括：</w:t>
      </w:r>
    </w:p>
    <w:p w14:paraId="58611BD8">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1、理赔信息的录入与理算</w:t>
      </w:r>
    </w:p>
    <w:p w14:paraId="1CF2C480">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按照核赔审核规则和保单约定协助进行案件信息录入和理算审核。</w:t>
      </w:r>
    </w:p>
    <w:p w14:paraId="046CAE80">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2、理赔档案整理</w:t>
      </w:r>
    </w:p>
    <w:p w14:paraId="65CA50B5">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按要求对已结案的案件书写核心系统案件号。</w:t>
      </w:r>
    </w:p>
    <w:p w14:paraId="734CCA01">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3、理赔数据分析</w:t>
      </w:r>
    </w:p>
    <w:p w14:paraId="0E881835">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定期提供完整的理赔数据分析报告和案件运营数据报表，可形成人群特征、保险责任、医疗机构、费用构成、疾病类别等多维度多层次的分析，对医疗行为和费用的分析建立风控数学模型，以及提供相关数据支持。</w:t>
      </w:r>
    </w:p>
    <w:p w14:paraId="5793ED03">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4、数据文件回传</w:t>
      </w:r>
    </w:p>
    <w:p w14:paraId="1A01CF5C">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理赔审核完成后，将扫描后的理赔数据和影像文件以双方商定的方式回传,涉及系统对接服务应满足接口规范要求。</w:t>
      </w:r>
    </w:p>
    <w:p w14:paraId="7CCD5641">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5、理赔通知短信邮件发送</w:t>
      </w:r>
    </w:p>
    <w:p w14:paraId="21A40F13">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按照要求向被保险人或投保人发送结案短信或结案邮件，通知赔付详情。</w:t>
      </w:r>
    </w:p>
    <w:p w14:paraId="2B21434D">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6、提供系统开发支持，进行系统对接，对系统开发需求，积极响应。</w:t>
      </w:r>
    </w:p>
    <w:p w14:paraId="245019AC">
      <w:pPr>
        <w:widowControl/>
        <w:adjustRightInd w:val="0"/>
        <w:snapToGrid w:val="0"/>
        <w:spacing w:line="360" w:lineRule="auto"/>
        <w:ind w:firstLine="480" w:firstLineChars="200"/>
        <w:rPr>
          <w:rFonts w:hint="eastAsia" w:ascii="仿宋" w:hAnsi="仿宋" w:eastAsia="仿宋" w:cs="宋体"/>
          <w:color w:val="000000"/>
          <w:kern w:val="2"/>
          <w:sz w:val="24"/>
          <w:szCs w:val="24"/>
          <w:lang w:val="en-US" w:eastAsia="zh-CN" w:bidi="ar-SA"/>
        </w:rPr>
      </w:pPr>
      <w:r>
        <w:rPr>
          <w:rFonts w:hint="eastAsia" w:ascii="仿宋" w:hAnsi="仿宋" w:eastAsia="仿宋" w:cs="宋体"/>
          <w:color w:val="000000"/>
          <w:kern w:val="2"/>
          <w:sz w:val="24"/>
          <w:szCs w:val="24"/>
          <w:lang w:val="en-US" w:eastAsia="zh-CN" w:bidi="ar-SA"/>
        </w:rPr>
        <w:t>7、配合做好效能、合规等方面监察工作。</w:t>
      </w:r>
    </w:p>
    <w:p w14:paraId="011C76FF">
      <w:pPr>
        <w:widowControl/>
        <w:adjustRightInd w:val="0"/>
        <w:snapToGrid w:val="0"/>
        <w:spacing w:line="360" w:lineRule="auto"/>
        <w:ind w:firstLine="480" w:firstLineChars="200"/>
        <w:rPr>
          <w:rFonts w:hint="default" w:ascii="仿宋" w:hAnsi="仿宋" w:eastAsia="仿宋" w:cs="宋体"/>
          <w:color w:val="000000"/>
          <w:kern w:val="2"/>
          <w:sz w:val="24"/>
          <w:szCs w:val="24"/>
          <w:lang w:val="en-US" w:eastAsia="zh-CN" w:bidi="ar-SA"/>
        </w:rPr>
      </w:pPr>
    </w:p>
    <w:p w14:paraId="1B5B6E8D">
      <w:pPr>
        <w:widowControl/>
        <w:adjustRightInd w:val="0"/>
        <w:snapToGrid w:val="0"/>
        <w:spacing w:line="360" w:lineRule="auto"/>
        <w:ind w:firstLine="480" w:firstLineChars="200"/>
        <w:rPr>
          <w:rFonts w:hint="eastAsia" w:ascii="仿宋" w:hAnsi="仿宋" w:eastAsia="仿宋" w:cs="仿宋"/>
          <w:sz w:val="24"/>
          <w:szCs w:val="24"/>
          <w:lang w:val="en-US" w:eastAsia="zh-CN"/>
        </w:rPr>
      </w:pPr>
    </w:p>
    <w:p w14:paraId="3C4E4B68">
      <w:pPr>
        <w:widowControl/>
        <w:adjustRightInd w:val="0"/>
        <w:snapToGrid w:val="0"/>
        <w:spacing w:line="360" w:lineRule="auto"/>
        <w:ind w:firstLine="480" w:firstLineChars="200"/>
        <w:rPr>
          <w:rFonts w:hint="eastAsia" w:ascii="仿宋" w:hAnsi="仿宋" w:eastAsia="仿宋" w:cs="仿宋"/>
          <w:sz w:val="24"/>
          <w:szCs w:val="24"/>
          <w:lang w:val="en-US" w:eastAsia="zh-CN"/>
        </w:rPr>
      </w:pPr>
    </w:p>
    <w:p w14:paraId="69C30ACB">
      <w:pPr>
        <w:pStyle w:val="17"/>
        <w:numPr>
          <w:ilvl w:val="0"/>
          <w:numId w:val="0"/>
        </w:numPr>
        <w:jc w:val="center"/>
        <w:outlineLvl w:val="0"/>
        <w:rPr>
          <w:rFonts w:hint="eastAsia" w:ascii="仿宋" w:hAnsi="仿宋" w:eastAsia="仿宋" w:cs="仿宋"/>
          <w:color w:val="000000"/>
          <w:sz w:val="28"/>
          <w:szCs w:val="28"/>
        </w:rPr>
      </w:pPr>
      <w:bookmarkStart w:id="124" w:name="_Toc15501"/>
      <w:bookmarkStart w:id="125" w:name="_Toc17564"/>
      <w:r>
        <w:rPr>
          <w:rFonts w:hint="eastAsia" w:ascii="仿宋" w:hAnsi="仿宋" w:eastAsia="仿宋" w:cs="仿宋"/>
          <w:b/>
          <w:bCs/>
          <w:kern w:val="44"/>
          <w:sz w:val="30"/>
          <w:szCs w:val="30"/>
          <w:lang w:val="en-US" w:eastAsia="zh-CN"/>
        </w:rPr>
        <w:t>第六章 响应文件格式</w:t>
      </w:r>
      <w:bookmarkEnd w:id="106"/>
      <w:bookmarkEnd w:id="107"/>
      <w:bookmarkEnd w:id="108"/>
      <w:bookmarkEnd w:id="109"/>
      <w:bookmarkEnd w:id="110"/>
      <w:bookmarkEnd w:id="111"/>
      <w:bookmarkEnd w:id="112"/>
      <w:bookmarkEnd w:id="124"/>
      <w:bookmarkEnd w:id="125"/>
    </w:p>
    <w:p w14:paraId="7EA73070">
      <w:pPr>
        <w:spacing w:line="360" w:lineRule="auto"/>
        <w:rPr>
          <w:rFonts w:hint="eastAsia" w:ascii="仿宋" w:hAnsi="仿宋" w:eastAsia="仿宋" w:cs="宋体"/>
          <w:b/>
          <w:color w:val="000000"/>
        </w:rPr>
      </w:pPr>
      <w:bookmarkStart w:id="126" w:name="_Hlk138594463"/>
      <w:bookmarkStart w:id="127" w:name="_Toc3936"/>
      <w:bookmarkStart w:id="128" w:name="_Toc21280"/>
      <w:bookmarkStart w:id="129" w:name="_Toc11783"/>
      <w:bookmarkStart w:id="130" w:name="_Toc19783362"/>
      <w:bookmarkStart w:id="131" w:name="_Toc517281836"/>
      <w:bookmarkStart w:id="132" w:name="_Toc444891353"/>
      <w:bookmarkStart w:id="133" w:name="_Toc287600131"/>
      <w:bookmarkStart w:id="134" w:name="_Toc25957"/>
      <w:bookmarkStart w:id="135" w:name="_Toc19910"/>
      <w:bookmarkStart w:id="136" w:name="_Toc19783360"/>
      <w:bookmarkStart w:id="137" w:name="_Toc287600129"/>
      <w:r>
        <w:rPr>
          <w:rFonts w:hint="eastAsia" w:ascii="仿宋" w:hAnsi="仿宋" w:eastAsia="仿宋" w:cs="宋体"/>
          <w:b/>
          <w:color w:val="000000"/>
          <w:sz w:val="24"/>
        </w:rPr>
        <w:t>封面格式</w:t>
      </w:r>
    </w:p>
    <w:tbl>
      <w:tblPr>
        <w:tblStyle w:val="40"/>
        <w:tblW w:w="0" w:type="auto"/>
        <w:jc w:val="center"/>
        <w:tblLayout w:type="fixed"/>
        <w:tblCellMar>
          <w:top w:w="0" w:type="dxa"/>
          <w:left w:w="108" w:type="dxa"/>
          <w:bottom w:w="0" w:type="dxa"/>
          <w:right w:w="108" w:type="dxa"/>
        </w:tblCellMar>
      </w:tblPr>
      <w:tblGrid>
        <w:gridCol w:w="9604"/>
      </w:tblGrid>
      <w:tr w14:paraId="7487B2F2">
        <w:tblPrEx>
          <w:tblCellMar>
            <w:top w:w="0" w:type="dxa"/>
            <w:left w:w="108" w:type="dxa"/>
            <w:bottom w:w="0" w:type="dxa"/>
            <w:right w:w="108" w:type="dxa"/>
          </w:tblCellMar>
        </w:tblPrEx>
        <w:trPr>
          <w:trHeight w:val="10007" w:hRule="atLeast"/>
          <w:jc w:val="center"/>
        </w:trPr>
        <w:tc>
          <w:tcPr>
            <w:tcW w:w="9604" w:type="dxa"/>
            <w:tcBorders>
              <w:top w:val="single" w:color="000000" w:sz="4" w:space="0"/>
              <w:left w:val="single" w:color="000000" w:sz="4" w:space="0"/>
              <w:bottom w:val="single" w:color="000000" w:sz="4" w:space="0"/>
              <w:right w:val="single" w:color="000000" w:sz="4" w:space="0"/>
            </w:tcBorders>
            <w:noWrap w:val="0"/>
            <w:vAlign w:val="top"/>
          </w:tcPr>
          <w:p w14:paraId="04B149CB">
            <w:pPr>
              <w:pStyle w:val="148"/>
              <w:spacing w:before="156" w:after="312"/>
              <w:ind w:right="508" w:firstLine="640"/>
              <w:jc w:val="right"/>
              <w:rPr>
                <w:rFonts w:hint="eastAsia" w:ascii="仿宋" w:hAnsi="仿宋" w:eastAsia="仿宋" w:cs="宋体"/>
                <w:color w:val="000000"/>
                <w:sz w:val="32"/>
              </w:rPr>
            </w:pPr>
            <w:bookmarkStart w:id="138" w:name="_Hlk138594448"/>
            <w:r>
              <w:rPr>
                <w:rFonts w:hint="eastAsia" w:ascii="仿宋" w:hAnsi="仿宋" w:eastAsia="仿宋" w:cs="宋体"/>
                <w:color w:val="000000"/>
                <w:sz w:val="32"/>
              </w:rPr>
              <w:t>正本/副本</w:t>
            </w:r>
          </w:p>
          <w:p w14:paraId="601ED89F">
            <w:pPr>
              <w:pStyle w:val="148"/>
              <w:spacing w:before="156" w:after="312"/>
              <w:ind w:right="-284" w:firstLine="640"/>
              <w:jc w:val="center"/>
              <w:rPr>
                <w:rFonts w:ascii="仿宋" w:hAnsi="仿宋" w:eastAsia="仿宋" w:cs="宋体"/>
                <w:color w:val="000000"/>
                <w:sz w:val="32"/>
                <w:u w:val="single"/>
              </w:rPr>
            </w:pPr>
            <w:r>
              <w:rPr>
                <w:rFonts w:hint="eastAsia" w:ascii="仿宋" w:hAnsi="仿宋" w:eastAsia="仿宋" w:cs="宋体"/>
                <w:color w:val="000000"/>
                <w:sz w:val="32"/>
                <w:u w:val="single"/>
              </w:rPr>
              <w:t xml:space="preserve">（项目名称） </w:t>
            </w:r>
            <w:r>
              <w:rPr>
                <w:rFonts w:ascii="仿宋" w:hAnsi="仿宋" w:eastAsia="仿宋" w:cs="宋体"/>
                <w:color w:val="000000"/>
                <w:sz w:val="32"/>
                <w:u w:val="single"/>
              </w:rPr>
              <w:t xml:space="preserve">   </w:t>
            </w:r>
            <w:r>
              <w:rPr>
                <w:rFonts w:hint="eastAsia" w:ascii="仿宋" w:hAnsi="仿宋" w:eastAsia="仿宋" w:cs="宋体"/>
                <w:color w:val="000000"/>
                <w:sz w:val="32"/>
              </w:rPr>
              <w:t>项目</w:t>
            </w:r>
          </w:p>
          <w:p w14:paraId="177B168E">
            <w:pPr>
              <w:pStyle w:val="148"/>
              <w:spacing w:before="240"/>
              <w:ind w:right="-284" w:firstLine="1302" w:firstLineChars="465"/>
              <w:rPr>
                <w:rFonts w:ascii="仿宋" w:hAnsi="仿宋" w:eastAsia="仿宋" w:cs="宋体"/>
                <w:color w:val="000000"/>
                <w:sz w:val="28"/>
              </w:rPr>
            </w:pPr>
            <w:r>
              <w:rPr>
                <w:rFonts w:hint="eastAsia" w:ascii="仿宋" w:hAnsi="仿宋" w:eastAsia="仿宋" w:cs="宋体"/>
                <w:color w:val="000000"/>
                <w:sz w:val="28"/>
              </w:rPr>
              <w:t>采购代理项目编号 :</w:t>
            </w:r>
            <w:r>
              <w:rPr>
                <w:rFonts w:hint="eastAsia" w:ascii="仿宋" w:hAnsi="仿宋" w:eastAsia="仿宋" w:cs="宋体"/>
                <w:color w:val="000000"/>
                <w:sz w:val="32"/>
                <w:u w:val="single"/>
              </w:rPr>
              <w:t xml:space="preserve"> </w:t>
            </w:r>
            <w:r>
              <w:rPr>
                <w:rFonts w:ascii="仿宋" w:hAnsi="仿宋" w:eastAsia="仿宋" w:cs="宋体"/>
                <w:color w:val="000000"/>
                <w:sz w:val="32"/>
                <w:u w:val="single"/>
              </w:rPr>
              <w:t xml:space="preserve">        </w:t>
            </w:r>
            <w:r>
              <w:rPr>
                <w:rFonts w:hint="eastAsia" w:ascii="仿宋" w:hAnsi="仿宋" w:eastAsia="仿宋" w:cs="宋体"/>
                <w:color w:val="000000"/>
                <w:sz w:val="32"/>
                <w:u w:val="single"/>
              </w:rPr>
              <w:t xml:space="preserve"> </w:t>
            </w:r>
            <w:r>
              <w:rPr>
                <w:rFonts w:ascii="仿宋" w:hAnsi="仿宋" w:eastAsia="仿宋" w:cs="宋体"/>
                <w:color w:val="000000"/>
                <w:sz w:val="32"/>
                <w:u w:val="single"/>
              </w:rPr>
              <w:t xml:space="preserve">        </w:t>
            </w:r>
          </w:p>
          <w:p w14:paraId="31B4C5D7">
            <w:pPr>
              <w:pStyle w:val="148"/>
              <w:spacing w:before="240" w:line="160" w:lineRule="atLeast"/>
              <w:ind w:right="-284" w:firstLine="1040"/>
              <w:jc w:val="center"/>
              <w:rPr>
                <w:rFonts w:ascii="仿宋" w:hAnsi="仿宋" w:eastAsia="仿宋" w:cs="宋体"/>
                <w:color w:val="000000"/>
                <w:sz w:val="52"/>
              </w:rPr>
            </w:pPr>
          </w:p>
          <w:p w14:paraId="0CA524A1">
            <w:pPr>
              <w:pStyle w:val="148"/>
              <w:spacing w:before="240" w:line="160" w:lineRule="atLeast"/>
              <w:ind w:right="-284" w:firstLine="1040"/>
              <w:jc w:val="center"/>
              <w:rPr>
                <w:rFonts w:hint="eastAsia" w:ascii="仿宋" w:hAnsi="仿宋" w:eastAsia="仿宋" w:cs="宋体"/>
                <w:color w:val="000000"/>
                <w:sz w:val="52"/>
              </w:rPr>
            </w:pPr>
            <w:r>
              <w:rPr>
                <w:rFonts w:hint="eastAsia" w:ascii="仿宋" w:hAnsi="仿宋" w:eastAsia="仿宋" w:cs="宋体"/>
                <w:color w:val="000000"/>
                <w:sz w:val="52"/>
              </w:rPr>
              <w:t>响应文件</w:t>
            </w:r>
          </w:p>
          <w:p w14:paraId="6E0EF67C">
            <w:pPr>
              <w:pStyle w:val="148"/>
              <w:spacing w:line="240" w:lineRule="atLeast"/>
              <w:ind w:firstLine="800"/>
              <w:jc w:val="center"/>
              <w:rPr>
                <w:rFonts w:hint="eastAsia" w:ascii="仿宋" w:hAnsi="仿宋" w:eastAsia="仿宋" w:cs="宋体"/>
                <w:color w:val="000000"/>
                <w:sz w:val="40"/>
              </w:rPr>
            </w:pPr>
          </w:p>
          <w:p w14:paraId="40B80DD4">
            <w:pPr>
              <w:pStyle w:val="148"/>
              <w:spacing w:before="1560" w:line="480" w:lineRule="auto"/>
              <w:ind w:right="-284" w:firstLine="480"/>
              <w:jc w:val="center"/>
              <w:rPr>
                <w:rFonts w:hint="eastAsia"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ascii="仿宋" w:hAnsi="仿宋" w:eastAsia="仿宋" w:cs="宋体"/>
                <w:color w:val="000000"/>
                <w:sz w:val="24"/>
                <w:u w:val="single"/>
              </w:rPr>
              <w:t xml:space="preserve">       </w:t>
            </w:r>
            <w:r>
              <w:rPr>
                <w:rFonts w:hint="eastAsia" w:ascii="仿宋" w:hAnsi="仿宋" w:eastAsia="仿宋" w:cs="宋体"/>
                <w:color w:val="000000"/>
                <w:sz w:val="24"/>
                <w:u w:val="single"/>
              </w:rPr>
              <w:t xml:space="preserve">（盖章） </w:t>
            </w:r>
          </w:p>
          <w:p w14:paraId="36008C8C">
            <w:pPr>
              <w:pStyle w:val="148"/>
              <w:spacing w:after="156" w:line="480" w:lineRule="auto"/>
              <w:ind w:right="-284" w:firstLine="480"/>
              <w:jc w:val="center"/>
              <w:rPr>
                <w:rFonts w:hint="eastAsia" w:ascii="仿宋" w:hAnsi="仿宋" w:eastAsia="仿宋" w:cs="宋体"/>
                <w:color w:val="000000"/>
                <w:sz w:val="24"/>
                <w:u w:val="single"/>
              </w:rPr>
            </w:pPr>
            <w:r>
              <w:rPr>
                <w:rFonts w:hint="eastAsia" w:ascii="仿宋" w:hAnsi="仿宋" w:eastAsia="仿宋" w:cs="宋体"/>
                <w:color w:val="000000"/>
                <w:sz w:val="24"/>
              </w:rPr>
              <w:t>法定代表人（负责人）或其委托的代理人：</w:t>
            </w:r>
            <w:r>
              <w:rPr>
                <w:rFonts w:hint="eastAsia" w:ascii="仿宋" w:hAnsi="仿宋" w:eastAsia="仿宋" w:cs="宋体"/>
                <w:color w:val="000000"/>
                <w:sz w:val="24"/>
                <w:u w:val="single"/>
              </w:rPr>
              <w:t>（签字或盖章）</w:t>
            </w:r>
          </w:p>
          <w:p w14:paraId="102D7CDD">
            <w:pPr>
              <w:pStyle w:val="148"/>
              <w:spacing w:after="156" w:line="480" w:lineRule="auto"/>
              <w:ind w:right="-284" w:firstLine="2160" w:firstLineChars="900"/>
              <w:rPr>
                <w:rFonts w:hint="eastAsia" w:ascii="仿宋" w:hAnsi="仿宋" w:eastAsia="仿宋" w:cs="宋体"/>
                <w:color w:val="000000"/>
                <w:sz w:val="24"/>
                <w:u w:val="single"/>
              </w:rPr>
            </w:pPr>
            <w:r>
              <w:rPr>
                <w:rFonts w:hint="eastAsia" w:ascii="仿宋" w:hAnsi="仿宋" w:eastAsia="仿宋" w:cs="宋体"/>
                <w:color w:val="000000"/>
                <w:sz w:val="24"/>
              </w:rPr>
              <w:t>供应商地址：</w:t>
            </w:r>
            <w:r>
              <w:rPr>
                <w:rFonts w:hint="eastAsia" w:ascii="仿宋" w:hAnsi="仿宋" w:eastAsia="仿宋" w:cs="宋体"/>
                <w:color w:val="000000"/>
                <w:sz w:val="24"/>
                <w:u w:val="single"/>
              </w:rPr>
              <w:t xml:space="preserve"> </w:t>
            </w:r>
            <w:r>
              <w:rPr>
                <w:rFonts w:ascii="仿宋" w:hAnsi="仿宋" w:eastAsia="仿宋" w:cs="宋体"/>
                <w:color w:val="000000"/>
                <w:sz w:val="24"/>
                <w:u w:val="single"/>
              </w:rPr>
              <w:t xml:space="preserve">                                </w:t>
            </w:r>
          </w:p>
          <w:p w14:paraId="015CF1A1">
            <w:pPr>
              <w:pStyle w:val="148"/>
              <w:spacing w:after="624"/>
              <w:ind w:right="-284" w:firstLine="480"/>
              <w:jc w:val="center"/>
              <w:rPr>
                <w:rFonts w:hint="eastAsia" w:ascii="仿宋" w:hAnsi="仿宋" w:eastAsia="仿宋" w:cs="宋体"/>
                <w:color w:val="000000"/>
              </w:rPr>
            </w:pPr>
            <w:r>
              <w:rPr>
                <w:rFonts w:hint="eastAsia" w:ascii="仿宋" w:hAnsi="仿宋" w:eastAsia="仿宋" w:cs="宋体"/>
                <w:color w:val="000000"/>
                <w:sz w:val="24"/>
              </w:rPr>
              <w:t xml:space="preserve">年     月   </w:t>
            </w:r>
            <w:r>
              <w:rPr>
                <w:rFonts w:ascii="仿宋" w:hAnsi="仿宋" w:eastAsia="仿宋" w:cs="宋体"/>
                <w:color w:val="000000"/>
                <w:sz w:val="24"/>
              </w:rPr>
              <w:t xml:space="preserve"> </w:t>
            </w:r>
            <w:r>
              <w:rPr>
                <w:rFonts w:hint="eastAsia" w:ascii="仿宋" w:hAnsi="仿宋" w:eastAsia="仿宋" w:cs="宋体"/>
                <w:color w:val="000000"/>
                <w:sz w:val="24"/>
              </w:rPr>
              <w:t xml:space="preserve"> 日</w:t>
            </w:r>
          </w:p>
        </w:tc>
      </w:tr>
      <w:bookmarkEnd w:id="138"/>
    </w:tbl>
    <w:p w14:paraId="248F2FDA">
      <w:pPr>
        <w:spacing w:line="360" w:lineRule="auto"/>
        <w:rPr>
          <w:rFonts w:hint="eastAsia" w:ascii="仿宋" w:hAnsi="仿宋" w:eastAsia="仿宋" w:cs="宋体"/>
          <w:b/>
          <w:color w:val="000000"/>
          <w:sz w:val="24"/>
        </w:rPr>
      </w:pPr>
      <w:r>
        <w:rPr>
          <w:rFonts w:hint="eastAsia" w:ascii="仿宋" w:hAnsi="仿宋" w:eastAsia="仿宋" w:cs="宋体"/>
          <w:b/>
          <w:color w:val="000000"/>
          <w:sz w:val="24"/>
        </w:rPr>
        <w:t>格式：封口</w:t>
      </w:r>
    </w:p>
    <w:tbl>
      <w:tblPr>
        <w:tblStyle w:val="40"/>
        <w:tblW w:w="0" w:type="auto"/>
        <w:tblInd w:w="0" w:type="dxa"/>
        <w:tblLayout w:type="fixed"/>
        <w:tblCellMar>
          <w:top w:w="0" w:type="dxa"/>
          <w:left w:w="108" w:type="dxa"/>
          <w:bottom w:w="0" w:type="dxa"/>
          <w:right w:w="108" w:type="dxa"/>
        </w:tblCellMar>
      </w:tblPr>
      <w:tblGrid>
        <w:gridCol w:w="9854"/>
      </w:tblGrid>
      <w:tr w14:paraId="1F82450C">
        <w:tblPrEx>
          <w:tblCellMar>
            <w:top w:w="0" w:type="dxa"/>
            <w:left w:w="108" w:type="dxa"/>
            <w:bottom w:w="0" w:type="dxa"/>
            <w:right w:w="108" w:type="dxa"/>
          </w:tblCellMar>
        </w:tblPrEx>
        <w:trPr>
          <w:trHeight w:val="1503" w:hRule="atLeast"/>
        </w:trPr>
        <w:tc>
          <w:tcPr>
            <w:tcW w:w="9854" w:type="dxa"/>
            <w:tcBorders>
              <w:top w:val="single" w:color="000000" w:sz="4" w:space="0"/>
              <w:left w:val="single" w:color="000000" w:sz="4" w:space="0"/>
              <w:bottom w:val="single" w:color="000000" w:sz="4" w:space="0"/>
              <w:right w:val="single" w:color="000000" w:sz="4" w:space="0"/>
            </w:tcBorders>
            <w:noWrap w:val="0"/>
            <w:vAlign w:val="center"/>
          </w:tcPr>
          <w:p w14:paraId="423F8EF0">
            <w:pPr>
              <w:pStyle w:val="148"/>
              <w:ind w:right="-284" w:firstLine="422"/>
              <w:jc w:val="center"/>
              <w:rPr>
                <w:rFonts w:hint="eastAsia" w:ascii="仿宋" w:hAnsi="仿宋" w:eastAsia="仿宋" w:cs="宋体"/>
                <w:b/>
                <w:color w:val="000000"/>
              </w:rPr>
            </w:pPr>
            <w:r>
              <w:rPr>
                <w:rFonts w:hint="eastAsia" w:ascii="仿宋" w:hAnsi="仿宋" w:eastAsia="仿宋" w:cs="宋体"/>
                <w:b/>
                <w:color w:val="000000"/>
              </w:rPr>
              <w:t xml:space="preserve">-------------于 </w:t>
            </w:r>
            <w:r>
              <w:rPr>
                <w:rFonts w:ascii="仿宋" w:hAnsi="仿宋" w:eastAsia="仿宋" w:cs="宋体"/>
                <w:b/>
                <w:color w:val="000000"/>
              </w:rPr>
              <w:t xml:space="preserve">   </w:t>
            </w:r>
            <w:r>
              <w:rPr>
                <w:rFonts w:hint="eastAsia" w:ascii="仿宋" w:hAnsi="仿宋" w:eastAsia="仿宋" w:cs="宋体"/>
                <w:b/>
                <w:color w:val="000000"/>
              </w:rPr>
              <w:t xml:space="preserve">年 </w:t>
            </w:r>
            <w:r>
              <w:rPr>
                <w:rFonts w:ascii="仿宋" w:hAnsi="仿宋" w:eastAsia="仿宋" w:cs="宋体"/>
                <w:b/>
                <w:color w:val="000000"/>
              </w:rPr>
              <w:t xml:space="preserve">  </w:t>
            </w:r>
            <w:r>
              <w:rPr>
                <w:rFonts w:hint="eastAsia" w:ascii="仿宋" w:hAnsi="仿宋" w:eastAsia="仿宋" w:cs="宋体"/>
                <w:b/>
                <w:color w:val="000000"/>
              </w:rPr>
              <w:t xml:space="preserve">月 </w:t>
            </w:r>
            <w:r>
              <w:rPr>
                <w:rFonts w:ascii="仿宋" w:hAnsi="仿宋" w:eastAsia="仿宋" w:cs="宋体"/>
                <w:b/>
                <w:color w:val="000000"/>
              </w:rPr>
              <w:t xml:space="preserve">  </w:t>
            </w:r>
            <w:r>
              <w:rPr>
                <w:rFonts w:hint="eastAsia" w:ascii="仿宋" w:hAnsi="仿宋" w:eastAsia="仿宋" w:cs="宋体"/>
                <w:b/>
                <w:color w:val="000000"/>
              </w:rPr>
              <w:t xml:space="preserve">日 </w:t>
            </w:r>
            <w:r>
              <w:rPr>
                <w:rFonts w:ascii="仿宋" w:hAnsi="仿宋" w:eastAsia="仿宋" w:cs="宋体"/>
                <w:b/>
                <w:color w:val="000000"/>
              </w:rPr>
              <w:t xml:space="preserve">  </w:t>
            </w:r>
            <w:r>
              <w:rPr>
                <w:rFonts w:hint="eastAsia" w:ascii="仿宋" w:hAnsi="仿宋" w:eastAsia="仿宋" w:cs="宋体"/>
                <w:b/>
                <w:color w:val="000000"/>
              </w:rPr>
              <w:t xml:space="preserve">时 </w:t>
            </w:r>
            <w:r>
              <w:rPr>
                <w:rFonts w:ascii="仿宋" w:hAnsi="仿宋" w:eastAsia="仿宋" w:cs="宋体"/>
                <w:b/>
                <w:color w:val="000000"/>
              </w:rPr>
              <w:t xml:space="preserve">  </w:t>
            </w:r>
            <w:r>
              <w:rPr>
                <w:rFonts w:hint="eastAsia" w:ascii="仿宋" w:hAnsi="仿宋" w:eastAsia="仿宋" w:cs="宋体"/>
                <w:b/>
                <w:color w:val="000000"/>
              </w:rPr>
              <w:t>分之前不准启封（公章）------------</w:t>
            </w:r>
          </w:p>
        </w:tc>
      </w:tr>
    </w:tbl>
    <w:p w14:paraId="55A9C58F">
      <w:pPr>
        <w:spacing w:line="360" w:lineRule="auto"/>
        <w:rPr>
          <w:rFonts w:hint="eastAsia" w:ascii="仿宋" w:hAnsi="仿宋" w:eastAsia="仿宋" w:cs="宋体"/>
          <w:color w:val="000000"/>
        </w:rPr>
      </w:pPr>
    </w:p>
    <w:bookmarkEnd w:id="126"/>
    <w:p w14:paraId="216DE5B3">
      <w:pPr>
        <w:pStyle w:val="3"/>
        <w:numPr>
          <w:ilvl w:val="0"/>
          <w:numId w:val="6"/>
        </w:numPr>
        <w:ind w:firstLineChars="0"/>
        <w:jc w:val="both"/>
        <w:rPr>
          <w:rFonts w:ascii="仿宋" w:hAnsi="仿宋" w:eastAsia="仿宋" w:cs="仿宋"/>
          <w:color w:val="000000"/>
          <w:sz w:val="24"/>
          <w:szCs w:val="24"/>
        </w:rPr>
      </w:pPr>
      <w:bookmarkStart w:id="139" w:name="_Toc31372"/>
      <w:bookmarkStart w:id="140" w:name="_Toc26640"/>
      <w:r>
        <w:rPr>
          <w:rFonts w:hint="eastAsia" w:ascii="仿宋" w:hAnsi="仿宋" w:eastAsia="仿宋" w:cs="仿宋"/>
          <w:color w:val="000000"/>
          <w:sz w:val="24"/>
          <w:szCs w:val="24"/>
        </w:rPr>
        <w:t>商务文件</w:t>
      </w:r>
      <w:bookmarkEnd w:id="127"/>
      <w:bookmarkEnd w:id="139"/>
      <w:bookmarkEnd w:id="140"/>
    </w:p>
    <w:bookmarkEnd w:id="128"/>
    <w:bookmarkEnd w:id="129"/>
    <w:bookmarkEnd w:id="130"/>
    <w:bookmarkEnd w:id="131"/>
    <w:bookmarkEnd w:id="132"/>
    <w:bookmarkEnd w:id="133"/>
    <w:bookmarkEnd w:id="134"/>
    <w:bookmarkEnd w:id="135"/>
    <w:p w14:paraId="49754FDF">
      <w:pPr>
        <w:pStyle w:val="4"/>
        <w:spacing w:before="0" w:after="0" w:line="360" w:lineRule="auto"/>
        <w:rPr>
          <w:rFonts w:hint="eastAsia" w:ascii="仿宋" w:hAnsi="仿宋" w:eastAsia="仿宋" w:cs="仿宋"/>
          <w:color w:val="000000"/>
          <w:sz w:val="24"/>
          <w:szCs w:val="24"/>
        </w:rPr>
      </w:pPr>
      <w:bookmarkStart w:id="141" w:name="_Toc11933"/>
      <w:bookmarkStart w:id="142" w:name="_Toc131"/>
      <w:bookmarkStart w:id="143" w:name="_Toc12140"/>
      <w:bookmarkStart w:id="144" w:name="_Toc27799"/>
      <w:bookmarkStart w:id="145" w:name="_Toc517281837"/>
      <w:bookmarkStart w:id="146" w:name="_Toc25121"/>
      <w:bookmarkStart w:id="147" w:name="_Toc7202"/>
      <w:bookmarkStart w:id="148" w:name="_Toc444891354"/>
      <w:r>
        <w:rPr>
          <w:rFonts w:hint="eastAsia" w:ascii="仿宋" w:hAnsi="仿宋" w:eastAsia="仿宋" w:cs="仿宋"/>
          <w:color w:val="000000"/>
          <w:sz w:val="24"/>
          <w:szCs w:val="24"/>
        </w:rPr>
        <w:t>（一）响应函</w:t>
      </w:r>
      <w:bookmarkEnd w:id="141"/>
      <w:bookmarkEnd w:id="142"/>
    </w:p>
    <w:p w14:paraId="1DF07C08">
      <w:pPr>
        <w:pStyle w:val="148"/>
        <w:spacing w:line="360" w:lineRule="auto"/>
        <w:rPr>
          <w:rFonts w:hint="eastAsia" w:ascii="仿宋" w:hAnsi="仿宋" w:eastAsia="仿宋" w:cs="Cambria Math"/>
          <w:color w:val="000000"/>
          <w:sz w:val="24"/>
          <w:szCs w:val="24"/>
        </w:rPr>
      </w:pPr>
      <w:r>
        <w:rPr>
          <w:rFonts w:hint="eastAsia" w:ascii="仿宋" w:hAnsi="仿宋" w:eastAsia="仿宋" w:cs="Cambria Math"/>
          <w:color w:val="000000"/>
          <w:sz w:val="24"/>
          <w:szCs w:val="24"/>
          <w:u w:val="single"/>
        </w:rPr>
        <w:t xml:space="preserve">致：（采购人名称）       </w:t>
      </w:r>
    </w:p>
    <w:p w14:paraId="19FDDBA2">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u w:val="single"/>
        </w:rPr>
        <w:t xml:space="preserve">   （供应商名称）   </w:t>
      </w:r>
      <w:r>
        <w:rPr>
          <w:rFonts w:hint="eastAsia" w:ascii="仿宋" w:hAnsi="仿宋" w:eastAsia="仿宋" w:cs="Cambria Math"/>
          <w:color w:val="000000"/>
          <w:kern w:val="0"/>
          <w:sz w:val="24"/>
        </w:rPr>
        <w:t>（以下称“我方”）已仔细研究了</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 xml:space="preserve">（项目名称）    </w:t>
      </w:r>
      <w:r>
        <w:rPr>
          <w:rFonts w:hint="eastAsia" w:ascii="仿宋" w:hAnsi="仿宋" w:eastAsia="仿宋" w:cs="Cambria Math"/>
          <w:color w:val="000000"/>
          <w:kern w:val="0"/>
          <w:sz w:val="24"/>
        </w:rPr>
        <w:t>竞争性</w:t>
      </w:r>
      <w:r>
        <w:rPr>
          <w:rFonts w:hint="eastAsia" w:ascii="仿宋" w:hAnsi="仿宋" w:eastAsia="仿宋" w:cs="Cambria Math"/>
          <w:color w:val="000000"/>
          <w:kern w:val="0"/>
          <w:sz w:val="24"/>
          <w:lang w:eastAsia="zh-CN"/>
        </w:rPr>
        <w:t>采购文件</w:t>
      </w:r>
      <w:r>
        <w:rPr>
          <w:rFonts w:hint="eastAsia" w:ascii="仿宋" w:hAnsi="仿宋" w:eastAsia="仿宋" w:cs="Cambria Math"/>
          <w:color w:val="000000"/>
          <w:kern w:val="0"/>
          <w:sz w:val="24"/>
        </w:rPr>
        <w:t>的全部内容，包括澄清或者修改文件以及有关附件，我方将严格按照竞争性</w:t>
      </w:r>
      <w:r>
        <w:rPr>
          <w:rFonts w:hint="eastAsia" w:ascii="仿宋" w:hAnsi="仿宋" w:eastAsia="仿宋" w:cs="Cambria Math"/>
          <w:color w:val="000000"/>
          <w:kern w:val="0"/>
          <w:sz w:val="24"/>
          <w:lang w:eastAsia="zh-CN"/>
        </w:rPr>
        <w:t>采购文件</w:t>
      </w:r>
      <w:r>
        <w:rPr>
          <w:rFonts w:hint="eastAsia" w:ascii="仿宋" w:hAnsi="仿宋" w:eastAsia="仿宋" w:cs="Cambria Math"/>
          <w:color w:val="000000"/>
          <w:kern w:val="0"/>
          <w:sz w:val="24"/>
        </w:rPr>
        <w:t>要求递交符合要求的全部响应文件。</w:t>
      </w:r>
    </w:p>
    <w:p w14:paraId="387FB715">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rPr>
        <w:t>现我方承诺如下内容：</w:t>
      </w:r>
    </w:p>
    <w:p w14:paraId="33BFBA27">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rPr>
        <w:t>1. 本响应函及响应文件自响应文件递交截止之日起180个日历日，我方承诺在磋商响应有效期内不修改、撤销响应文件。</w:t>
      </w:r>
    </w:p>
    <w:p w14:paraId="7F880EB6">
      <w:pPr>
        <w:widowControl/>
        <w:spacing w:line="360" w:lineRule="auto"/>
        <w:ind w:firstLine="420"/>
        <w:rPr>
          <w:rFonts w:ascii="仿宋" w:hAnsi="仿宋" w:eastAsia="仿宋" w:cs="仿宋"/>
          <w:color w:val="000000"/>
          <w:kern w:val="0"/>
          <w:sz w:val="24"/>
        </w:rPr>
      </w:pPr>
      <w:r>
        <w:rPr>
          <w:rFonts w:hint="eastAsia" w:ascii="仿宋" w:hAnsi="仿宋" w:eastAsia="仿宋" w:cs="仿宋"/>
          <w:color w:val="000000"/>
          <w:kern w:val="0"/>
          <w:sz w:val="24"/>
        </w:rPr>
        <w:t>2.</w:t>
      </w:r>
      <w:r>
        <w:rPr>
          <w:rFonts w:ascii="仿宋" w:hAnsi="仿宋" w:eastAsia="仿宋" w:cs="仿宋"/>
          <w:color w:val="000000"/>
          <w:kern w:val="0"/>
          <w:sz w:val="24"/>
        </w:rPr>
        <w:t xml:space="preserve"> </w:t>
      </w:r>
      <w:r>
        <w:rPr>
          <w:rFonts w:hint="eastAsia" w:ascii="仿宋" w:hAnsi="仿宋" w:eastAsia="仿宋" w:cs="宋体"/>
          <w:color w:val="000000"/>
          <w:kern w:val="0"/>
          <w:sz w:val="24"/>
        </w:rPr>
        <w:t>我方承诺提供磋商过程中可能要求的澄清、说明、补正或者算术性错误修正确认，并同意我方提供的以上材料构成我方响应文件的组成部分。</w:t>
      </w:r>
    </w:p>
    <w:p w14:paraId="4C652FC7">
      <w:pPr>
        <w:widowControl/>
        <w:spacing w:line="360" w:lineRule="auto"/>
        <w:ind w:firstLine="420"/>
        <w:rPr>
          <w:rFonts w:ascii="仿宋" w:hAnsi="仿宋" w:eastAsia="仿宋" w:cs="宋体"/>
          <w:color w:val="000000"/>
          <w:kern w:val="0"/>
          <w:sz w:val="24"/>
        </w:rPr>
      </w:pPr>
      <w:r>
        <w:rPr>
          <w:rFonts w:hint="eastAsia" w:ascii="仿宋" w:hAnsi="仿宋" w:eastAsia="仿宋" w:cs="宋体"/>
          <w:color w:val="000000"/>
          <w:kern w:val="0"/>
          <w:sz w:val="24"/>
        </w:rPr>
        <w:t>3.</w:t>
      </w:r>
      <w:r>
        <w:rPr>
          <w:rFonts w:ascii="仿宋" w:hAnsi="仿宋" w:eastAsia="仿宋" w:cs="宋体"/>
          <w:color w:val="000000"/>
          <w:kern w:val="0"/>
          <w:sz w:val="24"/>
        </w:rPr>
        <w:t xml:space="preserve"> </w:t>
      </w:r>
      <w:r>
        <w:rPr>
          <w:rFonts w:hint="eastAsia" w:ascii="仿宋" w:hAnsi="仿宋" w:eastAsia="仿宋" w:cs="宋体"/>
          <w:color w:val="000000"/>
          <w:kern w:val="0"/>
          <w:sz w:val="24"/>
        </w:rPr>
        <w:t>我方同意提供贵方可能要求的与我方响应文件有关的一切数据、资料、证明原件、证件原件，并完全理解贵方不一定接受最低价的响应。</w:t>
      </w:r>
    </w:p>
    <w:p w14:paraId="280513E7">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4</w:t>
      </w:r>
      <w:r>
        <w:rPr>
          <w:rFonts w:hint="eastAsia" w:ascii="仿宋" w:hAnsi="仿宋" w:eastAsia="仿宋" w:cs="Cambria Math"/>
          <w:color w:val="000000"/>
          <w:kern w:val="0"/>
          <w:sz w:val="24"/>
        </w:rPr>
        <w:t>．我方承诺对在本次采购活动过程中所获知贵方一切商业秘密保密，不会向任何第三方泄露，不会用于本次采购活动之外的任何其他目的。</w:t>
      </w:r>
    </w:p>
    <w:p w14:paraId="24556F45">
      <w:pPr>
        <w:widowControl/>
        <w:spacing w:line="360" w:lineRule="auto"/>
        <w:ind w:firstLine="420"/>
        <w:rPr>
          <w:rFonts w:ascii="仿宋" w:hAnsi="仿宋" w:eastAsia="仿宋" w:cs="宋体"/>
          <w:color w:val="000000"/>
          <w:kern w:val="0"/>
          <w:sz w:val="24"/>
        </w:rPr>
      </w:pPr>
      <w:r>
        <w:rPr>
          <w:rFonts w:hint="eastAsia" w:ascii="仿宋" w:hAnsi="仿宋" w:eastAsia="仿宋" w:cs="宋体"/>
          <w:color w:val="000000"/>
          <w:kern w:val="0"/>
          <w:sz w:val="24"/>
        </w:rPr>
        <w:t>5．我方承诺对所递交的响应文件及有关材料的真实性、合法性、完整性、准确性承担法律责任。如有弄虚作假、串通投标、行贿等违法违规行为，将承担相应的法律责任，并赔偿由此给贵方造成的一切损失。</w:t>
      </w:r>
    </w:p>
    <w:p w14:paraId="6350DD5F">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6. 如我方成交：</w:t>
      </w:r>
    </w:p>
    <w:p w14:paraId="19235D12">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（1）我方承诺在收到成交通知书后，在成交通知书规定的期限内与贵方签订合同。</w:t>
      </w:r>
    </w:p>
    <w:p w14:paraId="554ADAE1">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（2）我方承诺按照竞争性</w:t>
      </w:r>
      <w:r>
        <w:rPr>
          <w:rFonts w:hint="eastAsia" w:ascii="仿宋" w:hAnsi="仿宋" w:eastAsia="仿宋" w:cs="Cambria Math"/>
          <w:color w:val="000000"/>
          <w:kern w:val="0"/>
          <w:sz w:val="24"/>
          <w:lang w:eastAsia="zh-CN"/>
        </w:rPr>
        <w:t>采购文件</w:t>
      </w:r>
      <w:r>
        <w:rPr>
          <w:rFonts w:hint="eastAsia" w:ascii="仿宋" w:hAnsi="仿宋" w:eastAsia="仿宋" w:cs="Cambria Math"/>
          <w:color w:val="000000"/>
          <w:kern w:val="0"/>
          <w:sz w:val="24"/>
        </w:rPr>
        <w:t>规定递交履约保证金、支付采购代理服务费。</w:t>
      </w:r>
    </w:p>
    <w:p w14:paraId="68B08673">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（3）我方承诺按照竞争性</w:t>
      </w:r>
      <w:r>
        <w:rPr>
          <w:rFonts w:hint="eastAsia" w:ascii="仿宋" w:hAnsi="仿宋" w:eastAsia="仿宋" w:cs="Cambria Math"/>
          <w:color w:val="000000"/>
          <w:kern w:val="0"/>
          <w:sz w:val="24"/>
          <w:lang w:eastAsia="zh-CN"/>
        </w:rPr>
        <w:t>采购文件</w:t>
      </w:r>
      <w:r>
        <w:rPr>
          <w:rFonts w:hint="eastAsia" w:ascii="仿宋" w:hAnsi="仿宋" w:eastAsia="仿宋" w:cs="Cambria Math"/>
          <w:color w:val="000000"/>
          <w:kern w:val="0"/>
          <w:sz w:val="24"/>
        </w:rPr>
        <w:t>的规定及合同约定履行相关责任和义务。</w:t>
      </w:r>
    </w:p>
    <w:p w14:paraId="7BDF6B44">
      <w:pPr>
        <w:widowControl/>
        <w:spacing w:line="360" w:lineRule="auto"/>
        <w:ind w:firstLine="420"/>
        <w:rPr>
          <w:rFonts w:ascii="仿宋" w:hAnsi="仿宋" w:eastAsia="仿宋" w:cs="宋体"/>
          <w:color w:val="000000"/>
          <w:kern w:val="0"/>
          <w:sz w:val="24"/>
        </w:rPr>
      </w:pPr>
      <w:r>
        <w:rPr>
          <w:rFonts w:hint="eastAsia" w:ascii="仿宋" w:hAnsi="仿宋" w:eastAsia="仿宋" w:cs="宋体"/>
          <w:color w:val="000000"/>
          <w:kern w:val="0"/>
          <w:sz w:val="24"/>
        </w:rPr>
        <w:t>（4）我方承诺双方合作后，我方可开具增值税专用发票。</w:t>
      </w:r>
    </w:p>
    <w:p w14:paraId="67061E40">
      <w:pPr>
        <w:spacing w:line="360" w:lineRule="auto"/>
        <w:ind w:firstLine="4080" w:firstLineChars="1700"/>
        <w:jc w:val="right"/>
        <w:rPr>
          <w:rFonts w:ascii="仿宋" w:hAnsi="仿宋" w:eastAsia="仿宋" w:cs="仿宋"/>
          <w:color w:val="000000"/>
          <w:sz w:val="24"/>
        </w:rPr>
      </w:pPr>
    </w:p>
    <w:p w14:paraId="03980349">
      <w:pPr>
        <w:spacing w:line="360" w:lineRule="auto"/>
        <w:ind w:firstLine="4080" w:firstLineChars="1700"/>
        <w:jc w:val="right"/>
        <w:rPr>
          <w:rFonts w:hint="eastAsia"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14:paraId="41897B36">
      <w:pPr>
        <w:spacing w:line="360" w:lineRule="auto"/>
        <w:jc w:val="right"/>
        <w:rPr>
          <w:rFonts w:hint="eastAsia" w:ascii="仿宋" w:hAnsi="仿宋" w:eastAsia="仿宋" w:cs="仿宋"/>
          <w:color w:val="000000"/>
          <w:sz w:val="24"/>
        </w:rPr>
      </w:pPr>
      <w:r>
        <w:rPr>
          <w:rFonts w:hint="eastAsia" w:ascii="仿宋" w:hAnsi="仿宋" w:eastAsia="仿宋" w:cs="仿宋"/>
          <w:color w:val="000000"/>
          <w:sz w:val="24"/>
        </w:rPr>
        <w:t>法定代表人（负责人）或委托代理人：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（签字或盖章）</w:t>
      </w:r>
    </w:p>
    <w:p w14:paraId="1ECD3CFD">
      <w:pPr>
        <w:spacing w:line="360" w:lineRule="auto"/>
        <w:jc w:val="right"/>
        <w:rPr>
          <w:rFonts w:hint="eastAsia"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bookmarkEnd w:id="136"/>
    <w:bookmarkEnd w:id="137"/>
    <w:bookmarkEnd w:id="143"/>
    <w:bookmarkEnd w:id="144"/>
    <w:bookmarkEnd w:id="145"/>
    <w:bookmarkEnd w:id="146"/>
    <w:bookmarkEnd w:id="147"/>
    <w:bookmarkEnd w:id="148"/>
    <w:p w14:paraId="66C1D09F">
      <w:pPr>
        <w:rPr>
          <w:rFonts w:hint="eastAsia"/>
        </w:rPr>
      </w:pPr>
    </w:p>
    <w:p w14:paraId="6C3A64EA">
      <w:pPr>
        <w:pStyle w:val="4"/>
        <w:spacing w:before="0" w:after="0" w:line="360" w:lineRule="auto"/>
        <w:rPr>
          <w:rFonts w:hint="eastAsia" w:ascii="仿宋" w:hAnsi="仿宋" w:eastAsia="仿宋" w:cs="仿宋"/>
          <w:color w:val="000000"/>
          <w:sz w:val="24"/>
          <w:szCs w:val="24"/>
        </w:rPr>
      </w:pPr>
      <w:bookmarkStart w:id="149" w:name="_Toc19708"/>
      <w:r>
        <w:rPr>
          <w:rFonts w:hint="eastAsia" w:ascii="仿宋" w:hAnsi="仿宋" w:eastAsia="仿宋" w:cs="仿宋"/>
          <w:color w:val="000000"/>
          <w:sz w:val="24"/>
          <w:szCs w:val="24"/>
        </w:rPr>
        <w:br w:type="page"/>
      </w:r>
      <w:bookmarkStart w:id="150" w:name="_Toc15376"/>
      <w:bookmarkStart w:id="151" w:name="_Toc25392"/>
      <w:r>
        <w:rPr>
          <w:rFonts w:hint="eastAsia" w:ascii="仿宋" w:hAnsi="仿宋" w:eastAsia="仿宋" w:cs="仿宋"/>
          <w:color w:val="000000"/>
          <w:sz w:val="24"/>
          <w:szCs w:val="24"/>
        </w:rPr>
        <w:t>（二）法定代表人授权委托书</w:t>
      </w:r>
      <w:bookmarkEnd w:id="149"/>
      <w:bookmarkEnd w:id="150"/>
      <w:bookmarkEnd w:id="151"/>
    </w:p>
    <w:p w14:paraId="52DD43C1">
      <w:pPr>
        <w:pStyle w:val="148"/>
        <w:spacing w:before="240" w:after="240" w:line="360" w:lineRule="auto"/>
        <w:jc w:val="center"/>
        <w:rPr>
          <w:rFonts w:hint="eastAsia" w:ascii="仿宋" w:hAnsi="仿宋" w:eastAsia="仿宋" w:cs="Cambria Math"/>
          <w:b/>
          <w:color w:val="000000"/>
          <w:sz w:val="24"/>
          <w:szCs w:val="24"/>
        </w:rPr>
      </w:pPr>
      <w:bookmarkStart w:id="152" w:name="_Toc9801"/>
      <w:bookmarkStart w:id="153" w:name="_Toc27582"/>
      <w:bookmarkStart w:id="154" w:name="_Toc15844"/>
      <w:bookmarkStart w:id="155" w:name="_Toc79165586"/>
      <w:r>
        <w:rPr>
          <w:rFonts w:hint="eastAsia" w:ascii="仿宋" w:hAnsi="仿宋" w:eastAsia="仿宋" w:cs="Cambria Math"/>
          <w:b/>
          <w:color w:val="000000"/>
          <w:sz w:val="24"/>
          <w:szCs w:val="24"/>
        </w:rPr>
        <w:t>法定代表人（负责人）授权委托书</w:t>
      </w:r>
    </w:p>
    <w:p w14:paraId="72281326">
      <w:pPr>
        <w:pStyle w:val="148"/>
        <w:topLinePunct/>
        <w:spacing w:line="360" w:lineRule="auto"/>
        <w:ind w:firstLine="480" w:firstLineChars="200"/>
        <w:rPr>
          <w:rFonts w:hint="eastAsia"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的法定代表人（负责人），现授权委托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响应文件、签订合同和处理有关事宜，其法律后果由我方承担。</w:t>
      </w:r>
    </w:p>
    <w:p w14:paraId="3D27FF05">
      <w:pPr>
        <w:widowControl/>
        <w:spacing w:line="360" w:lineRule="auto"/>
        <w:ind w:firstLine="480" w:firstLineChars="200"/>
        <w:jc w:val="left"/>
        <w:rPr>
          <w:rFonts w:hint="eastAsia" w:ascii="仿宋" w:hAnsi="仿宋" w:eastAsia="仿宋" w:cs="Cambria Math"/>
          <w:color w:val="000000"/>
          <w:kern w:val="0"/>
          <w:sz w:val="24"/>
        </w:rPr>
      </w:pPr>
      <w:r>
        <w:rPr>
          <w:rFonts w:hint="eastAsia" w:ascii="仿宋" w:hAnsi="仿宋" w:eastAsia="仿宋" w:cs="Cambria Math"/>
          <w:color w:val="000000"/>
          <w:kern w:val="0"/>
          <w:sz w:val="24"/>
        </w:rPr>
        <w:t>委托期限：自购买本项目</w:t>
      </w:r>
      <w:r>
        <w:rPr>
          <w:rFonts w:hint="eastAsia" w:ascii="仿宋" w:hAnsi="仿宋" w:eastAsia="仿宋" w:cs="Cambria Math"/>
          <w:color w:val="000000"/>
          <w:kern w:val="0"/>
          <w:sz w:val="24"/>
          <w:lang w:eastAsia="zh-CN"/>
        </w:rPr>
        <w:t>采购文件</w:t>
      </w:r>
      <w:r>
        <w:rPr>
          <w:rFonts w:hint="eastAsia" w:ascii="仿宋" w:hAnsi="仿宋" w:eastAsia="仿宋" w:cs="Cambria Math"/>
          <w:color w:val="000000"/>
          <w:kern w:val="0"/>
          <w:sz w:val="24"/>
        </w:rPr>
        <w:t>之日起至磋商响应有效期到期之日为止 。</w:t>
      </w:r>
    </w:p>
    <w:p w14:paraId="26170DE8">
      <w:pPr>
        <w:pStyle w:val="148"/>
        <w:spacing w:line="360" w:lineRule="auto"/>
        <w:ind w:firstLine="480" w:firstLineChars="200"/>
        <w:rPr>
          <w:rFonts w:hint="eastAsia"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14:paraId="3D28CABE">
      <w:pPr>
        <w:pStyle w:val="148"/>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法定代表人身份证复印件（需同时提供正面及背面）</w:t>
      </w:r>
    </w:p>
    <w:p w14:paraId="5B7123C3">
      <w:pPr>
        <w:pStyle w:val="148"/>
        <w:spacing w:line="360" w:lineRule="auto"/>
        <w:rPr>
          <w:rFonts w:ascii="仿宋" w:hAnsi="仿宋" w:eastAsia="仿宋" w:cs="Cambria Math"/>
          <w:b/>
          <w:bCs/>
          <w:color w:val="000000"/>
          <w:sz w:val="24"/>
          <w:szCs w:val="24"/>
        </w:rPr>
      </w:pPr>
      <w:r>
        <mc:AlternateContent>
          <mc:Choice Requires="wps">
            <w:drawing>
              <wp:anchor distT="0" distB="0" distL="114300" distR="114300" simplePos="0" relativeHeight="251664384" behindDoc="0" locked="0" layoutInCell="1" allowOverlap="1">
                <wp:simplePos x="0" y="0"/>
                <wp:positionH relativeFrom="column">
                  <wp:posOffset>2969260</wp:posOffset>
                </wp:positionH>
                <wp:positionV relativeFrom="paragraph">
                  <wp:posOffset>24765</wp:posOffset>
                </wp:positionV>
                <wp:extent cx="2802890" cy="1934845"/>
                <wp:effectExtent l="7620" t="7620" r="8890" b="19685"/>
                <wp:wrapNone/>
                <wp:docPr id="8" name="矩形 3"/>
                <wp:cNvGraphicFramePr/>
                <a:graphic xmlns:a="http://schemas.openxmlformats.org/drawingml/2006/main">
                  <a:graphicData uri="http://schemas.microsoft.com/office/word/2010/wordprocessingShape">
                    <wps:wsp>
                      <wps:cNvSpPr>
                        <a:spLocks noChangeArrowheads="1"/>
                      </wps:cNvSpPr>
                      <wps:spPr bwMode="auto">
                        <a:xfrm>
                          <a:off x="0" y="0"/>
                          <a:ext cx="2802890" cy="1934845"/>
                        </a:xfrm>
                        <a:prstGeom prst="rect">
                          <a:avLst/>
                        </a:prstGeom>
                        <a:solidFill>
                          <a:srgbClr val="C5E0B3"/>
                        </a:solidFill>
                        <a:ln w="15875">
                          <a:solidFill>
                            <a:srgbClr val="739CC3"/>
                          </a:solidFill>
                          <a:miter lim="800000"/>
                        </a:ln>
                        <a:effectLst/>
                      </wps:spPr>
                      <wps:bodyPr rot="0" vert="horz" wrap="square" lIns="91440" tIns="45720" rIns="91440" bIns="45720" anchor="t" anchorCtr="0" upright="1">
                        <a:noAutofit/>
                      </wps:bodyPr>
                    </wps:wsp>
                  </a:graphicData>
                </a:graphic>
              </wp:anchor>
            </w:drawing>
          </mc:Choice>
          <mc:Fallback>
            <w:pict>
              <v:rect id="矩形 3" o:spid="_x0000_s1026" o:spt="1" style="position:absolute;left:0pt;margin-left:233.8pt;margin-top:1.95pt;height:152.35pt;width:220.7pt;z-index:251664384;mso-width-relative:page;mso-height-relative:page;" fillcolor="#C5E0B3" filled="t" stroked="t" coordsize="21600,21600" o:gfxdata="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zfe/TXAAAACQEAAA8AAAAAAAAAAQAgAAAAIgAA&#10;AGRycy9kb3ducmV2LnhtbFBLAQIUABQAAAAIAIdO4kBpUEnRQgIAAH8EAAAOAAAAAAAAAAEAIAAA&#10;ACYBAABkcnMvZTJvRG9jLnhtbFBLBQYAAAAABgAGAFkBAADaBQAAAAA=&#10;">
                <v:fill on="t" focussize="0,0"/>
                <v:stroke weight="1.25pt" color="#739CC3" miterlimit="8" joinstyle="miter"/>
                <v:imagedata o:title=""/>
                <o:lock v:ext="edit" aspectratio="f"/>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167005</wp:posOffset>
                </wp:positionH>
                <wp:positionV relativeFrom="paragraph">
                  <wp:posOffset>24765</wp:posOffset>
                </wp:positionV>
                <wp:extent cx="2802890" cy="1934845"/>
                <wp:effectExtent l="7620" t="7620" r="8890" b="19685"/>
                <wp:wrapNone/>
                <wp:docPr id="12" name="矩形 4"/>
                <wp:cNvGraphicFramePr/>
                <a:graphic xmlns:a="http://schemas.openxmlformats.org/drawingml/2006/main">
                  <a:graphicData uri="http://schemas.microsoft.com/office/word/2010/wordprocessingShape">
                    <wps:wsp>
                      <wps:cNvSpPr>
                        <a:spLocks noChangeArrowheads="1"/>
                      </wps:cNvSpPr>
                      <wps:spPr bwMode="auto">
                        <a:xfrm>
                          <a:off x="0" y="0"/>
                          <a:ext cx="2802890" cy="1934845"/>
                        </a:xfrm>
                        <a:prstGeom prst="rect">
                          <a:avLst/>
                        </a:prstGeom>
                        <a:solidFill>
                          <a:srgbClr val="C5E0B3"/>
                        </a:solidFill>
                        <a:ln w="15875">
                          <a:solidFill>
                            <a:srgbClr val="739CC3"/>
                          </a:solidFill>
                          <a:miter lim="800000"/>
                        </a:ln>
                        <a:effectLst/>
                      </wps:spPr>
                      <wps:bodyPr rot="0" vert="horz" wrap="square" lIns="91440" tIns="45720" rIns="91440" bIns="45720" anchor="t" anchorCtr="0" upright="1">
                        <a:noAutofit/>
                      </wps:bodyPr>
                    </wps:wsp>
                  </a:graphicData>
                </a:graphic>
              </wp:anchor>
            </w:drawing>
          </mc:Choice>
          <mc:Fallback>
            <w:pict>
              <v:rect id="矩形 4" o:spid="_x0000_s1026" o:spt="1" style="position:absolute;left:0pt;margin-left:13.15pt;margin-top:1.95pt;height:152.35pt;width:220.7pt;z-index:251663360;mso-width-relative:page;mso-height-relative:page;" fillcolor="#C5E0B3" filled="t" stroked="t" coordsize="21600,21600" o:gfxdata="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bzIJfXAAAACAEAAA8AAAAAAAAAAQAgAAAAIgAA&#10;AGRycy9kb3ducmV2LnhtbFBLAQIUABQAAAAIAIdO4kC6xeg0QgIAAIAEAAAOAAAAAAAAAAEAIAAA&#10;ACYBAABkcnMvZTJvRG9jLnhtbFBLBQYAAAAABgAGAFkBAADaBQAAAAA=&#10;">
                <v:fill on="t" focussize="0,0"/>
                <v:stroke weight="1.25pt" color="#739CC3" miterlimit="8" joinstyle="miter"/>
                <v:imagedata o:title=""/>
                <o:lock v:ext="edit" aspectratio="f"/>
              </v:rect>
            </w:pict>
          </mc:Fallback>
        </mc:AlternateContent>
      </w:r>
    </w:p>
    <w:p w14:paraId="2790A093">
      <w:pPr>
        <w:pStyle w:val="148"/>
        <w:spacing w:line="360" w:lineRule="auto"/>
        <w:ind w:firstLine="482" w:firstLineChars="200"/>
        <w:rPr>
          <w:rFonts w:ascii="仿宋" w:hAnsi="仿宋" w:eastAsia="仿宋" w:cs="Cambria Math"/>
          <w:b/>
          <w:bCs/>
          <w:color w:val="000000"/>
          <w:sz w:val="24"/>
          <w:szCs w:val="24"/>
        </w:rPr>
      </w:pPr>
    </w:p>
    <w:p w14:paraId="1501FA14">
      <w:pPr>
        <w:pStyle w:val="148"/>
        <w:spacing w:line="360" w:lineRule="auto"/>
        <w:ind w:firstLine="482" w:firstLineChars="200"/>
        <w:rPr>
          <w:rFonts w:ascii="仿宋" w:hAnsi="仿宋" w:eastAsia="仿宋" w:cs="Cambria Math"/>
          <w:b/>
          <w:bCs/>
          <w:color w:val="000000"/>
          <w:sz w:val="24"/>
          <w:szCs w:val="24"/>
        </w:rPr>
      </w:pPr>
    </w:p>
    <w:p w14:paraId="55597189">
      <w:pPr>
        <w:pStyle w:val="148"/>
        <w:spacing w:line="360" w:lineRule="auto"/>
        <w:ind w:firstLine="482" w:firstLineChars="200"/>
        <w:rPr>
          <w:rFonts w:ascii="仿宋" w:hAnsi="仿宋" w:eastAsia="仿宋" w:cs="Cambria Math"/>
          <w:b/>
          <w:bCs/>
          <w:color w:val="000000"/>
          <w:sz w:val="24"/>
          <w:szCs w:val="24"/>
        </w:rPr>
      </w:pPr>
    </w:p>
    <w:p w14:paraId="3A81EFAB">
      <w:pPr>
        <w:pStyle w:val="148"/>
        <w:spacing w:line="360" w:lineRule="auto"/>
        <w:ind w:firstLine="482" w:firstLineChars="200"/>
        <w:rPr>
          <w:rFonts w:ascii="仿宋" w:hAnsi="仿宋" w:eastAsia="仿宋" w:cs="Cambria Math"/>
          <w:b/>
          <w:bCs/>
          <w:color w:val="000000"/>
          <w:sz w:val="24"/>
          <w:szCs w:val="24"/>
        </w:rPr>
      </w:pPr>
    </w:p>
    <w:p w14:paraId="40F9D8AC">
      <w:pPr>
        <w:pStyle w:val="148"/>
        <w:spacing w:line="360" w:lineRule="auto"/>
        <w:ind w:firstLine="482" w:firstLineChars="200"/>
        <w:rPr>
          <w:rFonts w:ascii="仿宋" w:hAnsi="仿宋" w:eastAsia="仿宋" w:cs="Cambria Math"/>
          <w:b/>
          <w:bCs/>
          <w:color w:val="000000"/>
          <w:sz w:val="24"/>
          <w:szCs w:val="24"/>
        </w:rPr>
      </w:pPr>
    </w:p>
    <w:p w14:paraId="103330A0">
      <w:pPr>
        <w:pStyle w:val="148"/>
        <w:spacing w:line="360" w:lineRule="auto"/>
        <w:ind w:firstLine="482" w:firstLineChars="200"/>
        <w:rPr>
          <w:rFonts w:ascii="仿宋" w:hAnsi="仿宋" w:eastAsia="仿宋" w:cs="Cambria Math"/>
          <w:b/>
          <w:bCs/>
          <w:color w:val="000000"/>
          <w:sz w:val="24"/>
          <w:szCs w:val="24"/>
        </w:rPr>
      </w:pPr>
    </w:p>
    <w:p w14:paraId="35D332B1">
      <w:pPr>
        <w:pStyle w:val="148"/>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委托代理人身份证复印件（需同时提供正面及背面）</w:t>
      </w:r>
    </w:p>
    <w:p w14:paraId="0183712B">
      <w:pPr>
        <w:pStyle w:val="148"/>
        <w:spacing w:line="440" w:lineRule="atLeast"/>
        <w:ind w:firstLine="480"/>
        <w:jc w:val="left"/>
        <w:rPr>
          <w:rFonts w:ascii="仿宋" w:hAnsi="仿宋" w:eastAsia="仿宋" w:cs="仿宋"/>
          <w:color w:val="000000"/>
        </w:rPr>
      </w:pPr>
      <w: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2" name="矩形 4"/>
                <wp:cNvGraphicFramePr/>
                <a:graphic xmlns:a="http://schemas.openxmlformats.org/drawingml/2006/main">
                  <a:graphicData uri="http://schemas.microsoft.com/office/word/2010/wordprocessingShape">
                    <wps:wsp>
                      <wps:cNvSpPr>
                        <a:spLocks noChangeArrowheads="1"/>
                      </wps:cNvSpPr>
                      <wps:spPr bwMode="auto">
                        <a:xfrm>
                          <a:off x="0" y="0"/>
                          <a:ext cx="2802890" cy="1934845"/>
                        </a:xfrm>
                        <a:prstGeom prst="rect">
                          <a:avLst/>
                        </a:prstGeom>
                        <a:solidFill>
                          <a:srgbClr val="C5E0B3"/>
                        </a:solidFill>
                        <a:ln w="15875">
                          <a:solidFill>
                            <a:srgbClr val="739CC3"/>
                          </a:solidFill>
                          <a:miter lim="800000"/>
                        </a:ln>
                        <a:effectLst/>
                      </wps:spPr>
                      <wps:bodyPr rot="0" vert="horz" wrap="square" lIns="91440" tIns="45720" rIns="91440" bIns="45720" anchor="t" anchorCtr="0" upright="1">
                        <a:noAutofit/>
                      </wps:bodyPr>
                    </wps:wsp>
                  </a:graphicData>
                </a:graphic>
              </wp:anchor>
            </w:drawing>
          </mc:Choice>
          <mc:Fallback>
            <w:pict>
              <v:rect id="矩形 4" o:spid="_x0000_s1026" o:spt="1" style="position:absolute;left:0pt;margin-left:13.75pt;margin-top:4.45pt;height:152.35pt;width:220.7pt;z-index:251661312;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Igs7L2AAAAAgBAAAPAAAAAAAAAAEAIAAAACIA&#10;AABkcnMvZG93bnJldi54bWxQSwECFAAUAAAACACHTuJANON860ICAAB/BAAADgAAAAAAAAABACAA&#10;AAAnAQAAZHJzL2Uyb0RvYy54bWxQSwUGAAAAAAYABgBZAQAA2wUAAAAA&#10;">
                <v:fill on="t" focussize="0,0"/>
                <v:stroke weight="1.25pt" color="#739CC3" miterlimit="8" joinstyle="miter"/>
                <v:imagedata o:title=""/>
                <o:lock v:ext="edit" aspectratio="f"/>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3" name="矩形 3"/>
                <wp:cNvGraphicFramePr/>
                <a:graphic xmlns:a="http://schemas.openxmlformats.org/drawingml/2006/main">
                  <a:graphicData uri="http://schemas.microsoft.com/office/word/2010/wordprocessingShape">
                    <wps:wsp>
                      <wps:cNvSpPr>
                        <a:spLocks noChangeArrowheads="1"/>
                      </wps:cNvSpPr>
                      <wps:spPr bwMode="auto">
                        <a:xfrm>
                          <a:off x="0" y="0"/>
                          <a:ext cx="2802890" cy="1934845"/>
                        </a:xfrm>
                        <a:prstGeom prst="rect">
                          <a:avLst/>
                        </a:prstGeom>
                        <a:solidFill>
                          <a:srgbClr val="C5E0B3"/>
                        </a:solidFill>
                        <a:ln w="15875">
                          <a:solidFill>
                            <a:srgbClr val="739CC3"/>
                          </a:solidFill>
                          <a:miter lim="8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4.45pt;margin-top:4.45pt;height:152.35pt;width:220.7pt;z-index:251662336;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sLTHM2AAAAAkBAAAPAAAAAAAAAAEAIAAAACIA&#10;AABkcnMvZG93bnJldi54bWxQSwECFAAUAAAACACHTuJA25SdKEICAAB/BAAADgAAAAAAAAABACAA&#10;AAAnAQAAZHJzL2Uyb0RvYy54bWxQSwUGAAAAAAYABgBZAQAA2wUAAAAA&#10;">
                <v:fill on="t" focussize="0,0"/>
                <v:stroke weight="1.25pt" color="#739CC3" miterlimit="8" joinstyle="miter"/>
                <v:imagedata o:title=""/>
                <o:lock v:ext="edit" aspectratio="f"/>
              </v:rect>
            </w:pict>
          </mc:Fallback>
        </mc:AlternateContent>
      </w:r>
    </w:p>
    <w:p w14:paraId="6038A127">
      <w:pPr>
        <w:pStyle w:val="148"/>
        <w:spacing w:line="440" w:lineRule="atLeast"/>
        <w:ind w:firstLine="480"/>
        <w:jc w:val="left"/>
        <w:rPr>
          <w:rFonts w:ascii="仿宋" w:hAnsi="仿宋" w:eastAsia="仿宋" w:cs="仿宋"/>
          <w:color w:val="000000"/>
        </w:rPr>
      </w:pPr>
    </w:p>
    <w:p w14:paraId="1C3F2B9A">
      <w:pPr>
        <w:spacing w:line="360" w:lineRule="auto"/>
        <w:ind w:left="720"/>
        <w:rPr>
          <w:rFonts w:ascii="仿宋" w:hAnsi="仿宋" w:eastAsia="仿宋" w:cs="仿宋"/>
          <w:b/>
          <w:color w:val="000000"/>
          <w:sz w:val="24"/>
        </w:rPr>
      </w:pPr>
    </w:p>
    <w:p w14:paraId="760E998D">
      <w:pPr>
        <w:tabs>
          <w:tab w:val="left" w:pos="540"/>
        </w:tabs>
        <w:rPr>
          <w:rFonts w:ascii="仿宋" w:hAnsi="仿宋" w:eastAsia="仿宋" w:cs="仿宋"/>
          <w:color w:val="000000"/>
          <w:kern w:val="0"/>
          <w:szCs w:val="21"/>
        </w:rPr>
      </w:pPr>
      <w:r>
        <w:rPr>
          <w:rFonts w:hint="eastAsia" w:ascii="仿宋" w:hAnsi="仿宋" w:eastAsia="仿宋" w:cs="仿宋"/>
          <w:color w:val="000000"/>
          <w:kern w:val="0"/>
          <w:szCs w:val="21"/>
        </w:rPr>
        <w:tab/>
      </w:r>
    </w:p>
    <w:p w14:paraId="25D69498">
      <w:pPr>
        <w:pStyle w:val="17"/>
        <w:rPr>
          <w:rFonts w:hAnsi="宋体"/>
          <w:szCs w:val="21"/>
        </w:rPr>
      </w:pPr>
    </w:p>
    <w:p w14:paraId="18A4BF43">
      <w:pPr>
        <w:pStyle w:val="17"/>
        <w:rPr>
          <w:rFonts w:hAnsi="宋体"/>
          <w:szCs w:val="21"/>
        </w:rPr>
      </w:pPr>
    </w:p>
    <w:p w14:paraId="201B520F">
      <w:pPr>
        <w:pStyle w:val="148"/>
        <w:spacing w:line="440" w:lineRule="atLeast"/>
        <w:ind w:firstLine="480"/>
        <w:jc w:val="left"/>
        <w:rPr>
          <w:rFonts w:ascii="仿宋" w:hAnsi="仿宋" w:eastAsia="仿宋" w:cs="仿宋"/>
          <w:color w:val="000000"/>
        </w:rPr>
      </w:pPr>
    </w:p>
    <w:p w14:paraId="6197E2C7">
      <w:pPr>
        <w:tabs>
          <w:tab w:val="left" w:pos="540"/>
        </w:tabs>
        <w:rPr>
          <w:rFonts w:ascii="宋体" w:hAnsi="宋体"/>
          <w:kern w:val="0"/>
          <w:szCs w:val="21"/>
        </w:rPr>
      </w:pPr>
      <w:r>
        <w:rPr>
          <w:rFonts w:hint="eastAsia" w:ascii="仿宋" w:hAnsi="仿宋" w:eastAsia="仿宋" w:cs="仿宋"/>
          <w:color w:val="000000"/>
          <w:kern w:val="0"/>
          <w:szCs w:val="21"/>
        </w:rPr>
        <w:tab/>
      </w:r>
    </w:p>
    <w:p w14:paraId="4844DB60">
      <w:pPr>
        <w:spacing w:line="360" w:lineRule="auto"/>
        <w:ind w:right="180" w:firstLine="4200" w:firstLineChars="1750"/>
        <w:jc w:val="right"/>
        <w:rPr>
          <w:rFonts w:hint="eastAsia"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14:paraId="4F2F4AB2">
      <w:pPr>
        <w:spacing w:line="360" w:lineRule="auto"/>
        <w:ind w:right="180"/>
        <w:jc w:val="right"/>
        <w:rPr>
          <w:rFonts w:hint="eastAsia" w:ascii="仿宋" w:hAnsi="仿宋" w:eastAsia="仿宋" w:cs="Cambria Math"/>
          <w:color w:val="000000"/>
          <w:sz w:val="24"/>
        </w:rPr>
      </w:pPr>
      <w:r>
        <w:rPr>
          <w:rFonts w:hint="eastAsia" w:ascii="仿宋" w:hAnsi="仿宋" w:eastAsia="仿宋" w:cs="Cambria Math"/>
          <w:color w:val="000000"/>
          <w:sz w:val="24"/>
        </w:rPr>
        <w:t xml:space="preserve"> 法定代表人（负责人）：</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（签字或盖章）</w:t>
      </w:r>
    </w:p>
    <w:p w14:paraId="45E8828C">
      <w:pPr>
        <w:pStyle w:val="148"/>
        <w:spacing w:line="360" w:lineRule="auto"/>
        <w:ind w:right="105" w:firstLine="4200" w:firstLineChars="1750"/>
        <w:jc w:val="right"/>
        <w:rPr>
          <w:rFonts w:ascii="仿宋" w:hAnsi="仿宋" w:eastAsia="仿宋" w:cs="宋体"/>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宋体"/>
          <w:color w:val="000000"/>
          <w:sz w:val="24"/>
          <w:szCs w:val="24"/>
        </w:rPr>
        <w:t>（签字或盖章）</w:t>
      </w:r>
    </w:p>
    <w:p w14:paraId="556CB02F">
      <w:pPr>
        <w:pStyle w:val="148"/>
        <w:wordWrap w:val="0"/>
        <w:spacing w:line="360" w:lineRule="auto"/>
        <w:ind w:right="105" w:firstLine="4200" w:firstLineChars="1750"/>
        <w:jc w:val="right"/>
        <w:rPr>
          <w:rFonts w:hint="eastAsia"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14:paraId="2490C124">
      <w:pPr>
        <w:pStyle w:val="148"/>
        <w:wordWrap w:val="0"/>
        <w:spacing w:line="360" w:lineRule="auto"/>
        <w:ind w:right="105" w:firstLine="4216" w:firstLineChars="1750"/>
        <w:jc w:val="right"/>
        <w:rPr>
          <w:rFonts w:ascii="仿宋" w:hAnsi="仿宋" w:eastAsia="仿宋" w:cs="Cambria Math"/>
          <w:b/>
          <w:bCs/>
          <w:color w:val="000000"/>
          <w:sz w:val="24"/>
        </w:rPr>
      </w:pPr>
    </w:p>
    <w:bookmarkEnd w:id="152"/>
    <w:bookmarkEnd w:id="153"/>
    <w:bookmarkEnd w:id="154"/>
    <w:bookmarkEnd w:id="155"/>
    <w:p w14:paraId="0A675F2D">
      <w:pPr>
        <w:pStyle w:val="148"/>
        <w:jc w:val="center"/>
        <w:rPr>
          <w:rFonts w:hint="eastAsia" w:ascii="仿宋" w:hAnsi="仿宋" w:eastAsia="仿宋" w:cs="宋体"/>
          <w:color w:val="000000"/>
          <w:sz w:val="20"/>
        </w:rPr>
        <w:sectPr>
          <w:footerReference r:id="rId10" w:type="default"/>
          <w:pgSz w:w="11906" w:h="16838"/>
          <w:pgMar w:top="1417" w:right="1134" w:bottom="1134" w:left="1134" w:header="851" w:footer="992" w:gutter="0"/>
          <w:cols w:space="720" w:num="1"/>
          <w:titlePg/>
          <w:docGrid w:type="lines" w:linePitch="312" w:charSpace="0"/>
        </w:sectPr>
      </w:pPr>
    </w:p>
    <w:p w14:paraId="61E87ECB">
      <w:pPr>
        <w:pStyle w:val="4"/>
        <w:spacing w:before="0" w:after="0" w:line="360" w:lineRule="auto"/>
        <w:rPr>
          <w:rFonts w:hint="eastAsia" w:ascii="仿宋" w:hAnsi="仿宋" w:eastAsia="仿宋" w:cs="仿宋"/>
          <w:color w:val="000000"/>
          <w:sz w:val="24"/>
          <w:szCs w:val="24"/>
        </w:rPr>
      </w:pPr>
      <w:bookmarkStart w:id="156" w:name="_Toc16390"/>
      <w:bookmarkStart w:id="157" w:name="_Toc20604"/>
      <w:bookmarkStart w:id="158" w:name="_Toc517281841"/>
      <w:bookmarkStart w:id="159" w:name="_Toc34779170"/>
      <w:bookmarkStart w:id="160" w:name="_Toc287600135"/>
      <w:bookmarkStart w:id="161" w:name="_Toc287600132"/>
      <w:bookmarkStart w:id="162" w:name="_Toc34822258"/>
      <w:bookmarkStart w:id="163" w:name="_Toc34779120"/>
      <w:bookmarkStart w:id="164" w:name="_Toc444891357"/>
      <w:bookmarkStart w:id="165" w:name="_Toc35957216"/>
      <w:bookmarkStart w:id="166" w:name="_Toc16561"/>
      <w:bookmarkStart w:id="167" w:name="_Toc34779216"/>
      <w:bookmarkStart w:id="168" w:name="_Toc11396"/>
      <w:bookmarkStart w:id="169" w:name="_Toc5406"/>
      <w:bookmarkStart w:id="170" w:name="_Toc27026"/>
      <w:r>
        <w:rPr>
          <w:rFonts w:hint="eastAsia" w:ascii="仿宋" w:hAnsi="仿宋" w:eastAsia="仿宋" w:cs="仿宋"/>
          <w:color w:val="000000"/>
          <w:sz w:val="24"/>
          <w:szCs w:val="24"/>
        </w:rPr>
        <w:t>（三）资格证明文件</w:t>
      </w:r>
      <w:bookmarkEnd w:id="156"/>
      <w:bookmarkEnd w:id="157"/>
    </w:p>
    <w:p w14:paraId="231BFAA8">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14:paraId="05B23C62">
      <w:pPr>
        <w:pStyle w:val="148"/>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0"/>
        <w:tblW w:w="0" w:type="auto"/>
        <w:tblInd w:w="-113" w:type="dxa"/>
        <w:tblLayout w:type="fixed"/>
        <w:tblCellMar>
          <w:top w:w="0" w:type="dxa"/>
          <w:left w:w="108" w:type="dxa"/>
          <w:bottom w:w="0" w:type="dxa"/>
          <w:right w:w="108" w:type="dxa"/>
        </w:tblCellMar>
      </w:tblPr>
      <w:tblGrid>
        <w:gridCol w:w="2181"/>
        <w:gridCol w:w="1046"/>
        <w:gridCol w:w="62"/>
        <w:gridCol w:w="1214"/>
        <w:gridCol w:w="567"/>
        <w:gridCol w:w="601"/>
        <w:gridCol w:w="1740"/>
        <w:gridCol w:w="98"/>
        <w:gridCol w:w="956"/>
        <w:gridCol w:w="1117"/>
      </w:tblGrid>
      <w:tr w14:paraId="40BADE1A">
        <w:tblPrEx>
          <w:tblCellMar>
            <w:top w:w="0" w:type="dxa"/>
            <w:left w:w="108" w:type="dxa"/>
            <w:bottom w:w="0" w:type="dxa"/>
            <w:right w:w="108" w:type="dxa"/>
          </w:tblCellMar>
        </w:tblPrEx>
        <w:trPr>
          <w:trHeight w:val="496" w:hRule="atLeast"/>
        </w:trPr>
        <w:tc>
          <w:tcPr>
            <w:tcW w:w="2181" w:type="dxa"/>
            <w:tcBorders>
              <w:top w:val="single" w:color="000000" w:sz="4" w:space="0"/>
              <w:left w:val="single" w:color="000000" w:sz="4" w:space="0"/>
              <w:bottom w:val="single" w:color="000000" w:sz="4" w:space="0"/>
              <w:right w:val="single" w:color="000000" w:sz="4" w:space="0"/>
            </w:tcBorders>
            <w:noWrap w:val="0"/>
            <w:vAlign w:val="center"/>
          </w:tcPr>
          <w:p w14:paraId="2A91514A">
            <w:pPr>
              <w:pStyle w:val="148"/>
              <w:topLinePunct/>
              <w:jc w:val="center"/>
              <w:rPr>
                <w:rFonts w:hint="eastAsia" w:ascii="仿宋" w:hAnsi="仿宋" w:eastAsia="仿宋" w:cs="仿宋"/>
                <w:color w:val="000000"/>
              </w:rPr>
            </w:pPr>
            <w:r>
              <w:rPr>
                <w:rFonts w:hint="eastAsia" w:ascii="仿宋" w:hAnsi="仿宋" w:eastAsia="仿宋" w:cs="仿宋"/>
                <w:color w:val="000000"/>
              </w:rPr>
              <w:t>供应商名称</w:t>
            </w:r>
          </w:p>
        </w:tc>
        <w:tc>
          <w:tcPr>
            <w:tcW w:w="7401" w:type="dxa"/>
            <w:gridSpan w:val="9"/>
            <w:tcBorders>
              <w:top w:val="single" w:color="000000" w:sz="4" w:space="0"/>
              <w:left w:val="nil"/>
              <w:bottom w:val="single" w:color="000000" w:sz="4" w:space="0"/>
              <w:right w:val="single" w:color="000000" w:sz="4" w:space="0"/>
            </w:tcBorders>
            <w:noWrap w:val="0"/>
            <w:vAlign w:val="center"/>
          </w:tcPr>
          <w:p w14:paraId="5455DC05">
            <w:pPr>
              <w:pStyle w:val="148"/>
              <w:topLinePunct/>
              <w:jc w:val="center"/>
              <w:rPr>
                <w:rFonts w:hint="eastAsia" w:ascii="仿宋" w:hAnsi="仿宋" w:eastAsia="仿宋" w:cs="仿宋"/>
                <w:color w:val="000000"/>
              </w:rPr>
            </w:pPr>
          </w:p>
        </w:tc>
      </w:tr>
      <w:tr w14:paraId="46BB9AA9">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3EA85D8D">
            <w:pPr>
              <w:pStyle w:val="148"/>
              <w:topLinePunct/>
              <w:jc w:val="center"/>
              <w:rPr>
                <w:rFonts w:hint="eastAsia" w:ascii="仿宋" w:hAnsi="仿宋" w:eastAsia="仿宋" w:cs="仿宋"/>
                <w:color w:val="000000"/>
              </w:rPr>
            </w:pPr>
            <w:r>
              <w:rPr>
                <w:rFonts w:hint="eastAsia" w:ascii="仿宋" w:hAnsi="仿宋" w:eastAsia="仿宋" w:cs="仿宋"/>
                <w:color w:val="000000"/>
              </w:rPr>
              <w:t>注册地址</w:t>
            </w:r>
          </w:p>
        </w:tc>
        <w:tc>
          <w:tcPr>
            <w:tcW w:w="3490" w:type="dxa"/>
            <w:gridSpan w:val="5"/>
            <w:tcBorders>
              <w:top w:val="nil"/>
              <w:left w:val="nil"/>
              <w:bottom w:val="single" w:color="000000" w:sz="4" w:space="0"/>
              <w:right w:val="single" w:color="000000" w:sz="4" w:space="0"/>
            </w:tcBorders>
            <w:noWrap w:val="0"/>
            <w:vAlign w:val="center"/>
          </w:tcPr>
          <w:p w14:paraId="114D1027">
            <w:pPr>
              <w:pStyle w:val="148"/>
              <w:topLinePunct/>
              <w:jc w:val="center"/>
              <w:rPr>
                <w:rFonts w:hint="eastAsia" w:ascii="仿宋" w:hAnsi="仿宋" w:eastAsia="仿宋" w:cs="仿宋"/>
                <w:color w:val="000000"/>
              </w:rPr>
            </w:pPr>
          </w:p>
        </w:tc>
        <w:tc>
          <w:tcPr>
            <w:tcW w:w="1740" w:type="dxa"/>
            <w:tcBorders>
              <w:top w:val="single" w:color="000000" w:sz="4" w:space="0"/>
              <w:left w:val="nil"/>
              <w:bottom w:val="single" w:color="000000" w:sz="4" w:space="0"/>
              <w:right w:val="single" w:color="000000" w:sz="4" w:space="0"/>
            </w:tcBorders>
            <w:noWrap w:val="0"/>
            <w:vAlign w:val="center"/>
          </w:tcPr>
          <w:p w14:paraId="04880114">
            <w:pPr>
              <w:pStyle w:val="148"/>
              <w:topLinePunct/>
              <w:jc w:val="center"/>
              <w:rPr>
                <w:rFonts w:hint="eastAsia" w:ascii="仿宋" w:hAnsi="仿宋" w:eastAsia="仿宋" w:cs="仿宋"/>
                <w:color w:val="000000"/>
              </w:rPr>
            </w:pPr>
            <w:r>
              <w:rPr>
                <w:rFonts w:hint="eastAsia" w:ascii="仿宋" w:hAnsi="仿宋" w:eastAsia="仿宋" w:cs="仿宋"/>
                <w:color w:val="000000"/>
              </w:rPr>
              <w:t>邮政编码</w:t>
            </w:r>
          </w:p>
        </w:tc>
        <w:tc>
          <w:tcPr>
            <w:tcW w:w="2171" w:type="dxa"/>
            <w:gridSpan w:val="3"/>
            <w:tcBorders>
              <w:top w:val="single" w:color="000000" w:sz="4" w:space="0"/>
              <w:left w:val="nil"/>
              <w:bottom w:val="single" w:color="000000" w:sz="4" w:space="0"/>
              <w:right w:val="single" w:color="000000" w:sz="4" w:space="0"/>
            </w:tcBorders>
            <w:noWrap w:val="0"/>
            <w:vAlign w:val="center"/>
          </w:tcPr>
          <w:p w14:paraId="17F79B3F">
            <w:pPr>
              <w:pStyle w:val="148"/>
              <w:topLinePunct/>
              <w:jc w:val="center"/>
              <w:rPr>
                <w:rFonts w:hint="eastAsia" w:ascii="仿宋" w:hAnsi="仿宋" w:eastAsia="仿宋" w:cs="仿宋"/>
                <w:color w:val="000000"/>
              </w:rPr>
            </w:pPr>
          </w:p>
        </w:tc>
      </w:tr>
      <w:tr w14:paraId="4C119426">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59658153">
            <w:pPr>
              <w:pStyle w:val="148"/>
              <w:topLinePunct/>
              <w:jc w:val="center"/>
              <w:rPr>
                <w:rFonts w:hint="eastAsia" w:ascii="仿宋" w:hAnsi="仿宋" w:eastAsia="仿宋" w:cs="仿宋"/>
                <w:color w:val="000000"/>
              </w:rPr>
            </w:pPr>
            <w:r>
              <w:rPr>
                <w:rFonts w:hint="eastAsia" w:ascii="仿宋" w:hAnsi="仿宋" w:eastAsia="仿宋" w:cs="仿宋"/>
                <w:color w:val="000000"/>
              </w:rPr>
              <w:t>办公场所面职</w:t>
            </w:r>
          </w:p>
        </w:tc>
        <w:tc>
          <w:tcPr>
            <w:tcW w:w="3490" w:type="dxa"/>
            <w:gridSpan w:val="5"/>
            <w:tcBorders>
              <w:top w:val="nil"/>
              <w:left w:val="nil"/>
              <w:bottom w:val="single" w:color="000000" w:sz="4" w:space="0"/>
              <w:right w:val="single" w:color="000000" w:sz="4" w:space="0"/>
            </w:tcBorders>
            <w:noWrap w:val="0"/>
            <w:vAlign w:val="center"/>
          </w:tcPr>
          <w:p w14:paraId="6A368639">
            <w:pPr>
              <w:pStyle w:val="148"/>
              <w:topLinePunct/>
              <w:jc w:val="center"/>
              <w:rPr>
                <w:rFonts w:hint="eastAsia" w:ascii="仿宋" w:hAnsi="仿宋" w:eastAsia="仿宋" w:cs="仿宋"/>
                <w:color w:val="000000"/>
              </w:rPr>
            </w:pPr>
            <w:r>
              <w:rPr>
                <w:rFonts w:hint="eastAsia" w:ascii="仿宋" w:hAnsi="仿宋" w:eastAsia="仿宋" w:cs="仿宋"/>
                <w:color w:val="000000"/>
              </w:rPr>
              <w:t>平米</w:t>
            </w:r>
          </w:p>
        </w:tc>
        <w:tc>
          <w:tcPr>
            <w:tcW w:w="1740" w:type="dxa"/>
            <w:tcBorders>
              <w:top w:val="nil"/>
              <w:left w:val="nil"/>
              <w:bottom w:val="single" w:color="000000" w:sz="4" w:space="0"/>
              <w:right w:val="single" w:color="000000" w:sz="4" w:space="0"/>
            </w:tcBorders>
            <w:noWrap w:val="0"/>
            <w:vAlign w:val="center"/>
          </w:tcPr>
          <w:p w14:paraId="264E3FD3">
            <w:pPr>
              <w:pStyle w:val="148"/>
              <w:topLinePunct/>
              <w:jc w:val="center"/>
              <w:rPr>
                <w:rFonts w:hint="eastAsia" w:ascii="仿宋" w:hAnsi="仿宋" w:eastAsia="仿宋" w:cs="仿宋"/>
                <w:color w:val="000000"/>
              </w:rPr>
            </w:pPr>
            <w:r>
              <w:rPr>
                <w:rFonts w:hint="eastAsia" w:ascii="仿宋" w:hAnsi="仿宋" w:eastAsia="仿宋" w:cs="仿宋"/>
                <w:color w:val="000000"/>
              </w:rPr>
              <w:t>办事处地址</w:t>
            </w:r>
          </w:p>
        </w:tc>
        <w:tc>
          <w:tcPr>
            <w:tcW w:w="2171" w:type="dxa"/>
            <w:gridSpan w:val="3"/>
            <w:tcBorders>
              <w:top w:val="nil"/>
              <w:left w:val="nil"/>
              <w:bottom w:val="single" w:color="000000" w:sz="4" w:space="0"/>
              <w:right w:val="single" w:color="000000" w:sz="4" w:space="0"/>
            </w:tcBorders>
            <w:noWrap w:val="0"/>
            <w:vAlign w:val="center"/>
          </w:tcPr>
          <w:p w14:paraId="15AF0C8D">
            <w:pPr>
              <w:pStyle w:val="148"/>
              <w:topLinePunct/>
              <w:jc w:val="center"/>
              <w:rPr>
                <w:rFonts w:hint="eastAsia" w:ascii="仿宋" w:hAnsi="仿宋" w:eastAsia="仿宋" w:cs="仿宋"/>
                <w:color w:val="000000"/>
              </w:rPr>
            </w:pPr>
          </w:p>
        </w:tc>
      </w:tr>
      <w:tr w14:paraId="3A3EAE44">
        <w:tblPrEx>
          <w:tblCellMar>
            <w:top w:w="0" w:type="dxa"/>
            <w:left w:w="108" w:type="dxa"/>
            <w:bottom w:w="0" w:type="dxa"/>
            <w:right w:w="108" w:type="dxa"/>
          </w:tblCellMar>
        </w:tblPrEx>
        <w:trPr>
          <w:trHeight w:val="496" w:hRule="atLeast"/>
        </w:trPr>
        <w:tc>
          <w:tcPr>
            <w:tcW w:w="2181" w:type="dxa"/>
            <w:vMerge w:val="restart"/>
            <w:tcBorders>
              <w:top w:val="nil"/>
              <w:left w:val="single" w:color="000000" w:sz="4" w:space="0"/>
              <w:bottom w:val="single" w:color="000000" w:sz="4" w:space="0"/>
              <w:right w:val="single" w:color="000000" w:sz="4" w:space="0"/>
            </w:tcBorders>
            <w:noWrap w:val="0"/>
            <w:vAlign w:val="center"/>
          </w:tcPr>
          <w:p w14:paraId="72004174">
            <w:pPr>
              <w:pStyle w:val="148"/>
              <w:topLinePunct/>
              <w:jc w:val="center"/>
              <w:rPr>
                <w:rFonts w:hint="eastAsia" w:ascii="仿宋" w:hAnsi="仿宋" w:eastAsia="仿宋" w:cs="仿宋"/>
                <w:color w:val="000000"/>
              </w:rPr>
            </w:pPr>
            <w:r>
              <w:rPr>
                <w:rFonts w:hint="eastAsia" w:ascii="仿宋" w:hAnsi="仿宋" w:eastAsia="仿宋" w:cs="仿宋"/>
                <w:color w:val="000000"/>
              </w:rPr>
              <w:t>联系方式</w:t>
            </w:r>
          </w:p>
        </w:tc>
        <w:tc>
          <w:tcPr>
            <w:tcW w:w="1108" w:type="dxa"/>
            <w:gridSpan w:val="2"/>
            <w:tcBorders>
              <w:top w:val="nil"/>
              <w:left w:val="nil"/>
              <w:bottom w:val="single" w:color="000000" w:sz="4" w:space="0"/>
              <w:right w:val="single" w:color="000000" w:sz="4" w:space="0"/>
            </w:tcBorders>
            <w:noWrap w:val="0"/>
            <w:vAlign w:val="center"/>
          </w:tcPr>
          <w:p w14:paraId="0FCA3257">
            <w:pPr>
              <w:pStyle w:val="148"/>
              <w:topLinePunct/>
              <w:jc w:val="center"/>
              <w:rPr>
                <w:rFonts w:hint="eastAsia" w:ascii="仿宋" w:hAnsi="仿宋" w:eastAsia="仿宋" w:cs="仿宋"/>
                <w:color w:val="000000"/>
              </w:rPr>
            </w:pPr>
            <w:r>
              <w:rPr>
                <w:rFonts w:hint="eastAsia" w:ascii="仿宋" w:hAnsi="仿宋" w:eastAsia="仿宋" w:cs="仿宋"/>
                <w:color w:val="000000"/>
              </w:rPr>
              <w:t>联系人</w:t>
            </w:r>
          </w:p>
        </w:tc>
        <w:tc>
          <w:tcPr>
            <w:tcW w:w="2382" w:type="dxa"/>
            <w:gridSpan w:val="3"/>
            <w:tcBorders>
              <w:top w:val="nil"/>
              <w:left w:val="nil"/>
              <w:bottom w:val="single" w:color="000000" w:sz="4" w:space="0"/>
              <w:right w:val="single" w:color="000000" w:sz="4" w:space="0"/>
            </w:tcBorders>
            <w:noWrap w:val="0"/>
            <w:vAlign w:val="center"/>
          </w:tcPr>
          <w:p w14:paraId="4A34C5B8">
            <w:pPr>
              <w:pStyle w:val="148"/>
              <w:topLinePunct/>
              <w:jc w:val="center"/>
              <w:rPr>
                <w:rFonts w:hint="eastAsia" w:ascii="仿宋" w:hAnsi="仿宋" w:eastAsia="仿宋" w:cs="仿宋"/>
                <w:color w:val="000000"/>
              </w:rPr>
            </w:pPr>
          </w:p>
        </w:tc>
        <w:tc>
          <w:tcPr>
            <w:tcW w:w="1740" w:type="dxa"/>
            <w:tcBorders>
              <w:top w:val="nil"/>
              <w:left w:val="nil"/>
              <w:bottom w:val="single" w:color="000000" w:sz="4" w:space="0"/>
              <w:right w:val="single" w:color="000000" w:sz="4" w:space="0"/>
            </w:tcBorders>
            <w:noWrap w:val="0"/>
            <w:vAlign w:val="center"/>
          </w:tcPr>
          <w:p w14:paraId="105F7CC0">
            <w:pPr>
              <w:pStyle w:val="14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2171" w:type="dxa"/>
            <w:gridSpan w:val="3"/>
            <w:tcBorders>
              <w:top w:val="single" w:color="000000" w:sz="4" w:space="0"/>
              <w:left w:val="nil"/>
              <w:bottom w:val="single" w:color="000000" w:sz="4" w:space="0"/>
              <w:right w:val="single" w:color="000000" w:sz="4" w:space="0"/>
            </w:tcBorders>
            <w:noWrap w:val="0"/>
            <w:vAlign w:val="center"/>
          </w:tcPr>
          <w:p w14:paraId="08F11542">
            <w:pPr>
              <w:pStyle w:val="148"/>
              <w:topLinePunct/>
              <w:jc w:val="center"/>
              <w:rPr>
                <w:rFonts w:hint="eastAsia" w:ascii="仿宋" w:hAnsi="仿宋" w:eastAsia="仿宋" w:cs="仿宋"/>
                <w:color w:val="000000"/>
              </w:rPr>
            </w:pPr>
          </w:p>
        </w:tc>
      </w:tr>
      <w:tr w14:paraId="7AC4D48D">
        <w:tblPrEx>
          <w:tblCellMar>
            <w:top w:w="0" w:type="dxa"/>
            <w:left w:w="108" w:type="dxa"/>
            <w:bottom w:w="0" w:type="dxa"/>
            <w:right w:w="108" w:type="dxa"/>
          </w:tblCellMar>
        </w:tblPrEx>
        <w:trPr>
          <w:trHeight w:val="496" w:hRule="atLeast"/>
        </w:trPr>
        <w:tc>
          <w:tcPr>
            <w:tcW w:w="2181" w:type="dxa"/>
            <w:vMerge w:val="continue"/>
            <w:tcBorders>
              <w:top w:val="nil"/>
              <w:left w:val="single" w:color="000000" w:sz="4" w:space="0"/>
              <w:bottom w:val="single" w:color="000000" w:sz="4" w:space="0"/>
              <w:right w:val="single" w:color="000000" w:sz="4" w:space="0"/>
            </w:tcBorders>
            <w:noWrap w:val="0"/>
            <w:vAlign w:val="center"/>
          </w:tcPr>
          <w:p w14:paraId="580CD1AC">
            <w:pPr>
              <w:rPr>
                <w:rFonts w:hint="eastAsia" w:ascii="仿宋" w:hAnsi="仿宋" w:eastAsia="仿宋" w:cs="仿宋"/>
                <w:color w:val="000000"/>
                <w:szCs w:val="21"/>
              </w:rPr>
            </w:pPr>
          </w:p>
        </w:tc>
        <w:tc>
          <w:tcPr>
            <w:tcW w:w="1108" w:type="dxa"/>
            <w:gridSpan w:val="2"/>
            <w:tcBorders>
              <w:top w:val="nil"/>
              <w:left w:val="nil"/>
              <w:bottom w:val="single" w:color="000000" w:sz="4" w:space="0"/>
              <w:right w:val="single" w:color="000000" w:sz="4" w:space="0"/>
            </w:tcBorders>
            <w:noWrap w:val="0"/>
            <w:vAlign w:val="center"/>
          </w:tcPr>
          <w:p w14:paraId="3292ABA5">
            <w:pPr>
              <w:pStyle w:val="148"/>
              <w:topLinePunct/>
              <w:jc w:val="center"/>
              <w:rPr>
                <w:rFonts w:hint="eastAsia" w:ascii="仿宋" w:hAnsi="仿宋" w:eastAsia="仿宋" w:cs="仿宋"/>
                <w:color w:val="000000"/>
              </w:rPr>
            </w:pPr>
            <w:r>
              <w:rPr>
                <w:rFonts w:hint="eastAsia" w:ascii="仿宋" w:hAnsi="仿宋" w:eastAsia="仿宋" w:cs="仿宋"/>
                <w:color w:val="000000"/>
              </w:rPr>
              <w:t>传真</w:t>
            </w:r>
          </w:p>
        </w:tc>
        <w:tc>
          <w:tcPr>
            <w:tcW w:w="2382" w:type="dxa"/>
            <w:gridSpan w:val="3"/>
            <w:tcBorders>
              <w:top w:val="nil"/>
              <w:left w:val="nil"/>
              <w:bottom w:val="single" w:color="000000" w:sz="4" w:space="0"/>
              <w:right w:val="single" w:color="000000" w:sz="4" w:space="0"/>
            </w:tcBorders>
            <w:noWrap w:val="0"/>
            <w:vAlign w:val="center"/>
          </w:tcPr>
          <w:p w14:paraId="59CFB669">
            <w:pPr>
              <w:pStyle w:val="148"/>
              <w:topLinePunct/>
              <w:jc w:val="center"/>
              <w:rPr>
                <w:rFonts w:hint="eastAsia" w:ascii="仿宋" w:hAnsi="仿宋" w:eastAsia="仿宋" w:cs="仿宋"/>
                <w:color w:val="000000"/>
              </w:rPr>
            </w:pPr>
          </w:p>
        </w:tc>
        <w:tc>
          <w:tcPr>
            <w:tcW w:w="1740" w:type="dxa"/>
            <w:tcBorders>
              <w:top w:val="nil"/>
              <w:left w:val="nil"/>
              <w:bottom w:val="single" w:color="000000" w:sz="4" w:space="0"/>
              <w:right w:val="single" w:color="000000" w:sz="4" w:space="0"/>
            </w:tcBorders>
            <w:noWrap w:val="0"/>
            <w:vAlign w:val="center"/>
          </w:tcPr>
          <w:p w14:paraId="1E3B783B">
            <w:pPr>
              <w:pStyle w:val="148"/>
              <w:topLinePunct/>
              <w:jc w:val="center"/>
              <w:rPr>
                <w:rFonts w:hint="eastAsia" w:ascii="仿宋" w:hAnsi="仿宋" w:eastAsia="仿宋" w:cs="仿宋"/>
                <w:color w:val="000000"/>
              </w:rPr>
            </w:pPr>
            <w:r>
              <w:rPr>
                <w:rFonts w:hint="eastAsia" w:ascii="仿宋" w:hAnsi="仿宋" w:eastAsia="仿宋" w:cs="仿宋"/>
                <w:color w:val="000000"/>
              </w:rPr>
              <w:t>网址</w:t>
            </w:r>
          </w:p>
        </w:tc>
        <w:tc>
          <w:tcPr>
            <w:tcW w:w="2171" w:type="dxa"/>
            <w:gridSpan w:val="3"/>
            <w:tcBorders>
              <w:top w:val="nil"/>
              <w:left w:val="nil"/>
              <w:bottom w:val="single" w:color="000000" w:sz="4" w:space="0"/>
              <w:right w:val="single" w:color="000000" w:sz="4" w:space="0"/>
            </w:tcBorders>
            <w:noWrap w:val="0"/>
            <w:vAlign w:val="center"/>
          </w:tcPr>
          <w:p w14:paraId="1999D554">
            <w:pPr>
              <w:pStyle w:val="148"/>
              <w:topLinePunct/>
              <w:jc w:val="center"/>
              <w:rPr>
                <w:rFonts w:hint="eastAsia" w:ascii="仿宋" w:hAnsi="仿宋" w:eastAsia="仿宋" w:cs="仿宋"/>
                <w:color w:val="000000"/>
              </w:rPr>
            </w:pPr>
          </w:p>
        </w:tc>
      </w:tr>
      <w:tr w14:paraId="31EE8C24">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0CF0B19B">
            <w:pPr>
              <w:pStyle w:val="148"/>
              <w:topLinePunct/>
              <w:jc w:val="center"/>
              <w:rPr>
                <w:rFonts w:hint="eastAsia" w:ascii="仿宋" w:hAnsi="仿宋" w:eastAsia="仿宋" w:cs="仿宋"/>
                <w:color w:val="000000"/>
              </w:rPr>
            </w:pPr>
            <w:r>
              <w:rPr>
                <w:rFonts w:hint="eastAsia" w:ascii="仿宋" w:hAnsi="仿宋" w:eastAsia="仿宋" w:cs="仿宋"/>
                <w:color w:val="000000"/>
              </w:rPr>
              <w:t>组织结构</w:t>
            </w:r>
          </w:p>
        </w:tc>
        <w:tc>
          <w:tcPr>
            <w:tcW w:w="7401" w:type="dxa"/>
            <w:gridSpan w:val="9"/>
            <w:tcBorders>
              <w:top w:val="nil"/>
              <w:left w:val="nil"/>
              <w:bottom w:val="single" w:color="000000" w:sz="4" w:space="0"/>
              <w:right w:val="single" w:color="000000" w:sz="4" w:space="0"/>
            </w:tcBorders>
            <w:noWrap w:val="0"/>
            <w:vAlign w:val="center"/>
          </w:tcPr>
          <w:p w14:paraId="473F8587">
            <w:pPr>
              <w:pStyle w:val="148"/>
              <w:topLinePunct/>
              <w:jc w:val="center"/>
              <w:rPr>
                <w:rFonts w:hint="eastAsia" w:ascii="仿宋" w:hAnsi="仿宋" w:eastAsia="仿宋" w:cs="仿宋"/>
                <w:color w:val="000000"/>
              </w:rPr>
            </w:pPr>
          </w:p>
        </w:tc>
      </w:tr>
      <w:tr w14:paraId="4E80C55A">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09140828">
            <w:pPr>
              <w:pStyle w:val="148"/>
              <w:topLinePunct/>
              <w:jc w:val="center"/>
              <w:rPr>
                <w:rFonts w:hint="eastAsia" w:ascii="仿宋" w:hAnsi="仿宋" w:eastAsia="仿宋" w:cs="仿宋"/>
                <w:color w:val="000000"/>
              </w:rPr>
            </w:pPr>
            <w:r>
              <w:rPr>
                <w:rFonts w:hint="eastAsia" w:ascii="仿宋" w:hAnsi="仿宋" w:eastAsia="仿宋" w:cs="仿宋"/>
                <w:color w:val="000000"/>
              </w:rPr>
              <w:t>法定代表人（负责人）</w:t>
            </w:r>
          </w:p>
        </w:tc>
        <w:tc>
          <w:tcPr>
            <w:tcW w:w="1046" w:type="dxa"/>
            <w:tcBorders>
              <w:top w:val="nil"/>
              <w:left w:val="nil"/>
              <w:bottom w:val="single" w:color="000000" w:sz="4" w:space="0"/>
              <w:right w:val="single" w:color="000000" w:sz="4" w:space="0"/>
            </w:tcBorders>
            <w:noWrap w:val="0"/>
            <w:vAlign w:val="center"/>
          </w:tcPr>
          <w:p w14:paraId="0053FCFD">
            <w:pPr>
              <w:pStyle w:val="148"/>
              <w:topLinePunct/>
              <w:jc w:val="center"/>
              <w:rPr>
                <w:rFonts w:hint="eastAsia" w:ascii="仿宋" w:hAnsi="仿宋" w:eastAsia="仿宋" w:cs="仿宋"/>
                <w:color w:val="000000"/>
              </w:rPr>
            </w:pPr>
            <w:r>
              <w:rPr>
                <w:rFonts w:hint="eastAsia" w:ascii="仿宋" w:hAnsi="仿宋" w:eastAsia="仿宋" w:cs="仿宋"/>
                <w:color w:val="000000"/>
              </w:rPr>
              <w:t>姓名</w:t>
            </w:r>
          </w:p>
        </w:tc>
        <w:tc>
          <w:tcPr>
            <w:tcW w:w="1276" w:type="dxa"/>
            <w:gridSpan w:val="2"/>
            <w:tcBorders>
              <w:top w:val="single" w:color="000000" w:sz="4" w:space="0"/>
              <w:left w:val="nil"/>
              <w:bottom w:val="single" w:color="000000" w:sz="4" w:space="0"/>
              <w:right w:val="single" w:color="000000" w:sz="4" w:space="0"/>
            </w:tcBorders>
            <w:noWrap w:val="0"/>
            <w:vAlign w:val="center"/>
          </w:tcPr>
          <w:p w14:paraId="7F71421B">
            <w:pPr>
              <w:pStyle w:val="148"/>
              <w:topLinePunct/>
              <w:jc w:val="center"/>
              <w:rPr>
                <w:rFonts w:hint="eastAsia" w:ascii="仿宋" w:hAnsi="仿宋" w:eastAsia="仿宋" w:cs="仿宋"/>
                <w:color w:val="000000"/>
              </w:rPr>
            </w:pPr>
          </w:p>
        </w:tc>
        <w:tc>
          <w:tcPr>
            <w:tcW w:w="1168" w:type="dxa"/>
            <w:gridSpan w:val="2"/>
            <w:tcBorders>
              <w:top w:val="single" w:color="000000" w:sz="4" w:space="0"/>
              <w:left w:val="nil"/>
              <w:bottom w:val="single" w:color="000000" w:sz="4" w:space="0"/>
              <w:right w:val="single" w:color="000000" w:sz="4" w:space="0"/>
            </w:tcBorders>
            <w:noWrap w:val="0"/>
            <w:vAlign w:val="center"/>
          </w:tcPr>
          <w:p w14:paraId="4DD432B7">
            <w:pPr>
              <w:pStyle w:val="148"/>
              <w:topLinePunct/>
              <w:jc w:val="center"/>
              <w:rPr>
                <w:rFonts w:hint="eastAsia" w:ascii="仿宋" w:hAnsi="仿宋" w:eastAsia="仿宋" w:cs="仿宋"/>
                <w:color w:val="000000"/>
              </w:rPr>
            </w:pPr>
            <w:r>
              <w:rPr>
                <w:rFonts w:hint="eastAsia" w:ascii="仿宋" w:hAnsi="仿宋" w:eastAsia="仿宋" w:cs="仿宋"/>
                <w:color w:val="000000"/>
              </w:rPr>
              <w:t>职称</w:t>
            </w:r>
          </w:p>
        </w:tc>
        <w:tc>
          <w:tcPr>
            <w:tcW w:w="1838" w:type="dxa"/>
            <w:gridSpan w:val="2"/>
            <w:tcBorders>
              <w:top w:val="single" w:color="000000" w:sz="4" w:space="0"/>
              <w:left w:val="nil"/>
              <w:bottom w:val="single" w:color="000000" w:sz="4" w:space="0"/>
              <w:right w:val="single" w:color="000000" w:sz="4" w:space="0"/>
            </w:tcBorders>
            <w:noWrap w:val="0"/>
            <w:vAlign w:val="center"/>
          </w:tcPr>
          <w:p w14:paraId="599F7019">
            <w:pPr>
              <w:pStyle w:val="148"/>
              <w:topLinePunct/>
              <w:jc w:val="center"/>
              <w:rPr>
                <w:rFonts w:hint="eastAsia" w:ascii="仿宋" w:hAnsi="仿宋" w:eastAsia="仿宋" w:cs="仿宋"/>
                <w:color w:val="000000"/>
              </w:rPr>
            </w:pPr>
          </w:p>
        </w:tc>
        <w:tc>
          <w:tcPr>
            <w:tcW w:w="956" w:type="dxa"/>
            <w:tcBorders>
              <w:top w:val="single" w:color="000000" w:sz="4" w:space="0"/>
              <w:left w:val="nil"/>
              <w:bottom w:val="single" w:color="000000" w:sz="4" w:space="0"/>
              <w:right w:val="single" w:color="000000" w:sz="4" w:space="0"/>
            </w:tcBorders>
            <w:noWrap w:val="0"/>
            <w:vAlign w:val="center"/>
          </w:tcPr>
          <w:p w14:paraId="19BFFDE0">
            <w:pPr>
              <w:pStyle w:val="14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1117" w:type="dxa"/>
            <w:tcBorders>
              <w:top w:val="single" w:color="000000" w:sz="4" w:space="0"/>
              <w:left w:val="nil"/>
              <w:bottom w:val="single" w:color="000000" w:sz="4" w:space="0"/>
              <w:right w:val="single" w:color="000000" w:sz="4" w:space="0"/>
            </w:tcBorders>
            <w:noWrap w:val="0"/>
            <w:vAlign w:val="center"/>
          </w:tcPr>
          <w:p w14:paraId="3BE0EDE2">
            <w:pPr>
              <w:pStyle w:val="148"/>
              <w:topLinePunct/>
              <w:jc w:val="center"/>
              <w:rPr>
                <w:rFonts w:hint="eastAsia" w:ascii="仿宋" w:hAnsi="仿宋" w:eastAsia="仿宋" w:cs="仿宋"/>
                <w:color w:val="000000"/>
              </w:rPr>
            </w:pPr>
          </w:p>
        </w:tc>
      </w:tr>
      <w:tr w14:paraId="6CB9BAF3">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29F317E6">
            <w:pPr>
              <w:pStyle w:val="148"/>
              <w:topLinePunct/>
              <w:jc w:val="center"/>
              <w:rPr>
                <w:rFonts w:hint="eastAsia" w:ascii="仿宋" w:hAnsi="仿宋" w:eastAsia="仿宋" w:cs="仿宋"/>
                <w:color w:val="000000"/>
              </w:rPr>
            </w:pPr>
            <w:r>
              <w:rPr>
                <w:rFonts w:hint="eastAsia" w:ascii="仿宋" w:hAnsi="仿宋" w:eastAsia="仿宋" w:cs="仿宋"/>
                <w:color w:val="000000"/>
              </w:rPr>
              <w:t>技术负责人</w:t>
            </w:r>
          </w:p>
        </w:tc>
        <w:tc>
          <w:tcPr>
            <w:tcW w:w="1046" w:type="dxa"/>
            <w:tcBorders>
              <w:top w:val="nil"/>
              <w:left w:val="nil"/>
              <w:bottom w:val="single" w:color="000000" w:sz="4" w:space="0"/>
              <w:right w:val="single" w:color="000000" w:sz="4" w:space="0"/>
            </w:tcBorders>
            <w:noWrap w:val="0"/>
            <w:vAlign w:val="center"/>
          </w:tcPr>
          <w:p w14:paraId="4C734E0B">
            <w:pPr>
              <w:pStyle w:val="148"/>
              <w:topLinePunct/>
              <w:jc w:val="center"/>
              <w:rPr>
                <w:rFonts w:hint="eastAsia" w:ascii="仿宋" w:hAnsi="仿宋" w:eastAsia="仿宋" w:cs="仿宋"/>
                <w:color w:val="000000"/>
              </w:rPr>
            </w:pPr>
            <w:r>
              <w:rPr>
                <w:rFonts w:hint="eastAsia" w:ascii="仿宋" w:hAnsi="仿宋" w:eastAsia="仿宋" w:cs="仿宋"/>
                <w:color w:val="000000"/>
              </w:rPr>
              <w:t>姓名</w:t>
            </w:r>
          </w:p>
        </w:tc>
        <w:tc>
          <w:tcPr>
            <w:tcW w:w="1276" w:type="dxa"/>
            <w:gridSpan w:val="2"/>
            <w:tcBorders>
              <w:top w:val="nil"/>
              <w:left w:val="nil"/>
              <w:bottom w:val="single" w:color="000000" w:sz="4" w:space="0"/>
              <w:right w:val="single" w:color="000000" w:sz="4" w:space="0"/>
            </w:tcBorders>
            <w:noWrap w:val="0"/>
            <w:vAlign w:val="center"/>
          </w:tcPr>
          <w:p w14:paraId="5CBC57B5">
            <w:pPr>
              <w:pStyle w:val="148"/>
              <w:topLinePunct/>
              <w:jc w:val="center"/>
              <w:rPr>
                <w:rFonts w:hint="eastAsia" w:ascii="仿宋" w:hAnsi="仿宋" w:eastAsia="仿宋" w:cs="仿宋"/>
                <w:color w:val="000000"/>
              </w:rPr>
            </w:pPr>
          </w:p>
        </w:tc>
        <w:tc>
          <w:tcPr>
            <w:tcW w:w="1168" w:type="dxa"/>
            <w:gridSpan w:val="2"/>
            <w:tcBorders>
              <w:top w:val="nil"/>
              <w:left w:val="nil"/>
              <w:bottom w:val="single" w:color="000000" w:sz="4" w:space="0"/>
              <w:right w:val="single" w:color="000000" w:sz="4" w:space="0"/>
            </w:tcBorders>
            <w:noWrap w:val="0"/>
            <w:vAlign w:val="center"/>
          </w:tcPr>
          <w:p w14:paraId="068910C3">
            <w:pPr>
              <w:pStyle w:val="148"/>
              <w:topLinePunct/>
              <w:jc w:val="center"/>
              <w:rPr>
                <w:rFonts w:hint="eastAsia" w:ascii="仿宋" w:hAnsi="仿宋" w:eastAsia="仿宋" w:cs="仿宋"/>
                <w:color w:val="000000"/>
              </w:rPr>
            </w:pPr>
            <w:r>
              <w:rPr>
                <w:rFonts w:hint="eastAsia" w:ascii="仿宋" w:hAnsi="仿宋" w:eastAsia="仿宋" w:cs="仿宋"/>
                <w:color w:val="000000"/>
              </w:rPr>
              <w:t>职称</w:t>
            </w:r>
          </w:p>
        </w:tc>
        <w:tc>
          <w:tcPr>
            <w:tcW w:w="1838" w:type="dxa"/>
            <w:gridSpan w:val="2"/>
            <w:tcBorders>
              <w:top w:val="nil"/>
              <w:left w:val="nil"/>
              <w:bottom w:val="single" w:color="000000" w:sz="4" w:space="0"/>
              <w:right w:val="single" w:color="000000" w:sz="4" w:space="0"/>
            </w:tcBorders>
            <w:noWrap w:val="0"/>
            <w:vAlign w:val="center"/>
          </w:tcPr>
          <w:p w14:paraId="516AE98E">
            <w:pPr>
              <w:pStyle w:val="148"/>
              <w:topLinePunct/>
              <w:jc w:val="center"/>
              <w:rPr>
                <w:rFonts w:hint="eastAsia" w:ascii="仿宋" w:hAnsi="仿宋" w:eastAsia="仿宋" w:cs="仿宋"/>
                <w:color w:val="000000"/>
              </w:rPr>
            </w:pPr>
          </w:p>
        </w:tc>
        <w:tc>
          <w:tcPr>
            <w:tcW w:w="956" w:type="dxa"/>
            <w:tcBorders>
              <w:top w:val="nil"/>
              <w:left w:val="nil"/>
              <w:bottom w:val="single" w:color="000000" w:sz="4" w:space="0"/>
              <w:right w:val="single" w:color="000000" w:sz="4" w:space="0"/>
            </w:tcBorders>
            <w:noWrap w:val="0"/>
            <w:vAlign w:val="center"/>
          </w:tcPr>
          <w:p w14:paraId="5561CBCA">
            <w:pPr>
              <w:pStyle w:val="14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1117" w:type="dxa"/>
            <w:tcBorders>
              <w:top w:val="nil"/>
              <w:left w:val="nil"/>
              <w:bottom w:val="single" w:color="000000" w:sz="4" w:space="0"/>
              <w:right w:val="single" w:color="000000" w:sz="4" w:space="0"/>
            </w:tcBorders>
            <w:noWrap w:val="0"/>
            <w:vAlign w:val="center"/>
          </w:tcPr>
          <w:p w14:paraId="5B47FF4A">
            <w:pPr>
              <w:pStyle w:val="148"/>
              <w:topLinePunct/>
              <w:jc w:val="center"/>
              <w:rPr>
                <w:rFonts w:hint="eastAsia" w:ascii="仿宋" w:hAnsi="仿宋" w:eastAsia="仿宋" w:cs="仿宋"/>
                <w:color w:val="000000"/>
              </w:rPr>
            </w:pPr>
          </w:p>
        </w:tc>
      </w:tr>
      <w:tr w14:paraId="6374D398">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34EEE6A6">
            <w:pPr>
              <w:pStyle w:val="148"/>
              <w:topLinePunct/>
              <w:jc w:val="center"/>
              <w:rPr>
                <w:rFonts w:hint="eastAsia" w:ascii="仿宋" w:hAnsi="仿宋" w:eastAsia="仿宋" w:cs="仿宋"/>
                <w:color w:val="000000"/>
              </w:rPr>
            </w:pPr>
            <w:r>
              <w:rPr>
                <w:rFonts w:hint="eastAsia" w:ascii="仿宋" w:hAnsi="仿宋" w:eastAsia="仿宋" w:cs="仿宋"/>
                <w:color w:val="000000"/>
              </w:rPr>
              <w:t>成立时间</w:t>
            </w:r>
          </w:p>
        </w:tc>
        <w:tc>
          <w:tcPr>
            <w:tcW w:w="2322" w:type="dxa"/>
            <w:gridSpan w:val="3"/>
            <w:tcBorders>
              <w:top w:val="nil"/>
              <w:left w:val="nil"/>
              <w:bottom w:val="single" w:color="000000" w:sz="4" w:space="0"/>
              <w:right w:val="single" w:color="000000" w:sz="4" w:space="0"/>
            </w:tcBorders>
            <w:noWrap w:val="0"/>
            <w:vAlign w:val="center"/>
          </w:tcPr>
          <w:p w14:paraId="34E7D53B">
            <w:pPr>
              <w:pStyle w:val="148"/>
              <w:topLinePunct/>
              <w:jc w:val="center"/>
              <w:rPr>
                <w:rFonts w:hint="eastAsia" w:ascii="仿宋" w:hAnsi="仿宋" w:eastAsia="仿宋" w:cs="仿宋"/>
                <w:color w:val="000000"/>
              </w:rPr>
            </w:pPr>
          </w:p>
        </w:tc>
        <w:tc>
          <w:tcPr>
            <w:tcW w:w="5079" w:type="dxa"/>
            <w:gridSpan w:val="6"/>
            <w:tcBorders>
              <w:top w:val="nil"/>
              <w:left w:val="nil"/>
              <w:bottom w:val="single" w:color="000000" w:sz="4" w:space="0"/>
              <w:right w:val="single" w:color="000000" w:sz="4" w:space="0"/>
            </w:tcBorders>
            <w:noWrap w:val="0"/>
            <w:vAlign w:val="center"/>
          </w:tcPr>
          <w:p w14:paraId="3158BD04">
            <w:pPr>
              <w:pStyle w:val="148"/>
              <w:topLinePunct/>
              <w:ind w:firstLine="105"/>
              <w:jc w:val="center"/>
              <w:rPr>
                <w:rFonts w:hint="eastAsia" w:ascii="仿宋" w:hAnsi="仿宋" w:eastAsia="仿宋" w:cs="仿宋"/>
                <w:color w:val="000000"/>
              </w:rPr>
            </w:pPr>
            <w:r>
              <w:rPr>
                <w:rFonts w:hint="eastAsia" w:ascii="仿宋" w:hAnsi="仿宋" w:eastAsia="仿宋" w:cs="仿宋"/>
                <w:color w:val="000000"/>
              </w:rPr>
              <w:t>员工总人数：</w:t>
            </w:r>
          </w:p>
        </w:tc>
      </w:tr>
      <w:tr w14:paraId="587697A9">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77A14751">
            <w:pPr>
              <w:pStyle w:val="148"/>
              <w:topLinePunct/>
              <w:jc w:val="center"/>
              <w:rPr>
                <w:rFonts w:hint="eastAsia" w:ascii="仿宋" w:hAnsi="仿宋" w:eastAsia="仿宋" w:cs="仿宋"/>
                <w:color w:val="000000"/>
              </w:rPr>
            </w:pPr>
            <w:r>
              <w:rPr>
                <w:rFonts w:hint="eastAsia" w:ascii="仿宋" w:hAnsi="仿宋" w:eastAsia="仿宋" w:cs="仿宋"/>
                <w:color w:val="000000"/>
              </w:rPr>
              <w:t>企业资质等级</w:t>
            </w:r>
          </w:p>
        </w:tc>
        <w:tc>
          <w:tcPr>
            <w:tcW w:w="2322" w:type="dxa"/>
            <w:gridSpan w:val="3"/>
            <w:tcBorders>
              <w:top w:val="nil"/>
              <w:left w:val="nil"/>
              <w:bottom w:val="single" w:color="000000" w:sz="4" w:space="0"/>
              <w:right w:val="single" w:color="000000" w:sz="4" w:space="0"/>
            </w:tcBorders>
            <w:noWrap w:val="0"/>
            <w:vAlign w:val="center"/>
          </w:tcPr>
          <w:p w14:paraId="5BD53DD9">
            <w:pPr>
              <w:pStyle w:val="148"/>
              <w:topLinePunct/>
              <w:jc w:val="center"/>
              <w:rPr>
                <w:rFonts w:hint="eastAsia" w:ascii="仿宋" w:hAnsi="仿宋" w:eastAsia="仿宋" w:cs="仿宋"/>
                <w:color w:val="000000"/>
              </w:rPr>
            </w:pPr>
          </w:p>
        </w:tc>
        <w:tc>
          <w:tcPr>
            <w:tcW w:w="567" w:type="dxa"/>
            <w:vMerge w:val="restart"/>
            <w:tcBorders>
              <w:top w:val="nil"/>
              <w:left w:val="nil"/>
              <w:bottom w:val="single" w:color="000000" w:sz="4" w:space="0"/>
              <w:right w:val="single" w:color="000000" w:sz="4" w:space="0"/>
            </w:tcBorders>
            <w:noWrap w:val="0"/>
            <w:vAlign w:val="center"/>
          </w:tcPr>
          <w:p w14:paraId="6B2CD519">
            <w:pPr>
              <w:pStyle w:val="148"/>
              <w:topLinePunct/>
              <w:jc w:val="center"/>
              <w:rPr>
                <w:rFonts w:hint="eastAsia" w:ascii="仿宋" w:hAnsi="仿宋" w:eastAsia="仿宋" w:cs="仿宋"/>
                <w:color w:val="000000"/>
              </w:rPr>
            </w:pPr>
            <w:r>
              <w:rPr>
                <w:rFonts w:hint="eastAsia" w:ascii="仿宋" w:hAnsi="仿宋" w:eastAsia="仿宋" w:cs="仿宋"/>
                <w:color w:val="000000"/>
              </w:rPr>
              <w:t>其中</w:t>
            </w:r>
          </w:p>
        </w:tc>
        <w:tc>
          <w:tcPr>
            <w:tcW w:w="2439" w:type="dxa"/>
            <w:gridSpan w:val="3"/>
            <w:tcBorders>
              <w:top w:val="single" w:color="000000" w:sz="4" w:space="0"/>
              <w:left w:val="nil"/>
              <w:bottom w:val="single" w:color="000000" w:sz="4" w:space="0"/>
              <w:right w:val="single" w:color="000000" w:sz="4" w:space="0"/>
            </w:tcBorders>
            <w:noWrap w:val="0"/>
            <w:vAlign w:val="center"/>
          </w:tcPr>
          <w:p w14:paraId="15A0D641">
            <w:pPr>
              <w:pStyle w:val="148"/>
              <w:topLinePunct/>
              <w:jc w:val="center"/>
              <w:rPr>
                <w:rFonts w:hint="eastAsia" w:ascii="仿宋" w:hAnsi="仿宋" w:eastAsia="仿宋" w:cs="仿宋"/>
                <w:color w:val="000000"/>
              </w:rPr>
            </w:pPr>
            <w:r>
              <w:rPr>
                <w:rFonts w:hint="eastAsia" w:ascii="仿宋" w:hAnsi="仿宋" w:eastAsia="仿宋" w:cs="仿宋"/>
                <w:color w:val="000000"/>
              </w:rPr>
              <w:t>项目负责人</w:t>
            </w:r>
          </w:p>
        </w:tc>
        <w:tc>
          <w:tcPr>
            <w:tcW w:w="2073" w:type="dxa"/>
            <w:gridSpan w:val="2"/>
            <w:tcBorders>
              <w:top w:val="single" w:color="000000" w:sz="4" w:space="0"/>
              <w:left w:val="nil"/>
              <w:bottom w:val="single" w:color="000000" w:sz="4" w:space="0"/>
              <w:right w:val="single" w:color="000000" w:sz="4" w:space="0"/>
            </w:tcBorders>
            <w:noWrap w:val="0"/>
            <w:vAlign w:val="center"/>
          </w:tcPr>
          <w:p w14:paraId="08A23161">
            <w:pPr>
              <w:pStyle w:val="148"/>
              <w:topLinePunct/>
              <w:jc w:val="center"/>
              <w:rPr>
                <w:rFonts w:hint="eastAsia" w:ascii="仿宋" w:hAnsi="仿宋" w:eastAsia="仿宋" w:cs="仿宋"/>
                <w:color w:val="000000"/>
              </w:rPr>
            </w:pPr>
          </w:p>
        </w:tc>
      </w:tr>
      <w:tr w14:paraId="50B7C176">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70EB5E36">
            <w:pPr>
              <w:pStyle w:val="148"/>
              <w:topLinePunct/>
              <w:jc w:val="center"/>
              <w:rPr>
                <w:rFonts w:hint="eastAsia" w:ascii="仿宋" w:hAnsi="仿宋" w:eastAsia="仿宋" w:cs="仿宋"/>
                <w:color w:val="000000"/>
              </w:rPr>
            </w:pPr>
            <w:r>
              <w:rPr>
                <w:rFonts w:hint="eastAsia" w:ascii="仿宋" w:hAnsi="仿宋" w:eastAsia="仿宋" w:cs="仿宋"/>
                <w:color w:val="000000"/>
              </w:rPr>
              <w:t>营业执照号</w:t>
            </w:r>
          </w:p>
        </w:tc>
        <w:tc>
          <w:tcPr>
            <w:tcW w:w="2322" w:type="dxa"/>
            <w:gridSpan w:val="3"/>
            <w:tcBorders>
              <w:top w:val="nil"/>
              <w:left w:val="nil"/>
              <w:bottom w:val="single" w:color="000000" w:sz="4" w:space="0"/>
              <w:right w:val="single" w:color="000000" w:sz="4" w:space="0"/>
            </w:tcBorders>
            <w:noWrap w:val="0"/>
            <w:vAlign w:val="center"/>
          </w:tcPr>
          <w:p w14:paraId="735342CE">
            <w:pPr>
              <w:pStyle w:val="148"/>
              <w:topLinePunct/>
              <w:jc w:val="center"/>
              <w:rPr>
                <w:rFonts w:hint="eastAsia" w:ascii="仿宋" w:hAnsi="仿宋" w:eastAsia="仿宋" w:cs="仿宋"/>
                <w:color w:val="000000"/>
              </w:rPr>
            </w:pPr>
          </w:p>
        </w:tc>
        <w:tc>
          <w:tcPr>
            <w:tcW w:w="567" w:type="dxa"/>
            <w:vMerge w:val="continue"/>
            <w:tcBorders>
              <w:top w:val="nil"/>
              <w:left w:val="nil"/>
              <w:bottom w:val="single" w:color="000000" w:sz="4" w:space="0"/>
              <w:right w:val="single" w:color="000000" w:sz="4" w:space="0"/>
            </w:tcBorders>
            <w:noWrap w:val="0"/>
            <w:vAlign w:val="center"/>
          </w:tcPr>
          <w:p w14:paraId="1256112E">
            <w:pPr>
              <w:rPr>
                <w:rFonts w:hint="eastAsia" w:ascii="仿宋" w:hAnsi="仿宋" w:eastAsia="仿宋" w:cs="仿宋"/>
                <w:color w:val="000000"/>
                <w:szCs w:val="21"/>
              </w:rPr>
            </w:pPr>
          </w:p>
        </w:tc>
        <w:tc>
          <w:tcPr>
            <w:tcW w:w="2439" w:type="dxa"/>
            <w:gridSpan w:val="3"/>
            <w:tcBorders>
              <w:top w:val="nil"/>
              <w:left w:val="nil"/>
              <w:bottom w:val="single" w:color="000000" w:sz="4" w:space="0"/>
              <w:right w:val="single" w:color="000000" w:sz="4" w:space="0"/>
            </w:tcBorders>
            <w:noWrap w:val="0"/>
            <w:vAlign w:val="center"/>
          </w:tcPr>
          <w:p w14:paraId="7E2BAABD">
            <w:pPr>
              <w:pStyle w:val="148"/>
              <w:topLinePunct/>
              <w:jc w:val="center"/>
              <w:rPr>
                <w:rFonts w:hint="eastAsia" w:ascii="仿宋" w:hAnsi="仿宋" w:eastAsia="仿宋" w:cs="仿宋"/>
                <w:color w:val="000000"/>
              </w:rPr>
            </w:pPr>
            <w:r>
              <w:rPr>
                <w:rFonts w:hint="eastAsia" w:ascii="仿宋" w:hAnsi="仿宋" w:eastAsia="仿宋" w:cs="仿宋"/>
                <w:color w:val="000000"/>
              </w:rPr>
              <w:t>高级职称人员</w:t>
            </w:r>
          </w:p>
        </w:tc>
        <w:tc>
          <w:tcPr>
            <w:tcW w:w="2073" w:type="dxa"/>
            <w:gridSpan w:val="2"/>
            <w:tcBorders>
              <w:top w:val="nil"/>
              <w:left w:val="nil"/>
              <w:bottom w:val="single" w:color="000000" w:sz="4" w:space="0"/>
              <w:right w:val="single" w:color="000000" w:sz="4" w:space="0"/>
            </w:tcBorders>
            <w:noWrap w:val="0"/>
            <w:vAlign w:val="center"/>
          </w:tcPr>
          <w:p w14:paraId="53A486D4">
            <w:pPr>
              <w:pStyle w:val="148"/>
              <w:topLinePunct/>
              <w:jc w:val="center"/>
              <w:rPr>
                <w:rFonts w:hint="eastAsia" w:ascii="仿宋" w:hAnsi="仿宋" w:eastAsia="仿宋" w:cs="仿宋"/>
                <w:color w:val="000000"/>
              </w:rPr>
            </w:pPr>
          </w:p>
        </w:tc>
      </w:tr>
      <w:tr w14:paraId="113D4C2A">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51240D42">
            <w:pPr>
              <w:pStyle w:val="148"/>
              <w:topLinePunct/>
              <w:jc w:val="center"/>
              <w:rPr>
                <w:rFonts w:hint="eastAsia" w:ascii="仿宋" w:hAnsi="仿宋" w:eastAsia="仿宋" w:cs="仿宋"/>
                <w:color w:val="000000"/>
              </w:rPr>
            </w:pPr>
            <w:r>
              <w:rPr>
                <w:rFonts w:hint="eastAsia" w:ascii="仿宋" w:hAnsi="仿宋" w:eastAsia="仿宋" w:cs="仿宋"/>
                <w:color w:val="000000"/>
              </w:rPr>
              <w:t>注册资金</w:t>
            </w:r>
          </w:p>
        </w:tc>
        <w:tc>
          <w:tcPr>
            <w:tcW w:w="2322" w:type="dxa"/>
            <w:gridSpan w:val="3"/>
            <w:tcBorders>
              <w:top w:val="nil"/>
              <w:left w:val="nil"/>
              <w:bottom w:val="single" w:color="000000" w:sz="4" w:space="0"/>
              <w:right w:val="single" w:color="000000" w:sz="4" w:space="0"/>
            </w:tcBorders>
            <w:noWrap w:val="0"/>
            <w:vAlign w:val="center"/>
          </w:tcPr>
          <w:p w14:paraId="3820A5DB">
            <w:pPr>
              <w:pStyle w:val="148"/>
              <w:topLinePunct/>
              <w:jc w:val="center"/>
              <w:rPr>
                <w:rFonts w:hint="eastAsia" w:ascii="仿宋" w:hAnsi="仿宋" w:eastAsia="仿宋" w:cs="仿宋"/>
                <w:color w:val="000000"/>
              </w:rPr>
            </w:pPr>
          </w:p>
        </w:tc>
        <w:tc>
          <w:tcPr>
            <w:tcW w:w="567" w:type="dxa"/>
            <w:vMerge w:val="continue"/>
            <w:tcBorders>
              <w:top w:val="nil"/>
              <w:left w:val="nil"/>
              <w:bottom w:val="single" w:color="000000" w:sz="4" w:space="0"/>
              <w:right w:val="single" w:color="000000" w:sz="4" w:space="0"/>
            </w:tcBorders>
            <w:noWrap w:val="0"/>
            <w:vAlign w:val="center"/>
          </w:tcPr>
          <w:p w14:paraId="0B498038">
            <w:pPr>
              <w:rPr>
                <w:rFonts w:hint="eastAsia" w:ascii="仿宋" w:hAnsi="仿宋" w:eastAsia="仿宋" w:cs="仿宋"/>
                <w:color w:val="000000"/>
                <w:szCs w:val="21"/>
              </w:rPr>
            </w:pPr>
          </w:p>
        </w:tc>
        <w:tc>
          <w:tcPr>
            <w:tcW w:w="2439" w:type="dxa"/>
            <w:gridSpan w:val="3"/>
            <w:tcBorders>
              <w:top w:val="nil"/>
              <w:left w:val="nil"/>
              <w:bottom w:val="single" w:color="000000" w:sz="4" w:space="0"/>
              <w:right w:val="single" w:color="000000" w:sz="4" w:space="0"/>
            </w:tcBorders>
            <w:noWrap w:val="0"/>
            <w:vAlign w:val="center"/>
          </w:tcPr>
          <w:p w14:paraId="32B80731">
            <w:pPr>
              <w:pStyle w:val="148"/>
              <w:topLinePunct/>
              <w:jc w:val="center"/>
              <w:rPr>
                <w:rFonts w:hint="eastAsia" w:ascii="仿宋" w:hAnsi="仿宋" w:eastAsia="仿宋" w:cs="仿宋"/>
                <w:color w:val="000000"/>
              </w:rPr>
            </w:pPr>
            <w:r>
              <w:rPr>
                <w:rFonts w:hint="eastAsia" w:ascii="仿宋" w:hAnsi="仿宋" w:eastAsia="仿宋" w:cs="仿宋"/>
                <w:color w:val="000000"/>
              </w:rPr>
              <w:t>中级职称人员</w:t>
            </w:r>
          </w:p>
        </w:tc>
        <w:tc>
          <w:tcPr>
            <w:tcW w:w="2073" w:type="dxa"/>
            <w:gridSpan w:val="2"/>
            <w:tcBorders>
              <w:top w:val="nil"/>
              <w:left w:val="nil"/>
              <w:bottom w:val="single" w:color="000000" w:sz="4" w:space="0"/>
              <w:right w:val="single" w:color="000000" w:sz="4" w:space="0"/>
            </w:tcBorders>
            <w:noWrap w:val="0"/>
            <w:vAlign w:val="center"/>
          </w:tcPr>
          <w:p w14:paraId="34831B84">
            <w:pPr>
              <w:pStyle w:val="148"/>
              <w:topLinePunct/>
              <w:jc w:val="center"/>
              <w:rPr>
                <w:rFonts w:hint="eastAsia" w:ascii="仿宋" w:hAnsi="仿宋" w:eastAsia="仿宋" w:cs="仿宋"/>
                <w:color w:val="000000"/>
              </w:rPr>
            </w:pPr>
          </w:p>
        </w:tc>
      </w:tr>
      <w:tr w14:paraId="3D8444F9">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64B83C0A">
            <w:pPr>
              <w:pStyle w:val="148"/>
              <w:topLinePunct/>
              <w:jc w:val="center"/>
              <w:rPr>
                <w:rFonts w:hint="eastAsia" w:ascii="仿宋" w:hAnsi="仿宋" w:eastAsia="仿宋" w:cs="仿宋"/>
                <w:color w:val="000000"/>
              </w:rPr>
            </w:pPr>
            <w:r>
              <w:rPr>
                <w:rFonts w:hint="eastAsia" w:ascii="仿宋" w:hAnsi="仿宋" w:eastAsia="仿宋" w:cs="仿宋"/>
                <w:color w:val="000000"/>
              </w:rPr>
              <w:t>开户银行</w:t>
            </w:r>
          </w:p>
        </w:tc>
        <w:tc>
          <w:tcPr>
            <w:tcW w:w="2322" w:type="dxa"/>
            <w:gridSpan w:val="3"/>
            <w:tcBorders>
              <w:top w:val="nil"/>
              <w:left w:val="nil"/>
              <w:bottom w:val="single" w:color="000000" w:sz="4" w:space="0"/>
              <w:right w:val="single" w:color="000000" w:sz="4" w:space="0"/>
            </w:tcBorders>
            <w:noWrap w:val="0"/>
            <w:vAlign w:val="center"/>
          </w:tcPr>
          <w:p w14:paraId="4F3B4409">
            <w:pPr>
              <w:pStyle w:val="148"/>
              <w:topLinePunct/>
              <w:jc w:val="center"/>
              <w:rPr>
                <w:rFonts w:hint="eastAsia" w:ascii="仿宋" w:hAnsi="仿宋" w:eastAsia="仿宋" w:cs="仿宋"/>
                <w:color w:val="000000"/>
              </w:rPr>
            </w:pPr>
          </w:p>
        </w:tc>
        <w:tc>
          <w:tcPr>
            <w:tcW w:w="567" w:type="dxa"/>
            <w:vMerge w:val="continue"/>
            <w:tcBorders>
              <w:top w:val="nil"/>
              <w:left w:val="nil"/>
              <w:bottom w:val="single" w:color="000000" w:sz="4" w:space="0"/>
              <w:right w:val="single" w:color="000000" w:sz="4" w:space="0"/>
            </w:tcBorders>
            <w:noWrap w:val="0"/>
            <w:vAlign w:val="center"/>
          </w:tcPr>
          <w:p w14:paraId="6FEC07E4">
            <w:pPr>
              <w:rPr>
                <w:rFonts w:hint="eastAsia" w:ascii="仿宋" w:hAnsi="仿宋" w:eastAsia="仿宋" w:cs="仿宋"/>
                <w:color w:val="000000"/>
                <w:szCs w:val="21"/>
              </w:rPr>
            </w:pPr>
          </w:p>
        </w:tc>
        <w:tc>
          <w:tcPr>
            <w:tcW w:w="2439" w:type="dxa"/>
            <w:gridSpan w:val="3"/>
            <w:vMerge w:val="restart"/>
            <w:tcBorders>
              <w:top w:val="nil"/>
              <w:left w:val="nil"/>
              <w:right w:val="single" w:color="000000" w:sz="4" w:space="0"/>
            </w:tcBorders>
            <w:noWrap w:val="0"/>
            <w:vAlign w:val="center"/>
          </w:tcPr>
          <w:p w14:paraId="188B16E3">
            <w:pPr>
              <w:pStyle w:val="148"/>
              <w:topLinePunct/>
              <w:jc w:val="center"/>
              <w:rPr>
                <w:rFonts w:hint="eastAsia" w:ascii="仿宋" w:hAnsi="仿宋" w:eastAsia="仿宋" w:cs="仿宋"/>
                <w:color w:val="000000"/>
              </w:rPr>
            </w:pPr>
            <w:r>
              <w:rPr>
                <w:rFonts w:hint="eastAsia" w:ascii="仿宋" w:hAnsi="仿宋" w:eastAsia="仿宋" w:cs="仿宋"/>
                <w:color w:val="000000"/>
              </w:rPr>
              <w:t>初级职称人员</w:t>
            </w:r>
          </w:p>
        </w:tc>
        <w:tc>
          <w:tcPr>
            <w:tcW w:w="2073" w:type="dxa"/>
            <w:gridSpan w:val="2"/>
            <w:vMerge w:val="restart"/>
            <w:tcBorders>
              <w:top w:val="nil"/>
              <w:left w:val="nil"/>
              <w:right w:val="single" w:color="000000" w:sz="4" w:space="0"/>
            </w:tcBorders>
            <w:noWrap w:val="0"/>
            <w:vAlign w:val="center"/>
          </w:tcPr>
          <w:p w14:paraId="3DAF1B0F">
            <w:pPr>
              <w:pStyle w:val="148"/>
              <w:topLinePunct/>
              <w:jc w:val="center"/>
              <w:rPr>
                <w:rFonts w:hint="eastAsia" w:ascii="仿宋" w:hAnsi="仿宋" w:eastAsia="仿宋" w:cs="仿宋"/>
                <w:color w:val="000000"/>
              </w:rPr>
            </w:pPr>
          </w:p>
        </w:tc>
      </w:tr>
      <w:tr w14:paraId="4EDDA6A4">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4C8A5C0F">
            <w:pPr>
              <w:pStyle w:val="148"/>
              <w:topLinePunct/>
              <w:jc w:val="center"/>
              <w:rPr>
                <w:rFonts w:hint="eastAsia" w:ascii="仿宋" w:hAnsi="仿宋" w:eastAsia="仿宋" w:cs="仿宋"/>
                <w:color w:val="000000"/>
              </w:rPr>
            </w:pPr>
            <w:r>
              <w:rPr>
                <w:rFonts w:hint="eastAsia" w:ascii="仿宋" w:hAnsi="仿宋" w:eastAsia="仿宋" w:cs="仿宋"/>
                <w:color w:val="000000"/>
              </w:rPr>
              <w:t>账号</w:t>
            </w:r>
          </w:p>
        </w:tc>
        <w:tc>
          <w:tcPr>
            <w:tcW w:w="2322" w:type="dxa"/>
            <w:gridSpan w:val="3"/>
            <w:tcBorders>
              <w:top w:val="nil"/>
              <w:left w:val="nil"/>
              <w:bottom w:val="single" w:color="000000" w:sz="4" w:space="0"/>
              <w:right w:val="single" w:color="000000" w:sz="4" w:space="0"/>
            </w:tcBorders>
            <w:noWrap w:val="0"/>
            <w:vAlign w:val="center"/>
          </w:tcPr>
          <w:p w14:paraId="2F84D13B">
            <w:pPr>
              <w:pStyle w:val="148"/>
              <w:topLinePunct/>
              <w:jc w:val="center"/>
              <w:rPr>
                <w:rFonts w:hint="eastAsia" w:ascii="仿宋" w:hAnsi="仿宋" w:eastAsia="仿宋" w:cs="仿宋"/>
                <w:color w:val="000000"/>
              </w:rPr>
            </w:pPr>
          </w:p>
        </w:tc>
        <w:tc>
          <w:tcPr>
            <w:tcW w:w="567" w:type="dxa"/>
            <w:vMerge w:val="continue"/>
            <w:tcBorders>
              <w:top w:val="nil"/>
              <w:left w:val="nil"/>
              <w:bottom w:val="single" w:color="000000" w:sz="4" w:space="0"/>
              <w:right w:val="single" w:color="000000" w:sz="4" w:space="0"/>
            </w:tcBorders>
            <w:noWrap w:val="0"/>
            <w:vAlign w:val="center"/>
          </w:tcPr>
          <w:p w14:paraId="20FEDF88">
            <w:pPr>
              <w:rPr>
                <w:rFonts w:hint="eastAsia" w:ascii="仿宋" w:hAnsi="仿宋" w:eastAsia="仿宋" w:cs="仿宋"/>
                <w:color w:val="000000"/>
                <w:szCs w:val="21"/>
              </w:rPr>
            </w:pPr>
          </w:p>
        </w:tc>
        <w:tc>
          <w:tcPr>
            <w:tcW w:w="2439" w:type="dxa"/>
            <w:gridSpan w:val="3"/>
            <w:vMerge w:val="continue"/>
            <w:tcBorders>
              <w:left w:val="nil"/>
              <w:bottom w:val="single" w:color="000000" w:sz="4" w:space="0"/>
              <w:right w:val="single" w:color="000000" w:sz="4" w:space="0"/>
            </w:tcBorders>
            <w:noWrap w:val="0"/>
            <w:vAlign w:val="center"/>
          </w:tcPr>
          <w:p w14:paraId="035F8F73">
            <w:pPr>
              <w:pStyle w:val="148"/>
              <w:topLinePunct/>
              <w:jc w:val="center"/>
              <w:rPr>
                <w:rFonts w:hint="eastAsia" w:ascii="仿宋" w:hAnsi="仿宋" w:eastAsia="仿宋" w:cs="仿宋"/>
                <w:color w:val="000000"/>
              </w:rPr>
            </w:pPr>
          </w:p>
        </w:tc>
        <w:tc>
          <w:tcPr>
            <w:tcW w:w="2073" w:type="dxa"/>
            <w:gridSpan w:val="2"/>
            <w:vMerge w:val="continue"/>
            <w:tcBorders>
              <w:left w:val="nil"/>
              <w:bottom w:val="single" w:color="000000" w:sz="4" w:space="0"/>
              <w:right w:val="single" w:color="000000" w:sz="4" w:space="0"/>
            </w:tcBorders>
            <w:noWrap w:val="0"/>
            <w:vAlign w:val="center"/>
          </w:tcPr>
          <w:p w14:paraId="1165ED85">
            <w:pPr>
              <w:pStyle w:val="148"/>
              <w:topLinePunct/>
              <w:jc w:val="center"/>
              <w:rPr>
                <w:rFonts w:hint="eastAsia" w:ascii="仿宋" w:hAnsi="仿宋" w:eastAsia="仿宋" w:cs="仿宋"/>
                <w:color w:val="000000"/>
              </w:rPr>
            </w:pPr>
          </w:p>
        </w:tc>
      </w:tr>
      <w:tr w14:paraId="5339F5CF">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3D3D510C">
            <w:pPr>
              <w:pStyle w:val="148"/>
              <w:topLinePunct/>
              <w:ind w:firstLine="210"/>
              <w:jc w:val="center"/>
              <w:rPr>
                <w:rFonts w:hint="eastAsia" w:ascii="仿宋" w:hAnsi="仿宋" w:eastAsia="仿宋" w:cs="仿宋"/>
                <w:color w:val="000000"/>
              </w:rPr>
            </w:pPr>
            <w:r>
              <w:rPr>
                <w:rFonts w:hint="eastAsia" w:ascii="仿宋" w:hAnsi="仿宋" w:eastAsia="仿宋" w:cs="仿宋"/>
                <w:color w:val="000000"/>
              </w:rPr>
              <w:t>经营范围</w:t>
            </w:r>
          </w:p>
        </w:tc>
        <w:tc>
          <w:tcPr>
            <w:tcW w:w="7401" w:type="dxa"/>
            <w:gridSpan w:val="9"/>
            <w:tcBorders>
              <w:top w:val="nil"/>
              <w:left w:val="nil"/>
              <w:bottom w:val="single" w:color="000000" w:sz="4" w:space="0"/>
              <w:right w:val="single" w:color="000000" w:sz="4" w:space="0"/>
            </w:tcBorders>
            <w:noWrap w:val="0"/>
            <w:vAlign w:val="center"/>
          </w:tcPr>
          <w:p w14:paraId="2726331D">
            <w:pPr>
              <w:pStyle w:val="148"/>
              <w:topLinePunct/>
              <w:rPr>
                <w:rFonts w:hint="eastAsia" w:ascii="仿宋" w:hAnsi="仿宋" w:eastAsia="仿宋" w:cs="仿宋"/>
                <w:color w:val="000000"/>
              </w:rPr>
            </w:pPr>
          </w:p>
        </w:tc>
      </w:tr>
      <w:tr w14:paraId="7C4E288A">
        <w:tblPrEx>
          <w:tblCellMar>
            <w:top w:w="0" w:type="dxa"/>
            <w:left w:w="108" w:type="dxa"/>
            <w:bottom w:w="0" w:type="dxa"/>
            <w:right w:w="108" w:type="dxa"/>
          </w:tblCellMar>
        </w:tblPrEx>
        <w:trPr>
          <w:trHeight w:val="496" w:hRule="atLeast"/>
        </w:trPr>
        <w:tc>
          <w:tcPr>
            <w:tcW w:w="2181" w:type="dxa"/>
            <w:tcBorders>
              <w:top w:val="nil"/>
              <w:left w:val="single" w:color="000000" w:sz="4" w:space="0"/>
              <w:bottom w:val="single" w:color="000000" w:sz="4" w:space="0"/>
              <w:right w:val="single" w:color="000000" w:sz="4" w:space="0"/>
            </w:tcBorders>
            <w:noWrap w:val="0"/>
            <w:vAlign w:val="center"/>
          </w:tcPr>
          <w:p w14:paraId="7D9B85E7">
            <w:pPr>
              <w:pStyle w:val="148"/>
              <w:topLinePunct/>
              <w:jc w:val="center"/>
              <w:rPr>
                <w:rFonts w:hint="eastAsia" w:ascii="仿宋" w:hAnsi="仿宋" w:eastAsia="仿宋" w:cs="仿宋"/>
                <w:color w:val="000000"/>
              </w:rPr>
            </w:pPr>
            <w:r>
              <w:rPr>
                <w:rFonts w:hint="eastAsia" w:ascii="仿宋" w:hAnsi="仿宋" w:eastAsia="仿宋" w:cs="仿宋"/>
                <w:color w:val="000000"/>
              </w:rPr>
              <w:t>备注</w:t>
            </w:r>
          </w:p>
        </w:tc>
        <w:tc>
          <w:tcPr>
            <w:tcW w:w="7401" w:type="dxa"/>
            <w:gridSpan w:val="9"/>
            <w:tcBorders>
              <w:top w:val="nil"/>
              <w:left w:val="nil"/>
              <w:bottom w:val="single" w:color="000000" w:sz="4" w:space="0"/>
              <w:right w:val="single" w:color="000000" w:sz="4" w:space="0"/>
            </w:tcBorders>
            <w:noWrap w:val="0"/>
            <w:vAlign w:val="center"/>
          </w:tcPr>
          <w:p w14:paraId="601816CA">
            <w:pPr>
              <w:pStyle w:val="148"/>
              <w:topLinePunct/>
              <w:jc w:val="center"/>
              <w:rPr>
                <w:rFonts w:hint="eastAsia" w:ascii="仿宋" w:hAnsi="仿宋" w:eastAsia="仿宋" w:cs="仿宋"/>
                <w:color w:val="000000"/>
              </w:rPr>
            </w:pPr>
          </w:p>
        </w:tc>
      </w:tr>
    </w:tbl>
    <w:p w14:paraId="39ABB35E">
      <w:pPr>
        <w:pStyle w:val="148"/>
        <w:spacing w:before="240"/>
        <w:jc w:val="left"/>
        <w:rPr>
          <w:rFonts w:hint="eastAsia" w:ascii="仿宋" w:hAnsi="仿宋" w:eastAsia="仿宋" w:cs="宋体"/>
          <w:b/>
          <w:color w:val="000000"/>
          <w:sz w:val="24"/>
          <w:szCs w:val="24"/>
        </w:rPr>
      </w:pPr>
      <w:r>
        <w:rPr>
          <w:rFonts w:hint="eastAsia" w:ascii="仿宋" w:hAnsi="仿宋" w:eastAsia="仿宋" w:cs="宋体"/>
          <w:b/>
          <w:color w:val="000000"/>
          <w:sz w:val="24"/>
          <w:szCs w:val="24"/>
        </w:rPr>
        <w:t>注：提供由工商部门核发的最新营业执照（正副本皆可），电子版提供原件扫描件，纸版提供复印件或原件扫描件的打印件。</w:t>
      </w:r>
    </w:p>
    <w:p w14:paraId="02F27BED">
      <w:pPr>
        <w:pStyle w:val="148"/>
        <w:jc w:val="left"/>
        <w:rPr>
          <w:rFonts w:hint="eastAsia" w:ascii="仿宋" w:hAnsi="仿宋" w:eastAsia="仿宋" w:cs="仿宋"/>
          <w:b/>
          <w:color w:val="000000"/>
          <w:sz w:val="24"/>
          <w:szCs w:val="24"/>
        </w:rPr>
      </w:pPr>
    </w:p>
    <w:p w14:paraId="1CD29F8B">
      <w:pPr>
        <w:spacing w:line="440" w:lineRule="exact"/>
        <w:ind w:firstLine="3570" w:firstLineChars="1700"/>
        <w:jc w:val="right"/>
        <w:rPr>
          <w:rFonts w:ascii="仿宋" w:hAnsi="仿宋" w:eastAsia="仿宋" w:cs="仿宋"/>
          <w:color w:val="000000"/>
          <w:szCs w:val="21"/>
        </w:rPr>
      </w:pPr>
    </w:p>
    <w:p w14:paraId="6B2D97FB">
      <w:pPr>
        <w:pStyle w:val="148"/>
        <w:jc w:val="left"/>
        <w:rPr>
          <w:rFonts w:hint="eastAsia" w:ascii="仿宋" w:hAnsi="仿宋" w:eastAsia="仿宋" w:cs="仿宋"/>
          <w:b/>
          <w:color w:val="000000"/>
        </w:rPr>
      </w:pPr>
    </w:p>
    <w:p w14:paraId="4683C9CC">
      <w:pPr>
        <w:pStyle w:val="5"/>
        <w:spacing w:before="0" w:after="0" w:line="360" w:lineRule="auto"/>
        <w:rPr>
          <w:rFonts w:hint="eastAsia" w:ascii="仿宋" w:hAnsi="仿宋" w:eastAsia="仿宋" w:cs="仿宋"/>
          <w:color w:val="000000"/>
          <w:sz w:val="24"/>
          <w:szCs w:val="24"/>
        </w:rPr>
      </w:pPr>
      <w:r>
        <w:rPr>
          <w:rFonts w:hint="eastAsia" w:ascii="仿宋" w:hAnsi="仿宋" w:cs="仿宋"/>
          <w:color w:val="000000"/>
        </w:rPr>
        <w:br w:type="page"/>
      </w:r>
      <w:r>
        <w:rPr>
          <w:rFonts w:ascii="仿宋" w:hAnsi="仿宋" w:eastAsia="仿宋" w:cs="仿宋"/>
          <w:color w:val="000000"/>
          <w:sz w:val="24"/>
          <w:szCs w:val="24"/>
        </w:rPr>
        <w:t>2</w:t>
      </w:r>
      <w:r>
        <w:rPr>
          <w:rFonts w:hint="eastAsia" w:ascii="仿宋" w:hAnsi="仿宋" w:eastAsia="仿宋" w:cs="仿宋"/>
          <w:color w:val="000000"/>
          <w:sz w:val="24"/>
          <w:szCs w:val="24"/>
        </w:rPr>
        <w:t>、财务审计报告或银行资信证明</w:t>
      </w:r>
    </w:p>
    <w:p w14:paraId="64A4331D">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提供202</w:t>
      </w:r>
      <w:r>
        <w:rPr>
          <w:rFonts w:hint="eastAsia" w:ascii="仿宋" w:hAnsi="仿宋" w:eastAsia="仿宋" w:cs="仿宋"/>
          <w:color w:val="000000"/>
          <w:sz w:val="24"/>
          <w:lang w:val="en-US" w:eastAsia="zh-CN"/>
        </w:rPr>
        <w:t>5</w:t>
      </w:r>
      <w:r>
        <w:rPr>
          <w:rFonts w:hint="eastAsia" w:ascii="仿宋" w:hAnsi="仿宋" w:eastAsia="仿宋" w:cs="仿宋"/>
          <w:color w:val="000000"/>
          <w:sz w:val="24"/>
        </w:rPr>
        <w:t>年度财务报表（至少包含会计师事务所或审计机构签章页、资产负债表、现金流量表、损益表/利润表）或</w:t>
      </w:r>
      <w:r>
        <w:rPr>
          <w:rFonts w:hint="eastAsia" w:ascii="仿宋" w:hAnsi="仿宋" w:eastAsia="仿宋" w:cs="Cambria Math"/>
          <w:color w:val="000000"/>
          <w:sz w:val="24"/>
        </w:rPr>
        <w:t>响应文件递交截止日前</w:t>
      </w:r>
      <w:r>
        <w:rPr>
          <w:rFonts w:hint="eastAsia" w:ascii="仿宋" w:hAnsi="仿宋" w:eastAsia="仿宋" w:cs="仿宋"/>
          <w:color w:val="000000"/>
          <w:sz w:val="24"/>
        </w:rPr>
        <w:t>6个月内开具的银行资信证明。</w:t>
      </w:r>
    </w:p>
    <w:p w14:paraId="03E35B02">
      <w:pPr>
        <w:pStyle w:val="5"/>
        <w:spacing w:before="0" w:after="0" w:line="360" w:lineRule="auto"/>
        <w:rPr>
          <w:rFonts w:hint="eastAsia"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3</w:t>
      </w:r>
      <w:r>
        <w:rPr>
          <w:rFonts w:hint="eastAsia" w:ascii="仿宋" w:hAnsi="仿宋" w:eastAsia="仿宋" w:cs="仿宋"/>
          <w:color w:val="000000"/>
          <w:sz w:val="24"/>
          <w:szCs w:val="24"/>
        </w:rPr>
        <w:t>、履行合同所必需的设备和专业技术能力</w:t>
      </w:r>
    </w:p>
    <w:p w14:paraId="1D868A59">
      <w:pPr>
        <w:spacing w:line="360" w:lineRule="auto"/>
        <w:textAlignment w:val="baseline"/>
        <w:rPr>
          <w:rFonts w:hint="eastAsia" w:ascii="仿宋" w:hAnsi="仿宋" w:eastAsia="仿宋" w:cs="仿宋"/>
          <w:b/>
          <w:bCs/>
          <w:color w:val="000000"/>
          <w:sz w:val="24"/>
        </w:rPr>
      </w:pPr>
      <w:r>
        <w:rPr>
          <w:rFonts w:hint="eastAsia" w:ascii="仿宋" w:hAnsi="仿宋" w:eastAsia="仿宋" w:cs="仿宋"/>
          <w:b/>
          <w:bCs/>
          <w:color w:val="000000"/>
          <w:sz w:val="24"/>
        </w:rPr>
        <w:t>3.1同类项目实施经验</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929"/>
        <w:gridCol w:w="1336"/>
        <w:gridCol w:w="1271"/>
        <w:gridCol w:w="1264"/>
        <w:gridCol w:w="1114"/>
        <w:gridCol w:w="1617"/>
        <w:gridCol w:w="1396"/>
      </w:tblGrid>
      <w:tr w14:paraId="55F3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21" w:type="dxa"/>
            <w:noWrap w:val="0"/>
            <w:vAlign w:val="center"/>
          </w:tcPr>
          <w:p w14:paraId="50363BBE">
            <w:pPr>
              <w:jc w:val="center"/>
              <w:rPr>
                <w:rFonts w:hint="eastAsia" w:ascii="仿宋" w:hAnsi="仿宋" w:eastAsia="仿宋" w:cs="仿宋"/>
                <w:b/>
                <w:szCs w:val="21"/>
              </w:rPr>
            </w:pPr>
            <w:r>
              <w:rPr>
                <w:rFonts w:hint="eastAsia" w:ascii="仿宋" w:hAnsi="仿宋" w:eastAsia="仿宋" w:cs="仿宋"/>
                <w:b/>
                <w:szCs w:val="21"/>
              </w:rPr>
              <w:t>序号</w:t>
            </w:r>
          </w:p>
        </w:tc>
        <w:tc>
          <w:tcPr>
            <w:tcW w:w="929" w:type="dxa"/>
            <w:noWrap w:val="0"/>
            <w:vAlign w:val="center"/>
          </w:tcPr>
          <w:p w14:paraId="3EEAD0F1">
            <w:pPr>
              <w:jc w:val="center"/>
              <w:rPr>
                <w:rFonts w:hint="eastAsia" w:ascii="仿宋" w:hAnsi="仿宋" w:eastAsia="仿宋" w:cs="仿宋"/>
                <w:b/>
                <w:szCs w:val="21"/>
              </w:rPr>
            </w:pPr>
            <w:r>
              <w:rPr>
                <w:rFonts w:hint="eastAsia" w:ascii="仿宋" w:hAnsi="仿宋" w:eastAsia="仿宋" w:cs="仿宋"/>
                <w:b/>
                <w:szCs w:val="21"/>
              </w:rPr>
              <w:t>合同名称</w:t>
            </w:r>
          </w:p>
        </w:tc>
        <w:tc>
          <w:tcPr>
            <w:tcW w:w="1336" w:type="dxa"/>
            <w:noWrap w:val="0"/>
            <w:vAlign w:val="center"/>
          </w:tcPr>
          <w:p w14:paraId="2CFD4B87">
            <w:pPr>
              <w:jc w:val="center"/>
              <w:rPr>
                <w:rFonts w:hint="eastAsia" w:ascii="仿宋" w:hAnsi="仿宋" w:eastAsia="仿宋" w:cs="仿宋"/>
                <w:b/>
                <w:szCs w:val="21"/>
              </w:rPr>
            </w:pPr>
            <w:r>
              <w:rPr>
                <w:rFonts w:hint="eastAsia" w:ascii="仿宋" w:hAnsi="仿宋" w:eastAsia="仿宋" w:cs="仿宋"/>
                <w:b/>
                <w:szCs w:val="21"/>
              </w:rPr>
              <w:t>合同签订时间</w:t>
            </w:r>
          </w:p>
        </w:tc>
        <w:tc>
          <w:tcPr>
            <w:tcW w:w="1271" w:type="dxa"/>
            <w:noWrap w:val="0"/>
            <w:vAlign w:val="center"/>
          </w:tcPr>
          <w:p w14:paraId="1C19EED8">
            <w:pPr>
              <w:jc w:val="center"/>
              <w:rPr>
                <w:rFonts w:hint="eastAsia" w:ascii="仿宋" w:hAnsi="仿宋" w:eastAsia="仿宋" w:cs="仿宋"/>
                <w:b/>
                <w:szCs w:val="21"/>
              </w:rPr>
            </w:pPr>
            <w:r>
              <w:rPr>
                <w:rFonts w:hint="eastAsia" w:ascii="仿宋" w:hAnsi="仿宋" w:eastAsia="仿宋" w:cs="仿宋"/>
                <w:b/>
                <w:szCs w:val="21"/>
              </w:rPr>
              <w:t>采购内容</w:t>
            </w:r>
          </w:p>
        </w:tc>
        <w:tc>
          <w:tcPr>
            <w:tcW w:w="1264" w:type="dxa"/>
            <w:noWrap w:val="0"/>
            <w:vAlign w:val="center"/>
          </w:tcPr>
          <w:p w14:paraId="6975C7FD">
            <w:pPr>
              <w:jc w:val="center"/>
              <w:rPr>
                <w:rFonts w:hint="eastAsia" w:ascii="仿宋" w:hAnsi="仿宋" w:eastAsia="仿宋" w:cs="仿宋"/>
                <w:b/>
                <w:szCs w:val="21"/>
              </w:rPr>
            </w:pPr>
            <w:r>
              <w:rPr>
                <w:rFonts w:hint="eastAsia" w:ascii="仿宋" w:hAnsi="仿宋" w:eastAsia="仿宋" w:cs="仿宋"/>
                <w:b/>
                <w:szCs w:val="21"/>
              </w:rPr>
              <w:t>合同金额（万元）</w:t>
            </w:r>
          </w:p>
        </w:tc>
        <w:tc>
          <w:tcPr>
            <w:tcW w:w="1114" w:type="dxa"/>
            <w:noWrap w:val="0"/>
            <w:vAlign w:val="center"/>
          </w:tcPr>
          <w:p w14:paraId="55A0A6D7">
            <w:pPr>
              <w:jc w:val="center"/>
              <w:rPr>
                <w:rFonts w:hint="eastAsia" w:ascii="仿宋" w:hAnsi="仿宋" w:eastAsia="仿宋" w:cs="仿宋"/>
                <w:b/>
                <w:szCs w:val="21"/>
              </w:rPr>
            </w:pPr>
            <w:r>
              <w:rPr>
                <w:rFonts w:hint="eastAsia" w:ascii="仿宋" w:hAnsi="仿宋" w:eastAsia="仿宋" w:cs="仿宋"/>
                <w:b/>
                <w:szCs w:val="21"/>
              </w:rPr>
              <w:t>合同甲方</w:t>
            </w:r>
          </w:p>
        </w:tc>
        <w:tc>
          <w:tcPr>
            <w:tcW w:w="1617" w:type="dxa"/>
            <w:noWrap w:val="0"/>
            <w:vAlign w:val="center"/>
          </w:tcPr>
          <w:p w14:paraId="1E1F9434">
            <w:pPr>
              <w:jc w:val="center"/>
              <w:rPr>
                <w:rFonts w:hint="eastAsia" w:ascii="仿宋" w:hAnsi="仿宋" w:eastAsia="仿宋" w:cs="仿宋"/>
                <w:b/>
                <w:szCs w:val="21"/>
              </w:rPr>
            </w:pPr>
            <w:r>
              <w:rPr>
                <w:rFonts w:hint="eastAsia" w:ascii="仿宋" w:hAnsi="仿宋" w:eastAsia="仿宋" w:cs="仿宋"/>
                <w:b/>
                <w:szCs w:val="21"/>
              </w:rPr>
              <w:t>甲方联系人及电话</w:t>
            </w:r>
          </w:p>
        </w:tc>
        <w:tc>
          <w:tcPr>
            <w:tcW w:w="1396" w:type="dxa"/>
            <w:noWrap w:val="0"/>
            <w:vAlign w:val="center"/>
          </w:tcPr>
          <w:p w14:paraId="1EF95C73">
            <w:pPr>
              <w:jc w:val="center"/>
              <w:rPr>
                <w:rFonts w:hint="eastAsia" w:ascii="仿宋" w:hAnsi="仿宋" w:eastAsia="仿宋" w:cs="仿宋"/>
                <w:b/>
                <w:szCs w:val="21"/>
              </w:rPr>
            </w:pPr>
            <w:r>
              <w:rPr>
                <w:rFonts w:hint="eastAsia" w:ascii="仿宋" w:hAnsi="仿宋" w:eastAsia="仿宋" w:cs="仿宋"/>
                <w:b/>
                <w:szCs w:val="21"/>
              </w:rPr>
              <w:t>备注</w:t>
            </w:r>
          </w:p>
        </w:tc>
      </w:tr>
      <w:tr w14:paraId="61275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21" w:type="dxa"/>
            <w:noWrap w:val="0"/>
            <w:vAlign w:val="center"/>
          </w:tcPr>
          <w:p w14:paraId="218AEE4C">
            <w:pPr>
              <w:jc w:val="center"/>
              <w:rPr>
                <w:rFonts w:hint="eastAsia" w:ascii="仿宋" w:hAnsi="仿宋" w:eastAsia="仿宋" w:cs="仿宋"/>
                <w:szCs w:val="21"/>
              </w:rPr>
            </w:pPr>
            <w:r>
              <w:rPr>
                <w:rFonts w:hint="eastAsia" w:ascii="仿宋" w:hAnsi="仿宋" w:eastAsia="仿宋" w:cs="仿宋"/>
                <w:szCs w:val="21"/>
              </w:rPr>
              <w:t>1</w:t>
            </w:r>
          </w:p>
        </w:tc>
        <w:tc>
          <w:tcPr>
            <w:tcW w:w="929" w:type="dxa"/>
            <w:noWrap w:val="0"/>
            <w:vAlign w:val="center"/>
          </w:tcPr>
          <w:p w14:paraId="6D3B09BD">
            <w:pPr>
              <w:jc w:val="center"/>
              <w:rPr>
                <w:rFonts w:hint="eastAsia" w:ascii="仿宋" w:hAnsi="仿宋" w:eastAsia="仿宋" w:cs="仿宋"/>
                <w:szCs w:val="21"/>
              </w:rPr>
            </w:pPr>
          </w:p>
        </w:tc>
        <w:tc>
          <w:tcPr>
            <w:tcW w:w="1336" w:type="dxa"/>
            <w:noWrap w:val="0"/>
            <w:vAlign w:val="center"/>
          </w:tcPr>
          <w:p w14:paraId="4C96FD88">
            <w:pPr>
              <w:jc w:val="center"/>
              <w:rPr>
                <w:rFonts w:hint="eastAsia" w:ascii="仿宋" w:hAnsi="仿宋" w:eastAsia="仿宋" w:cs="仿宋"/>
                <w:szCs w:val="21"/>
              </w:rPr>
            </w:pPr>
          </w:p>
        </w:tc>
        <w:tc>
          <w:tcPr>
            <w:tcW w:w="1271" w:type="dxa"/>
            <w:noWrap w:val="0"/>
            <w:vAlign w:val="center"/>
          </w:tcPr>
          <w:p w14:paraId="7C9ECDE8">
            <w:pPr>
              <w:jc w:val="center"/>
              <w:rPr>
                <w:rFonts w:hint="eastAsia" w:ascii="仿宋" w:hAnsi="仿宋" w:eastAsia="仿宋" w:cs="仿宋"/>
                <w:szCs w:val="21"/>
              </w:rPr>
            </w:pPr>
          </w:p>
        </w:tc>
        <w:tc>
          <w:tcPr>
            <w:tcW w:w="1264" w:type="dxa"/>
            <w:noWrap w:val="0"/>
            <w:vAlign w:val="center"/>
          </w:tcPr>
          <w:p w14:paraId="153C8B86">
            <w:pPr>
              <w:jc w:val="center"/>
              <w:rPr>
                <w:rFonts w:hint="eastAsia" w:ascii="仿宋" w:hAnsi="仿宋" w:eastAsia="仿宋" w:cs="仿宋"/>
                <w:szCs w:val="21"/>
              </w:rPr>
            </w:pPr>
          </w:p>
        </w:tc>
        <w:tc>
          <w:tcPr>
            <w:tcW w:w="1114" w:type="dxa"/>
            <w:noWrap w:val="0"/>
            <w:vAlign w:val="center"/>
          </w:tcPr>
          <w:p w14:paraId="3273EBF5">
            <w:pPr>
              <w:jc w:val="center"/>
              <w:rPr>
                <w:rFonts w:hint="eastAsia" w:ascii="仿宋" w:hAnsi="仿宋" w:eastAsia="仿宋" w:cs="仿宋"/>
                <w:szCs w:val="21"/>
              </w:rPr>
            </w:pPr>
          </w:p>
        </w:tc>
        <w:tc>
          <w:tcPr>
            <w:tcW w:w="1617" w:type="dxa"/>
            <w:noWrap w:val="0"/>
            <w:vAlign w:val="center"/>
          </w:tcPr>
          <w:p w14:paraId="6D0B0DB3">
            <w:pPr>
              <w:jc w:val="center"/>
              <w:rPr>
                <w:rFonts w:hint="eastAsia" w:ascii="仿宋" w:hAnsi="仿宋" w:eastAsia="仿宋" w:cs="仿宋"/>
                <w:szCs w:val="21"/>
              </w:rPr>
            </w:pPr>
          </w:p>
        </w:tc>
        <w:tc>
          <w:tcPr>
            <w:tcW w:w="1396" w:type="dxa"/>
            <w:noWrap w:val="0"/>
            <w:vAlign w:val="center"/>
          </w:tcPr>
          <w:p w14:paraId="0A65DA0F">
            <w:pPr>
              <w:jc w:val="center"/>
              <w:rPr>
                <w:rFonts w:ascii="仿宋" w:hAnsi="仿宋" w:eastAsia="仿宋" w:cs="仿宋"/>
                <w:b/>
                <w:bCs/>
                <w:szCs w:val="21"/>
              </w:rPr>
            </w:pPr>
          </w:p>
        </w:tc>
      </w:tr>
      <w:tr w14:paraId="02E1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7E65D67F">
            <w:pPr>
              <w:jc w:val="center"/>
              <w:rPr>
                <w:rFonts w:hint="eastAsia" w:ascii="仿宋" w:hAnsi="仿宋" w:eastAsia="仿宋" w:cs="仿宋"/>
                <w:szCs w:val="21"/>
              </w:rPr>
            </w:pPr>
          </w:p>
          <w:p w14:paraId="7FB12538">
            <w:pPr>
              <w:jc w:val="center"/>
              <w:rPr>
                <w:rFonts w:hint="eastAsia" w:ascii="仿宋" w:hAnsi="仿宋" w:eastAsia="仿宋" w:cs="仿宋"/>
                <w:szCs w:val="21"/>
              </w:rPr>
            </w:pPr>
            <w:r>
              <w:rPr>
                <w:rFonts w:hint="eastAsia" w:ascii="仿宋" w:hAnsi="仿宋" w:eastAsia="仿宋" w:cs="仿宋"/>
                <w:szCs w:val="21"/>
              </w:rPr>
              <w:t>2</w:t>
            </w:r>
          </w:p>
        </w:tc>
        <w:tc>
          <w:tcPr>
            <w:tcW w:w="929" w:type="dxa"/>
            <w:noWrap w:val="0"/>
            <w:vAlign w:val="center"/>
          </w:tcPr>
          <w:p w14:paraId="6A0DBAE9">
            <w:pPr>
              <w:jc w:val="center"/>
              <w:rPr>
                <w:rFonts w:hint="eastAsia" w:ascii="仿宋" w:hAnsi="仿宋" w:eastAsia="仿宋" w:cs="仿宋"/>
                <w:szCs w:val="21"/>
              </w:rPr>
            </w:pPr>
          </w:p>
        </w:tc>
        <w:tc>
          <w:tcPr>
            <w:tcW w:w="1336" w:type="dxa"/>
            <w:noWrap w:val="0"/>
            <w:vAlign w:val="center"/>
          </w:tcPr>
          <w:p w14:paraId="381B9BD5">
            <w:pPr>
              <w:jc w:val="center"/>
              <w:rPr>
                <w:rFonts w:hint="eastAsia" w:ascii="仿宋" w:hAnsi="仿宋" w:eastAsia="仿宋" w:cs="仿宋"/>
                <w:szCs w:val="21"/>
              </w:rPr>
            </w:pPr>
          </w:p>
        </w:tc>
        <w:tc>
          <w:tcPr>
            <w:tcW w:w="1271" w:type="dxa"/>
            <w:noWrap w:val="0"/>
            <w:vAlign w:val="center"/>
          </w:tcPr>
          <w:p w14:paraId="43CC61C8">
            <w:pPr>
              <w:jc w:val="center"/>
              <w:rPr>
                <w:rFonts w:hint="eastAsia" w:ascii="仿宋" w:hAnsi="仿宋" w:eastAsia="仿宋" w:cs="仿宋"/>
                <w:szCs w:val="21"/>
              </w:rPr>
            </w:pPr>
          </w:p>
        </w:tc>
        <w:tc>
          <w:tcPr>
            <w:tcW w:w="1264" w:type="dxa"/>
            <w:noWrap w:val="0"/>
            <w:vAlign w:val="center"/>
          </w:tcPr>
          <w:p w14:paraId="6A4C4C9D">
            <w:pPr>
              <w:jc w:val="center"/>
              <w:rPr>
                <w:rFonts w:hint="eastAsia" w:ascii="仿宋" w:hAnsi="仿宋" w:eastAsia="仿宋" w:cs="仿宋"/>
                <w:szCs w:val="21"/>
              </w:rPr>
            </w:pPr>
          </w:p>
        </w:tc>
        <w:tc>
          <w:tcPr>
            <w:tcW w:w="1114" w:type="dxa"/>
            <w:noWrap w:val="0"/>
            <w:vAlign w:val="center"/>
          </w:tcPr>
          <w:p w14:paraId="357A19D7">
            <w:pPr>
              <w:jc w:val="center"/>
              <w:rPr>
                <w:rFonts w:hint="eastAsia" w:ascii="仿宋" w:hAnsi="仿宋" w:eastAsia="仿宋" w:cs="仿宋"/>
                <w:szCs w:val="21"/>
              </w:rPr>
            </w:pPr>
          </w:p>
        </w:tc>
        <w:tc>
          <w:tcPr>
            <w:tcW w:w="1617" w:type="dxa"/>
            <w:noWrap w:val="0"/>
            <w:vAlign w:val="center"/>
          </w:tcPr>
          <w:p w14:paraId="318DBAE3">
            <w:pPr>
              <w:jc w:val="center"/>
              <w:rPr>
                <w:rFonts w:hint="eastAsia" w:ascii="仿宋" w:hAnsi="仿宋" w:eastAsia="仿宋" w:cs="仿宋"/>
                <w:szCs w:val="21"/>
              </w:rPr>
            </w:pPr>
          </w:p>
        </w:tc>
        <w:tc>
          <w:tcPr>
            <w:tcW w:w="1396" w:type="dxa"/>
            <w:noWrap w:val="0"/>
            <w:vAlign w:val="center"/>
          </w:tcPr>
          <w:p w14:paraId="4AAAB429">
            <w:pPr>
              <w:jc w:val="center"/>
              <w:rPr>
                <w:rFonts w:ascii="仿宋" w:hAnsi="仿宋" w:eastAsia="仿宋" w:cs="仿宋"/>
                <w:b/>
                <w:bCs/>
                <w:szCs w:val="21"/>
              </w:rPr>
            </w:pPr>
          </w:p>
        </w:tc>
      </w:tr>
      <w:tr w14:paraId="5051E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6DFCF7E9">
            <w:pPr>
              <w:jc w:val="center"/>
              <w:rPr>
                <w:rFonts w:hint="eastAsia" w:ascii="仿宋" w:hAnsi="仿宋" w:eastAsia="仿宋" w:cs="仿宋"/>
                <w:szCs w:val="21"/>
              </w:rPr>
            </w:pPr>
            <w:r>
              <w:rPr>
                <w:rFonts w:hint="eastAsia" w:ascii="仿宋" w:hAnsi="仿宋" w:eastAsia="仿宋" w:cs="仿宋"/>
                <w:szCs w:val="21"/>
              </w:rPr>
              <w:t>3</w:t>
            </w:r>
          </w:p>
        </w:tc>
        <w:tc>
          <w:tcPr>
            <w:tcW w:w="929" w:type="dxa"/>
            <w:noWrap w:val="0"/>
            <w:vAlign w:val="center"/>
          </w:tcPr>
          <w:p w14:paraId="22242A58">
            <w:pPr>
              <w:jc w:val="center"/>
              <w:rPr>
                <w:rFonts w:hint="eastAsia" w:ascii="仿宋" w:hAnsi="仿宋" w:eastAsia="仿宋" w:cs="仿宋"/>
                <w:szCs w:val="21"/>
              </w:rPr>
            </w:pPr>
          </w:p>
        </w:tc>
        <w:tc>
          <w:tcPr>
            <w:tcW w:w="1336" w:type="dxa"/>
            <w:noWrap w:val="0"/>
            <w:vAlign w:val="center"/>
          </w:tcPr>
          <w:p w14:paraId="323A4F28">
            <w:pPr>
              <w:jc w:val="center"/>
              <w:rPr>
                <w:rFonts w:hint="eastAsia" w:ascii="仿宋" w:hAnsi="仿宋" w:eastAsia="仿宋" w:cs="仿宋"/>
                <w:szCs w:val="21"/>
              </w:rPr>
            </w:pPr>
          </w:p>
        </w:tc>
        <w:tc>
          <w:tcPr>
            <w:tcW w:w="1271" w:type="dxa"/>
            <w:noWrap w:val="0"/>
            <w:vAlign w:val="center"/>
          </w:tcPr>
          <w:p w14:paraId="234B12D5">
            <w:pPr>
              <w:jc w:val="center"/>
              <w:rPr>
                <w:rFonts w:hint="eastAsia" w:ascii="仿宋" w:hAnsi="仿宋" w:eastAsia="仿宋" w:cs="仿宋"/>
                <w:szCs w:val="21"/>
              </w:rPr>
            </w:pPr>
          </w:p>
        </w:tc>
        <w:tc>
          <w:tcPr>
            <w:tcW w:w="1264" w:type="dxa"/>
            <w:noWrap w:val="0"/>
            <w:vAlign w:val="center"/>
          </w:tcPr>
          <w:p w14:paraId="09524508">
            <w:pPr>
              <w:jc w:val="center"/>
              <w:rPr>
                <w:rFonts w:hint="eastAsia" w:ascii="仿宋" w:hAnsi="仿宋" w:eastAsia="仿宋" w:cs="仿宋"/>
                <w:szCs w:val="21"/>
              </w:rPr>
            </w:pPr>
          </w:p>
        </w:tc>
        <w:tc>
          <w:tcPr>
            <w:tcW w:w="1114" w:type="dxa"/>
            <w:noWrap w:val="0"/>
            <w:vAlign w:val="center"/>
          </w:tcPr>
          <w:p w14:paraId="1D61CC3C">
            <w:pPr>
              <w:jc w:val="center"/>
              <w:rPr>
                <w:rFonts w:hint="eastAsia" w:ascii="仿宋" w:hAnsi="仿宋" w:eastAsia="仿宋" w:cs="仿宋"/>
                <w:szCs w:val="21"/>
              </w:rPr>
            </w:pPr>
          </w:p>
        </w:tc>
        <w:tc>
          <w:tcPr>
            <w:tcW w:w="1617" w:type="dxa"/>
            <w:noWrap w:val="0"/>
            <w:vAlign w:val="center"/>
          </w:tcPr>
          <w:p w14:paraId="498EF714">
            <w:pPr>
              <w:jc w:val="center"/>
              <w:rPr>
                <w:rFonts w:hint="eastAsia" w:ascii="仿宋" w:hAnsi="仿宋" w:eastAsia="仿宋" w:cs="仿宋"/>
                <w:szCs w:val="21"/>
              </w:rPr>
            </w:pPr>
          </w:p>
        </w:tc>
        <w:tc>
          <w:tcPr>
            <w:tcW w:w="1396" w:type="dxa"/>
            <w:noWrap w:val="0"/>
            <w:vAlign w:val="center"/>
          </w:tcPr>
          <w:p w14:paraId="654BA6B9">
            <w:pPr>
              <w:jc w:val="center"/>
              <w:rPr>
                <w:rFonts w:ascii="仿宋" w:hAnsi="仿宋" w:eastAsia="仿宋" w:cs="仿宋"/>
                <w:b/>
                <w:bCs/>
                <w:szCs w:val="21"/>
              </w:rPr>
            </w:pPr>
          </w:p>
        </w:tc>
      </w:tr>
      <w:tr w14:paraId="22DF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175E1BF6">
            <w:pPr>
              <w:jc w:val="center"/>
              <w:rPr>
                <w:rFonts w:hint="eastAsia" w:ascii="仿宋" w:hAnsi="仿宋" w:eastAsia="仿宋" w:cs="仿宋"/>
                <w:szCs w:val="21"/>
              </w:rPr>
            </w:pPr>
            <w:r>
              <w:rPr>
                <w:rFonts w:hint="eastAsia" w:ascii="仿宋" w:hAnsi="仿宋" w:eastAsia="仿宋" w:cs="仿宋"/>
                <w:szCs w:val="21"/>
              </w:rPr>
              <w:t>4</w:t>
            </w:r>
          </w:p>
        </w:tc>
        <w:tc>
          <w:tcPr>
            <w:tcW w:w="929" w:type="dxa"/>
            <w:noWrap w:val="0"/>
            <w:vAlign w:val="center"/>
          </w:tcPr>
          <w:p w14:paraId="3B8DE1FC">
            <w:pPr>
              <w:jc w:val="center"/>
              <w:rPr>
                <w:rFonts w:hint="eastAsia" w:ascii="仿宋" w:hAnsi="仿宋" w:eastAsia="仿宋" w:cs="仿宋"/>
                <w:szCs w:val="21"/>
              </w:rPr>
            </w:pPr>
          </w:p>
        </w:tc>
        <w:tc>
          <w:tcPr>
            <w:tcW w:w="1336" w:type="dxa"/>
            <w:noWrap w:val="0"/>
            <w:vAlign w:val="center"/>
          </w:tcPr>
          <w:p w14:paraId="1918DB90">
            <w:pPr>
              <w:jc w:val="center"/>
              <w:rPr>
                <w:rFonts w:hint="eastAsia" w:ascii="仿宋" w:hAnsi="仿宋" w:eastAsia="仿宋" w:cs="仿宋"/>
                <w:szCs w:val="21"/>
              </w:rPr>
            </w:pPr>
          </w:p>
        </w:tc>
        <w:tc>
          <w:tcPr>
            <w:tcW w:w="1271" w:type="dxa"/>
            <w:noWrap w:val="0"/>
            <w:vAlign w:val="center"/>
          </w:tcPr>
          <w:p w14:paraId="42D8E6B5">
            <w:pPr>
              <w:jc w:val="center"/>
              <w:rPr>
                <w:rFonts w:hint="eastAsia" w:ascii="仿宋" w:hAnsi="仿宋" w:eastAsia="仿宋" w:cs="仿宋"/>
                <w:szCs w:val="21"/>
              </w:rPr>
            </w:pPr>
          </w:p>
        </w:tc>
        <w:tc>
          <w:tcPr>
            <w:tcW w:w="1264" w:type="dxa"/>
            <w:noWrap w:val="0"/>
            <w:vAlign w:val="center"/>
          </w:tcPr>
          <w:p w14:paraId="6E47106D">
            <w:pPr>
              <w:jc w:val="center"/>
              <w:rPr>
                <w:rFonts w:hint="eastAsia" w:ascii="仿宋" w:hAnsi="仿宋" w:eastAsia="仿宋" w:cs="仿宋"/>
                <w:szCs w:val="21"/>
              </w:rPr>
            </w:pPr>
          </w:p>
        </w:tc>
        <w:tc>
          <w:tcPr>
            <w:tcW w:w="1114" w:type="dxa"/>
            <w:noWrap w:val="0"/>
            <w:vAlign w:val="center"/>
          </w:tcPr>
          <w:p w14:paraId="761BB03A">
            <w:pPr>
              <w:jc w:val="center"/>
              <w:rPr>
                <w:rFonts w:hint="eastAsia" w:ascii="仿宋" w:hAnsi="仿宋" w:eastAsia="仿宋" w:cs="仿宋"/>
                <w:szCs w:val="21"/>
              </w:rPr>
            </w:pPr>
          </w:p>
        </w:tc>
        <w:tc>
          <w:tcPr>
            <w:tcW w:w="1617" w:type="dxa"/>
            <w:noWrap w:val="0"/>
            <w:vAlign w:val="center"/>
          </w:tcPr>
          <w:p w14:paraId="5FFE57FA">
            <w:pPr>
              <w:jc w:val="center"/>
              <w:rPr>
                <w:rFonts w:hint="eastAsia" w:ascii="仿宋" w:hAnsi="仿宋" w:eastAsia="仿宋" w:cs="仿宋"/>
                <w:szCs w:val="21"/>
              </w:rPr>
            </w:pPr>
          </w:p>
        </w:tc>
        <w:tc>
          <w:tcPr>
            <w:tcW w:w="1396" w:type="dxa"/>
            <w:noWrap w:val="0"/>
            <w:vAlign w:val="center"/>
          </w:tcPr>
          <w:p w14:paraId="56AD57E3">
            <w:pPr>
              <w:jc w:val="center"/>
              <w:rPr>
                <w:rFonts w:ascii="仿宋" w:hAnsi="仿宋" w:eastAsia="仿宋" w:cs="仿宋"/>
                <w:b/>
                <w:bCs/>
                <w:szCs w:val="21"/>
              </w:rPr>
            </w:pPr>
          </w:p>
        </w:tc>
      </w:tr>
      <w:tr w14:paraId="67ECB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02CC260E">
            <w:pPr>
              <w:jc w:val="center"/>
              <w:rPr>
                <w:rFonts w:hint="eastAsia" w:ascii="仿宋" w:hAnsi="仿宋" w:eastAsia="仿宋" w:cs="仿宋"/>
                <w:szCs w:val="21"/>
              </w:rPr>
            </w:pPr>
            <w:r>
              <w:rPr>
                <w:rFonts w:hint="eastAsia" w:ascii="仿宋" w:hAnsi="仿宋" w:eastAsia="仿宋" w:cs="仿宋"/>
                <w:szCs w:val="21"/>
              </w:rPr>
              <w:t>5</w:t>
            </w:r>
          </w:p>
        </w:tc>
        <w:tc>
          <w:tcPr>
            <w:tcW w:w="929" w:type="dxa"/>
            <w:noWrap w:val="0"/>
            <w:vAlign w:val="center"/>
          </w:tcPr>
          <w:p w14:paraId="4E7B0309">
            <w:pPr>
              <w:jc w:val="center"/>
              <w:rPr>
                <w:rFonts w:hint="eastAsia" w:ascii="仿宋" w:hAnsi="仿宋" w:eastAsia="仿宋" w:cs="仿宋"/>
                <w:szCs w:val="21"/>
              </w:rPr>
            </w:pPr>
          </w:p>
        </w:tc>
        <w:tc>
          <w:tcPr>
            <w:tcW w:w="1336" w:type="dxa"/>
            <w:noWrap w:val="0"/>
            <w:vAlign w:val="center"/>
          </w:tcPr>
          <w:p w14:paraId="27181080">
            <w:pPr>
              <w:jc w:val="center"/>
              <w:rPr>
                <w:rFonts w:hint="eastAsia" w:ascii="仿宋" w:hAnsi="仿宋" w:eastAsia="仿宋" w:cs="仿宋"/>
                <w:szCs w:val="21"/>
              </w:rPr>
            </w:pPr>
          </w:p>
        </w:tc>
        <w:tc>
          <w:tcPr>
            <w:tcW w:w="1271" w:type="dxa"/>
            <w:noWrap w:val="0"/>
            <w:vAlign w:val="center"/>
          </w:tcPr>
          <w:p w14:paraId="17A52EEE">
            <w:pPr>
              <w:jc w:val="center"/>
              <w:rPr>
                <w:rFonts w:hint="eastAsia" w:ascii="仿宋" w:hAnsi="仿宋" w:eastAsia="仿宋" w:cs="仿宋"/>
                <w:szCs w:val="21"/>
              </w:rPr>
            </w:pPr>
          </w:p>
        </w:tc>
        <w:tc>
          <w:tcPr>
            <w:tcW w:w="1264" w:type="dxa"/>
            <w:noWrap w:val="0"/>
            <w:vAlign w:val="center"/>
          </w:tcPr>
          <w:p w14:paraId="33C0F4AA">
            <w:pPr>
              <w:jc w:val="center"/>
              <w:rPr>
                <w:rFonts w:hint="eastAsia" w:ascii="仿宋" w:hAnsi="仿宋" w:eastAsia="仿宋" w:cs="仿宋"/>
                <w:szCs w:val="21"/>
              </w:rPr>
            </w:pPr>
          </w:p>
        </w:tc>
        <w:tc>
          <w:tcPr>
            <w:tcW w:w="1114" w:type="dxa"/>
            <w:noWrap w:val="0"/>
            <w:vAlign w:val="center"/>
          </w:tcPr>
          <w:p w14:paraId="6A80B233">
            <w:pPr>
              <w:jc w:val="center"/>
              <w:rPr>
                <w:rFonts w:hint="eastAsia" w:ascii="仿宋" w:hAnsi="仿宋" w:eastAsia="仿宋" w:cs="仿宋"/>
                <w:szCs w:val="21"/>
              </w:rPr>
            </w:pPr>
          </w:p>
        </w:tc>
        <w:tc>
          <w:tcPr>
            <w:tcW w:w="1617" w:type="dxa"/>
            <w:noWrap w:val="0"/>
            <w:vAlign w:val="center"/>
          </w:tcPr>
          <w:p w14:paraId="36BB5F76">
            <w:pPr>
              <w:jc w:val="center"/>
              <w:rPr>
                <w:rFonts w:hint="eastAsia" w:ascii="仿宋" w:hAnsi="仿宋" w:eastAsia="仿宋" w:cs="仿宋"/>
                <w:szCs w:val="21"/>
              </w:rPr>
            </w:pPr>
          </w:p>
        </w:tc>
        <w:tc>
          <w:tcPr>
            <w:tcW w:w="1396" w:type="dxa"/>
            <w:noWrap w:val="0"/>
            <w:vAlign w:val="center"/>
          </w:tcPr>
          <w:p w14:paraId="06C5BAB4">
            <w:pPr>
              <w:jc w:val="center"/>
              <w:rPr>
                <w:rFonts w:hint="eastAsia" w:ascii="仿宋" w:hAnsi="仿宋" w:eastAsia="仿宋" w:cs="仿宋"/>
                <w:b/>
                <w:bCs/>
                <w:szCs w:val="21"/>
              </w:rPr>
            </w:pPr>
          </w:p>
        </w:tc>
      </w:tr>
      <w:tr w14:paraId="31C0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299723FB">
            <w:pPr>
              <w:jc w:val="center"/>
              <w:rPr>
                <w:rFonts w:hint="eastAsia" w:ascii="仿宋" w:hAnsi="仿宋" w:eastAsia="仿宋" w:cs="仿宋"/>
                <w:szCs w:val="21"/>
              </w:rPr>
            </w:pPr>
            <w:r>
              <w:rPr>
                <w:rFonts w:hint="eastAsia" w:ascii="仿宋" w:hAnsi="仿宋" w:eastAsia="仿宋" w:cs="仿宋"/>
                <w:szCs w:val="21"/>
              </w:rPr>
              <w:t>6</w:t>
            </w:r>
          </w:p>
        </w:tc>
        <w:tc>
          <w:tcPr>
            <w:tcW w:w="929" w:type="dxa"/>
            <w:noWrap w:val="0"/>
            <w:vAlign w:val="center"/>
          </w:tcPr>
          <w:p w14:paraId="47070437">
            <w:pPr>
              <w:jc w:val="center"/>
              <w:rPr>
                <w:rFonts w:hint="eastAsia" w:ascii="仿宋" w:hAnsi="仿宋" w:eastAsia="仿宋" w:cs="仿宋"/>
                <w:szCs w:val="21"/>
              </w:rPr>
            </w:pPr>
          </w:p>
        </w:tc>
        <w:tc>
          <w:tcPr>
            <w:tcW w:w="1336" w:type="dxa"/>
            <w:noWrap w:val="0"/>
            <w:vAlign w:val="center"/>
          </w:tcPr>
          <w:p w14:paraId="4B051CD3">
            <w:pPr>
              <w:jc w:val="center"/>
              <w:rPr>
                <w:rFonts w:hint="eastAsia" w:ascii="仿宋" w:hAnsi="仿宋" w:eastAsia="仿宋" w:cs="仿宋"/>
                <w:szCs w:val="21"/>
              </w:rPr>
            </w:pPr>
          </w:p>
        </w:tc>
        <w:tc>
          <w:tcPr>
            <w:tcW w:w="1271" w:type="dxa"/>
            <w:noWrap w:val="0"/>
            <w:vAlign w:val="center"/>
          </w:tcPr>
          <w:p w14:paraId="650A26B7">
            <w:pPr>
              <w:jc w:val="center"/>
              <w:rPr>
                <w:rFonts w:hint="eastAsia" w:ascii="仿宋" w:hAnsi="仿宋" w:eastAsia="仿宋" w:cs="仿宋"/>
                <w:szCs w:val="21"/>
              </w:rPr>
            </w:pPr>
          </w:p>
        </w:tc>
        <w:tc>
          <w:tcPr>
            <w:tcW w:w="1264" w:type="dxa"/>
            <w:noWrap w:val="0"/>
            <w:vAlign w:val="center"/>
          </w:tcPr>
          <w:p w14:paraId="23D7FF68">
            <w:pPr>
              <w:jc w:val="center"/>
              <w:rPr>
                <w:rFonts w:hint="eastAsia" w:ascii="仿宋" w:hAnsi="仿宋" w:eastAsia="仿宋" w:cs="仿宋"/>
                <w:szCs w:val="21"/>
              </w:rPr>
            </w:pPr>
          </w:p>
        </w:tc>
        <w:tc>
          <w:tcPr>
            <w:tcW w:w="1114" w:type="dxa"/>
            <w:noWrap w:val="0"/>
            <w:vAlign w:val="center"/>
          </w:tcPr>
          <w:p w14:paraId="507E267B">
            <w:pPr>
              <w:jc w:val="center"/>
              <w:rPr>
                <w:rFonts w:hint="eastAsia" w:ascii="仿宋" w:hAnsi="仿宋" w:eastAsia="仿宋" w:cs="仿宋"/>
                <w:szCs w:val="21"/>
              </w:rPr>
            </w:pPr>
          </w:p>
        </w:tc>
        <w:tc>
          <w:tcPr>
            <w:tcW w:w="1617" w:type="dxa"/>
            <w:noWrap w:val="0"/>
            <w:vAlign w:val="center"/>
          </w:tcPr>
          <w:p w14:paraId="760ECF35">
            <w:pPr>
              <w:jc w:val="center"/>
              <w:rPr>
                <w:rFonts w:hint="eastAsia" w:ascii="仿宋" w:hAnsi="仿宋" w:eastAsia="仿宋" w:cs="仿宋"/>
                <w:szCs w:val="21"/>
              </w:rPr>
            </w:pPr>
          </w:p>
        </w:tc>
        <w:tc>
          <w:tcPr>
            <w:tcW w:w="1396" w:type="dxa"/>
            <w:noWrap w:val="0"/>
            <w:vAlign w:val="center"/>
          </w:tcPr>
          <w:p w14:paraId="1299FE70">
            <w:pPr>
              <w:jc w:val="center"/>
              <w:rPr>
                <w:rFonts w:hint="eastAsia" w:ascii="仿宋" w:hAnsi="仿宋" w:eastAsia="仿宋" w:cs="仿宋"/>
                <w:b/>
                <w:bCs/>
                <w:szCs w:val="21"/>
              </w:rPr>
            </w:pPr>
          </w:p>
        </w:tc>
      </w:tr>
      <w:tr w14:paraId="25951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09BF5BAF">
            <w:pPr>
              <w:jc w:val="center"/>
              <w:rPr>
                <w:rFonts w:hint="eastAsia" w:ascii="仿宋" w:hAnsi="仿宋" w:eastAsia="仿宋" w:cs="仿宋"/>
                <w:szCs w:val="21"/>
              </w:rPr>
            </w:pPr>
            <w:r>
              <w:rPr>
                <w:rFonts w:hint="eastAsia" w:ascii="仿宋" w:hAnsi="仿宋" w:eastAsia="仿宋" w:cs="仿宋"/>
                <w:szCs w:val="21"/>
              </w:rPr>
              <w:t>7</w:t>
            </w:r>
          </w:p>
        </w:tc>
        <w:tc>
          <w:tcPr>
            <w:tcW w:w="929" w:type="dxa"/>
            <w:noWrap w:val="0"/>
            <w:vAlign w:val="center"/>
          </w:tcPr>
          <w:p w14:paraId="5903D583">
            <w:pPr>
              <w:jc w:val="center"/>
              <w:rPr>
                <w:rFonts w:hint="eastAsia" w:ascii="仿宋" w:hAnsi="仿宋" w:eastAsia="仿宋" w:cs="仿宋"/>
                <w:szCs w:val="21"/>
              </w:rPr>
            </w:pPr>
          </w:p>
        </w:tc>
        <w:tc>
          <w:tcPr>
            <w:tcW w:w="1336" w:type="dxa"/>
            <w:noWrap w:val="0"/>
            <w:vAlign w:val="center"/>
          </w:tcPr>
          <w:p w14:paraId="0BE97E8F">
            <w:pPr>
              <w:jc w:val="center"/>
              <w:rPr>
                <w:rFonts w:hint="eastAsia" w:ascii="仿宋" w:hAnsi="仿宋" w:eastAsia="仿宋" w:cs="仿宋"/>
                <w:szCs w:val="21"/>
              </w:rPr>
            </w:pPr>
          </w:p>
        </w:tc>
        <w:tc>
          <w:tcPr>
            <w:tcW w:w="1271" w:type="dxa"/>
            <w:noWrap w:val="0"/>
            <w:vAlign w:val="center"/>
          </w:tcPr>
          <w:p w14:paraId="6CC2A164">
            <w:pPr>
              <w:jc w:val="center"/>
              <w:rPr>
                <w:rFonts w:hint="eastAsia" w:ascii="仿宋" w:hAnsi="仿宋" w:eastAsia="仿宋" w:cs="仿宋"/>
                <w:szCs w:val="21"/>
              </w:rPr>
            </w:pPr>
          </w:p>
        </w:tc>
        <w:tc>
          <w:tcPr>
            <w:tcW w:w="1264" w:type="dxa"/>
            <w:noWrap w:val="0"/>
            <w:vAlign w:val="center"/>
          </w:tcPr>
          <w:p w14:paraId="534CA38F">
            <w:pPr>
              <w:jc w:val="center"/>
              <w:rPr>
                <w:rFonts w:hint="eastAsia" w:ascii="仿宋" w:hAnsi="仿宋" w:eastAsia="仿宋" w:cs="仿宋"/>
                <w:szCs w:val="21"/>
              </w:rPr>
            </w:pPr>
          </w:p>
        </w:tc>
        <w:tc>
          <w:tcPr>
            <w:tcW w:w="1114" w:type="dxa"/>
            <w:noWrap w:val="0"/>
            <w:vAlign w:val="center"/>
          </w:tcPr>
          <w:p w14:paraId="4031D371">
            <w:pPr>
              <w:jc w:val="center"/>
              <w:rPr>
                <w:rFonts w:hint="eastAsia" w:ascii="仿宋" w:hAnsi="仿宋" w:eastAsia="仿宋" w:cs="仿宋"/>
                <w:szCs w:val="21"/>
              </w:rPr>
            </w:pPr>
          </w:p>
        </w:tc>
        <w:tc>
          <w:tcPr>
            <w:tcW w:w="1617" w:type="dxa"/>
            <w:noWrap w:val="0"/>
            <w:vAlign w:val="center"/>
          </w:tcPr>
          <w:p w14:paraId="7B50CBE4">
            <w:pPr>
              <w:jc w:val="center"/>
              <w:rPr>
                <w:rFonts w:hint="eastAsia" w:ascii="仿宋" w:hAnsi="仿宋" w:eastAsia="仿宋" w:cs="仿宋"/>
                <w:szCs w:val="21"/>
              </w:rPr>
            </w:pPr>
          </w:p>
        </w:tc>
        <w:tc>
          <w:tcPr>
            <w:tcW w:w="1396" w:type="dxa"/>
            <w:noWrap w:val="0"/>
            <w:vAlign w:val="center"/>
          </w:tcPr>
          <w:p w14:paraId="49BC396F">
            <w:pPr>
              <w:jc w:val="center"/>
              <w:rPr>
                <w:rFonts w:hint="eastAsia" w:ascii="仿宋" w:hAnsi="仿宋" w:eastAsia="仿宋" w:cs="仿宋"/>
                <w:b/>
                <w:bCs/>
                <w:szCs w:val="21"/>
              </w:rPr>
            </w:pPr>
          </w:p>
        </w:tc>
      </w:tr>
      <w:tr w14:paraId="4F4B2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563B74D0">
            <w:pPr>
              <w:jc w:val="center"/>
              <w:rPr>
                <w:rFonts w:ascii="仿宋" w:hAnsi="仿宋" w:eastAsia="仿宋" w:cs="仿宋"/>
                <w:szCs w:val="21"/>
              </w:rPr>
            </w:pPr>
            <w:r>
              <w:rPr>
                <w:rFonts w:hint="eastAsia" w:ascii="仿宋" w:hAnsi="仿宋" w:eastAsia="仿宋" w:cs="仿宋"/>
                <w:szCs w:val="21"/>
              </w:rPr>
              <w:t>8</w:t>
            </w:r>
          </w:p>
        </w:tc>
        <w:tc>
          <w:tcPr>
            <w:tcW w:w="929" w:type="dxa"/>
            <w:noWrap w:val="0"/>
            <w:vAlign w:val="center"/>
          </w:tcPr>
          <w:p w14:paraId="4ED192BB">
            <w:pPr>
              <w:jc w:val="center"/>
              <w:rPr>
                <w:rFonts w:hint="eastAsia" w:ascii="仿宋" w:hAnsi="仿宋" w:eastAsia="仿宋" w:cs="仿宋"/>
                <w:szCs w:val="21"/>
              </w:rPr>
            </w:pPr>
          </w:p>
        </w:tc>
        <w:tc>
          <w:tcPr>
            <w:tcW w:w="1336" w:type="dxa"/>
            <w:noWrap w:val="0"/>
            <w:vAlign w:val="center"/>
          </w:tcPr>
          <w:p w14:paraId="2AAAE38D">
            <w:pPr>
              <w:jc w:val="center"/>
              <w:rPr>
                <w:rFonts w:hint="eastAsia" w:ascii="仿宋" w:hAnsi="仿宋" w:eastAsia="仿宋" w:cs="仿宋"/>
                <w:szCs w:val="21"/>
              </w:rPr>
            </w:pPr>
          </w:p>
        </w:tc>
        <w:tc>
          <w:tcPr>
            <w:tcW w:w="1271" w:type="dxa"/>
            <w:noWrap w:val="0"/>
            <w:vAlign w:val="center"/>
          </w:tcPr>
          <w:p w14:paraId="0261E584">
            <w:pPr>
              <w:jc w:val="center"/>
              <w:rPr>
                <w:rFonts w:hint="eastAsia" w:ascii="仿宋" w:hAnsi="仿宋" w:eastAsia="仿宋" w:cs="仿宋"/>
                <w:szCs w:val="21"/>
              </w:rPr>
            </w:pPr>
          </w:p>
        </w:tc>
        <w:tc>
          <w:tcPr>
            <w:tcW w:w="1264" w:type="dxa"/>
            <w:noWrap w:val="0"/>
            <w:vAlign w:val="center"/>
          </w:tcPr>
          <w:p w14:paraId="297A95FB">
            <w:pPr>
              <w:jc w:val="center"/>
              <w:rPr>
                <w:rFonts w:hint="eastAsia" w:ascii="仿宋" w:hAnsi="仿宋" w:eastAsia="仿宋" w:cs="仿宋"/>
                <w:szCs w:val="21"/>
              </w:rPr>
            </w:pPr>
          </w:p>
        </w:tc>
        <w:tc>
          <w:tcPr>
            <w:tcW w:w="1114" w:type="dxa"/>
            <w:noWrap w:val="0"/>
            <w:vAlign w:val="center"/>
          </w:tcPr>
          <w:p w14:paraId="754E7E80">
            <w:pPr>
              <w:jc w:val="center"/>
              <w:rPr>
                <w:rFonts w:hint="eastAsia" w:ascii="仿宋" w:hAnsi="仿宋" w:eastAsia="仿宋" w:cs="仿宋"/>
                <w:szCs w:val="21"/>
              </w:rPr>
            </w:pPr>
          </w:p>
        </w:tc>
        <w:tc>
          <w:tcPr>
            <w:tcW w:w="1617" w:type="dxa"/>
            <w:noWrap w:val="0"/>
            <w:vAlign w:val="center"/>
          </w:tcPr>
          <w:p w14:paraId="2232A3D4">
            <w:pPr>
              <w:jc w:val="center"/>
              <w:rPr>
                <w:rFonts w:hint="eastAsia" w:ascii="仿宋" w:hAnsi="仿宋" w:eastAsia="仿宋" w:cs="仿宋"/>
                <w:szCs w:val="21"/>
              </w:rPr>
            </w:pPr>
          </w:p>
        </w:tc>
        <w:tc>
          <w:tcPr>
            <w:tcW w:w="1396" w:type="dxa"/>
            <w:noWrap w:val="0"/>
            <w:vAlign w:val="center"/>
          </w:tcPr>
          <w:p w14:paraId="49809095">
            <w:pPr>
              <w:jc w:val="center"/>
              <w:rPr>
                <w:rFonts w:hint="eastAsia" w:ascii="仿宋" w:hAnsi="仿宋" w:eastAsia="仿宋" w:cs="仿宋"/>
                <w:b/>
                <w:bCs/>
                <w:szCs w:val="21"/>
              </w:rPr>
            </w:pPr>
          </w:p>
        </w:tc>
      </w:tr>
      <w:tr w14:paraId="29E40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21FAC497">
            <w:pPr>
              <w:jc w:val="center"/>
              <w:rPr>
                <w:rFonts w:ascii="仿宋" w:hAnsi="仿宋" w:eastAsia="仿宋" w:cs="仿宋"/>
                <w:szCs w:val="21"/>
              </w:rPr>
            </w:pPr>
            <w:r>
              <w:rPr>
                <w:rFonts w:hint="eastAsia" w:ascii="仿宋" w:hAnsi="仿宋" w:eastAsia="仿宋" w:cs="仿宋"/>
                <w:szCs w:val="21"/>
              </w:rPr>
              <w:t>9</w:t>
            </w:r>
          </w:p>
        </w:tc>
        <w:tc>
          <w:tcPr>
            <w:tcW w:w="929" w:type="dxa"/>
            <w:noWrap w:val="0"/>
            <w:vAlign w:val="center"/>
          </w:tcPr>
          <w:p w14:paraId="6DE1329E">
            <w:pPr>
              <w:jc w:val="center"/>
              <w:rPr>
                <w:rFonts w:hint="eastAsia" w:ascii="仿宋" w:hAnsi="仿宋" w:eastAsia="仿宋" w:cs="仿宋"/>
                <w:szCs w:val="21"/>
              </w:rPr>
            </w:pPr>
          </w:p>
        </w:tc>
        <w:tc>
          <w:tcPr>
            <w:tcW w:w="1336" w:type="dxa"/>
            <w:noWrap w:val="0"/>
            <w:vAlign w:val="center"/>
          </w:tcPr>
          <w:p w14:paraId="37C88B81">
            <w:pPr>
              <w:jc w:val="center"/>
              <w:rPr>
                <w:rFonts w:hint="eastAsia" w:ascii="仿宋" w:hAnsi="仿宋" w:eastAsia="仿宋" w:cs="仿宋"/>
                <w:szCs w:val="21"/>
              </w:rPr>
            </w:pPr>
          </w:p>
        </w:tc>
        <w:tc>
          <w:tcPr>
            <w:tcW w:w="1271" w:type="dxa"/>
            <w:noWrap w:val="0"/>
            <w:vAlign w:val="center"/>
          </w:tcPr>
          <w:p w14:paraId="7D74007B">
            <w:pPr>
              <w:jc w:val="center"/>
              <w:rPr>
                <w:rFonts w:hint="eastAsia" w:ascii="仿宋" w:hAnsi="仿宋" w:eastAsia="仿宋" w:cs="仿宋"/>
                <w:szCs w:val="21"/>
              </w:rPr>
            </w:pPr>
          </w:p>
        </w:tc>
        <w:tc>
          <w:tcPr>
            <w:tcW w:w="1264" w:type="dxa"/>
            <w:noWrap w:val="0"/>
            <w:vAlign w:val="center"/>
          </w:tcPr>
          <w:p w14:paraId="090EF73E">
            <w:pPr>
              <w:jc w:val="center"/>
              <w:rPr>
                <w:rFonts w:hint="eastAsia" w:ascii="仿宋" w:hAnsi="仿宋" w:eastAsia="仿宋" w:cs="仿宋"/>
                <w:szCs w:val="21"/>
              </w:rPr>
            </w:pPr>
          </w:p>
        </w:tc>
        <w:tc>
          <w:tcPr>
            <w:tcW w:w="1114" w:type="dxa"/>
            <w:noWrap w:val="0"/>
            <w:vAlign w:val="center"/>
          </w:tcPr>
          <w:p w14:paraId="03D57959">
            <w:pPr>
              <w:jc w:val="center"/>
              <w:rPr>
                <w:rFonts w:hint="eastAsia" w:ascii="仿宋" w:hAnsi="仿宋" w:eastAsia="仿宋" w:cs="仿宋"/>
                <w:szCs w:val="21"/>
              </w:rPr>
            </w:pPr>
          </w:p>
        </w:tc>
        <w:tc>
          <w:tcPr>
            <w:tcW w:w="1617" w:type="dxa"/>
            <w:noWrap w:val="0"/>
            <w:vAlign w:val="center"/>
          </w:tcPr>
          <w:p w14:paraId="0E9F5F09">
            <w:pPr>
              <w:jc w:val="center"/>
              <w:rPr>
                <w:rFonts w:hint="eastAsia" w:ascii="仿宋" w:hAnsi="仿宋" w:eastAsia="仿宋" w:cs="仿宋"/>
                <w:szCs w:val="21"/>
              </w:rPr>
            </w:pPr>
          </w:p>
        </w:tc>
        <w:tc>
          <w:tcPr>
            <w:tcW w:w="1396" w:type="dxa"/>
            <w:noWrap w:val="0"/>
            <w:vAlign w:val="center"/>
          </w:tcPr>
          <w:p w14:paraId="5A3B5ABF">
            <w:pPr>
              <w:jc w:val="center"/>
              <w:rPr>
                <w:rFonts w:hint="eastAsia" w:ascii="仿宋" w:hAnsi="仿宋" w:eastAsia="仿宋" w:cs="仿宋"/>
                <w:b/>
                <w:bCs/>
                <w:szCs w:val="21"/>
              </w:rPr>
            </w:pPr>
          </w:p>
        </w:tc>
      </w:tr>
      <w:tr w14:paraId="0349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72C0DCB8">
            <w:pPr>
              <w:jc w:val="center"/>
              <w:rPr>
                <w:rFonts w:ascii="仿宋" w:hAnsi="仿宋" w:eastAsia="仿宋" w:cs="仿宋"/>
                <w:szCs w:val="21"/>
              </w:rPr>
            </w:pPr>
            <w:r>
              <w:rPr>
                <w:rFonts w:hint="eastAsia" w:ascii="仿宋" w:hAnsi="仿宋" w:eastAsia="仿宋" w:cs="仿宋"/>
                <w:szCs w:val="21"/>
              </w:rPr>
              <w:t>10</w:t>
            </w:r>
          </w:p>
        </w:tc>
        <w:tc>
          <w:tcPr>
            <w:tcW w:w="929" w:type="dxa"/>
            <w:noWrap w:val="0"/>
            <w:vAlign w:val="center"/>
          </w:tcPr>
          <w:p w14:paraId="09B60A1D">
            <w:pPr>
              <w:jc w:val="center"/>
              <w:rPr>
                <w:rFonts w:hint="eastAsia" w:ascii="仿宋" w:hAnsi="仿宋" w:eastAsia="仿宋" w:cs="仿宋"/>
                <w:szCs w:val="21"/>
              </w:rPr>
            </w:pPr>
          </w:p>
        </w:tc>
        <w:tc>
          <w:tcPr>
            <w:tcW w:w="1336" w:type="dxa"/>
            <w:noWrap w:val="0"/>
            <w:vAlign w:val="center"/>
          </w:tcPr>
          <w:p w14:paraId="4D5EB1DC">
            <w:pPr>
              <w:jc w:val="center"/>
              <w:rPr>
                <w:rFonts w:hint="eastAsia" w:ascii="仿宋" w:hAnsi="仿宋" w:eastAsia="仿宋" w:cs="仿宋"/>
                <w:szCs w:val="21"/>
              </w:rPr>
            </w:pPr>
          </w:p>
        </w:tc>
        <w:tc>
          <w:tcPr>
            <w:tcW w:w="1271" w:type="dxa"/>
            <w:noWrap w:val="0"/>
            <w:vAlign w:val="center"/>
          </w:tcPr>
          <w:p w14:paraId="2D2F9471">
            <w:pPr>
              <w:jc w:val="center"/>
              <w:rPr>
                <w:rFonts w:hint="eastAsia" w:ascii="仿宋" w:hAnsi="仿宋" w:eastAsia="仿宋" w:cs="仿宋"/>
                <w:szCs w:val="21"/>
              </w:rPr>
            </w:pPr>
          </w:p>
        </w:tc>
        <w:tc>
          <w:tcPr>
            <w:tcW w:w="1264" w:type="dxa"/>
            <w:noWrap w:val="0"/>
            <w:vAlign w:val="center"/>
          </w:tcPr>
          <w:p w14:paraId="401F995A">
            <w:pPr>
              <w:jc w:val="center"/>
              <w:rPr>
                <w:rFonts w:hint="eastAsia" w:ascii="仿宋" w:hAnsi="仿宋" w:eastAsia="仿宋" w:cs="仿宋"/>
                <w:szCs w:val="21"/>
              </w:rPr>
            </w:pPr>
          </w:p>
        </w:tc>
        <w:tc>
          <w:tcPr>
            <w:tcW w:w="1114" w:type="dxa"/>
            <w:noWrap w:val="0"/>
            <w:vAlign w:val="center"/>
          </w:tcPr>
          <w:p w14:paraId="45BF2F4D">
            <w:pPr>
              <w:jc w:val="center"/>
              <w:rPr>
                <w:rFonts w:hint="eastAsia" w:ascii="仿宋" w:hAnsi="仿宋" w:eastAsia="仿宋" w:cs="仿宋"/>
                <w:szCs w:val="21"/>
              </w:rPr>
            </w:pPr>
          </w:p>
        </w:tc>
        <w:tc>
          <w:tcPr>
            <w:tcW w:w="1617" w:type="dxa"/>
            <w:noWrap w:val="0"/>
            <w:vAlign w:val="center"/>
          </w:tcPr>
          <w:p w14:paraId="5CA43CA7">
            <w:pPr>
              <w:jc w:val="center"/>
              <w:rPr>
                <w:rFonts w:hint="eastAsia" w:ascii="仿宋" w:hAnsi="仿宋" w:eastAsia="仿宋" w:cs="仿宋"/>
                <w:szCs w:val="21"/>
              </w:rPr>
            </w:pPr>
          </w:p>
        </w:tc>
        <w:tc>
          <w:tcPr>
            <w:tcW w:w="1396" w:type="dxa"/>
            <w:noWrap w:val="0"/>
            <w:vAlign w:val="center"/>
          </w:tcPr>
          <w:p w14:paraId="7BEE0B86">
            <w:pPr>
              <w:jc w:val="center"/>
              <w:rPr>
                <w:rFonts w:hint="eastAsia" w:ascii="仿宋" w:hAnsi="仿宋" w:eastAsia="仿宋" w:cs="仿宋"/>
                <w:b/>
                <w:bCs/>
                <w:szCs w:val="21"/>
              </w:rPr>
            </w:pPr>
          </w:p>
        </w:tc>
      </w:tr>
      <w:tr w14:paraId="50EF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1" w:type="dxa"/>
            <w:noWrap w:val="0"/>
            <w:vAlign w:val="center"/>
          </w:tcPr>
          <w:p w14:paraId="7267E5A2">
            <w:pPr>
              <w:jc w:val="center"/>
              <w:rPr>
                <w:rFonts w:hint="eastAsia" w:ascii="仿宋" w:hAnsi="仿宋" w:eastAsia="仿宋" w:cs="仿宋"/>
                <w:szCs w:val="21"/>
              </w:rPr>
            </w:pPr>
          </w:p>
        </w:tc>
        <w:tc>
          <w:tcPr>
            <w:tcW w:w="929" w:type="dxa"/>
            <w:noWrap w:val="0"/>
            <w:vAlign w:val="center"/>
          </w:tcPr>
          <w:p w14:paraId="51C08E2E">
            <w:pPr>
              <w:jc w:val="center"/>
              <w:rPr>
                <w:rFonts w:hint="eastAsia" w:ascii="仿宋" w:hAnsi="仿宋" w:eastAsia="仿宋" w:cs="仿宋"/>
                <w:szCs w:val="21"/>
              </w:rPr>
            </w:pPr>
          </w:p>
        </w:tc>
        <w:tc>
          <w:tcPr>
            <w:tcW w:w="1336" w:type="dxa"/>
            <w:noWrap w:val="0"/>
            <w:vAlign w:val="center"/>
          </w:tcPr>
          <w:p w14:paraId="3DC2DD9D">
            <w:pPr>
              <w:jc w:val="center"/>
              <w:rPr>
                <w:rFonts w:hint="eastAsia" w:ascii="仿宋" w:hAnsi="仿宋" w:eastAsia="仿宋" w:cs="仿宋"/>
                <w:szCs w:val="21"/>
              </w:rPr>
            </w:pPr>
          </w:p>
        </w:tc>
        <w:tc>
          <w:tcPr>
            <w:tcW w:w="1271" w:type="dxa"/>
            <w:noWrap w:val="0"/>
            <w:vAlign w:val="center"/>
          </w:tcPr>
          <w:p w14:paraId="54F9D24C">
            <w:pPr>
              <w:jc w:val="center"/>
              <w:rPr>
                <w:rFonts w:hint="eastAsia" w:ascii="仿宋" w:hAnsi="仿宋" w:eastAsia="仿宋" w:cs="仿宋"/>
                <w:szCs w:val="21"/>
              </w:rPr>
            </w:pPr>
          </w:p>
        </w:tc>
        <w:tc>
          <w:tcPr>
            <w:tcW w:w="1264" w:type="dxa"/>
            <w:noWrap w:val="0"/>
            <w:vAlign w:val="center"/>
          </w:tcPr>
          <w:p w14:paraId="6CC1A60C">
            <w:pPr>
              <w:jc w:val="center"/>
              <w:rPr>
                <w:rFonts w:hint="eastAsia" w:ascii="仿宋" w:hAnsi="仿宋" w:eastAsia="仿宋" w:cs="仿宋"/>
                <w:szCs w:val="21"/>
              </w:rPr>
            </w:pPr>
          </w:p>
        </w:tc>
        <w:tc>
          <w:tcPr>
            <w:tcW w:w="1114" w:type="dxa"/>
            <w:noWrap w:val="0"/>
            <w:vAlign w:val="center"/>
          </w:tcPr>
          <w:p w14:paraId="7A326496">
            <w:pPr>
              <w:jc w:val="center"/>
              <w:rPr>
                <w:rFonts w:hint="eastAsia" w:ascii="仿宋" w:hAnsi="仿宋" w:eastAsia="仿宋" w:cs="仿宋"/>
                <w:szCs w:val="21"/>
              </w:rPr>
            </w:pPr>
          </w:p>
        </w:tc>
        <w:tc>
          <w:tcPr>
            <w:tcW w:w="1617" w:type="dxa"/>
            <w:noWrap w:val="0"/>
            <w:vAlign w:val="center"/>
          </w:tcPr>
          <w:p w14:paraId="57F1BBEB">
            <w:pPr>
              <w:jc w:val="center"/>
              <w:rPr>
                <w:rFonts w:hint="eastAsia" w:ascii="仿宋" w:hAnsi="仿宋" w:eastAsia="仿宋" w:cs="仿宋"/>
                <w:szCs w:val="21"/>
              </w:rPr>
            </w:pPr>
          </w:p>
        </w:tc>
        <w:tc>
          <w:tcPr>
            <w:tcW w:w="1396" w:type="dxa"/>
            <w:noWrap w:val="0"/>
            <w:vAlign w:val="center"/>
          </w:tcPr>
          <w:p w14:paraId="7560EFBF">
            <w:pPr>
              <w:jc w:val="center"/>
              <w:rPr>
                <w:rFonts w:hint="eastAsia" w:ascii="仿宋" w:hAnsi="仿宋" w:eastAsia="仿宋" w:cs="仿宋"/>
                <w:b/>
                <w:bCs/>
                <w:szCs w:val="21"/>
              </w:rPr>
            </w:pPr>
          </w:p>
        </w:tc>
      </w:tr>
    </w:tbl>
    <w:p w14:paraId="2CB6A8BE">
      <w:pPr>
        <w:spacing w:line="360" w:lineRule="auto"/>
        <w:jc w:val="left"/>
        <w:rPr>
          <w:rFonts w:hint="eastAsia" w:ascii="仿宋" w:hAnsi="仿宋" w:eastAsia="仿宋" w:cs="仿宋"/>
          <w:b/>
          <w:bCs/>
          <w:color w:val="000000"/>
          <w:sz w:val="24"/>
        </w:rPr>
      </w:pPr>
      <w:r>
        <w:rPr>
          <w:rFonts w:hint="eastAsia" w:ascii="仿宋" w:hAnsi="仿宋" w:eastAsia="仿宋" w:cs="仿宋"/>
          <w:b/>
          <w:bCs/>
          <w:color w:val="000000"/>
          <w:sz w:val="24"/>
        </w:rPr>
        <w:t>备注：</w:t>
      </w:r>
    </w:p>
    <w:p w14:paraId="2D2D7680">
      <w:pPr>
        <w:spacing w:line="360" w:lineRule="auto"/>
        <w:textAlignment w:val="baseline"/>
        <w:rPr>
          <w:rFonts w:hint="eastAsia" w:ascii="仿宋" w:hAnsi="仿宋" w:eastAsia="仿宋"/>
          <w:b/>
          <w:color w:val="000000"/>
          <w:sz w:val="24"/>
        </w:rPr>
      </w:pPr>
      <w:r>
        <w:rPr>
          <w:rFonts w:hint="eastAsia" w:ascii="仿宋" w:hAnsi="仿宋" w:eastAsia="仿宋"/>
          <w:b/>
          <w:color w:val="000000"/>
          <w:sz w:val="24"/>
        </w:rPr>
        <w:t>1）有效的业绩证明材料包含但不限于合同关键页复印件（合同首页、合同标的页、签署日期页及盖章页等），按照本表格的合同名称顺序排放每个项目的证明材料。</w:t>
      </w:r>
    </w:p>
    <w:p w14:paraId="55FBB47F">
      <w:pPr>
        <w:spacing w:line="360" w:lineRule="auto"/>
        <w:textAlignment w:val="baseline"/>
        <w:rPr>
          <w:rFonts w:hint="eastAsia" w:ascii="仿宋" w:hAnsi="仿宋" w:eastAsia="仿宋"/>
          <w:b/>
          <w:color w:val="000000"/>
          <w:sz w:val="24"/>
        </w:rPr>
      </w:pPr>
      <w:r>
        <w:rPr>
          <w:rFonts w:hint="eastAsia" w:ascii="仿宋" w:hAnsi="仿宋" w:eastAsia="仿宋"/>
          <w:b/>
          <w:color w:val="000000"/>
          <w:sz w:val="24"/>
        </w:rPr>
        <w:t>2）按照磋商公告的资格要求，提供有效的实施经验证明材料，作为资格后审的评审依据。</w:t>
      </w:r>
    </w:p>
    <w:p w14:paraId="3FE1F0FF">
      <w:pPr>
        <w:spacing w:line="360" w:lineRule="auto"/>
        <w:textAlignment w:val="baseline"/>
        <w:rPr>
          <w:rFonts w:hint="eastAsia" w:ascii="仿宋" w:hAnsi="仿宋" w:eastAsia="仿宋"/>
          <w:b/>
          <w:color w:val="000000"/>
          <w:sz w:val="24"/>
        </w:rPr>
      </w:pPr>
      <w:r>
        <w:rPr>
          <w:rFonts w:hint="eastAsia" w:ascii="仿宋" w:hAnsi="仿宋" w:eastAsia="仿宋"/>
          <w:b/>
          <w:color w:val="000000"/>
          <w:sz w:val="24"/>
        </w:rPr>
        <w:t>3）本表格及证明材料也作为详细评审中对供应商同类项目实施经验的评审及打分依据，供应商需根据详细评审标准的要求，提供符合要求的业绩证明材料。</w:t>
      </w:r>
    </w:p>
    <w:p w14:paraId="2B0915EC">
      <w:pPr>
        <w:spacing w:line="360" w:lineRule="auto"/>
        <w:textAlignment w:val="baseline"/>
        <w:rPr>
          <w:rFonts w:ascii="仿宋" w:hAnsi="仿宋" w:eastAsia="仿宋" w:cs="仿宋"/>
          <w:b/>
          <w:bCs/>
          <w:color w:val="000000"/>
          <w:sz w:val="24"/>
        </w:rPr>
      </w:pPr>
      <w:r>
        <w:rPr>
          <w:rFonts w:hint="eastAsia" w:ascii="仿宋" w:hAnsi="仿宋" w:eastAsia="仿宋"/>
          <w:b/>
          <w:color w:val="000000"/>
          <w:sz w:val="24"/>
        </w:rPr>
        <w:br w:type="page"/>
      </w:r>
    </w:p>
    <w:p w14:paraId="149E1E16">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4、税收和社会保障资金缴纳凭证</w:t>
      </w:r>
    </w:p>
    <w:p w14:paraId="25A29E9A">
      <w:pPr>
        <w:spacing w:line="360" w:lineRule="auto"/>
        <w:textAlignment w:val="baseline"/>
        <w:rPr>
          <w:rFonts w:hint="eastAsia" w:ascii="仿宋" w:hAnsi="仿宋" w:eastAsia="仿宋" w:cs="宋体"/>
          <w:color w:val="000000"/>
          <w:sz w:val="24"/>
        </w:rPr>
      </w:pPr>
      <w:r>
        <w:rPr>
          <w:rFonts w:hint="eastAsia" w:ascii="仿宋" w:hAnsi="仿宋" w:eastAsia="仿宋" w:cs="宋体"/>
          <w:color w:val="000000"/>
          <w:sz w:val="24"/>
        </w:rPr>
        <w:t>提供近6个月任意一个月的税收和社会保障资金缴纳凭证。</w:t>
      </w:r>
    </w:p>
    <w:p w14:paraId="75D5AB57">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14:paraId="55DEF81B">
      <w:pPr>
        <w:widowControl/>
        <w:topLinePunct/>
        <w:spacing w:line="360" w:lineRule="auto"/>
        <w:ind w:firstLine="480" w:firstLineChars="200"/>
        <w:jc w:val="left"/>
        <w:rPr>
          <w:rFonts w:ascii="仿宋" w:hAnsi="仿宋" w:eastAsia="仿宋" w:cs="仿宋"/>
          <w:b/>
          <w:bCs/>
          <w:kern w:val="0"/>
          <w:sz w:val="24"/>
        </w:rPr>
      </w:pPr>
      <w:r>
        <w:rPr>
          <w:rFonts w:hint="eastAsia" w:ascii="仿宋" w:hAnsi="仿宋" w:eastAsia="仿宋" w:cs="Cambria Math"/>
          <w:sz w:val="24"/>
        </w:rPr>
        <w:t>（1）失信被执行人查询截图范例：</w:t>
      </w:r>
      <w:r>
        <w:rPr>
          <w:rFonts w:hint="eastAsia" w:ascii="仿宋" w:hAnsi="仿宋" w:eastAsia="仿宋" w:cs="仿宋"/>
          <w:b/>
          <w:bCs/>
          <w:kern w:val="0"/>
          <w:sz w:val="24"/>
        </w:rPr>
        <w:t>1、失信被执行人查询网址及示例：</w:t>
      </w:r>
    </w:p>
    <w:p w14:paraId="433D012F">
      <w:pPr>
        <w:widowControl/>
        <w:topLinePunct/>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查询网址：https://www.creditchina.gov.cn/</w:t>
      </w:r>
    </w:p>
    <w:p w14:paraId="139A183D">
      <w:pPr>
        <w:widowControl/>
        <w:topLinePunct/>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（1）进入网站首页，点击“专项查询”</w:t>
      </w:r>
    </w:p>
    <w:p w14:paraId="564D7588">
      <w:pPr>
        <w:widowControl/>
        <w:topLinePunct/>
        <w:spacing w:line="360" w:lineRule="auto"/>
        <w:jc w:val="center"/>
        <w:rPr>
          <w:rFonts w:hint="eastAsia" w:ascii="仿宋" w:hAnsi="仿宋" w:eastAsia="仿宋" w:cs="仿宋"/>
          <w:kern w:val="0"/>
          <w:sz w:val="24"/>
        </w:rPr>
      </w:pPr>
      <w:r>
        <w:drawing>
          <wp:inline distT="0" distB="0" distL="114300" distR="114300">
            <wp:extent cx="5715000" cy="3258185"/>
            <wp:effectExtent l="0" t="0" r="0" b="1841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2"/>
                    <a:srcRect l="13147" t="269" r="11897" b="13100"/>
                    <a:stretch>
                      <a:fillRect/>
                    </a:stretch>
                  </pic:blipFill>
                  <pic:spPr>
                    <a:xfrm>
                      <a:off x="0" y="0"/>
                      <a:ext cx="5715000" cy="3258185"/>
                    </a:xfrm>
                    <a:prstGeom prst="rect">
                      <a:avLst/>
                    </a:prstGeom>
                    <a:noFill/>
                    <a:ln>
                      <a:noFill/>
                    </a:ln>
                  </pic:spPr>
                </pic:pic>
              </a:graphicData>
            </a:graphic>
          </wp:inline>
        </w:drawing>
      </w:r>
    </w:p>
    <w:p w14:paraId="55C88178">
      <w:pPr>
        <w:widowControl/>
        <w:topLinePunct/>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（2）选择“失信被执行人”，点击确定，跳转至“中国执行信息公开网”</w:t>
      </w:r>
    </w:p>
    <w:p w14:paraId="33C7115D">
      <w:pPr>
        <w:widowControl/>
        <w:topLinePunct/>
        <w:spacing w:line="360" w:lineRule="auto"/>
        <w:jc w:val="center"/>
        <w:rPr>
          <w:rFonts w:hint="eastAsia" w:ascii="仿宋" w:hAnsi="仿宋" w:eastAsia="仿宋" w:cs="仿宋"/>
          <w:kern w:val="0"/>
          <w:sz w:val="24"/>
        </w:rPr>
      </w:pPr>
      <w:r>
        <w:rPr>
          <w:rFonts w:hint="eastAsia" w:ascii="仿宋" w:hAnsi="仿宋" w:eastAsia="仿宋" w:cs="仿宋"/>
          <w:kern w:val="0"/>
          <w:sz w:val="24"/>
        </w:rPr>
        <w:drawing>
          <wp:inline distT="0" distB="0" distL="114300" distR="114300">
            <wp:extent cx="5690235" cy="2741295"/>
            <wp:effectExtent l="0" t="0" r="5715" b="190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3"/>
                    <a:stretch>
                      <a:fillRect/>
                    </a:stretch>
                  </pic:blipFill>
                  <pic:spPr>
                    <a:xfrm>
                      <a:off x="0" y="0"/>
                      <a:ext cx="5690235" cy="2741295"/>
                    </a:xfrm>
                    <a:prstGeom prst="rect">
                      <a:avLst/>
                    </a:prstGeom>
                    <a:noFill/>
                    <a:ln>
                      <a:noFill/>
                    </a:ln>
                  </pic:spPr>
                </pic:pic>
              </a:graphicData>
            </a:graphic>
          </wp:inline>
        </w:drawing>
      </w:r>
    </w:p>
    <w:p w14:paraId="04A2C923">
      <w:pPr>
        <w:widowControl/>
        <w:topLinePunct/>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（3）在“被执行人姓名/名称”栏内输入“投标人名称”、在“省份”栏选择“全部”，及相关信息后点击查询。示例如下：</w:t>
      </w:r>
    </w:p>
    <w:p w14:paraId="5FAD373E">
      <w:pPr>
        <w:pStyle w:val="17"/>
      </w:pPr>
      <w:r>
        <w:drawing>
          <wp:inline distT="0" distB="0" distL="114300" distR="114300">
            <wp:extent cx="5513070" cy="2985770"/>
            <wp:effectExtent l="0" t="0" r="11430" b="508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4"/>
                    <a:stretch>
                      <a:fillRect/>
                    </a:stretch>
                  </pic:blipFill>
                  <pic:spPr>
                    <a:xfrm>
                      <a:off x="0" y="0"/>
                      <a:ext cx="5513070" cy="2985770"/>
                    </a:xfrm>
                    <a:prstGeom prst="rect">
                      <a:avLst/>
                    </a:prstGeom>
                    <a:noFill/>
                    <a:ln>
                      <a:noFill/>
                    </a:ln>
                  </pic:spPr>
                </pic:pic>
              </a:graphicData>
            </a:graphic>
          </wp:inline>
        </w:drawing>
      </w:r>
    </w:p>
    <w:p w14:paraId="382E2DB8">
      <w:pPr>
        <w:widowControl/>
        <w:topLinePunct/>
        <w:spacing w:line="360" w:lineRule="auto"/>
        <w:jc w:val="left"/>
        <w:rPr>
          <w:rFonts w:hint="eastAsia" w:ascii="仿宋" w:hAnsi="仿宋" w:eastAsia="仿宋" w:cs="仿宋"/>
          <w:b/>
          <w:bCs/>
          <w:kern w:val="0"/>
          <w:sz w:val="24"/>
        </w:rPr>
      </w:pPr>
    </w:p>
    <w:p w14:paraId="5D843278">
      <w:pPr>
        <w:widowControl/>
        <w:topLinePunct/>
        <w:spacing w:line="360" w:lineRule="auto"/>
        <w:ind w:firstLine="482" w:firstLineChars="200"/>
        <w:jc w:val="left"/>
        <w:rPr>
          <w:rFonts w:hint="eastAsia" w:ascii="仿宋" w:hAnsi="仿宋" w:eastAsia="仿宋" w:cs="仿宋"/>
          <w:b/>
          <w:bCs/>
          <w:kern w:val="0"/>
          <w:sz w:val="24"/>
        </w:rPr>
      </w:pPr>
      <w:r>
        <w:rPr>
          <w:rFonts w:hint="eastAsia" w:ascii="仿宋" w:hAnsi="仿宋" w:eastAsia="仿宋" w:cs="仿宋"/>
          <w:b/>
          <w:bCs/>
          <w:kern w:val="0"/>
          <w:sz w:val="24"/>
        </w:rPr>
        <w:t>2、重大税收违法失信主体查询网址及示例：</w:t>
      </w:r>
    </w:p>
    <w:p w14:paraId="4C626A3C">
      <w:pPr>
        <w:widowControl/>
        <w:topLinePunct/>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查询网址：https://www.creditchina.gov.cn/</w:t>
      </w:r>
    </w:p>
    <w:p w14:paraId="4A18C9FA">
      <w:pPr>
        <w:widowControl/>
        <w:topLinePunct/>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（1）进入网站首页，点击“专项查询”</w:t>
      </w:r>
    </w:p>
    <w:p w14:paraId="6E47457A">
      <w:pPr>
        <w:pStyle w:val="17"/>
        <w:spacing w:line="360" w:lineRule="auto"/>
        <w:rPr>
          <w:rFonts w:hint="eastAsia" w:ascii="仿宋" w:hAnsi="仿宋" w:eastAsia="仿宋" w:cs="仿宋"/>
          <w:kern w:val="0"/>
          <w:sz w:val="24"/>
        </w:rPr>
      </w:pPr>
      <w:r>
        <w:drawing>
          <wp:inline distT="0" distB="0" distL="114300" distR="114300">
            <wp:extent cx="5539740" cy="3157855"/>
            <wp:effectExtent l="0" t="0" r="3810" b="444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2"/>
                    <a:srcRect l="13147" t="269" r="11897" b="13100"/>
                    <a:stretch>
                      <a:fillRect/>
                    </a:stretch>
                  </pic:blipFill>
                  <pic:spPr>
                    <a:xfrm>
                      <a:off x="0" y="0"/>
                      <a:ext cx="5539740" cy="3157855"/>
                    </a:xfrm>
                    <a:prstGeom prst="rect">
                      <a:avLst/>
                    </a:prstGeom>
                    <a:noFill/>
                    <a:ln>
                      <a:noFill/>
                    </a:ln>
                  </pic:spPr>
                </pic:pic>
              </a:graphicData>
            </a:graphic>
          </wp:inline>
        </w:drawing>
      </w:r>
    </w:p>
    <w:p w14:paraId="347506EF">
      <w:pPr>
        <w:widowControl/>
        <w:topLinePunct/>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br w:type="page"/>
      </w:r>
      <w:r>
        <w:rPr>
          <w:rFonts w:hint="eastAsia" w:ascii="仿宋" w:hAnsi="仿宋" w:eastAsia="仿宋" w:cs="仿宋"/>
          <w:kern w:val="0"/>
          <w:sz w:val="24"/>
        </w:rPr>
        <w:t>（2）选择“重大税收违法失信主体名单”，在搜索栏内输入投标人名称后点击查询，示例如下：</w:t>
      </w:r>
    </w:p>
    <w:p w14:paraId="6CDB2909">
      <w:pPr>
        <w:widowControl/>
        <w:topLinePunct/>
        <w:spacing w:line="360" w:lineRule="auto"/>
        <w:jc w:val="left"/>
        <w:rPr>
          <w:rFonts w:hint="eastAsia" w:ascii="仿宋" w:hAnsi="仿宋" w:eastAsia="仿宋" w:cs="仿宋"/>
          <w:kern w:val="0"/>
          <w:sz w:val="24"/>
        </w:rPr>
      </w:pPr>
      <w:r>
        <w:drawing>
          <wp:inline distT="0" distB="0" distL="114300" distR="114300">
            <wp:extent cx="5749290" cy="2976880"/>
            <wp:effectExtent l="0" t="0" r="3810" b="1397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5"/>
                    <a:stretch>
                      <a:fillRect/>
                    </a:stretch>
                  </pic:blipFill>
                  <pic:spPr>
                    <a:xfrm>
                      <a:off x="0" y="0"/>
                      <a:ext cx="5749290" cy="2976880"/>
                    </a:xfrm>
                    <a:prstGeom prst="rect">
                      <a:avLst/>
                    </a:prstGeom>
                    <a:noFill/>
                    <a:ln>
                      <a:noFill/>
                    </a:ln>
                  </pic:spPr>
                </pic:pic>
              </a:graphicData>
            </a:graphic>
          </wp:inline>
        </w:drawing>
      </w:r>
    </w:p>
    <w:p w14:paraId="7D8A8A3C">
      <w:pPr>
        <w:widowControl/>
        <w:topLinePunct/>
        <w:spacing w:line="360" w:lineRule="auto"/>
        <w:ind w:firstLine="482" w:firstLineChars="200"/>
        <w:jc w:val="left"/>
        <w:rPr>
          <w:rFonts w:hint="eastAsia" w:ascii="仿宋" w:hAnsi="仿宋" w:eastAsia="仿宋" w:cs="仿宋"/>
          <w:b/>
          <w:bCs/>
          <w:kern w:val="0"/>
          <w:sz w:val="24"/>
        </w:rPr>
      </w:pPr>
    </w:p>
    <w:p w14:paraId="79BCBF42">
      <w:pPr>
        <w:widowControl/>
        <w:topLinePunct/>
        <w:spacing w:line="360" w:lineRule="auto"/>
        <w:ind w:firstLine="482" w:firstLineChars="200"/>
        <w:jc w:val="left"/>
        <w:rPr>
          <w:rFonts w:ascii="仿宋" w:hAnsi="仿宋" w:eastAsia="仿宋" w:cs="仿宋"/>
          <w:b/>
          <w:bCs/>
          <w:kern w:val="0"/>
          <w:sz w:val="24"/>
        </w:rPr>
      </w:pPr>
      <w:r>
        <w:rPr>
          <w:rFonts w:hint="eastAsia" w:ascii="仿宋" w:hAnsi="仿宋" w:eastAsia="仿宋" w:cs="仿宋"/>
          <w:b/>
          <w:bCs/>
          <w:kern w:val="0"/>
          <w:sz w:val="24"/>
        </w:rPr>
        <w:t>3、政府采购严重违法失信行为记录名单查询网址及示例：</w:t>
      </w:r>
    </w:p>
    <w:p w14:paraId="4E093A72">
      <w:pPr>
        <w:widowControl/>
        <w:topLinePunct/>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查询网址：https://www.creditchina.gov.cn/</w:t>
      </w:r>
    </w:p>
    <w:p w14:paraId="0AD0BF0D">
      <w:pPr>
        <w:widowControl/>
        <w:topLinePunct/>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（1）进入网站首页，点击“专项查询”</w:t>
      </w:r>
    </w:p>
    <w:p w14:paraId="513B1FB5">
      <w:pPr>
        <w:widowControl/>
        <w:topLinePunct/>
        <w:spacing w:line="360" w:lineRule="auto"/>
        <w:jc w:val="left"/>
        <w:rPr>
          <w:rFonts w:hint="eastAsia" w:ascii="仿宋" w:hAnsi="仿宋" w:eastAsia="仿宋" w:cs="仿宋"/>
          <w:kern w:val="0"/>
          <w:sz w:val="24"/>
        </w:rPr>
      </w:pPr>
      <w:r>
        <w:drawing>
          <wp:inline distT="0" distB="0" distL="114300" distR="114300">
            <wp:extent cx="5753100" cy="3279775"/>
            <wp:effectExtent l="0" t="0" r="0" b="1587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2"/>
                    <a:srcRect l="13147" t="269" r="11897" b="13100"/>
                    <a:stretch>
                      <a:fillRect/>
                    </a:stretch>
                  </pic:blipFill>
                  <pic:spPr>
                    <a:xfrm>
                      <a:off x="0" y="0"/>
                      <a:ext cx="5753100" cy="3279775"/>
                    </a:xfrm>
                    <a:prstGeom prst="rect">
                      <a:avLst/>
                    </a:prstGeom>
                    <a:noFill/>
                    <a:ln>
                      <a:noFill/>
                    </a:ln>
                  </pic:spPr>
                </pic:pic>
              </a:graphicData>
            </a:graphic>
          </wp:inline>
        </w:drawing>
      </w:r>
    </w:p>
    <w:p w14:paraId="65885FFD">
      <w:pPr>
        <w:widowControl/>
        <w:topLinePunct/>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br w:type="page"/>
      </w:r>
      <w:r>
        <w:rPr>
          <w:rFonts w:hint="eastAsia" w:ascii="仿宋" w:hAnsi="仿宋" w:eastAsia="仿宋" w:cs="仿宋"/>
          <w:kern w:val="0"/>
          <w:sz w:val="24"/>
        </w:rPr>
        <w:t>（2）选择“政府采购严重违法失信行为记录名单”，在搜索栏内输入投标人名称后点击查询，示例如下：</w:t>
      </w:r>
    </w:p>
    <w:p w14:paraId="471EF774">
      <w:pPr>
        <w:ind w:firstLine="210" w:firstLineChars="100"/>
        <w:rPr>
          <w:rFonts w:hint="eastAsia"/>
        </w:rPr>
      </w:pPr>
      <w:r>
        <w:drawing>
          <wp:inline distT="0" distB="0" distL="114300" distR="114300">
            <wp:extent cx="5755640" cy="3048635"/>
            <wp:effectExtent l="0" t="0" r="16510" b="18415"/>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16"/>
                    <a:stretch>
                      <a:fillRect/>
                    </a:stretch>
                  </pic:blipFill>
                  <pic:spPr>
                    <a:xfrm>
                      <a:off x="0" y="0"/>
                      <a:ext cx="5755640" cy="3048635"/>
                    </a:xfrm>
                    <a:prstGeom prst="rect">
                      <a:avLst/>
                    </a:prstGeom>
                    <a:noFill/>
                    <a:ln>
                      <a:noFill/>
                    </a:ln>
                  </pic:spPr>
                </pic:pic>
              </a:graphicData>
            </a:graphic>
          </wp:inline>
        </w:drawing>
      </w:r>
    </w:p>
    <w:p w14:paraId="665EA205">
      <w:pPr>
        <w:spacing w:line="360" w:lineRule="auto"/>
        <w:jc w:val="right"/>
        <w:rPr>
          <w:rFonts w:hint="eastAsia" w:ascii="仿宋" w:hAnsi="仿宋" w:eastAsia="仿宋" w:cs="Cambria Math"/>
          <w:color w:val="000000"/>
          <w:sz w:val="24"/>
        </w:rPr>
        <w:sectPr>
          <w:pgSz w:w="11906" w:h="16838"/>
          <w:pgMar w:top="1417" w:right="1134" w:bottom="1134" w:left="1134" w:header="851" w:footer="992" w:gutter="0"/>
          <w:cols w:space="720" w:num="1"/>
          <w:titlePg/>
          <w:docGrid w:type="lines" w:linePitch="312" w:charSpace="0"/>
        </w:sectPr>
      </w:pPr>
      <w:bookmarkStart w:id="171" w:name="_Hlk69983040"/>
    </w:p>
    <w:p w14:paraId="7B3E6015">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6、供应商控股及管理关系情况申报表</w:t>
      </w:r>
    </w:p>
    <w:p w14:paraId="452A7F2B">
      <w:pPr>
        <w:pStyle w:val="75"/>
        <w:spacing w:before="240" w:after="240" w:line="360" w:lineRule="auto"/>
        <w:ind w:firstLine="0" w:firstLineChars="0"/>
        <w:jc w:val="center"/>
        <w:rPr>
          <w:rFonts w:hint="eastAsia" w:ascii="仿宋" w:hAnsi="仿宋" w:eastAsia="仿宋" w:cs="仿宋"/>
          <w:b/>
          <w:color w:val="000000"/>
          <w:sz w:val="24"/>
        </w:rPr>
      </w:pPr>
      <w:r>
        <w:rPr>
          <w:rFonts w:hint="eastAsia" w:ascii="仿宋" w:hAnsi="仿宋" w:eastAsia="仿宋" w:cs="仿宋"/>
          <w:b/>
          <w:color w:val="000000"/>
          <w:sz w:val="24"/>
        </w:rPr>
        <w:t>供应商控股及管理关系情况申报表</w:t>
      </w:r>
    </w:p>
    <w:p w14:paraId="0C96AB18">
      <w:pPr>
        <w:adjustRightInd w:val="0"/>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（采购人名称）     </w:t>
      </w:r>
      <w:r>
        <w:rPr>
          <w:rFonts w:hint="eastAsia" w:ascii="仿宋" w:hAnsi="仿宋" w:eastAsia="仿宋" w:cs="仿宋"/>
          <w:color w:val="000000"/>
          <w:sz w:val="24"/>
        </w:rPr>
        <w:t>：</w:t>
      </w:r>
    </w:p>
    <w:p w14:paraId="0D0A6CEB">
      <w:pPr>
        <w:adjustRightInd w:val="0"/>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我方参加</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（项目名称）的磋商响应，特就我方控股及管理关系情况申报如下，并承担申报不实的责任。</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5"/>
        <w:gridCol w:w="2658"/>
        <w:gridCol w:w="4309"/>
      </w:tblGrid>
      <w:tr w14:paraId="6BA2A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885" w:type="dxa"/>
            <w:noWrap w:val="0"/>
            <w:vAlign w:val="center"/>
          </w:tcPr>
          <w:p w14:paraId="1D77B355">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申报人名称</w:t>
            </w:r>
          </w:p>
        </w:tc>
        <w:tc>
          <w:tcPr>
            <w:tcW w:w="6967" w:type="dxa"/>
            <w:gridSpan w:val="2"/>
            <w:noWrap w:val="0"/>
            <w:vAlign w:val="center"/>
          </w:tcPr>
          <w:p w14:paraId="1C95E2C9">
            <w:pPr>
              <w:adjustRightInd w:val="0"/>
              <w:snapToGrid w:val="0"/>
              <w:spacing w:line="440" w:lineRule="exact"/>
              <w:rPr>
                <w:rFonts w:hint="eastAsia" w:ascii="仿宋" w:hAnsi="仿宋" w:eastAsia="仿宋" w:cs="仿宋"/>
                <w:color w:val="000000"/>
              </w:rPr>
            </w:pPr>
          </w:p>
        </w:tc>
      </w:tr>
      <w:tr w14:paraId="7BF9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2885" w:type="dxa"/>
            <w:vMerge w:val="restart"/>
            <w:noWrap w:val="0"/>
            <w:vAlign w:val="center"/>
          </w:tcPr>
          <w:p w14:paraId="330E26C2">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法定代表人（负责人）/单位负责人</w:t>
            </w:r>
          </w:p>
        </w:tc>
        <w:tc>
          <w:tcPr>
            <w:tcW w:w="2658" w:type="dxa"/>
            <w:noWrap w:val="0"/>
            <w:vAlign w:val="center"/>
          </w:tcPr>
          <w:p w14:paraId="2D8571AE">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姓    名</w:t>
            </w:r>
          </w:p>
        </w:tc>
        <w:tc>
          <w:tcPr>
            <w:tcW w:w="4309" w:type="dxa"/>
            <w:noWrap w:val="0"/>
            <w:vAlign w:val="center"/>
          </w:tcPr>
          <w:p w14:paraId="0A4EA200">
            <w:pPr>
              <w:adjustRightInd w:val="0"/>
              <w:snapToGrid w:val="0"/>
              <w:spacing w:line="440" w:lineRule="exact"/>
              <w:rPr>
                <w:rFonts w:hint="eastAsia" w:ascii="仿宋" w:hAnsi="仿宋" w:eastAsia="仿宋" w:cs="仿宋"/>
                <w:color w:val="000000"/>
              </w:rPr>
            </w:pPr>
          </w:p>
        </w:tc>
      </w:tr>
      <w:tr w14:paraId="222B6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885" w:type="dxa"/>
            <w:vMerge w:val="continue"/>
            <w:noWrap w:val="0"/>
            <w:vAlign w:val="center"/>
          </w:tcPr>
          <w:p w14:paraId="70F0217C">
            <w:pPr>
              <w:adjustRightInd w:val="0"/>
              <w:snapToGrid w:val="0"/>
              <w:spacing w:line="440" w:lineRule="exact"/>
              <w:rPr>
                <w:rFonts w:hint="eastAsia" w:ascii="仿宋" w:hAnsi="仿宋" w:eastAsia="仿宋" w:cs="仿宋"/>
                <w:color w:val="000000"/>
              </w:rPr>
            </w:pPr>
          </w:p>
        </w:tc>
        <w:tc>
          <w:tcPr>
            <w:tcW w:w="2658" w:type="dxa"/>
            <w:noWrap w:val="0"/>
            <w:vAlign w:val="center"/>
          </w:tcPr>
          <w:p w14:paraId="24DA5F76">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身份证号</w:t>
            </w:r>
          </w:p>
        </w:tc>
        <w:tc>
          <w:tcPr>
            <w:tcW w:w="4309" w:type="dxa"/>
            <w:noWrap w:val="0"/>
            <w:vAlign w:val="center"/>
          </w:tcPr>
          <w:p w14:paraId="5D4A69AC">
            <w:pPr>
              <w:adjustRightInd w:val="0"/>
              <w:snapToGrid w:val="0"/>
              <w:spacing w:line="440" w:lineRule="exact"/>
              <w:rPr>
                <w:rFonts w:hint="eastAsia" w:ascii="仿宋" w:hAnsi="仿宋" w:eastAsia="仿宋" w:cs="仿宋"/>
                <w:color w:val="000000"/>
              </w:rPr>
            </w:pPr>
          </w:p>
        </w:tc>
      </w:tr>
      <w:tr w14:paraId="19D8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885" w:type="dxa"/>
            <w:noWrap w:val="0"/>
            <w:vAlign w:val="center"/>
          </w:tcPr>
          <w:p w14:paraId="49E5892F">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控股股东/投资人名称及出资比例</w:t>
            </w:r>
          </w:p>
        </w:tc>
        <w:tc>
          <w:tcPr>
            <w:tcW w:w="6967" w:type="dxa"/>
            <w:gridSpan w:val="2"/>
            <w:noWrap w:val="0"/>
            <w:vAlign w:val="center"/>
          </w:tcPr>
          <w:p w14:paraId="200E7753">
            <w:pPr>
              <w:adjustRightInd w:val="0"/>
              <w:snapToGrid w:val="0"/>
              <w:spacing w:line="440" w:lineRule="exact"/>
              <w:rPr>
                <w:rFonts w:hint="eastAsia" w:ascii="仿宋" w:hAnsi="仿宋" w:eastAsia="仿宋" w:cs="仿宋"/>
                <w:color w:val="000000"/>
              </w:rPr>
            </w:pPr>
          </w:p>
        </w:tc>
      </w:tr>
      <w:tr w14:paraId="23CC6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2885" w:type="dxa"/>
            <w:noWrap w:val="0"/>
            <w:vAlign w:val="center"/>
          </w:tcPr>
          <w:p w14:paraId="1EB76121">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非控股股东/投资人名称及出资比例</w:t>
            </w:r>
          </w:p>
        </w:tc>
        <w:tc>
          <w:tcPr>
            <w:tcW w:w="6967" w:type="dxa"/>
            <w:gridSpan w:val="2"/>
            <w:noWrap w:val="0"/>
            <w:vAlign w:val="center"/>
          </w:tcPr>
          <w:p w14:paraId="4E3F5A6D">
            <w:pPr>
              <w:adjustRightInd w:val="0"/>
              <w:snapToGrid w:val="0"/>
              <w:spacing w:line="440" w:lineRule="exact"/>
              <w:rPr>
                <w:rFonts w:hint="eastAsia" w:ascii="仿宋" w:hAnsi="仿宋" w:eastAsia="仿宋" w:cs="仿宋"/>
                <w:color w:val="000000"/>
              </w:rPr>
            </w:pPr>
          </w:p>
        </w:tc>
      </w:tr>
      <w:tr w14:paraId="3986A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2885" w:type="dxa"/>
            <w:vMerge w:val="restart"/>
            <w:noWrap w:val="0"/>
            <w:vAlign w:val="center"/>
          </w:tcPr>
          <w:p w14:paraId="6023E506">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管理关系单位名称</w:t>
            </w:r>
          </w:p>
        </w:tc>
        <w:tc>
          <w:tcPr>
            <w:tcW w:w="2658" w:type="dxa"/>
            <w:noWrap w:val="0"/>
            <w:vAlign w:val="center"/>
          </w:tcPr>
          <w:p w14:paraId="12354EF4">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管理关系单位名称</w:t>
            </w:r>
          </w:p>
        </w:tc>
        <w:tc>
          <w:tcPr>
            <w:tcW w:w="4309" w:type="dxa"/>
            <w:noWrap w:val="0"/>
            <w:vAlign w:val="center"/>
          </w:tcPr>
          <w:p w14:paraId="13241E45">
            <w:pPr>
              <w:adjustRightInd w:val="0"/>
              <w:snapToGrid w:val="0"/>
              <w:spacing w:line="440" w:lineRule="exact"/>
              <w:rPr>
                <w:rFonts w:hint="eastAsia" w:ascii="仿宋" w:hAnsi="仿宋" w:eastAsia="仿宋" w:cs="仿宋"/>
                <w:color w:val="000000"/>
              </w:rPr>
            </w:pPr>
          </w:p>
        </w:tc>
      </w:tr>
      <w:tr w14:paraId="3325B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885" w:type="dxa"/>
            <w:vMerge w:val="continue"/>
            <w:noWrap w:val="0"/>
            <w:vAlign w:val="center"/>
          </w:tcPr>
          <w:p w14:paraId="2D85B6A4">
            <w:pPr>
              <w:adjustRightInd w:val="0"/>
              <w:snapToGrid w:val="0"/>
              <w:spacing w:line="440" w:lineRule="exact"/>
              <w:rPr>
                <w:rFonts w:hint="eastAsia" w:ascii="仿宋" w:hAnsi="仿宋" w:eastAsia="仿宋" w:cs="仿宋"/>
                <w:color w:val="000000"/>
              </w:rPr>
            </w:pPr>
          </w:p>
        </w:tc>
        <w:tc>
          <w:tcPr>
            <w:tcW w:w="2658" w:type="dxa"/>
            <w:noWrap w:val="0"/>
            <w:vAlign w:val="center"/>
          </w:tcPr>
          <w:p w14:paraId="3C9417A8">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被管理关系单位名称</w:t>
            </w:r>
          </w:p>
        </w:tc>
        <w:tc>
          <w:tcPr>
            <w:tcW w:w="4309" w:type="dxa"/>
            <w:noWrap w:val="0"/>
            <w:vAlign w:val="center"/>
          </w:tcPr>
          <w:p w14:paraId="5E5A31B6">
            <w:pPr>
              <w:adjustRightInd w:val="0"/>
              <w:snapToGrid w:val="0"/>
              <w:spacing w:line="440" w:lineRule="exact"/>
              <w:rPr>
                <w:rFonts w:hint="eastAsia" w:ascii="仿宋" w:hAnsi="仿宋" w:eastAsia="仿宋" w:cs="仿宋"/>
                <w:color w:val="000000"/>
              </w:rPr>
            </w:pPr>
          </w:p>
        </w:tc>
      </w:tr>
      <w:tr w14:paraId="53A1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14BB3FCD">
            <w:pPr>
              <w:adjustRightInd w:val="0"/>
              <w:snapToGrid w:val="0"/>
              <w:spacing w:line="440" w:lineRule="exact"/>
              <w:rPr>
                <w:rFonts w:hint="eastAsia" w:ascii="仿宋" w:hAnsi="仿宋" w:eastAsia="仿宋" w:cs="仿宋"/>
                <w:color w:val="000000"/>
              </w:rPr>
            </w:pPr>
            <w:r>
              <w:rPr>
                <w:rFonts w:hint="eastAsia" w:ascii="仿宋" w:hAnsi="仿宋" w:eastAsia="仿宋" w:cs="仿宋"/>
                <w:color w:val="000000"/>
              </w:rPr>
              <w:t>备注：</w:t>
            </w:r>
          </w:p>
        </w:tc>
      </w:tr>
    </w:tbl>
    <w:p w14:paraId="53E10EC9">
      <w:pPr>
        <w:adjustRightInd w:val="0"/>
        <w:snapToGrid w:val="0"/>
        <w:spacing w:line="440" w:lineRule="exact"/>
        <w:rPr>
          <w:rFonts w:hint="eastAsia" w:ascii="仿宋" w:hAnsi="仿宋" w:eastAsia="仿宋" w:cs="仿宋"/>
          <w:color w:val="000000"/>
        </w:rPr>
      </w:pPr>
    </w:p>
    <w:p w14:paraId="6E5056D6">
      <w:pPr>
        <w:adjustRightInd w:val="0"/>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注：</w:t>
      </w:r>
    </w:p>
    <w:p w14:paraId="520DF5C7">
      <w:pPr>
        <w:pStyle w:val="75"/>
        <w:numPr>
          <w:ilvl w:val="3"/>
          <w:numId w:val="7"/>
        </w:numPr>
        <w:adjustRightInd w:val="0"/>
        <w:snapToGrid w:val="0"/>
        <w:spacing w:line="360" w:lineRule="auto"/>
        <w:ind w:left="0" w:firstLine="0" w:firstLineChars="0"/>
        <w:rPr>
          <w:rFonts w:hint="eastAsia" w:ascii="仿宋" w:hAnsi="仿宋" w:eastAsia="仿宋" w:cs="仿宋"/>
          <w:color w:val="000000"/>
          <w:sz w:val="24"/>
        </w:rPr>
      </w:pPr>
      <w:r>
        <w:rPr>
          <w:rFonts w:hint="eastAsia" w:ascii="仿宋" w:hAnsi="仿宋" w:eastAsia="仿宋" w:cs="仿宋"/>
          <w:color w:val="000000"/>
          <w:sz w:val="24"/>
        </w:rPr>
        <w:t>控股股东/投资人是指出资比例在50%以上，或者出资比例不足50%，但享有公司股东会/董事会控制权的投资方（含单位或者个人）；</w:t>
      </w:r>
    </w:p>
    <w:p w14:paraId="3B899D23">
      <w:pPr>
        <w:pStyle w:val="75"/>
        <w:numPr>
          <w:ilvl w:val="3"/>
          <w:numId w:val="7"/>
        </w:numPr>
        <w:adjustRightInd w:val="0"/>
        <w:snapToGrid w:val="0"/>
        <w:spacing w:line="360" w:lineRule="auto"/>
        <w:ind w:left="0" w:firstLine="0" w:firstLineChars="0"/>
        <w:rPr>
          <w:rFonts w:hint="eastAsia" w:ascii="仿宋" w:hAnsi="仿宋" w:eastAsia="仿宋" w:cs="仿宋"/>
          <w:color w:val="000000"/>
          <w:sz w:val="24"/>
        </w:rPr>
      </w:pPr>
      <w:r>
        <w:rPr>
          <w:rFonts w:hint="eastAsia" w:ascii="仿宋" w:hAnsi="仿宋" w:eastAsia="仿宋" w:cs="仿宋"/>
          <w:color w:val="000000"/>
          <w:sz w:val="24"/>
        </w:rPr>
        <w:t xml:space="preserve">管理关系单位是指与不具有出资持股关系的其他单位之间存在管理与被管理关系的单位； </w:t>
      </w:r>
    </w:p>
    <w:p w14:paraId="527AC6C2">
      <w:pPr>
        <w:pStyle w:val="75"/>
        <w:numPr>
          <w:ilvl w:val="3"/>
          <w:numId w:val="7"/>
        </w:numPr>
        <w:adjustRightInd w:val="0"/>
        <w:snapToGrid w:val="0"/>
        <w:spacing w:line="360" w:lineRule="auto"/>
        <w:ind w:left="0" w:firstLine="0" w:firstLineChars="0"/>
        <w:rPr>
          <w:rFonts w:ascii="仿宋" w:hAnsi="仿宋" w:eastAsia="仿宋" w:cs="仿宋"/>
          <w:color w:val="000000"/>
          <w:sz w:val="24"/>
        </w:rPr>
      </w:pPr>
      <w:r>
        <w:rPr>
          <w:rFonts w:hint="eastAsia" w:ascii="仿宋" w:hAnsi="仿宋" w:eastAsia="仿宋" w:cs="仿宋"/>
          <w:color w:val="000000"/>
          <w:sz w:val="24"/>
        </w:rPr>
        <w:t>如未有相关情况，请在相应栏填写“无”。</w:t>
      </w:r>
    </w:p>
    <w:p w14:paraId="5EA60D15">
      <w:pPr>
        <w:spacing w:line="360" w:lineRule="auto"/>
        <w:ind w:left="480" w:hanging="480" w:hangingChars="200"/>
        <w:rPr>
          <w:rFonts w:hint="eastAsia" w:ascii="仿宋" w:hAnsi="仿宋" w:eastAsia="仿宋" w:cs="仿宋"/>
          <w:color w:val="000000"/>
          <w:sz w:val="24"/>
        </w:rPr>
      </w:pPr>
    </w:p>
    <w:p w14:paraId="5F724A06">
      <w:pPr>
        <w:pStyle w:val="5"/>
        <w:spacing w:before="0" w:after="0" w:line="360" w:lineRule="auto"/>
        <w:rPr>
          <w:rFonts w:hint="eastAsia" w:ascii="仿宋" w:hAnsi="仿宋" w:cs="微软雅黑"/>
          <w:color w:val="000000"/>
          <w:szCs w:val="24"/>
        </w:rPr>
      </w:pPr>
      <w:r>
        <w:rPr>
          <w:rFonts w:hint="eastAsia" w:ascii="仿宋" w:hAnsi="仿宋" w:cs="仿宋"/>
          <w:color w:val="000000"/>
        </w:rPr>
        <w:br w:type="page"/>
      </w:r>
      <w:r>
        <w:rPr>
          <w:rFonts w:hint="eastAsia" w:ascii="仿宋" w:hAnsi="仿宋" w:eastAsia="仿宋" w:cs="仿宋"/>
          <w:color w:val="000000"/>
          <w:sz w:val="24"/>
          <w:szCs w:val="24"/>
        </w:rPr>
        <w:t>7、未列入供应商黑名单且未在禁入期承诺函</w:t>
      </w:r>
    </w:p>
    <w:p w14:paraId="140FB38B">
      <w:pPr>
        <w:adjustRightInd w:val="0"/>
        <w:snapToGrid w:val="0"/>
        <w:spacing w:before="240" w:line="360" w:lineRule="auto"/>
        <w:rPr>
          <w:rFonts w:hint="eastAsia"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（采购人名称）</w:t>
      </w:r>
    </w:p>
    <w:p w14:paraId="73CD900F">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承诺截至本项目响应文件递交截止时间，我方未被列入中国人民保险集团股份有限公司的供应商黑名单且未在禁入期。</w:t>
      </w:r>
    </w:p>
    <w:p w14:paraId="3AA9D085">
      <w:pPr>
        <w:pStyle w:val="17"/>
        <w:ind w:firstLine="480" w:firstLineChars="200"/>
        <w:rPr>
          <w:rFonts w:ascii="仿宋" w:hAnsi="仿宋" w:eastAsia="仿宋" w:cs="Cambria Math"/>
          <w:color w:val="000000"/>
          <w:sz w:val="24"/>
        </w:rPr>
      </w:pPr>
    </w:p>
    <w:p w14:paraId="06F01977">
      <w:pPr>
        <w:pStyle w:val="17"/>
        <w:ind w:firstLine="480" w:firstLineChars="200"/>
        <w:jc w:val="both"/>
        <w:rPr>
          <w:rFonts w:hint="eastAsia" w:ascii="仿宋" w:hAnsi="仿宋" w:eastAsia="仿宋" w:cs="Cambria Math"/>
          <w:color w:val="000000"/>
          <w:sz w:val="24"/>
        </w:rPr>
      </w:pPr>
      <w:r>
        <w:rPr>
          <w:rFonts w:hint="eastAsia" w:ascii="仿宋" w:hAnsi="仿宋" w:eastAsia="仿宋" w:cs="Cambria Math"/>
          <w:color w:val="000000"/>
          <w:sz w:val="24"/>
        </w:rPr>
        <w:t>特此承诺。</w:t>
      </w:r>
    </w:p>
    <w:p w14:paraId="5BDD708B">
      <w:pPr>
        <w:pStyle w:val="173"/>
        <w:ind w:firstLine="640"/>
        <w:rPr>
          <w:rFonts w:ascii="仿宋" w:hAnsi="仿宋" w:eastAsia="仿宋"/>
        </w:rPr>
      </w:pPr>
    </w:p>
    <w:p w14:paraId="7BF43035">
      <w:pPr>
        <w:spacing w:line="360" w:lineRule="auto"/>
        <w:ind w:firstLine="4080" w:firstLineChars="1700"/>
        <w:jc w:val="right"/>
        <w:rPr>
          <w:rFonts w:ascii="仿宋" w:hAnsi="仿宋" w:eastAsia="仿宋" w:cs="Cambria Math"/>
          <w:color w:val="000000"/>
          <w:sz w:val="24"/>
        </w:rPr>
      </w:pPr>
    </w:p>
    <w:p w14:paraId="4A565E81">
      <w:pPr>
        <w:spacing w:line="360" w:lineRule="auto"/>
        <w:ind w:firstLine="4080" w:firstLineChars="1700"/>
        <w:jc w:val="right"/>
        <w:rPr>
          <w:rFonts w:hint="eastAsia"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14:paraId="6E3A71C0">
      <w:pPr>
        <w:spacing w:line="360" w:lineRule="auto"/>
        <w:jc w:val="right"/>
        <w:rPr>
          <w:rFonts w:hint="eastAsia" w:ascii="仿宋" w:hAnsi="仿宋" w:eastAsia="仿宋" w:cs="仿宋"/>
          <w:color w:val="000000"/>
          <w:sz w:val="24"/>
        </w:rPr>
      </w:pPr>
      <w:r>
        <w:rPr>
          <w:rFonts w:hint="eastAsia" w:ascii="仿宋" w:hAnsi="仿宋" w:eastAsia="仿宋" w:cs="仿宋"/>
          <w:color w:val="000000"/>
          <w:sz w:val="24"/>
        </w:rPr>
        <w:t>法定代表人（负责人）或委托代理人：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（签字或盖章）</w:t>
      </w:r>
    </w:p>
    <w:p w14:paraId="66873755">
      <w:pPr>
        <w:spacing w:line="360" w:lineRule="auto"/>
        <w:jc w:val="right"/>
        <w:rPr>
          <w:rFonts w:hint="eastAsia"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21BC5EAC">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8、非联合体响应声明</w:t>
      </w:r>
    </w:p>
    <w:p w14:paraId="36A96691">
      <w:pPr>
        <w:pStyle w:val="17"/>
        <w:spacing w:before="240"/>
        <w:rPr>
          <w:rFonts w:hint="eastAsia" w:ascii="仿宋" w:hAnsi="仿宋" w:eastAsia="仿宋" w:cs="Cambria Math"/>
          <w:b/>
          <w:bCs/>
          <w:color w:val="000000"/>
          <w:sz w:val="24"/>
        </w:rPr>
      </w:pPr>
      <w:r>
        <w:rPr>
          <w:rFonts w:hint="eastAsia" w:ascii="仿宋" w:hAnsi="仿宋" w:eastAsia="仿宋" w:cs="Cambria Math"/>
          <w:b/>
          <w:bCs/>
          <w:color w:val="000000"/>
          <w:sz w:val="24"/>
        </w:rPr>
        <w:t>非联合体响应声明</w:t>
      </w:r>
    </w:p>
    <w:p w14:paraId="0B68E1CB">
      <w:pPr>
        <w:adjustRightInd w:val="0"/>
        <w:snapToGrid w:val="0"/>
        <w:spacing w:before="240" w:line="360" w:lineRule="auto"/>
        <w:rPr>
          <w:rFonts w:hint="eastAsia"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 xml:space="preserve">     （采购人名称）     </w:t>
      </w:r>
      <w:r>
        <w:rPr>
          <w:rFonts w:hint="eastAsia" w:ascii="仿宋" w:hAnsi="仿宋" w:eastAsia="仿宋" w:cs="Cambria Math"/>
          <w:color w:val="000000"/>
          <w:sz w:val="24"/>
        </w:rPr>
        <w:t>：</w:t>
      </w:r>
    </w:p>
    <w:p w14:paraId="41EF5D85">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独立参与</w:t>
      </w:r>
      <w:r>
        <w:rPr>
          <w:rFonts w:hint="eastAsia" w:ascii="仿宋" w:hAnsi="仿宋" w:eastAsia="仿宋" w:cs="Cambria Math"/>
          <w:color w:val="000000"/>
          <w:sz w:val="24"/>
          <w:u w:val="single"/>
        </w:rPr>
        <w:t xml:space="preserve">    （项目名称）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磋商响应，非联合体参与磋商响应。</w:t>
      </w:r>
      <w:r>
        <w:rPr>
          <w:rFonts w:ascii="仿宋" w:hAnsi="仿宋" w:eastAsia="仿宋" w:cs="Cambria Math"/>
          <w:color w:val="000000"/>
          <w:sz w:val="24"/>
        </w:rPr>
        <w:t xml:space="preserve"> </w:t>
      </w:r>
    </w:p>
    <w:p w14:paraId="465598A9">
      <w:pPr>
        <w:pStyle w:val="17"/>
        <w:ind w:firstLine="480" w:firstLineChars="200"/>
        <w:jc w:val="both"/>
        <w:rPr>
          <w:rFonts w:hint="eastAsia" w:ascii="仿宋" w:hAnsi="仿宋" w:eastAsia="仿宋" w:cs="Cambria Math"/>
          <w:color w:val="000000"/>
          <w:sz w:val="24"/>
        </w:rPr>
      </w:pPr>
      <w:r>
        <w:rPr>
          <w:rFonts w:hint="eastAsia" w:ascii="仿宋" w:hAnsi="仿宋" w:eastAsia="仿宋" w:cs="Cambria Math"/>
          <w:color w:val="000000"/>
          <w:sz w:val="24"/>
        </w:rPr>
        <w:t>特此声明。</w:t>
      </w:r>
    </w:p>
    <w:p w14:paraId="55DDE1C5">
      <w:pPr>
        <w:pStyle w:val="173"/>
        <w:ind w:firstLine="640"/>
        <w:rPr>
          <w:rFonts w:ascii="仿宋" w:hAnsi="仿宋" w:eastAsia="仿宋"/>
        </w:rPr>
      </w:pPr>
    </w:p>
    <w:p w14:paraId="3E15E9F3">
      <w:pPr>
        <w:pStyle w:val="173"/>
        <w:ind w:firstLine="640"/>
        <w:rPr>
          <w:rFonts w:ascii="仿宋" w:hAnsi="仿宋" w:eastAsia="仿宋"/>
        </w:rPr>
      </w:pPr>
    </w:p>
    <w:p w14:paraId="06B80035">
      <w:pPr>
        <w:pStyle w:val="173"/>
        <w:ind w:firstLine="640"/>
        <w:rPr>
          <w:rFonts w:hint="eastAsia" w:ascii="仿宋" w:hAnsi="仿宋" w:eastAsia="仿宋"/>
        </w:rPr>
      </w:pPr>
    </w:p>
    <w:p w14:paraId="375B9AB6">
      <w:pPr>
        <w:spacing w:line="360" w:lineRule="auto"/>
        <w:ind w:firstLine="4080" w:firstLineChars="1700"/>
        <w:jc w:val="right"/>
        <w:rPr>
          <w:rFonts w:hint="eastAsia"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14:paraId="2423923B">
      <w:pPr>
        <w:spacing w:line="360" w:lineRule="auto"/>
        <w:jc w:val="right"/>
        <w:rPr>
          <w:rFonts w:hint="eastAsia" w:ascii="仿宋" w:hAnsi="仿宋" w:eastAsia="仿宋" w:cs="Cambria Math"/>
          <w:color w:val="000000"/>
          <w:sz w:val="24"/>
        </w:rPr>
      </w:pPr>
      <w:r>
        <w:rPr>
          <w:rFonts w:hint="eastAsia" w:ascii="仿宋" w:hAnsi="仿宋" w:eastAsia="仿宋" w:cs="Cambria Math"/>
          <w:color w:val="000000"/>
          <w:sz w:val="24"/>
        </w:rPr>
        <w:t>法定代表人（负责人）或委托代理人：</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（签字或盖章）</w:t>
      </w:r>
    </w:p>
    <w:p w14:paraId="3A60267E">
      <w:pPr>
        <w:spacing w:line="360" w:lineRule="auto"/>
        <w:ind w:firstLine="480" w:firstLineChars="200"/>
        <w:jc w:val="right"/>
        <w:rPr>
          <w:rFonts w:hint="eastAsia"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bookmarkEnd w:id="158"/>
      <w:bookmarkEnd w:id="171"/>
      <w:bookmarkStart w:id="172" w:name="_Toc71192048"/>
      <w:bookmarkStart w:id="173" w:name="_Toc20195"/>
      <w:bookmarkStart w:id="174" w:name="_Toc517281859"/>
      <w:bookmarkStart w:id="175" w:name="_Toc432420841"/>
    </w:p>
    <w:p w14:paraId="6C6B7724">
      <w:pPr>
        <w:pStyle w:val="4"/>
        <w:spacing w:before="0" w:after="0" w:line="360" w:lineRule="auto"/>
        <w:rPr>
          <w:rFonts w:hint="eastAsia" w:ascii="仿宋" w:hAnsi="仿宋" w:eastAsia="仿宋" w:cs="仿宋"/>
          <w:color w:val="000000"/>
          <w:sz w:val="24"/>
          <w:szCs w:val="24"/>
        </w:rPr>
      </w:pPr>
      <w:bookmarkStart w:id="176" w:name="_Toc25395"/>
      <w:bookmarkStart w:id="177" w:name="_Toc17736"/>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四</w:t>
      </w:r>
      <w:r>
        <w:rPr>
          <w:rFonts w:hint="eastAsia" w:ascii="仿宋" w:hAnsi="仿宋" w:eastAsia="仿宋" w:cs="仿宋"/>
          <w:color w:val="000000"/>
          <w:sz w:val="24"/>
          <w:szCs w:val="24"/>
        </w:rPr>
        <w:t>）供应商行为准则承诺</w:t>
      </w:r>
      <w:bookmarkEnd w:id="176"/>
      <w:bookmarkEnd w:id="177"/>
      <w:r>
        <w:rPr>
          <w:rFonts w:hint="eastAsia" w:ascii="仿宋" w:hAnsi="仿宋" w:eastAsia="仿宋" w:cs="仿宋"/>
          <w:color w:val="000000"/>
          <w:sz w:val="24"/>
          <w:szCs w:val="24"/>
        </w:rPr>
        <w:t>书</w:t>
      </w:r>
    </w:p>
    <w:p w14:paraId="09331885">
      <w:pPr>
        <w:spacing w:line="360"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供应商行为准则承诺书</w:t>
      </w:r>
    </w:p>
    <w:p w14:paraId="0E1A5C0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集中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257D3FF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18158315">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7C61DBF9">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212DEC67">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00A34397">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033722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0430566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10DF8E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7236CE0D">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6F064F9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5A8FF74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18F5304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6961CF7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7E6834E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4A143F9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070B9AC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5E455547">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3B778F43">
      <w:pPr>
        <w:pStyle w:val="162"/>
        <w:spacing w:line="360" w:lineRule="auto"/>
        <w:ind w:firstLine="480"/>
        <w:rPr>
          <w:rFonts w:hint="eastAsia" w:ascii="仿宋" w:hAnsi="仿宋" w:eastAsia="仿宋" w:cs="仿宋"/>
          <w:color w:val="000000"/>
          <w:sz w:val="24"/>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仿宋"/>
          <w:color w:val="000000"/>
          <w:sz w:val="24"/>
        </w:rPr>
        <w:t>法定代表人（负责人）或授权代表签字：______________</w:t>
      </w:r>
    </w:p>
    <w:p w14:paraId="7DFB3629">
      <w:pPr>
        <w:pStyle w:val="24"/>
        <w:rPr>
          <w:rFonts w:hint="eastAsia"/>
        </w:rPr>
      </w:pPr>
    </w:p>
    <w:p w14:paraId="2C3B27F2">
      <w:pPr>
        <w:pStyle w:val="4"/>
        <w:spacing w:before="0" w:after="0" w:line="360" w:lineRule="auto"/>
        <w:rPr>
          <w:rFonts w:ascii="仿宋" w:hAnsi="仿宋" w:eastAsia="仿宋" w:cs="仿宋"/>
          <w:color w:val="000000"/>
          <w:sz w:val="24"/>
          <w:szCs w:val="24"/>
        </w:rPr>
      </w:pPr>
      <w:bookmarkStart w:id="178" w:name="_Toc14413"/>
      <w:bookmarkStart w:id="179" w:name="_Toc19717"/>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五</w:t>
      </w:r>
      <w:r>
        <w:rPr>
          <w:rFonts w:hint="eastAsia" w:ascii="仿宋" w:hAnsi="仿宋" w:eastAsia="仿宋" w:cs="仿宋"/>
          <w:color w:val="000000"/>
          <w:sz w:val="24"/>
          <w:szCs w:val="24"/>
        </w:rPr>
        <w:t>）其他材料</w:t>
      </w:r>
      <w:bookmarkEnd w:id="178"/>
      <w:bookmarkEnd w:id="179"/>
    </w:p>
    <w:p w14:paraId="754082E0">
      <w:pPr>
        <w:spacing w:line="360" w:lineRule="auto"/>
        <w:rPr>
          <w:rFonts w:hint="eastAsia" w:ascii="宋体" w:hAnsi="宋体"/>
          <w:kern w:val="0"/>
          <w:szCs w:val="21"/>
        </w:rPr>
        <w:sectPr>
          <w:pgSz w:w="11906" w:h="16838"/>
          <w:pgMar w:top="1417" w:right="1134" w:bottom="1134" w:left="1134" w:header="851" w:footer="992" w:gutter="0"/>
          <w:cols w:space="720" w:num="1"/>
          <w:titlePg/>
          <w:docGrid w:type="lines" w:linePitch="312" w:charSpace="0"/>
        </w:sectPr>
      </w:pPr>
      <w:bookmarkStart w:id="180" w:name="_Hlk139275920"/>
      <w:r>
        <w:rPr>
          <w:rFonts w:hint="eastAsia" w:ascii="仿宋" w:hAnsi="仿宋" w:eastAsia="仿宋" w:cs="Cambria Math"/>
          <w:color w:val="000000"/>
          <w:sz w:val="24"/>
        </w:rPr>
        <w:t>详细评审中商务部分涉及的文件及证明材料、</w:t>
      </w:r>
      <w:bookmarkEnd w:id="180"/>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bookmarkEnd w:id="159"/>
    <w:bookmarkEnd w:id="160"/>
    <w:bookmarkEnd w:id="161"/>
    <w:bookmarkEnd w:id="162"/>
    <w:bookmarkEnd w:id="163"/>
    <w:bookmarkEnd w:id="164"/>
    <w:bookmarkEnd w:id="165"/>
    <w:bookmarkEnd w:id="166"/>
    <w:bookmarkEnd w:id="167"/>
    <w:bookmarkEnd w:id="168"/>
    <w:bookmarkEnd w:id="169"/>
    <w:bookmarkEnd w:id="170"/>
    <w:bookmarkEnd w:id="172"/>
    <w:bookmarkEnd w:id="173"/>
    <w:bookmarkEnd w:id="174"/>
    <w:bookmarkEnd w:id="175"/>
    <w:p w14:paraId="066FDFA0">
      <w:pPr>
        <w:pStyle w:val="3"/>
        <w:ind w:firstLine="0" w:firstLineChars="0"/>
        <w:jc w:val="both"/>
        <w:rPr>
          <w:rFonts w:hint="eastAsia" w:ascii="仿宋" w:hAnsi="仿宋" w:eastAsia="仿宋" w:cs="仿宋"/>
          <w:color w:val="000000"/>
          <w:sz w:val="24"/>
          <w:szCs w:val="24"/>
        </w:rPr>
      </w:pPr>
      <w:bookmarkStart w:id="181" w:name="_Toc2512"/>
      <w:bookmarkStart w:id="182" w:name="_Toc301"/>
      <w:r>
        <w:rPr>
          <w:rFonts w:hint="eastAsia" w:ascii="仿宋" w:hAnsi="仿宋" w:eastAsia="仿宋" w:cs="仿宋"/>
          <w:color w:val="000000"/>
          <w:sz w:val="24"/>
          <w:szCs w:val="24"/>
          <w:lang w:val="en-US" w:eastAsia="zh-CN"/>
        </w:rPr>
        <w:t>二</w:t>
      </w:r>
      <w:r>
        <w:rPr>
          <w:rFonts w:hint="eastAsia" w:ascii="仿宋" w:hAnsi="仿宋" w:eastAsia="仿宋" w:cs="仿宋"/>
          <w:color w:val="000000"/>
          <w:sz w:val="24"/>
          <w:szCs w:val="24"/>
        </w:rPr>
        <w:t>、报价文件</w:t>
      </w:r>
      <w:bookmarkEnd w:id="181"/>
      <w:bookmarkEnd w:id="182"/>
    </w:p>
    <w:p w14:paraId="33C8AC5A">
      <w:pPr>
        <w:pStyle w:val="4"/>
        <w:spacing w:before="0" w:after="0" w:line="360" w:lineRule="auto"/>
        <w:jc w:val="center"/>
        <w:rPr>
          <w:rFonts w:hint="eastAsia" w:ascii="仿宋" w:hAnsi="仿宋" w:eastAsia="仿宋" w:cs="仿宋"/>
          <w:color w:val="000000"/>
          <w:sz w:val="24"/>
          <w:szCs w:val="24"/>
          <w:highlight w:val="none"/>
        </w:rPr>
      </w:pPr>
      <w:bookmarkStart w:id="183" w:name="_Toc511726864"/>
      <w:bookmarkStart w:id="184" w:name="_Toc14763"/>
      <w:r>
        <w:rPr>
          <w:rFonts w:hint="eastAsia" w:ascii="仿宋" w:hAnsi="仿宋" w:eastAsia="仿宋" w:cs="仿宋"/>
          <w:color w:val="000000"/>
          <w:sz w:val="24"/>
          <w:szCs w:val="24"/>
          <w:highlight w:val="none"/>
        </w:rPr>
        <w:t>（一）报价</w:t>
      </w:r>
      <w:bookmarkEnd w:id="183"/>
      <w:r>
        <w:rPr>
          <w:rFonts w:hint="eastAsia" w:ascii="仿宋" w:hAnsi="仿宋" w:eastAsia="仿宋" w:cs="仿宋"/>
          <w:color w:val="000000"/>
          <w:sz w:val="24"/>
          <w:szCs w:val="24"/>
          <w:highlight w:val="none"/>
        </w:rPr>
        <w:t>一览表</w:t>
      </w:r>
      <w:bookmarkEnd w:id="184"/>
    </w:p>
    <w:p w14:paraId="2EA6CA3B">
      <w:pPr>
        <w:pStyle w:val="12"/>
        <w:spacing w:line="360" w:lineRule="auto"/>
        <w:ind w:hanging="142"/>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项目名称：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 xml:space="preserve">     采购代理项目编号：</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 xml:space="preserve">      </w:t>
      </w:r>
    </w:p>
    <w:tbl>
      <w:tblPr>
        <w:tblStyle w:val="40"/>
        <w:tblW w:w="4612" w:type="pct"/>
        <w:jc w:val="center"/>
        <w:tblLayout w:type="fixed"/>
        <w:tblCellMar>
          <w:top w:w="0" w:type="dxa"/>
          <w:left w:w="108" w:type="dxa"/>
          <w:bottom w:w="0" w:type="dxa"/>
          <w:right w:w="108" w:type="dxa"/>
        </w:tblCellMar>
      </w:tblPr>
      <w:tblGrid>
        <w:gridCol w:w="712"/>
        <w:gridCol w:w="1860"/>
        <w:gridCol w:w="1656"/>
        <w:gridCol w:w="1231"/>
        <w:gridCol w:w="1104"/>
        <w:gridCol w:w="1781"/>
        <w:gridCol w:w="747"/>
      </w:tblGrid>
      <w:tr w14:paraId="1D35C51F">
        <w:tblPrEx>
          <w:tblCellMar>
            <w:top w:w="0" w:type="dxa"/>
            <w:left w:w="108" w:type="dxa"/>
            <w:bottom w:w="0" w:type="dxa"/>
            <w:right w:w="108" w:type="dxa"/>
          </w:tblCellMar>
        </w:tblPrEx>
        <w:trPr>
          <w:trHeight w:val="927" w:hRule="atLeast"/>
          <w:jc w:val="center"/>
        </w:trPr>
        <w:tc>
          <w:tcPr>
            <w:tcW w:w="391" w:type="pct"/>
            <w:tcBorders>
              <w:top w:val="single" w:color="auto" w:sz="4" w:space="0"/>
              <w:left w:val="single" w:color="auto" w:sz="4" w:space="0"/>
              <w:bottom w:val="single" w:color="auto" w:sz="4" w:space="0"/>
              <w:right w:val="single" w:color="auto" w:sz="4" w:space="0"/>
            </w:tcBorders>
            <w:noWrap w:val="0"/>
            <w:vAlign w:val="center"/>
          </w:tcPr>
          <w:p w14:paraId="74135E36">
            <w:pPr>
              <w:widowControl/>
              <w:jc w:val="center"/>
              <w:rPr>
                <w:rFonts w:hint="eastAsia" w:ascii="仿宋" w:hAnsi="仿宋" w:eastAsia="仿宋" w:cs="仿宋"/>
                <w:b/>
                <w:bCs/>
                <w:color w:val="000000"/>
                <w:kern w:val="0"/>
                <w:szCs w:val="21"/>
                <w:highlight w:val="none"/>
              </w:rPr>
            </w:pPr>
            <w:r>
              <w:rPr>
                <w:rFonts w:hint="eastAsia" w:ascii="仿宋" w:hAnsi="仿宋" w:eastAsia="仿宋" w:cs="仿宋"/>
                <w:b/>
                <w:bCs/>
                <w:color w:val="000000"/>
                <w:kern w:val="0"/>
                <w:szCs w:val="21"/>
                <w:highlight w:val="none"/>
              </w:rPr>
              <w:t>序号</w:t>
            </w:r>
          </w:p>
        </w:tc>
        <w:tc>
          <w:tcPr>
            <w:tcW w:w="1022" w:type="pct"/>
            <w:tcBorders>
              <w:top w:val="single" w:color="auto" w:sz="4" w:space="0"/>
              <w:left w:val="single" w:color="auto" w:sz="4" w:space="0"/>
              <w:bottom w:val="single" w:color="auto" w:sz="4" w:space="0"/>
              <w:right w:val="single" w:color="auto" w:sz="4" w:space="0"/>
            </w:tcBorders>
            <w:noWrap w:val="0"/>
            <w:vAlign w:val="center"/>
          </w:tcPr>
          <w:p w14:paraId="78D6A5D1">
            <w:pPr>
              <w:widowControl/>
              <w:jc w:val="center"/>
              <w:rPr>
                <w:rFonts w:hint="eastAsia" w:ascii="仿宋" w:hAnsi="仿宋" w:eastAsia="仿宋" w:cs="仿宋"/>
                <w:b/>
                <w:bCs/>
                <w:color w:val="000000"/>
                <w:kern w:val="0"/>
                <w:szCs w:val="21"/>
                <w:highlight w:val="none"/>
              </w:rPr>
            </w:pPr>
            <w:r>
              <w:rPr>
                <w:rFonts w:hint="eastAsia" w:ascii="仿宋" w:hAnsi="仿宋" w:eastAsia="仿宋" w:cs="仿宋"/>
                <w:b/>
                <w:bCs/>
                <w:color w:val="000000"/>
                <w:kern w:val="0"/>
                <w:szCs w:val="21"/>
                <w:highlight w:val="none"/>
              </w:rPr>
              <w:t>服务名称</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2FB38C78">
            <w:pPr>
              <w:widowControl/>
              <w:jc w:val="center"/>
              <w:rPr>
                <w:rFonts w:hint="eastAsia" w:ascii="仿宋" w:hAnsi="仿宋" w:eastAsia="仿宋" w:cs="仿宋"/>
                <w:b/>
                <w:bCs/>
                <w:color w:val="000000"/>
                <w:kern w:val="0"/>
                <w:szCs w:val="21"/>
                <w:highlight w:val="none"/>
                <w:lang w:eastAsia="zh-CN"/>
              </w:rPr>
            </w:pPr>
            <w:r>
              <w:rPr>
                <w:rFonts w:hint="eastAsia" w:ascii="仿宋" w:hAnsi="仿宋" w:eastAsia="仿宋" w:cs="仿宋"/>
                <w:b/>
                <w:bCs/>
                <w:color w:val="000000"/>
                <w:kern w:val="0"/>
                <w:szCs w:val="21"/>
                <w:highlight w:val="none"/>
                <w:lang w:val="en-US" w:eastAsia="zh-CN"/>
              </w:rPr>
              <w:t>含税最高单价（元/件）</w:t>
            </w:r>
          </w:p>
        </w:tc>
        <w:tc>
          <w:tcPr>
            <w:tcW w:w="677" w:type="pct"/>
            <w:tcBorders>
              <w:top w:val="single" w:color="auto" w:sz="4" w:space="0"/>
              <w:left w:val="single" w:color="auto" w:sz="4" w:space="0"/>
              <w:bottom w:val="single" w:color="auto" w:sz="4" w:space="0"/>
              <w:right w:val="single" w:color="auto" w:sz="4" w:space="0"/>
            </w:tcBorders>
            <w:noWrap w:val="0"/>
            <w:vAlign w:val="center"/>
          </w:tcPr>
          <w:p w14:paraId="421F48FA">
            <w:pPr>
              <w:widowControl/>
              <w:jc w:val="center"/>
              <w:rPr>
                <w:rFonts w:hint="default" w:ascii="仿宋" w:hAnsi="仿宋" w:eastAsia="仿宋" w:cs="仿宋"/>
                <w:b/>
                <w:bCs/>
                <w:color w:val="000000"/>
                <w:kern w:val="0"/>
                <w:szCs w:val="21"/>
                <w:highlight w:val="none"/>
                <w:lang w:val="en-US"/>
              </w:rPr>
            </w:pPr>
            <w:r>
              <w:rPr>
                <w:rFonts w:hint="eastAsia" w:ascii="仿宋" w:hAnsi="仿宋" w:eastAsia="仿宋" w:cs="仿宋"/>
                <w:b/>
                <w:bCs/>
                <w:color w:val="000000"/>
                <w:kern w:val="0"/>
                <w:szCs w:val="21"/>
                <w:highlight w:val="none"/>
                <w:lang w:val="en-US" w:eastAsia="zh-CN"/>
              </w:rPr>
              <w:t>含税单价（元/件）</w:t>
            </w:r>
          </w:p>
        </w:tc>
        <w:tc>
          <w:tcPr>
            <w:tcW w:w="607" w:type="pct"/>
            <w:tcBorders>
              <w:top w:val="single" w:color="auto" w:sz="4" w:space="0"/>
              <w:left w:val="single" w:color="auto" w:sz="4" w:space="0"/>
              <w:bottom w:val="single" w:color="auto" w:sz="4" w:space="0"/>
              <w:right w:val="single" w:color="auto" w:sz="4" w:space="0"/>
            </w:tcBorders>
            <w:noWrap w:val="0"/>
            <w:vAlign w:val="center"/>
          </w:tcPr>
          <w:p w14:paraId="2C233DF6">
            <w:pPr>
              <w:widowControl/>
              <w:jc w:val="center"/>
              <w:rPr>
                <w:rFonts w:hint="default" w:ascii="仿宋" w:hAnsi="仿宋" w:eastAsia="仿宋" w:cs="仿宋"/>
                <w:b/>
                <w:bCs/>
                <w:color w:val="000000"/>
                <w:kern w:val="0"/>
                <w:szCs w:val="21"/>
                <w:highlight w:val="none"/>
                <w:lang w:val="en-US" w:eastAsia="zh-CN"/>
              </w:rPr>
            </w:pPr>
            <w:r>
              <w:rPr>
                <w:rFonts w:hint="eastAsia" w:ascii="仿宋" w:hAnsi="仿宋" w:eastAsia="仿宋" w:cs="仿宋"/>
                <w:b/>
                <w:bCs/>
                <w:color w:val="000000"/>
                <w:kern w:val="0"/>
                <w:szCs w:val="21"/>
                <w:highlight w:val="none"/>
                <w:lang w:val="en-US" w:eastAsia="zh-CN"/>
              </w:rPr>
              <w:t>税率（%）</w:t>
            </w:r>
          </w:p>
        </w:tc>
        <w:tc>
          <w:tcPr>
            <w:tcW w:w="979" w:type="pct"/>
            <w:tcBorders>
              <w:top w:val="single" w:color="auto" w:sz="4" w:space="0"/>
              <w:left w:val="single" w:color="auto" w:sz="4" w:space="0"/>
              <w:bottom w:val="single" w:color="auto" w:sz="4" w:space="0"/>
              <w:right w:val="single" w:color="auto" w:sz="4" w:space="0"/>
            </w:tcBorders>
            <w:noWrap w:val="0"/>
            <w:vAlign w:val="center"/>
          </w:tcPr>
          <w:p w14:paraId="60C14AE9">
            <w:pPr>
              <w:widowControl/>
              <w:jc w:val="center"/>
              <w:rPr>
                <w:rFonts w:hint="eastAsia" w:ascii="仿宋" w:hAnsi="仿宋" w:eastAsia="仿宋" w:cs="仿宋"/>
                <w:b/>
                <w:bCs/>
                <w:color w:val="000000"/>
                <w:kern w:val="0"/>
                <w:szCs w:val="21"/>
                <w:highlight w:val="none"/>
                <w:lang w:eastAsia="zh-CN"/>
              </w:rPr>
            </w:pPr>
            <w:r>
              <w:rPr>
                <w:rFonts w:hint="eastAsia" w:ascii="仿宋" w:hAnsi="仿宋" w:eastAsia="仿宋" w:cs="仿宋"/>
                <w:b/>
                <w:bCs/>
                <w:color w:val="000000"/>
                <w:kern w:val="0"/>
                <w:szCs w:val="21"/>
                <w:highlight w:val="none"/>
                <w:lang w:val="en-US" w:eastAsia="zh-CN"/>
              </w:rPr>
              <w:t>发票类型</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6DCFE5B4">
            <w:pPr>
              <w:widowControl/>
              <w:jc w:val="center"/>
              <w:rPr>
                <w:rFonts w:hint="eastAsia" w:ascii="仿宋" w:hAnsi="仿宋" w:eastAsia="仿宋" w:cs="仿宋"/>
                <w:b/>
                <w:bCs/>
                <w:color w:val="000000"/>
                <w:kern w:val="0"/>
                <w:szCs w:val="21"/>
                <w:highlight w:val="none"/>
              </w:rPr>
            </w:pPr>
            <w:r>
              <w:rPr>
                <w:rFonts w:hint="eastAsia" w:ascii="仿宋" w:hAnsi="仿宋" w:eastAsia="仿宋" w:cs="仿宋"/>
                <w:b/>
                <w:bCs/>
                <w:color w:val="000000"/>
                <w:kern w:val="0"/>
                <w:szCs w:val="21"/>
                <w:highlight w:val="none"/>
              </w:rPr>
              <w:t>备注</w:t>
            </w:r>
          </w:p>
        </w:tc>
      </w:tr>
      <w:tr w14:paraId="683402E9">
        <w:tblPrEx>
          <w:tblCellMar>
            <w:top w:w="0" w:type="dxa"/>
            <w:left w:w="108" w:type="dxa"/>
            <w:bottom w:w="0" w:type="dxa"/>
            <w:right w:w="108" w:type="dxa"/>
          </w:tblCellMar>
        </w:tblPrEx>
        <w:trPr>
          <w:trHeight w:val="567" w:hRule="atLeast"/>
          <w:jc w:val="center"/>
        </w:trPr>
        <w:tc>
          <w:tcPr>
            <w:tcW w:w="391" w:type="pct"/>
            <w:tcBorders>
              <w:top w:val="single" w:color="auto" w:sz="4" w:space="0"/>
              <w:left w:val="single" w:color="auto" w:sz="4" w:space="0"/>
              <w:bottom w:val="single" w:color="auto" w:sz="4" w:space="0"/>
              <w:right w:val="single" w:color="auto" w:sz="4" w:space="0"/>
            </w:tcBorders>
            <w:noWrap/>
            <w:vAlign w:val="center"/>
          </w:tcPr>
          <w:p w14:paraId="0BD674FE">
            <w:pPr>
              <w:widowControl/>
              <w:jc w:val="center"/>
              <w:rPr>
                <w:rFonts w:hint="eastAsia" w:ascii="仿宋" w:hAnsi="仿宋" w:eastAsia="仿宋" w:cs="仿宋"/>
                <w:bCs/>
                <w:color w:val="000000"/>
                <w:kern w:val="0"/>
                <w:szCs w:val="21"/>
                <w:highlight w:val="none"/>
              </w:rPr>
            </w:pPr>
            <w:r>
              <w:rPr>
                <w:rFonts w:hint="eastAsia" w:ascii="仿宋" w:hAnsi="仿宋" w:eastAsia="仿宋" w:cs="仿宋"/>
                <w:bCs/>
                <w:color w:val="000000"/>
                <w:kern w:val="0"/>
                <w:szCs w:val="21"/>
                <w:highlight w:val="none"/>
              </w:rPr>
              <w:t>1</w:t>
            </w:r>
          </w:p>
        </w:tc>
        <w:tc>
          <w:tcPr>
            <w:tcW w:w="1022" w:type="pct"/>
            <w:tcBorders>
              <w:top w:val="single" w:color="auto" w:sz="4" w:space="0"/>
              <w:left w:val="single" w:color="auto" w:sz="4" w:space="0"/>
              <w:bottom w:val="single" w:color="auto" w:sz="4" w:space="0"/>
              <w:right w:val="single" w:color="auto" w:sz="4" w:space="0"/>
            </w:tcBorders>
            <w:noWrap/>
            <w:vAlign w:val="center"/>
          </w:tcPr>
          <w:p w14:paraId="1136557B">
            <w:pPr>
              <w:tabs>
                <w:tab w:val="left" w:pos="420"/>
              </w:tabs>
              <w:jc w:val="center"/>
              <w:rPr>
                <w:rFonts w:hint="eastAsia" w:ascii="仿宋" w:hAnsi="仿宋" w:eastAsia="仿宋" w:cs="仿宋"/>
                <w:color w:val="000000"/>
                <w:kern w:val="0"/>
                <w:sz w:val="24"/>
                <w:highlight w:val="none"/>
              </w:rPr>
            </w:pPr>
            <w:r>
              <w:rPr>
                <w:rFonts w:hint="eastAsia" w:ascii="仿宋" w:hAnsi="仿宋" w:eastAsia="仿宋" w:cs="仿宋"/>
                <w:sz w:val="24"/>
                <w:highlight w:val="none"/>
              </w:rPr>
              <w:t>理赔外包服务</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6723087F">
            <w:pPr>
              <w:widowControl/>
              <w:jc w:val="center"/>
              <w:rPr>
                <w:rFonts w:hint="default" w:ascii="仿宋" w:hAnsi="仿宋" w:eastAsia="仿宋" w:cs="仿宋"/>
                <w:color w:val="000000"/>
                <w:kern w:val="0"/>
                <w:szCs w:val="21"/>
                <w:highlight w:val="none"/>
                <w:lang w:val="en-US" w:eastAsia="zh-CN"/>
              </w:rPr>
            </w:pPr>
          </w:p>
        </w:tc>
        <w:tc>
          <w:tcPr>
            <w:tcW w:w="677" w:type="pct"/>
            <w:tcBorders>
              <w:top w:val="single" w:color="auto" w:sz="4" w:space="0"/>
              <w:left w:val="single" w:color="auto" w:sz="4" w:space="0"/>
              <w:bottom w:val="single" w:color="auto" w:sz="4" w:space="0"/>
              <w:right w:val="single" w:color="auto" w:sz="4" w:space="0"/>
            </w:tcBorders>
            <w:noWrap w:val="0"/>
            <w:vAlign w:val="center"/>
          </w:tcPr>
          <w:p w14:paraId="10CD0993">
            <w:pPr>
              <w:widowControl/>
              <w:jc w:val="center"/>
              <w:rPr>
                <w:rFonts w:hint="eastAsia" w:ascii="仿宋" w:hAnsi="仿宋" w:eastAsia="仿宋" w:cs="仿宋"/>
                <w:color w:val="000000"/>
                <w:kern w:val="0"/>
                <w:szCs w:val="21"/>
                <w:highlight w:val="none"/>
                <w:lang w:val="en-US" w:eastAsia="zh-CN"/>
              </w:rPr>
            </w:pPr>
          </w:p>
        </w:tc>
        <w:tc>
          <w:tcPr>
            <w:tcW w:w="607" w:type="pct"/>
            <w:tcBorders>
              <w:top w:val="single" w:color="auto" w:sz="4" w:space="0"/>
              <w:left w:val="single" w:color="auto" w:sz="4" w:space="0"/>
              <w:bottom w:val="single" w:color="auto" w:sz="4" w:space="0"/>
              <w:right w:val="single" w:color="auto" w:sz="4" w:space="0"/>
            </w:tcBorders>
            <w:noWrap w:val="0"/>
            <w:vAlign w:val="center"/>
          </w:tcPr>
          <w:p w14:paraId="7AED3DD7">
            <w:pPr>
              <w:widowControl/>
              <w:jc w:val="center"/>
              <w:rPr>
                <w:rFonts w:hint="default" w:ascii="仿宋" w:hAnsi="仿宋" w:eastAsia="仿宋" w:cs="仿宋"/>
                <w:color w:val="000000"/>
                <w:kern w:val="0"/>
                <w:szCs w:val="21"/>
                <w:highlight w:val="none"/>
                <w:lang w:val="en-US" w:eastAsia="zh-CN"/>
              </w:rPr>
            </w:pPr>
          </w:p>
        </w:tc>
        <w:tc>
          <w:tcPr>
            <w:tcW w:w="979" w:type="pct"/>
            <w:tcBorders>
              <w:top w:val="single" w:color="auto" w:sz="4" w:space="0"/>
              <w:left w:val="single" w:color="auto" w:sz="4" w:space="0"/>
              <w:bottom w:val="single" w:color="auto" w:sz="4" w:space="0"/>
              <w:right w:val="single" w:color="auto" w:sz="4" w:space="0"/>
            </w:tcBorders>
            <w:noWrap w:val="0"/>
            <w:vAlign w:val="center"/>
          </w:tcPr>
          <w:p w14:paraId="11B21365">
            <w:pPr>
              <w:widowControl/>
              <w:jc w:val="both"/>
              <w:rPr>
                <w:rFonts w:hint="default" w:ascii="仿宋" w:hAnsi="仿宋" w:eastAsia="仿宋" w:cs="仿宋"/>
                <w:color w:val="000000"/>
                <w:kern w:val="0"/>
                <w:szCs w:val="21"/>
                <w:highlight w:val="none"/>
                <w:lang w:val="en-US" w:eastAsia="zh-CN"/>
              </w:rPr>
            </w:pPr>
            <w:r>
              <w:rPr>
                <w:rFonts w:hint="eastAsia" w:ascii="仿宋" w:hAnsi="仿宋" w:eastAsia="仿宋" w:cs="仿宋"/>
                <w:color w:val="000000"/>
                <w:kern w:val="0"/>
                <w:szCs w:val="21"/>
                <w:highlight w:val="none"/>
                <w:lang w:val="en-US" w:eastAsia="zh-CN"/>
              </w:rPr>
              <w:t>增值税专用发票</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61020AC7">
            <w:pPr>
              <w:widowControl/>
              <w:jc w:val="center"/>
              <w:rPr>
                <w:rFonts w:ascii="仿宋" w:hAnsi="仿宋" w:eastAsia="仿宋" w:cs="仿宋"/>
                <w:color w:val="000000"/>
                <w:kern w:val="0"/>
                <w:szCs w:val="21"/>
                <w:highlight w:val="none"/>
              </w:rPr>
            </w:pPr>
          </w:p>
        </w:tc>
      </w:tr>
    </w:tbl>
    <w:p w14:paraId="57424C08">
      <w:pPr>
        <w:pStyle w:val="12"/>
        <w:spacing w:line="360" w:lineRule="auto"/>
        <w:ind w:firstLine="0"/>
        <w:rPr>
          <w:rFonts w:ascii="仿宋" w:hAnsi="仿宋" w:eastAsia="仿宋" w:cs="仿宋"/>
          <w:bCs/>
          <w:color w:val="000000"/>
          <w:sz w:val="24"/>
          <w:highlight w:val="none"/>
        </w:rPr>
      </w:pPr>
    </w:p>
    <w:p w14:paraId="772BDAA1">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14:paraId="664C9871">
      <w:pPr>
        <w:spacing w:line="360" w:lineRule="auto"/>
        <w:rPr>
          <w:rFonts w:hint="eastAsia" w:ascii="仿宋" w:hAnsi="仿宋" w:eastAsia="仿宋" w:cs="宋体"/>
          <w:bCs/>
          <w:color w:val="000000"/>
          <w:sz w:val="24"/>
          <w:highlight w:val="none"/>
        </w:rPr>
      </w:pPr>
      <w:r>
        <w:rPr>
          <w:rFonts w:hint="eastAsia" w:ascii="仿宋" w:hAnsi="仿宋" w:eastAsia="仿宋" w:cs="仿宋"/>
          <w:bCs/>
          <w:color w:val="000000"/>
          <w:sz w:val="24"/>
          <w:highlight w:val="none"/>
        </w:rPr>
        <w:t>1、</w:t>
      </w:r>
      <w:r>
        <w:rPr>
          <w:rFonts w:hint="eastAsia" w:ascii="仿宋" w:hAnsi="仿宋" w:eastAsia="仿宋" w:cs="宋体"/>
          <w:bCs/>
          <w:color w:val="000000"/>
          <w:sz w:val="24"/>
          <w:highlight w:val="none"/>
        </w:rPr>
        <w:t>本次报价精确到小数点后两位（四舍五入）。</w:t>
      </w:r>
    </w:p>
    <w:p w14:paraId="0AD6365C">
      <w:pPr>
        <w:pStyle w:val="75"/>
        <w:spacing w:line="360" w:lineRule="auto"/>
        <w:ind w:firstLine="0" w:firstLineChars="0"/>
        <w:rPr>
          <w:rFonts w:ascii="仿宋" w:hAnsi="仿宋" w:eastAsia="仿宋"/>
          <w:b/>
          <w:bCs w:val="0"/>
          <w:sz w:val="24"/>
          <w:highlight w:val="none"/>
        </w:rPr>
      </w:pPr>
      <w:r>
        <w:rPr>
          <w:rFonts w:hint="eastAsia" w:ascii="仿宋" w:hAnsi="仿宋" w:eastAsia="仿宋"/>
          <w:b/>
          <w:bCs w:val="0"/>
          <w:sz w:val="24"/>
          <w:highlight w:val="none"/>
        </w:rPr>
        <w:t>2、</w:t>
      </w:r>
      <w:r>
        <w:rPr>
          <w:rFonts w:hint="eastAsia" w:ascii="仿宋" w:hAnsi="仿宋" w:eastAsia="仿宋" w:cs="宋体"/>
          <w:b/>
          <w:bCs w:val="0"/>
          <w:color w:val="000000"/>
          <w:kern w:val="2"/>
          <w:sz w:val="24"/>
          <w:szCs w:val="24"/>
          <w:lang w:val="en-US" w:eastAsia="zh-CN" w:bidi="ar-SA"/>
        </w:rPr>
        <w:t>含税单价最高限价：11.5元/件，报价超过最高限价的，其响应将被否决</w:t>
      </w:r>
      <w:r>
        <w:rPr>
          <w:rFonts w:hint="eastAsia" w:ascii="仿宋" w:hAnsi="仿宋" w:eastAsia="仿宋"/>
          <w:b/>
          <w:bCs w:val="0"/>
          <w:sz w:val="24"/>
          <w:highlight w:val="none"/>
        </w:rPr>
        <w:t>。</w:t>
      </w:r>
    </w:p>
    <w:p w14:paraId="411E4E77">
      <w:pPr>
        <w:pStyle w:val="75"/>
        <w:spacing w:line="360" w:lineRule="auto"/>
        <w:ind w:firstLine="0" w:firstLineChars="0"/>
        <w:rPr>
          <w:rFonts w:hint="eastAsia" w:ascii="仿宋" w:hAnsi="仿宋" w:eastAsia="仿宋"/>
          <w:bCs/>
          <w:sz w:val="24"/>
          <w:highlight w:val="none"/>
        </w:rPr>
      </w:pPr>
      <w:r>
        <w:rPr>
          <w:rFonts w:hint="eastAsia" w:ascii="仿宋" w:hAnsi="仿宋" w:eastAsia="仿宋"/>
          <w:bCs/>
          <w:sz w:val="24"/>
          <w:highlight w:val="none"/>
        </w:rPr>
        <w:t>3、</w:t>
      </w:r>
      <w:r>
        <w:rPr>
          <w:rFonts w:hint="eastAsia" w:ascii="仿宋" w:hAnsi="仿宋" w:eastAsia="仿宋"/>
          <w:b/>
          <w:sz w:val="24"/>
          <w:highlight w:val="none"/>
        </w:rPr>
        <w:t>不得缺省或回避填写，否则视为非实质性响应，响应将被否决。</w:t>
      </w:r>
    </w:p>
    <w:p w14:paraId="4CB228A0">
      <w:pPr>
        <w:spacing w:line="360" w:lineRule="auto"/>
        <w:ind w:firstLine="420"/>
        <w:jc w:val="right"/>
        <w:rPr>
          <w:rFonts w:hint="eastAsia" w:ascii="仿宋" w:hAnsi="仿宋" w:eastAsia="仿宋" w:cs="仿宋"/>
          <w:color w:val="000000"/>
          <w:sz w:val="24"/>
        </w:rPr>
      </w:pPr>
    </w:p>
    <w:p w14:paraId="5A7579A3">
      <w:pPr>
        <w:snapToGrid w:val="0"/>
        <w:spacing w:line="360" w:lineRule="auto"/>
        <w:rPr>
          <w:rFonts w:hint="eastAsia"/>
        </w:rPr>
      </w:pPr>
    </w:p>
    <w:p w14:paraId="573F5D4C">
      <w:pPr>
        <w:snapToGrid w:val="0"/>
        <w:spacing w:line="360" w:lineRule="auto"/>
        <w:rPr>
          <w:rFonts w:hint="eastAsia"/>
        </w:rPr>
      </w:pPr>
    </w:p>
    <w:p w14:paraId="761DAA93">
      <w:pPr>
        <w:snapToGrid w:val="0"/>
        <w:spacing w:line="360" w:lineRule="auto"/>
        <w:ind w:firstLine="4080" w:firstLineChars="1700"/>
        <w:jc w:val="right"/>
        <w:rPr>
          <w:rFonts w:hint="eastAsia" w:ascii="仿宋" w:hAnsi="仿宋" w:eastAsia="仿宋" w:cs="宋体"/>
          <w:color w:val="000000"/>
          <w:sz w:val="24"/>
        </w:rPr>
      </w:pPr>
      <w:bookmarkStart w:id="185" w:name="_Toc518302646"/>
      <w:bookmarkStart w:id="186" w:name="_Toc530319762"/>
      <w:bookmarkStart w:id="187" w:name="_Toc482180015"/>
      <w:bookmarkStart w:id="188" w:name="_Toc16591840"/>
      <w:bookmarkStart w:id="189" w:name="_Toc2267055"/>
      <w:bookmarkStart w:id="190" w:name="_Toc517281864"/>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ascii="仿宋" w:hAnsi="仿宋" w:eastAsia="仿宋" w:cs="宋体"/>
          <w:color w:val="000000"/>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14:paraId="5A0CB8A0">
      <w:pPr>
        <w:snapToGrid w:val="0"/>
        <w:spacing w:line="360" w:lineRule="auto"/>
        <w:jc w:val="right"/>
        <w:rPr>
          <w:rFonts w:hint="eastAsia" w:ascii="仿宋" w:hAnsi="仿宋" w:eastAsia="仿宋" w:cs="宋体"/>
          <w:color w:val="000000"/>
          <w:sz w:val="24"/>
        </w:rPr>
      </w:pPr>
      <w:r>
        <w:rPr>
          <w:rFonts w:hint="eastAsia" w:ascii="仿宋" w:hAnsi="仿宋" w:eastAsia="仿宋" w:cs="宋体"/>
          <w:color w:val="000000"/>
          <w:sz w:val="24"/>
        </w:rPr>
        <w:t>法定代表人（负责人）或委托代理人：</w:t>
      </w:r>
      <w:r>
        <w:rPr>
          <w:rFonts w:hint="eastAsia" w:ascii="仿宋" w:hAnsi="仿宋" w:eastAsia="仿宋" w:cs="宋体"/>
          <w:color w:val="000000"/>
          <w:sz w:val="24"/>
          <w:u w:val="single"/>
        </w:rPr>
        <w:t xml:space="preserve"> </w:t>
      </w:r>
      <w:r>
        <w:rPr>
          <w:rFonts w:ascii="仿宋" w:hAnsi="仿宋" w:eastAsia="仿宋" w:cs="宋体"/>
          <w:color w:val="000000"/>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（签字或盖章）</w:t>
      </w:r>
      <w:bookmarkEnd w:id="185"/>
      <w:bookmarkEnd w:id="186"/>
      <w:bookmarkEnd w:id="187"/>
      <w:bookmarkEnd w:id="188"/>
      <w:bookmarkEnd w:id="189"/>
      <w:bookmarkEnd w:id="190"/>
    </w:p>
    <w:sectPr>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onaco">
    <w:altName w:val="Courier New"/>
    <w:panose1 w:val="00000000000000000000"/>
    <w:charset w:val="00"/>
    <w:family w:val="modern"/>
    <w:pitch w:val="default"/>
    <w:sig w:usb0="00000000" w:usb1="00000000" w:usb2="00000000" w:usb3="00000000" w:csb0="00000001" w:csb1="00000000"/>
  </w:font>
  <w:font w:name="方正小标宋简体">
    <w:altName w:val="黑体"/>
    <w:panose1 w:val="02010601030101010101"/>
    <w:charset w:val="86"/>
    <w:family w:val="auto"/>
    <w:pitch w:val="default"/>
    <w:sig w:usb0="00000000" w:usb1="00000000" w:usb2="00000000" w:usb3="00000000" w:csb0="00040000" w:csb1="00000000"/>
  </w:font>
  <w:font w:name="SwissReSans">
    <w:altName w:val="Arial"/>
    <w:panose1 w:val="00000000000000000000"/>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CAD65">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E398C">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14:paraId="487FC213">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4F92C">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39</w:t>
    </w:r>
    <w:r>
      <w:fldChar w:fldCharType="end"/>
    </w:r>
  </w:p>
  <w:p w14:paraId="5715170D">
    <w:pPr>
      <w:pStyle w:val="26"/>
      <w:framePr w:wrap="around" w:vAnchor="text" w:hAnchor="margin" w:xAlign="center" w:y="1"/>
      <w:rPr>
        <w:rStyle w:val="45"/>
      </w:rPr>
    </w:pPr>
  </w:p>
  <w:p w14:paraId="2F3ED8A1">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3CDD2">
    <w:pPr>
      <w:pStyle w:val="26"/>
      <w:jc w:val="center"/>
    </w:pPr>
  </w:p>
  <w:p w14:paraId="6CFDAEAF">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E9E55">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DF31A02">
                          <w:pPr>
                            <w:pStyle w:val="26"/>
                          </w:pPr>
                          <w:r>
                            <w:fldChar w:fldCharType="begin"/>
                          </w:r>
                          <w:r>
                            <w:instrText xml:space="preserve"> PAGE  \* MERGEFORMAT </w:instrText>
                          </w:r>
                          <w:r>
                            <w:fldChar w:fldCharType="separate"/>
                          </w:r>
                          <w:r>
                            <w:t>77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rF5BAdIBAAClAwAADgAAAAAAAAABACAAAAAi&#10;AQAAZHJzL2Uyb0RvYy54bWxQSwUGAAAAAAYABgBZAQAAZgUAAAAA&#10;">
              <v:fill on="f" focussize="0,0"/>
              <v:stroke on="f" weight="1.25pt"/>
              <v:imagedata o:title=""/>
              <o:lock v:ext="edit" aspectratio="f"/>
              <v:textbox inset="0mm,0mm,0mm,0mm" style="mso-fit-shape-to-text:t;">
                <w:txbxContent>
                  <w:p w14:paraId="3DF31A02">
                    <w:pPr>
                      <w:pStyle w:val="26"/>
                    </w:pPr>
                    <w:r>
                      <w:fldChar w:fldCharType="begin"/>
                    </w:r>
                    <w:r>
                      <w:instrText xml:space="preserve"> PAGE  \* MERGEFORMAT </w:instrText>
                    </w:r>
                    <w:r>
                      <w:fldChar w:fldCharType="separate"/>
                    </w:r>
                    <w:r>
                      <w:t>77</w:t>
                    </w:r>
                    <w:r>
                      <w:fldChar w:fldCharType="end"/>
                    </w:r>
                  </w:p>
                </w:txbxContent>
              </v:textbox>
            </v:shape>
          </w:pict>
        </mc:Fallback>
      </mc:AlternateContent>
    </w:r>
  </w:p>
  <w:p w14:paraId="62186952">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D294A">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80748">
    <w:pPr>
      <w:pStyle w:val="27"/>
      <w:rPr>
        <w:rFonts w:hint="eastAsia" w:eastAsia="宋体"/>
        <w:lang w:eastAsia="zh-CN"/>
      </w:rPr>
    </w:pPr>
    <w:r>
      <w:rPr>
        <w:rFonts w:hint="eastAsia" w:ascii="仿宋" w:hAnsi="仿宋" w:eastAsia="仿宋" w:cs="仿宋"/>
        <w:lang w:eastAsia="zh-CN"/>
      </w:rPr>
      <w:t>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B91B1">
    <w:pPr>
      <w:pStyle w:val="27"/>
      <w:rPr>
        <w:rFonts w:hint="eastAsia" w:eastAsia="宋体"/>
        <w:lang w:eastAsia="zh-CN"/>
      </w:rPr>
    </w:pPr>
    <w:r>
      <w:rPr>
        <w:rFonts w:hint="eastAsia" w:ascii="仿宋" w:hAnsi="仿宋" w:eastAsia="仿宋" w:cs="仿宋"/>
        <w:lang w:eastAsia="zh-CN"/>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decimal"/>
      <w:lvlText w:val="%1."/>
      <w:lvlJc w:val="left"/>
      <w:pPr>
        <w:ind w:left="7071" w:hanging="420"/>
      </w:pPr>
      <w:rPr>
        <w:rFonts w:hint="eastAsia" w:eastAsia="仿宋_GB2312"/>
        <w:color w:val="auto"/>
        <w:sz w:val="24"/>
      </w:rPr>
    </w:lvl>
    <w:lvl w:ilvl="1" w:tentative="0">
      <w:start w:val="1"/>
      <w:numFmt w:val="lowerLetter"/>
      <w:lvlText w:val="%2)"/>
      <w:lvlJc w:val="left"/>
      <w:pPr>
        <w:ind w:left="7491" w:hanging="420"/>
      </w:pPr>
    </w:lvl>
    <w:lvl w:ilvl="2" w:tentative="0">
      <w:start w:val="1"/>
      <w:numFmt w:val="lowerRoman"/>
      <w:lvlText w:val="%3."/>
      <w:lvlJc w:val="right"/>
      <w:pPr>
        <w:ind w:left="7911" w:hanging="420"/>
      </w:pPr>
    </w:lvl>
    <w:lvl w:ilvl="3" w:tentative="0">
      <w:start w:val="1"/>
      <w:numFmt w:val="decimal"/>
      <w:lvlText w:val="%4."/>
      <w:lvlJc w:val="left"/>
      <w:pPr>
        <w:ind w:left="8331" w:hanging="420"/>
      </w:pPr>
    </w:lvl>
    <w:lvl w:ilvl="4" w:tentative="0">
      <w:start w:val="1"/>
      <w:numFmt w:val="lowerLetter"/>
      <w:lvlText w:val="%5)"/>
      <w:lvlJc w:val="left"/>
      <w:pPr>
        <w:ind w:left="8751" w:hanging="420"/>
      </w:pPr>
    </w:lvl>
    <w:lvl w:ilvl="5" w:tentative="0">
      <w:start w:val="1"/>
      <w:numFmt w:val="lowerRoman"/>
      <w:lvlText w:val="%6."/>
      <w:lvlJc w:val="right"/>
      <w:pPr>
        <w:ind w:left="9171" w:hanging="420"/>
      </w:pPr>
    </w:lvl>
    <w:lvl w:ilvl="6" w:tentative="0">
      <w:start w:val="1"/>
      <w:numFmt w:val="decimal"/>
      <w:lvlText w:val="%7."/>
      <w:lvlJc w:val="left"/>
      <w:pPr>
        <w:ind w:left="9591" w:hanging="420"/>
      </w:pPr>
    </w:lvl>
    <w:lvl w:ilvl="7" w:tentative="0">
      <w:start w:val="1"/>
      <w:numFmt w:val="lowerLetter"/>
      <w:lvlText w:val="%8)"/>
      <w:lvlJc w:val="left"/>
      <w:pPr>
        <w:ind w:left="10011" w:hanging="420"/>
      </w:pPr>
    </w:lvl>
    <w:lvl w:ilvl="8" w:tentative="0">
      <w:start w:val="1"/>
      <w:numFmt w:val="lowerRoman"/>
      <w:lvlText w:val="%9."/>
      <w:lvlJc w:val="right"/>
      <w:pPr>
        <w:ind w:left="10431" w:hanging="420"/>
      </w:pPr>
    </w:lvl>
  </w:abstractNum>
  <w:abstractNum w:abstractNumId="1">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6"/>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00000018"/>
    <w:multiLevelType w:val="multilevel"/>
    <w:tmpl w:val="00000018"/>
    <w:lvl w:ilvl="0" w:tentative="0">
      <w:start w:val="1"/>
      <w:numFmt w:val="decimal"/>
      <w:pStyle w:val="128"/>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4">
    <w:nsid w:val="00C757A7"/>
    <w:multiLevelType w:val="singleLevel"/>
    <w:tmpl w:val="00C757A7"/>
    <w:lvl w:ilvl="0" w:tentative="0">
      <w:start w:val="1"/>
      <w:numFmt w:val="decimal"/>
      <w:suff w:val="nothing"/>
      <w:lvlText w:val="%1、"/>
      <w:lvlJc w:val="left"/>
    </w:lvl>
  </w:abstractNum>
  <w:abstractNum w:abstractNumId="5">
    <w:nsid w:val="135715FD"/>
    <w:multiLevelType w:val="multilevel"/>
    <w:tmpl w:val="135715FD"/>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F7D282C"/>
    <w:multiLevelType w:val="multilevel"/>
    <w:tmpl w:val="4F7D282C"/>
    <w:lvl w:ilvl="0" w:tentative="0">
      <w:start w:val="1"/>
      <w:numFmt w:val="japaneseCounting"/>
      <w:lvlText w:val="%1、"/>
      <w:lvlJc w:val="left"/>
      <w:pPr>
        <w:ind w:left="495" w:hanging="49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0YjE4YjZiMWVmNTVlNDM0ZmRlYTQ1MWFmNjZjMTAifQ=="/>
  </w:docVars>
  <w:rsids>
    <w:rsidRoot w:val="00172A27"/>
    <w:rsid w:val="00000D7B"/>
    <w:rsid w:val="0000182D"/>
    <w:rsid w:val="00001AF0"/>
    <w:rsid w:val="00002CCF"/>
    <w:rsid w:val="00002D57"/>
    <w:rsid w:val="00002DDC"/>
    <w:rsid w:val="00002DF3"/>
    <w:rsid w:val="000031B7"/>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364A"/>
    <w:rsid w:val="000149D8"/>
    <w:rsid w:val="00014AA0"/>
    <w:rsid w:val="00015463"/>
    <w:rsid w:val="000155A1"/>
    <w:rsid w:val="00015F67"/>
    <w:rsid w:val="000168A6"/>
    <w:rsid w:val="00016F8F"/>
    <w:rsid w:val="00017CBF"/>
    <w:rsid w:val="000200B7"/>
    <w:rsid w:val="000208AC"/>
    <w:rsid w:val="000209AF"/>
    <w:rsid w:val="00020E79"/>
    <w:rsid w:val="00021146"/>
    <w:rsid w:val="00021703"/>
    <w:rsid w:val="0002176E"/>
    <w:rsid w:val="00021AA5"/>
    <w:rsid w:val="000224A2"/>
    <w:rsid w:val="00022852"/>
    <w:rsid w:val="000231B2"/>
    <w:rsid w:val="0002344E"/>
    <w:rsid w:val="0002607B"/>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606B"/>
    <w:rsid w:val="00036255"/>
    <w:rsid w:val="000374B5"/>
    <w:rsid w:val="00037E56"/>
    <w:rsid w:val="00041A8D"/>
    <w:rsid w:val="00042142"/>
    <w:rsid w:val="000426DF"/>
    <w:rsid w:val="00043183"/>
    <w:rsid w:val="00044460"/>
    <w:rsid w:val="00044E13"/>
    <w:rsid w:val="000457CC"/>
    <w:rsid w:val="00045B86"/>
    <w:rsid w:val="00045CFE"/>
    <w:rsid w:val="0004702B"/>
    <w:rsid w:val="000478CA"/>
    <w:rsid w:val="00047D37"/>
    <w:rsid w:val="000507EF"/>
    <w:rsid w:val="00050B93"/>
    <w:rsid w:val="000512B5"/>
    <w:rsid w:val="00051337"/>
    <w:rsid w:val="00051936"/>
    <w:rsid w:val="00051A13"/>
    <w:rsid w:val="00051F92"/>
    <w:rsid w:val="000528C3"/>
    <w:rsid w:val="000529A8"/>
    <w:rsid w:val="00052A82"/>
    <w:rsid w:val="00052D6A"/>
    <w:rsid w:val="0005362E"/>
    <w:rsid w:val="00053CA5"/>
    <w:rsid w:val="00054057"/>
    <w:rsid w:val="000552FF"/>
    <w:rsid w:val="00055431"/>
    <w:rsid w:val="00055D43"/>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416B"/>
    <w:rsid w:val="000647ED"/>
    <w:rsid w:val="00064A70"/>
    <w:rsid w:val="00064CEA"/>
    <w:rsid w:val="00064DEA"/>
    <w:rsid w:val="00064F19"/>
    <w:rsid w:val="0006501E"/>
    <w:rsid w:val="000650F5"/>
    <w:rsid w:val="0006698B"/>
    <w:rsid w:val="00070449"/>
    <w:rsid w:val="00070A04"/>
    <w:rsid w:val="00071773"/>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0A"/>
    <w:rsid w:val="00074BAC"/>
    <w:rsid w:val="00075544"/>
    <w:rsid w:val="000758BD"/>
    <w:rsid w:val="0007638A"/>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7FE"/>
    <w:rsid w:val="00097A09"/>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2D8F"/>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6FD"/>
    <w:rsid w:val="000C0E03"/>
    <w:rsid w:val="000C0E20"/>
    <w:rsid w:val="000C165E"/>
    <w:rsid w:val="000C2E0A"/>
    <w:rsid w:val="000C3898"/>
    <w:rsid w:val="000C3BB8"/>
    <w:rsid w:val="000C3DE8"/>
    <w:rsid w:val="000C405A"/>
    <w:rsid w:val="000C4078"/>
    <w:rsid w:val="000C457E"/>
    <w:rsid w:val="000C4ACE"/>
    <w:rsid w:val="000C5CD7"/>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AA5"/>
    <w:rsid w:val="000D6C81"/>
    <w:rsid w:val="000D71C3"/>
    <w:rsid w:val="000D71D8"/>
    <w:rsid w:val="000D739B"/>
    <w:rsid w:val="000D7938"/>
    <w:rsid w:val="000D7DA5"/>
    <w:rsid w:val="000E017F"/>
    <w:rsid w:val="000E02E4"/>
    <w:rsid w:val="000E181D"/>
    <w:rsid w:val="000E1916"/>
    <w:rsid w:val="000E1F54"/>
    <w:rsid w:val="000E2265"/>
    <w:rsid w:val="000E2526"/>
    <w:rsid w:val="000E2A32"/>
    <w:rsid w:val="000E2B2C"/>
    <w:rsid w:val="000E2BE6"/>
    <w:rsid w:val="000E303C"/>
    <w:rsid w:val="000E3085"/>
    <w:rsid w:val="000E3B31"/>
    <w:rsid w:val="000E4089"/>
    <w:rsid w:val="000E48DB"/>
    <w:rsid w:val="000E4C45"/>
    <w:rsid w:val="000E6193"/>
    <w:rsid w:val="000E74B5"/>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060"/>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24DB"/>
    <w:rsid w:val="00123D5E"/>
    <w:rsid w:val="00124324"/>
    <w:rsid w:val="001244DD"/>
    <w:rsid w:val="001249D9"/>
    <w:rsid w:val="00124BEC"/>
    <w:rsid w:val="00124DC2"/>
    <w:rsid w:val="00124E29"/>
    <w:rsid w:val="0012581A"/>
    <w:rsid w:val="001258C3"/>
    <w:rsid w:val="00126734"/>
    <w:rsid w:val="0012681D"/>
    <w:rsid w:val="001268D2"/>
    <w:rsid w:val="00126F22"/>
    <w:rsid w:val="00127CBC"/>
    <w:rsid w:val="00127EC4"/>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D09"/>
    <w:rsid w:val="00137EE8"/>
    <w:rsid w:val="00140240"/>
    <w:rsid w:val="001408B0"/>
    <w:rsid w:val="00140B0B"/>
    <w:rsid w:val="00140B4A"/>
    <w:rsid w:val="00140BDF"/>
    <w:rsid w:val="00140F2E"/>
    <w:rsid w:val="001410EB"/>
    <w:rsid w:val="00142073"/>
    <w:rsid w:val="0014255B"/>
    <w:rsid w:val="00142A20"/>
    <w:rsid w:val="001431D3"/>
    <w:rsid w:val="001433F3"/>
    <w:rsid w:val="0014375C"/>
    <w:rsid w:val="001437D8"/>
    <w:rsid w:val="00143FD7"/>
    <w:rsid w:val="0014471D"/>
    <w:rsid w:val="00144894"/>
    <w:rsid w:val="00144E6A"/>
    <w:rsid w:val="00145409"/>
    <w:rsid w:val="001457FE"/>
    <w:rsid w:val="00147296"/>
    <w:rsid w:val="0015104B"/>
    <w:rsid w:val="001518AF"/>
    <w:rsid w:val="0015210A"/>
    <w:rsid w:val="00152716"/>
    <w:rsid w:val="00152899"/>
    <w:rsid w:val="001530F3"/>
    <w:rsid w:val="00153395"/>
    <w:rsid w:val="00153A6E"/>
    <w:rsid w:val="00154021"/>
    <w:rsid w:val="00154177"/>
    <w:rsid w:val="001542EC"/>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7AC"/>
    <w:rsid w:val="0017240A"/>
    <w:rsid w:val="00172475"/>
    <w:rsid w:val="00172575"/>
    <w:rsid w:val="001728F3"/>
    <w:rsid w:val="00173053"/>
    <w:rsid w:val="001738B7"/>
    <w:rsid w:val="00174506"/>
    <w:rsid w:val="001745BB"/>
    <w:rsid w:val="00175009"/>
    <w:rsid w:val="00175097"/>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2EF"/>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2DD"/>
    <w:rsid w:val="001A4C6B"/>
    <w:rsid w:val="001A502C"/>
    <w:rsid w:val="001A5261"/>
    <w:rsid w:val="001A56AF"/>
    <w:rsid w:val="001A570E"/>
    <w:rsid w:val="001A611C"/>
    <w:rsid w:val="001A615E"/>
    <w:rsid w:val="001A6E49"/>
    <w:rsid w:val="001A7EC2"/>
    <w:rsid w:val="001A7ED3"/>
    <w:rsid w:val="001B0171"/>
    <w:rsid w:val="001B0AC8"/>
    <w:rsid w:val="001B1413"/>
    <w:rsid w:val="001B1530"/>
    <w:rsid w:val="001B1917"/>
    <w:rsid w:val="001B1C61"/>
    <w:rsid w:val="001B20E0"/>
    <w:rsid w:val="001B2727"/>
    <w:rsid w:val="001B280D"/>
    <w:rsid w:val="001B2B52"/>
    <w:rsid w:val="001B3548"/>
    <w:rsid w:val="001B3DC5"/>
    <w:rsid w:val="001B4E4C"/>
    <w:rsid w:val="001B5E28"/>
    <w:rsid w:val="001B671F"/>
    <w:rsid w:val="001B6733"/>
    <w:rsid w:val="001B6AD8"/>
    <w:rsid w:val="001B6C7F"/>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0C76"/>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E7E88"/>
    <w:rsid w:val="001F005B"/>
    <w:rsid w:val="001F015C"/>
    <w:rsid w:val="001F0BA2"/>
    <w:rsid w:val="001F125A"/>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59"/>
    <w:rsid w:val="00203EE2"/>
    <w:rsid w:val="002044A4"/>
    <w:rsid w:val="00204859"/>
    <w:rsid w:val="00204C3C"/>
    <w:rsid w:val="00205008"/>
    <w:rsid w:val="00205329"/>
    <w:rsid w:val="00205FBF"/>
    <w:rsid w:val="002066A6"/>
    <w:rsid w:val="002066ED"/>
    <w:rsid w:val="002068D8"/>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680"/>
    <w:rsid w:val="00225DF3"/>
    <w:rsid w:val="00226E2E"/>
    <w:rsid w:val="00227444"/>
    <w:rsid w:val="002274BE"/>
    <w:rsid w:val="00230DA2"/>
    <w:rsid w:val="00231145"/>
    <w:rsid w:val="0023161F"/>
    <w:rsid w:val="0023166C"/>
    <w:rsid w:val="002321F5"/>
    <w:rsid w:val="00233CF7"/>
    <w:rsid w:val="00233EED"/>
    <w:rsid w:val="00233F74"/>
    <w:rsid w:val="002349B5"/>
    <w:rsid w:val="00234A04"/>
    <w:rsid w:val="00234A36"/>
    <w:rsid w:val="00235537"/>
    <w:rsid w:val="002361DD"/>
    <w:rsid w:val="002365AA"/>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5EE"/>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E53"/>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9E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17C"/>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370"/>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32BD"/>
    <w:rsid w:val="002B395E"/>
    <w:rsid w:val="002B45F4"/>
    <w:rsid w:val="002B4EFA"/>
    <w:rsid w:val="002B5049"/>
    <w:rsid w:val="002B5F0E"/>
    <w:rsid w:val="002B611E"/>
    <w:rsid w:val="002B683E"/>
    <w:rsid w:val="002B6A7A"/>
    <w:rsid w:val="002B6F56"/>
    <w:rsid w:val="002B7152"/>
    <w:rsid w:val="002B76FD"/>
    <w:rsid w:val="002C0007"/>
    <w:rsid w:val="002C00C5"/>
    <w:rsid w:val="002C0AC4"/>
    <w:rsid w:val="002C0B15"/>
    <w:rsid w:val="002C11AE"/>
    <w:rsid w:val="002C1A73"/>
    <w:rsid w:val="002C1CA7"/>
    <w:rsid w:val="002C22C5"/>
    <w:rsid w:val="002C27E9"/>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80"/>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595"/>
    <w:rsid w:val="00307BDF"/>
    <w:rsid w:val="0031016A"/>
    <w:rsid w:val="003105A1"/>
    <w:rsid w:val="0031093C"/>
    <w:rsid w:val="00311AC4"/>
    <w:rsid w:val="00311B37"/>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9C6"/>
    <w:rsid w:val="00326CFC"/>
    <w:rsid w:val="0032723E"/>
    <w:rsid w:val="003275E5"/>
    <w:rsid w:val="0032765C"/>
    <w:rsid w:val="00327932"/>
    <w:rsid w:val="00330242"/>
    <w:rsid w:val="00330A25"/>
    <w:rsid w:val="00330B95"/>
    <w:rsid w:val="00330D33"/>
    <w:rsid w:val="00330F4A"/>
    <w:rsid w:val="003311B0"/>
    <w:rsid w:val="003311B5"/>
    <w:rsid w:val="003320F5"/>
    <w:rsid w:val="0033247F"/>
    <w:rsid w:val="00333147"/>
    <w:rsid w:val="003337DE"/>
    <w:rsid w:val="00334E2F"/>
    <w:rsid w:val="0033536E"/>
    <w:rsid w:val="00335F95"/>
    <w:rsid w:val="0033671B"/>
    <w:rsid w:val="003372B8"/>
    <w:rsid w:val="00337570"/>
    <w:rsid w:val="00337844"/>
    <w:rsid w:val="00340143"/>
    <w:rsid w:val="00340859"/>
    <w:rsid w:val="00340D68"/>
    <w:rsid w:val="00340E6A"/>
    <w:rsid w:val="00341805"/>
    <w:rsid w:val="00341E4A"/>
    <w:rsid w:val="00342180"/>
    <w:rsid w:val="00342364"/>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CB3"/>
    <w:rsid w:val="003577E5"/>
    <w:rsid w:val="00357C4F"/>
    <w:rsid w:val="00357E8E"/>
    <w:rsid w:val="00360741"/>
    <w:rsid w:val="003625E3"/>
    <w:rsid w:val="003626C3"/>
    <w:rsid w:val="00362844"/>
    <w:rsid w:val="00362AD4"/>
    <w:rsid w:val="00363CBB"/>
    <w:rsid w:val="003650C8"/>
    <w:rsid w:val="003657E1"/>
    <w:rsid w:val="00365848"/>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E2A"/>
    <w:rsid w:val="00385878"/>
    <w:rsid w:val="00385C3F"/>
    <w:rsid w:val="003869C0"/>
    <w:rsid w:val="00387355"/>
    <w:rsid w:val="003900F1"/>
    <w:rsid w:val="00390899"/>
    <w:rsid w:val="003914BA"/>
    <w:rsid w:val="00391584"/>
    <w:rsid w:val="003918C7"/>
    <w:rsid w:val="00391D26"/>
    <w:rsid w:val="00392F3C"/>
    <w:rsid w:val="003934D5"/>
    <w:rsid w:val="0039360F"/>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4FA4"/>
    <w:rsid w:val="003B507D"/>
    <w:rsid w:val="003B5B37"/>
    <w:rsid w:val="003B5B59"/>
    <w:rsid w:val="003B5C8E"/>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730"/>
    <w:rsid w:val="003D580E"/>
    <w:rsid w:val="003D5BF3"/>
    <w:rsid w:val="003D7820"/>
    <w:rsid w:val="003E0697"/>
    <w:rsid w:val="003E103D"/>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8EA"/>
    <w:rsid w:val="003F3E66"/>
    <w:rsid w:val="003F405D"/>
    <w:rsid w:val="003F423D"/>
    <w:rsid w:val="003F461E"/>
    <w:rsid w:val="003F500F"/>
    <w:rsid w:val="003F5152"/>
    <w:rsid w:val="003F55C9"/>
    <w:rsid w:val="003F6002"/>
    <w:rsid w:val="003F7368"/>
    <w:rsid w:val="003F745C"/>
    <w:rsid w:val="003F7658"/>
    <w:rsid w:val="003F7E5E"/>
    <w:rsid w:val="003F7F88"/>
    <w:rsid w:val="00400317"/>
    <w:rsid w:val="00400BF0"/>
    <w:rsid w:val="00400FFF"/>
    <w:rsid w:val="004012A0"/>
    <w:rsid w:val="0040146A"/>
    <w:rsid w:val="004016EC"/>
    <w:rsid w:val="00401783"/>
    <w:rsid w:val="0040228D"/>
    <w:rsid w:val="00402388"/>
    <w:rsid w:val="00402F60"/>
    <w:rsid w:val="0040345C"/>
    <w:rsid w:val="00403DE1"/>
    <w:rsid w:val="00403EB4"/>
    <w:rsid w:val="00403FEB"/>
    <w:rsid w:val="0040528D"/>
    <w:rsid w:val="00405959"/>
    <w:rsid w:val="004059E5"/>
    <w:rsid w:val="00405B81"/>
    <w:rsid w:val="00406525"/>
    <w:rsid w:val="004065D0"/>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6915"/>
    <w:rsid w:val="00416E0B"/>
    <w:rsid w:val="0041716A"/>
    <w:rsid w:val="00417779"/>
    <w:rsid w:val="004204A7"/>
    <w:rsid w:val="004210BA"/>
    <w:rsid w:val="00421AA2"/>
    <w:rsid w:val="004222E4"/>
    <w:rsid w:val="00422C74"/>
    <w:rsid w:val="004236EA"/>
    <w:rsid w:val="00423763"/>
    <w:rsid w:val="0042535E"/>
    <w:rsid w:val="00425714"/>
    <w:rsid w:val="00425BC2"/>
    <w:rsid w:val="00425EC6"/>
    <w:rsid w:val="00427022"/>
    <w:rsid w:val="004274CA"/>
    <w:rsid w:val="004277C9"/>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2FE6"/>
    <w:rsid w:val="0048329E"/>
    <w:rsid w:val="0048356F"/>
    <w:rsid w:val="004837EE"/>
    <w:rsid w:val="004842BC"/>
    <w:rsid w:val="004843EA"/>
    <w:rsid w:val="00484AD0"/>
    <w:rsid w:val="00484BA1"/>
    <w:rsid w:val="00484C96"/>
    <w:rsid w:val="00484FBF"/>
    <w:rsid w:val="0048539C"/>
    <w:rsid w:val="00485659"/>
    <w:rsid w:val="00485C2B"/>
    <w:rsid w:val="00487A10"/>
    <w:rsid w:val="00487DA0"/>
    <w:rsid w:val="00487DE4"/>
    <w:rsid w:val="00490F1D"/>
    <w:rsid w:val="00491170"/>
    <w:rsid w:val="004917E7"/>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1A21"/>
    <w:rsid w:val="004A271C"/>
    <w:rsid w:val="004A28E4"/>
    <w:rsid w:val="004A30C4"/>
    <w:rsid w:val="004A3D0D"/>
    <w:rsid w:val="004A4050"/>
    <w:rsid w:val="004A427F"/>
    <w:rsid w:val="004A42D7"/>
    <w:rsid w:val="004A456D"/>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4AC"/>
    <w:rsid w:val="004B6B64"/>
    <w:rsid w:val="004B73DF"/>
    <w:rsid w:val="004B7434"/>
    <w:rsid w:val="004B7549"/>
    <w:rsid w:val="004B785C"/>
    <w:rsid w:val="004C05C6"/>
    <w:rsid w:val="004C1ACD"/>
    <w:rsid w:val="004C26A5"/>
    <w:rsid w:val="004C27EA"/>
    <w:rsid w:val="004C3572"/>
    <w:rsid w:val="004C3928"/>
    <w:rsid w:val="004C3AE9"/>
    <w:rsid w:val="004C3BBE"/>
    <w:rsid w:val="004C4624"/>
    <w:rsid w:val="004C474F"/>
    <w:rsid w:val="004C495C"/>
    <w:rsid w:val="004C4E55"/>
    <w:rsid w:val="004C56C0"/>
    <w:rsid w:val="004C69F7"/>
    <w:rsid w:val="004C6FEC"/>
    <w:rsid w:val="004C77F2"/>
    <w:rsid w:val="004C7B40"/>
    <w:rsid w:val="004C7CA3"/>
    <w:rsid w:val="004C7CFD"/>
    <w:rsid w:val="004C7E6A"/>
    <w:rsid w:val="004D05A7"/>
    <w:rsid w:val="004D189B"/>
    <w:rsid w:val="004D195F"/>
    <w:rsid w:val="004D19F0"/>
    <w:rsid w:val="004D1E91"/>
    <w:rsid w:val="004D22E1"/>
    <w:rsid w:val="004D283A"/>
    <w:rsid w:val="004D2C04"/>
    <w:rsid w:val="004D33F7"/>
    <w:rsid w:val="004D39F2"/>
    <w:rsid w:val="004D3FFB"/>
    <w:rsid w:val="004D42D3"/>
    <w:rsid w:val="004D4A41"/>
    <w:rsid w:val="004D526B"/>
    <w:rsid w:val="004D5A20"/>
    <w:rsid w:val="004D76C2"/>
    <w:rsid w:val="004D7F25"/>
    <w:rsid w:val="004E1439"/>
    <w:rsid w:val="004E1933"/>
    <w:rsid w:val="004E199A"/>
    <w:rsid w:val="004E1A76"/>
    <w:rsid w:val="004E1EC7"/>
    <w:rsid w:val="004E2703"/>
    <w:rsid w:val="004E28DE"/>
    <w:rsid w:val="004E2CB4"/>
    <w:rsid w:val="004E3A3C"/>
    <w:rsid w:val="004E5404"/>
    <w:rsid w:val="004E598E"/>
    <w:rsid w:val="004E608E"/>
    <w:rsid w:val="004E7336"/>
    <w:rsid w:val="004E7359"/>
    <w:rsid w:val="004E7635"/>
    <w:rsid w:val="004E7C98"/>
    <w:rsid w:val="004E7DD7"/>
    <w:rsid w:val="004F10D4"/>
    <w:rsid w:val="004F1271"/>
    <w:rsid w:val="004F1374"/>
    <w:rsid w:val="004F15A5"/>
    <w:rsid w:val="004F1F74"/>
    <w:rsid w:val="004F26F8"/>
    <w:rsid w:val="004F29FD"/>
    <w:rsid w:val="004F2D4B"/>
    <w:rsid w:val="004F32CB"/>
    <w:rsid w:val="004F3519"/>
    <w:rsid w:val="004F36F4"/>
    <w:rsid w:val="004F375A"/>
    <w:rsid w:val="004F42AE"/>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8D7"/>
    <w:rsid w:val="005229B2"/>
    <w:rsid w:val="005238BD"/>
    <w:rsid w:val="00523EB0"/>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50B"/>
    <w:rsid w:val="00554CA5"/>
    <w:rsid w:val="00554DA9"/>
    <w:rsid w:val="00554E34"/>
    <w:rsid w:val="00554E70"/>
    <w:rsid w:val="005557DB"/>
    <w:rsid w:val="00556D14"/>
    <w:rsid w:val="00556E03"/>
    <w:rsid w:val="0055728F"/>
    <w:rsid w:val="0055783C"/>
    <w:rsid w:val="00557E5D"/>
    <w:rsid w:val="00561578"/>
    <w:rsid w:val="005615DD"/>
    <w:rsid w:val="00561BD5"/>
    <w:rsid w:val="00561CC4"/>
    <w:rsid w:val="00561D57"/>
    <w:rsid w:val="0056350A"/>
    <w:rsid w:val="00563645"/>
    <w:rsid w:val="005646B2"/>
    <w:rsid w:val="00564D98"/>
    <w:rsid w:val="00564EF6"/>
    <w:rsid w:val="00565605"/>
    <w:rsid w:val="005657DE"/>
    <w:rsid w:val="00566236"/>
    <w:rsid w:val="0056649A"/>
    <w:rsid w:val="00566B21"/>
    <w:rsid w:val="00567081"/>
    <w:rsid w:val="00567210"/>
    <w:rsid w:val="00567345"/>
    <w:rsid w:val="005674C4"/>
    <w:rsid w:val="00567A79"/>
    <w:rsid w:val="00570B3E"/>
    <w:rsid w:val="00570C76"/>
    <w:rsid w:val="0057124A"/>
    <w:rsid w:val="00571A6D"/>
    <w:rsid w:val="00571C99"/>
    <w:rsid w:val="00571E52"/>
    <w:rsid w:val="005725CC"/>
    <w:rsid w:val="00572E6B"/>
    <w:rsid w:val="005732B0"/>
    <w:rsid w:val="005737D0"/>
    <w:rsid w:val="00574083"/>
    <w:rsid w:val="00574146"/>
    <w:rsid w:val="00574886"/>
    <w:rsid w:val="00574BCF"/>
    <w:rsid w:val="00575958"/>
    <w:rsid w:val="00575A31"/>
    <w:rsid w:val="00575AF8"/>
    <w:rsid w:val="005760CC"/>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85A"/>
    <w:rsid w:val="0058731A"/>
    <w:rsid w:val="005875E1"/>
    <w:rsid w:val="00587B61"/>
    <w:rsid w:val="005900F3"/>
    <w:rsid w:val="00591755"/>
    <w:rsid w:val="005918D5"/>
    <w:rsid w:val="00591D82"/>
    <w:rsid w:val="005924A3"/>
    <w:rsid w:val="00593460"/>
    <w:rsid w:val="00594819"/>
    <w:rsid w:val="00594972"/>
    <w:rsid w:val="00594A27"/>
    <w:rsid w:val="005961FD"/>
    <w:rsid w:val="005963E3"/>
    <w:rsid w:val="005975AD"/>
    <w:rsid w:val="00597919"/>
    <w:rsid w:val="00597AB4"/>
    <w:rsid w:val="005A0E03"/>
    <w:rsid w:val="005A287D"/>
    <w:rsid w:val="005A40E3"/>
    <w:rsid w:val="005A5358"/>
    <w:rsid w:val="005A5C2C"/>
    <w:rsid w:val="005A5D68"/>
    <w:rsid w:val="005A63FB"/>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04A"/>
    <w:rsid w:val="005B7992"/>
    <w:rsid w:val="005B7BA3"/>
    <w:rsid w:val="005C0B97"/>
    <w:rsid w:val="005C0CA8"/>
    <w:rsid w:val="005C0DFC"/>
    <w:rsid w:val="005C11D1"/>
    <w:rsid w:val="005C1417"/>
    <w:rsid w:val="005C1B72"/>
    <w:rsid w:val="005C222A"/>
    <w:rsid w:val="005C2A65"/>
    <w:rsid w:val="005C2C55"/>
    <w:rsid w:val="005C3B90"/>
    <w:rsid w:val="005C3C5D"/>
    <w:rsid w:val="005C3F3A"/>
    <w:rsid w:val="005C464C"/>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E54"/>
    <w:rsid w:val="005D5FFE"/>
    <w:rsid w:val="005D63D3"/>
    <w:rsid w:val="005D78E5"/>
    <w:rsid w:val="005E0205"/>
    <w:rsid w:val="005E05C3"/>
    <w:rsid w:val="005E06DD"/>
    <w:rsid w:val="005E081E"/>
    <w:rsid w:val="005E14A9"/>
    <w:rsid w:val="005E14F6"/>
    <w:rsid w:val="005E15B3"/>
    <w:rsid w:val="005E17BB"/>
    <w:rsid w:val="005E18C6"/>
    <w:rsid w:val="005E2657"/>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8FE"/>
    <w:rsid w:val="00640DBC"/>
    <w:rsid w:val="00641BAA"/>
    <w:rsid w:val="0064244E"/>
    <w:rsid w:val="006433B9"/>
    <w:rsid w:val="00643851"/>
    <w:rsid w:val="00643987"/>
    <w:rsid w:val="00645048"/>
    <w:rsid w:val="0064520F"/>
    <w:rsid w:val="00645E23"/>
    <w:rsid w:val="00646283"/>
    <w:rsid w:val="00646A1D"/>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4FC"/>
    <w:rsid w:val="006568B6"/>
    <w:rsid w:val="0065720A"/>
    <w:rsid w:val="00657E83"/>
    <w:rsid w:val="006603F7"/>
    <w:rsid w:val="00661633"/>
    <w:rsid w:val="00661D1E"/>
    <w:rsid w:val="00662216"/>
    <w:rsid w:val="00662396"/>
    <w:rsid w:val="00663EF2"/>
    <w:rsid w:val="00663F55"/>
    <w:rsid w:val="00664EEF"/>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38FF"/>
    <w:rsid w:val="00673F7E"/>
    <w:rsid w:val="00674105"/>
    <w:rsid w:val="0067441C"/>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0CC"/>
    <w:rsid w:val="00694202"/>
    <w:rsid w:val="00694A5D"/>
    <w:rsid w:val="00694BCF"/>
    <w:rsid w:val="00695183"/>
    <w:rsid w:val="00695233"/>
    <w:rsid w:val="006956DE"/>
    <w:rsid w:val="00697882"/>
    <w:rsid w:val="00697E8C"/>
    <w:rsid w:val="006A00CC"/>
    <w:rsid w:val="006A0406"/>
    <w:rsid w:val="006A05DD"/>
    <w:rsid w:val="006A07E1"/>
    <w:rsid w:val="006A0B8C"/>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E4"/>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5E8"/>
    <w:rsid w:val="006E2A6F"/>
    <w:rsid w:val="006E2BD7"/>
    <w:rsid w:val="006E2F18"/>
    <w:rsid w:val="006E3C73"/>
    <w:rsid w:val="006E412B"/>
    <w:rsid w:val="006E4290"/>
    <w:rsid w:val="006E4465"/>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1C1"/>
    <w:rsid w:val="006F4862"/>
    <w:rsid w:val="006F4EFA"/>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17AA5"/>
    <w:rsid w:val="00720127"/>
    <w:rsid w:val="00721D61"/>
    <w:rsid w:val="00721DFA"/>
    <w:rsid w:val="007226AD"/>
    <w:rsid w:val="00722F90"/>
    <w:rsid w:val="0072303A"/>
    <w:rsid w:val="00724704"/>
    <w:rsid w:val="00724EB7"/>
    <w:rsid w:val="00725249"/>
    <w:rsid w:val="0072534B"/>
    <w:rsid w:val="00725D2F"/>
    <w:rsid w:val="00726010"/>
    <w:rsid w:val="00726249"/>
    <w:rsid w:val="00726F95"/>
    <w:rsid w:val="007271DF"/>
    <w:rsid w:val="00727832"/>
    <w:rsid w:val="00731018"/>
    <w:rsid w:val="0073129A"/>
    <w:rsid w:val="00731946"/>
    <w:rsid w:val="00732078"/>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5A12"/>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B9D"/>
    <w:rsid w:val="00753C34"/>
    <w:rsid w:val="00753CC3"/>
    <w:rsid w:val="00754E64"/>
    <w:rsid w:val="007553A9"/>
    <w:rsid w:val="00755584"/>
    <w:rsid w:val="007564AA"/>
    <w:rsid w:val="007569A7"/>
    <w:rsid w:val="00756CB2"/>
    <w:rsid w:val="0076041E"/>
    <w:rsid w:val="007608E5"/>
    <w:rsid w:val="007624F0"/>
    <w:rsid w:val="0076257A"/>
    <w:rsid w:val="007637BF"/>
    <w:rsid w:val="00763945"/>
    <w:rsid w:val="00764EA5"/>
    <w:rsid w:val="0076531B"/>
    <w:rsid w:val="00765DB4"/>
    <w:rsid w:val="007662ED"/>
    <w:rsid w:val="0076633E"/>
    <w:rsid w:val="00766C56"/>
    <w:rsid w:val="00766E7D"/>
    <w:rsid w:val="007675FA"/>
    <w:rsid w:val="00767B09"/>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68B"/>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5DD"/>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1C0"/>
    <w:rsid w:val="007A766F"/>
    <w:rsid w:val="007B0F78"/>
    <w:rsid w:val="007B13C1"/>
    <w:rsid w:val="007B2BD2"/>
    <w:rsid w:val="007B329C"/>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C7B"/>
    <w:rsid w:val="007C5E70"/>
    <w:rsid w:val="007C60C5"/>
    <w:rsid w:val="007C6653"/>
    <w:rsid w:val="007C68F3"/>
    <w:rsid w:val="007C7455"/>
    <w:rsid w:val="007C794A"/>
    <w:rsid w:val="007C796D"/>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6FB"/>
    <w:rsid w:val="007E79F7"/>
    <w:rsid w:val="007F0897"/>
    <w:rsid w:val="007F0F0F"/>
    <w:rsid w:val="007F1172"/>
    <w:rsid w:val="007F168A"/>
    <w:rsid w:val="007F1F62"/>
    <w:rsid w:val="007F2457"/>
    <w:rsid w:val="007F2779"/>
    <w:rsid w:val="007F3478"/>
    <w:rsid w:val="007F3D09"/>
    <w:rsid w:val="007F3E8A"/>
    <w:rsid w:val="007F45E3"/>
    <w:rsid w:val="007F4C17"/>
    <w:rsid w:val="007F509B"/>
    <w:rsid w:val="007F5321"/>
    <w:rsid w:val="007F5820"/>
    <w:rsid w:val="007F5B37"/>
    <w:rsid w:val="007F5E7C"/>
    <w:rsid w:val="007F62F4"/>
    <w:rsid w:val="007F641A"/>
    <w:rsid w:val="007F69B9"/>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6AC"/>
    <w:rsid w:val="00812DBD"/>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047"/>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AF9"/>
    <w:rsid w:val="00833C85"/>
    <w:rsid w:val="008348D2"/>
    <w:rsid w:val="00834B3D"/>
    <w:rsid w:val="00835139"/>
    <w:rsid w:val="00835FC2"/>
    <w:rsid w:val="00837598"/>
    <w:rsid w:val="00837D0C"/>
    <w:rsid w:val="00837D6A"/>
    <w:rsid w:val="008407A3"/>
    <w:rsid w:val="00840A1F"/>
    <w:rsid w:val="008419A1"/>
    <w:rsid w:val="00841A2C"/>
    <w:rsid w:val="0084222D"/>
    <w:rsid w:val="00842CEA"/>
    <w:rsid w:val="00842DA5"/>
    <w:rsid w:val="008436AC"/>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653"/>
    <w:rsid w:val="00860A1B"/>
    <w:rsid w:val="00860BCB"/>
    <w:rsid w:val="00860C2B"/>
    <w:rsid w:val="00860FB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63FC"/>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CCF"/>
    <w:rsid w:val="00881DA7"/>
    <w:rsid w:val="00882146"/>
    <w:rsid w:val="008823FF"/>
    <w:rsid w:val="00882A68"/>
    <w:rsid w:val="00882AA1"/>
    <w:rsid w:val="008850A4"/>
    <w:rsid w:val="0088585A"/>
    <w:rsid w:val="00885AB6"/>
    <w:rsid w:val="00885ABD"/>
    <w:rsid w:val="00885E3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43F"/>
    <w:rsid w:val="008959BD"/>
    <w:rsid w:val="00895A65"/>
    <w:rsid w:val="00895D2B"/>
    <w:rsid w:val="00896059"/>
    <w:rsid w:val="00896C2E"/>
    <w:rsid w:val="00896D94"/>
    <w:rsid w:val="00897B6B"/>
    <w:rsid w:val="008A04A2"/>
    <w:rsid w:val="008A0E72"/>
    <w:rsid w:val="008A1ACD"/>
    <w:rsid w:val="008A27C1"/>
    <w:rsid w:val="008A4033"/>
    <w:rsid w:val="008A4633"/>
    <w:rsid w:val="008A4AAE"/>
    <w:rsid w:val="008A5648"/>
    <w:rsid w:val="008A5E6E"/>
    <w:rsid w:val="008A5EDE"/>
    <w:rsid w:val="008A70C4"/>
    <w:rsid w:val="008A71B3"/>
    <w:rsid w:val="008A7482"/>
    <w:rsid w:val="008A75BA"/>
    <w:rsid w:val="008A7629"/>
    <w:rsid w:val="008A772B"/>
    <w:rsid w:val="008A7CED"/>
    <w:rsid w:val="008A7DB7"/>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5EF8"/>
    <w:rsid w:val="008B73E2"/>
    <w:rsid w:val="008B755B"/>
    <w:rsid w:val="008B7E03"/>
    <w:rsid w:val="008C009D"/>
    <w:rsid w:val="008C009F"/>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1EF"/>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7CA"/>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7D8"/>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54A0"/>
    <w:rsid w:val="009161EE"/>
    <w:rsid w:val="009167B1"/>
    <w:rsid w:val="00916C53"/>
    <w:rsid w:val="00917BC4"/>
    <w:rsid w:val="00920053"/>
    <w:rsid w:val="00920555"/>
    <w:rsid w:val="009206E8"/>
    <w:rsid w:val="009206F8"/>
    <w:rsid w:val="0092255D"/>
    <w:rsid w:val="00922E89"/>
    <w:rsid w:val="00923008"/>
    <w:rsid w:val="00923529"/>
    <w:rsid w:val="00923DDA"/>
    <w:rsid w:val="00923E62"/>
    <w:rsid w:val="00923F97"/>
    <w:rsid w:val="009243D1"/>
    <w:rsid w:val="00925989"/>
    <w:rsid w:val="00925B6D"/>
    <w:rsid w:val="00925D73"/>
    <w:rsid w:val="00925ED3"/>
    <w:rsid w:val="00926072"/>
    <w:rsid w:val="009260F6"/>
    <w:rsid w:val="00926551"/>
    <w:rsid w:val="00926592"/>
    <w:rsid w:val="009269E1"/>
    <w:rsid w:val="00930024"/>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151"/>
    <w:rsid w:val="0094160C"/>
    <w:rsid w:val="009418B9"/>
    <w:rsid w:val="0094235E"/>
    <w:rsid w:val="00942EBC"/>
    <w:rsid w:val="009433CB"/>
    <w:rsid w:val="00943713"/>
    <w:rsid w:val="00944523"/>
    <w:rsid w:val="009446C4"/>
    <w:rsid w:val="00944E89"/>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3F2"/>
    <w:rsid w:val="00954710"/>
    <w:rsid w:val="00954731"/>
    <w:rsid w:val="00954E48"/>
    <w:rsid w:val="009551C8"/>
    <w:rsid w:val="009553DD"/>
    <w:rsid w:val="00955DA3"/>
    <w:rsid w:val="00955DEE"/>
    <w:rsid w:val="00955EEB"/>
    <w:rsid w:val="00956478"/>
    <w:rsid w:val="00956549"/>
    <w:rsid w:val="009566B2"/>
    <w:rsid w:val="009568C5"/>
    <w:rsid w:val="0095796A"/>
    <w:rsid w:val="009579BE"/>
    <w:rsid w:val="00960297"/>
    <w:rsid w:val="00961AD9"/>
    <w:rsid w:val="00961D1A"/>
    <w:rsid w:val="0096266B"/>
    <w:rsid w:val="00962F24"/>
    <w:rsid w:val="0096334F"/>
    <w:rsid w:val="009636DB"/>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177"/>
    <w:rsid w:val="0097439B"/>
    <w:rsid w:val="009744C2"/>
    <w:rsid w:val="009745C1"/>
    <w:rsid w:val="00974C3D"/>
    <w:rsid w:val="00974C7A"/>
    <w:rsid w:val="00974E0F"/>
    <w:rsid w:val="0097565B"/>
    <w:rsid w:val="00975772"/>
    <w:rsid w:val="00975888"/>
    <w:rsid w:val="009759A2"/>
    <w:rsid w:val="00975E86"/>
    <w:rsid w:val="009760FB"/>
    <w:rsid w:val="00976480"/>
    <w:rsid w:val="00980571"/>
    <w:rsid w:val="009807F4"/>
    <w:rsid w:val="00980C50"/>
    <w:rsid w:val="00980E81"/>
    <w:rsid w:val="009810CA"/>
    <w:rsid w:val="0098156D"/>
    <w:rsid w:val="00981F37"/>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0F83"/>
    <w:rsid w:val="00993DFB"/>
    <w:rsid w:val="0099417A"/>
    <w:rsid w:val="009947D9"/>
    <w:rsid w:val="0099545A"/>
    <w:rsid w:val="009960DB"/>
    <w:rsid w:val="0099670D"/>
    <w:rsid w:val="0099788F"/>
    <w:rsid w:val="009978CB"/>
    <w:rsid w:val="009A07D5"/>
    <w:rsid w:val="009A0969"/>
    <w:rsid w:val="009A0F47"/>
    <w:rsid w:val="009A13B3"/>
    <w:rsid w:val="009A18B3"/>
    <w:rsid w:val="009A196A"/>
    <w:rsid w:val="009A1C12"/>
    <w:rsid w:val="009A2246"/>
    <w:rsid w:val="009A283D"/>
    <w:rsid w:val="009A2DD0"/>
    <w:rsid w:val="009A32C7"/>
    <w:rsid w:val="009A35EA"/>
    <w:rsid w:val="009A3B3E"/>
    <w:rsid w:val="009A4007"/>
    <w:rsid w:val="009A4481"/>
    <w:rsid w:val="009A44BF"/>
    <w:rsid w:val="009A46E0"/>
    <w:rsid w:val="009A4ADC"/>
    <w:rsid w:val="009A5A4D"/>
    <w:rsid w:val="009A5E42"/>
    <w:rsid w:val="009A5F4C"/>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019"/>
    <w:rsid w:val="009B437C"/>
    <w:rsid w:val="009B46E3"/>
    <w:rsid w:val="009B47CF"/>
    <w:rsid w:val="009B4C62"/>
    <w:rsid w:val="009B52A0"/>
    <w:rsid w:val="009B52F2"/>
    <w:rsid w:val="009B53A1"/>
    <w:rsid w:val="009B5AE1"/>
    <w:rsid w:val="009B5B9A"/>
    <w:rsid w:val="009B6CB8"/>
    <w:rsid w:val="009B7171"/>
    <w:rsid w:val="009B7AFC"/>
    <w:rsid w:val="009B7CE0"/>
    <w:rsid w:val="009C055D"/>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0B6"/>
    <w:rsid w:val="00A00231"/>
    <w:rsid w:val="00A01248"/>
    <w:rsid w:val="00A01334"/>
    <w:rsid w:val="00A019F9"/>
    <w:rsid w:val="00A02385"/>
    <w:rsid w:val="00A02A2A"/>
    <w:rsid w:val="00A02C67"/>
    <w:rsid w:val="00A03169"/>
    <w:rsid w:val="00A031CA"/>
    <w:rsid w:val="00A035E1"/>
    <w:rsid w:val="00A03F86"/>
    <w:rsid w:val="00A048E2"/>
    <w:rsid w:val="00A04C9E"/>
    <w:rsid w:val="00A05A7C"/>
    <w:rsid w:val="00A05E2D"/>
    <w:rsid w:val="00A06160"/>
    <w:rsid w:val="00A064FE"/>
    <w:rsid w:val="00A06A81"/>
    <w:rsid w:val="00A0717B"/>
    <w:rsid w:val="00A074D9"/>
    <w:rsid w:val="00A07A9C"/>
    <w:rsid w:val="00A07D35"/>
    <w:rsid w:val="00A07D91"/>
    <w:rsid w:val="00A10621"/>
    <w:rsid w:val="00A109D0"/>
    <w:rsid w:val="00A10CFE"/>
    <w:rsid w:val="00A114D4"/>
    <w:rsid w:val="00A121EE"/>
    <w:rsid w:val="00A12325"/>
    <w:rsid w:val="00A125D2"/>
    <w:rsid w:val="00A1362E"/>
    <w:rsid w:val="00A13BF6"/>
    <w:rsid w:val="00A14335"/>
    <w:rsid w:val="00A1443D"/>
    <w:rsid w:val="00A146E6"/>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48BD"/>
    <w:rsid w:val="00A2562A"/>
    <w:rsid w:val="00A2605C"/>
    <w:rsid w:val="00A263F5"/>
    <w:rsid w:val="00A26A1B"/>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A8D"/>
    <w:rsid w:val="00A45FA8"/>
    <w:rsid w:val="00A46347"/>
    <w:rsid w:val="00A463CA"/>
    <w:rsid w:val="00A46947"/>
    <w:rsid w:val="00A46EB9"/>
    <w:rsid w:val="00A50443"/>
    <w:rsid w:val="00A505D1"/>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5EE"/>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500"/>
    <w:rsid w:val="00A75918"/>
    <w:rsid w:val="00A75D41"/>
    <w:rsid w:val="00A76276"/>
    <w:rsid w:val="00A764A8"/>
    <w:rsid w:val="00A77308"/>
    <w:rsid w:val="00A7748B"/>
    <w:rsid w:val="00A779DA"/>
    <w:rsid w:val="00A77F2D"/>
    <w:rsid w:val="00A80351"/>
    <w:rsid w:val="00A80551"/>
    <w:rsid w:val="00A815F6"/>
    <w:rsid w:val="00A8166C"/>
    <w:rsid w:val="00A82809"/>
    <w:rsid w:val="00A82B44"/>
    <w:rsid w:val="00A8375B"/>
    <w:rsid w:val="00A83823"/>
    <w:rsid w:val="00A83DBC"/>
    <w:rsid w:val="00A84574"/>
    <w:rsid w:val="00A84DDC"/>
    <w:rsid w:val="00A8506E"/>
    <w:rsid w:val="00A854CF"/>
    <w:rsid w:val="00A857FC"/>
    <w:rsid w:val="00A85CEC"/>
    <w:rsid w:val="00A85DE3"/>
    <w:rsid w:val="00A86058"/>
    <w:rsid w:val="00A86DB5"/>
    <w:rsid w:val="00A876A2"/>
    <w:rsid w:val="00A876C1"/>
    <w:rsid w:val="00A878A5"/>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8A"/>
    <w:rsid w:val="00A970CC"/>
    <w:rsid w:val="00A973E1"/>
    <w:rsid w:val="00A97430"/>
    <w:rsid w:val="00AA08DC"/>
    <w:rsid w:val="00AA0F0C"/>
    <w:rsid w:val="00AA1024"/>
    <w:rsid w:val="00AA17DB"/>
    <w:rsid w:val="00AA1813"/>
    <w:rsid w:val="00AA33D2"/>
    <w:rsid w:val="00AA3E15"/>
    <w:rsid w:val="00AA3FF7"/>
    <w:rsid w:val="00AA483A"/>
    <w:rsid w:val="00AA4D57"/>
    <w:rsid w:val="00AA5998"/>
    <w:rsid w:val="00AA6E2D"/>
    <w:rsid w:val="00AA7071"/>
    <w:rsid w:val="00AA7724"/>
    <w:rsid w:val="00AA7EC5"/>
    <w:rsid w:val="00AB0120"/>
    <w:rsid w:val="00AB0535"/>
    <w:rsid w:val="00AB0873"/>
    <w:rsid w:val="00AB12DF"/>
    <w:rsid w:val="00AB14E0"/>
    <w:rsid w:val="00AB210B"/>
    <w:rsid w:val="00AB2211"/>
    <w:rsid w:val="00AB2225"/>
    <w:rsid w:val="00AB3C9B"/>
    <w:rsid w:val="00AB600B"/>
    <w:rsid w:val="00AB659C"/>
    <w:rsid w:val="00AB6732"/>
    <w:rsid w:val="00AB6785"/>
    <w:rsid w:val="00AB72F8"/>
    <w:rsid w:val="00AB7D4C"/>
    <w:rsid w:val="00AB7E3F"/>
    <w:rsid w:val="00AC102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C7907"/>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20AF"/>
    <w:rsid w:val="00AF2528"/>
    <w:rsid w:val="00AF4455"/>
    <w:rsid w:val="00AF46BC"/>
    <w:rsid w:val="00AF4711"/>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2E1"/>
    <w:rsid w:val="00B328CF"/>
    <w:rsid w:val="00B3310C"/>
    <w:rsid w:val="00B33245"/>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8DC"/>
    <w:rsid w:val="00B379BC"/>
    <w:rsid w:val="00B401A8"/>
    <w:rsid w:val="00B40552"/>
    <w:rsid w:val="00B40957"/>
    <w:rsid w:val="00B40A73"/>
    <w:rsid w:val="00B40ABF"/>
    <w:rsid w:val="00B41FCF"/>
    <w:rsid w:val="00B4220F"/>
    <w:rsid w:val="00B42470"/>
    <w:rsid w:val="00B42519"/>
    <w:rsid w:val="00B42904"/>
    <w:rsid w:val="00B42961"/>
    <w:rsid w:val="00B429B3"/>
    <w:rsid w:val="00B42A7E"/>
    <w:rsid w:val="00B42F11"/>
    <w:rsid w:val="00B43165"/>
    <w:rsid w:val="00B436A4"/>
    <w:rsid w:val="00B45151"/>
    <w:rsid w:val="00B457A3"/>
    <w:rsid w:val="00B45AF2"/>
    <w:rsid w:val="00B45E59"/>
    <w:rsid w:val="00B4631C"/>
    <w:rsid w:val="00B4657B"/>
    <w:rsid w:val="00B46B00"/>
    <w:rsid w:val="00B473E7"/>
    <w:rsid w:val="00B475B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78B"/>
    <w:rsid w:val="00B61F09"/>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5CDD"/>
    <w:rsid w:val="00B97708"/>
    <w:rsid w:val="00BA0272"/>
    <w:rsid w:val="00BA07C8"/>
    <w:rsid w:val="00BA0EFC"/>
    <w:rsid w:val="00BA15FF"/>
    <w:rsid w:val="00BA3439"/>
    <w:rsid w:val="00BA35B6"/>
    <w:rsid w:val="00BA382B"/>
    <w:rsid w:val="00BA38D5"/>
    <w:rsid w:val="00BA3979"/>
    <w:rsid w:val="00BA39EC"/>
    <w:rsid w:val="00BA3C4D"/>
    <w:rsid w:val="00BA4314"/>
    <w:rsid w:val="00BA4F7B"/>
    <w:rsid w:val="00BA4F88"/>
    <w:rsid w:val="00BA5072"/>
    <w:rsid w:val="00BA5F66"/>
    <w:rsid w:val="00BA6661"/>
    <w:rsid w:val="00BA6D54"/>
    <w:rsid w:val="00BA6F01"/>
    <w:rsid w:val="00BA6F25"/>
    <w:rsid w:val="00BA6F61"/>
    <w:rsid w:val="00BB0CF6"/>
    <w:rsid w:val="00BB1156"/>
    <w:rsid w:val="00BB188A"/>
    <w:rsid w:val="00BB21E8"/>
    <w:rsid w:val="00BB266E"/>
    <w:rsid w:val="00BB3154"/>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149"/>
    <w:rsid w:val="00BD16DC"/>
    <w:rsid w:val="00BD1817"/>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24A5"/>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385"/>
    <w:rsid w:val="00BF3574"/>
    <w:rsid w:val="00BF388A"/>
    <w:rsid w:val="00BF3D5B"/>
    <w:rsid w:val="00BF3DE1"/>
    <w:rsid w:val="00BF3F95"/>
    <w:rsid w:val="00BF3FE6"/>
    <w:rsid w:val="00BF4532"/>
    <w:rsid w:val="00BF4B41"/>
    <w:rsid w:val="00BF4D0A"/>
    <w:rsid w:val="00BF52F5"/>
    <w:rsid w:val="00BF53B3"/>
    <w:rsid w:val="00BF5545"/>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07F2A"/>
    <w:rsid w:val="00C10903"/>
    <w:rsid w:val="00C10C2C"/>
    <w:rsid w:val="00C10F46"/>
    <w:rsid w:val="00C1175C"/>
    <w:rsid w:val="00C12463"/>
    <w:rsid w:val="00C13117"/>
    <w:rsid w:val="00C13AF1"/>
    <w:rsid w:val="00C13AF8"/>
    <w:rsid w:val="00C13B00"/>
    <w:rsid w:val="00C13D65"/>
    <w:rsid w:val="00C14088"/>
    <w:rsid w:val="00C1475A"/>
    <w:rsid w:val="00C14BC2"/>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6DFD"/>
    <w:rsid w:val="00C270E0"/>
    <w:rsid w:val="00C275C9"/>
    <w:rsid w:val="00C30D6A"/>
    <w:rsid w:val="00C31230"/>
    <w:rsid w:val="00C31258"/>
    <w:rsid w:val="00C32643"/>
    <w:rsid w:val="00C337BB"/>
    <w:rsid w:val="00C33A05"/>
    <w:rsid w:val="00C33A86"/>
    <w:rsid w:val="00C33ADF"/>
    <w:rsid w:val="00C34BE3"/>
    <w:rsid w:val="00C34E89"/>
    <w:rsid w:val="00C358C4"/>
    <w:rsid w:val="00C35B02"/>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1ED8"/>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3B2F"/>
    <w:rsid w:val="00C8402C"/>
    <w:rsid w:val="00C8481D"/>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895"/>
    <w:rsid w:val="00CD391D"/>
    <w:rsid w:val="00CD655F"/>
    <w:rsid w:val="00CD6A64"/>
    <w:rsid w:val="00CD6C7C"/>
    <w:rsid w:val="00CE0A3A"/>
    <w:rsid w:val="00CE16DE"/>
    <w:rsid w:val="00CE17B3"/>
    <w:rsid w:val="00CE1A4A"/>
    <w:rsid w:val="00CE1E25"/>
    <w:rsid w:val="00CE25FD"/>
    <w:rsid w:val="00CE2626"/>
    <w:rsid w:val="00CE321C"/>
    <w:rsid w:val="00CE35EE"/>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0A0"/>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6CBB"/>
    <w:rsid w:val="00D16E86"/>
    <w:rsid w:val="00D17CCF"/>
    <w:rsid w:val="00D17FCD"/>
    <w:rsid w:val="00D20694"/>
    <w:rsid w:val="00D20C49"/>
    <w:rsid w:val="00D20EF1"/>
    <w:rsid w:val="00D216B2"/>
    <w:rsid w:val="00D21762"/>
    <w:rsid w:val="00D21B6A"/>
    <w:rsid w:val="00D21F28"/>
    <w:rsid w:val="00D221B3"/>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1F58"/>
    <w:rsid w:val="00D32617"/>
    <w:rsid w:val="00D32B45"/>
    <w:rsid w:val="00D32B82"/>
    <w:rsid w:val="00D32ED6"/>
    <w:rsid w:val="00D33241"/>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272B"/>
    <w:rsid w:val="00D43140"/>
    <w:rsid w:val="00D437A4"/>
    <w:rsid w:val="00D443DF"/>
    <w:rsid w:val="00D4472E"/>
    <w:rsid w:val="00D449D0"/>
    <w:rsid w:val="00D44BA8"/>
    <w:rsid w:val="00D45325"/>
    <w:rsid w:val="00D453CB"/>
    <w:rsid w:val="00D45FDE"/>
    <w:rsid w:val="00D46059"/>
    <w:rsid w:val="00D4734A"/>
    <w:rsid w:val="00D4755B"/>
    <w:rsid w:val="00D47779"/>
    <w:rsid w:val="00D47ADB"/>
    <w:rsid w:val="00D50148"/>
    <w:rsid w:val="00D502EE"/>
    <w:rsid w:val="00D50B2A"/>
    <w:rsid w:val="00D51175"/>
    <w:rsid w:val="00D51CA8"/>
    <w:rsid w:val="00D51FF3"/>
    <w:rsid w:val="00D5219E"/>
    <w:rsid w:val="00D52B5D"/>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28A"/>
    <w:rsid w:val="00D63A42"/>
    <w:rsid w:val="00D63E3C"/>
    <w:rsid w:val="00D641C7"/>
    <w:rsid w:val="00D646D3"/>
    <w:rsid w:val="00D64AF2"/>
    <w:rsid w:val="00D64E04"/>
    <w:rsid w:val="00D64EA1"/>
    <w:rsid w:val="00D65A3C"/>
    <w:rsid w:val="00D66097"/>
    <w:rsid w:val="00D66929"/>
    <w:rsid w:val="00D66B58"/>
    <w:rsid w:val="00D679A7"/>
    <w:rsid w:val="00D67F65"/>
    <w:rsid w:val="00D7229B"/>
    <w:rsid w:val="00D727ED"/>
    <w:rsid w:val="00D7336C"/>
    <w:rsid w:val="00D736E8"/>
    <w:rsid w:val="00D7386B"/>
    <w:rsid w:val="00D7489A"/>
    <w:rsid w:val="00D74C4E"/>
    <w:rsid w:val="00D74E9A"/>
    <w:rsid w:val="00D75306"/>
    <w:rsid w:val="00D755FC"/>
    <w:rsid w:val="00D757A2"/>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03B"/>
    <w:rsid w:val="00D9297C"/>
    <w:rsid w:val="00D92FC2"/>
    <w:rsid w:val="00D93113"/>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6455"/>
    <w:rsid w:val="00D97208"/>
    <w:rsid w:val="00D973C6"/>
    <w:rsid w:val="00D977C6"/>
    <w:rsid w:val="00DA085E"/>
    <w:rsid w:val="00DA114E"/>
    <w:rsid w:val="00DA1156"/>
    <w:rsid w:val="00DA186C"/>
    <w:rsid w:val="00DA1E19"/>
    <w:rsid w:val="00DA1E67"/>
    <w:rsid w:val="00DA2290"/>
    <w:rsid w:val="00DA2B0C"/>
    <w:rsid w:val="00DA3128"/>
    <w:rsid w:val="00DA37E2"/>
    <w:rsid w:val="00DA43FB"/>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285C"/>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ADE"/>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E25"/>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2AE1"/>
    <w:rsid w:val="00DE2D2D"/>
    <w:rsid w:val="00DE32FC"/>
    <w:rsid w:val="00DE51B5"/>
    <w:rsid w:val="00DE53F0"/>
    <w:rsid w:val="00DE592E"/>
    <w:rsid w:val="00DE5B82"/>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48"/>
    <w:rsid w:val="00E100DE"/>
    <w:rsid w:val="00E10AC9"/>
    <w:rsid w:val="00E10E53"/>
    <w:rsid w:val="00E113A0"/>
    <w:rsid w:val="00E11EC6"/>
    <w:rsid w:val="00E126FA"/>
    <w:rsid w:val="00E12C24"/>
    <w:rsid w:val="00E12D7B"/>
    <w:rsid w:val="00E134F8"/>
    <w:rsid w:val="00E13CD3"/>
    <w:rsid w:val="00E14518"/>
    <w:rsid w:val="00E145BC"/>
    <w:rsid w:val="00E14FAC"/>
    <w:rsid w:val="00E1575C"/>
    <w:rsid w:val="00E157FD"/>
    <w:rsid w:val="00E15D9B"/>
    <w:rsid w:val="00E16D73"/>
    <w:rsid w:val="00E17ACE"/>
    <w:rsid w:val="00E17B85"/>
    <w:rsid w:val="00E17E3C"/>
    <w:rsid w:val="00E20B5C"/>
    <w:rsid w:val="00E20B5F"/>
    <w:rsid w:val="00E21FD4"/>
    <w:rsid w:val="00E22FDB"/>
    <w:rsid w:val="00E23B98"/>
    <w:rsid w:val="00E245C8"/>
    <w:rsid w:val="00E2462D"/>
    <w:rsid w:val="00E26E10"/>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FBC"/>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2DF"/>
    <w:rsid w:val="00E5230D"/>
    <w:rsid w:val="00E5330B"/>
    <w:rsid w:val="00E53445"/>
    <w:rsid w:val="00E53A11"/>
    <w:rsid w:val="00E54FCF"/>
    <w:rsid w:val="00E55247"/>
    <w:rsid w:val="00E55375"/>
    <w:rsid w:val="00E5549E"/>
    <w:rsid w:val="00E55B76"/>
    <w:rsid w:val="00E561E6"/>
    <w:rsid w:val="00E5642B"/>
    <w:rsid w:val="00E564DE"/>
    <w:rsid w:val="00E56798"/>
    <w:rsid w:val="00E570DD"/>
    <w:rsid w:val="00E57625"/>
    <w:rsid w:val="00E57B65"/>
    <w:rsid w:val="00E57D48"/>
    <w:rsid w:val="00E60523"/>
    <w:rsid w:val="00E60EED"/>
    <w:rsid w:val="00E610CF"/>
    <w:rsid w:val="00E6136A"/>
    <w:rsid w:val="00E616F5"/>
    <w:rsid w:val="00E617BA"/>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70695"/>
    <w:rsid w:val="00E70E20"/>
    <w:rsid w:val="00E71AF4"/>
    <w:rsid w:val="00E71EDA"/>
    <w:rsid w:val="00E71F0B"/>
    <w:rsid w:val="00E7263F"/>
    <w:rsid w:val="00E726FE"/>
    <w:rsid w:val="00E73B25"/>
    <w:rsid w:val="00E74353"/>
    <w:rsid w:val="00E74787"/>
    <w:rsid w:val="00E74E5F"/>
    <w:rsid w:val="00E750DA"/>
    <w:rsid w:val="00E753D1"/>
    <w:rsid w:val="00E75B53"/>
    <w:rsid w:val="00E75DE0"/>
    <w:rsid w:val="00E769DA"/>
    <w:rsid w:val="00E76F22"/>
    <w:rsid w:val="00E7715E"/>
    <w:rsid w:val="00E77E5C"/>
    <w:rsid w:val="00E77F90"/>
    <w:rsid w:val="00E80358"/>
    <w:rsid w:val="00E808FC"/>
    <w:rsid w:val="00E80A4E"/>
    <w:rsid w:val="00E80D27"/>
    <w:rsid w:val="00E823A1"/>
    <w:rsid w:val="00E828ED"/>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7D9"/>
    <w:rsid w:val="00EB5AFC"/>
    <w:rsid w:val="00EB60B2"/>
    <w:rsid w:val="00EB69A2"/>
    <w:rsid w:val="00EB7237"/>
    <w:rsid w:val="00EC08D6"/>
    <w:rsid w:val="00EC0D63"/>
    <w:rsid w:val="00EC1393"/>
    <w:rsid w:val="00EC16EF"/>
    <w:rsid w:val="00EC2038"/>
    <w:rsid w:val="00EC2765"/>
    <w:rsid w:val="00EC3A33"/>
    <w:rsid w:val="00EC3EB8"/>
    <w:rsid w:val="00EC4051"/>
    <w:rsid w:val="00EC410E"/>
    <w:rsid w:val="00EC4643"/>
    <w:rsid w:val="00EC46A5"/>
    <w:rsid w:val="00EC4FC4"/>
    <w:rsid w:val="00EC5391"/>
    <w:rsid w:val="00EC55AC"/>
    <w:rsid w:val="00EC5D77"/>
    <w:rsid w:val="00EC7449"/>
    <w:rsid w:val="00EC79B1"/>
    <w:rsid w:val="00EC79DF"/>
    <w:rsid w:val="00EC7AEA"/>
    <w:rsid w:val="00EC7D77"/>
    <w:rsid w:val="00ED0A4B"/>
    <w:rsid w:val="00ED1288"/>
    <w:rsid w:val="00ED129D"/>
    <w:rsid w:val="00ED1771"/>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B65"/>
    <w:rsid w:val="00EE0BEB"/>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2A48"/>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1FC5"/>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F6B"/>
    <w:rsid w:val="00F16241"/>
    <w:rsid w:val="00F16F43"/>
    <w:rsid w:val="00F17B84"/>
    <w:rsid w:val="00F17E67"/>
    <w:rsid w:val="00F20FBF"/>
    <w:rsid w:val="00F214E1"/>
    <w:rsid w:val="00F21A19"/>
    <w:rsid w:val="00F22088"/>
    <w:rsid w:val="00F22166"/>
    <w:rsid w:val="00F22393"/>
    <w:rsid w:val="00F25376"/>
    <w:rsid w:val="00F261B4"/>
    <w:rsid w:val="00F2647A"/>
    <w:rsid w:val="00F26544"/>
    <w:rsid w:val="00F26D7B"/>
    <w:rsid w:val="00F2776F"/>
    <w:rsid w:val="00F27DAF"/>
    <w:rsid w:val="00F30800"/>
    <w:rsid w:val="00F31117"/>
    <w:rsid w:val="00F32037"/>
    <w:rsid w:val="00F3326B"/>
    <w:rsid w:val="00F3434F"/>
    <w:rsid w:val="00F34536"/>
    <w:rsid w:val="00F345DF"/>
    <w:rsid w:val="00F34D95"/>
    <w:rsid w:val="00F3591B"/>
    <w:rsid w:val="00F359C8"/>
    <w:rsid w:val="00F37886"/>
    <w:rsid w:val="00F37D27"/>
    <w:rsid w:val="00F409C6"/>
    <w:rsid w:val="00F40B5C"/>
    <w:rsid w:val="00F40DD6"/>
    <w:rsid w:val="00F41D48"/>
    <w:rsid w:val="00F428C3"/>
    <w:rsid w:val="00F42DBC"/>
    <w:rsid w:val="00F42F44"/>
    <w:rsid w:val="00F45BDB"/>
    <w:rsid w:val="00F45F59"/>
    <w:rsid w:val="00F4606D"/>
    <w:rsid w:val="00F46C1D"/>
    <w:rsid w:val="00F46C54"/>
    <w:rsid w:val="00F46EBE"/>
    <w:rsid w:val="00F4701F"/>
    <w:rsid w:val="00F474B7"/>
    <w:rsid w:val="00F47B0E"/>
    <w:rsid w:val="00F47EEC"/>
    <w:rsid w:val="00F47F89"/>
    <w:rsid w:val="00F513FC"/>
    <w:rsid w:val="00F517F7"/>
    <w:rsid w:val="00F51821"/>
    <w:rsid w:val="00F5215D"/>
    <w:rsid w:val="00F533E7"/>
    <w:rsid w:val="00F5454C"/>
    <w:rsid w:val="00F552CE"/>
    <w:rsid w:val="00F5575B"/>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6467"/>
    <w:rsid w:val="00F77142"/>
    <w:rsid w:val="00F77F4A"/>
    <w:rsid w:val="00F80161"/>
    <w:rsid w:val="00F801BE"/>
    <w:rsid w:val="00F80503"/>
    <w:rsid w:val="00F80AB9"/>
    <w:rsid w:val="00F81E21"/>
    <w:rsid w:val="00F825A9"/>
    <w:rsid w:val="00F82A35"/>
    <w:rsid w:val="00F8323B"/>
    <w:rsid w:val="00F8427F"/>
    <w:rsid w:val="00F8473F"/>
    <w:rsid w:val="00F84AE1"/>
    <w:rsid w:val="00F84F39"/>
    <w:rsid w:val="00F85018"/>
    <w:rsid w:val="00F851C7"/>
    <w:rsid w:val="00F85926"/>
    <w:rsid w:val="00F85EDF"/>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B4D"/>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048"/>
    <w:rsid w:val="00FA497B"/>
    <w:rsid w:val="00FA4EA3"/>
    <w:rsid w:val="00FA4FB9"/>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B7BB9"/>
    <w:rsid w:val="00FB7D2F"/>
    <w:rsid w:val="00FC00B2"/>
    <w:rsid w:val="00FC0387"/>
    <w:rsid w:val="00FC05DF"/>
    <w:rsid w:val="00FC0869"/>
    <w:rsid w:val="00FC08AD"/>
    <w:rsid w:val="00FC0FC1"/>
    <w:rsid w:val="00FC17C7"/>
    <w:rsid w:val="00FC2304"/>
    <w:rsid w:val="00FC2408"/>
    <w:rsid w:val="00FC25EA"/>
    <w:rsid w:val="00FC2F3D"/>
    <w:rsid w:val="00FC3936"/>
    <w:rsid w:val="00FC3BD2"/>
    <w:rsid w:val="00FC3E4E"/>
    <w:rsid w:val="00FC4212"/>
    <w:rsid w:val="00FC4C0F"/>
    <w:rsid w:val="00FC5607"/>
    <w:rsid w:val="00FC67C5"/>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164"/>
    <w:rsid w:val="00FD7246"/>
    <w:rsid w:val="00FD7A82"/>
    <w:rsid w:val="00FE0266"/>
    <w:rsid w:val="00FE0289"/>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5E48"/>
    <w:rsid w:val="00FE61F3"/>
    <w:rsid w:val="00FE69C0"/>
    <w:rsid w:val="00FE7DB8"/>
    <w:rsid w:val="00FE7F43"/>
    <w:rsid w:val="00FF0AD1"/>
    <w:rsid w:val="00FF161E"/>
    <w:rsid w:val="00FF2BEF"/>
    <w:rsid w:val="00FF2CE7"/>
    <w:rsid w:val="00FF2DEE"/>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0F0039"/>
    <w:rsid w:val="01191F36"/>
    <w:rsid w:val="011F7B62"/>
    <w:rsid w:val="01206951"/>
    <w:rsid w:val="01233A9E"/>
    <w:rsid w:val="013E61E2"/>
    <w:rsid w:val="014A3244"/>
    <w:rsid w:val="014C12F6"/>
    <w:rsid w:val="01817745"/>
    <w:rsid w:val="01A15623"/>
    <w:rsid w:val="01A51AFF"/>
    <w:rsid w:val="01B95421"/>
    <w:rsid w:val="01C61F4A"/>
    <w:rsid w:val="01DE1773"/>
    <w:rsid w:val="01F6575D"/>
    <w:rsid w:val="0201354E"/>
    <w:rsid w:val="020411DA"/>
    <w:rsid w:val="02096ACA"/>
    <w:rsid w:val="020A2D30"/>
    <w:rsid w:val="020B1354"/>
    <w:rsid w:val="025A55E9"/>
    <w:rsid w:val="027068C8"/>
    <w:rsid w:val="0281574F"/>
    <w:rsid w:val="029442A4"/>
    <w:rsid w:val="0299335E"/>
    <w:rsid w:val="02A23766"/>
    <w:rsid w:val="02BC63B4"/>
    <w:rsid w:val="02C42545"/>
    <w:rsid w:val="02C76C9E"/>
    <w:rsid w:val="02D0730E"/>
    <w:rsid w:val="02F474A0"/>
    <w:rsid w:val="0309493D"/>
    <w:rsid w:val="0317318F"/>
    <w:rsid w:val="03253AFD"/>
    <w:rsid w:val="034D12D4"/>
    <w:rsid w:val="0355266C"/>
    <w:rsid w:val="035C2662"/>
    <w:rsid w:val="03637FE7"/>
    <w:rsid w:val="038908E7"/>
    <w:rsid w:val="038B058F"/>
    <w:rsid w:val="038D16A3"/>
    <w:rsid w:val="03A0200F"/>
    <w:rsid w:val="03A97929"/>
    <w:rsid w:val="03AF786B"/>
    <w:rsid w:val="03B66504"/>
    <w:rsid w:val="03C32A6F"/>
    <w:rsid w:val="03C96AC4"/>
    <w:rsid w:val="03CE20DF"/>
    <w:rsid w:val="03D4213D"/>
    <w:rsid w:val="03D57B0C"/>
    <w:rsid w:val="03E05C76"/>
    <w:rsid w:val="03EA1389"/>
    <w:rsid w:val="03F564A4"/>
    <w:rsid w:val="03FB034A"/>
    <w:rsid w:val="040E0780"/>
    <w:rsid w:val="04155009"/>
    <w:rsid w:val="04210376"/>
    <w:rsid w:val="04325AFE"/>
    <w:rsid w:val="04342EFB"/>
    <w:rsid w:val="0441188B"/>
    <w:rsid w:val="04441D61"/>
    <w:rsid w:val="0477625D"/>
    <w:rsid w:val="04791AC8"/>
    <w:rsid w:val="047A6254"/>
    <w:rsid w:val="04BA415C"/>
    <w:rsid w:val="04C42EA2"/>
    <w:rsid w:val="04D0480D"/>
    <w:rsid w:val="04D34B21"/>
    <w:rsid w:val="04DD1182"/>
    <w:rsid w:val="04E366BD"/>
    <w:rsid w:val="04EF2321"/>
    <w:rsid w:val="04F10A9B"/>
    <w:rsid w:val="04F40045"/>
    <w:rsid w:val="04F65546"/>
    <w:rsid w:val="0515460A"/>
    <w:rsid w:val="052D5B16"/>
    <w:rsid w:val="052E6A0B"/>
    <w:rsid w:val="053E0EA6"/>
    <w:rsid w:val="053F6840"/>
    <w:rsid w:val="05466333"/>
    <w:rsid w:val="054A0438"/>
    <w:rsid w:val="05504736"/>
    <w:rsid w:val="05656DAB"/>
    <w:rsid w:val="056D0544"/>
    <w:rsid w:val="056D52E8"/>
    <w:rsid w:val="05926CA5"/>
    <w:rsid w:val="059E0622"/>
    <w:rsid w:val="059E5DA2"/>
    <w:rsid w:val="05AF1E82"/>
    <w:rsid w:val="05D050F7"/>
    <w:rsid w:val="05E861F6"/>
    <w:rsid w:val="05F9584F"/>
    <w:rsid w:val="05F9607E"/>
    <w:rsid w:val="060774EA"/>
    <w:rsid w:val="064E339A"/>
    <w:rsid w:val="065C0A2B"/>
    <w:rsid w:val="066808F1"/>
    <w:rsid w:val="06701C84"/>
    <w:rsid w:val="067A5145"/>
    <w:rsid w:val="068D6A93"/>
    <w:rsid w:val="06961F1C"/>
    <w:rsid w:val="069E6AB1"/>
    <w:rsid w:val="06A26061"/>
    <w:rsid w:val="06AC3BB6"/>
    <w:rsid w:val="06C01410"/>
    <w:rsid w:val="06CE7668"/>
    <w:rsid w:val="06E25B52"/>
    <w:rsid w:val="06E83923"/>
    <w:rsid w:val="06EE049D"/>
    <w:rsid w:val="07023F74"/>
    <w:rsid w:val="07035F04"/>
    <w:rsid w:val="070B300A"/>
    <w:rsid w:val="07127B54"/>
    <w:rsid w:val="071E447F"/>
    <w:rsid w:val="072D2162"/>
    <w:rsid w:val="073518D0"/>
    <w:rsid w:val="07354BC2"/>
    <w:rsid w:val="073D264F"/>
    <w:rsid w:val="07442036"/>
    <w:rsid w:val="0751715A"/>
    <w:rsid w:val="07697D31"/>
    <w:rsid w:val="07877324"/>
    <w:rsid w:val="07A622C0"/>
    <w:rsid w:val="07CD4764"/>
    <w:rsid w:val="07CD7297"/>
    <w:rsid w:val="07CD7AE7"/>
    <w:rsid w:val="07DB284B"/>
    <w:rsid w:val="07F14280"/>
    <w:rsid w:val="07F4584C"/>
    <w:rsid w:val="07F631D1"/>
    <w:rsid w:val="08007A98"/>
    <w:rsid w:val="080C2B15"/>
    <w:rsid w:val="080D1067"/>
    <w:rsid w:val="08115843"/>
    <w:rsid w:val="08144946"/>
    <w:rsid w:val="082E0264"/>
    <w:rsid w:val="082F0EA2"/>
    <w:rsid w:val="08381BDD"/>
    <w:rsid w:val="084E687B"/>
    <w:rsid w:val="08615546"/>
    <w:rsid w:val="08A308B0"/>
    <w:rsid w:val="08B05320"/>
    <w:rsid w:val="08DE04B9"/>
    <w:rsid w:val="08E9597F"/>
    <w:rsid w:val="08F900D1"/>
    <w:rsid w:val="093B5229"/>
    <w:rsid w:val="09442803"/>
    <w:rsid w:val="094F7CEB"/>
    <w:rsid w:val="09540E06"/>
    <w:rsid w:val="095F28AF"/>
    <w:rsid w:val="0969226A"/>
    <w:rsid w:val="09696FDD"/>
    <w:rsid w:val="096A10D1"/>
    <w:rsid w:val="096C5C89"/>
    <w:rsid w:val="09771A8A"/>
    <w:rsid w:val="097A7E27"/>
    <w:rsid w:val="097D53C0"/>
    <w:rsid w:val="09813EE4"/>
    <w:rsid w:val="099260C1"/>
    <w:rsid w:val="09942DE2"/>
    <w:rsid w:val="099641FA"/>
    <w:rsid w:val="09A17C7A"/>
    <w:rsid w:val="09A54C50"/>
    <w:rsid w:val="09B21E0F"/>
    <w:rsid w:val="09B62C78"/>
    <w:rsid w:val="09BC6028"/>
    <w:rsid w:val="09DD448E"/>
    <w:rsid w:val="09DD6A43"/>
    <w:rsid w:val="09F47D86"/>
    <w:rsid w:val="09FD0A32"/>
    <w:rsid w:val="0A5A5EB7"/>
    <w:rsid w:val="0A6A0048"/>
    <w:rsid w:val="0A6F3443"/>
    <w:rsid w:val="0AAE469B"/>
    <w:rsid w:val="0AB17925"/>
    <w:rsid w:val="0AB51B2D"/>
    <w:rsid w:val="0AF11226"/>
    <w:rsid w:val="0AFA33CD"/>
    <w:rsid w:val="0AFE2BF5"/>
    <w:rsid w:val="0B104CB8"/>
    <w:rsid w:val="0B141325"/>
    <w:rsid w:val="0B1D50BA"/>
    <w:rsid w:val="0B325F44"/>
    <w:rsid w:val="0B380146"/>
    <w:rsid w:val="0B471BC9"/>
    <w:rsid w:val="0B6866EB"/>
    <w:rsid w:val="0B6A3512"/>
    <w:rsid w:val="0B70176F"/>
    <w:rsid w:val="0B7071B5"/>
    <w:rsid w:val="0B710869"/>
    <w:rsid w:val="0B7D7863"/>
    <w:rsid w:val="0B896BF3"/>
    <w:rsid w:val="0B8D5C35"/>
    <w:rsid w:val="0B973201"/>
    <w:rsid w:val="0B99608D"/>
    <w:rsid w:val="0B9A481D"/>
    <w:rsid w:val="0BA80839"/>
    <w:rsid w:val="0BA8707A"/>
    <w:rsid w:val="0BCA3D41"/>
    <w:rsid w:val="0BCC1983"/>
    <w:rsid w:val="0BFE6C9A"/>
    <w:rsid w:val="0C1B4959"/>
    <w:rsid w:val="0C2057FC"/>
    <w:rsid w:val="0C2B1A59"/>
    <w:rsid w:val="0C2D66FE"/>
    <w:rsid w:val="0C5C6E0A"/>
    <w:rsid w:val="0C616454"/>
    <w:rsid w:val="0C6311F3"/>
    <w:rsid w:val="0C6A2581"/>
    <w:rsid w:val="0C7A707B"/>
    <w:rsid w:val="0C864E88"/>
    <w:rsid w:val="0C8C7B9F"/>
    <w:rsid w:val="0C9F32E0"/>
    <w:rsid w:val="0CA62E5A"/>
    <w:rsid w:val="0CB43017"/>
    <w:rsid w:val="0CD01BF1"/>
    <w:rsid w:val="0CD32AA0"/>
    <w:rsid w:val="0CE00A95"/>
    <w:rsid w:val="0CE41E67"/>
    <w:rsid w:val="0D0829B9"/>
    <w:rsid w:val="0D0B44B5"/>
    <w:rsid w:val="0D0B5B12"/>
    <w:rsid w:val="0D274BD7"/>
    <w:rsid w:val="0D2F16D9"/>
    <w:rsid w:val="0D3E33CC"/>
    <w:rsid w:val="0D5745CD"/>
    <w:rsid w:val="0D575B85"/>
    <w:rsid w:val="0D5F1A08"/>
    <w:rsid w:val="0D607B2A"/>
    <w:rsid w:val="0D6D6BAD"/>
    <w:rsid w:val="0D71332C"/>
    <w:rsid w:val="0D7E21C9"/>
    <w:rsid w:val="0D7F60CB"/>
    <w:rsid w:val="0D885EF1"/>
    <w:rsid w:val="0DA66213"/>
    <w:rsid w:val="0DAF0AF5"/>
    <w:rsid w:val="0DB262A6"/>
    <w:rsid w:val="0DDA7804"/>
    <w:rsid w:val="0DDF342E"/>
    <w:rsid w:val="0DDF7C6E"/>
    <w:rsid w:val="0DE545B5"/>
    <w:rsid w:val="0DF20370"/>
    <w:rsid w:val="0DF317F5"/>
    <w:rsid w:val="0DF41725"/>
    <w:rsid w:val="0DF96E8C"/>
    <w:rsid w:val="0DFA5B87"/>
    <w:rsid w:val="0DFB22B0"/>
    <w:rsid w:val="0E1D2CA7"/>
    <w:rsid w:val="0E407A20"/>
    <w:rsid w:val="0E4571B4"/>
    <w:rsid w:val="0E513A96"/>
    <w:rsid w:val="0E7D649F"/>
    <w:rsid w:val="0E824CB1"/>
    <w:rsid w:val="0E893E01"/>
    <w:rsid w:val="0ED9579C"/>
    <w:rsid w:val="0EE02F34"/>
    <w:rsid w:val="0EE3661B"/>
    <w:rsid w:val="0EEC09FC"/>
    <w:rsid w:val="0EEC37BE"/>
    <w:rsid w:val="0F22624D"/>
    <w:rsid w:val="0F266431"/>
    <w:rsid w:val="0F2F2DC0"/>
    <w:rsid w:val="0F310D19"/>
    <w:rsid w:val="0F5A309E"/>
    <w:rsid w:val="0F661DB2"/>
    <w:rsid w:val="0F681CBF"/>
    <w:rsid w:val="0F713BBB"/>
    <w:rsid w:val="0F79431E"/>
    <w:rsid w:val="0F961353"/>
    <w:rsid w:val="0FA947DF"/>
    <w:rsid w:val="0FBB12C8"/>
    <w:rsid w:val="0FC56ADA"/>
    <w:rsid w:val="0FCE1079"/>
    <w:rsid w:val="0FD05B7C"/>
    <w:rsid w:val="0FE26F7E"/>
    <w:rsid w:val="0FF86998"/>
    <w:rsid w:val="0FFB69DA"/>
    <w:rsid w:val="103678B6"/>
    <w:rsid w:val="104135F9"/>
    <w:rsid w:val="1047419A"/>
    <w:rsid w:val="104D2298"/>
    <w:rsid w:val="10523A58"/>
    <w:rsid w:val="105E23FD"/>
    <w:rsid w:val="10767F12"/>
    <w:rsid w:val="107C6D27"/>
    <w:rsid w:val="108A3181"/>
    <w:rsid w:val="10913124"/>
    <w:rsid w:val="10933928"/>
    <w:rsid w:val="10E053CE"/>
    <w:rsid w:val="10EB16B2"/>
    <w:rsid w:val="10F845FF"/>
    <w:rsid w:val="1122342A"/>
    <w:rsid w:val="112E177F"/>
    <w:rsid w:val="1142181E"/>
    <w:rsid w:val="11432C2F"/>
    <w:rsid w:val="115227E8"/>
    <w:rsid w:val="11542A66"/>
    <w:rsid w:val="115A4A6C"/>
    <w:rsid w:val="1178129C"/>
    <w:rsid w:val="1194007A"/>
    <w:rsid w:val="11C27806"/>
    <w:rsid w:val="11CF6EDA"/>
    <w:rsid w:val="11D57FF6"/>
    <w:rsid w:val="11EC0DBF"/>
    <w:rsid w:val="11EF5B10"/>
    <w:rsid w:val="12003074"/>
    <w:rsid w:val="12042B6A"/>
    <w:rsid w:val="12235073"/>
    <w:rsid w:val="12812622"/>
    <w:rsid w:val="128D0ACD"/>
    <w:rsid w:val="12934B57"/>
    <w:rsid w:val="12B97E85"/>
    <w:rsid w:val="12C309F3"/>
    <w:rsid w:val="12C72DC2"/>
    <w:rsid w:val="12D8511A"/>
    <w:rsid w:val="12E02111"/>
    <w:rsid w:val="13065B54"/>
    <w:rsid w:val="13137C25"/>
    <w:rsid w:val="131948E0"/>
    <w:rsid w:val="13293784"/>
    <w:rsid w:val="132E413C"/>
    <w:rsid w:val="13326301"/>
    <w:rsid w:val="134B49D1"/>
    <w:rsid w:val="13774559"/>
    <w:rsid w:val="13893C35"/>
    <w:rsid w:val="13A07D1C"/>
    <w:rsid w:val="13A32D25"/>
    <w:rsid w:val="13AA6C7A"/>
    <w:rsid w:val="13AF12D1"/>
    <w:rsid w:val="13B000A5"/>
    <w:rsid w:val="13DB77D7"/>
    <w:rsid w:val="13E77135"/>
    <w:rsid w:val="13EC1D0D"/>
    <w:rsid w:val="14101EC3"/>
    <w:rsid w:val="141E0D7D"/>
    <w:rsid w:val="141E3DEE"/>
    <w:rsid w:val="141E6E3D"/>
    <w:rsid w:val="14456A4E"/>
    <w:rsid w:val="144E2788"/>
    <w:rsid w:val="14506500"/>
    <w:rsid w:val="145A45EF"/>
    <w:rsid w:val="146A774B"/>
    <w:rsid w:val="146B5DFA"/>
    <w:rsid w:val="146E33A4"/>
    <w:rsid w:val="146E5330"/>
    <w:rsid w:val="14833540"/>
    <w:rsid w:val="14887B0E"/>
    <w:rsid w:val="14C06783"/>
    <w:rsid w:val="14C62B70"/>
    <w:rsid w:val="14E145A4"/>
    <w:rsid w:val="14E20675"/>
    <w:rsid w:val="15082937"/>
    <w:rsid w:val="151D2E85"/>
    <w:rsid w:val="152315CE"/>
    <w:rsid w:val="15267261"/>
    <w:rsid w:val="152D10E6"/>
    <w:rsid w:val="152F0F1A"/>
    <w:rsid w:val="153F5899"/>
    <w:rsid w:val="15451232"/>
    <w:rsid w:val="15580C67"/>
    <w:rsid w:val="15757AA7"/>
    <w:rsid w:val="157F4238"/>
    <w:rsid w:val="159031C0"/>
    <w:rsid w:val="15942E62"/>
    <w:rsid w:val="159E0EE4"/>
    <w:rsid w:val="15A37579"/>
    <w:rsid w:val="15B8776F"/>
    <w:rsid w:val="15DC403B"/>
    <w:rsid w:val="16013F56"/>
    <w:rsid w:val="16027198"/>
    <w:rsid w:val="161F0F67"/>
    <w:rsid w:val="16297AD3"/>
    <w:rsid w:val="162E0A16"/>
    <w:rsid w:val="162F0CF2"/>
    <w:rsid w:val="16544FDF"/>
    <w:rsid w:val="1657769F"/>
    <w:rsid w:val="166D693B"/>
    <w:rsid w:val="167639EE"/>
    <w:rsid w:val="168E0F95"/>
    <w:rsid w:val="16987D08"/>
    <w:rsid w:val="169A3A63"/>
    <w:rsid w:val="16B3261E"/>
    <w:rsid w:val="16B67CFA"/>
    <w:rsid w:val="16C06700"/>
    <w:rsid w:val="16C805D0"/>
    <w:rsid w:val="16DD46D9"/>
    <w:rsid w:val="16E41421"/>
    <w:rsid w:val="16F64A51"/>
    <w:rsid w:val="170B78A1"/>
    <w:rsid w:val="1712563F"/>
    <w:rsid w:val="17160280"/>
    <w:rsid w:val="171E4694"/>
    <w:rsid w:val="173B45EA"/>
    <w:rsid w:val="174531B1"/>
    <w:rsid w:val="1754276F"/>
    <w:rsid w:val="176A5B87"/>
    <w:rsid w:val="178E2C93"/>
    <w:rsid w:val="17A02F74"/>
    <w:rsid w:val="17A1048B"/>
    <w:rsid w:val="17A64703"/>
    <w:rsid w:val="17B44FF8"/>
    <w:rsid w:val="17C074DF"/>
    <w:rsid w:val="17D430F8"/>
    <w:rsid w:val="17D5219E"/>
    <w:rsid w:val="17DE3E23"/>
    <w:rsid w:val="17F0148A"/>
    <w:rsid w:val="17F10988"/>
    <w:rsid w:val="17F453F5"/>
    <w:rsid w:val="18037914"/>
    <w:rsid w:val="180B10BC"/>
    <w:rsid w:val="18420450"/>
    <w:rsid w:val="185A45B4"/>
    <w:rsid w:val="18624A54"/>
    <w:rsid w:val="186C2248"/>
    <w:rsid w:val="186D4B9E"/>
    <w:rsid w:val="187C204F"/>
    <w:rsid w:val="189F6713"/>
    <w:rsid w:val="18A60DE5"/>
    <w:rsid w:val="18AE37F5"/>
    <w:rsid w:val="18B2121B"/>
    <w:rsid w:val="18C330E8"/>
    <w:rsid w:val="18CE2543"/>
    <w:rsid w:val="18DA45EA"/>
    <w:rsid w:val="18E436BB"/>
    <w:rsid w:val="1906338F"/>
    <w:rsid w:val="1925275C"/>
    <w:rsid w:val="1951214F"/>
    <w:rsid w:val="195A7AFF"/>
    <w:rsid w:val="195F03D1"/>
    <w:rsid w:val="19716115"/>
    <w:rsid w:val="197936A8"/>
    <w:rsid w:val="197B27AB"/>
    <w:rsid w:val="19853DFD"/>
    <w:rsid w:val="198B0A33"/>
    <w:rsid w:val="199667E3"/>
    <w:rsid w:val="19A52E4A"/>
    <w:rsid w:val="19A73E3E"/>
    <w:rsid w:val="19B63D32"/>
    <w:rsid w:val="19BD0F03"/>
    <w:rsid w:val="19C07FF8"/>
    <w:rsid w:val="19D058C4"/>
    <w:rsid w:val="19D90D46"/>
    <w:rsid w:val="19F53DD2"/>
    <w:rsid w:val="19FD139D"/>
    <w:rsid w:val="1A03730E"/>
    <w:rsid w:val="1A153EBF"/>
    <w:rsid w:val="1A1A5FA4"/>
    <w:rsid w:val="1A2E4342"/>
    <w:rsid w:val="1A306299"/>
    <w:rsid w:val="1A3503C3"/>
    <w:rsid w:val="1A381F10"/>
    <w:rsid w:val="1A43550A"/>
    <w:rsid w:val="1A442A9A"/>
    <w:rsid w:val="1A4E6FE1"/>
    <w:rsid w:val="1A536646"/>
    <w:rsid w:val="1A7D4CCC"/>
    <w:rsid w:val="1A857EC7"/>
    <w:rsid w:val="1A886D44"/>
    <w:rsid w:val="1A8E6CD5"/>
    <w:rsid w:val="1A9452B0"/>
    <w:rsid w:val="1A986C8A"/>
    <w:rsid w:val="1AA93651"/>
    <w:rsid w:val="1AB84712"/>
    <w:rsid w:val="1ACF0A1D"/>
    <w:rsid w:val="1ACF3752"/>
    <w:rsid w:val="1AD86012"/>
    <w:rsid w:val="1AE03D00"/>
    <w:rsid w:val="1AE9346B"/>
    <w:rsid w:val="1AED56D7"/>
    <w:rsid w:val="1AED79C0"/>
    <w:rsid w:val="1AF9277B"/>
    <w:rsid w:val="1AFD4AED"/>
    <w:rsid w:val="1B283D33"/>
    <w:rsid w:val="1B3F2E2B"/>
    <w:rsid w:val="1B476529"/>
    <w:rsid w:val="1B5763C6"/>
    <w:rsid w:val="1B6212E1"/>
    <w:rsid w:val="1B77204D"/>
    <w:rsid w:val="1B857BD8"/>
    <w:rsid w:val="1B862850"/>
    <w:rsid w:val="1B880C28"/>
    <w:rsid w:val="1B8C1890"/>
    <w:rsid w:val="1B9112D4"/>
    <w:rsid w:val="1BC349DE"/>
    <w:rsid w:val="1BCA0D19"/>
    <w:rsid w:val="1BE37983"/>
    <w:rsid w:val="1BED057F"/>
    <w:rsid w:val="1BF072BC"/>
    <w:rsid w:val="1BF442EC"/>
    <w:rsid w:val="1C00752B"/>
    <w:rsid w:val="1C2C7853"/>
    <w:rsid w:val="1C3F7FA6"/>
    <w:rsid w:val="1C5D7A93"/>
    <w:rsid w:val="1C673203"/>
    <w:rsid w:val="1C747EF9"/>
    <w:rsid w:val="1C813E89"/>
    <w:rsid w:val="1C844B5B"/>
    <w:rsid w:val="1C86668C"/>
    <w:rsid w:val="1C8C0794"/>
    <w:rsid w:val="1C911356"/>
    <w:rsid w:val="1CB303A9"/>
    <w:rsid w:val="1CC64637"/>
    <w:rsid w:val="1CCC4A9D"/>
    <w:rsid w:val="1CD67896"/>
    <w:rsid w:val="1CE03735"/>
    <w:rsid w:val="1CF44B41"/>
    <w:rsid w:val="1D277858"/>
    <w:rsid w:val="1D2F4207"/>
    <w:rsid w:val="1D3348B9"/>
    <w:rsid w:val="1D61679F"/>
    <w:rsid w:val="1D70483F"/>
    <w:rsid w:val="1D760B5F"/>
    <w:rsid w:val="1D9456B0"/>
    <w:rsid w:val="1D9721DD"/>
    <w:rsid w:val="1D9D4A36"/>
    <w:rsid w:val="1DA868A7"/>
    <w:rsid w:val="1DA90101"/>
    <w:rsid w:val="1DB72178"/>
    <w:rsid w:val="1DE33932"/>
    <w:rsid w:val="1DE547AB"/>
    <w:rsid w:val="1DE76FE8"/>
    <w:rsid w:val="1DE918DE"/>
    <w:rsid w:val="1DEA0062"/>
    <w:rsid w:val="1DF44011"/>
    <w:rsid w:val="1DF4614E"/>
    <w:rsid w:val="1DFA55EC"/>
    <w:rsid w:val="1E0B000C"/>
    <w:rsid w:val="1E18008F"/>
    <w:rsid w:val="1E191AAB"/>
    <w:rsid w:val="1E365C77"/>
    <w:rsid w:val="1E4E3D90"/>
    <w:rsid w:val="1E51379E"/>
    <w:rsid w:val="1E5805C9"/>
    <w:rsid w:val="1E7A4B20"/>
    <w:rsid w:val="1E911BEF"/>
    <w:rsid w:val="1EA13876"/>
    <w:rsid w:val="1EAF02C7"/>
    <w:rsid w:val="1EB350E4"/>
    <w:rsid w:val="1EBB586A"/>
    <w:rsid w:val="1EC975DB"/>
    <w:rsid w:val="1ED15FAD"/>
    <w:rsid w:val="1EE078C3"/>
    <w:rsid w:val="1EE6018D"/>
    <w:rsid w:val="1EE920F1"/>
    <w:rsid w:val="1EF321F1"/>
    <w:rsid w:val="1EF83469"/>
    <w:rsid w:val="1F121216"/>
    <w:rsid w:val="1F1A79F2"/>
    <w:rsid w:val="1F274302"/>
    <w:rsid w:val="1F3C2E43"/>
    <w:rsid w:val="1F4D0F4B"/>
    <w:rsid w:val="1F530537"/>
    <w:rsid w:val="1F843311"/>
    <w:rsid w:val="1F8539D0"/>
    <w:rsid w:val="1F883836"/>
    <w:rsid w:val="1F8F7D1C"/>
    <w:rsid w:val="1F95214F"/>
    <w:rsid w:val="1FA57DDF"/>
    <w:rsid w:val="1FAF15DF"/>
    <w:rsid w:val="1FAF1D46"/>
    <w:rsid w:val="1FB3154E"/>
    <w:rsid w:val="1FBD55AB"/>
    <w:rsid w:val="1FC66E00"/>
    <w:rsid w:val="1FC72148"/>
    <w:rsid w:val="1FD97C09"/>
    <w:rsid w:val="1FED4ECB"/>
    <w:rsid w:val="200927CB"/>
    <w:rsid w:val="202A6150"/>
    <w:rsid w:val="202F23AD"/>
    <w:rsid w:val="20392D4B"/>
    <w:rsid w:val="20450EE3"/>
    <w:rsid w:val="204C55FE"/>
    <w:rsid w:val="20625F75"/>
    <w:rsid w:val="2069158A"/>
    <w:rsid w:val="20713A86"/>
    <w:rsid w:val="2072117A"/>
    <w:rsid w:val="207364D3"/>
    <w:rsid w:val="207575DF"/>
    <w:rsid w:val="20913F51"/>
    <w:rsid w:val="20971013"/>
    <w:rsid w:val="209B4147"/>
    <w:rsid w:val="20A70011"/>
    <w:rsid w:val="20AF2801"/>
    <w:rsid w:val="20C26C84"/>
    <w:rsid w:val="20C443FE"/>
    <w:rsid w:val="20D579D0"/>
    <w:rsid w:val="20DA3498"/>
    <w:rsid w:val="20DF5DC4"/>
    <w:rsid w:val="2103203C"/>
    <w:rsid w:val="210916E2"/>
    <w:rsid w:val="210F16D9"/>
    <w:rsid w:val="21137F18"/>
    <w:rsid w:val="21143A54"/>
    <w:rsid w:val="21372259"/>
    <w:rsid w:val="214875DE"/>
    <w:rsid w:val="214B077B"/>
    <w:rsid w:val="215238B8"/>
    <w:rsid w:val="21661111"/>
    <w:rsid w:val="21694910"/>
    <w:rsid w:val="21800A7E"/>
    <w:rsid w:val="21822CFB"/>
    <w:rsid w:val="218B16A5"/>
    <w:rsid w:val="21943ED5"/>
    <w:rsid w:val="21BF07C2"/>
    <w:rsid w:val="21D63963"/>
    <w:rsid w:val="21DB7927"/>
    <w:rsid w:val="21E75FAA"/>
    <w:rsid w:val="21EC7DA3"/>
    <w:rsid w:val="21EE7F72"/>
    <w:rsid w:val="22294218"/>
    <w:rsid w:val="222A65E3"/>
    <w:rsid w:val="22480742"/>
    <w:rsid w:val="2253069C"/>
    <w:rsid w:val="2267492F"/>
    <w:rsid w:val="2283627D"/>
    <w:rsid w:val="22A4232C"/>
    <w:rsid w:val="22A44447"/>
    <w:rsid w:val="22B1460E"/>
    <w:rsid w:val="22B346F2"/>
    <w:rsid w:val="22B353CF"/>
    <w:rsid w:val="22D17BAB"/>
    <w:rsid w:val="22D66083"/>
    <w:rsid w:val="22E006EF"/>
    <w:rsid w:val="22E1799D"/>
    <w:rsid w:val="22F00A92"/>
    <w:rsid w:val="23091B12"/>
    <w:rsid w:val="23444268"/>
    <w:rsid w:val="235D709D"/>
    <w:rsid w:val="23662956"/>
    <w:rsid w:val="23676BFE"/>
    <w:rsid w:val="23682531"/>
    <w:rsid w:val="23770662"/>
    <w:rsid w:val="2377559E"/>
    <w:rsid w:val="238F65F9"/>
    <w:rsid w:val="239C706C"/>
    <w:rsid w:val="23B02B18"/>
    <w:rsid w:val="23B302CE"/>
    <w:rsid w:val="23B87C1E"/>
    <w:rsid w:val="23D16EFC"/>
    <w:rsid w:val="23EF3232"/>
    <w:rsid w:val="23F37E91"/>
    <w:rsid w:val="23F76998"/>
    <w:rsid w:val="23FF75FB"/>
    <w:rsid w:val="2403431B"/>
    <w:rsid w:val="24101808"/>
    <w:rsid w:val="24142194"/>
    <w:rsid w:val="243B2883"/>
    <w:rsid w:val="24424E18"/>
    <w:rsid w:val="244C0759"/>
    <w:rsid w:val="244F2331"/>
    <w:rsid w:val="245E0BE1"/>
    <w:rsid w:val="246739F8"/>
    <w:rsid w:val="246A055E"/>
    <w:rsid w:val="247D6269"/>
    <w:rsid w:val="24831060"/>
    <w:rsid w:val="24877D1C"/>
    <w:rsid w:val="24945F95"/>
    <w:rsid w:val="24A30FBB"/>
    <w:rsid w:val="24B85C79"/>
    <w:rsid w:val="24BA4586"/>
    <w:rsid w:val="24BC3DD8"/>
    <w:rsid w:val="24C00E4A"/>
    <w:rsid w:val="24DB1B09"/>
    <w:rsid w:val="24E60780"/>
    <w:rsid w:val="24F43B92"/>
    <w:rsid w:val="24FF19C4"/>
    <w:rsid w:val="25387269"/>
    <w:rsid w:val="25441769"/>
    <w:rsid w:val="255D45D6"/>
    <w:rsid w:val="25601B47"/>
    <w:rsid w:val="25731E80"/>
    <w:rsid w:val="25767147"/>
    <w:rsid w:val="25846429"/>
    <w:rsid w:val="25897024"/>
    <w:rsid w:val="258F38CC"/>
    <w:rsid w:val="25AB7587"/>
    <w:rsid w:val="25C428AA"/>
    <w:rsid w:val="25D52AAD"/>
    <w:rsid w:val="25FA03B7"/>
    <w:rsid w:val="26065BCC"/>
    <w:rsid w:val="260874E8"/>
    <w:rsid w:val="26143B06"/>
    <w:rsid w:val="26180079"/>
    <w:rsid w:val="26254237"/>
    <w:rsid w:val="26333878"/>
    <w:rsid w:val="26415CA9"/>
    <w:rsid w:val="264458BD"/>
    <w:rsid w:val="26450D63"/>
    <w:rsid w:val="26520DBA"/>
    <w:rsid w:val="26595760"/>
    <w:rsid w:val="26687E77"/>
    <w:rsid w:val="26AD333E"/>
    <w:rsid w:val="26AE3666"/>
    <w:rsid w:val="26C34A4D"/>
    <w:rsid w:val="26C62C95"/>
    <w:rsid w:val="26CE2A68"/>
    <w:rsid w:val="26D97433"/>
    <w:rsid w:val="26E32CD9"/>
    <w:rsid w:val="26EA5DD0"/>
    <w:rsid w:val="26F33777"/>
    <w:rsid w:val="26F40F6D"/>
    <w:rsid w:val="271855FA"/>
    <w:rsid w:val="27315631"/>
    <w:rsid w:val="273C7405"/>
    <w:rsid w:val="273E47C0"/>
    <w:rsid w:val="27433CA3"/>
    <w:rsid w:val="274D290A"/>
    <w:rsid w:val="275C465E"/>
    <w:rsid w:val="278054BE"/>
    <w:rsid w:val="278D0810"/>
    <w:rsid w:val="278D78E5"/>
    <w:rsid w:val="27965E63"/>
    <w:rsid w:val="27A26CB4"/>
    <w:rsid w:val="27EC4E71"/>
    <w:rsid w:val="27F03061"/>
    <w:rsid w:val="27F54A58"/>
    <w:rsid w:val="28010185"/>
    <w:rsid w:val="28164669"/>
    <w:rsid w:val="28247BB6"/>
    <w:rsid w:val="283A44CE"/>
    <w:rsid w:val="284307A4"/>
    <w:rsid w:val="28441A80"/>
    <w:rsid w:val="286147B4"/>
    <w:rsid w:val="288B1864"/>
    <w:rsid w:val="288D1679"/>
    <w:rsid w:val="28933CCC"/>
    <w:rsid w:val="28AE7984"/>
    <w:rsid w:val="28C80D3F"/>
    <w:rsid w:val="28D35036"/>
    <w:rsid w:val="28D96965"/>
    <w:rsid w:val="28DE3958"/>
    <w:rsid w:val="28FB6B6B"/>
    <w:rsid w:val="29055F95"/>
    <w:rsid w:val="29114058"/>
    <w:rsid w:val="291C66DF"/>
    <w:rsid w:val="29341888"/>
    <w:rsid w:val="2945508F"/>
    <w:rsid w:val="294716E7"/>
    <w:rsid w:val="29534AF4"/>
    <w:rsid w:val="29701219"/>
    <w:rsid w:val="297B7724"/>
    <w:rsid w:val="298218F2"/>
    <w:rsid w:val="29B421E7"/>
    <w:rsid w:val="29B457DB"/>
    <w:rsid w:val="29DB00DF"/>
    <w:rsid w:val="29DF1437"/>
    <w:rsid w:val="29E23F4D"/>
    <w:rsid w:val="29F67A66"/>
    <w:rsid w:val="29FD2F6F"/>
    <w:rsid w:val="2A03331C"/>
    <w:rsid w:val="2A097A6D"/>
    <w:rsid w:val="2A0F28F4"/>
    <w:rsid w:val="2A0F54AF"/>
    <w:rsid w:val="2A1262DA"/>
    <w:rsid w:val="2A1D03C7"/>
    <w:rsid w:val="2A4F5FF4"/>
    <w:rsid w:val="2A705755"/>
    <w:rsid w:val="2A8146B4"/>
    <w:rsid w:val="2A8C02FC"/>
    <w:rsid w:val="2AAE0F77"/>
    <w:rsid w:val="2AC12DBF"/>
    <w:rsid w:val="2ACF3539"/>
    <w:rsid w:val="2AE774F2"/>
    <w:rsid w:val="2AEE531A"/>
    <w:rsid w:val="2AF61758"/>
    <w:rsid w:val="2B0D4B81"/>
    <w:rsid w:val="2B1244ED"/>
    <w:rsid w:val="2B1C0CF9"/>
    <w:rsid w:val="2B1C66E6"/>
    <w:rsid w:val="2B22793F"/>
    <w:rsid w:val="2B2B6F28"/>
    <w:rsid w:val="2B2D53DC"/>
    <w:rsid w:val="2B2E77B1"/>
    <w:rsid w:val="2B3C5C6D"/>
    <w:rsid w:val="2B4C2692"/>
    <w:rsid w:val="2B540D9F"/>
    <w:rsid w:val="2B6C4470"/>
    <w:rsid w:val="2B79215B"/>
    <w:rsid w:val="2B88437A"/>
    <w:rsid w:val="2B9249C2"/>
    <w:rsid w:val="2C087A9F"/>
    <w:rsid w:val="2C091874"/>
    <w:rsid w:val="2C0C2E05"/>
    <w:rsid w:val="2C0F3B19"/>
    <w:rsid w:val="2C1D7A23"/>
    <w:rsid w:val="2C350909"/>
    <w:rsid w:val="2C363D63"/>
    <w:rsid w:val="2C4A7F5F"/>
    <w:rsid w:val="2C515B6D"/>
    <w:rsid w:val="2C781ABD"/>
    <w:rsid w:val="2C7D1A05"/>
    <w:rsid w:val="2C854E4C"/>
    <w:rsid w:val="2C8A3639"/>
    <w:rsid w:val="2C9E07BF"/>
    <w:rsid w:val="2CA8549C"/>
    <w:rsid w:val="2CBC7C58"/>
    <w:rsid w:val="2CED10FF"/>
    <w:rsid w:val="2CEF5816"/>
    <w:rsid w:val="2CF748AA"/>
    <w:rsid w:val="2D157538"/>
    <w:rsid w:val="2D2F720D"/>
    <w:rsid w:val="2D3F788A"/>
    <w:rsid w:val="2D4828C3"/>
    <w:rsid w:val="2D57345B"/>
    <w:rsid w:val="2D764F47"/>
    <w:rsid w:val="2D7D7139"/>
    <w:rsid w:val="2D865A75"/>
    <w:rsid w:val="2D9D6E16"/>
    <w:rsid w:val="2DA36B51"/>
    <w:rsid w:val="2DA7372C"/>
    <w:rsid w:val="2DB159F9"/>
    <w:rsid w:val="2DD91851"/>
    <w:rsid w:val="2E0C4DEE"/>
    <w:rsid w:val="2E126FD1"/>
    <w:rsid w:val="2E1F27D4"/>
    <w:rsid w:val="2E263DE7"/>
    <w:rsid w:val="2E2920EE"/>
    <w:rsid w:val="2E2C0045"/>
    <w:rsid w:val="2E3172A2"/>
    <w:rsid w:val="2E363F59"/>
    <w:rsid w:val="2E3E6240"/>
    <w:rsid w:val="2E4505D3"/>
    <w:rsid w:val="2E4D6A38"/>
    <w:rsid w:val="2E52037F"/>
    <w:rsid w:val="2E5943D9"/>
    <w:rsid w:val="2E5D3A27"/>
    <w:rsid w:val="2E6828E8"/>
    <w:rsid w:val="2E780068"/>
    <w:rsid w:val="2E780A11"/>
    <w:rsid w:val="2E7D525B"/>
    <w:rsid w:val="2E8F3B64"/>
    <w:rsid w:val="2E9025A4"/>
    <w:rsid w:val="2EA00682"/>
    <w:rsid w:val="2EAC4CE9"/>
    <w:rsid w:val="2EBD258D"/>
    <w:rsid w:val="2EDA313F"/>
    <w:rsid w:val="2EF35252"/>
    <w:rsid w:val="2EFA10EB"/>
    <w:rsid w:val="2F080823"/>
    <w:rsid w:val="2F08776A"/>
    <w:rsid w:val="2F0B154A"/>
    <w:rsid w:val="2F173E47"/>
    <w:rsid w:val="2F1B4932"/>
    <w:rsid w:val="2F2A7C22"/>
    <w:rsid w:val="2F3E632A"/>
    <w:rsid w:val="2F434F08"/>
    <w:rsid w:val="2F454A5C"/>
    <w:rsid w:val="2F4D64E5"/>
    <w:rsid w:val="2F4F3241"/>
    <w:rsid w:val="2F5B38F4"/>
    <w:rsid w:val="2F6C3DCC"/>
    <w:rsid w:val="2F81674D"/>
    <w:rsid w:val="2FC25D7B"/>
    <w:rsid w:val="2FCF07C9"/>
    <w:rsid w:val="2FE00E08"/>
    <w:rsid w:val="2FE87A6A"/>
    <w:rsid w:val="2FF81FE9"/>
    <w:rsid w:val="30110DE2"/>
    <w:rsid w:val="30184226"/>
    <w:rsid w:val="301C65FE"/>
    <w:rsid w:val="30232366"/>
    <w:rsid w:val="303D6FAE"/>
    <w:rsid w:val="304D190A"/>
    <w:rsid w:val="307F4383"/>
    <w:rsid w:val="3086347F"/>
    <w:rsid w:val="308F4B91"/>
    <w:rsid w:val="30941DB6"/>
    <w:rsid w:val="309A02D0"/>
    <w:rsid w:val="309E7091"/>
    <w:rsid w:val="30A00032"/>
    <w:rsid w:val="30D31113"/>
    <w:rsid w:val="30D82AB0"/>
    <w:rsid w:val="30DC13F0"/>
    <w:rsid w:val="30DE49F0"/>
    <w:rsid w:val="30E20ADF"/>
    <w:rsid w:val="30E835FD"/>
    <w:rsid w:val="30ED645B"/>
    <w:rsid w:val="30ED7159"/>
    <w:rsid w:val="30F91EC0"/>
    <w:rsid w:val="30FC114A"/>
    <w:rsid w:val="31104BE6"/>
    <w:rsid w:val="31154110"/>
    <w:rsid w:val="3122405D"/>
    <w:rsid w:val="31340B91"/>
    <w:rsid w:val="31421084"/>
    <w:rsid w:val="31674FCF"/>
    <w:rsid w:val="31677F2C"/>
    <w:rsid w:val="31702EF2"/>
    <w:rsid w:val="31861652"/>
    <w:rsid w:val="31B00187"/>
    <w:rsid w:val="31DB58FA"/>
    <w:rsid w:val="31DD71CE"/>
    <w:rsid w:val="31E0690F"/>
    <w:rsid w:val="31F06AA9"/>
    <w:rsid w:val="31F75DB5"/>
    <w:rsid w:val="321D59C5"/>
    <w:rsid w:val="32296917"/>
    <w:rsid w:val="32324B64"/>
    <w:rsid w:val="3253421D"/>
    <w:rsid w:val="32535B1F"/>
    <w:rsid w:val="32830AEF"/>
    <w:rsid w:val="3292523A"/>
    <w:rsid w:val="329945C7"/>
    <w:rsid w:val="32AE7CE7"/>
    <w:rsid w:val="32BC3287"/>
    <w:rsid w:val="32C41EAE"/>
    <w:rsid w:val="32CA0E4B"/>
    <w:rsid w:val="32CB45C8"/>
    <w:rsid w:val="32D52C0C"/>
    <w:rsid w:val="32DB1BFD"/>
    <w:rsid w:val="332C2B73"/>
    <w:rsid w:val="332C3C79"/>
    <w:rsid w:val="332E3950"/>
    <w:rsid w:val="33315D57"/>
    <w:rsid w:val="33424D5D"/>
    <w:rsid w:val="334503A8"/>
    <w:rsid w:val="3350574C"/>
    <w:rsid w:val="335202DB"/>
    <w:rsid w:val="335333A7"/>
    <w:rsid w:val="33732317"/>
    <w:rsid w:val="33790B91"/>
    <w:rsid w:val="3382361A"/>
    <w:rsid w:val="33885B83"/>
    <w:rsid w:val="33A337D5"/>
    <w:rsid w:val="33AB50A9"/>
    <w:rsid w:val="33BE302F"/>
    <w:rsid w:val="33C15F98"/>
    <w:rsid w:val="33E52369"/>
    <w:rsid w:val="33F71CC8"/>
    <w:rsid w:val="34016A86"/>
    <w:rsid w:val="34162517"/>
    <w:rsid w:val="341837B7"/>
    <w:rsid w:val="34184C5D"/>
    <w:rsid w:val="342866FA"/>
    <w:rsid w:val="34410EE3"/>
    <w:rsid w:val="34427A54"/>
    <w:rsid w:val="34475E33"/>
    <w:rsid w:val="345E290D"/>
    <w:rsid w:val="34666F41"/>
    <w:rsid w:val="346D0D74"/>
    <w:rsid w:val="347312F7"/>
    <w:rsid w:val="34751871"/>
    <w:rsid w:val="348A2565"/>
    <w:rsid w:val="34906D42"/>
    <w:rsid w:val="3492234F"/>
    <w:rsid w:val="349D0E96"/>
    <w:rsid w:val="34A42225"/>
    <w:rsid w:val="34AA0645"/>
    <w:rsid w:val="34C61DEF"/>
    <w:rsid w:val="34D349C1"/>
    <w:rsid w:val="34D65FE2"/>
    <w:rsid w:val="34DD141E"/>
    <w:rsid w:val="34EB6CAD"/>
    <w:rsid w:val="34EF48D4"/>
    <w:rsid w:val="34F308B0"/>
    <w:rsid w:val="35113525"/>
    <w:rsid w:val="35227688"/>
    <w:rsid w:val="352D221A"/>
    <w:rsid w:val="35326372"/>
    <w:rsid w:val="354D01AC"/>
    <w:rsid w:val="35533315"/>
    <w:rsid w:val="35722C54"/>
    <w:rsid w:val="35767350"/>
    <w:rsid w:val="35840372"/>
    <w:rsid w:val="359976BB"/>
    <w:rsid w:val="359E1B8E"/>
    <w:rsid w:val="35BE26D5"/>
    <w:rsid w:val="35FC72D3"/>
    <w:rsid w:val="35FD6402"/>
    <w:rsid w:val="360006C2"/>
    <w:rsid w:val="36104897"/>
    <w:rsid w:val="36130F58"/>
    <w:rsid w:val="36172C1C"/>
    <w:rsid w:val="3624187A"/>
    <w:rsid w:val="362A0508"/>
    <w:rsid w:val="36380975"/>
    <w:rsid w:val="36457F31"/>
    <w:rsid w:val="364A6DFC"/>
    <w:rsid w:val="366A04C8"/>
    <w:rsid w:val="366D3A16"/>
    <w:rsid w:val="367B0D63"/>
    <w:rsid w:val="367B79EB"/>
    <w:rsid w:val="36816EFC"/>
    <w:rsid w:val="368A671D"/>
    <w:rsid w:val="36A52387"/>
    <w:rsid w:val="36A861E5"/>
    <w:rsid w:val="36BC6408"/>
    <w:rsid w:val="36CC2449"/>
    <w:rsid w:val="36CF38CB"/>
    <w:rsid w:val="36E30744"/>
    <w:rsid w:val="370811D1"/>
    <w:rsid w:val="371B60D4"/>
    <w:rsid w:val="371D62BE"/>
    <w:rsid w:val="37217B5C"/>
    <w:rsid w:val="372F3093"/>
    <w:rsid w:val="37310022"/>
    <w:rsid w:val="3734013D"/>
    <w:rsid w:val="373A29CC"/>
    <w:rsid w:val="373B7D1B"/>
    <w:rsid w:val="37471AA7"/>
    <w:rsid w:val="375E1174"/>
    <w:rsid w:val="37722262"/>
    <w:rsid w:val="378400EB"/>
    <w:rsid w:val="37883D9D"/>
    <w:rsid w:val="37B80D58"/>
    <w:rsid w:val="37BC60E7"/>
    <w:rsid w:val="37E14677"/>
    <w:rsid w:val="37E87A80"/>
    <w:rsid w:val="37FA215C"/>
    <w:rsid w:val="37FF6BD7"/>
    <w:rsid w:val="3810197F"/>
    <w:rsid w:val="38177FF1"/>
    <w:rsid w:val="38314519"/>
    <w:rsid w:val="38557CA6"/>
    <w:rsid w:val="38601642"/>
    <w:rsid w:val="386523B0"/>
    <w:rsid w:val="3872263A"/>
    <w:rsid w:val="38791EB1"/>
    <w:rsid w:val="38877211"/>
    <w:rsid w:val="38A230B5"/>
    <w:rsid w:val="38B5305A"/>
    <w:rsid w:val="38D63A95"/>
    <w:rsid w:val="38DD65ED"/>
    <w:rsid w:val="38EB7A88"/>
    <w:rsid w:val="38FE1780"/>
    <w:rsid w:val="38FE4ED9"/>
    <w:rsid w:val="38FE71C2"/>
    <w:rsid w:val="390D7B86"/>
    <w:rsid w:val="3915611C"/>
    <w:rsid w:val="393520C5"/>
    <w:rsid w:val="39555F8E"/>
    <w:rsid w:val="3960304E"/>
    <w:rsid w:val="397158ED"/>
    <w:rsid w:val="39724B96"/>
    <w:rsid w:val="39882EB5"/>
    <w:rsid w:val="399E0411"/>
    <w:rsid w:val="39A20B8C"/>
    <w:rsid w:val="39A71F85"/>
    <w:rsid w:val="39BE5B37"/>
    <w:rsid w:val="39BE6F6D"/>
    <w:rsid w:val="39C50C6E"/>
    <w:rsid w:val="39D44F1F"/>
    <w:rsid w:val="39D71C86"/>
    <w:rsid w:val="39E37660"/>
    <w:rsid w:val="39FE4507"/>
    <w:rsid w:val="3A0A0DC2"/>
    <w:rsid w:val="3A23599A"/>
    <w:rsid w:val="3A347BA7"/>
    <w:rsid w:val="3A39340F"/>
    <w:rsid w:val="3A42786D"/>
    <w:rsid w:val="3A823780"/>
    <w:rsid w:val="3A8C23C1"/>
    <w:rsid w:val="3A9E40C8"/>
    <w:rsid w:val="3AC96B3C"/>
    <w:rsid w:val="3ACA6FEC"/>
    <w:rsid w:val="3ADA7F84"/>
    <w:rsid w:val="3AE22A52"/>
    <w:rsid w:val="3AEC210E"/>
    <w:rsid w:val="3AFF24B1"/>
    <w:rsid w:val="3B0A2B10"/>
    <w:rsid w:val="3B130C19"/>
    <w:rsid w:val="3B1A3020"/>
    <w:rsid w:val="3B4200AC"/>
    <w:rsid w:val="3B4274CB"/>
    <w:rsid w:val="3B470C18"/>
    <w:rsid w:val="3B510F96"/>
    <w:rsid w:val="3B5269DA"/>
    <w:rsid w:val="3B5618B5"/>
    <w:rsid w:val="3B5633FE"/>
    <w:rsid w:val="3BAA2DFB"/>
    <w:rsid w:val="3BB73B77"/>
    <w:rsid w:val="3BD45B11"/>
    <w:rsid w:val="3BDB9112"/>
    <w:rsid w:val="3BE43696"/>
    <w:rsid w:val="3BFF3FAA"/>
    <w:rsid w:val="3C065573"/>
    <w:rsid w:val="3C1761A4"/>
    <w:rsid w:val="3C195C5A"/>
    <w:rsid w:val="3C2E3495"/>
    <w:rsid w:val="3C3A521C"/>
    <w:rsid w:val="3C410359"/>
    <w:rsid w:val="3C5020B3"/>
    <w:rsid w:val="3C504855"/>
    <w:rsid w:val="3C5643FD"/>
    <w:rsid w:val="3C670ECA"/>
    <w:rsid w:val="3C8064CE"/>
    <w:rsid w:val="3C8440D2"/>
    <w:rsid w:val="3C996B58"/>
    <w:rsid w:val="3CA617B5"/>
    <w:rsid w:val="3CC17E22"/>
    <w:rsid w:val="3CCB13D3"/>
    <w:rsid w:val="3CDF1CD3"/>
    <w:rsid w:val="3CE05088"/>
    <w:rsid w:val="3CE56269"/>
    <w:rsid w:val="3CE95DC1"/>
    <w:rsid w:val="3CF73383"/>
    <w:rsid w:val="3D060604"/>
    <w:rsid w:val="3D080568"/>
    <w:rsid w:val="3D0A686C"/>
    <w:rsid w:val="3D1508BA"/>
    <w:rsid w:val="3D1617E6"/>
    <w:rsid w:val="3D17274A"/>
    <w:rsid w:val="3D2302B0"/>
    <w:rsid w:val="3D2333A9"/>
    <w:rsid w:val="3D644E47"/>
    <w:rsid w:val="3D790D18"/>
    <w:rsid w:val="3D833044"/>
    <w:rsid w:val="3D950CD7"/>
    <w:rsid w:val="3DA30820"/>
    <w:rsid w:val="3DA72AD0"/>
    <w:rsid w:val="3DAA2FD4"/>
    <w:rsid w:val="3DBD4CAC"/>
    <w:rsid w:val="3DC63E37"/>
    <w:rsid w:val="3DF24001"/>
    <w:rsid w:val="3E0655B4"/>
    <w:rsid w:val="3E067AAC"/>
    <w:rsid w:val="3E083824"/>
    <w:rsid w:val="3E0930F8"/>
    <w:rsid w:val="3E0952F1"/>
    <w:rsid w:val="3E1A27CC"/>
    <w:rsid w:val="3E337FDD"/>
    <w:rsid w:val="3E4E4FAF"/>
    <w:rsid w:val="3E8167B1"/>
    <w:rsid w:val="3E835940"/>
    <w:rsid w:val="3E8F4032"/>
    <w:rsid w:val="3E974BA8"/>
    <w:rsid w:val="3ECA28FD"/>
    <w:rsid w:val="3ECFA7F3"/>
    <w:rsid w:val="3F000D67"/>
    <w:rsid w:val="3F257157"/>
    <w:rsid w:val="3F3146B5"/>
    <w:rsid w:val="3F316DAB"/>
    <w:rsid w:val="3F366FAF"/>
    <w:rsid w:val="3F812A3A"/>
    <w:rsid w:val="3F966DC6"/>
    <w:rsid w:val="3F9A433C"/>
    <w:rsid w:val="3F9B5FD2"/>
    <w:rsid w:val="3F9E2F12"/>
    <w:rsid w:val="3FD062C0"/>
    <w:rsid w:val="3FDB102C"/>
    <w:rsid w:val="3FDFEDCA"/>
    <w:rsid w:val="3FEA123D"/>
    <w:rsid w:val="400B31E9"/>
    <w:rsid w:val="401069C0"/>
    <w:rsid w:val="40141D1D"/>
    <w:rsid w:val="401B4FD8"/>
    <w:rsid w:val="402B695D"/>
    <w:rsid w:val="40307C69"/>
    <w:rsid w:val="403B37D5"/>
    <w:rsid w:val="40490CA8"/>
    <w:rsid w:val="404D7AC8"/>
    <w:rsid w:val="40752015"/>
    <w:rsid w:val="40791BF6"/>
    <w:rsid w:val="407B722C"/>
    <w:rsid w:val="40836A38"/>
    <w:rsid w:val="40AB4C9D"/>
    <w:rsid w:val="40CB28E7"/>
    <w:rsid w:val="40DD16D8"/>
    <w:rsid w:val="412317AB"/>
    <w:rsid w:val="413063A6"/>
    <w:rsid w:val="41344930"/>
    <w:rsid w:val="41391FB6"/>
    <w:rsid w:val="413B4B8E"/>
    <w:rsid w:val="413C2CD7"/>
    <w:rsid w:val="413F2B2D"/>
    <w:rsid w:val="4145485A"/>
    <w:rsid w:val="41526B64"/>
    <w:rsid w:val="416A2100"/>
    <w:rsid w:val="416E3E1F"/>
    <w:rsid w:val="417B40A4"/>
    <w:rsid w:val="41814A29"/>
    <w:rsid w:val="418331C2"/>
    <w:rsid w:val="41920DF4"/>
    <w:rsid w:val="4195639A"/>
    <w:rsid w:val="41A36DCF"/>
    <w:rsid w:val="41A73354"/>
    <w:rsid w:val="41AA69BA"/>
    <w:rsid w:val="41AE46E3"/>
    <w:rsid w:val="42016538"/>
    <w:rsid w:val="420E33D3"/>
    <w:rsid w:val="42226A27"/>
    <w:rsid w:val="422B1207"/>
    <w:rsid w:val="42416CF7"/>
    <w:rsid w:val="424741EF"/>
    <w:rsid w:val="424C397F"/>
    <w:rsid w:val="425042EE"/>
    <w:rsid w:val="425D4FF7"/>
    <w:rsid w:val="42655A33"/>
    <w:rsid w:val="42657974"/>
    <w:rsid w:val="427048A8"/>
    <w:rsid w:val="42A4609A"/>
    <w:rsid w:val="42A6158F"/>
    <w:rsid w:val="42AF0A3E"/>
    <w:rsid w:val="42B01E1B"/>
    <w:rsid w:val="42BD2703"/>
    <w:rsid w:val="42C83582"/>
    <w:rsid w:val="42D6354B"/>
    <w:rsid w:val="42E5221F"/>
    <w:rsid w:val="43005F1C"/>
    <w:rsid w:val="430B6BC2"/>
    <w:rsid w:val="43100FE2"/>
    <w:rsid w:val="43143510"/>
    <w:rsid w:val="43143DD3"/>
    <w:rsid w:val="4332743B"/>
    <w:rsid w:val="43447736"/>
    <w:rsid w:val="43463A91"/>
    <w:rsid w:val="43691F0B"/>
    <w:rsid w:val="43823379"/>
    <w:rsid w:val="439D5877"/>
    <w:rsid w:val="43A85972"/>
    <w:rsid w:val="43A85CAF"/>
    <w:rsid w:val="43B840D5"/>
    <w:rsid w:val="43B943DD"/>
    <w:rsid w:val="43BC33FE"/>
    <w:rsid w:val="43BF143F"/>
    <w:rsid w:val="43DB5537"/>
    <w:rsid w:val="440B0201"/>
    <w:rsid w:val="4420119C"/>
    <w:rsid w:val="44240C6A"/>
    <w:rsid w:val="44251161"/>
    <w:rsid w:val="44272CAC"/>
    <w:rsid w:val="443A54EB"/>
    <w:rsid w:val="44451BDC"/>
    <w:rsid w:val="446134BD"/>
    <w:rsid w:val="44681D5F"/>
    <w:rsid w:val="447B6726"/>
    <w:rsid w:val="449A1973"/>
    <w:rsid w:val="44A93B3D"/>
    <w:rsid w:val="44AB2567"/>
    <w:rsid w:val="44E32B79"/>
    <w:rsid w:val="44F02F62"/>
    <w:rsid w:val="44F556FA"/>
    <w:rsid w:val="44F63458"/>
    <w:rsid w:val="45332860"/>
    <w:rsid w:val="455A06DD"/>
    <w:rsid w:val="455A47DE"/>
    <w:rsid w:val="455B0795"/>
    <w:rsid w:val="457E350F"/>
    <w:rsid w:val="45811908"/>
    <w:rsid w:val="458B1522"/>
    <w:rsid w:val="458F1918"/>
    <w:rsid w:val="459B19F5"/>
    <w:rsid w:val="45A00B94"/>
    <w:rsid w:val="45A50107"/>
    <w:rsid w:val="45DC1014"/>
    <w:rsid w:val="45ED0241"/>
    <w:rsid w:val="460434E4"/>
    <w:rsid w:val="4608488B"/>
    <w:rsid w:val="460A3EB2"/>
    <w:rsid w:val="462431C5"/>
    <w:rsid w:val="462F2B88"/>
    <w:rsid w:val="466B00B6"/>
    <w:rsid w:val="46706F3F"/>
    <w:rsid w:val="46733805"/>
    <w:rsid w:val="46742883"/>
    <w:rsid w:val="46742FC4"/>
    <w:rsid w:val="46757EF5"/>
    <w:rsid w:val="46762F93"/>
    <w:rsid w:val="467D2E38"/>
    <w:rsid w:val="468375BE"/>
    <w:rsid w:val="46876032"/>
    <w:rsid w:val="4694412D"/>
    <w:rsid w:val="46A87C88"/>
    <w:rsid w:val="46BC6BC7"/>
    <w:rsid w:val="46C96C6F"/>
    <w:rsid w:val="46DC5C7D"/>
    <w:rsid w:val="47040901"/>
    <w:rsid w:val="47064A98"/>
    <w:rsid w:val="471F1AF5"/>
    <w:rsid w:val="47224D0F"/>
    <w:rsid w:val="47245012"/>
    <w:rsid w:val="4730535C"/>
    <w:rsid w:val="473D42FE"/>
    <w:rsid w:val="476F0C4F"/>
    <w:rsid w:val="47723ABC"/>
    <w:rsid w:val="47775577"/>
    <w:rsid w:val="47793752"/>
    <w:rsid w:val="47804929"/>
    <w:rsid w:val="47822DFA"/>
    <w:rsid w:val="479B21A9"/>
    <w:rsid w:val="47A9364D"/>
    <w:rsid w:val="47E85CDF"/>
    <w:rsid w:val="47EA79A8"/>
    <w:rsid w:val="4800556C"/>
    <w:rsid w:val="48141018"/>
    <w:rsid w:val="48256D81"/>
    <w:rsid w:val="48337B7C"/>
    <w:rsid w:val="484F5198"/>
    <w:rsid w:val="485278BE"/>
    <w:rsid w:val="485A348A"/>
    <w:rsid w:val="487D2A9B"/>
    <w:rsid w:val="488071D0"/>
    <w:rsid w:val="48B12D0A"/>
    <w:rsid w:val="48C75219"/>
    <w:rsid w:val="48CC2CB8"/>
    <w:rsid w:val="48D23E7A"/>
    <w:rsid w:val="48D46728"/>
    <w:rsid w:val="48D85F6F"/>
    <w:rsid w:val="48E21116"/>
    <w:rsid w:val="48F04FAA"/>
    <w:rsid w:val="490746D8"/>
    <w:rsid w:val="49353B3A"/>
    <w:rsid w:val="49383A95"/>
    <w:rsid w:val="49647D7D"/>
    <w:rsid w:val="497C6E74"/>
    <w:rsid w:val="49897021"/>
    <w:rsid w:val="498E3E0F"/>
    <w:rsid w:val="49926698"/>
    <w:rsid w:val="499B766C"/>
    <w:rsid w:val="49A85CE0"/>
    <w:rsid w:val="49BA799D"/>
    <w:rsid w:val="49BB73C2"/>
    <w:rsid w:val="49CB0635"/>
    <w:rsid w:val="49CC464E"/>
    <w:rsid w:val="49E815C6"/>
    <w:rsid w:val="49E9743A"/>
    <w:rsid w:val="49F7299F"/>
    <w:rsid w:val="4A001872"/>
    <w:rsid w:val="4A0C2D29"/>
    <w:rsid w:val="4A203730"/>
    <w:rsid w:val="4A203D36"/>
    <w:rsid w:val="4A3F1F54"/>
    <w:rsid w:val="4A4243F0"/>
    <w:rsid w:val="4A4C4B5A"/>
    <w:rsid w:val="4A4D1022"/>
    <w:rsid w:val="4A57247B"/>
    <w:rsid w:val="4A576061"/>
    <w:rsid w:val="4A5943E4"/>
    <w:rsid w:val="4A63739F"/>
    <w:rsid w:val="4A6702BC"/>
    <w:rsid w:val="4A686E5C"/>
    <w:rsid w:val="4A693AF6"/>
    <w:rsid w:val="4A723EE3"/>
    <w:rsid w:val="4A800BE6"/>
    <w:rsid w:val="4AC7442E"/>
    <w:rsid w:val="4AC9433B"/>
    <w:rsid w:val="4ADD07E4"/>
    <w:rsid w:val="4B445920"/>
    <w:rsid w:val="4B4E3F99"/>
    <w:rsid w:val="4B5A348C"/>
    <w:rsid w:val="4B68207B"/>
    <w:rsid w:val="4B715FB2"/>
    <w:rsid w:val="4B7F1D86"/>
    <w:rsid w:val="4B8C55E8"/>
    <w:rsid w:val="4B9522E7"/>
    <w:rsid w:val="4BA32825"/>
    <w:rsid w:val="4BAB12B2"/>
    <w:rsid w:val="4BB834BA"/>
    <w:rsid w:val="4BB858C5"/>
    <w:rsid w:val="4BD04691"/>
    <w:rsid w:val="4BD201C3"/>
    <w:rsid w:val="4BDE5BC4"/>
    <w:rsid w:val="4BEA77AC"/>
    <w:rsid w:val="4BEB02E1"/>
    <w:rsid w:val="4C0271C9"/>
    <w:rsid w:val="4C0554CB"/>
    <w:rsid w:val="4C083C31"/>
    <w:rsid w:val="4C100B51"/>
    <w:rsid w:val="4C324162"/>
    <w:rsid w:val="4C3E2E96"/>
    <w:rsid w:val="4C612351"/>
    <w:rsid w:val="4C7A3029"/>
    <w:rsid w:val="4C875D8A"/>
    <w:rsid w:val="4C88552C"/>
    <w:rsid w:val="4D092A65"/>
    <w:rsid w:val="4D0C49B3"/>
    <w:rsid w:val="4D1B5044"/>
    <w:rsid w:val="4D286448"/>
    <w:rsid w:val="4D341814"/>
    <w:rsid w:val="4D3E119B"/>
    <w:rsid w:val="4D4F27EF"/>
    <w:rsid w:val="4D5C47A9"/>
    <w:rsid w:val="4D7376F9"/>
    <w:rsid w:val="4D9C1893"/>
    <w:rsid w:val="4DC82BF0"/>
    <w:rsid w:val="4DD43374"/>
    <w:rsid w:val="4DD607C1"/>
    <w:rsid w:val="4DE577AB"/>
    <w:rsid w:val="4DF613E6"/>
    <w:rsid w:val="4E217FEA"/>
    <w:rsid w:val="4E2811C7"/>
    <w:rsid w:val="4E513D92"/>
    <w:rsid w:val="4E537177"/>
    <w:rsid w:val="4E5C1529"/>
    <w:rsid w:val="4E80150D"/>
    <w:rsid w:val="4E807C79"/>
    <w:rsid w:val="4EA11F9B"/>
    <w:rsid w:val="4EBA1CDB"/>
    <w:rsid w:val="4EBF1F4A"/>
    <w:rsid w:val="4EC97D57"/>
    <w:rsid w:val="4ECC61A8"/>
    <w:rsid w:val="4EE01B20"/>
    <w:rsid w:val="4EE95DB8"/>
    <w:rsid w:val="4EEA1863"/>
    <w:rsid w:val="4EEA5D88"/>
    <w:rsid w:val="4F047352"/>
    <w:rsid w:val="4F1B6653"/>
    <w:rsid w:val="4F263A05"/>
    <w:rsid w:val="4F314161"/>
    <w:rsid w:val="4F35258F"/>
    <w:rsid w:val="4F3F55BB"/>
    <w:rsid w:val="4F464A5A"/>
    <w:rsid w:val="4F4C6491"/>
    <w:rsid w:val="4F547731"/>
    <w:rsid w:val="4F5508E5"/>
    <w:rsid w:val="4F5764B9"/>
    <w:rsid w:val="4F5A2752"/>
    <w:rsid w:val="4F5D32A4"/>
    <w:rsid w:val="4F66062D"/>
    <w:rsid w:val="4F6A509C"/>
    <w:rsid w:val="4F7A5C04"/>
    <w:rsid w:val="4F9715ED"/>
    <w:rsid w:val="4F9818B4"/>
    <w:rsid w:val="4FAD051B"/>
    <w:rsid w:val="4FAF6F80"/>
    <w:rsid w:val="4FD46EBD"/>
    <w:rsid w:val="4FE828ED"/>
    <w:rsid w:val="4FF51024"/>
    <w:rsid w:val="4FF736F9"/>
    <w:rsid w:val="4FFD6646"/>
    <w:rsid w:val="501D392A"/>
    <w:rsid w:val="50206DF7"/>
    <w:rsid w:val="502618E8"/>
    <w:rsid w:val="502F3874"/>
    <w:rsid w:val="50484062"/>
    <w:rsid w:val="504844F6"/>
    <w:rsid w:val="50681F00"/>
    <w:rsid w:val="50707734"/>
    <w:rsid w:val="507951EA"/>
    <w:rsid w:val="508F2AB3"/>
    <w:rsid w:val="50983839"/>
    <w:rsid w:val="50AF7B2F"/>
    <w:rsid w:val="50B138D1"/>
    <w:rsid w:val="50C66495"/>
    <w:rsid w:val="50D002C6"/>
    <w:rsid w:val="50D61560"/>
    <w:rsid w:val="50E33455"/>
    <w:rsid w:val="50F31B7F"/>
    <w:rsid w:val="511278FC"/>
    <w:rsid w:val="511E35F8"/>
    <w:rsid w:val="51307E52"/>
    <w:rsid w:val="51503FA0"/>
    <w:rsid w:val="515871FE"/>
    <w:rsid w:val="51596E11"/>
    <w:rsid w:val="516B6E78"/>
    <w:rsid w:val="519B5CC2"/>
    <w:rsid w:val="51A76011"/>
    <w:rsid w:val="51CD03C6"/>
    <w:rsid w:val="51CE6421"/>
    <w:rsid w:val="51F43AB2"/>
    <w:rsid w:val="51F577C4"/>
    <w:rsid w:val="51FE7D93"/>
    <w:rsid w:val="520F4843"/>
    <w:rsid w:val="52121DCF"/>
    <w:rsid w:val="52137423"/>
    <w:rsid w:val="521C6302"/>
    <w:rsid w:val="522105B9"/>
    <w:rsid w:val="52263BCA"/>
    <w:rsid w:val="5231425B"/>
    <w:rsid w:val="5262140D"/>
    <w:rsid w:val="52961AF8"/>
    <w:rsid w:val="52990003"/>
    <w:rsid w:val="52A42B85"/>
    <w:rsid w:val="52DD1BA4"/>
    <w:rsid w:val="5304202F"/>
    <w:rsid w:val="53080CEB"/>
    <w:rsid w:val="530A1927"/>
    <w:rsid w:val="53155197"/>
    <w:rsid w:val="53177C0E"/>
    <w:rsid w:val="531B7C6E"/>
    <w:rsid w:val="53262E18"/>
    <w:rsid w:val="53314D4C"/>
    <w:rsid w:val="53483839"/>
    <w:rsid w:val="536A2750"/>
    <w:rsid w:val="536D452D"/>
    <w:rsid w:val="53933C38"/>
    <w:rsid w:val="53A43997"/>
    <w:rsid w:val="53D1600F"/>
    <w:rsid w:val="53D42EB7"/>
    <w:rsid w:val="53FA3F4F"/>
    <w:rsid w:val="5403502E"/>
    <w:rsid w:val="540A6D47"/>
    <w:rsid w:val="542B1BC3"/>
    <w:rsid w:val="54386EC9"/>
    <w:rsid w:val="54457077"/>
    <w:rsid w:val="544F1263"/>
    <w:rsid w:val="54594603"/>
    <w:rsid w:val="54745318"/>
    <w:rsid w:val="549D0C85"/>
    <w:rsid w:val="54AA19D8"/>
    <w:rsid w:val="54AF2217"/>
    <w:rsid w:val="54AF403B"/>
    <w:rsid w:val="54B312D2"/>
    <w:rsid w:val="54DE481E"/>
    <w:rsid w:val="54EE6554"/>
    <w:rsid w:val="550C6C83"/>
    <w:rsid w:val="551F6DD2"/>
    <w:rsid w:val="553E32D6"/>
    <w:rsid w:val="55675C79"/>
    <w:rsid w:val="557D01FC"/>
    <w:rsid w:val="558D118A"/>
    <w:rsid w:val="55BC2E86"/>
    <w:rsid w:val="55C03CB8"/>
    <w:rsid w:val="55C624E8"/>
    <w:rsid w:val="55CE0A58"/>
    <w:rsid w:val="55D94BD7"/>
    <w:rsid w:val="55E31575"/>
    <w:rsid w:val="5625035E"/>
    <w:rsid w:val="56272AA6"/>
    <w:rsid w:val="562F0568"/>
    <w:rsid w:val="5634450C"/>
    <w:rsid w:val="564503B0"/>
    <w:rsid w:val="56566B18"/>
    <w:rsid w:val="56594A37"/>
    <w:rsid w:val="565F506B"/>
    <w:rsid w:val="56632DAB"/>
    <w:rsid w:val="5669127C"/>
    <w:rsid w:val="566C7008"/>
    <w:rsid w:val="567A0BDF"/>
    <w:rsid w:val="56830ADF"/>
    <w:rsid w:val="56857CFC"/>
    <w:rsid w:val="569022B2"/>
    <w:rsid w:val="56B62BD2"/>
    <w:rsid w:val="56BB20E5"/>
    <w:rsid w:val="56BB789E"/>
    <w:rsid w:val="56CF425C"/>
    <w:rsid w:val="56D67726"/>
    <w:rsid w:val="56DF6C95"/>
    <w:rsid w:val="56E10C5F"/>
    <w:rsid w:val="56E41835"/>
    <w:rsid w:val="57002B8D"/>
    <w:rsid w:val="570E2D58"/>
    <w:rsid w:val="57344DFE"/>
    <w:rsid w:val="573577BE"/>
    <w:rsid w:val="574C0D6A"/>
    <w:rsid w:val="57606083"/>
    <w:rsid w:val="57821487"/>
    <w:rsid w:val="578B0E6E"/>
    <w:rsid w:val="57947A7F"/>
    <w:rsid w:val="57A1046F"/>
    <w:rsid w:val="57A247C0"/>
    <w:rsid w:val="57AB1B1D"/>
    <w:rsid w:val="57C20E8A"/>
    <w:rsid w:val="57D60C34"/>
    <w:rsid w:val="57F64A30"/>
    <w:rsid w:val="57F652BC"/>
    <w:rsid w:val="580E2A99"/>
    <w:rsid w:val="5848614A"/>
    <w:rsid w:val="585D6E6C"/>
    <w:rsid w:val="588D4BFA"/>
    <w:rsid w:val="58A674A5"/>
    <w:rsid w:val="58C75F27"/>
    <w:rsid w:val="58CD30A4"/>
    <w:rsid w:val="58CD382E"/>
    <w:rsid w:val="58D3052F"/>
    <w:rsid w:val="590D6489"/>
    <w:rsid w:val="590D7AE9"/>
    <w:rsid w:val="59154896"/>
    <w:rsid w:val="5928537F"/>
    <w:rsid w:val="593516B6"/>
    <w:rsid w:val="59416B68"/>
    <w:rsid w:val="595042FB"/>
    <w:rsid w:val="59527BF2"/>
    <w:rsid w:val="59545718"/>
    <w:rsid w:val="596B4C2F"/>
    <w:rsid w:val="596E3DFD"/>
    <w:rsid w:val="59825FC7"/>
    <w:rsid w:val="59876675"/>
    <w:rsid w:val="59912017"/>
    <w:rsid w:val="59950477"/>
    <w:rsid w:val="59B349DE"/>
    <w:rsid w:val="59B961EA"/>
    <w:rsid w:val="59C53F20"/>
    <w:rsid w:val="59C9107F"/>
    <w:rsid w:val="59CE04C3"/>
    <w:rsid w:val="59E84098"/>
    <w:rsid w:val="59FE7432"/>
    <w:rsid w:val="5A0C0158"/>
    <w:rsid w:val="5A0E2518"/>
    <w:rsid w:val="5A250DAB"/>
    <w:rsid w:val="5A2E044A"/>
    <w:rsid w:val="5A3533FD"/>
    <w:rsid w:val="5A3D0E34"/>
    <w:rsid w:val="5A43475D"/>
    <w:rsid w:val="5A4E1D0A"/>
    <w:rsid w:val="5A5F3EF1"/>
    <w:rsid w:val="5A642481"/>
    <w:rsid w:val="5A657737"/>
    <w:rsid w:val="5A67518F"/>
    <w:rsid w:val="5A6E0818"/>
    <w:rsid w:val="5A7B6CD4"/>
    <w:rsid w:val="5A953457"/>
    <w:rsid w:val="5AAC11F7"/>
    <w:rsid w:val="5ABC725D"/>
    <w:rsid w:val="5ABE7049"/>
    <w:rsid w:val="5AC835B7"/>
    <w:rsid w:val="5AE300BF"/>
    <w:rsid w:val="5B021CD1"/>
    <w:rsid w:val="5B113098"/>
    <w:rsid w:val="5B1E7D8B"/>
    <w:rsid w:val="5B2B23E6"/>
    <w:rsid w:val="5B2F53E0"/>
    <w:rsid w:val="5B301722"/>
    <w:rsid w:val="5B3D6529"/>
    <w:rsid w:val="5B48305A"/>
    <w:rsid w:val="5B4A1D1C"/>
    <w:rsid w:val="5B5721DA"/>
    <w:rsid w:val="5B5B7A35"/>
    <w:rsid w:val="5B5F66AE"/>
    <w:rsid w:val="5B695259"/>
    <w:rsid w:val="5B8878FB"/>
    <w:rsid w:val="5BAF6653"/>
    <w:rsid w:val="5BC44CEE"/>
    <w:rsid w:val="5BDA0F82"/>
    <w:rsid w:val="5BEF5D42"/>
    <w:rsid w:val="5BFF43C7"/>
    <w:rsid w:val="5C00697E"/>
    <w:rsid w:val="5C016017"/>
    <w:rsid w:val="5C2F3299"/>
    <w:rsid w:val="5C3E437F"/>
    <w:rsid w:val="5C405FA4"/>
    <w:rsid w:val="5C745451"/>
    <w:rsid w:val="5C7B12A5"/>
    <w:rsid w:val="5C896574"/>
    <w:rsid w:val="5C8C3697"/>
    <w:rsid w:val="5CAC7B1C"/>
    <w:rsid w:val="5CD13E43"/>
    <w:rsid w:val="5CEA3EA6"/>
    <w:rsid w:val="5CFD1E49"/>
    <w:rsid w:val="5D003C93"/>
    <w:rsid w:val="5D013C4E"/>
    <w:rsid w:val="5D042FB1"/>
    <w:rsid w:val="5D120B53"/>
    <w:rsid w:val="5D1658F7"/>
    <w:rsid w:val="5D255A0A"/>
    <w:rsid w:val="5D307FC6"/>
    <w:rsid w:val="5D3E4715"/>
    <w:rsid w:val="5D591FBD"/>
    <w:rsid w:val="5D814CD0"/>
    <w:rsid w:val="5D94180E"/>
    <w:rsid w:val="5DAC751D"/>
    <w:rsid w:val="5DAF5905"/>
    <w:rsid w:val="5DC411A3"/>
    <w:rsid w:val="5DCA568F"/>
    <w:rsid w:val="5DCA620A"/>
    <w:rsid w:val="5DFE433A"/>
    <w:rsid w:val="5E1373C1"/>
    <w:rsid w:val="5E16050E"/>
    <w:rsid w:val="5E215428"/>
    <w:rsid w:val="5E244AFB"/>
    <w:rsid w:val="5E420235"/>
    <w:rsid w:val="5E6747E1"/>
    <w:rsid w:val="5E734DF0"/>
    <w:rsid w:val="5E9304B7"/>
    <w:rsid w:val="5E97068D"/>
    <w:rsid w:val="5E9F5041"/>
    <w:rsid w:val="5EB543C4"/>
    <w:rsid w:val="5EB92CF5"/>
    <w:rsid w:val="5EBD156B"/>
    <w:rsid w:val="5ED30C10"/>
    <w:rsid w:val="5EDA22F4"/>
    <w:rsid w:val="5EDE0FF0"/>
    <w:rsid w:val="5EEA089E"/>
    <w:rsid w:val="5F1F3C45"/>
    <w:rsid w:val="5F2763F5"/>
    <w:rsid w:val="5F2A35FC"/>
    <w:rsid w:val="5F44566E"/>
    <w:rsid w:val="5F4C554A"/>
    <w:rsid w:val="5F532169"/>
    <w:rsid w:val="5F623E4E"/>
    <w:rsid w:val="5F630463"/>
    <w:rsid w:val="5F675369"/>
    <w:rsid w:val="5F7226CF"/>
    <w:rsid w:val="5F8F74FF"/>
    <w:rsid w:val="5F9C7872"/>
    <w:rsid w:val="5FAB474C"/>
    <w:rsid w:val="5FAC7586"/>
    <w:rsid w:val="5FB71F10"/>
    <w:rsid w:val="5FCF3527"/>
    <w:rsid w:val="5FD50C35"/>
    <w:rsid w:val="5FE06F46"/>
    <w:rsid w:val="5FEF2237"/>
    <w:rsid w:val="5FF11BD5"/>
    <w:rsid w:val="60025ECE"/>
    <w:rsid w:val="60103C68"/>
    <w:rsid w:val="60297A68"/>
    <w:rsid w:val="602D4F22"/>
    <w:rsid w:val="60343E5E"/>
    <w:rsid w:val="603F2201"/>
    <w:rsid w:val="60557755"/>
    <w:rsid w:val="605721AA"/>
    <w:rsid w:val="609972F4"/>
    <w:rsid w:val="609E6897"/>
    <w:rsid w:val="60AE77CA"/>
    <w:rsid w:val="60AF3E37"/>
    <w:rsid w:val="60B44113"/>
    <w:rsid w:val="60BE3DED"/>
    <w:rsid w:val="60C06C11"/>
    <w:rsid w:val="60C56EFB"/>
    <w:rsid w:val="60E205EA"/>
    <w:rsid w:val="60E55554"/>
    <w:rsid w:val="60E64F4C"/>
    <w:rsid w:val="60E75BD3"/>
    <w:rsid w:val="60EA573B"/>
    <w:rsid w:val="60EC4B35"/>
    <w:rsid w:val="60F12BA5"/>
    <w:rsid w:val="611B009E"/>
    <w:rsid w:val="613F7C88"/>
    <w:rsid w:val="614632BC"/>
    <w:rsid w:val="61515C91"/>
    <w:rsid w:val="615C24B2"/>
    <w:rsid w:val="617A1E26"/>
    <w:rsid w:val="618078E7"/>
    <w:rsid w:val="618426A1"/>
    <w:rsid w:val="61842912"/>
    <w:rsid w:val="61A54DD5"/>
    <w:rsid w:val="61CF2947"/>
    <w:rsid w:val="61D60995"/>
    <w:rsid w:val="61E54B40"/>
    <w:rsid w:val="622C753A"/>
    <w:rsid w:val="623F751C"/>
    <w:rsid w:val="62440787"/>
    <w:rsid w:val="62680AA0"/>
    <w:rsid w:val="626C0F79"/>
    <w:rsid w:val="626D4177"/>
    <w:rsid w:val="626E1F56"/>
    <w:rsid w:val="6275408A"/>
    <w:rsid w:val="62884618"/>
    <w:rsid w:val="628C34D3"/>
    <w:rsid w:val="62CF0AFC"/>
    <w:rsid w:val="62D65705"/>
    <w:rsid w:val="62D70BD1"/>
    <w:rsid w:val="62E47D3E"/>
    <w:rsid w:val="62E71081"/>
    <w:rsid w:val="62F35FA1"/>
    <w:rsid w:val="62F41090"/>
    <w:rsid w:val="62FB483A"/>
    <w:rsid w:val="63035AB9"/>
    <w:rsid w:val="63097573"/>
    <w:rsid w:val="630F26B0"/>
    <w:rsid w:val="6329730C"/>
    <w:rsid w:val="63416D06"/>
    <w:rsid w:val="63544033"/>
    <w:rsid w:val="637E566E"/>
    <w:rsid w:val="63A6157B"/>
    <w:rsid w:val="63AA21B4"/>
    <w:rsid w:val="63BE28A2"/>
    <w:rsid w:val="63BF617B"/>
    <w:rsid w:val="63C3108A"/>
    <w:rsid w:val="63D34A26"/>
    <w:rsid w:val="63D5650B"/>
    <w:rsid w:val="63E86159"/>
    <w:rsid w:val="63EB6C79"/>
    <w:rsid w:val="63FC019F"/>
    <w:rsid w:val="63FE4931"/>
    <w:rsid w:val="64207187"/>
    <w:rsid w:val="64400704"/>
    <w:rsid w:val="64481AB7"/>
    <w:rsid w:val="64497B3B"/>
    <w:rsid w:val="646A5FF4"/>
    <w:rsid w:val="648630F3"/>
    <w:rsid w:val="64905F02"/>
    <w:rsid w:val="64AC7C01"/>
    <w:rsid w:val="64B30F39"/>
    <w:rsid w:val="64C45F03"/>
    <w:rsid w:val="64CB5E68"/>
    <w:rsid w:val="64D5736A"/>
    <w:rsid w:val="64F658D5"/>
    <w:rsid w:val="64F851F1"/>
    <w:rsid w:val="6503795B"/>
    <w:rsid w:val="650B4346"/>
    <w:rsid w:val="652273EE"/>
    <w:rsid w:val="65234F62"/>
    <w:rsid w:val="653520B8"/>
    <w:rsid w:val="65546D2A"/>
    <w:rsid w:val="65570C34"/>
    <w:rsid w:val="655F791E"/>
    <w:rsid w:val="65625FEC"/>
    <w:rsid w:val="656466A5"/>
    <w:rsid w:val="656C7BC4"/>
    <w:rsid w:val="65705687"/>
    <w:rsid w:val="65797645"/>
    <w:rsid w:val="65930C48"/>
    <w:rsid w:val="65C23858"/>
    <w:rsid w:val="65C6174B"/>
    <w:rsid w:val="65CC520A"/>
    <w:rsid w:val="66016937"/>
    <w:rsid w:val="66183E19"/>
    <w:rsid w:val="661E6A6B"/>
    <w:rsid w:val="66394192"/>
    <w:rsid w:val="6641119C"/>
    <w:rsid w:val="664F5E55"/>
    <w:rsid w:val="66620158"/>
    <w:rsid w:val="66652ADD"/>
    <w:rsid w:val="66786257"/>
    <w:rsid w:val="669F50D8"/>
    <w:rsid w:val="66BE22A1"/>
    <w:rsid w:val="66D70B4F"/>
    <w:rsid w:val="66DC1B77"/>
    <w:rsid w:val="66E45234"/>
    <w:rsid w:val="66FF5A0E"/>
    <w:rsid w:val="67005BCA"/>
    <w:rsid w:val="670A76BC"/>
    <w:rsid w:val="67136C12"/>
    <w:rsid w:val="671C1D5F"/>
    <w:rsid w:val="6727446C"/>
    <w:rsid w:val="672C047C"/>
    <w:rsid w:val="675A65EF"/>
    <w:rsid w:val="67622824"/>
    <w:rsid w:val="677D35AE"/>
    <w:rsid w:val="67812CEA"/>
    <w:rsid w:val="679E080A"/>
    <w:rsid w:val="67B268D4"/>
    <w:rsid w:val="67BD2DA7"/>
    <w:rsid w:val="67C858B9"/>
    <w:rsid w:val="67D86D9E"/>
    <w:rsid w:val="67EE11BE"/>
    <w:rsid w:val="68015F3E"/>
    <w:rsid w:val="680C0D40"/>
    <w:rsid w:val="680C247D"/>
    <w:rsid w:val="681D6B78"/>
    <w:rsid w:val="681E63B1"/>
    <w:rsid w:val="682A461C"/>
    <w:rsid w:val="682A7050"/>
    <w:rsid w:val="683B1C26"/>
    <w:rsid w:val="68697D5D"/>
    <w:rsid w:val="686B2B83"/>
    <w:rsid w:val="686F7703"/>
    <w:rsid w:val="6889713A"/>
    <w:rsid w:val="688C49FE"/>
    <w:rsid w:val="68900446"/>
    <w:rsid w:val="689478A8"/>
    <w:rsid w:val="689D68CD"/>
    <w:rsid w:val="68BE2BAE"/>
    <w:rsid w:val="68BE3742"/>
    <w:rsid w:val="68DC1286"/>
    <w:rsid w:val="68FC27BF"/>
    <w:rsid w:val="69282672"/>
    <w:rsid w:val="69316E0A"/>
    <w:rsid w:val="693729B6"/>
    <w:rsid w:val="693B5FAC"/>
    <w:rsid w:val="69424920"/>
    <w:rsid w:val="69431305"/>
    <w:rsid w:val="69532531"/>
    <w:rsid w:val="69541AD9"/>
    <w:rsid w:val="695F5BF6"/>
    <w:rsid w:val="69650E2F"/>
    <w:rsid w:val="69665A40"/>
    <w:rsid w:val="69694D02"/>
    <w:rsid w:val="69A9488B"/>
    <w:rsid w:val="69BF7A6B"/>
    <w:rsid w:val="69C37EA1"/>
    <w:rsid w:val="69C96177"/>
    <w:rsid w:val="69CE3AD6"/>
    <w:rsid w:val="69D1439D"/>
    <w:rsid w:val="69E16BE6"/>
    <w:rsid w:val="6A042029"/>
    <w:rsid w:val="6A230268"/>
    <w:rsid w:val="6A507835"/>
    <w:rsid w:val="6A5F513A"/>
    <w:rsid w:val="6A6A009C"/>
    <w:rsid w:val="6A7150A8"/>
    <w:rsid w:val="6A9A4F55"/>
    <w:rsid w:val="6AB15C3B"/>
    <w:rsid w:val="6ABF2D94"/>
    <w:rsid w:val="6AD902D3"/>
    <w:rsid w:val="6B067187"/>
    <w:rsid w:val="6B3A694A"/>
    <w:rsid w:val="6B4C6129"/>
    <w:rsid w:val="6B4DA727"/>
    <w:rsid w:val="6B507AEB"/>
    <w:rsid w:val="6B581681"/>
    <w:rsid w:val="6B5C045C"/>
    <w:rsid w:val="6B644041"/>
    <w:rsid w:val="6B727905"/>
    <w:rsid w:val="6B9125CB"/>
    <w:rsid w:val="6B9570A0"/>
    <w:rsid w:val="6BA44506"/>
    <w:rsid w:val="6BC507CA"/>
    <w:rsid w:val="6BCE135A"/>
    <w:rsid w:val="6BD44496"/>
    <w:rsid w:val="6BD70A67"/>
    <w:rsid w:val="6BE64B7B"/>
    <w:rsid w:val="6BF315F7"/>
    <w:rsid w:val="6BFB6379"/>
    <w:rsid w:val="6C0064A4"/>
    <w:rsid w:val="6C05463D"/>
    <w:rsid w:val="6C0703C8"/>
    <w:rsid w:val="6C0A54A9"/>
    <w:rsid w:val="6C1C5DFB"/>
    <w:rsid w:val="6C223454"/>
    <w:rsid w:val="6C274259"/>
    <w:rsid w:val="6C2947E2"/>
    <w:rsid w:val="6C3A0E5A"/>
    <w:rsid w:val="6C4731DC"/>
    <w:rsid w:val="6C4C3576"/>
    <w:rsid w:val="6C542F97"/>
    <w:rsid w:val="6C557D20"/>
    <w:rsid w:val="6C5C304E"/>
    <w:rsid w:val="6C6072F1"/>
    <w:rsid w:val="6C625F0A"/>
    <w:rsid w:val="6C711CE5"/>
    <w:rsid w:val="6C714624"/>
    <w:rsid w:val="6C937EAD"/>
    <w:rsid w:val="6C9F23F5"/>
    <w:rsid w:val="6CBE317C"/>
    <w:rsid w:val="6CD07465"/>
    <w:rsid w:val="6CD504C6"/>
    <w:rsid w:val="6CDA28F7"/>
    <w:rsid w:val="6CE56DFE"/>
    <w:rsid w:val="6CEC2788"/>
    <w:rsid w:val="6CEC2A45"/>
    <w:rsid w:val="6CEC6B3F"/>
    <w:rsid w:val="6D10711C"/>
    <w:rsid w:val="6D1771CB"/>
    <w:rsid w:val="6D2E27CF"/>
    <w:rsid w:val="6D3B0237"/>
    <w:rsid w:val="6D460099"/>
    <w:rsid w:val="6D52034D"/>
    <w:rsid w:val="6D70737B"/>
    <w:rsid w:val="6D72160C"/>
    <w:rsid w:val="6D771760"/>
    <w:rsid w:val="6D993D80"/>
    <w:rsid w:val="6D9E6FAB"/>
    <w:rsid w:val="6DAF6F69"/>
    <w:rsid w:val="6DDD7B6C"/>
    <w:rsid w:val="6DDF75FC"/>
    <w:rsid w:val="6DEB3F06"/>
    <w:rsid w:val="6DF90EC9"/>
    <w:rsid w:val="6DFD037B"/>
    <w:rsid w:val="6E005A16"/>
    <w:rsid w:val="6E01448B"/>
    <w:rsid w:val="6E055C01"/>
    <w:rsid w:val="6E0617CB"/>
    <w:rsid w:val="6E0F5D4F"/>
    <w:rsid w:val="6E2E5E48"/>
    <w:rsid w:val="6E3D44F2"/>
    <w:rsid w:val="6E575584"/>
    <w:rsid w:val="6E600263"/>
    <w:rsid w:val="6E7C0E93"/>
    <w:rsid w:val="6E866386"/>
    <w:rsid w:val="6E8D6F11"/>
    <w:rsid w:val="6E8E0FE9"/>
    <w:rsid w:val="6E910AB5"/>
    <w:rsid w:val="6E9561E0"/>
    <w:rsid w:val="6ED160AB"/>
    <w:rsid w:val="6EEC15DD"/>
    <w:rsid w:val="6EF40782"/>
    <w:rsid w:val="6F150A16"/>
    <w:rsid w:val="6F4C631A"/>
    <w:rsid w:val="6F4F4683"/>
    <w:rsid w:val="6F4F6D21"/>
    <w:rsid w:val="6F58696B"/>
    <w:rsid w:val="6F653758"/>
    <w:rsid w:val="6F774A4C"/>
    <w:rsid w:val="6F7A7103"/>
    <w:rsid w:val="6F910BEB"/>
    <w:rsid w:val="6F9522BF"/>
    <w:rsid w:val="6F95673A"/>
    <w:rsid w:val="6FA02425"/>
    <w:rsid w:val="6FBB755E"/>
    <w:rsid w:val="6FCE1E96"/>
    <w:rsid w:val="6FDB4E2B"/>
    <w:rsid w:val="6FE44111"/>
    <w:rsid w:val="6FEE1B2C"/>
    <w:rsid w:val="70054720"/>
    <w:rsid w:val="70060BDA"/>
    <w:rsid w:val="70216AC8"/>
    <w:rsid w:val="70257477"/>
    <w:rsid w:val="70392C2A"/>
    <w:rsid w:val="70673123"/>
    <w:rsid w:val="706B5403"/>
    <w:rsid w:val="70745258"/>
    <w:rsid w:val="707819B0"/>
    <w:rsid w:val="709B2D07"/>
    <w:rsid w:val="709F64A5"/>
    <w:rsid w:val="70A22BEE"/>
    <w:rsid w:val="70AD6346"/>
    <w:rsid w:val="70CF02ED"/>
    <w:rsid w:val="70D37990"/>
    <w:rsid w:val="70D74AB3"/>
    <w:rsid w:val="70DA3D83"/>
    <w:rsid w:val="70DA6154"/>
    <w:rsid w:val="70E95D7A"/>
    <w:rsid w:val="71136C4F"/>
    <w:rsid w:val="7119421C"/>
    <w:rsid w:val="71195689"/>
    <w:rsid w:val="712E15B0"/>
    <w:rsid w:val="71333A0D"/>
    <w:rsid w:val="7145658E"/>
    <w:rsid w:val="714D0A49"/>
    <w:rsid w:val="71641E18"/>
    <w:rsid w:val="717464FF"/>
    <w:rsid w:val="717520A9"/>
    <w:rsid w:val="71773FD0"/>
    <w:rsid w:val="718D68F6"/>
    <w:rsid w:val="718F0DD3"/>
    <w:rsid w:val="719F0B7C"/>
    <w:rsid w:val="71C47E43"/>
    <w:rsid w:val="71CD6934"/>
    <w:rsid w:val="71EA15C0"/>
    <w:rsid w:val="71F83BE6"/>
    <w:rsid w:val="71FB65A1"/>
    <w:rsid w:val="724F649A"/>
    <w:rsid w:val="725737C3"/>
    <w:rsid w:val="725B7A98"/>
    <w:rsid w:val="72663112"/>
    <w:rsid w:val="726A644A"/>
    <w:rsid w:val="72757496"/>
    <w:rsid w:val="727B41C2"/>
    <w:rsid w:val="72B868C0"/>
    <w:rsid w:val="72D078CE"/>
    <w:rsid w:val="72FC64CC"/>
    <w:rsid w:val="732775A1"/>
    <w:rsid w:val="732860A1"/>
    <w:rsid w:val="73517BC9"/>
    <w:rsid w:val="735E1215"/>
    <w:rsid w:val="7368762D"/>
    <w:rsid w:val="73736404"/>
    <w:rsid w:val="738F5872"/>
    <w:rsid w:val="739542C9"/>
    <w:rsid w:val="73974727"/>
    <w:rsid w:val="73B44DF0"/>
    <w:rsid w:val="73DE6C29"/>
    <w:rsid w:val="73ED2599"/>
    <w:rsid w:val="73F21076"/>
    <w:rsid w:val="73F86161"/>
    <w:rsid w:val="74060BC4"/>
    <w:rsid w:val="7417189B"/>
    <w:rsid w:val="74340A39"/>
    <w:rsid w:val="743F7839"/>
    <w:rsid w:val="744068E6"/>
    <w:rsid w:val="74611F1F"/>
    <w:rsid w:val="747E3AC9"/>
    <w:rsid w:val="749134A8"/>
    <w:rsid w:val="7491533F"/>
    <w:rsid w:val="74B26060"/>
    <w:rsid w:val="74CA6436"/>
    <w:rsid w:val="74D22127"/>
    <w:rsid w:val="74FA4F6E"/>
    <w:rsid w:val="74FA67DF"/>
    <w:rsid w:val="750C4CA1"/>
    <w:rsid w:val="750D524B"/>
    <w:rsid w:val="75122D67"/>
    <w:rsid w:val="752B15CB"/>
    <w:rsid w:val="753400A0"/>
    <w:rsid w:val="753D053B"/>
    <w:rsid w:val="7541330A"/>
    <w:rsid w:val="75466AC9"/>
    <w:rsid w:val="754D199A"/>
    <w:rsid w:val="755D535B"/>
    <w:rsid w:val="7579504C"/>
    <w:rsid w:val="75846400"/>
    <w:rsid w:val="759E4860"/>
    <w:rsid w:val="75A17D9A"/>
    <w:rsid w:val="75C26102"/>
    <w:rsid w:val="75CC5A83"/>
    <w:rsid w:val="75D94B83"/>
    <w:rsid w:val="75D94C4A"/>
    <w:rsid w:val="75DE663D"/>
    <w:rsid w:val="75FA2E50"/>
    <w:rsid w:val="75FA4693"/>
    <w:rsid w:val="76072028"/>
    <w:rsid w:val="761A3604"/>
    <w:rsid w:val="76236746"/>
    <w:rsid w:val="7638054D"/>
    <w:rsid w:val="76390E53"/>
    <w:rsid w:val="765462FE"/>
    <w:rsid w:val="76747746"/>
    <w:rsid w:val="767577A0"/>
    <w:rsid w:val="767A2D7C"/>
    <w:rsid w:val="768611D1"/>
    <w:rsid w:val="769516F8"/>
    <w:rsid w:val="76A21419"/>
    <w:rsid w:val="76A61737"/>
    <w:rsid w:val="76BE11CF"/>
    <w:rsid w:val="76DD4504"/>
    <w:rsid w:val="76E70D8B"/>
    <w:rsid w:val="770A498E"/>
    <w:rsid w:val="770C71DA"/>
    <w:rsid w:val="771714FB"/>
    <w:rsid w:val="774B2EC4"/>
    <w:rsid w:val="7761477F"/>
    <w:rsid w:val="776A7337"/>
    <w:rsid w:val="776D5ECB"/>
    <w:rsid w:val="77737259"/>
    <w:rsid w:val="77784870"/>
    <w:rsid w:val="7795671A"/>
    <w:rsid w:val="77A33245"/>
    <w:rsid w:val="77B41026"/>
    <w:rsid w:val="77BA4A6D"/>
    <w:rsid w:val="77C37726"/>
    <w:rsid w:val="77C7AC43"/>
    <w:rsid w:val="77CC6237"/>
    <w:rsid w:val="77DA4C08"/>
    <w:rsid w:val="78041F2B"/>
    <w:rsid w:val="78075E71"/>
    <w:rsid w:val="782B3553"/>
    <w:rsid w:val="78336226"/>
    <w:rsid w:val="783764D9"/>
    <w:rsid w:val="78700E16"/>
    <w:rsid w:val="788020B9"/>
    <w:rsid w:val="7882362E"/>
    <w:rsid w:val="7883171E"/>
    <w:rsid w:val="78A551F0"/>
    <w:rsid w:val="78AB6CF2"/>
    <w:rsid w:val="78AC3435"/>
    <w:rsid w:val="78AD6FBF"/>
    <w:rsid w:val="78B11857"/>
    <w:rsid w:val="78CE2F07"/>
    <w:rsid w:val="78D906C2"/>
    <w:rsid w:val="78E4594A"/>
    <w:rsid w:val="78F3385C"/>
    <w:rsid w:val="78F85823"/>
    <w:rsid w:val="78FF40FB"/>
    <w:rsid w:val="78FF5EC9"/>
    <w:rsid w:val="79104CCD"/>
    <w:rsid w:val="792C42FB"/>
    <w:rsid w:val="793D18CD"/>
    <w:rsid w:val="7940316B"/>
    <w:rsid w:val="794857A6"/>
    <w:rsid w:val="79555AAA"/>
    <w:rsid w:val="79585961"/>
    <w:rsid w:val="79614897"/>
    <w:rsid w:val="79680FED"/>
    <w:rsid w:val="796C5AFC"/>
    <w:rsid w:val="798C015E"/>
    <w:rsid w:val="79AB0347"/>
    <w:rsid w:val="79BB2545"/>
    <w:rsid w:val="79CE7A18"/>
    <w:rsid w:val="79D36296"/>
    <w:rsid w:val="79E92230"/>
    <w:rsid w:val="79F20909"/>
    <w:rsid w:val="7A03359B"/>
    <w:rsid w:val="7A24483B"/>
    <w:rsid w:val="7A3763E6"/>
    <w:rsid w:val="7A48677B"/>
    <w:rsid w:val="7A4F7B07"/>
    <w:rsid w:val="7A595BB0"/>
    <w:rsid w:val="7A6237C0"/>
    <w:rsid w:val="7A640DEF"/>
    <w:rsid w:val="7A685998"/>
    <w:rsid w:val="7A823691"/>
    <w:rsid w:val="7A8D3CCA"/>
    <w:rsid w:val="7A9A26CA"/>
    <w:rsid w:val="7AAA2F92"/>
    <w:rsid w:val="7AAE68CF"/>
    <w:rsid w:val="7B0F0EC6"/>
    <w:rsid w:val="7B3B3EC1"/>
    <w:rsid w:val="7B57562F"/>
    <w:rsid w:val="7B6F07D6"/>
    <w:rsid w:val="7B7114EB"/>
    <w:rsid w:val="7B766521"/>
    <w:rsid w:val="7B880A1A"/>
    <w:rsid w:val="7B954CBF"/>
    <w:rsid w:val="7B9733B3"/>
    <w:rsid w:val="7B9A6B24"/>
    <w:rsid w:val="7B9A6FC5"/>
    <w:rsid w:val="7BA269EE"/>
    <w:rsid w:val="7BAD2C95"/>
    <w:rsid w:val="7BC16174"/>
    <w:rsid w:val="7BC47376"/>
    <w:rsid w:val="7BE95D3C"/>
    <w:rsid w:val="7BEF6D51"/>
    <w:rsid w:val="7C00147E"/>
    <w:rsid w:val="7C0A030E"/>
    <w:rsid w:val="7C0E1600"/>
    <w:rsid w:val="7C156B31"/>
    <w:rsid w:val="7C1F1598"/>
    <w:rsid w:val="7C301156"/>
    <w:rsid w:val="7C3717CE"/>
    <w:rsid w:val="7C404439"/>
    <w:rsid w:val="7C464F3C"/>
    <w:rsid w:val="7C504F2B"/>
    <w:rsid w:val="7C5D354B"/>
    <w:rsid w:val="7C691183"/>
    <w:rsid w:val="7C727ADF"/>
    <w:rsid w:val="7C7B80C3"/>
    <w:rsid w:val="7CC279FA"/>
    <w:rsid w:val="7CCA568F"/>
    <w:rsid w:val="7CCF16D8"/>
    <w:rsid w:val="7CE5722C"/>
    <w:rsid w:val="7CE606DC"/>
    <w:rsid w:val="7CFF06C4"/>
    <w:rsid w:val="7D0D2D49"/>
    <w:rsid w:val="7D124071"/>
    <w:rsid w:val="7D203553"/>
    <w:rsid w:val="7D204893"/>
    <w:rsid w:val="7D262F77"/>
    <w:rsid w:val="7D2D2977"/>
    <w:rsid w:val="7D4441A2"/>
    <w:rsid w:val="7D507FC0"/>
    <w:rsid w:val="7D630C6B"/>
    <w:rsid w:val="7D636408"/>
    <w:rsid w:val="7D9948DF"/>
    <w:rsid w:val="7D9C56A0"/>
    <w:rsid w:val="7DC47C61"/>
    <w:rsid w:val="7DD50326"/>
    <w:rsid w:val="7DD76F8A"/>
    <w:rsid w:val="7DF012B4"/>
    <w:rsid w:val="7E00744C"/>
    <w:rsid w:val="7E059672"/>
    <w:rsid w:val="7E15039E"/>
    <w:rsid w:val="7E27194F"/>
    <w:rsid w:val="7E2B3A18"/>
    <w:rsid w:val="7E2C4A3B"/>
    <w:rsid w:val="7E3E236F"/>
    <w:rsid w:val="7E5D471B"/>
    <w:rsid w:val="7E7935FD"/>
    <w:rsid w:val="7E852BEE"/>
    <w:rsid w:val="7E93508E"/>
    <w:rsid w:val="7E93527C"/>
    <w:rsid w:val="7EA66C06"/>
    <w:rsid w:val="7EB672AA"/>
    <w:rsid w:val="7EC17537"/>
    <w:rsid w:val="7EEB3B79"/>
    <w:rsid w:val="7EF1219D"/>
    <w:rsid w:val="7EF96296"/>
    <w:rsid w:val="7F0969F7"/>
    <w:rsid w:val="7F345C81"/>
    <w:rsid w:val="7F4033B0"/>
    <w:rsid w:val="7F4A08A0"/>
    <w:rsid w:val="7F4B17C2"/>
    <w:rsid w:val="7F65074C"/>
    <w:rsid w:val="7F664928"/>
    <w:rsid w:val="7F6B1C88"/>
    <w:rsid w:val="7F7B32CA"/>
    <w:rsid w:val="7F7F0522"/>
    <w:rsid w:val="7FA44454"/>
    <w:rsid w:val="7FAA5858"/>
    <w:rsid w:val="7FAB77AE"/>
    <w:rsid w:val="7FAF3BDF"/>
    <w:rsid w:val="7FC54664"/>
    <w:rsid w:val="7FD50AB1"/>
    <w:rsid w:val="7FDD0715"/>
    <w:rsid w:val="7FF8015F"/>
    <w:rsid w:val="CFF7378B"/>
    <w:rsid w:val="DFDD4BDE"/>
    <w:rsid w:val="EEFB47DE"/>
    <w:rsid w:val="EFCF488C"/>
    <w:rsid w:val="FE7F3D6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link w:val="54"/>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4">
    <w:name w:val="heading 3"/>
    <w:basedOn w:val="1"/>
    <w:next w:val="1"/>
    <w:link w:val="56"/>
    <w:qFormat/>
    <w:uiPriority w:val="0"/>
    <w:pPr>
      <w:keepNext/>
      <w:keepLines/>
      <w:spacing w:before="260" w:beforeLines="0" w:after="260" w:afterLines="0" w:line="416" w:lineRule="auto"/>
      <w:outlineLvl w:val="2"/>
    </w:pPr>
    <w:rPr>
      <w:b/>
      <w:bCs/>
      <w:sz w:val="32"/>
      <w:szCs w:val="32"/>
    </w:rPr>
  </w:style>
  <w:style w:type="paragraph" w:styleId="5">
    <w:name w:val="heading 4"/>
    <w:basedOn w:val="1"/>
    <w:next w:val="1"/>
    <w:link w:val="57"/>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9">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0">
    <w:name w:val="heading 9"/>
    <w:basedOn w:val="1"/>
    <w:next w:val="1"/>
    <w:link w:val="58"/>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rmal Indent"/>
    <w:basedOn w:val="1"/>
    <w:link w:val="59"/>
    <w:qFormat/>
    <w:uiPriority w:val="99"/>
    <w:pPr>
      <w:widowControl/>
      <w:ind w:firstLine="420"/>
      <w:jc w:val="left"/>
    </w:pPr>
    <w:rPr>
      <w:kern w:val="0"/>
      <w:sz w:val="20"/>
      <w:szCs w:val="20"/>
    </w:rPr>
  </w:style>
  <w:style w:type="paragraph" w:styleId="13">
    <w:name w:val="caption"/>
    <w:basedOn w:val="1"/>
    <w:next w:val="1"/>
    <w:qFormat/>
    <w:uiPriority w:val="0"/>
    <w:rPr>
      <w:rFonts w:ascii="Arial" w:hAnsi="Arial" w:eastAsia="黑体"/>
      <w:sz w:val="20"/>
    </w:rPr>
  </w:style>
  <w:style w:type="paragraph" w:styleId="14">
    <w:name w:val="Document Map"/>
    <w:basedOn w:val="1"/>
    <w:link w:val="60"/>
    <w:qFormat/>
    <w:uiPriority w:val="0"/>
    <w:pPr>
      <w:shd w:val="clear" w:color="auto" w:fill="000080"/>
    </w:pPr>
  </w:style>
  <w:style w:type="paragraph" w:styleId="15">
    <w:name w:val="annotation text"/>
    <w:basedOn w:val="1"/>
    <w:link w:val="61"/>
    <w:qFormat/>
    <w:uiPriority w:val="99"/>
    <w:pPr>
      <w:adjustRightInd w:val="0"/>
      <w:spacing w:line="360" w:lineRule="atLeast"/>
      <w:jc w:val="left"/>
      <w:textAlignment w:val="baseline"/>
    </w:pPr>
    <w:rPr>
      <w:kern w:val="0"/>
      <w:sz w:val="24"/>
      <w:szCs w:val="20"/>
    </w:rPr>
  </w:style>
  <w:style w:type="paragraph" w:styleId="16">
    <w:name w:val="Body Text 3"/>
    <w:basedOn w:val="1"/>
    <w:link w:val="62"/>
    <w:qFormat/>
    <w:uiPriority w:val="0"/>
    <w:pPr>
      <w:spacing w:line="440" w:lineRule="exact"/>
    </w:pPr>
    <w:rPr>
      <w:sz w:val="24"/>
    </w:rPr>
  </w:style>
  <w:style w:type="paragraph" w:styleId="17">
    <w:name w:val="Body Text"/>
    <w:basedOn w:val="1"/>
    <w:next w:val="1"/>
    <w:link w:val="63"/>
    <w:qFormat/>
    <w:uiPriority w:val="0"/>
    <w:pPr>
      <w:jc w:val="center"/>
    </w:pPr>
    <w:rPr>
      <w:sz w:val="52"/>
    </w:rPr>
  </w:style>
  <w:style w:type="paragraph" w:styleId="18">
    <w:name w:val="Body Text Indent"/>
    <w:basedOn w:val="1"/>
    <w:next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4"/>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5"/>
    <w:qFormat/>
    <w:uiPriority w:val="0"/>
    <w:rPr>
      <w:sz w:val="18"/>
      <w:szCs w:val="18"/>
    </w:rPr>
  </w:style>
  <w:style w:type="paragraph" w:styleId="26">
    <w:name w:val="footer"/>
    <w:basedOn w:val="1"/>
    <w:link w:val="66"/>
    <w:qFormat/>
    <w:uiPriority w:val="99"/>
    <w:pPr>
      <w:tabs>
        <w:tab w:val="center" w:pos="4153"/>
        <w:tab w:val="right" w:pos="8306"/>
      </w:tabs>
      <w:snapToGrid w:val="0"/>
      <w:jc w:val="left"/>
    </w:pPr>
    <w:rPr>
      <w:sz w:val="18"/>
      <w:szCs w:val="18"/>
    </w:rPr>
  </w:style>
  <w:style w:type="paragraph" w:styleId="27">
    <w:name w:val="header"/>
    <w:basedOn w:val="1"/>
    <w:link w:val="67"/>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next w:val="1"/>
    <w:link w:val="68"/>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5"/>
    <w:next w:val="15"/>
    <w:link w:val="69"/>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标题 2 字符"/>
    <w:link w:val="3"/>
    <w:qFormat/>
    <w:locked/>
    <w:uiPriority w:val="0"/>
    <w:rPr>
      <w:rFonts w:ascii="Arial" w:hAnsi="Arial"/>
      <w:b/>
      <w:bCs/>
      <w:color w:val="FF0000"/>
      <w:kern w:val="2"/>
      <w:sz w:val="28"/>
      <w:szCs w:val="32"/>
    </w:rPr>
  </w:style>
  <w:style w:type="character" w:customStyle="1" w:styleId="55">
    <w:name w:val="标题 1 字符"/>
    <w:link w:val="2"/>
    <w:qFormat/>
    <w:locked/>
    <w:uiPriority w:val="0"/>
    <w:rPr>
      <w:b/>
      <w:bCs/>
      <w:kern w:val="44"/>
      <w:sz w:val="44"/>
      <w:szCs w:val="44"/>
    </w:rPr>
  </w:style>
  <w:style w:type="character" w:customStyle="1" w:styleId="56">
    <w:name w:val="标题 3 字符"/>
    <w:link w:val="4"/>
    <w:qFormat/>
    <w:uiPriority w:val="0"/>
    <w:rPr>
      <w:b/>
      <w:bCs/>
      <w:kern w:val="2"/>
      <w:sz w:val="32"/>
      <w:szCs w:val="32"/>
    </w:rPr>
  </w:style>
  <w:style w:type="character" w:customStyle="1" w:styleId="57">
    <w:name w:val="标题 4 字符"/>
    <w:link w:val="5"/>
    <w:qFormat/>
    <w:uiPriority w:val="0"/>
    <w:rPr>
      <w:rFonts w:ascii="Arial" w:hAnsi="Arial" w:eastAsia="黑体"/>
      <w:b/>
      <w:bCs/>
      <w:kern w:val="2"/>
      <w:sz w:val="28"/>
      <w:szCs w:val="28"/>
    </w:rPr>
  </w:style>
  <w:style w:type="character" w:customStyle="1" w:styleId="58">
    <w:name w:val="标题 9 字符"/>
    <w:link w:val="10"/>
    <w:qFormat/>
    <w:uiPriority w:val="0"/>
    <w:rPr>
      <w:rFonts w:ascii="Arial" w:hAnsi="Arial" w:eastAsia="黑体"/>
      <w:sz w:val="21"/>
      <w:szCs w:val="21"/>
    </w:rPr>
  </w:style>
  <w:style w:type="character" w:customStyle="1" w:styleId="59">
    <w:name w:val="正文缩进 字符1"/>
    <w:link w:val="12"/>
    <w:qFormat/>
    <w:uiPriority w:val="0"/>
  </w:style>
  <w:style w:type="character" w:customStyle="1" w:styleId="60">
    <w:name w:val="文档结构图 字符"/>
    <w:link w:val="14"/>
    <w:qFormat/>
    <w:uiPriority w:val="0"/>
    <w:rPr>
      <w:kern w:val="2"/>
      <w:sz w:val="21"/>
      <w:szCs w:val="24"/>
      <w:shd w:val="clear" w:color="auto" w:fill="000080"/>
    </w:rPr>
  </w:style>
  <w:style w:type="character" w:customStyle="1" w:styleId="61">
    <w:name w:val="批注文字 字符1"/>
    <w:link w:val="15"/>
    <w:qFormat/>
    <w:locked/>
    <w:uiPriority w:val="99"/>
    <w:rPr>
      <w:sz w:val="24"/>
    </w:rPr>
  </w:style>
  <w:style w:type="character" w:customStyle="1" w:styleId="62">
    <w:name w:val="正文文本 3 字符"/>
    <w:link w:val="16"/>
    <w:qFormat/>
    <w:uiPriority w:val="0"/>
    <w:rPr>
      <w:kern w:val="2"/>
      <w:sz w:val="24"/>
      <w:szCs w:val="24"/>
    </w:rPr>
  </w:style>
  <w:style w:type="character" w:customStyle="1" w:styleId="63">
    <w:name w:val="正文文本 字符"/>
    <w:link w:val="17"/>
    <w:qFormat/>
    <w:locked/>
    <w:uiPriority w:val="0"/>
    <w:rPr>
      <w:kern w:val="2"/>
      <w:sz w:val="52"/>
      <w:szCs w:val="24"/>
    </w:rPr>
  </w:style>
  <w:style w:type="character" w:customStyle="1" w:styleId="64">
    <w:name w:val="纯文本 字符"/>
    <w:link w:val="21"/>
    <w:qFormat/>
    <w:uiPriority w:val="0"/>
    <w:rPr>
      <w:rFonts w:ascii="宋体" w:hAnsi="Courier New"/>
      <w:kern w:val="2"/>
      <w:sz w:val="21"/>
    </w:rPr>
  </w:style>
  <w:style w:type="character" w:customStyle="1" w:styleId="65">
    <w:name w:val="批注框文本 字符"/>
    <w:link w:val="25"/>
    <w:qFormat/>
    <w:locked/>
    <w:uiPriority w:val="0"/>
    <w:rPr>
      <w:kern w:val="2"/>
      <w:sz w:val="18"/>
      <w:szCs w:val="18"/>
    </w:rPr>
  </w:style>
  <w:style w:type="character" w:customStyle="1" w:styleId="66">
    <w:name w:val="页脚 字符"/>
    <w:link w:val="26"/>
    <w:qFormat/>
    <w:uiPriority w:val="99"/>
    <w:rPr>
      <w:kern w:val="2"/>
      <w:sz w:val="18"/>
      <w:szCs w:val="18"/>
    </w:rPr>
  </w:style>
  <w:style w:type="character" w:customStyle="1" w:styleId="67">
    <w:name w:val="页眉 字符"/>
    <w:link w:val="27"/>
    <w:qFormat/>
    <w:locked/>
    <w:uiPriority w:val="99"/>
    <w:rPr>
      <w:kern w:val="2"/>
      <w:sz w:val="18"/>
      <w:szCs w:val="18"/>
    </w:rPr>
  </w:style>
  <w:style w:type="character" w:customStyle="1" w:styleId="68">
    <w:name w:val="标题 字符"/>
    <w:link w:val="37"/>
    <w:qFormat/>
    <w:locked/>
    <w:uiPriority w:val="0"/>
    <w:rPr>
      <w:rFonts w:ascii="Arial" w:hAnsi="Arial"/>
      <w:b/>
      <w:kern w:val="28"/>
      <w:sz w:val="32"/>
    </w:rPr>
  </w:style>
  <w:style w:type="character" w:customStyle="1" w:styleId="69">
    <w:name w:val="批注主题 字符"/>
    <w:link w:val="38"/>
    <w:qFormat/>
    <w:locked/>
    <w:uiPriority w:val="0"/>
    <w:rPr>
      <w:b/>
      <w:bCs/>
      <w:kern w:val="2"/>
      <w:sz w:val="21"/>
      <w:szCs w:val="24"/>
    </w:rPr>
  </w:style>
  <w:style w:type="character" w:customStyle="1" w:styleId="70">
    <w:name w:val="bd-close"/>
    <w:qFormat/>
    <w:uiPriority w:val="0"/>
    <w:rPr>
      <w:vanish/>
    </w:rPr>
  </w:style>
  <w:style w:type="character" w:customStyle="1" w:styleId="71">
    <w:name w:val="封面标题 Char"/>
    <w:link w:val="72"/>
    <w:qFormat/>
    <w:uiPriority w:val="0"/>
    <w:rPr>
      <w:rFonts w:ascii="黑体" w:eastAsia="黑体"/>
      <w:sz w:val="52"/>
      <w:szCs w:val="52"/>
    </w:rPr>
  </w:style>
  <w:style w:type="paragraph" w:customStyle="1" w:styleId="72">
    <w:name w:val="封面标题"/>
    <w:basedOn w:val="1"/>
    <w:link w:val="71"/>
    <w:qFormat/>
    <w:uiPriority w:val="0"/>
    <w:pPr>
      <w:spacing w:line="276" w:lineRule="auto"/>
      <w:jc w:val="center"/>
    </w:pPr>
    <w:rPr>
      <w:rFonts w:ascii="黑体" w:eastAsia="黑体"/>
      <w:kern w:val="0"/>
      <w:sz w:val="52"/>
      <w:szCs w:val="52"/>
    </w:rPr>
  </w:style>
  <w:style w:type="character" w:customStyle="1" w:styleId="73">
    <w:name w:val="Balloon Text Char"/>
    <w:qFormat/>
    <w:locked/>
    <w:uiPriority w:val="0"/>
    <w:rPr>
      <w:rFonts w:ascii="Calibri" w:hAnsi="Calibri" w:eastAsia="宋体"/>
      <w:sz w:val="18"/>
    </w:rPr>
  </w:style>
  <w:style w:type="character" w:customStyle="1" w:styleId="74">
    <w:name w:val="列表段落 字符"/>
    <w:link w:val="75"/>
    <w:qFormat/>
    <w:locked/>
    <w:uiPriority w:val="34"/>
    <w:rPr>
      <w:rFonts w:cs="Calibri"/>
      <w:kern w:val="2"/>
      <w:sz w:val="21"/>
      <w:szCs w:val="24"/>
    </w:rPr>
  </w:style>
  <w:style w:type="paragraph" w:styleId="75">
    <w:name w:val="List Paragraph"/>
    <w:basedOn w:val="1"/>
    <w:link w:val="74"/>
    <w:qFormat/>
    <w:uiPriority w:val="34"/>
    <w:pPr>
      <w:ind w:firstLine="420" w:firstLineChars="200"/>
    </w:pPr>
    <w:rPr>
      <w:rFonts w:ascii="Calibri" w:hAnsi="Calibri" w:cs="Calibri"/>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character" w:customStyle="1" w:styleId="77">
    <w:name w:val="标题2 Char"/>
    <w:link w:val="78"/>
    <w:qFormat/>
    <w:uiPriority w:val="0"/>
    <w:rPr>
      <w:rFonts w:ascii="黑体" w:hAnsi="宋体" w:cs="黑体"/>
      <w:b/>
      <w:bCs/>
      <w:sz w:val="28"/>
      <w:szCs w:val="28"/>
    </w:rPr>
  </w:style>
  <w:style w:type="paragraph" w:customStyle="1" w:styleId="78">
    <w:name w:val="标题2"/>
    <w:basedOn w:val="5"/>
    <w:next w:val="1"/>
    <w:link w:val="77"/>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79">
    <w:name w:val="纯文本 Char"/>
    <w:qFormat/>
    <w:locked/>
    <w:uiPriority w:val="0"/>
    <w:rPr>
      <w:rFonts w:ascii="Calibri" w:hAnsi="Calibri" w:cs="Calibri"/>
    </w:rPr>
  </w:style>
  <w:style w:type="character" w:customStyle="1" w:styleId="80">
    <w:name w:val="first-child"/>
    <w:qFormat/>
    <w:uiPriority w:val="0"/>
  </w:style>
  <w:style w:type="character" w:customStyle="1" w:styleId="81">
    <w:name w:val="tmpztreemove_arrow"/>
    <w:qFormat/>
    <w:uiPriority w:val="0"/>
  </w:style>
  <w:style w:type="character" w:customStyle="1" w:styleId="82">
    <w:name w:val="right"/>
    <w:qFormat/>
    <w:uiPriority w:val="0"/>
  </w:style>
  <w:style w:type="character" w:customStyle="1" w:styleId="83">
    <w:name w:val="批注引用1"/>
    <w:qFormat/>
    <w:uiPriority w:val="0"/>
    <w:rPr>
      <w:sz w:val="21"/>
    </w:rPr>
  </w:style>
  <w:style w:type="character" w:customStyle="1" w:styleId="84">
    <w:name w:val="left2"/>
    <w:qFormat/>
    <w:uiPriority w:val="0"/>
    <w:rPr>
      <w:color w:val="FF4700"/>
    </w:rPr>
  </w:style>
  <w:style w:type="character" w:customStyle="1" w:styleId="85">
    <w:name w:val="left"/>
    <w:qFormat/>
    <w:uiPriority w:val="0"/>
    <w:rPr>
      <w:color w:val="FF4700"/>
    </w:rPr>
  </w:style>
  <w:style w:type="character" w:customStyle="1" w:styleId="86">
    <w:name w:val="font31"/>
    <w:qFormat/>
    <w:uiPriority w:val="0"/>
    <w:rPr>
      <w:rFonts w:hint="eastAsia" w:ascii="仿宋" w:hAnsi="仿宋" w:eastAsia="仿宋" w:cs="仿宋"/>
      <w:color w:val="000000"/>
      <w:kern w:val="0"/>
      <w:sz w:val="20"/>
      <w:szCs w:val="20"/>
      <w:u w:val="none"/>
    </w:rPr>
  </w:style>
  <w:style w:type="character" w:customStyle="1" w:styleId="87">
    <w:name w:val="Comment Text Char"/>
    <w:qFormat/>
    <w:locked/>
    <w:uiPriority w:val="0"/>
    <w:rPr>
      <w:rFonts w:ascii="Times New Roman" w:hAnsi="Times New Roman" w:eastAsia="宋体"/>
      <w:sz w:val="24"/>
    </w:rPr>
  </w:style>
  <w:style w:type="character" w:customStyle="1" w:styleId="88">
    <w:name w:val="彩色列表 - 强调文字颜色 1 Char"/>
    <w:link w:val="89"/>
    <w:qFormat/>
    <w:uiPriority w:val="34"/>
    <w:rPr>
      <w:rFonts w:ascii="Calibri" w:hAnsi="Calibri"/>
      <w:kern w:val="2"/>
      <w:sz w:val="21"/>
      <w:szCs w:val="22"/>
    </w:rPr>
  </w:style>
  <w:style w:type="paragraph" w:customStyle="1" w:styleId="89">
    <w:name w:val="彩色列表 - 强调文字颜色 11"/>
    <w:basedOn w:val="1"/>
    <w:link w:val="88"/>
    <w:qFormat/>
    <w:uiPriority w:val="34"/>
    <w:pPr>
      <w:ind w:firstLine="420" w:firstLineChars="200"/>
    </w:pPr>
    <w:rPr>
      <w:rFonts w:ascii="Calibri" w:hAnsi="Calibri"/>
      <w:szCs w:val="22"/>
    </w:rPr>
  </w:style>
  <w:style w:type="character" w:customStyle="1" w:styleId="90">
    <w:name w:val="封面合同编号 Char"/>
    <w:link w:val="91"/>
    <w:qFormat/>
    <w:uiPriority w:val="0"/>
    <w:rPr>
      <w:rFonts w:ascii="Calibri" w:hAnsi="Calibri"/>
      <w:kern w:val="2"/>
      <w:sz w:val="21"/>
      <w:szCs w:val="22"/>
    </w:rPr>
  </w:style>
  <w:style w:type="paragraph" w:customStyle="1" w:styleId="91">
    <w:name w:val="封面合同编号"/>
    <w:basedOn w:val="1"/>
    <w:link w:val="90"/>
    <w:qFormat/>
    <w:uiPriority w:val="0"/>
    <w:pPr>
      <w:spacing w:line="276" w:lineRule="auto"/>
      <w:ind w:right="1701"/>
      <w:jc w:val="right"/>
    </w:pPr>
    <w:rPr>
      <w:rFonts w:ascii="Calibri" w:hAnsi="Calibri"/>
      <w:szCs w:val="22"/>
    </w:rPr>
  </w:style>
  <w:style w:type="character" w:customStyle="1" w:styleId="92">
    <w:name w:val="批注文字 Char1"/>
    <w:qFormat/>
    <w:uiPriority w:val="99"/>
    <w:rPr>
      <w:kern w:val="2"/>
      <w:sz w:val="21"/>
    </w:rPr>
  </w:style>
  <w:style w:type="character" w:customStyle="1" w:styleId="93">
    <w:name w:val="edui-unclickable"/>
    <w:qFormat/>
    <w:uiPriority w:val="0"/>
    <w:rPr>
      <w:color w:val="808080"/>
    </w:rPr>
  </w:style>
  <w:style w:type="character" w:customStyle="1" w:styleId="94">
    <w:name w:val="日期 Char"/>
    <w:link w:val="95"/>
    <w:qFormat/>
    <w:locked/>
    <w:uiPriority w:val="0"/>
    <w:rPr>
      <w:rFonts w:ascii="Calibri" w:hAnsi="Calibri"/>
    </w:rPr>
  </w:style>
  <w:style w:type="paragraph" w:customStyle="1" w:styleId="95">
    <w:name w:val="日期1"/>
    <w:basedOn w:val="1"/>
    <w:next w:val="1"/>
    <w:link w:val="94"/>
    <w:qFormat/>
    <w:uiPriority w:val="0"/>
    <w:pPr>
      <w:ind w:left="100" w:leftChars="2500"/>
    </w:pPr>
    <w:rPr>
      <w:rFonts w:ascii="Calibri" w:hAnsi="Calibri"/>
      <w:kern w:val="0"/>
      <w:sz w:val="20"/>
      <w:szCs w:val="20"/>
    </w:rPr>
  </w:style>
  <w:style w:type="character" w:customStyle="1" w:styleId="96">
    <w:name w:val="中文正文、 Char Char"/>
    <w:link w:val="97"/>
    <w:qFormat/>
    <w:uiPriority w:val="0"/>
    <w:rPr>
      <w:kern w:val="2"/>
      <w:sz w:val="21"/>
      <w:szCs w:val="21"/>
    </w:rPr>
  </w:style>
  <w:style w:type="paragraph" w:customStyle="1" w:styleId="97">
    <w:name w:val="中文正文、"/>
    <w:basedOn w:val="1"/>
    <w:link w:val="96"/>
    <w:qFormat/>
    <w:uiPriority w:val="0"/>
    <w:pPr>
      <w:adjustRightInd/>
      <w:spacing w:line="360" w:lineRule="auto"/>
      <w:ind w:firstLine="420" w:firstLineChars="200"/>
    </w:pPr>
    <w:rPr>
      <w:szCs w:val="21"/>
    </w:rPr>
  </w:style>
  <w:style w:type="character" w:customStyle="1" w:styleId="98">
    <w:name w:val="文档结构图 Char"/>
    <w:link w:val="99"/>
    <w:qFormat/>
    <w:locked/>
    <w:uiPriority w:val="0"/>
    <w:rPr>
      <w:rFonts w:ascii="宋体" w:hAnsi="Calibri"/>
      <w:sz w:val="18"/>
    </w:rPr>
  </w:style>
  <w:style w:type="paragraph" w:customStyle="1" w:styleId="99">
    <w:name w:val="文档结构图1"/>
    <w:basedOn w:val="1"/>
    <w:link w:val="98"/>
    <w:qFormat/>
    <w:uiPriority w:val="0"/>
    <w:rPr>
      <w:rFonts w:ascii="宋体" w:hAnsi="Calibri"/>
      <w:kern w:val="0"/>
      <w:sz w:val="18"/>
      <w:szCs w:val="20"/>
    </w:rPr>
  </w:style>
  <w:style w:type="character" w:customStyle="1" w:styleId="100">
    <w:name w:val="Title Char"/>
    <w:qFormat/>
    <w:locked/>
    <w:uiPriority w:val="0"/>
    <w:rPr>
      <w:rFonts w:ascii="Cambria" w:hAnsi="Cambria" w:eastAsia="宋体"/>
      <w:b/>
      <w:sz w:val="32"/>
    </w:rPr>
  </w:style>
  <w:style w:type="character" w:customStyle="1" w:styleId="101">
    <w:name w:val="button"/>
    <w:qFormat/>
    <w:uiPriority w:val="0"/>
  </w:style>
  <w:style w:type="character" w:customStyle="1" w:styleId="102">
    <w:name w:val="封面副标题 Char"/>
    <w:link w:val="103"/>
    <w:qFormat/>
    <w:uiPriority w:val="0"/>
    <w:rPr>
      <w:rFonts w:ascii="黑体" w:eastAsia="黑体"/>
      <w:sz w:val="28"/>
      <w:szCs w:val="28"/>
    </w:rPr>
  </w:style>
  <w:style w:type="paragraph" w:customStyle="1" w:styleId="103">
    <w:name w:val="封面副标题"/>
    <w:basedOn w:val="1"/>
    <w:link w:val="102"/>
    <w:qFormat/>
    <w:uiPriority w:val="0"/>
    <w:pPr>
      <w:spacing w:line="276" w:lineRule="auto"/>
      <w:ind w:firstLine="199" w:firstLineChars="71"/>
      <w:jc w:val="center"/>
    </w:pPr>
    <w:rPr>
      <w:rFonts w:ascii="黑体" w:eastAsia="黑体"/>
      <w:kern w:val="0"/>
      <w:sz w:val="28"/>
      <w:szCs w:val="28"/>
    </w:rPr>
  </w:style>
  <w:style w:type="character" w:customStyle="1" w:styleId="104">
    <w:name w:val="bd-open"/>
    <w:qFormat/>
    <w:uiPriority w:val="0"/>
  </w:style>
  <w:style w:type="character" w:customStyle="1" w:styleId="105">
    <w:name w:val="bd-open2"/>
    <w:qFormat/>
    <w:uiPriority w:val="0"/>
  </w:style>
  <w:style w:type="character" w:customStyle="1" w:styleId="106">
    <w:name w:val="批注文字 Char2"/>
    <w:qFormat/>
    <w:uiPriority w:val="99"/>
    <w:rPr>
      <w:kern w:val="2"/>
      <w:sz w:val="21"/>
    </w:rPr>
  </w:style>
  <w:style w:type="character" w:customStyle="1" w:styleId="107">
    <w:name w:val="Footer Char"/>
    <w:qFormat/>
    <w:locked/>
    <w:uiPriority w:val="0"/>
    <w:rPr>
      <w:rFonts w:ascii="Calibri" w:hAnsi="Calibri" w:eastAsia="宋体"/>
      <w:sz w:val="18"/>
    </w:rPr>
  </w:style>
  <w:style w:type="character" w:customStyle="1" w:styleId="108">
    <w:name w:val="bd-close2"/>
    <w:qFormat/>
    <w:uiPriority w:val="0"/>
    <w:rPr>
      <w:vanish/>
    </w:rPr>
  </w:style>
  <w:style w:type="character" w:customStyle="1" w:styleId="109">
    <w:name w:val="Header Char"/>
    <w:qFormat/>
    <w:locked/>
    <w:uiPriority w:val="0"/>
    <w:rPr>
      <w:rFonts w:ascii="Calibri" w:hAnsi="Calibri" w:eastAsia="宋体"/>
      <w:sz w:val="18"/>
    </w:rPr>
  </w:style>
  <w:style w:type="character" w:customStyle="1" w:styleId="110">
    <w:name w:val="批注主题 Char"/>
    <w:link w:val="111"/>
    <w:qFormat/>
    <w:locked/>
    <w:uiPriority w:val="0"/>
    <w:rPr>
      <w:b/>
      <w:sz w:val="24"/>
    </w:rPr>
  </w:style>
  <w:style w:type="paragraph" w:customStyle="1" w:styleId="111">
    <w:name w:val="批注主题1"/>
    <w:basedOn w:val="15"/>
    <w:next w:val="15"/>
    <w:link w:val="110"/>
    <w:qFormat/>
    <w:uiPriority w:val="0"/>
    <w:pPr>
      <w:adjustRightInd/>
      <w:spacing w:line="240" w:lineRule="auto"/>
      <w:textAlignment w:val="auto"/>
    </w:pPr>
    <w:rPr>
      <w:b/>
    </w:rPr>
  </w:style>
  <w:style w:type="character" w:customStyle="1" w:styleId="112">
    <w:name w:val="A表格文字 Char"/>
    <w:link w:val="113"/>
    <w:qFormat/>
    <w:uiPriority w:val="0"/>
    <w:rPr>
      <w:rFonts w:ascii="宋体" w:hAnsi="宋体"/>
      <w:kern w:val="21"/>
      <w:sz w:val="21"/>
    </w:rPr>
  </w:style>
  <w:style w:type="paragraph" w:customStyle="1" w:styleId="113">
    <w:name w:val="A表格文字"/>
    <w:basedOn w:val="1"/>
    <w:link w:val="112"/>
    <w:qFormat/>
    <w:uiPriority w:val="0"/>
    <w:pPr>
      <w:adjustRightInd w:val="0"/>
      <w:snapToGrid w:val="0"/>
      <w:spacing w:before="40" w:after="40"/>
      <w:jc w:val="left"/>
    </w:pPr>
    <w:rPr>
      <w:rFonts w:ascii="宋体" w:hAnsi="宋体"/>
      <w:kern w:val="21"/>
      <w:szCs w:val="20"/>
    </w:rPr>
  </w:style>
  <w:style w:type="character" w:customStyle="1" w:styleId="114">
    <w:name w:val="正文缩进 字符"/>
    <w:qFormat/>
    <w:uiPriority w:val="0"/>
    <w:rPr>
      <w:kern w:val="2"/>
      <w:sz w:val="21"/>
    </w:rPr>
  </w:style>
  <w:style w:type="character" w:customStyle="1" w:styleId="115">
    <w:name w:val="15"/>
    <w:qFormat/>
    <w:uiPriority w:val="0"/>
    <w:rPr>
      <w:rFonts w:hint="eastAsia" w:ascii="宋体" w:hAnsi="宋体" w:eastAsia="宋体"/>
      <w:sz w:val="24"/>
      <w:szCs w:val="24"/>
    </w:rPr>
  </w:style>
  <w:style w:type="character" w:customStyle="1" w:styleId="116">
    <w:name w:val="font21"/>
    <w:qFormat/>
    <w:uiPriority w:val="0"/>
    <w:rPr>
      <w:rFonts w:hint="default" w:ascii="仿宋_GB2312" w:hAnsi="宋体" w:eastAsia="仿宋_GB2312" w:cs="仿宋_GB2312"/>
      <w:color w:val="FF0000"/>
      <w:kern w:val="0"/>
      <w:sz w:val="24"/>
      <w:szCs w:val="24"/>
      <w:u w:val="none"/>
    </w:rPr>
  </w:style>
  <w:style w:type="character" w:customStyle="1" w:styleId="117">
    <w:name w:val="A表格文字左对齐 Char"/>
    <w:link w:val="118"/>
    <w:qFormat/>
    <w:uiPriority w:val="0"/>
    <w:rPr>
      <w:rFonts w:ascii="宋体" w:hAnsi="宋体"/>
      <w:kern w:val="2"/>
      <w:sz w:val="21"/>
    </w:rPr>
  </w:style>
  <w:style w:type="paragraph" w:customStyle="1" w:styleId="118">
    <w:name w:val="A表格文字左对齐"/>
    <w:basedOn w:val="1"/>
    <w:link w:val="117"/>
    <w:qFormat/>
    <w:uiPriority w:val="0"/>
    <w:pPr>
      <w:adjustRightInd w:val="0"/>
      <w:spacing w:before="40" w:after="4"/>
      <w:jc w:val="left"/>
    </w:pPr>
    <w:rPr>
      <w:rFonts w:ascii="宋体" w:hAnsi="宋体"/>
      <w:szCs w:val="20"/>
    </w:rPr>
  </w:style>
  <w:style w:type="character" w:customStyle="1" w:styleId="119">
    <w:name w:val="layui-layer-tabnow"/>
    <w:qFormat/>
    <w:uiPriority w:val="0"/>
    <w:rPr>
      <w:bdr w:val="single" w:color="CCCCCC" w:sz="6" w:space="0"/>
      <w:shd w:val="clear" w:color="auto" w:fill="FFFFFF"/>
    </w:rPr>
  </w:style>
  <w:style w:type="character" w:customStyle="1" w:styleId="120">
    <w:name w:val="！正文 Char"/>
    <w:link w:val="121"/>
    <w:qFormat/>
    <w:uiPriority w:val="0"/>
    <w:rPr>
      <w:kern w:val="2"/>
      <w:sz w:val="24"/>
      <w:szCs w:val="24"/>
    </w:rPr>
  </w:style>
  <w:style w:type="paragraph" w:customStyle="1" w:styleId="121">
    <w:name w:val="！正文"/>
    <w:link w:val="120"/>
    <w:qFormat/>
    <w:uiPriority w:val="0"/>
    <w:pPr>
      <w:widowControl w:val="0"/>
      <w:spacing w:beforeLines="50" w:afterLines="50" w:line="360" w:lineRule="auto"/>
      <w:ind w:firstLine="200" w:firstLineChars="200"/>
      <w:jc w:val="center"/>
    </w:pPr>
    <w:rPr>
      <w:rFonts w:ascii="Times New Roman" w:hAnsi="Times New Roman" w:eastAsia="宋体" w:cs="Times New Roman"/>
      <w:kern w:val="2"/>
      <w:sz w:val="24"/>
      <w:szCs w:val="24"/>
      <w:lang w:val="en-US" w:eastAsia="zh-CN" w:bidi="ar-SA"/>
    </w:rPr>
  </w:style>
  <w:style w:type="character" w:customStyle="1" w:styleId="122">
    <w:name w:val="列出段落 字符"/>
    <w:qFormat/>
    <w:uiPriority w:val="34"/>
    <w:rPr>
      <w:kern w:val="2"/>
      <w:sz w:val="21"/>
      <w:szCs w:val="24"/>
    </w:rPr>
  </w:style>
  <w:style w:type="character" w:customStyle="1" w:styleId="123">
    <w:name w:val="edui-clickable2"/>
    <w:qFormat/>
    <w:uiPriority w:val="0"/>
    <w:rPr>
      <w:color w:val="0000FF"/>
      <w:u w:val="single"/>
    </w:rPr>
  </w:style>
  <w:style w:type="character" w:customStyle="1" w:styleId="124">
    <w:name w:val="批注文字 字符"/>
    <w:qFormat/>
    <w:uiPriority w:val="99"/>
    <w:rPr>
      <w:kern w:val="2"/>
      <w:sz w:val="21"/>
    </w:rPr>
  </w:style>
  <w:style w:type="character" w:customStyle="1" w:styleId="125">
    <w:name w:val="列表段落 字符1"/>
    <w:qFormat/>
    <w:uiPriority w:val="34"/>
    <w:rPr>
      <w:kern w:val="2"/>
      <w:sz w:val="21"/>
      <w:szCs w:val="24"/>
    </w:rPr>
  </w:style>
  <w:style w:type="character" w:customStyle="1" w:styleId="126">
    <w:name w:val="font51"/>
    <w:qFormat/>
    <w:uiPriority w:val="0"/>
    <w:rPr>
      <w:rFonts w:hint="eastAsia" w:ascii="仿宋" w:hAnsi="仿宋" w:eastAsia="仿宋" w:cs="仿宋"/>
      <w:b/>
      <w:bCs/>
      <w:color w:val="000000"/>
      <w:sz w:val="21"/>
      <w:szCs w:val="21"/>
      <w:u w:val="none"/>
    </w:rPr>
  </w:style>
  <w:style w:type="character" w:customStyle="1" w:styleId="127">
    <w:name w:val="16"/>
    <w:qFormat/>
    <w:uiPriority w:val="0"/>
    <w:rPr>
      <w:rFonts w:hint="default" w:ascii="Times New Roman" w:hAnsi="Times New Roman" w:cs="Times New Roman"/>
    </w:rPr>
  </w:style>
  <w:style w:type="paragraph" w:customStyle="1" w:styleId="128">
    <w:name w:val="样式1"/>
    <w:basedOn w:val="1"/>
    <w:qFormat/>
    <w:uiPriority w:val="0"/>
    <w:pPr>
      <w:numPr>
        <w:ilvl w:val="0"/>
        <w:numId w:val="3"/>
      </w:numPr>
      <w:spacing w:line="360" w:lineRule="auto"/>
      <w:ind w:left="1253" w:hanging="680"/>
    </w:pPr>
    <w:rPr>
      <w:sz w:val="28"/>
      <w:szCs w:val="28"/>
    </w:rPr>
  </w:style>
  <w:style w:type="paragraph" w:customStyle="1" w:styleId="129">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0">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31">
    <w:name w:val="样式 标题 1 + (西文) Times New Roman (中文) 仿宋 小四 黑色 居中 左侧:  0 厘米 ..."/>
    <w:basedOn w:val="2"/>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32">
    <w:name w:val="样式 标题 1卷标题H1章标题 1 1TITRE1L1 Heading 1h11st levelh111st...3"/>
    <w:basedOn w:val="2"/>
    <w:qFormat/>
    <w:uiPriority w:val="0"/>
    <w:pPr>
      <w:spacing w:before="120" w:after="120" w:line="360" w:lineRule="auto"/>
      <w:jc w:val="center"/>
    </w:pPr>
    <w:rPr>
      <w:rFonts w:ascii="宋体" w:hAnsi="宋体"/>
      <w:sz w:val="36"/>
      <w:szCs w:val="20"/>
    </w:rPr>
  </w:style>
  <w:style w:type="paragraph" w:customStyle="1" w:styleId="133">
    <w:name w:val="Level 4"/>
    <w:basedOn w:val="1"/>
    <w:qFormat/>
    <w:uiPriority w:val="0"/>
    <w:pPr>
      <w:tabs>
        <w:tab w:val="left" w:pos="2440"/>
      </w:tabs>
      <w:ind w:left="2041" w:hanging="765"/>
    </w:pPr>
    <w:rPr>
      <w:rFonts w:ascii="Calibri" w:hAnsi="Calibri"/>
      <w:szCs w:val="22"/>
    </w:rPr>
  </w:style>
  <w:style w:type="paragraph" w:customStyle="1" w:styleId="134">
    <w:name w:val="无间隔1"/>
    <w:qFormat/>
    <w:uiPriority w:val="1"/>
    <w:rPr>
      <w:rFonts w:ascii="Times New Roman" w:hAnsi="Times New Roman" w:eastAsia="宋体" w:cs="Times New Roman"/>
      <w:sz w:val="22"/>
      <w:lang w:val="en-US" w:eastAsia="zh-CN" w:bidi="ar-SA"/>
    </w:rPr>
  </w:style>
  <w:style w:type="paragraph" w:customStyle="1" w:styleId="135">
    <w:name w:val="_Style 134"/>
    <w:basedOn w:val="1"/>
    <w:next w:val="1"/>
    <w:qFormat/>
    <w:uiPriority w:val="0"/>
    <w:pPr>
      <w:pBdr>
        <w:top w:val="single" w:color="auto" w:sz="6" w:space="1"/>
      </w:pBdr>
      <w:jc w:val="center"/>
    </w:pPr>
    <w:rPr>
      <w:rFonts w:ascii="Arial" w:eastAsia="宋体"/>
      <w:vanish/>
      <w:sz w:val="16"/>
    </w:rPr>
  </w:style>
  <w:style w:type="paragraph" w:customStyle="1" w:styleId="136">
    <w:name w:val="_Style 135"/>
    <w:basedOn w:val="1"/>
    <w:next w:val="1"/>
    <w:qFormat/>
    <w:uiPriority w:val="0"/>
    <w:pPr>
      <w:pBdr>
        <w:bottom w:val="single" w:color="auto" w:sz="6" w:space="1"/>
      </w:pBdr>
      <w:jc w:val="center"/>
    </w:pPr>
    <w:rPr>
      <w:rFonts w:ascii="Arial" w:eastAsia="宋体"/>
      <w:vanish/>
      <w:sz w:val="16"/>
    </w:rPr>
  </w:style>
  <w:style w:type="paragraph" w:customStyle="1" w:styleId="137">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38">
    <w:name w:val="List Paragraph1"/>
    <w:basedOn w:val="1"/>
    <w:qFormat/>
    <w:uiPriority w:val="34"/>
    <w:pPr>
      <w:ind w:firstLine="420" w:firstLineChars="200"/>
    </w:pPr>
  </w:style>
  <w:style w:type="paragraph" w:customStyle="1" w:styleId="139">
    <w:name w:val="Level 1"/>
    <w:basedOn w:val="1"/>
    <w:qFormat/>
    <w:uiPriority w:val="0"/>
    <w:rPr>
      <w:rFonts w:ascii="Calibri" w:hAnsi="Calibri"/>
      <w:szCs w:val="22"/>
    </w:rPr>
  </w:style>
  <w:style w:type="paragraph" w:customStyle="1" w:styleId="140">
    <w:name w:val="列出段落2"/>
    <w:basedOn w:val="1"/>
    <w:qFormat/>
    <w:uiPriority w:val="0"/>
    <w:pPr>
      <w:ind w:firstLine="420" w:firstLineChars="200"/>
    </w:pPr>
    <w:rPr>
      <w:rFonts w:ascii="Calibri" w:hAnsi="Calibri"/>
      <w:szCs w:val="22"/>
    </w:rPr>
  </w:style>
  <w:style w:type="paragraph" w:customStyle="1" w:styleId="141">
    <w:name w:val="正文00"/>
    <w:basedOn w:val="1"/>
    <w:qFormat/>
    <w:uiPriority w:val="0"/>
    <w:pPr>
      <w:topLinePunct/>
      <w:spacing w:line="360" w:lineRule="auto"/>
      <w:ind w:firstLine="200" w:firstLineChars="200"/>
    </w:pPr>
    <w:rPr>
      <w:sz w:val="24"/>
      <w:szCs w:val="21"/>
    </w:rPr>
  </w:style>
  <w:style w:type="paragraph" w:customStyle="1" w:styleId="142">
    <w:name w:val="Body Text 3"/>
    <w:basedOn w:val="1"/>
    <w:qFormat/>
    <w:uiPriority w:val="0"/>
    <w:rPr>
      <w:rFonts w:ascii="宋体"/>
      <w:sz w:val="24"/>
    </w:rPr>
  </w:style>
  <w:style w:type="paragraph" w:customStyle="1" w:styleId="143">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44">
    <w:name w:val="Char Char Char Char"/>
    <w:basedOn w:val="1"/>
    <w:qFormat/>
    <w:uiPriority w:val="0"/>
    <w:pPr>
      <w:tabs>
        <w:tab w:val="left" w:pos="360"/>
      </w:tabs>
    </w:pPr>
    <w:rPr>
      <w:szCs w:val="20"/>
    </w:rPr>
  </w:style>
  <w:style w:type="paragraph" w:customStyle="1" w:styleId="145">
    <w:name w:val="样式 标题 2 +"/>
    <w:basedOn w:val="3"/>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46">
    <w:name w:val="正文文本 34"/>
    <w:basedOn w:val="1"/>
    <w:qFormat/>
    <w:uiPriority w:val="0"/>
    <w:pPr>
      <w:spacing w:line="312" w:lineRule="auto"/>
    </w:pPr>
    <w:rPr>
      <w:rFonts w:ascii="宋体"/>
      <w:sz w:val="24"/>
      <w:szCs w:val="20"/>
    </w:rPr>
  </w:style>
  <w:style w:type="paragraph" w:customStyle="1" w:styleId="147">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48">
    <w:name w:val="p0"/>
    <w:basedOn w:val="1"/>
    <w:qFormat/>
    <w:uiPriority w:val="0"/>
    <w:pPr>
      <w:widowControl/>
    </w:pPr>
    <w:rPr>
      <w:kern w:val="0"/>
      <w:szCs w:val="21"/>
    </w:rPr>
  </w:style>
  <w:style w:type="paragraph" w:customStyle="1" w:styleId="149">
    <w:name w:val="样式 四号 首行缩进:  1厘米 行距: 1.5 倍行距"/>
    <w:basedOn w:val="1"/>
    <w:qFormat/>
    <w:uiPriority w:val="0"/>
    <w:pPr>
      <w:spacing w:line="360" w:lineRule="auto"/>
      <w:ind w:firstLine="570"/>
    </w:pPr>
    <w:rPr>
      <w:sz w:val="28"/>
      <w:szCs w:val="20"/>
    </w:rPr>
  </w:style>
  <w:style w:type="paragraph" w:customStyle="1" w:styleId="150">
    <w:name w:val="Level 5"/>
    <w:basedOn w:val="1"/>
    <w:qFormat/>
    <w:uiPriority w:val="0"/>
    <w:pPr>
      <w:tabs>
        <w:tab w:val="left" w:pos="2552"/>
      </w:tabs>
      <w:ind w:left="2552" w:hanging="567"/>
    </w:pPr>
    <w:rPr>
      <w:rFonts w:ascii="Calibri" w:hAnsi="Calibri"/>
      <w:szCs w:val="22"/>
    </w:rPr>
  </w:style>
  <w:style w:type="paragraph" w:customStyle="1" w:styleId="151">
    <w:name w:val="正文文本 33"/>
    <w:basedOn w:val="1"/>
    <w:qFormat/>
    <w:uiPriority w:val="0"/>
    <w:pPr>
      <w:spacing w:line="312" w:lineRule="auto"/>
    </w:pPr>
    <w:rPr>
      <w:rFonts w:ascii="宋体"/>
      <w:sz w:val="24"/>
      <w:szCs w:val="20"/>
    </w:rPr>
  </w:style>
  <w:style w:type="paragraph" w:customStyle="1" w:styleId="152">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53">
    <w:name w:val="Level 2"/>
    <w:basedOn w:val="1"/>
    <w:qFormat/>
    <w:uiPriority w:val="0"/>
    <w:rPr>
      <w:rFonts w:ascii="Calibri" w:hAnsi="Calibri"/>
      <w:szCs w:val="22"/>
    </w:rPr>
  </w:style>
  <w:style w:type="paragraph" w:customStyle="1" w:styleId="154">
    <w:name w:val="_Style 12"/>
    <w:basedOn w:val="1"/>
    <w:next w:val="18"/>
    <w:qFormat/>
    <w:uiPriority w:val="0"/>
    <w:pPr>
      <w:spacing w:line="360" w:lineRule="auto"/>
      <w:ind w:firstLine="540"/>
    </w:pPr>
    <w:rPr>
      <w:sz w:val="28"/>
      <w:szCs w:val="20"/>
    </w:rPr>
  </w:style>
  <w:style w:type="paragraph" w:customStyle="1" w:styleId="155">
    <w:name w:val="样式 样式 首行缩进:  2 字符1 + 首行缩进:  2 字符"/>
    <w:basedOn w:val="143"/>
    <w:qFormat/>
    <w:uiPriority w:val="0"/>
    <w:pPr>
      <w:ind w:firstLine="480"/>
    </w:pPr>
  </w:style>
  <w:style w:type="paragraph" w:customStyle="1" w:styleId="156">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7">
    <w:name w:val="_Style 156"/>
    <w:unhideWhenUsed/>
    <w:qFormat/>
    <w:uiPriority w:val="99"/>
    <w:rPr>
      <w:rFonts w:ascii="Times New Roman" w:hAnsi="Times New Roman" w:eastAsia="宋体" w:cs="Times New Roman"/>
      <w:kern w:val="2"/>
      <w:sz w:val="21"/>
      <w:szCs w:val="24"/>
      <w:lang w:val="en-US" w:eastAsia="zh-CN" w:bidi="ar-SA"/>
    </w:rPr>
  </w:style>
  <w:style w:type="paragraph" w:customStyle="1" w:styleId="158">
    <w:name w:val="表格正文"/>
    <w:basedOn w:val="1"/>
    <w:qFormat/>
    <w:uiPriority w:val="0"/>
    <w:pPr>
      <w:widowControl/>
      <w:snapToGrid w:val="0"/>
      <w:spacing w:line="300" w:lineRule="auto"/>
      <w:jc w:val="left"/>
    </w:pPr>
    <w:rPr>
      <w:rFonts w:ascii="Calibri" w:hAnsi="Calibri"/>
      <w:sz w:val="24"/>
    </w:rPr>
  </w:style>
  <w:style w:type="paragraph" w:customStyle="1" w:styleId="159">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60">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61">
    <w:name w:val="正文1"/>
    <w:basedOn w:val="1"/>
    <w:qFormat/>
    <w:uiPriority w:val="0"/>
    <w:pPr>
      <w:spacing w:line="360" w:lineRule="auto"/>
      <w:ind w:firstLine="200" w:firstLineChars="200"/>
    </w:pPr>
    <w:rPr>
      <w:rFonts w:ascii="宋体" w:hAnsi="宋体" w:cs="微软雅黑"/>
      <w:szCs w:val="24"/>
    </w:rPr>
  </w:style>
  <w:style w:type="paragraph" w:customStyle="1" w:styleId="162">
    <w:name w:val="1"/>
    <w:basedOn w:val="1"/>
    <w:next w:val="24"/>
    <w:qFormat/>
    <w:uiPriority w:val="0"/>
    <w:pPr>
      <w:tabs>
        <w:tab w:val="left" w:pos="3060"/>
      </w:tabs>
      <w:spacing w:line="140" w:lineRule="atLeast"/>
      <w:ind w:firstLine="560" w:firstLineChars="200"/>
    </w:pPr>
    <w:rPr>
      <w:sz w:val="28"/>
    </w:rPr>
  </w:style>
  <w:style w:type="paragraph" w:customStyle="1" w:styleId="163">
    <w:name w:val="_Style 162"/>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64">
    <w:name w:val="列出段落1"/>
    <w:basedOn w:val="1"/>
    <w:qFormat/>
    <w:uiPriority w:val="34"/>
    <w:pPr>
      <w:ind w:firstLine="420" w:firstLineChars="200"/>
    </w:pPr>
    <w:rPr>
      <w:rFonts w:ascii="Calibri" w:hAnsi="Calibri" w:cs="Calibri"/>
      <w:szCs w:val="21"/>
    </w:rPr>
  </w:style>
  <w:style w:type="paragraph" w:customStyle="1" w:styleId="165">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66">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67">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68">
    <w:name w:val="_Style 246"/>
    <w:basedOn w:val="1"/>
    <w:next w:val="138"/>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9">
    <w:name w:val="Level 3"/>
    <w:basedOn w:val="1"/>
    <w:qFormat/>
    <w:uiPriority w:val="0"/>
    <w:pPr>
      <w:tabs>
        <w:tab w:val="left" w:pos="2808"/>
      </w:tabs>
      <w:ind w:left="2808" w:hanging="681"/>
    </w:pPr>
    <w:rPr>
      <w:rFonts w:ascii="Calibri" w:hAnsi="Calibri"/>
      <w:szCs w:val="22"/>
    </w:rPr>
  </w:style>
  <w:style w:type="paragraph" w:customStyle="1" w:styleId="170">
    <w:name w:val="Table Text"/>
    <w:basedOn w:val="1"/>
    <w:semiHidden/>
    <w:qFormat/>
    <w:uiPriority w:val="0"/>
    <w:rPr>
      <w:rFonts w:ascii="仿宋" w:hAnsi="仿宋" w:eastAsia="仿宋" w:cs="仿宋"/>
      <w:sz w:val="20"/>
      <w:szCs w:val="20"/>
      <w:lang w:val="en-US" w:eastAsia="en-US" w:bidi="ar-SA"/>
    </w:rPr>
  </w:style>
  <w:style w:type="paragraph" w:customStyle="1" w:styleId="171">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72">
    <w:name w:val="列出段落11"/>
    <w:basedOn w:val="1"/>
    <w:qFormat/>
    <w:uiPriority w:val="0"/>
    <w:pPr>
      <w:ind w:firstLine="420" w:firstLineChars="200"/>
    </w:pPr>
    <w:rPr>
      <w:rFonts w:ascii="Calibri" w:hAnsi="Calibri"/>
      <w:szCs w:val="22"/>
    </w:rPr>
  </w:style>
  <w:style w:type="paragraph" w:customStyle="1" w:styleId="173">
    <w:name w:val="1正文"/>
    <w:basedOn w:val="1"/>
    <w:qFormat/>
    <w:uiPriority w:val="0"/>
    <w:pPr>
      <w:spacing w:line="560" w:lineRule="exact"/>
      <w:ind w:firstLine="200" w:firstLineChars="200"/>
    </w:pPr>
    <w:rPr>
      <w:rFonts w:eastAsia="Cambria Math"/>
      <w:sz w:val="32"/>
    </w:rPr>
  </w:style>
  <w:style w:type="paragraph" w:customStyle="1" w:styleId="174">
    <w:name w:val="Heading 2 + 宋体"/>
    <w:basedOn w:val="2"/>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5">
    <w:name w:val="正文（renew）"/>
    <w:basedOn w:val="1"/>
    <w:qFormat/>
    <w:uiPriority w:val="0"/>
    <w:pPr>
      <w:spacing w:beforeLines="60" w:afterLines="60" w:line="264" w:lineRule="auto"/>
      <w:ind w:firstLine="420" w:firstLineChars="200"/>
    </w:pPr>
    <w:rPr>
      <w:rFonts w:ascii="Calibri" w:hAnsi="Calibri"/>
      <w:kern w:val="0"/>
      <w:sz w:val="20"/>
      <w:szCs w:val="20"/>
    </w:rPr>
  </w:style>
  <w:style w:type="paragraph" w:customStyle="1" w:styleId="176">
    <w:name w:val="正文文本 32"/>
    <w:basedOn w:val="1"/>
    <w:qFormat/>
    <w:uiPriority w:val="0"/>
    <w:pPr>
      <w:spacing w:line="312" w:lineRule="auto"/>
    </w:pPr>
    <w:rPr>
      <w:rFonts w:ascii="宋体" w:hAnsi="Times New Roman"/>
      <w:sz w:val="24"/>
      <w:szCs w:val="20"/>
    </w:rPr>
  </w:style>
  <w:style w:type="paragraph" w:customStyle="1" w:styleId="17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78">
    <w:name w:val="表格首行"/>
    <w:basedOn w:val="1"/>
    <w:qFormat/>
    <w:uiPriority w:val="0"/>
    <w:pPr>
      <w:widowControl/>
      <w:jc w:val="center"/>
    </w:pPr>
    <w:rPr>
      <w:rFonts w:hint="eastAsia" w:ascii="宋体" w:hAnsi="宋体"/>
      <w:sz w:val="24"/>
    </w:rPr>
  </w:style>
  <w:style w:type="paragraph" w:customStyle="1" w:styleId="179">
    <w:name w:val="Level 6"/>
    <w:basedOn w:val="1"/>
    <w:qFormat/>
    <w:uiPriority w:val="0"/>
    <w:pPr>
      <w:tabs>
        <w:tab w:val="left" w:pos="3289"/>
      </w:tabs>
      <w:ind w:left="3289" w:hanging="681"/>
    </w:pPr>
    <w:rPr>
      <w:rFonts w:ascii="Calibri" w:hAnsi="Calibri"/>
      <w:szCs w:val="22"/>
    </w:rPr>
  </w:style>
  <w:style w:type="paragraph" w:customStyle="1" w:styleId="180">
    <w:name w:val="p16"/>
    <w:basedOn w:val="1"/>
    <w:qFormat/>
    <w:uiPriority w:val="0"/>
    <w:pPr>
      <w:widowControl/>
    </w:pPr>
    <w:rPr>
      <w:rFonts w:ascii="宋体" w:hAnsi="宋体"/>
      <w:kern w:val="0"/>
      <w:sz w:val="24"/>
      <w:szCs w:val="20"/>
    </w:rPr>
  </w:style>
  <w:style w:type="paragraph" w:customStyle="1" w:styleId="181">
    <w:name w:val="标题4"/>
    <w:basedOn w:val="1"/>
    <w:qFormat/>
    <w:uiPriority w:val="0"/>
    <w:pPr>
      <w:spacing w:before="156" w:beforeLines="50" w:after="156" w:afterLines="50"/>
      <w:jc w:val="left"/>
    </w:pPr>
    <w:rPr>
      <w:rFonts w:eastAsia="黑体"/>
      <w:b/>
      <w:kern w:val="0"/>
      <w:sz w:val="30"/>
    </w:rPr>
  </w:style>
  <w:style w:type="paragraph" w:customStyle="1" w:styleId="182">
    <w:name w:val="Char Char Char"/>
    <w:basedOn w:val="1"/>
    <w:qFormat/>
    <w:uiPriority w:val="0"/>
  </w:style>
  <w:style w:type="table" w:customStyle="1" w:styleId="183">
    <w:name w:val="Table Normal"/>
    <w:unhideWhenUsed/>
    <w:qFormat/>
    <w:uiPriority w:val="0"/>
    <w:rPr>
      <w:lang w:val="en-US" w:eastAsia="zh-CN" w:bidi="ar-SA"/>
    </w:rPr>
    <w:tblPr>
      <w:tblCellMar>
        <w:top w:w="0" w:type="dxa"/>
        <w:left w:w="0" w:type="dxa"/>
        <w:bottom w:w="0" w:type="dxa"/>
        <w:right w:w="0" w:type="dxa"/>
      </w:tblCellMar>
    </w:tblPr>
  </w:style>
  <w:style w:type="table" w:customStyle="1" w:styleId="184">
    <w:name w:val="网格表 1 浅色 - 着色 51"/>
    <w:basedOn w:val="40"/>
    <w:qFormat/>
    <w:uiPriority w:val="0"/>
    <w:pPr>
      <w:keepNext w:val="0"/>
      <w:keepLines w:val="0"/>
      <w:widowControl/>
      <w:suppressLineNumbers w:val="0"/>
      <w:spacing w:before="0" w:beforeAutospacing="0" w:after="0" w:afterAutospacing="0"/>
      <w:ind w:left="0" w:right="0"/>
    </w:pPr>
    <w:rPr>
      <w:rFonts w:hint="default" w:ascii="Times New Roman" w:hAnsi="Times New Roman" w:eastAsia="等线" w:cs="Times New Roman"/>
      <w:kern w:val="2"/>
      <w:sz w:val="21"/>
      <w:szCs w:val="21"/>
    </w:rPr>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rFonts w:hint="default" w:ascii="Times New Roman" w:hAnsi="Times New Roman" w:cs="Times New Roman"/>
        <w:b/>
        <w:bCs/>
      </w:rPr>
      <w:tcPr>
        <w:tcBorders>
          <w:top w:val="nil"/>
          <w:left w:val="nil"/>
          <w:bottom w:val="single" w:color="9CC2E5" w:sz="12" w:space="0"/>
          <w:right w:val="nil"/>
          <w:insideH w:val="nil"/>
          <w:insideV w:val="nil"/>
          <w:tl2br w:val="nil"/>
          <w:tr2bl w:val="nil"/>
        </w:tcBorders>
      </w:tcPr>
    </w:tblStylePr>
    <w:tblStylePr w:type="lastRow">
      <w:rPr>
        <w:rFonts w:hint="default" w:ascii="Times New Roman" w:hAnsi="Times New Roman" w:cs="Times New Roman"/>
        <w:b/>
        <w:bCs/>
      </w:rPr>
      <w:tcPr>
        <w:tcBorders>
          <w:top w:val="double" w:color="9CC2E5" w:sz="2" w:space="0"/>
          <w:left w:val="nil"/>
          <w:bottom w:val="nil"/>
          <w:right w:val="nil"/>
          <w:insideH w:val="nil"/>
          <w:insideV w:val="nil"/>
          <w:tl2br w:val="nil"/>
          <w:tr2bl w:val="nil"/>
        </w:tcBorders>
      </w:tcPr>
    </w:tblStylePr>
    <w:tblStylePr w:type="firstCol">
      <w:rPr>
        <w:rFonts w:hint="default" w:ascii="Times New Roman" w:hAnsi="Times New Roman" w:cs="Times New Roman"/>
        <w:b/>
        <w:bCs/>
      </w:rPr>
    </w:tblStylePr>
    <w:tblStylePr w:type="lastCol">
      <w:rPr>
        <w:rFonts w:hint="default" w:ascii="Times New Roman" w:hAnsi="Times New Roman" w:cs="Times New Roman"/>
        <w:b/>
        <w:bCs/>
      </w:rPr>
    </w:tblStylePr>
  </w:style>
  <w:style w:type="paragraph" w:customStyle="1" w:styleId="185">
    <w:name w:val="Body text|1"/>
    <w:basedOn w:val="1"/>
    <w:qFormat/>
    <w:uiPriority w:val="0"/>
    <w:pPr>
      <w:spacing w:line="372" w:lineRule="auto"/>
      <w:ind w:firstLine="400"/>
    </w:pPr>
    <w:rPr>
      <w:rFonts w:ascii="宋体" w:hAnsi="宋体" w:eastAsia="宋体" w:cs="宋体"/>
      <w:sz w:val="26"/>
      <w:szCs w:val="26"/>
      <w:lang w:val="zh-TW" w:eastAsia="zh-TW" w:bidi="zh-TW"/>
    </w:rPr>
  </w:style>
  <w:style w:type="paragraph" w:customStyle="1" w:styleId="186">
    <w:name w:val="p"/>
    <w:basedOn w:val="1"/>
    <w:qFormat/>
    <w:uiPriority w:val="0"/>
    <w:pPr>
      <w:widowControl/>
      <w:spacing w:line="525" w:lineRule="atLeast"/>
      <w:ind w:firstLine="375"/>
      <w:jc w:val="left"/>
    </w:pPr>
    <w:rPr>
      <w:rFonts w:ascii="Times New Roman" w:hAnsi="Times New Roman"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3492</Words>
  <Characters>3811</Characters>
  <Lines>1568</Lines>
  <Paragraphs>1406</Paragraphs>
  <TotalTime>1</TotalTime>
  <ScaleCrop>false</ScaleCrop>
  <LinksUpToDate>false</LinksUpToDate>
  <CharactersWithSpaces>4383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2024-11-20T06:20:00Z</dcterms:created>
  <dc:creator>徐心慧</dc:creator>
  <cp:lastModifiedBy>徐心慧</cp:lastModifiedBy>
  <cp:lastPrinted>2024-01-09T13:35:00Z</cp:lastPrinted>
  <dcterms:modified xsi:type="dcterms:W3CDTF">2026-01-08T02:43:41Z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6E0FBCBBB2CA49CB91AABD401BCB819C_13</vt:lpwstr>
  </property>
  <property fmtid="{D5CDD505-2E9C-101B-9397-08002B2CF9AE}" pid="4" name="KSOTemplateDocerSaveRecord">
    <vt:lpwstr>eyJoZGlkIjoiMTRjYzYzNTk5ZjA4ZDRmNTY0OTViYzUwMmNiNzNiMzQifQ==</vt:lpwstr>
  </property>
</Properties>
</file>