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center"/>
        <w:rPr>
          <w:b/>
          <w:sz w:val="32"/>
          <w:szCs w:val="32"/>
        </w:rPr>
      </w:pPr>
      <w:r>
        <w:rPr>
          <w:rFonts w:hint="eastAsia"/>
          <w:b/>
          <w:sz w:val="32"/>
          <w:szCs w:val="32"/>
        </w:rPr>
        <w:t>关于中国人民财产保险股份有限公司</w:t>
      </w:r>
      <w:r>
        <w:rPr>
          <w:rFonts w:hint="eastAsia"/>
          <w:b/>
          <w:sz w:val="32"/>
          <w:szCs w:val="32"/>
          <w:lang w:val="en-US" w:eastAsia="zh-CN"/>
        </w:rPr>
        <w:t>新疆昆玉支</w:t>
      </w:r>
      <w:r>
        <w:rPr>
          <w:rFonts w:hint="eastAsia"/>
          <w:b/>
          <w:sz w:val="32"/>
          <w:szCs w:val="32"/>
        </w:rPr>
        <w:t>公司</w:t>
      </w:r>
      <w:r>
        <w:rPr>
          <w:rFonts w:hint="eastAsia"/>
          <w:b/>
          <w:sz w:val="32"/>
          <w:szCs w:val="32"/>
          <w:lang w:val="en-US" w:eastAsia="zh-CN"/>
        </w:rPr>
        <w:t>食堂食材</w:t>
      </w:r>
      <w:r>
        <w:rPr>
          <w:rFonts w:hint="eastAsia"/>
          <w:b/>
          <w:sz w:val="32"/>
          <w:szCs w:val="32"/>
        </w:rPr>
        <w:t xml:space="preserve">采购项目供应商征集公告 </w:t>
      </w:r>
      <w:bookmarkStart w:id="0" w:name="_GoBack"/>
      <w:bookmarkEnd w:id="0"/>
    </w:p>
    <w:p>
      <w:pPr>
        <w:pStyle w:val="7"/>
        <w:ind w:firstLine="640" w:firstLineChars="200"/>
        <w:rPr>
          <w:sz w:val="32"/>
          <w:szCs w:val="32"/>
        </w:rPr>
      </w:pPr>
      <w:r>
        <w:rPr>
          <w:rFonts w:hint="eastAsia"/>
          <w:sz w:val="32"/>
          <w:szCs w:val="32"/>
        </w:rPr>
        <w:t>我公司</w:t>
      </w:r>
      <w:r>
        <w:rPr>
          <w:rFonts w:hint="eastAsia" w:asciiTheme="minorHAnsi"/>
          <w:sz w:val="32"/>
          <w:szCs w:val="32"/>
          <w:lang w:val="en-US" w:eastAsia="zh-CN"/>
        </w:rPr>
        <w:t>食堂食材</w:t>
      </w:r>
      <w:r>
        <w:rPr>
          <w:rFonts w:hint="eastAsia"/>
          <w:sz w:val="32"/>
          <w:szCs w:val="32"/>
        </w:rPr>
        <w:t>采购项目已启动，现征集优秀供应商，征集时间自</w:t>
      </w:r>
      <w:r>
        <w:rPr>
          <w:rFonts w:hint="eastAsia"/>
          <w:sz w:val="32"/>
          <w:szCs w:val="32"/>
          <w:lang w:val="en-US" w:eastAsia="zh-CN"/>
        </w:rPr>
        <w:t>2026</w:t>
      </w:r>
      <w:r>
        <w:rPr>
          <w:rFonts w:hint="eastAsia"/>
          <w:sz w:val="32"/>
          <w:szCs w:val="32"/>
        </w:rPr>
        <w:t>年</w:t>
      </w:r>
      <w:r>
        <w:rPr>
          <w:rFonts w:hint="eastAsia"/>
          <w:sz w:val="32"/>
          <w:szCs w:val="32"/>
          <w:lang w:val="en-US" w:eastAsia="zh-CN"/>
        </w:rPr>
        <w:t>1</w:t>
      </w:r>
      <w:r>
        <w:rPr>
          <w:rFonts w:hint="eastAsia"/>
          <w:sz w:val="32"/>
          <w:szCs w:val="32"/>
        </w:rPr>
        <w:t>月</w:t>
      </w:r>
      <w:r>
        <w:rPr>
          <w:rFonts w:hint="eastAsia"/>
          <w:sz w:val="32"/>
          <w:szCs w:val="32"/>
          <w:lang w:val="en-US" w:eastAsia="zh-CN"/>
        </w:rPr>
        <w:t>12</w:t>
      </w:r>
      <w:r>
        <w:rPr>
          <w:rFonts w:hint="eastAsia"/>
          <w:sz w:val="32"/>
          <w:szCs w:val="32"/>
        </w:rPr>
        <w:t>日</w:t>
      </w:r>
      <w:r>
        <w:rPr>
          <w:rFonts w:hint="eastAsia"/>
          <w:sz w:val="32"/>
          <w:szCs w:val="32"/>
          <w:lang w:val="en-US" w:eastAsia="zh-CN"/>
        </w:rPr>
        <w:t>10</w:t>
      </w:r>
      <w:r>
        <w:rPr>
          <w:rFonts w:hint="eastAsia"/>
          <w:sz w:val="32"/>
          <w:szCs w:val="32"/>
        </w:rPr>
        <w:t>:00截至</w:t>
      </w:r>
      <w:r>
        <w:rPr>
          <w:rFonts w:hint="eastAsia"/>
          <w:sz w:val="32"/>
          <w:szCs w:val="32"/>
          <w:lang w:val="en-US" w:eastAsia="zh-CN"/>
        </w:rPr>
        <w:t>2026</w:t>
      </w:r>
      <w:r>
        <w:rPr>
          <w:rFonts w:hint="eastAsia"/>
          <w:sz w:val="32"/>
          <w:szCs w:val="32"/>
        </w:rPr>
        <w:t>年</w:t>
      </w:r>
      <w:r>
        <w:rPr>
          <w:rFonts w:hint="eastAsia"/>
          <w:sz w:val="32"/>
          <w:szCs w:val="32"/>
          <w:lang w:val="en-US" w:eastAsia="zh-CN"/>
        </w:rPr>
        <w:t>1</w:t>
      </w:r>
      <w:r>
        <w:rPr>
          <w:rFonts w:hint="eastAsia"/>
          <w:sz w:val="32"/>
          <w:szCs w:val="32"/>
        </w:rPr>
        <w:t>月</w:t>
      </w:r>
      <w:r>
        <w:rPr>
          <w:rFonts w:hint="eastAsia"/>
          <w:sz w:val="32"/>
          <w:szCs w:val="32"/>
          <w:lang w:val="en-US" w:eastAsia="zh-CN"/>
        </w:rPr>
        <w:t>16</w:t>
      </w:r>
      <w:r>
        <w:rPr>
          <w:rFonts w:hint="eastAsia"/>
          <w:sz w:val="32"/>
          <w:szCs w:val="32"/>
        </w:rPr>
        <w:t>日1</w:t>
      </w:r>
      <w:r>
        <w:rPr>
          <w:rFonts w:hint="eastAsia"/>
          <w:sz w:val="32"/>
          <w:szCs w:val="32"/>
          <w:lang w:val="en-US" w:eastAsia="zh-CN"/>
        </w:rPr>
        <w:t>8</w:t>
      </w:r>
      <w:r>
        <w:rPr>
          <w:rFonts w:hint="eastAsia"/>
          <w:sz w:val="32"/>
          <w:szCs w:val="32"/>
        </w:rPr>
        <w:t xml:space="preserve">:00，欢迎参与。 </w:t>
      </w:r>
    </w:p>
    <w:p>
      <w:pPr>
        <w:pStyle w:val="7"/>
        <w:ind w:firstLine="643" w:firstLineChars="200"/>
        <w:rPr>
          <w:sz w:val="32"/>
          <w:szCs w:val="32"/>
        </w:rPr>
      </w:pPr>
      <w:r>
        <w:rPr>
          <w:rFonts w:hint="eastAsia"/>
          <w:b/>
          <w:sz w:val="32"/>
          <w:szCs w:val="32"/>
        </w:rPr>
        <w:t>一、采购人：</w:t>
      </w:r>
      <w:r>
        <w:rPr>
          <w:rFonts w:hint="eastAsia"/>
          <w:sz w:val="32"/>
          <w:szCs w:val="32"/>
        </w:rPr>
        <w:t>中国人民财产保险股份有限公司</w:t>
      </w:r>
      <w:r>
        <w:rPr>
          <w:rFonts w:hint="eastAsia"/>
          <w:sz w:val="32"/>
          <w:szCs w:val="32"/>
          <w:lang w:val="en-US" w:eastAsia="zh-CN"/>
        </w:rPr>
        <w:t>和田地区</w:t>
      </w:r>
      <w:r>
        <w:rPr>
          <w:rFonts w:hint="eastAsia"/>
          <w:sz w:val="32"/>
          <w:szCs w:val="32"/>
        </w:rPr>
        <w:t xml:space="preserve">分公司 </w:t>
      </w:r>
    </w:p>
    <w:p>
      <w:pPr>
        <w:pStyle w:val="7"/>
        <w:ind w:firstLine="643" w:firstLineChars="200"/>
        <w:rPr>
          <w:b/>
          <w:sz w:val="32"/>
          <w:szCs w:val="32"/>
        </w:rPr>
      </w:pPr>
      <w:r>
        <w:rPr>
          <w:rFonts w:hint="eastAsia"/>
          <w:b/>
          <w:sz w:val="32"/>
          <w:szCs w:val="32"/>
        </w:rPr>
        <w:t xml:space="preserve">二、采购需求 </w:t>
      </w:r>
    </w:p>
    <w:p>
      <w:pPr>
        <w:pStyle w:val="8"/>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本项目选定</w:t>
      </w:r>
      <w:r>
        <w:rPr>
          <w:rFonts w:hint="eastAsia" w:ascii="仿宋_GB2312" w:eastAsia="仿宋_GB2312" w:cs="Times New Roman"/>
          <w:kern w:val="2"/>
          <w:sz w:val="32"/>
          <w:szCs w:val="32"/>
          <w:lang w:val="en-US" w:eastAsia="zh-CN" w:bidi="ar-SA"/>
        </w:rPr>
        <w:t>1</w:t>
      </w:r>
      <w:r>
        <w:rPr>
          <w:rFonts w:hint="eastAsia" w:ascii="仿宋_GB2312" w:hAnsi="Times New Roman" w:eastAsia="仿宋_GB2312" w:cs="Times New Roman"/>
          <w:kern w:val="2"/>
          <w:sz w:val="32"/>
          <w:szCs w:val="32"/>
          <w:lang w:val="en-US" w:eastAsia="zh-CN" w:bidi="ar-SA"/>
        </w:rPr>
        <w:t>家供应商，轮流为我公司提供职工食堂食材配送服务，具体提供蔬菜水果类、米面油、副食品、肉类、乳制品等的采购配送工作。</w:t>
      </w:r>
    </w:p>
    <w:p>
      <w:pPr>
        <w:pStyle w:val="8"/>
        <w:keepNext w:val="0"/>
        <w:keepLines w:val="0"/>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宋体" w:eastAsia="仿宋_GB2312" w:cs="宋体"/>
          <w:kern w:val="0"/>
          <w:lang w:val="en-US" w:eastAsia="zh-CN"/>
        </w:rPr>
      </w:pPr>
      <w:r>
        <w:rPr>
          <w:rFonts w:hint="eastAsia" w:ascii="仿宋_GB2312" w:hAnsi="宋体" w:eastAsia="仿宋_GB2312" w:cs="宋体"/>
          <w:kern w:val="0"/>
          <w:lang w:val="en-US" w:eastAsia="zh-CN"/>
        </w:rPr>
        <w:t>（一）采购需求：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1.</w:t>
      </w:r>
      <w:r>
        <w:rPr>
          <w:rFonts w:hint="eastAsia" w:ascii="仿宋_GB2312" w:eastAsia="仿宋_GB2312" w:cs="Times New Roman"/>
          <w:kern w:val="2"/>
          <w:sz w:val="32"/>
          <w:szCs w:val="32"/>
          <w:lang w:val="en-US" w:eastAsia="zh-CN" w:bidi="ar-SA"/>
        </w:rPr>
        <w:t>本项目所需</w:t>
      </w:r>
      <w:r>
        <w:rPr>
          <w:rFonts w:hint="eastAsia" w:ascii="仿宋_GB2312" w:hAnsi="Times New Roman" w:eastAsia="仿宋_GB2312" w:cs="Times New Roman"/>
          <w:kern w:val="2"/>
          <w:sz w:val="32"/>
          <w:szCs w:val="32"/>
          <w:lang w:val="en-US" w:eastAsia="zh-CN" w:bidi="ar-SA"/>
        </w:rPr>
        <w:t>蔬菜水果类、米面油、副食品、肉类、乳制品等</w:t>
      </w:r>
      <w:r>
        <w:rPr>
          <w:rFonts w:hint="eastAsia" w:ascii="仿宋_GB2312" w:eastAsia="仿宋_GB2312" w:cs="Times New Roman"/>
          <w:kern w:val="2"/>
          <w:sz w:val="32"/>
          <w:szCs w:val="32"/>
          <w:lang w:val="en-US" w:eastAsia="zh-CN" w:bidi="ar-SA"/>
        </w:rPr>
        <w:t>食堂食材，供应商配送食堂食材</w:t>
      </w:r>
      <w:r>
        <w:rPr>
          <w:rFonts w:hint="eastAsia" w:ascii="仿宋_GB2312" w:hAnsi="仿宋_GB2312" w:eastAsia="仿宋_GB2312" w:cs="仿宋_GB2312"/>
          <w:sz w:val="32"/>
          <w:szCs w:val="32"/>
          <w:highlight w:val="none"/>
          <w:lang w:val="en-US" w:eastAsia="zh-CN"/>
        </w:rPr>
        <w:t>以世纪华联超市每月零售价为基准给予折扣率，采购方以每月</w:t>
      </w:r>
      <w:r>
        <w:rPr>
          <w:rFonts w:hint="eastAsia" w:ascii="仿宋_GB2312" w:hAnsi="仿宋_GB2312" w:eastAsia="仿宋_GB2312" w:cs="仿宋_GB2312"/>
          <w:sz w:val="32"/>
          <w:szCs w:val="32"/>
          <w:highlight w:val="none"/>
          <w:lang w:eastAsia="zh-CN"/>
        </w:rPr>
        <w:t>实际用量×折扣</w:t>
      </w:r>
      <w:r>
        <w:rPr>
          <w:rFonts w:ascii="仿宋_GB2312" w:hAnsi="仿宋_GB2312" w:eastAsia="仿宋_GB2312" w:cs="仿宋_GB2312"/>
          <w:sz w:val="32"/>
          <w:szCs w:val="32"/>
          <w:highlight w:val="none"/>
        </w:rPr>
        <w:t>率</w:t>
      </w:r>
      <w:r>
        <w:rPr>
          <w:rFonts w:hint="eastAsia" w:ascii="仿宋_GB2312" w:hAnsi="仿宋_GB2312" w:eastAsia="仿宋_GB2312" w:cs="仿宋_GB2312"/>
          <w:sz w:val="32"/>
          <w:szCs w:val="32"/>
          <w:highlight w:val="none"/>
          <w:lang w:eastAsia="zh-CN"/>
        </w:rPr>
        <w:t>进行</w:t>
      </w:r>
      <w:r>
        <w:rPr>
          <w:rFonts w:ascii="仿宋_GB2312" w:hAnsi="仿宋_GB2312" w:eastAsia="仿宋_GB2312" w:cs="仿宋_GB2312"/>
          <w:sz w:val="32"/>
          <w:szCs w:val="32"/>
          <w:highlight w:val="none"/>
        </w:rPr>
        <w:t>结算</w:t>
      </w:r>
      <w:r>
        <w:rPr>
          <w:rFonts w:hint="eastAsia" w:ascii="仿宋_GB2312" w:hAnsi="仿宋_GB2312" w:eastAsia="仿宋_GB2312" w:cs="仿宋_GB2312"/>
          <w:sz w:val="32"/>
          <w:szCs w:val="32"/>
          <w:highlight w:val="none"/>
          <w:lang w:eastAsia="zh-CN"/>
        </w:rPr>
        <w:t>。</w:t>
      </w:r>
      <w:r>
        <w:rPr>
          <w:rFonts w:hint="eastAsia" w:ascii="仿宋_GB2312" w:hAnsi="Times New Roman" w:eastAsia="仿宋_GB2312" w:cs="Times New Roman"/>
          <w:kern w:val="2"/>
          <w:sz w:val="32"/>
          <w:szCs w:val="32"/>
          <w:lang w:val="en-US" w:eastAsia="zh-CN" w:bidi="ar-SA"/>
        </w:rPr>
        <w:t>具体采购内容及质量标准</w:t>
      </w:r>
      <w:r>
        <w:rPr>
          <w:rFonts w:hint="eastAsia" w:ascii="仿宋_GB2312" w:eastAsia="仿宋_GB2312" w:cs="Times New Roman"/>
          <w:kern w:val="2"/>
          <w:sz w:val="32"/>
          <w:szCs w:val="32"/>
          <w:lang w:val="en-US" w:eastAsia="zh-CN" w:bidi="ar-SA"/>
        </w:rPr>
        <w:t>如下</w:t>
      </w:r>
      <w:r>
        <w:rPr>
          <w:rFonts w:hint="eastAsia" w:ascii="仿宋_GB2312" w:hAnsi="Times New Roman" w:eastAsia="仿宋_GB2312" w:cs="Times New Roman"/>
          <w:kern w:val="2"/>
          <w:sz w:val="32"/>
          <w:szCs w:val="32"/>
          <w:lang w:val="en-US" w:eastAsia="zh-CN" w:bidi="ar-SA"/>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3155"/>
        <w:gridCol w:w="1617"/>
        <w:gridCol w:w="958"/>
        <w:gridCol w:w="2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类别</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货物</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规格</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品牌</w:t>
            </w:r>
          </w:p>
        </w:tc>
        <w:tc>
          <w:tcPr>
            <w:tcW w:w="2604"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612" w:type="dxa"/>
            <w:vMerge w:val="restart"/>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米面油类</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大米</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10公斤</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金龙鱼、五丰</w:t>
            </w:r>
          </w:p>
        </w:tc>
        <w:tc>
          <w:tcPr>
            <w:tcW w:w="2604" w:type="dxa"/>
            <w:vMerge w:val="restart"/>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需分别符合对应国标（大米GB/T 1354、通用面粉GB/T 1355、食用油GB 2716），无异味无变质，安全指标达标，商品外包装完好，标明品名、厂名、重量、生产日期、保质期、剩余保质期不少于80%。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12" w:type="dxa"/>
            <w:vMerge w:val="continue"/>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面粉</w:t>
            </w:r>
          </w:p>
        </w:tc>
        <w:tc>
          <w:tcPr>
            <w:tcW w:w="1617" w:type="dxa"/>
          </w:tcPr>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10公斤</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天山、帅奇、金西域、艾力努尔</w:t>
            </w:r>
          </w:p>
        </w:tc>
        <w:tc>
          <w:tcPr>
            <w:tcW w:w="2604" w:type="dxa"/>
            <w:vMerge w:val="continue"/>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vMerge w:val="continue"/>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3155" w:type="dxa"/>
          </w:tcPr>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食用油</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10升</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金龙鱼、福临门、鲁花</w:t>
            </w:r>
          </w:p>
        </w:tc>
        <w:tc>
          <w:tcPr>
            <w:tcW w:w="2604" w:type="dxa"/>
            <w:vMerge w:val="continue"/>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lang w:val="en-US" w:eastAsia="zh-CN" w:bidi="ar-SA"/>
              </w:rPr>
              <w:t>蔬菜类</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白菜、小白菜、菠菜、生菜、油麦菜、芹菜、韭菜、空心菜、甘蓝、羽衣甘蓝、茼蒿、木耳菜、香菜、茴香、苦菊、蒜苔、黄瓜、萝卜、胡萝卜、土豆、红薯、山药、莲藕、洋葱、大蒜、生姜、大葱、小葱、芦笋、番茄、茄子、辣椒、青椒、红椒、豆角、四季豆、豌豆、蚕豆、刀豆、扁豆、西兰花、香菇、平菇、金针菇、杏鲍菇、玉米、南瓜、冬瓜、丝瓜、苦瓜、西葫芦、笋</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根据实际需求按公斤购买</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kern w:val="2"/>
                <w:sz w:val="28"/>
                <w:szCs w:val="28"/>
                <w:lang w:val="en-US" w:eastAsia="zh-CN" w:bidi="ar-SA"/>
              </w:rPr>
            </w:pPr>
          </w:p>
          <w:p>
            <w:pPr>
              <w:numPr>
                <w:ilvl w:val="0"/>
                <w:numId w:val="0"/>
              </w:numPr>
              <w:spacing w:line="600" w:lineRule="exact"/>
              <w:jc w:val="left"/>
              <w:rPr>
                <w:rFonts w:hint="eastAsia" w:ascii="黑体" w:hAnsi="黑体" w:eastAsia="黑体" w:cs="黑体"/>
                <w:kern w:val="2"/>
                <w:sz w:val="28"/>
                <w:szCs w:val="28"/>
                <w:lang w:val="en-US" w:eastAsia="zh-CN" w:bidi="ar-SA"/>
              </w:rPr>
            </w:pPr>
          </w:p>
          <w:p>
            <w:pPr>
              <w:numPr>
                <w:ilvl w:val="0"/>
                <w:numId w:val="0"/>
              </w:numPr>
              <w:spacing w:line="600" w:lineRule="exact"/>
              <w:jc w:val="left"/>
              <w:rPr>
                <w:rFonts w:hint="eastAsia" w:ascii="黑体" w:hAnsi="黑体" w:eastAsia="黑体" w:cs="黑体"/>
                <w:kern w:val="2"/>
                <w:sz w:val="28"/>
                <w:szCs w:val="28"/>
                <w:lang w:val="en-US" w:eastAsia="zh-CN" w:bidi="ar-SA"/>
              </w:rPr>
            </w:pPr>
          </w:p>
          <w:p>
            <w:pPr>
              <w:numPr>
                <w:ilvl w:val="0"/>
                <w:numId w:val="0"/>
              </w:numPr>
              <w:spacing w:line="600" w:lineRule="exact"/>
              <w:jc w:val="left"/>
              <w:rPr>
                <w:rFonts w:hint="eastAsia" w:ascii="黑体" w:hAnsi="黑体" w:eastAsia="黑体" w:cs="黑体"/>
                <w:kern w:val="2"/>
                <w:sz w:val="28"/>
                <w:szCs w:val="28"/>
                <w:lang w:val="en-US" w:eastAsia="zh-CN" w:bidi="ar-SA"/>
              </w:rPr>
            </w:pPr>
          </w:p>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lang w:val="en-US" w:eastAsia="zh-CN" w:bidi="ar-SA"/>
              </w:rPr>
              <w:t>蔬菜要求叶片鲜嫩、无黄叶、无病虫害，表皮完整、无腐烂、无发芽。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lang w:val="en-US" w:eastAsia="zh-CN" w:bidi="ar-SA"/>
              </w:rPr>
              <w:t>各类调味品</w:t>
            </w:r>
          </w:p>
        </w:tc>
        <w:tc>
          <w:tcPr>
            <w:tcW w:w="3155" w:type="dxa"/>
          </w:tcPr>
          <w:p>
            <w:pPr>
              <w:numPr>
                <w:ilvl w:val="0"/>
                <w:numId w:val="0"/>
              </w:numPr>
              <w:spacing w:line="600" w:lineRule="exact"/>
              <w:jc w:val="center"/>
              <w:rPr>
                <w:rFonts w:hint="eastAsia" w:ascii="黑体" w:hAnsi="黑体" w:eastAsia="黑体" w:cs="黑体"/>
                <w:kern w:val="2"/>
                <w:sz w:val="28"/>
                <w:szCs w:val="28"/>
                <w:lang w:val="en-US" w:eastAsia="zh-CN" w:bidi="ar-SA"/>
              </w:rPr>
            </w:pPr>
          </w:p>
          <w:p>
            <w:pPr>
              <w:numPr>
                <w:ilvl w:val="0"/>
                <w:numId w:val="0"/>
              </w:numPr>
              <w:spacing w:line="600" w:lineRule="exact"/>
              <w:jc w:val="both"/>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lang w:val="en-US" w:eastAsia="zh-CN" w:bidi="ar-SA"/>
              </w:rPr>
              <w:t>食盐、白糖、酱油、醋、耗油、豆瓣酱、辣椒酱、番茄酱、鸡精、味精、五香粉、孜然粉、黑胡椒粉</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瓶装液体类500ml，食盐500g，其他袋装类200g，罐装类500g</w:t>
            </w: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both"/>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海天、厨邦、恒顺、鲁花、千禾</w:t>
            </w:r>
          </w:p>
        </w:tc>
        <w:tc>
          <w:tcPr>
            <w:tcW w:w="2604" w:type="dxa"/>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商品需符合食品安全国标，外包装完好，标明品名、厂名、重量、生产日期、保质期、剩余保质期不少于80%。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干货食材</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腐竹、粉丝、粉条、木耳、银耳、海带、紫菜</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根据需求采购不同规格的产品</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包装需密封完好无破损、无漏料、无受潮鼓包，材质符合食品接触安全标准。标明品名、厂名、重量、生产日期、保质期、剩余保质期不少于80%。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蛋类</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鸡蛋</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根据实际需求按公斤购买</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蛋壳完整洁净无裂纹、无异味，蛋白浓稠有弹性、蛋黄呈自然色泽且不溃散。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肉类</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牛肉、羊肉、鸡肉、鱼肉、鸭肉、猪肉</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根据实际需求按公斤购买</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kern w:val="2"/>
                <w:sz w:val="28"/>
                <w:szCs w:val="28"/>
                <w:vertAlign w:val="baseline"/>
                <w:lang w:val="en-US" w:eastAsia="zh-CN" w:bidi="ar-SA"/>
              </w:rPr>
            </w:pPr>
            <w:r>
              <w:rPr>
                <w:rFonts w:hint="eastAsia" w:ascii="黑体" w:hAnsi="黑体" w:eastAsia="黑体" w:cs="黑体"/>
                <w:sz w:val="28"/>
                <w:szCs w:val="28"/>
              </w:rPr>
              <w:t>肉质新鲜无异味、无淤血霉变，肌肉色泽自然有弹性，冷冻肉无明显冰霜和解冻变质迹象</w:t>
            </w:r>
            <w:r>
              <w:rPr>
                <w:rFonts w:hint="eastAsia" w:ascii="黑体" w:hAnsi="黑体" w:eastAsia="黑体" w:cs="黑体"/>
                <w:sz w:val="28"/>
                <w:szCs w:val="28"/>
                <w:lang w:eastAsia="zh-CN"/>
              </w:rPr>
              <w:t>，</w:t>
            </w:r>
            <w:r>
              <w:rPr>
                <w:rFonts w:hint="eastAsia" w:ascii="黑体" w:hAnsi="黑体" w:eastAsia="黑体" w:cs="黑体"/>
                <w:sz w:val="28"/>
                <w:szCs w:val="28"/>
              </w:rPr>
              <w:t>检疫检验证明齐全</w:t>
            </w:r>
            <w:r>
              <w:rPr>
                <w:rFonts w:hint="eastAsia" w:ascii="黑体" w:hAnsi="黑体" w:eastAsia="黑体" w:cs="黑体"/>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both"/>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乳制品</w:t>
            </w:r>
          </w:p>
        </w:tc>
        <w:tc>
          <w:tcPr>
            <w:tcW w:w="3155"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酸奶，牛奶</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p>
            <w:pPr>
              <w:numPr>
                <w:ilvl w:val="0"/>
                <w:numId w:val="0"/>
              </w:numPr>
              <w:spacing w:line="600" w:lineRule="exact"/>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袋装（500g），杯装</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sz w:val="28"/>
                <w:szCs w:val="28"/>
              </w:rPr>
            </w:pPr>
            <w:r>
              <w:rPr>
                <w:rFonts w:hint="eastAsia" w:ascii="黑体" w:hAnsi="黑体" w:eastAsia="黑体" w:cs="黑体"/>
                <w:sz w:val="28"/>
                <w:szCs w:val="28"/>
                <w:lang w:val="en-US" w:eastAsia="zh-CN"/>
              </w:rPr>
              <w:t>乳制品商品外包装需保持完好无损，包装上须清晰标明品名、生产厂家、净含量、生产日期、保质期（或保存期） 等关键信息。送货日期须控制在产品出厂5—7天内，确保所供乳制品新鲜达标。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2" w:type="dxa"/>
          </w:tcPr>
          <w:p>
            <w:pPr>
              <w:numPr>
                <w:ilvl w:val="0"/>
                <w:numId w:val="0"/>
              </w:numPr>
              <w:spacing w:line="600" w:lineRule="exact"/>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水果类</w:t>
            </w:r>
          </w:p>
        </w:tc>
        <w:tc>
          <w:tcPr>
            <w:tcW w:w="3155" w:type="dxa"/>
          </w:tcPr>
          <w:p>
            <w:pPr>
              <w:numPr>
                <w:ilvl w:val="0"/>
                <w:numId w:val="0"/>
              </w:numPr>
              <w:spacing w:line="600" w:lineRule="exact"/>
              <w:jc w:val="center"/>
              <w:rPr>
                <w:rFonts w:hint="default"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苹果、梨、橘子、西瓜、香蕉、哈密瓜、圣女果</w:t>
            </w:r>
          </w:p>
        </w:tc>
        <w:tc>
          <w:tcPr>
            <w:tcW w:w="1617"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r>
              <w:rPr>
                <w:rFonts w:hint="eastAsia" w:ascii="黑体" w:hAnsi="黑体" w:eastAsia="黑体" w:cs="黑体"/>
                <w:kern w:val="2"/>
                <w:sz w:val="28"/>
                <w:szCs w:val="28"/>
                <w:vertAlign w:val="baseline"/>
                <w:lang w:val="en-US" w:eastAsia="zh-CN" w:bidi="ar-SA"/>
              </w:rPr>
              <w:t>根据实际需求按公斤购买</w:t>
            </w:r>
          </w:p>
        </w:tc>
        <w:tc>
          <w:tcPr>
            <w:tcW w:w="958" w:type="dxa"/>
          </w:tcPr>
          <w:p>
            <w:pPr>
              <w:numPr>
                <w:ilvl w:val="0"/>
                <w:numId w:val="0"/>
              </w:numPr>
              <w:spacing w:line="600" w:lineRule="exact"/>
              <w:jc w:val="center"/>
              <w:rPr>
                <w:rFonts w:hint="eastAsia" w:ascii="黑体" w:hAnsi="黑体" w:eastAsia="黑体" w:cs="黑体"/>
                <w:kern w:val="2"/>
                <w:sz w:val="28"/>
                <w:szCs w:val="28"/>
                <w:vertAlign w:val="baseline"/>
                <w:lang w:val="en-US" w:eastAsia="zh-CN" w:bidi="ar-SA"/>
              </w:rPr>
            </w:pPr>
          </w:p>
        </w:tc>
        <w:tc>
          <w:tcPr>
            <w:tcW w:w="2604" w:type="dxa"/>
          </w:tcPr>
          <w:p>
            <w:pPr>
              <w:numPr>
                <w:ilvl w:val="0"/>
                <w:numId w:val="0"/>
              </w:numPr>
              <w:spacing w:line="600" w:lineRule="exact"/>
              <w:jc w:val="lef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确保新鲜度，符合食品安全标准</w:t>
            </w:r>
          </w:p>
        </w:tc>
      </w:tr>
    </w:tbl>
    <w:p>
      <w:pPr>
        <w:spacing w:line="600" w:lineRule="exac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 xml:space="preserve">    </w:t>
      </w:r>
      <w:r>
        <w:rPr>
          <w:rFonts w:hint="eastAsia" w:ascii="仿宋_GB2312"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 供货时效要求：供应商需建立稳定的配送机制，确保食材新鲜度；遇节假日或特殊情况，需提前与公司沟通确认供货时间，不得出现断供、迟供情况。</w:t>
      </w:r>
    </w:p>
    <w:p>
      <w:pPr>
        <w:spacing w:line="600" w:lineRule="exact"/>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3.</w:t>
      </w:r>
      <w:r>
        <w:rPr>
          <w:rFonts w:hint="eastAsia" w:ascii="仿宋_GB2312" w:hAnsi="Times New Roman" w:eastAsia="仿宋_GB2312" w:cs="Times New Roman"/>
          <w:kern w:val="2"/>
          <w:sz w:val="32"/>
          <w:szCs w:val="32"/>
          <w:lang w:val="en-US" w:eastAsia="zh-CN" w:bidi="ar-SA"/>
        </w:rPr>
        <w:t> 售后保障要求：若出现食材质量不合格、品类不符等问题，供应商需在接到通知后</w:t>
      </w:r>
      <w:r>
        <w:rPr>
          <w:rFonts w:hint="eastAsia" w:ascii="仿宋_GB2312" w:eastAsia="仿宋_GB2312" w:cs="Times New Roman"/>
          <w:kern w:val="2"/>
          <w:sz w:val="32"/>
          <w:szCs w:val="32"/>
          <w:lang w:val="en-US" w:eastAsia="zh-CN" w:bidi="ar-SA"/>
        </w:rPr>
        <w:t>1小时内响应，2</w:t>
      </w:r>
      <w:r>
        <w:rPr>
          <w:rFonts w:hint="eastAsia" w:ascii="仿宋_GB2312" w:hAnsi="Times New Roman" w:eastAsia="仿宋_GB2312" w:cs="Times New Roman"/>
          <w:kern w:val="2"/>
          <w:sz w:val="32"/>
          <w:szCs w:val="32"/>
          <w:lang w:val="en-US" w:eastAsia="zh-CN" w:bidi="ar-SA"/>
        </w:rPr>
        <w:t>小时内完成退换货处理，且承担由此产生的全部损失；定期配合公司开展食材质量满意度调研，根据反馈优化供货服务。</w:t>
      </w:r>
    </w:p>
    <w:p>
      <w:pPr>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（二）验收/考核标准及付款安排</w:t>
      </w:r>
    </w:p>
    <w:p>
      <w:pPr>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1.验收标准：</w:t>
      </w:r>
    </w:p>
    <w:p>
      <w:pPr>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（1）资质文件验收：每次配送时需携带本次食材的相关证明等文件，形成双方确认的《验收单》，验收人员核对文件的真实性、完整性及有效性，文件不全或不符合要求的，本次食材不予验收。</w:t>
      </w:r>
    </w:p>
    <w:p>
      <w:pPr>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食材外观及品质验收：蔬菜类无黄叶、腐烂、虫蛀现象，根茎类需去除多余泥沙，新鲜度达标；肉类色泽正常、无异味、无注水情况，禽类需去除内脏及杂毛，蛋类无破损、变质；粮油米面及调味品包装完好无破损、无渗漏，标识清晰，生产日期、保质期、生产厂家等信息齐全，且在保质期内。</w:t>
      </w:r>
    </w:p>
    <w:p>
      <w:pPr>
        <w:numPr>
          <w:ilvl w:val="0"/>
          <w:numId w:val="0"/>
        </w:numPr>
        <w:spacing w:line="600" w:lineRule="exact"/>
        <w:ind w:firstLine="640" w:firstLineChars="200"/>
        <w:rPr>
          <w:rFonts w:hint="eastAsia" w:ascii="仿宋_GB2312" w:hAnsi="宋体" w:eastAsia="仿宋_GB2312" w:cs="宋体"/>
          <w:color w:val="auto"/>
          <w:kern w:val="0"/>
          <w:sz w:val="32"/>
          <w:szCs w:val="32"/>
          <w:lang w:val="en-US" w:eastAsia="zh-CN" w:bidi="ar-SA"/>
        </w:rPr>
      </w:pPr>
      <w:r>
        <w:rPr>
          <w:rFonts w:hint="eastAsia" w:ascii="仿宋_GB2312" w:hAnsi="宋体" w:eastAsia="仿宋_GB2312" w:cs="宋体"/>
          <w:kern w:val="0"/>
          <w:sz w:val="32"/>
          <w:szCs w:val="32"/>
          <w:lang w:val="en-US" w:eastAsia="zh-CN" w:bidi="ar-SA"/>
        </w:rPr>
        <w:t>（3）数量及规格验收：对照采购订单，核对食材的配送数量、规格型号，误差需控制在±5%以内，超出误差范围的，需在当日完成补货或核减相应货款，</w:t>
      </w:r>
      <w:r>
        <w:rPr>
          <w:rFonts w:hint="eastAsia" w:ascii="仿宋_GB2312" w:hAnsi="Times New Roman" w:eastAsia="仿宋_GB2312" w:cs="Times New Roman"/>
          <w:kern w:val="2"/>
          <w:sz w:val="32"/>
          <w:szCs w:val="32"/>
          <w:lang w:val="en-US" w:eastAsia="zh-CN" w:bidi="ar-SA"/>
        </w:rPr>
        <w:t>且承担由此产生的全部损</w:t>
      </w:r>
      <w:r>
        <w:rPr>
          <w:rFonts w:hint="eastAsia" w:ascii="仿宋_GB2312" w:hAnsi="Times New Roman" w:eastAsia="仿宋_GB2312" w:cs="Times New Roman"/>
          <w:color w:val="auto"/>
          <w:kern w:val="2"/>
          <w:sz w:val="32"/>
          <w:szCs w:val="32"/>
          <w:lang w:val="en-US" w:eastAsia="zh-CN" w:bidi="ar-SA"/>
        </w:rPr>
        <w:t>失</w:t>
      </w:r>
      <w:r>
        <w:rPr>
          <w:rFonts w:hint="eastAsia" w:ascii="仿宋_GB2312" w:hAnsi="宋体" w:eastAsia="仿宋_GB2312" w:cs="宋体"/>
          <w:color w:val="auto"/>
          <w:kern w:val="0"/>
          <w:sz w:val="32"/>
          <w:szCs w:val="32"/>
          <w:lang w:val="en-US" w:eastAsia="zh-CN" w:bidi="ar-SA"/>
        </w:rPr>
        <w:t>。</w:t>
      </w:r>
    </w:p>
    <w:p>
      <w:pPr>
        <w:numPr>
          <w:ilvl w:val="0"/>
          <w:numId w:val="0"/>
        </w:numPr>
        <w:spacing w:line="600" w:lineRule="exact"/>
        <w:ind w:firstLine="640" w:firstLineChars="200"/>
        <w:rPr>
          <w:rFonts w:hint="eastAsia" w:ascii="仿宋_GB2312" w:hAnsi="宋体" w:eastAsia="仿宋_GB2312" w:cs="宋体"/>
          <w:color w:val="auto"/>
          <w:kern w:val="0"/>
          <w:sz w:val="32"/>
          <w:szCs w:val="32"/>
          <w:lang w:val="en-US" w:eastAsia="zh-CN" w:bidi="ar-SA"/>
        </w:rPr>
      </w:pPr>
      <w:r>
        <w:rPr>
          <w:rFonts w:hint="eastAsia" w:ascii="仿宋_GB2312" w:hAnsi="宋体" w:eastAsia="仿宋_GB2312" w:cs="宋体"/>
          <w:color w:val="auto"/>
          <w:kern w:val="0"/>
          <w:sz w:val="32"/>
          <w:szCs w:val="32"/>
          <w:lang w:val="en-US" w:eastAsia="zh-CN" w:bidi="ar-SA"/>
        </w:rPr>
        <w:t>2.考核标准</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采购方每2个月对供应商进行考核评分，形成《供应商考核评分表》，做为后续付款结算依据。明细如下：</w:t>
      </w:r>
    </w:p>
    <w:tbl>
      <w:tblPr>
        <w:tblStyle w:val="4"/>
        <w:tblpPr w:leftFromText="180" w:rightFromText="180" w:vertAnchor="text" w:horzAnchor="page" w:tblpX="1723" w:tblpY="213"/>
        <w:tblOverlap w:val="never"/>
        <w:tblW w:w="89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6686"/>
        <w:gridCol w:w="9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13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考核项目</w:t>
            </w:r>
          </w:p>
        </w:tc>
        <w:tc>
          <w:tcPr>
            <w:tcW w:w="668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ind w:firstLineChars="20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考核详情</w:t>
            </w:r>
          </w:p>
        </w:tc>
        <w:tc>
          <w:tcPr>
            <w:tcW w:w="9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2" w:hRule="atLeast"/>
        </w:trPr>
        <w:tc>
          <w:tcPr>
            <w:tcW w:w="1349"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 w:hAnsi="仿宋" w:eastAsia="宋体" w:cs="仿宋"/>
                <w:i w:val="0"/>
                <w:iCs w:val="0"/>
                <w:color w:val="000000"/>
                <w:sz w:val="24"/>
                <w:szCs w:val="24"/>
                <w:u w:val="none"/>
                <w:lang w:eastAsia="zh-CN"/>
              </w:rPr>
            </w:pPr>
            <w:r>
              <w:rPr>
                <w:rFonts w:hint="eastAsia" w:ascii="仿宋" w:hAnsi="仿宋" w:eastAsia="仿宋" w:cs="仿宋"/>
                <w:i w:val="0"/>
                <w:iCs w:val="0"/>
                <w:color w:val="000000"/>
                <w:kern w:val="0"/>
                <w:sz w:val="24"/>
                <w:szCs w:val="24"/>
                <w:u w:val="none"/>
                <w:lang w:val="en-US" w:eastAsia="zh-CN" w:bidi="ar"/>
              </w:rPr>
              <w:t>食材质量及安全性</w:t>
            </w:r>
          </w:p>
        </w:tc>
        <w:tc>
          <w:tcPr>
            <w:tcW w:w="66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rPr>
            </w:pPr>
            <w:r>
              <w:rPr>
                <w:rFonts w:hint="eastAsia" w:ascii="仿宋" w:hAnsi="仿宋" w:eastAsia="仿宋" w:cs="仿宋"/>
                <w:i w:val="0"/>
                <w:iCs w:val="0"/>
                <w:color w:val="000000"/>
                <w:sz w:val="24"/>
                <w:szCs w:val="24"/>
                <w:u w:val="none"/>
                <w:lang w:val="en-US" w:eastAsia="zh-CN"/>
              </w:rPr>
              <w:t>质量合规（30分）：食材新鲜度、保质期、检验检疫证明等符合约定标准，</w:t>
            </w:r>
            <w:r>
              <w:rPr>
                <w:rFonts w:hint="eastAsia" w:ascii="仿宋" w:hAnsi="仿宋" w:eastAsia="仿宋" w:cs="仿宋"/>
                <w:i w:val="0"/>
                <w:iCs w:val="0"/>
                <w:color w:val="000000"/>
                <w:kern w:val="0"/>
                <w:sz w:val="24"/>
                <w:szCs w:val="24"/>
                <w:u w:val="none"/>
                <w:lang w:val="en-US" w:eastAsia="zh-CN" w:bidi="ar"/>
              </w:rPr>
              <w:t>保证无异味、无霉烂变质，肉类供货时需提供当批次有效的动物产品检疫合格证（随货物同步提供）。</w:t>
            </w:r>
            <w:r>
              <w:rPr>
                <w:rFonts w:hint="eastAsia" w:ascii="仿宋" w:hAnsi="仿宋" w:eastAsia="仿宋" w:cs="仿宋"/>
                <w:i w:val="0"/>
                <w:iCs w:val="0"/>
                <w:color w:val="000000"/>
                <w:sz w:val="24"/>
                <w:szCs w:val="24"/>
                <w:u w:val="none"/>
                <w:lang w:val="en-US" w:eastAsia="zh-CN"/>
              </w:rPr>
              <w:t xml:space="preserve">每出现1次不合格扣5分。                                          供货准确性（20分）：核对供货单与实际到货数量、金额，检查送货单。每出现1次不合格扣5分。 </w:t>
            </w:r>
          </w:p>
        </w:tc>
        <w:tc>
          <w:tcPr>
            <w:tcW w:w="904"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1349" w:type="dxa"/>
            <w:vMerge w:val="restart"/>
            <w:tcBorders>
              <w:top w:val="single" w:color="000000" w:sz="4" w:space="0"/>
              <w:left w:val="single" w:color="000000" w:sz="4" w:space="0"/>
              <w:bottom w:val="nil"/>
              <w:right w:val="single" w:color="auto"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服务时效性、服务响应度及售后服务</w:t>
            </w:r>
          </w:p>
        </w:tc>
        <w:tc>
          <w:tcPr>
            <w:tcW w:w="6686" w:type="dxa"/>
            <w:tcBorders>
              <w:top w:val="single" w:color="auto" w:sz="4" w:space="0"/>
              <w:left w:val="single" w:color="auto" w:sz="4" w:space="0"/>
              <w:bottom w:val="nil"/>
              <w:right w:val="single" w:color="auto" w:sz="4" w:space="0"/>
            </w:tcBorders>
            <w:noWrap w:val="0"/>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按时送达（10分）：在约定时间窗口内送达，延迟30分钟内扣2分，延迟30分钟至2小时扣5分，延迟超2小时扣10分（单日累计扣完为止）。                                      响应效率（10分）：订单调整、需求沟通等事项2小时内响应，未及时响应1次扣3分。</w:t>
            </w:r>
          </w:p>
          <w:p>
            <w:pPr>
              <w:keepNext w:val="0"/>
              <w:keepLines w:val="0"/>
              <w:widowControl/>
              <w:suppressLineNumbers w:val="0"/>
              <w:jc w:val="left"/>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问题解决（10分）：收不合格食材4小时内完成退换货或赔付，逾期1天扣5分。</w:t>
            </w:r>
          </w:p>
        </w:tc>
        <w:tc>
          <w:tcPr>
            <w:tcW w:w="904" w:type="dxa"/>
            <w:vMerge w:val="restart"/>
            <w:tcBorders>
              <w:top w:val="single" w:color="000000" w:sz="4" w:space="0"/>
              <w:left w:val="single" w:color="auto" w:sz="4" w:space="0"/>
              <w:bottom w:val="nil"/>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1349" w:type="dxa"/>
            <w:vMerge w:val="continue"/>
            <w:tcBorders>
              <w:top w:val="single" w:color="000000" w:sz="4" w:space="0"/>
              <w:left w:val="single" w:color="000000" w:sz="4" w:space="0"/>
              <w:bottom w:val="nil"/>
              <w:right w:val="single" w:color="auto" w:sz="4" w:space="0"/>
            </w:tcBorders>
            <w:noWrap w:val="0"/>
            <w:vAlign w:val="center"/>
          </w:tcPr>
          <w:p>
            <w:pPr>
              <w:jc w:val="center"/>
              <w:rPr>
                <w:rFonts w:hint="eastAsia" w:ascii="仿宋" w:hAnsi="仿宋" w:eastAsia="仿宋" w:cs="仿宋"/>
                <w:i w:val="0"/>
                <w:iCs w:val="0"/>
                <w:color w:val="000000"/>
                <w:sz w:val="24"/>
                <w:szCs w:val="24"/>
                <w:u w:val="none"/>
              </w:rPr>
            </w:pPr>
          </w:p>
        </w:tc>
        <w:tc>
          <w:tcPr>
            <w:tcW w:w="668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lang w:val="en-US" w:eastAsia="zh-CN"/>
              </w:rPr>
            </w:pPr>
          </w:p>
        </w:tc>
        <w:tc>
          <w:tcPr>
            <w:tcW w:w="904" w:type="dxa"/>
            <w:vMerge w:val="continue"/>
            <w:tcBorders>
              <w:top w:val="single" w:color="000000" w:sz="4" w:space="0"/>
              <w:left w:val="single" w:color="auto" w:sz="4" w:space="0"/>
              <w:bottom w:val="nil"/>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1349"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客户满意度</w:t>
            </w:r>
          </w:p>
        </w:tc>
        <w:tc>
          <w:tcPr>
            <w:tcW w:w="66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sz w:val="24"/>
                <w:szCs w:val="24"/>
                <w:u w:val="none"/>
                <w:lang w:val="en-US" w:eastAsia="zh-CN"/>
              </w:rPr>
              <w:t>需求机构每季度对供应商开展满意度评估，聚焦服务时效性（按时配送、订单响应速度等）、服务完成质量（食材品质稳定性、交付精准度等 ）、售后服务配合度（问题反馈处理效率、突发情况协同等 ）维度，综合计算得分。若供应商在各环节表现优异，季度综合得分20分。</w:t>
            </w:r>
          </w:p>
        </w:tc>
        <w:tc>
          <w:tcPr>
            <w:tcW w:w="904"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20</w:t>
            </w:r>
          </w:p>
        </w:tc>
      </w:tr>
    </w:tbl>
    <w:p>
      <w:pPr>
        <w:pStyle w:val="2"/>
        <w:rPr>
          <w:rFonts w:hint="eastAsia"/>
          <w:lang w:val="en-US" w:eastAsia="zh-CN"/>
        </w:rPr>
      </w:pPr>
    </w:p>
    <w:p>
      <w:pPr>
        <w:numPr>
          <w:ilvl w:val="0"/>
          <w:numId w:val="0"/>
        </w:numPr>
        <w:spacing w:line="600" w:lineRule="exact"/>
        <w:ind w:firstLine="640" w:firstLineChars="200"/>
        <w:rPr>
          <w:rFonts w:hint="default" w:ascii="仿宋_GB2312" w:hAnsi="宋体" w:eastAsia="仿宋_GB2312" w:cs="宋体"/>
          <w:color w:val="auto"/>
          <w:kern w:val="0"/>
          <w:sz w:val="32"/>
          <w:szCs w:val="32"/>
          <w:lang w:val="en-US" w:eastAsia="zh-CN" w:bidi="ar-SA"/>
        </w:rPr>
      </w:pPr>
      <w:r>
        <w:rPr>
          <w:rFonts w:hint="default" w:ascii="仿宋_GB2312" w:hAnsi="宋体" w:eastAsia="仿宋_GB2312" w:cs="宋体"/>
          <w:color w:val="auto"/>
          <w:kern w:val="0"/>
          <w:sz w:val="32"/>
          <w:szCs w:val="32"/>
          <w:lang w:val="en-US" w:eastAsia="zh-CN" w:bidi="ar-SA"/>
        </w:rPr>
        <w:t>（1）供应商考评得分在80分（含）以上的，采购方继续使用该供应商。</w:t>
      </w:r>
    </w:p>
    <w:p>
      <w:pPr>
        <w:numPr>
          <w:ilvl w:val="0"/>
          <w:numId w:val="0"/>
        </w:numPr>
        <w:spacing w:line="600" w:lineRule="exact"/>
        <w:ind w:firstLine="640" w:firstLineChars="200"/>
        <w:rPr>
          <w:rFonts w:hint="default" w:ascii="仿宋_GB2312" w:hAnsi="宋体" w:eastAsia="仿宋_GB2312" w:cs="宋体"/>
          <w:color w:val="auto"/>
          <w:kern w:val="0"/>
          <w:sz w:val="32"/>
          <w:szCs w:val="32"/>
          <w:lang w:val="en-US" w:eastAsia="zh-CN" w:bidi="ar-SA"/>
        </w:rPr>
      </w:pPr>
      <w:r>
        <w:rPr>
          <w:rFonts w:hint="default" w:ascii="仿宋_GB2312" w:hAnsi="宋体" w:eastAsia="仿宋_GB2312" w:cs="宋体"/>
          <w:color w:val="auto"/>
          <w:kern w:val="0"/>
          <w:sz w:val="32"/>
          <w:szCs w:val="32"/>
          <w:lang w:val="en-US" w:eastAsia="zh-CN" w:bidi="ar-SA"/>
        </w:rPr>
        <w:t>（2）供应商考评得分在60分以上（含）-80分（不含）以下的，采购方要求该供应商限期进行整改，如供应商未能按要求如期整改的，且在年度内连续出现2次以上（含）未及时整改情况的，采购方有权终止合同，该供应商须无条件配合办理终止合同相关事宜。</w:t>
      </w:r>
    </w:p>
    <w:p>
      <w:pPr>
        <w:numPr>
          <w:ilvl w:val="0"/>
          <w:numId w:val="0"/>
        </w:numPr>
        <w:spacing w:line="600" w:lineRule="exact"/>
        <w:ind w:firstLine="640" w:firstLineChars="200"/>
        <w:rPr>
          <w:rFonts w:hint="default" w:ascii="仿宋_GB2312" w:hAnsi="宋体" w:eastAsia="仿宋_GB2312" w:cs="宋体"/>
          <w:color w:val="auto"/>
          <w:kern w:val="0"/>
          <w:sz w:val="32"/>
          <w:szCs w:val="32"/>
          <w:lang w:val="en-US" w:eastAsia="zh-CN" w:bidi="ar-SA"/>
        </w:rPr>
      </w:pPr>
      <w:r>
        <w:rPr>
          <w:rFonts w:hint="default" w:ascii="仿宋_GB2312" w:hAnsi="宋体" w:eastAsia="仿宋_GB2312" w:cs="宋体"/>
          <w:color w:val="auto"/>
          <w:kern w:val="0"/>
          <w:sz w:val="32"/>
          <w:szCs w:val="32"/>
          <w:lang w:val="en-US" w:eastAsia="zh-CN" w:bidi="ar-SA"/>
        </w:rPr>
        <w:t>（3）供应商考评得分在60分以下（不含）的，经采购方研究讨论后，将在10个工作日内形成决议，通过邮件或函件形式向该供应商发送相关通知书，明确采购方决议内容及后续安排。</w:t>
      </w:r>
    </w:p>
    <w:p>
      <w:p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3.付款安排：</w:t>
      </w:r>
    </w:p>
    <w:p>
      <w:pPr>
        <w:pStyle w:val="8"/>
        <w:numPr>
          <w:ilvl w:val="0"/>
          <w:numId w:val="0"/>
        </w:numPr>
        <w:spacing w:line="600" w:lineRule="exact"/>
        <w:ind w:firstLine="640" w:firstLineChars="200"/>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本采购项目按上月实际用量于次月10日前进行核对，供应商向采购方提供月度货品验收单、费用结算单、合规的增值税发票，采购方收到相关资料后15个工作日内安排付款。</w:t>
      </w:r>
    </w:p>
    <w:p>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Times New Roman" w:eastAsia="仿宋_GB2312" w:cs="Times New Roman"/>
          <w:kern w:val="2"/>
          <w:sz w:val="32"/>
          <w:szCs w:val="32"/>
          <w:lang w:val="en-US" w:eastAsia="zh-CN" w:bidi="ar-SA"/>
        </w:rPr>
      </w:pPr>
      <w:r>
        <w:rPr>
          <w:rFonts w:hint="eastAsia" w:ascii="仿宋_GB2312" w:hAnsi="宋体" w:eastAsia="仿宋_GB2312" w:cs="宋体"/>
          <w:kern w:val="0"/>
          <w:sz w:val="32"/>
          <w:szCs w:val="32"/>
          <w:highlight w:val="none"/>
          <w:lang w:val="en-US" w:eastAsia="zh-CN"/>
        </w:rPr>
        <w:t>本采购项目服务期限一年，在</w:t>
      </w:r>
      <w:r>
        <w:rPr>
          <w:rFonts w:hint="default" w:ascii="仿宋_GB2312" w:hAnsi="仿宋_GB2312" w:eastAsia="仿宋_GB2312" w:cs="仿宋_GB2312"/>
          <w:sz w:val="32"/>
          <w:szCs w:val="32"/>
          <w:lang w:val="en-US" w:eastAsia="zh-CN"/>
        </w:rPr>
        <w:t>合同到期前</w:t>
      </w:r>
      <w:r>
        <w:rPr>
          <w:rFonts w:hint="eastAsia" w:ascii="仿宋_GB2312" w:hAnsi="仿宋_GB2312" w:eastAsia="仿宋_GB2312" w:cs="仿宋_GB2312"/>
          <w:sz w:val="32"/>
          <w:szCs w:val="32"/>
          <w:lang w:val="en-US" w:eastAsia="zh-CN"/>
        </w:rPr>
        <w:t>2个月内</w:t>
      </w:r>
      <w:r>
        <w:rPr>
          <w:rFonts w:hint="default" w:ascii="仿宋_GB2312" w:hAnsi="仿宋_GB2312" w:eastAsia="仿宋_GB2312" w:cs="仿宋_GB2312"/>
          <w:sz w:val="32"/>
          <w:szCs w:val="32"/>
          <w:lang w:val="en-US" w:eastAsia="zh-CN"/>
        </w:rPr>
        <w:t>，若双方未提出书面异议，合同可续签一年，续签不超过两次。</w:t>
      </w:r>
      <w:r>
        <w:rPr>
          <w:rFonts w:hint="eastAsia" w:ascii="仿宋_GB2312" w:hAnsi="宋体" w:eastAsia="仿宋_GB2312" w:cs="宋体"/>
          <w:kern w:val="0"/>
          <w:sz w:val="32"/>
          <w:szCs w:val="32"/>
          <w:highlight w:val="none"/>
          <w:lang w:val="en-US" w:eastAsia="zh-CN"/>
        </w:rPr>
        <w:t>如遇一方终止合作时，需提前2个月进行书面告知。</w:t>
      </w:r>
    </w:p>
    <w:p>
      <w:pPr>
        <w:pStyle w:val="7"/>
        <w:ind w:firstLine="482" w:firstLineChars="150"/>
        <w:rPr>
          <w:b/>
          <w:sz w:val="32"/>
          <w:szCs w:val="32"/>
        </w:rPr>
      </w:pPr>
      <w:r>
        <w:rPr>
          <w:rFonts w:hint="eastAsia"/>
          <w:b/>
          <w:sz w:val="32"/>
          <w:szCs w:val="32"/>
        </w:rPr>
        <w:t>三、供应商资质要求</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1.在中华人民共和国境内依照《中华人民共和国公司法》注册的、具有法人资格、符合本磋商文件的要求并承诺提供本次服务的企业，需提供营业执照复印件；</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 xml:space="preserve">2.具有良好的商业信誉和健全的财务会计制度； </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3.具有履行合同所必需的设备和专业技术能力；</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4.有依法缴纳税收和社会保障资金的良好记录；</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5.参加此项采购活动最近三年没有出现违法违规或失信行为，没有骗取中标和严重违约的行为；</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6.单位负责人为同一人或存在控股、管理关系的不同单位，不得参加同一采购项目；</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7.未被列入公司供应商黑名单或已不在禁入期内。</w:t>
      </w:r>
    </w:p>
    <w:p>
      <w:pPr>
        <w:pStyle w:val="7"/>
        <w:ind w:firstLine="480" w:firstLineChars="150"/>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8.本项目不接受联合体。</w:t>
      </w:r>
    </w:p>
    <w:p>
      <w:pPr>
        <w:pStyle w:val="7"/>
        <w:ind w:firstLine="482" w:firstLineChars="150"/>
        <w:rPr>
          <w:b/>
          <w:sz w:val="32"/>
          <w:szCs w:val="32"/>
        </w:rPr>
      </w:pPr>
      <w:r>
        <w:rPr>
          <w:rFonts w:hint="eastAsia"/>
          <w:b/>
          <w:sz w:val="32"/>
          <w:szCs w:val="32"/>
        </w:rPr>
        <w:t xml:space="preserve">四、供应商报名方式 </w:t>
      </w:r>
    </w:p>
    <w:p>
      <w:pPr>
        <w:pStyle w:val="7"/>
        <w:ind w:firstLine="480" w:firstLineChars="150"/>
        <w:rPr>
          <w:sz w:val="32"/>
          <w:szCs w:val="32"/>
        </w:rPr>
      </w:pPr>
      <w:r>
        <w:rPr>
          <w:rFonts w:hint="eastAsia"/>
          <w:sz w:val="32"/>
          <w:szCs w:val="32"/>
        </w:rPr>
        <w:t>（一）报名资料：凡有意向参加该采购项目的供应商，需提供满足资质要求的相应证明资料，包括但不限于营业执照、</w:t>
      </w:r>
      <w:r>
        <w:rPr>
          <w:rFonts w:hint="eastAsia"/>
          <w:sz w:val="32"/>
          <w:szCs w:val="32"/>
          <w:lang w:val="en-US" w:eastAsia="zh-CN"/>
        </w:rPr>
        <w:t>法人身份证、开户银行许可证</w:t>
      </w:r>
      <w:r>
        <w:rPr>
          <w:rFonts w:hint="eastAsia"/>
          <w:sz w:val="32"/>
          <w:szCs w:val="32"/>
        </w:rPr>
        <w:t>等。</w:t>
      </w:r>
    </w:p>
    <w:p>
      <w:pPr>
        <w:pStyle w:val="7"/>
        <w:ind w:firstLine="480" w:firstLineChars="150"/>
        <w:rPr>
          <w:rFonts w:hint="eastAsia"/>
          <w:sz w:val="32"/>
          <w:szCs w:val="32"/>
          <w:lang w:eastAsia="zh-CN"/>
        </w:rPr>
      </w:pPr>
      <w:r>
        <w:rPr>
          <w:rFonts w:hint="eastAsia"/>
          <w:sz w:val="32"/>
          <w:szCs w:val="32"/>
        </w:rPr>
        <w:t>（二）报名方式：将报名资料电子版发送至报名联系人微信同时明确报名联系人及联系方式，采购方审核通过后，将采购文件发送至供应商。</w:t>
      </w:r>
    </w:p>
    <w:p>
      <w:pPr>
        <w:pStyle w:val="7"/>
        <w:ind w:firstLine="482" w:firstLineChars="150"/>
        <w:rPr>
          <w:b/>
          <w:sz w:val="32"/>
          <w:szCs w:val="32"/>
        </w:rPr>
      </w:pPr>
      <w:r>
        <w:rPr>
          <w:rFonts w:hint="eastAsia"/>
          <w:b/>
          <w:sz w:val="32"/>
          <w:szCs w:val="32"/>
        </w:rPr>
        <w:t xml:space="preserve">五、采购人信息 </w:t>
      </w:r>
    </w:p>
    <w:p>
      <w:pPr>
        <w:pStyle w:val="7"/>
        <w:ind w:firstLine="320" w:firstLineChars="100"/>
        <w:rPr>
          <w:sz w:val="32"/>
          <w:szCs w:val="32"/>
        </w:rPr>
      </w:pPr>
      <w:r>
        <w:rPr>
          <w:rFonts w:hint="eastAsia"/>
          <w:sz w:val="32"/>
          <w:szCs w:val="32"/>
        </w:rPr>
        <w:t>采购人：中国人民财产保险股份有限公司</w:t>
      </w:r>
      <w:r>
        <w:rPr>
          <w:rFonts w:hint="eastAsia"/>
          <w:sz w:val="32"/>
          <w:szCs w:val="32"/>
          <w:lang w:val="en-US" w:eastAsia="zh-CN"/>
        </w:rPr>
        <w:t>和田地区</w:t>
      </w:r>
      <w:r>
        <w:rPr>
          <w:rFonts w:hint="eastAsia"/>
          <w:sz w:val="32"/>
          <w:szCs w:val="32"/>
        </w:rPr>
        <w:t xml:space="preserve">分公司  </w:t>
      </w:r>
    </w:p>
    <w:p>
      <w:pPr>
        <w:pStyle w:val="7"/>
        <w:ind w:firstLine="320" w:firstLineChars="100"/>
        <w:rPr>
          <w:sz w:val="32"/>
          <w:szCs w:val="32"/>
        </w:rPr>
      </w:pPr>
      <w:r>
        <w:rPr>
          <w:rFonts w:hint="eastAsia"/>
          <w:sz w:val="32"/>
          <w:szCs w:val="32"/>
        </w:rPr>
        <w:t>地 址：</w:t>
      </w:r>
      <w:r>
        <w:rPr>
          <w:rFonts w:hint="eastAsia"/>
          <w:sz w:val="32"/>
          <w:szCs w:val="32"/>
          <w:lang w:val="en-US" w:eastAsia="zh-CN"/>
        </w:rPr>
        <w:t>新疆维吾尔自治区和田地区和田市北京西路107号</w:t>
      </w:r>
      <w:r>
        <w:rPr>
          <w:rFonts w:hint="eastAsia"/>
          <w:sz w:val="32"/>
          <w:szCs w:val="32"/>
        </w:rPr>
        <w:t xml:space="preserve"> </w:t>
      </w:r>
    </w:p>
    <w:p>
      <w:pPr>
        <w:pStyle w:val="7"/>
        <w:rPr>
          <w:rFonts w:hint="eastAsia" w:eastAsia="仿宋_GB2312"/>
          <w:sz w:val="32"/>
          <w:szCs w:val="32"/>
          <w:lang w:eastAsia="zh-CN"/>
        </w:rPr>
      </w:pPr>
      <w:r>
        <w:rPr>
          <w:rFonts w:hint="eastAsia"/>
          <w:sz w:val="32"/>
          <w:szCs w:val="32"/>
        </w:rPr>
        <w:t xml:space="preserve">  项目报名联系人：</w:t>
      </w:r>
      <w:r>
        <w:rPr>
          <w:rFonts w:hint="eastAsia"/>
          <w:sz w:val="32"/>
          <w:szCs w:val="32"/>
          <w:lang w:val="en-US" w:eastAsia="zh-CN"/>
        </w:rPr>
        <w:t>贺军</w:t>
      </w:r>
    </w:p>
    <w:p>
      <w:pPr>
        <w:pStyle w:val="7"/>
        <w:ind w:firstLine="320" w:firstLineChars="100"/>
        <w:rPr>
          <w:rFonts w:hint="eastAsia"/>
          <w:sz w:val="32"/>
          <w:szCs w:val="32"/>
        </w:rPr>
      </w:pPr>
      <w:r>
        <w:rPr>
          <w:rFonts w:hint="eastAsia"/>
          <w:sz w:val="32"/>
          <w:szCs w:val="32"/>
        </w:rPr>
        <w:t>电 话：17764549874</w:t>
      </w:r>
    </w:p>
    <w:p>
      <w:pPr>
        <w:pStyle w:val="7"/>
        <w:ind w:firstLine="320" w:firstLineChars="100"/>
        <w:rPr>
          <w:sz w:val="32"/>
          <w:szCs w:val="32"/>
        </w:rPr>
      </w:pPr>
      <w:r>
        <w:rPr>
          <w:rFonts w:hint="eastAsia"/>
          <w:sz w:val="32"/>
          <w:szCs w:val="32"/>
        </w:rPr>
        <w:t xml:space="preserve">特此公告 </w:t>
      </w:r>
    </w:p>
    <w:p>
      <w:pPr>
        <w:pStyle w:val="7"/>
        <w:ind w:firstLine="320" w:firstLineChars="100"/>
        <w:rPr>
          <w:sz w:val="32"/>
          <w:szCs w:val="32"/>
        </w:rPr>
      </w:pPr>
    </w:p>
    <w:p>
      <w:pPr>
        <w:pStyle w:val="7"/>
        <w:rPr>
          <w:sz w:val="32"/>
          <w:szCs w:val="32"/>
        </w:rPr>
      </w:pPr>
    </w:p>
    <w:p>
      <w:pPr>
        <w:pStyle w:val="7"/>
        <w:ind w:firstLine="3680" w:firstLineChars="1150"/>
        <w:rPr>
          <w:sz w:val="32"/>
          <w:szCs w:val="32"/>
        </w:rPr>
      </w:pPr>
      <w:r>
        <w:rPr>
          <w:rFonts w:hint="eastAsia"/>
          <w:sz w:val="32"/>
          <w:szCs w:val="32"/>
        </w:rPr>
        <w:t>中国人民财产保险股份有限公司</w:t>
      </w:r>
    </w:p>
    <w:p>
      <w:pPr>
        <w:pStyle w:val="7"/>
        <w:ind w:firstLine="4960" w:firstLineChars="1550"/>
        <w:rPr>
          <w:sz w:val="32"/>
          <w:szCs w:val="32"/>
        </w:rPr>
      </w:pPr>
      <w:r>
        <w:rPr>
          <w:rFonts w:hint="eastAsia"/>
          <w:sz w:val="32"/>
          <w:szCs w:val="32"/>
          <w:lang w:val="en-US" w:eastAsia="zh-CN"/>
        </w:rPr>
        <w:t>和田地区</w:t>
      </w:r>
      <w:r>
        <w:rPr>
          <w:rFonts w:hint="eastAsia"/>
          <w:sz w:val="32"/>
          <w:szCs w:val="32"/>
        </w:rPr>
        <w:t xml:space="preserve">分公司 </w:t>
      </w:r>
    </w:p>
    <w:p>
      <w:pPr>
        <w:pStyle w:val="7"/>
        <w:ind w:firstLine="5120" w:firstLineChars="1600"/>
        <w:rPr>
          <w:sz w:val="32"/>
          <w:szCs w:val="32"/>
        </w:rPr>
      </w:pPr>
      <w:r>
        <w:rPr>
          <w:rFonts w:hint="eastAsia"/>
          <w:sz w:val="32"/>
          <w:szCs w:val="32"/>
          <w:lang w:val="en-US" w:eastAsia="zh-CN"/>
        </w:rPr>
        <w:t>2026</w:t>
      </w:r>
      <w:r>
        <w:rPr>
          <w:rFonts w:hint="eastAsia"/>
          <w:sz w:val="32"/>
          <w:szCs w:val="32"/>
        </w:rPr>
        <w:t>年</w:t>
      </w:r>
      <w:r>
        <w:rPr>
          <w:rFonts w:hint="eastAsia"/>
          <w:sz w:val="32"/>
          <w:szCs w:val="32"/>
          <w:lang w:val="en-US" w:eastAsia="zh-CN"/>
        </w:rPr>
        <w:t>1</w:t>
      </w:r>
      <w:r>
        <w:rPr>
          <w:rFonts w:hint="eastAsia"/>
          <w:sz w:val="32"/>
          <w:szCs w:val="32"/>
        </w:rPr>
        <w:t>月</w:t>
      </w:r>
      <w:r>
        <w:rPr>
          <w:rFonts w:hint="eastAsia"/>
          <w:sz w:val="32"/>
          <w:szCs w:val="32"/>
          <w:lang w:val="en-US" w:eastAsia="zh-CN"/>
        </w:rPr>
        <w:t>9</w:t>
      </w:r>
      <w:r>
        <w:rPr>
          <w:rFonts w:hint="eastAsia"/>
          <w:sz w:val="32"/>
          <w:szCs w:val="32"/>
        </w:rPr>
        <w:t>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E04401"/>
    <w:rsid w:val="18470695"/>
    <w:rsid w:val="229867B3"/>
    <w:rsid w:val="25931CD3"/>
    <w:rsid w:val="36772A61"/>
    <w:rsid w:val="388B5B6F"/>
    <w:rsid w:val="3B901DA5"/>
    <w:rsid w:val="487D7C10"/>
    <w:rsid w:val="57ED1A99"/>
    <w:rsid w:val="5B320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rPr>
  </w:style>
  <w:style w:type="paragraph" w:styleId="3">
    <w:name w:val="annotation text"/>
    <w:basedOn w:val="1"/>
    <w:qFormat/>
    <w:uiPriority w:val="0"/>
    <w:pPr>
      <w:jc w:val="left"/>
    </w:p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 w:type="paragraph" w:customStyle="1" w:styleId="8">
    <w:name w:val="1正文"/>
    <w:basedOn w:val="1"/>
    <w:qFormat/>
    <w:uiPriority w:val="0"/>
    <w:pPr>
      <w:spacing w:line="560" w:lineRule="exact"/>
      <w:ind w:firstLine="200" w:firstLineChars="200"/>
    </w:pPr>
    <w:rPr>
      <w:rFonts w:eastAsia="Cambria Math"/>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热孜宛古丽·玉苏甫</cp:lastModifiedBy>
  <dcterms:modified xsi:type="dcterms:W3CDTF">2026-01-09T03:40:00Z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D331642BB33647B8B51F0B4675FD4745</vt:lpwstr>
  </property>
</Properties>
</file>