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2C79AC">
      <w:pPr>
        <w:pStyle w:val="4"/>
        <w:spacing w:before="0" w:after="0" w:line="480" w:lineRule="auto"/>
        <w:rPr>
          <w:rFonts w:ascii="仿宋" w:hAnsi="仿宋" w:cs="宋体"/>
          <w:color w:val="000000"/>
          <w:highlight w:val="none"/>
        </w:rPr>
      </w:pPr>
      <w:r>
        <w:rPr>
          <w:rFonts w:hint="eastAsia" w:ascii="仿宋" w:hAnsi="仿宋" w:cs="宋体"/>
          <w:color w:val="000000"/>
          <w:sz w:val="24"/>
          <w:szCs w:val="18"/>
          <w:highlight w:val="none"/>
        </w:rPr>
        <w:t>人保财险宁波分公司2026-2027年度职工生日蛋糕福利项目招标公告</w:t>
      </w:r>
    </w:p>
    <w:p w14:paraId="196935AB">
      <w:pPr>
        <w:pStyle w:val="5"/>
        <w:rPr>
          <w:rFonts w:ascii="仿宋" w:hAnsi="仿宋" w:cs="宋体"/>
          <w:color w:val="000000"/>
          <w:szCs w:val="24"/>
          <w:highlight w:val="none"/>
        </w:rPr>
      </w:pPr>
      <w:bookmarkStart w:id="0" w:name="_Toc24950"/>
      <w:bookmarkStart w:id="1" w:name="_Toc10131"/>
      <w:bookmarkStart w:id="2" w:name="_Toc25200"/>
      <w:bookmarkStart w:id="3" w:name="_Toc109124223"/>
      <w:bookmarkStart w:id="4" w:name="_Toc23271"/>
      <w:bookmarkStart w:id="5" w:name="_Toc65682913"/>
      <w:bookmarkStart w:id="6" w:name="_Toc13923"/>
      <w:r>
        <w:rPr>
          <w:rFonts w:hint="eastAsia" w:ascii="仿宋" w:hAnsi="仿宋" w:cs="宋体"/>
          <w:color w:val="000000"/>
          <w:szCs w:val="24"/>
          <w:highlight w:val="none"/>
        </w:rPr>
        <w:t>一、</w:t>
      </w:r>
      <w:bookmarkEnd w:id="0"/>
      <w:bookmarkEnd w:id="1"/>
      <w:bookmarkEnd w:id="2"/>
      <w:r>
        <w:rPr>
          <w:rFonts w:hint="eastAsia" w:ascii="仿宋" w:hAnsi="仿宋" w:cs="宋体"/>
          <w:color w:val="000000"/>
          <w:szCs w:val="24"/>
          <w:highlight w:val="none"/>
        </w:rPr>
        <w:t>招标条件</w:t>
      </w:r>
      <w:bookmarkEnd w:id="3"/>
      <w:bookmarkEnd w:id="4"/>
      <w:bookmarkEnd w:id="5"/>
      <w:bookmarkEnd w:id="6"/>
    </w:p>
    <w:p w14:paraId="21CF7901">
      <w:pPr>
        <w:wordWrap w:val="0"/>
        <w:spacing w:line="360" w:lineRule="auto"/>
        <w:ind w:firstLine="480" w:firstLineChars="200"/>
        <w:textAlignment w:val="baseline"/>
        <w:rPr>
          <w:rFonts w:ascii="仿宋" w:hAnsi="仿宋" w:eastAsia="仿宋" w:cs="宋体"/>
          <w:sz w:val="24"/>
          <w:szCs w:val="24"/>
          <w:highlight w:val="none"/>
        </w:rPr>
      </w:pPr>
      <w:r>
        <w:rPr>
          <w:rFonts w:hint="eastAsia" w:ascii="仿宋" w:hAnsi="仿宋" w:eastAsia="仿宋" w:cs="宋体"/>
          <w:color w:val="000000"/>
          <w:sz w:val="24"/>
          <w:szCs w:val="24"/>
          <w:highlight w:val="none"/>
        </w:rPr>
        <w:t>本招标项目</w:t>
      </w:r>
      <w:r>
        <w:rPr>
          <w:rFonts w:hint="eastAsia" w:ascii="仿宋" w:hAnsi="仿宋" w:eastAsia="仿宋" w:cs="宋体"/>
          <w:color w:val="000000"/>
          <w:sz w:val="24"/>
          <w:szCs w:val="24"/>
          <w:highlight w:val="none"/>
          <w:u w:val="single"/>
          <w:lang w:eastAsia="zh-CN"/>
        </w:rPr>
        <w:t>人保财险宁</w:t>
      </w:r>
      <w:bookmarkStart w:id="38" w:name="_GoBack"/>
      <w:bookmarkEnd w:id="38"/>
      <w:r>
        <w:rPr>
          <w:rFonts w:hint="eastAsia" w:ascii="仿宋" w:hAnsi="仿宋" w:eastAsia="仿宋" w:cs="宋体"/>
          <w:color w:val="000000"/>
          <w:sz w:val="24"/>
          <w:szCs w:val="24"/>
          <w:highlight w:val="none"/>
          <w:u w:val="single"/>
          <w:lang w:eastAsia="zh-CN"/>
        </w:rPr>
        <w:t>波分公司2026-2027年度职工生日蛋糕</w:t>
      </w:r>
      <w:r>
        <w:rPr>
          <w:rFonts w:hint="eastAsia" w:ascii="仿宋" w:hAnsi="仿宋" w:eastAsia="仿宋" w:cs="宋体"/>
          <w:color w:val="000000"/>
          <w:sz w:val="24"/>
          <w:szCs w:val="24"/>
          <w:highlight w:val="none"/>
          <w:u w:val="single"/>
          <w:lang w:val="en-US" w:eastAsia="zh-CN"/>
        </w:rPr>
        <w:t>福利</w:t>
      </w:r>
      <w:r>
        <w:rPr>
          <w:rFonts w:hint="eastAsia" w:ascii="仿宋" w:hAnsi="仿宋" w:eastAsia="仿宋" w:cs="宋体"/>
          <w:color w:val="000000"/>
          <w:sz w:val="24"/>
          <w:szCs w:val="24"/>
          <w:highlight w:val="none"/>
          <w:u w:val="single"/>
          <w:lang w:eastAsia="zh-CN"/>
        </w:rPr>
        <w:t>项目</w:t>
      </w:r>
      <w:r>
        <w:rPr>
          <w:rFonts w:hint="eastAsia" w:ascii="仿宋" w:hAnsi="仿宋" w:eastAsia="仿宋" w:cs="宋体"/>
          <w:sz w:val="24"/>
          <w:szCs w:val="24"/>
          <w:highlight w:val="none"/>
        </w:rPr>
        <w:t>（</w:t>
      </w:r>
      <w:r>
        <w:rPr>
          <w:rFonts w:hint="eastAsia" w:ascii="仿宋" w:hAnsi="仿宋" w:eastAsia="仿宋" w:cs="宋体"/>
          <w:sz w:val="24"/>
          <w:highlight w:val="none"/>
        </w:rPr>
        <w:t>招标代理</w:t>
      </w:r>
      <w:r>
        <w:rPr>
          <w:rFonts w:hint="eastAsia" w:ascii="仿宋" w:hAnsi="仿宋" w:eastAsia="仿宋" w:cs="宋体"/>
          <w:sz w:val="24"/>
          <w:szCs w:val="24"/>
          <w:highlight w:val="none"/>
        </w:rPr>
        <w:t>项目编号：</w:t>
      </w:r>
      <w:r>
        <w:rPr>
          <w:rFonts w:hint="eastAsia" w:ascii="仿宋" w:hAnsi="仿宋" w:eastAsia="仿宋" w:cs="宋体"/>
          <w:sz w:val="24"/>
          <w:szCs w:val="24"/>
          <w:highlight w:val="none"/>
          <w:lang w:eastAsia="zh-CN"/>
        </w:rPr>
        <w:t>NBITC-202630153</w:t>
      </w:r>
      <w:r>
        <w:rPr>
          <w:rFonts w:hint="eastAsia" w:ascii="仿宋" w:hAnsi="仿宋" w:eastAsia="仿宋" w:cs="宋体"/>
          <w:sz w:val="24"/>
          <w:szCs w:val="24"/>
          <w:highlight w:val="none"/>
        </w:rPr>
        <w:t>）</w:t>
      </w:r>
      <w:bookmarkStart w:id="7" w:name="_Hlk69906010"/>
      <w:r>
        <w:rPr>
          <w:rFonts w:hint="eastAsia" w:ascii="仿宋" w:hAnsi="仿宋" w:eastAsia="仿宋" w:cs="宋体"/>
          <w:color w:val="000000"/>
          <w:sz w:val="24"/>
          <w:szCs w:val="24"/>
          <w:highlight w:val="none"/>
        </w:rPr>
        <w:t>由</w:t>
      </w:r>
      <w:r>
        <w:rPr>
          <w:rFonts w:hint="eastAsia" w:ascii="仿宋" w:hAnsi="仿宋" w:eastAsia="仿宋" w:cs="宋体"/>
          <w:color w:val="000000"/>
          <w:sz w:val="24"/>
          <w:szCs w:val="24"/>
          <w:highlight w:val="none"/>
          <w:u w:val="single"/>
          <w:lang w:eastAsia="zh-CN"/>
        </w:rPr>
        <w:t>中国人民财产保险股份有限公司宁波市分公司工会委员会</w:t>
      </w:r>
      <w:r>
        <w:rPr>
          <w:rFonts w:hint="eastAsia" w:ascii="仿宋" w:hAnsi="仿宋" w:eastAsia="仿宋" w:cs="宋体"/>
          <w:color w:val="000000"/>
          <w:sz w:val="24"/>
          <w:szCs w:val="24"/>
          <w:highlight w:val="none"/>
        </w:rPr>
        <w:t>（以下简称“招标人”）</w:t>
      </w:r>
      <w:r>
        <w:rPr>
          <w:rFonts w:hint="eastAsia" w:ascii="仿宋" w:hAnsi="仿宋" w:eastAsia="仿宋" w:cs="仿宋"/>
          <w:color w:val="000000"/>
          <w:sz w:val="24"/>
          <w:szCs w:val="24"/>
          <w:highlight w:val="none"/>
        </w:rPr>
        <w:t>批准并落实资金，</w:t>
      </w:r>
      <w:r>
        <w:rPr>
          <w:rFonts w:hint="eastAsia" w:ascii="仿宋" w:hAnsi="仿宋" w:eastAsia="仿宋" w:cs="宋体"/>
          <w:color w:val="000000"/>
          <w:sz w:val="24"/>
          <w:szCs w:val="24"/>
          <w:highlight w:val="none"/>
        </w:rPr>
        <w:t>组织本项目的相关招标工作，采购合同由</w:t>
      </w:r>
      <w:r>
        <w:rPr>
          <w:rFonts w:hint="eastAsia" w:ascii="仿宋" w:hAnsi="仿宋" w:eastAsia="仿宋" w:cs="宋体"/>
          <w:color w:val="000000"/>
          <w:sz w:val="24"/>
          <w:szCs w:val="24"/>
          <w:highlight w:val="none"/>
          <w:u w:val="single"/>
          <w:lang w:eastAsia="zh-CN"/>
        </w:rPr>
        <w:t>中国人民财产保险股份有限公司宁波市分公司工会委员会</w:t>
      </w:r>
      <w:r>
        <w:rPr>
          <w:rFonts w:hint="eastAsia" w:ascii="仿宋" w:hAnsi="仿宋" w:eastAsia="仿宋" w:cs="宋体"/>
          <w:sz w:val="24"/>
          <w:szCs w:val="24"/>
          <w:highlight w:val="none"/>
        </w:rPr>
        <w:t>（以下简称“招标人”）</w:t>
      </w:r>
      <w:r>
        <w:rPr>
          <w:rFonts w:hint="eastAsia" w:ascii="仿宋" w:hAnsi="仿宋" w:eastAsia="仿宋" w:cs="宋体"/>
          <w:color w:val="000000"/>
          <w:sz w:val="24"/>
          <w:szCs w:val="24"/>
          <w:highlight w:val="none"/>
        </w:rPr>
        <w:t>根据中标结果与中标人签署</w:t>
      </w:r>
      <w:r>
        <w:rPr>
          <w:rFonts w:hint="eastAsia" w:ascii="仿宋" w:hAnsi="仿宋" w:eastAsia="仿宋" w:cs="宋体"/>
          <w:sz w:val="24"/>
          <w:szCs w:val="24"/>
          <w:highlight w:val="none"/>
        </w:rPr>
        <w:t>。</w:t>
      </w:r>
      <w:bookmarkEnd w:id="7"/>
      <w:r>
        <w:rPr>
          <w:rFonts w:hint="eastAsia" w:ascii="仿宋" w:hAnsi="仿宋" w:eastAsia="仿宋" w:cs="宋体"/>
          <w:sz w:val="24"/>
          <w:szCs w:val="24"/>
          <w:highlight w:val="none"/>
        </w:rPr>
        <w:t>现委托</w:t>
      </w:r>
      <w:r>
        <w:rPr>
          <w:rFonts w:hint="eastAsia" w:ascii="仿宋" w:hAnsi="仿宋" w:eastAsia="仿宋" w:cs="宋体"/>
          <w:sz w:val="24"/>
          <w:szCs w:val="24"/>
          <w:highlight w:val="none"/>
          <w:u w:val="single"/>
        </w:rPr>
        <w:t>宁波市国际招标有限公司</w:t>
      </w:r>
      <w:r>
        <w:rPr>
          <w:rFonts w:hint="eastAsia" w:ascii="仿宋" w:hAnsi="仿宋" w:eastAsia="仿宋" w:cs="宋体"/>
          <w:sz w:val="24"/>
          <w:szCs w:val="24"/>
          <w:highlight w:val="none"/>
        </w:rPr>
        <w:t>（以下简称“招标代理机构”）进行公开招标，有意向且具有提供标的物能力的潜在投标人（以下简称“投标人”）可前来投标。</w:t>
      </w:r>
    </w:p>
    <w:p w14:paraId="774826ED">
      <w:pPr>
        <w:pStyle w:val="5"/>
        <w:rPr>
          <w:rFonts w:ascii="仿宋" w:hAnsi="仿宋" w:cs="宋体"/>
          <w:color w:val="000000"/>
          <w:szCs w:val="24"/>
          <w:highlight w:val="none"/>
        </w:rPr>
      </w:pPr>
      <w:bookmarkStart w:id="8" w:name="_Toc109124224"/>
      <w:bookmarkStart w:id="9" w:name="_Toc30531"/>
      <w:bookmarkStart w:id="10" w:name="_Toc18478"/>
      <w:bookmarkStart w:id="11" w:name="_Toc65682914"/>
      <w:r>
        <w:rPr>
          <w:rFonts w:hint="eastAsia" w:ascii="仿宋" w:hAnsi="仿宋" w:cs="宋体"/>
          <w:color w:val="000000"/>
          <w:szCs w:val="24"/>
          <w:highlight w:val="none"/>
        </w:rPr>
        <w:t>二、项目概况与招标范围</w:t>
      </w:r>
      <w:bookmarkEnd w:id="8"/>
      <w:bookmarkEnd w:id="9"/>
      <w:bookmarkEnd w:id="10"/>
      <w:bookmarkEnd w:id="11"/>
    </w:p>
    <w:p w14:paraId="53A75433">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000000"/>
          <w:sz w:val="24"/>
          <w:szCs w:val="24"/>
          <w:highlight w:val="none"/>
        </w:rPr>
        <w:t>2.1项目名称：</w:t>
      </w:r>
      <w:r>
        <w:rPr>
          <w:rFonts w:hint="eastAsia" w:ascii="仿宋" w:hAnsi="仿宋" w:eastAsia="仿宋" w:cs="宋体"/>
          <w:color w:val="000000"/>
          <w:sz w:val="24"/>
          <w:szCs w:val="24"/>
          <w:highlight w:val="none"/>
          <w:lang w:eastAsia="zh-CN"/>
        </w:rPr>
        <w:t>人保财险宁波分公司2026-2027年度职工生日蛋糕</w:t>
      </w:r>
      <w:r>
        <w:rPr>
          <w:rFonts w:hint="eastAsia" w:ascii="仿宋" w:hAnsi="仿宋" w:eastAsia="仿宋" w:cs="宋体"/>
          <w:color w:val="000000"/>
          <w:sz w:val="24"/>
          <w:szCs w:val="24"/>
          <w:highlight w:val="none"/>
          <w:lang w:val="en-US" w:eastAsia="zh-CN"/>
        </w:rPr>
        <w:t>福利</w:t>
      </w:r>
      <w:r>
        <w:rPr>
          <w:rFonts w:hint="eastAsia" w:ascii="仿宋" w:hAnsi="仿宋" w:eastAsia="仿宋" w:cs="宋体"/>
          <w:color w:val="000000"/>
          <w:sz w:val="24"/>
          <w:szCs w:val="24"/>
          <w:highlight w:val="none"/>
          <w:lang w:eastAsia="zh-CN"/>
        </w:rPr>
        <w:t>项目</w:t>
      </w:r>
      <w:r>
        <w:rPr>
          <w:rFonts w:hint="eastAsia" w:ascii="仿宋" w:hAnsi="仿宋" w:eastAsia="仿宋" w:cs="宋体"/>
          <w:color w:val="auto"/>
          <w:sz w:val="24"/>
          <w:szCs w:val="24"/>
          <w:highlight w:val="none"/>
        </w:rPr>
        <w:t>。</w:t>
      </w:r>
    </w:p>
    <w:p w14:paraId="690DBE5B">
      <w:pPr>
        <w:spacing w:line="360" w:lineRule="auto"/>
        <w:ind w:firstLine="480" w:firstLineChars="200"/>
        <w:textAlignment w:val="baseline"/>
        <w:rPr>
          <w:rFonts w:ascii="仿宋" w:hAnsi="仿宋" w:eastAsia="仿宋" w:cs="宋体"/>
          <w:color w:val="auto"/>
          <w:kern w:val="0"/>
          <w:sz w:val="24"/>
          <w:szCs w:val="24"/>
          <w:highlight w:val="none"/>
          <w:lang w:bidi="ar"/>
        </w:rPr>
      </w:pPr>
      <w:r>
        <w:rPr>
          <w:rFonts w:hint="eastAsia" w:ascii="仿宋" w:hAnsi="仿宋" w:eastAsia="仿宋" w:cs="宋体"/>
          <w:color w:val="auto"/>
          <w:sz w:val="24"/>
          <w:szCs w:val="24"/>
          <w:highlight w:val="none"/>
        </w:rPr>
        <w:t>2.2招标范围：</w:t>
      </w:r>
      <w:bookmarkStart w:id="12" w:name="_Hlk69456860"/>
      <w:r>
        <w:rPr>
          <w:rFonts w:hint="eastAsia" w:ascii="仿宋" w:hAnsi="仿宋" w:eastAsia="仿宋" w:cs="宋体"/>
          <w:color w:val="auto"/>
          <w:sz w:val="24"/>
          <w:szCs w:val="24"/>
          <w:highlight w:val="none"/>
        </w:rPr>
        <w:t>本项目拟采购</w:t>
      </w:r>
      <w:bookmarkEnd w:id="12"/>
      <w:r>
        <w:rPr>
          <w:rFonts w:hint="eastAsia" w:ascii="仿宋" w:hAnsi="仿宋" w:eastAsia="仿宋" w:cs="宋体"/>
          <w:color w:val="auto"/>
          <w:sz w:val="24"/>
          <w:szCs w:val="24"/>
          <w:highlight w:val="none"/>
          <w:lang w:eastAsia="zh-CN"/>
        </w:rPr>
        <w:t>2026-2027年度职工生日蛋糕提货券</w:t>
      </w:r>
      <w:r>
        <w:rPr>
          <w:rFonts w:hint="eastAsia" w:ascii="仿宋" w:hAnsi="仿宋" w:eastAsia="仿宋" w:cs="宋体"/>
          <w:color w:val="auto"/>
          <w:kern w:val="0"/>
          <w:sz w:val="24"/>
          <w:szCs w:val="24"/>
          <w:highlight w:val="none"/>
          <w:lang w:bidi="ar"/>
        </w:rPr>
        <w:t>。</w:t>
      </w:r>
      <w:r>
        <w:rPr>
          <w:rFonts w:hint="eastAsia" w:ascii="仿宋" w:hAnsi="仿宋" w:eastAsia="仿宋" w:cs="宋体"/>
          <w:color w:val="auto"/>
          <w:sz w:val="24"/>
          <w:szCs w:val="24"/>
          <w:highlight w:val="none"/>
        </w:rPr>
        <w:t>具体内容及要求见招标文件第五章技术规范书</w:t>
      </w:r>
      <w:r>
        <w:rPr>
          <w:rFonts w:hint="eastAsia" w:ascii="仿宋" w:hAnsi="仿宋" w:eastAsia="仿宋" w:cs="宋体"/>
          <w:color w:val="auto"/>
          <w:kern w:val="0"/>
          <w:sz w:val="24"/>
          <w:szCs w:val="24"/>
          <w:highlight w:val="none"/>
          <w:lang w:bidi="ar"/>
        </w:rPr>
        <w:t>。</w:t>
      </w:r>
    </w:p>
    <w:p w14:paraId="5E7C5306">
      <w:pPr>
        <w:spacing w:line="360" w:lineRule="auto"/>
        <w:ind w:firstLine="480" w:firstLineChars="200"/>
        <w:textAlignment w:val="baseline"/>
        <w:rPr>
          <w:rFonts w:ascii="仿宋" w:hAnsi="仿宋" w:eastAsia="仿宋" w:cs="宋体"/>
          <w:color w:val="auto"/>
          <w:sz w:val="24"/>
          <w:szCs w:val="24"/>
          <w:highlight w:val="none"/>
        </w:rPr>
      </w:pPr>
      <w:bookmarkStart w:id="13" w:name="_Hlk69456893"/>
      <w:r>
        <w:rPr>
          <w:rFonts w:hint="eastAsia" w:ascii="仿宋" w:hAnsi="仿宋" w:eastAsia="仿宋" w:cs="宋体"/>
          <w:color w:val="auto"/>
          <w:sz w:val="24"/>
          <w:szCs w:val="24"/>
          <w:highlight w:val="none"/>
        </w:rPr>
        <w:t>2.3项目性质：服务。</w:t>
      </w:r>
    </w:p>
    <w:p w14:paraId="0E00B6CD">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2.4标包划分：本项目</w:t>
      </w:r>
      <w:r>
        <w:rPr>
          <w:rFonts w:hint="eastAsia" w:ascii="仿宋" w:hAnsi="仿宋" w:eastAsia="仿宋" w:cs="宋体"/>
          <w:color w:val="auto"/>
          <w:sz w:val="24"/>
          <w:szCs w:val="24"/>
          <w:highlight w:val="none"/>
          <w:lang w:val="en-US" w:eastAsia="zh-CN"/>
        </w:rPr>
        <w:t>拆分为三个</w:t>
      </w:r>
      <w:r>
        <w:rPr>
          <w:rFonts w:hint="eastAsia" w:ascii="仿宋" w:hAnsi="仿宋" w:eastAsia="仿宋" w:cs="宋体"/>
          <w:color w:val="auto"/>
          <w:sz w:val="24"/>
          <w:szCs w:val="24"/>
          <w:highlight w:val="none"/>
        </w:rPr>
        <w:t>标包，情况如下：</w:t>
      </w:r>
    </w:p>
    <w:tbl>
      <w:tblPr>
        <w:tblStyle w:val="9"/>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6"/>
        <w:gridCol w:w="2272"/>
        <w:gridCol w:w="1538"/>
        <w:gridCol w:w="1255"/>
        <w:gridCol w:w="2571"/>
      </w:tblGrid>
      <w:tr w14:paraId="1BFB6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5" w:type="pct"/>
            <w:vAlign w:val="center"/>
          </w:tcPr>
          <w:p w14:paraId="4FE3D944">
            <w:pPr>
              <w:widowControl/>
              <w:spacing w:line="240" w:lineRule="auto"/>
              <w:jc w:val="center"/>
              <w:rPr>
                <w:rFonts w:ascii="仿宋" w:hAnsi="仿宋" w:eastAsia="仿宋" w:cs="宋体"/>
                <w:b/>
                <w:bCs/>
                <w:color w:val="auto"/>
                <w:kern w:val="0"/>
                <w:sz w:val="24"/>
                <w:szCs w:val="24"/>
                <w:highlight w:val="none"/>
              </w:rPr>
            </w:pPr>
            <w:r>
              <w:rPr>
                <w:rFonts w:hint="eastAsia" w:ascii="仿宋" w:hAnsi="仿宋" w:eastAsia="仿宋" w:cs="宋体"/>
                <w:b/>
                <w:bCs/>
                <w:color w:val="auto"/>
                <w:kern w:val="0"/>
                <w:sz w:val="24"/>
                <w:szCs w:val="24"/>
                <w:highlight w:val="none"/>
              </w:rPr>
              <w:t>标包号</w:t>
            </w:r>
          </w:p>
        </w:tc>
        <w:tc>
          <w:tcPr>
            <w:tcW w:w="1334" w:type="pct"/>
            <w:vAlign w:val="center"/>
          </w:tcPr>
          <w:p w14:paraId="2012AC6F">
            <w:pPr>
              <w:widowControl/>
              <w:spacing w:line="240" w:lineRule="auto"/>
              <w:jc w:val="center"/>
              <w:rPr>
                <w:rFonts w:ascii="仿宋" w:hAnsi="仿宋" w:eastAsia="仿宋" w:cs="宋体"/>
                <w:b/>
                <w:bCs/>
                <w:color w:val="auto"/>
                <w:sz w:val="24"/>
                <w:szCs w:val="24"/>
                <w:highlight w:val="none"/>
              </w:rPr>
            </w:pPr>
            <w:r>
              <w:rPr>
                <w:rFonts w:hint="eastAsia" w:ascii="仿宋" w:hAnsi="仿宋" w:eastAsia="仿宋" w:cs="宋体"/>
                <w:b/>
                <w:bCs/>
                <w:color w:val="auto"/>
                <w:kern w:val="0"/>
                <w:sz w:val="24"/>
                <w:szCs w:val="24"/>
                <w:highlight w:val="none"/>
              </w:rPr>
              <w:t>标包名称</w:t>
            </w:r>
          </w:p>
        </w:tc>
        <w:tc>
          <w:tcPr>
            <w:tcW w:w="903" w:type="pct"/>
            <w:vAlign w:val="center"/>
          </w:tcPr>
          <w:p w14:paraId="776BBD43">
            <w:pPr>
              <w:widowControl/>
              <w:spacing w:line="240" w:lineRule="auto"/>
              <w:jc w:val="center"/>
              <w:rPr>
                <w:rFonts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采购内容</w:t>
            </w:r>
          </w:p>
        </w:tc>
        <w:tc>
          <w:tcPr>
            <w:tcW w:w="737" w:type="pct"/>
            <w:vAlign w:val="center"/>
          </w:tcPr>
          <w:p w14:paraId="453AE6E6">
            <w:pPr>
              <w:widowControl/>
              <w:spacing w:line="240" w:lineRule="auto"/>
              <w:jc w:val="center"/>
              <w:rPr>
                <w:rFonts w:ascii="仿宋" w:hAnsi="仿宋" w:eastAsia="仿宋" w:cs="宋体"/>
                <w:b/>
                <w:bCs/>
                <w:color w:val="auto"/>
                <w:kern w:val="0"/>
                <w:sz w:val="24"/>
                <w:szCs w:val="24"/>
                <w:highlight w:val="none"/>
              </w:rPr>
            </w:pPr>
            <w:r>
              <w:rPr>
                <w:rFonts w:hint="eastAsia" w:ascii="仿宋" w:hAnsi="仿宋" w:eastAsia="仿宋" w:cs="宋体"/>
                <w:b/>
                <w:bCs/>
                <w:color w:val="auto"/>
                <w:kern w:val="0"/>
                <w:sz w:val="24"/>
                <w:szCs w:val="24"/>
                <w:highlight w:val="none"/>
              </w:rPr>
              <w:t>中标人数量</w:t>
            </w:r>
          </w:p>
        </w:tc>
        <w:tc>
          <w:tcPr>
            <w:tcW w:w="1510" w:type="pct"/>
            <w:vAlign w:val="center"/>
          </w:tcPr>
          <w:p w14:paraId="130A3503">
            <w:pPr>
              <w:widowControl/>
              <w:spacing w:line="240" w:lineRule="auto"/>
              <w:jc w:val="center"/>
              <w:rPr>
                <w:rFonts w:ascii="仿宋" w:hAnsi="仿宋" w:eastAsia="仿宋" w:cs="宋体"/>
                <w:b/>
                <w:bCs/>
                <w:color w:val="auto"/>
                <w:kern w:val="0"/>
                <w:sz w:val="24"/>
                <w:szCs w:val="24"/>
                <w:highlight w:val="none"/>
              </w:rPr>
            </w:pPr>
            <w:r>
              <w:rPr>
                <w:rFonts w:hint="eastAsia" w:ascii="仿宋" w:hAnsi="仿宋" w:eastAsia="仿宋" w:cs="宋体"/>
                <w:b/>
                <w:bCs/>
                <w:color w:val="auto"/>
                <w:kern w:val="0"/>
                <w:sz w:val="24"/>
                <w:szCs w:val="24"/>
                <w:highlight w:val="none"/>
              </w:rPr>
              <w:t>最高限价（含税）</w:t>
            </w:r>
          </w:p>
        </w:tc>
      </w:tr>
      <w:tr w14:paraId="772DC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5" w:type="pct"/>
            <w:vAlign w:val="center"/>
          </w:tcPr>
          <w:p w14:paraId="58E526BE">
            <w:pPr>
              <w:widowControl/>
              <w:spacing w:line="240" w:lineRule="auto"/>
              <w:jc w:val="center"/>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标包1</w:t>
            </w:r>
          </w:p>
        </w:tc>
        <w:tc>
          <w:tcPr>
            <w:tcW w:w="1334" w:type="pct"/>
            <w:vAlign w:val="center"/>
          </w:tcPr>
          <w:p w14:paraId="7CF475E9">
            <w:pPr>
              <w:widowControl/>
              <w:spacing w:line="240" w:lineRule="auto"/>
              <w:jc w:val="center"/>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lang w:eastAsia="zh-CN"/>
              </w:rPr>
              <w:t>职工生日蛋糕提货券（海曙区、鄞州区、江北区）</w:t>
            </w:r>
          </w:p>
        </w:tc>
        <w:tc>
          <w:tcPr>
            <w:tcW w:w="903" w:type="pct"/>
            <w:vMerge w:val="restart"/>
            <w:vAlign w:val="center"/>
          </w:tcPr>
          <w:p w14:paraId="072D7AC2">
            <w:pPr>
              <w:widowControl/>
              <w:spacing w:line="240" w:lineRule="auto"/>
              <w:jc w:val="center"/>
              <w:rPr>
                <w:rFonts w:ascii="仿宋" w:hAnsi="仿宋" w:eastAsia="仿宋" w:cs="宋体"/>
                <w:color w:val="auto"/>
                <w:kern w:val="0"/>
                <w:sz w:val="24"/>
                <w:szCs w:val="24"/>
                <w:highlight w:val="none"/>
              </w:rPr>
            </w:pPr>
            <w:r>
              <w:rPr>
                <w:rFonts w:hint="eastAsia" w:ascii="仿宋" w:hAnsi="仿宋" w:eastAsia="仿宋" w:cs="宋体"/>
                <w:color w:val="auto"/>
                <w:sz w:val="24"/>
                <w:szCs w:val="24"/>
                <w:highlight w:val="none"/>
              </w:rPr>
              <w:t>具体内容及要求见招标文件第五章技术规范书</w:t>
            </w:r>
          </w:p>
        </w:tc>
        <w:tc>
          <w:tcPr>
            <w:tcW w:w="737" w:type="pct"/>
            <w:vAlign w:val="center"/>
          </w:tcPr>
          <w:p w14:paraId="1962E281">
            <w:pPr>
              <w:widowControl/>
              <w:spacing w:line="240" w:lineRule="auto"/>
              <w:jc w:val="center"/>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lang w:val="en-US" w:eastAsia="zh-CN"/>
              </w:rPr>
              <w:t>1</w:t>
            </w:r>
            <w:r>
              <w:rPr>
                <w:rFonts w:hint="eastAsia" w:ascii="仿宋" w:hAnsi="仿宋" w:eastAsia="仿宋" w:cs="宋体"/>
                <w:color w:val="auto"/>
                <w:kern w:val="0"/>
                <w:sz w:val="24"/>
                <w:szCs w:val="24"/>
                <w:highlight w:val="none"/>
              </w:rPr>
              <w:t>家</w:t>
            </w:r>
          </w:p>
        </w:tc>
        <w:tc>
          <w:tcPr>
            <w:tcW w:w="1510" w:type="pct"/>
            <w:vAlign w:val="center"/>
          </w:tcPr>
          <w:p w14:paraId="78D82990">
            <w:pPr>
              <w:widowControl/>
              <w:spacing w:line="240" w:lineRule="auto"/>
              <w:jc w:val="center"/>
              <w:rPr>
                <w:rFonts w:hint="eastAsia"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人民币300元/人/年，</w:t>
            </w:r>
          </w:p>
          <w:p w14:paraId="357DC995">
            <w:pPr>
              <w:widowControl/>
              <w:spacing w:line="240" w:lineRule="auto"/>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人数预计1000人，合计</w:t>
            </w:r>
            <w:r>
              <w:rPr>
                <w:rFonts w:hint="eastAsia" w:ascii="仿宋" w:hAnsi="仿宋" w:eastAsia="仿宋" w:cs="宋体"/>
                <w:color w:val="auto"/>
                <w:kern w:val="0"/>
                <w:sz w:val="24"/>
                <w:szCs w:val="24"/>
                <w:highlight w:val="none"/>
              </w:rPr>
              <w:t>人民币</w:t>
            </w:r>
            <w:r>
              <w:rPr>
                <w:rFonts w:hint="eastAsia" w:ascii="仿宋" w:hAnsi="仿宋" w:eastAsia="仿宋" w:cs="宋体"/>
                <w:color w:val="auto"/>
                <w:kern w:val="0"/>
                <w:sz w:val="24"/>
                <w:szCs w:val="24"/>
                <w:highlight w:val="none"/>
                <w:lang w:val="en-US" w:eastAsia="zh-CN"/>
              </w:rPr>
              <w:t>300000</w:t>
            </w:r>
            <w:r>
              <w:rPr>
                <w:rFonts w:hint="eastAsia" w:ascii="仿宋" w:hAnsi="仿宋" w:eastAsia="仿宋" w:cs="宋体"/>
                <w:color w:val="auto"/>
                <w:kern w:val="0"/>
                <w:sz w:val="24"/>
                <w:szCs w:val="24"/>
                <w:highlight w:val="none"/>
              </w:rPr>
              <w:t>元</w:t>
            </w:r>
            <w:r>
              <w:rPr>
                <w:rFonts w:hint="eastAsia" w:ascii="仿宋" w:hAnsi="仿宋" w:eastAsia="仿宋" w:cs="宋体"/>
                <w:color w:val="auto"/>
                <w:kern w:val="0"/>
                <w:sz w:val="24"/>
                <w:szCs w:val="24"/>
                <w:highlight w:val="none"/>
                <w:lang w:val="en-US" w:eastAsia="zh-CN"/>
              </w:rPr>
              <w:t>/年</w:t>
            </w:r>
          </w:p>
        </w:tc>
      </w:tr>
      <w:tr w14:paraId="46C90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5" w:type="pct"/>
            <w:vAlign w:val="center"/>
          </w:tcPr>
          <w:p w14:paraId="3023588A">
            <w:pPr>
              <w:widowControl/>
              <w:spacing w:line="240" w:lineRule="auto"/>
              <w:jc w:val="center"/>
              <w:rPr>
                <w:rFonts w:hint="eastAsia" w:ascii="仿宋" w:hAnsi="仿宋" w:eastAsia="仿宋" w:cs="宋体"/>
                <w:color w:val="auto"/>
                <w:kern w:val="0"/>
                <w:sz w:val="24"/>
                <w:szCs w:val="24"/>
                <w:highlight w:val="none"/>
                <w:lang w:eastAsia="zh-CN"/>
              </w:rPr>
            </w:pPr>
            <w:bookmarkStart w:id="14" w:name="_Toc17299"/>
            <w:bookmarkStart w:id="15" w:name="_Toc65682915"/>
            <w:r>
              <w:rPr>
                <w:rFonts w:hint="eastAsia" w:ascii="仿宋" w:hAnsi="仿宋" w:eastAsia="仿宋" w:cs="宋体"/>
                <w:color w:val="auto"/>
                <w:kern w:val="0"/>
                <w:sz w:val="24"/>
                <w:szCs w:val="24"/>
                <w:highlight w:val="none"/>
              </w:rPr>
              <w:t>标包</w:t>
            </w:r>
            <w:r>
              <w:rPr>
                <w:rFonts w:hint="eastAsia" w:ascii="仿宋" w:hAnsi="仿宋" w:eastAsia="仿宋" w:cs="宋体"/>
                <w:color w:val="auto"/>
                <w:kern w:val="0"/>
                <w:sz w:val="24"/>
                <w:szCs w:val="24"/>
                <w:highlight w:val="none"/>
                <w:lang w:val="en-US" w:eastAsia="zh-CN"/>
              </w:rPr>
              <w:t>2</w:t>
            </w:r>
          </w:p>
        </w:tc>
        <w:tc>
          <w:tcPr>
            <w:tcW w:w="1334" w:type="pct"/>
            <w:vAlign w:val="center"/>
          </w:tcPr>
          <w:p w14:paraId="4D6C0327">
            <w:pPr>
              <w:widowControl/>
              <w:spacing w:line="240" w:lineRule="auto"/>
              <w:jc w:val="center"/>
              <w:rPr>
                <w:rFonts w:hint="eastAsia" w:ascii="仿宋" w:hAnsi="仿宋" w:eastAsia="仿宋" w:cs="宋体"/>
                <w:color w:val="auto"/>
                <w:kern w:val="0"/>
                <w:sz w:val="24"/>
                <w:szCs w:val="24"/>
                <w:highlight w:val="none"/>
                <w:lang w:eastAsia="zh-CN"/>
              </w:rPr>
            </w:pPr>
            <w:r>
              <w:rPr>
                <w:rFonts w:hint="eastAsia" w:ascii="仿宋" w:hAnsi="仿宋" w:eastAsia="仿宋" w:cs="宋体"/>
                <w:color w:val="auto"/>
                <w:kern w:val="0"/>
                <w:sz w:val="24"/>
                <w:szCs w:val="24"/>
                <w:highlight w:val="none"/>
                <w:lang w:eastAsia="zh-CN"/>
              </w:rPr>
              <w:t>职工生日蛋糕提货券（慈溪市）</w:t>
            </w:r>
          </w:p>
        </w:tc>
        <w:tc>
          <w:tcPr>
            <w:tcW w:w="903" w:type="pct"/>
            <w:vMerge w:val="continue"/>
            <w:vAlign w:val="center"/>
          </w:tcPr>
          <w:p w14:paraId="71F31802">
            <w:pPr>
              <w:widowControl/>
              <w:spacing w:line="240" w:lineRule="auto"/>
              <w:jc w:val="center"/>
              <w:rPr>
                <w:rFonts w:hint="eastAsia" w:ascii="仿宋" w:hAnsi="仿宋" w:eastAsia="仿宋" w:cs="宋体"/>
                <w:color w:val="auto"/>
                <w:sz w:val="24"/>
                <w:szCs w:val="24"/>
                <w:highlight w:val="none"/>
              </w:rPr>
            </w:pPr>
          </w:p>
        </w:tc>
        <w:tc>
          <w:tcPr>
            <w:tcW w:w="737" w:type="pct"/>
            <w:vAlign w:val="center"/>
          </w:tcPr>
          <w:p w14:paraId="18B3FF0C">
            <w:pPr>
              <w:widowControl/>
              <w:spacing w:line="240" w:lineRule="auto"/>
              <w:jc w:val="center"/>
              <w:rPr>
                <w:rFonts w:hint="eastAsia"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1</w:t>
            </w:r>
            <w:r>
              <w:rPr>
                <w:rFonts w:hint="eastAsia" w:ascii="仿宋" w:hAnsi="仿宋" w:eastAsia="仿宋" w:cs="宋体"/>
                <w:color w:val="auto"/>
                <w:kern w:val="0"/>
                <w:sz w:val="24"/>
                <w:szCs w:val="24"/>
                <w:highlight w:val="none"/>
              </w:rPr>
              <w:t>家</w:t>
            </w:r>
          </w:p>
        </w:tc>
        <w:tc>
          <w:tcPr>
            <w:tcW w:w="1510" w:type="pct"/>
            <w:vAlign w:val="center"/>
          </w:tcPr>
          <w:p w14:paraId="5EDDFBBC">
            <w:pPr>
              <w:widowControl/>
              <w:spacing w:line="240" w:lineRule="auto"/>
              <w:jc w:val="center"/>
              <w:rPr>
                <w:rFonts w:hint="eastAsia"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人民币300元/人/年，</w:t>
            </w:r>
          </w:p>
          <w:p w14:paraId="0A21139D">
            <w:pPr>
              <w:widowControl/>
              <w:spacing w:line="240" w:lineRule="auto"/>
              <w:jc w:val="center"/>
              <w:rPr>
                <w:rFonts w:hint="eastAsia"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人数预计250人，合计</w:t>
            </w:r>
            <w:r>
              <w:rPr>
                <w:rFonts w:hint="eastAsia" w:ascii="仿宋" w:hAnsi="仿宋" w:eastAsia="仿宋" w:cs="宋体"/>
                <w:color w:val="auto"/>
                <w:kern w:val="0"/>
                <w:sz w:val="24"/>
                <w:szCs w:val="24"/>
                <w:highlight w:val="none"/>
              </w:rPr>
              <w:t>人民币</w:t>
            </w:r>
            <w:r>
              <w:rPr>
                <w:rFonts w:hint="eastAsia" w:ascii="仿宋" w:hAnsi="仿宋" w:eastAsia="仿宋" w:cs="宋体"/>
                <w:color w:val="auto"/>
                <w:kern w:val="0"/>
                <w:sz w:val="24"/>
                <w:szCs w:val="24"/>
                <w:highlight w:val="none"/>
                <w:lang w:val="en-US" w:eastAsia="zh-CN"/>
              </w:rPr>
              <w:t>75000</w:t>
            </w:r>
            <w:r>
              <w:rPr>
                <w:rFonts w:hint="eastAsia" w:ascii="仿宋" w:hAnsi="仿宋" w:eastAsia="仿宋" w:cs="宋体"/>
                <w:color w:val="auto"/>
                <w:kern w:val="0"/>
                <w:sz w:val="24"/>
                <w:szCs w:val="24"/>
                <w:highlight w:val="none"/>
              </w:rPr>
              <w:t>元</w:t>
            </w:r>
            <w:r>
              <w:rPr>
                <w:rFonts w:hint="eastAsia" w:ascii="仿宋" w:hAnsi="仿宋" w:eastAsia="仿宋" w:cs="宋体"/>
                <w:color w:val="auto"/>
                <w:kern w:val="0"/>
                <w:sz w:val="24"/>
                <w:szCs w:val="24"/>
                <w:highlight w:val="none"/>
                <w:lang w:val="en-US" w:eastAsia="zh-CN"/>
              </w:rPr>
              <w:t>/年</w:t>
            </w:r>
          </w:p>
        </w:tc>
      </w:tr>
      <w:tr w14:paraId="3BBB4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5" w:type="pct"/>
            <w:vAlign w:val="center"/>
          </w:tcPr>
          <w:p w14:paraId="1846469E">
            <w:pPr>
              <w:widowControl/>
              <w:spacing w:line="240" w:lineRule="auto"/>
              <w:jc w:val="center"/>
              <w:rPr>
                <w:rFonts w:hint="eastAsia" w:ascii="仿宋" w:hAnsi="仿宋" w:eastAsia="仿宋" w:cs="宋体"/>
                <w:color w:val="auto"/>
                <w:kern w:val="0"/>
                <w:sz w:val="24"/>
                <w:szCs w:val="24"/>
                <w:highlight w:val="none"/>
                <w:lang w:eastAsia="zh-CN"/>
              </w:rPr>
            </w:pPr>
            <w:r>
              <w:rPr>
                <w:rFonts w:hint="eastAsia" w:ascii="仿宋" w:hAnsi="仿宋" w:eastAsia="仿宋" w:cs="宋体"/>
                <w:color w:val="auto"/>
                <w:kern w:val="0"/>
                <w:sz w:val="24"/>
                <w:szCs w:val="24"/>
                <w:highlight w:val="none"/>
              </w:rPr>
              <w:t>标包</w:t>
            </w:r>
            <w:r>
              <w:rPr>
                <w:rFonts w:hint="eastAsia" w:ascii="仿宋" w:hAnsi="仿宋" w:eastAsia="仿宋" w:cs="宋体"/>
                <w:color w:val="auto"/>
                <w:kern w:val="0"/>
                <w:sz w:val="24"/>
                <w:szCs w:val="24"/>
                <w:highlight w:val="none"/>
                <w:lang w:val="en-US" w:eastAsia="zh-CN"/>
              </w:rPr>
              <w:t>3</w:t>
            </w:r>
          </w:p>
        </w:tc>
        <w:tc>
          <w:tcPr>
            <w:tcW w:w="1334" w:type="pct"/>
            <w:vAlign w:val="center"/>
          </w:tcPr>
          <w:p w14:paraId="330A026A">
            <w:pPr>
              <w:widowControl/>
              <w:spacing w:line="240" w:lineRule="auto"/>
              <w:jc w:val="center"/>
              <w:rPr>
                <w:rFonts w:hint="eastAsia" w:ascii="仿宋" w:hAnsi="仿宋" w:eastAsia="仿宋" w:cs="宋体"/>
                <w:color w:val="auto"/>
                <w:kern w:val="0"/>
                <w:sz w:val="24"/>
                <w:szCs w:val="24"/>
                <w:highlight w:val="none"/>
                <w:lang w:eastAsia="zh-CN"/>
              </w:rPr>
            </w:pPr>
            <w:r>
              <w:rPr>
                <w:rFonts w:hint="eastAsia" w:ascii="仿宋" w:hAnsi="仿宋" w:eastAsia="仿宋" w:cs="宋体"/>
                <w:color w:val="auto"/>
                <w:kern w:val="0"/>
                <w:sz w:val="24"/>
                <w:szCs w:val="24"/>
                <w:highlight w:val="none"/>
                <w:lang w:eastAsia="zh-CN"/>
              </w:rPr>
              <w:t>职工生日蛋糕提货券（余姚市）</w:t>
            </w:r>
          </w:p>
        </w:tc>
        <w:tc>
          <w:tcPr>
            <w:tcW w:w="903" w:type="pct"/>
            <w:vMerge w:val="continue"/>
            <w:vAlign w:val="center"/>
          </w:tcPr>
          <w:p w14:paraId="19502066">
            <w:pPr>
              <w:widowControl/>
              <w:spacing w:line="240" w:lineRule="auto"/>
              <w:jc w:val="center"/>
              <w:rPr>
                <w:rFonts w:hint="eastAsia" w:ascii="仿宋" w:hAnsi="仿宋" w:eastAsia="仿宋" w:cs="宋体"/>
                <w:color w:val="auto"/>
                <w:sz w:val="24"/>
                <w:szCs w:val="24"/>
                <w:highlight w:val="none"/>
              </w:rPr>
            </w:pPr>
          </w:p>
        </w:tc>
        <w:tc>
          <w:tcPr>
            <w:tcW w:w="737" w:type="pct"/>
            <w:vAlign w:val="center"/>
          </w:tcPr>
          <w:p w14:paraId="083EBDBD">
            <w:pPr>
              <w:widowControl/>
              <w:spacing w:line="240" w:lineRule="auto"/>
              <w:jc w:val="center"/>
              <w:rPr>
                <w:rFonts w:hint="eastAsia"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1</w:t>
            </w:r>
            <w:r>
              <w:rPr>
                <w:rFonts w:hint="eastAsia" w:ascii="仿宋" w:hAnsi="仿宋" w:eastAsia="仿宋" w:cs="宋体"/>
                <w:color w:val="auto"/>
                <w:kern w:val="0"/>
                <w:sz w:val="24"/>
                <w:szCs w:val="24"/>
                <w:highlight w:val="none"/>
              </w:rPr>
              <w:t>家</w:t>
            </w:r>
          </w:p>
        </w:tc>
        <w:tc>
          <w:tcPr>
            <w:tcW w:w="1510" w:type="pct"/>
            <w:vAlign w:val="center"/>
          </w:tcPr>
          <w:p w14:paraId="2E530F86">
            <w:pPr>
              <w:widowControl/>
              <w:spacing w:line="240" w:lineRule="auto"/>
              <w:jc w:val="center"/>
              <w:rPr>
                <w:rFonts w:hint="eastAsia"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人民币300元/人/年，</w:t>
            </w:r>
          </w:p>
          <w:p w14:paraId="0DFBAC3D">
            <w:pPr>
              <w:widowControl/>
              <w:spacing w:line="240" w:lineRule="auto"/>
              <w:jc w:val="center"/>
              <w:rPr>
                <w:rFonts w:hint="eastAsia"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人数预计200人，合计</w:t>
            </w:r>
            <w:r>
              <w:rPr>
                <w:rFonts w:hint="eastAsia" w:ascii="仿宋" w:hAnsi="仿宋" w:eastAsia="仿宋" w:cs="宋体"/>
                <w:color w:val="auto"/>
                <w:kern w:val="0"/>
                <w:sz w:val="24"/>
                <w:szCs w:val="24"/>
                <w:highlight w:val="none"/>
              </w:rPr>
              <w:t>人民币</w:t>
            </w:r>
            <w:r>
              <w:rPr>
                <w:rFonts w:hint="eastAsia" w:ascii="仿宋" w:hAnsi="仿宋" w:eastAsia="仿宋" w:cs="宋体"/>
                <w:color w:val="auto"/>
                <w:kern w:val="0"/>
                <w:sz w:val="24"/>
                <w:szCs w:val="24"/>
                <w:highlight w:val="none"/>
                <w:lang w:val="en-US" w:eastAsia="zh-CN"/>
              </w:rPr>
              <w:t>60000</w:t>
            </w:r>
            <w:r>
              <w:rPr>
                <w:rFonts w:hint="eastAsia" w:ascii="仿宋" w:hAnsi="仿宋" w:eastAsia="仿宋" w:cs="宋体"/>
                <w:color w:val="auto"/>
                <w:kern w:val="0"/>
                <w:sz w:val="24"/>
                <w:szCs w:val="24"/>
                <w:highlight w:val="none"/>
              </w:rPr>
              <w:t>元</w:t>
            </w:r>
            <w:r>
              <w:rPr>
                <w:rFonts w:hint="eastAsia" w:ascii="仿宋" w:hAnsi="仿宋" w:eastAsia="仿宋" w:cs="宋体"/>
                <w:color w:val="auto"/>
                <w:kern w:val="0"/>
                <w:sz w:val="24"/>
                <w:szCs w:val="24"/>
                <w:highlight w:val="none"/>
                <w:lang w:val="en-US" w:eastAsia="zh-CN"/>
              </w:rPr>
              <w:t>/年</w:t>
            </w:r>
          </w:p>
        </w:tc>
      </w:tr>
    </w:tbl>
    <w:p w14:paraId="6A356B58">
      <w:pPr>
        <w:spacing w:line="360" w:lineRule="auto"/>
        <w:ind w:firstLine="420" w:firstLineChars="200"/>
        <w:textAlignment w:val="baseline"/>
        <w:rPr>
          <w:rFonts w:hint="eastAsia" w:ascii="仿宋" w:hAnsi="仿宋" w:eastAsia="仿宋" w:cs="宋体"/>
          <w:color w:val="000000"/>
          <w:sz w:val="24"/>
          <w:szCs w:val="24"/>
          <w:highlight w:val="none"/>
          <w:lang w:val="en-US" w:eastAsia="zh-CN"/>
        </w:rPr>
      </w:pPr>
      <w:r>
        <w:rPr>
          <w:rFonts w:hint="eastAsia" w:ascii="仿宋" w:hAnsi="仿宋" w:eastAsia="仿宋" w:cs="宋体"/>
          <w:color w:val="000000"/>
          <w:szCs w:val="21"/>
          <w:highlight w:val="none"/>
        </w:rPr>
        <w:t>★</w:t>
      </w:r>
      <w:r>
        <w:rPr>
          <w:rFonts w:hint="eastAsia" w:ascii="仿宋" w:hAnsi="仿宋" w:eastAsia="仿宋" w:cs="宋体"/>
          <w:color w:val="000000"/>
          <w:sz w:val="24"/>
          <w:szCs w:val="24"/>
          <w:highlight w:val="none"/>
          <w:lang w:val="en-US" w:eastAsia="zh-CN"/>
        </w:rPr>
        <w:t>注：本项目投标报价为</w:t>
      </w:r>
      <w:r>
        <w:rPr>
          <w:rFonts w:hint="eastAsia" w:ascii="仿宋" w:hAnsi="仿宋" w:eastAsia="仿宋" w:cs="宋体"/>
          <w:color w:val="auto"/>
          <w:kern w:val="0"/>
          <w:sz w:val="24"/>
          <w:szCs w:val="24"/>
          <w:highlight w:val="none"/>
          <w:lang w:eastAsia="zh-CN"/>
        </w:rPr>
        <w:t>生日蛋糕提货券</w:t>
      </w:r>
      <w:r>
        <w:rPr>
          <w:rFonts w:hint="eastAsia" w:ascii="仿宋" w:hAnsi="仿宋" w:eastAsia="仿宋" w:cs="宋体"/>
          <w:color w:val="auto"/>
          <w:kern w:val="0"/>
          <w:sz w:val="24"/>
          <w:szCs w:val="24"/>
          <w:highlight w:val="none"/>
          <w:lang w:val="en-US" w:eastAsia="zh-CN"/>
        </w:rPr>
        <w:t>券</w:t>
      </w:r>
      <w:r>
        <w:rPr>
          <w:rFonts w:hint="eastAsia" w:ascii="仿宋" w:hAnsi="仿宋" w:eastAsia="仿宋" w:cs="宋体"/>
          <w:color w:val="000000"/>
          <w:sz w:val="24"/>
          <w:szCs w:val="24"/>
          <w:highlight w:val="none"/>
          <w:lang w:val="en-US" w:eastAsia="zh-CN"/>
        </w:rPr>
        <w:t>内金额，</w:t>
      </w:r>
      <w:r>
        <w:rPr>
          <w:rFonts w:hint="eastAsia" w:ascii="仿宋" w:hAnsi="仿宋" w:eastAsia="仿宋" w:cs="宋体"/>
          <w:color w:val="auto"/>
          <w:kern w:val="0"/>
          <w:sz w:val="24"/>
          <w:szCs w:val="24"/>
          <w:highlight w:val="none"/>
          <w:lang w:eastAsia="zh-CN"/>
        </w:rPr>
        <w:t>生日蛋糕提货券</w:t>
      </w:r>
      <w:r>
        <w:rPr>
          <w:rFonts w:hint="eastAsia" w:ascii="仿宋" w:hAnsi="仿宋" w:eastAsia="仿宋" w:cs="宋体"/>
          <w:color w:val="000000"/>
          <w:sz w:val="24"/>
          <w:szCs w:val="24"/>
          <w:highlight w:val="none"/>
          <w:lang w:val="en-US" w:eastAsia="zh-CN"/>
        </w:rPr>
        <w:t>券内金额=实际支付额（300元）×（1+浮动率），生日蛋糕提货券券内金额不允许低于人民币300元。</w:t>
      </w:r>
    </w:p>
    <w:p w14:paraId="35DA373F">
      <w:pPr>
        <w:spacing w:line="360" w:lineRule="auto"/>
        <w:ind w:firstLine="480" w:firstLineChars="200"/>
        <w:textAlignment w:val="baseline"/>
        <w:rPr>
          <w:rFonts w:ascii="仿宋" w:hAnsi="仿宋" w:eastAsia="仿宋" w:cs="宋体"/>
          <w:sz w:val="24"/>
          <w:szCs w:val="24"/>
          <w:highlight w:val="none"/>
        </w:rPr>
      </w:pPr>
      <w:r>
        <w:rPr>
          <w:rFonts w:hint="eastAsia" w:ascii="仿宋" w:hAnsi="仿宋" w:eastAsia="仿宋" w:cs="宋体"/>
          <w:color w:val="000000"/>
          <w:sz w:val="24"/>
          <w:szCs w:val="24"/>
          <w:highlight w:val="none"/>
        </w:rPr>
        <w:t>2.5</w:t>
      </w:r>
      <w:r>
        <w:rPr>
          <w:rFonts w:hint="eastAsia" w:ascii="仿宋" w:hAnsi="仿宋" w:eastAsia="仿宋" w:cs="宋体"/>
          <w:sz w:val="24"/>
          <w:szCs w:val="24"/>
          <w:highlight w:val="none"/>
        </w:rPr>
        <w:t>服务期限：</w:t>
      </w:r>
      <w:r>
        <w:rPr>
          <w:rFonts w:hint="eastAsia" w:ascii="仿宋" w:hAnsi="仿宋" w:eastAsia="仿宋" w:cs="仿宋"/>
          <w:bCs/>
          <w:sz w:val="24"/>
          <w:szCs w:val="24"/>
          <w:highlight w:val="none"/>
          <w:lang w:eastAsia="zh-CN"/>
        </w:rPr>
        <w:t>自合同签订之日起两年。</w:t>
      </w:r>
    </w:p>
    <w:p w14:paraId="32664C76">
      <w:pPr>
        <w:spacing w:line="360" w:lineRule="auto"/>
        <w:ind w:firstLine="480" w:firstLineChars="200"/>
        <w:textAlignment w:val="baseline"/>
        <w:rPr>
          <w:rFonts w:ascii="仿宋" w:hAnsi="仿宋" w:eastAsia="仿宋" w:cs="宋体"/>
          <w:sz w:val="24"/>
          <w:szCs w:val="24"/>
          <w:highlight w:val="none"/>
        </w:rPr>
      </w:pPr>
      <w:r>
        <w:rPr>
          <w:rFonts w:hint="eastAsia" w:ascii="仿宋" w:hAnsi="仿宋" w:eastAsia="仿宋" w:cs="宋体"/>
          <w:sz w:val="24"/>
          <w:szCs w:val="24"/>
          <w:highlight w:val="none"/>
        </w:rPr>
        <w:t>2.6服务地点：招标人指定。</w:t>
      </w:r>
      <w:bookmarkEnd w:id="13"/>
    </w:p>
    <w:p w14:paraId="23B3CF97">
      <w:pPr>
        <w:pStyle w:val="5"/>
        <w:rPr>
          <w:rFonts w:ascii="仿宋" w:hAnsi="仿宋" w:cs="宋体"/>
          <w:color w:val="000000"/>
          <w:szCs w:val="24"/>
          <w:highlight w:val="none"/>
        </w:rPr>
      </w:pPr>
      <w:bookmarkStart w:id="16" w:name="_Toc109124225"/>
      <w:bookmarkStart w:id="17" w:name="_Toc6528"/>
      <w:r>
        <w:rPr>
          <w:rFonts w:hint="eastAsia" w:ascii="仿宋" w:hAnsi="仿宋" w:cs="宋体"/>
          <w:color w:val="000000"/>
          <w:szCs w:val="24"/>
          <w:highlight w:val="none"/>
        </w:rPr>
        <w:t>三、投标人资格要求</w:t>
      </w:r>
      <w:bookmarkEnd w:id="14"/>
      <w:bookmarkEnd w:id="15"/>
      <w:bookmarkEnd w:id="16"/>
      <w:bookmarkEnd w:id="17"/>
    </w:p>
    <w:p w14:paraId="1A75320A">
      <w:pPr>
        <w:pStyle w:val="6"/>
        <w:ind w:firstLine="480" w:firstLineChars="200"/>
        <w:rPr>
          <w:rFonts w:hint="eastAsia" w:ascii="宋体" w:hAnsi="宋体"/>
          <w:szCs w:val="21"/>
          <w:highlight w:val="none"/>
        </w:rPr>
      </w:pPr>
      <w:r>
        <w:rPr>
          <w:rFonts w:hint="eastAsia" w:ascii="仿宋" w:hAnsi="仿宋" w:eastAsia="仿宋" w:cs="宋体"/>
          <w:color w:val="000000"/>
          <w:sz w:val="24"/>
          <w:szCs w:val="24"/>
          <w:highlight w:val="none"/>
        </w:rPr>
        <w:t>3.1</w:t>
      </w:r>
      <w:r>
        <w:rPr>
          <w:rFonts w:hint="eastAsia" w:ascii="仿宋" w:hAnsi="仿宋" w:eastAsia="仿宋" w:cs="Monaco"/>
          <w:b/>
          <w:bCs/>
          <w:color w:val="000000"/>
          <w:sz w:val="24"/>
          <w:szCs w:val="24"/>
          <w:highlight w:val="none"/>
        </w:rPr>
        <w:t>在中华人民共和国境内依法登记的法人或其他组织，</w:t>
      </w:r>
      <w:r>
        <w:rPr>
          <w:rFonts w:hint="eastAsia" w:ascii="仿宋" w:hAnsi="仿宋" w:eastAsia="仿宋" w:cs="Monaco"/>
          <w:b/>
          <w:color w:val="000000"/>
          <w:sz w:val="24"/>
          <w:szCs w:val="24"/>
          <w:highlight w:val="none"/>
        </w:rPr>
        <w:t>具有独立承担民事责任的能力</w:t>
      </w:r>
      <w:r>
        <w:rPr>
          <w:rFonts w:hint="eastAsia" w:ascii="仿宋" w:hAnsi="仿宋" w:eastAsia="仿宋" w:cs="Monaco"/>
          <w:color w:val="000000"/>
          <w:sz w:val="24"/>
          <w:szCs w:val="24"/>
          <w:highlight w:val="none"/>
        </w:rPr>
        <w:t>，投标人如为企业法人，须提供企业法人营业执照</w:t>
      </w:r>
      <w:r>
        <w:rPr>
          <w:rFonts w:hint="eastAsia" w:ascii="仿宋" w:hAnsi="仿宋" w:eastAsia="仿宋" w:cs="Monaco"/>
          <w:color w:val="000000"/>
          <w:sz w:val="24"/>
        </w:rPr>
        <w:t>（复印件）</w:t>
      </w:r>
      <w:r>
        <w:rPr>
          <w:rFonts w:hint="eastAsia" w:ascii="仿宋" w:hAnsi="仿宋" w:eastAsia="仿宋" w:cs="Monaco"/>
          <w:color w:val="000000"/>
          <w:sz w:val="24"/>
          <w:szCs w:val="24"/>
          <w:highlight w:val="none"/>
        </w:rPr>
        <w:t>；投标人如为事业单位或其他组织，须提供事业单位法人证书或登记证或组织机构代码证或其他有效证明文件（复印件）。</w:t>
      </w:r>
    </w:p>
    <w:p w14:paraId="600EE49F">
      <w:pPr>
        <w:spacing w:line="360" w:lineRule="auto"/>
        <w:ind w:firstLine="480" w:firstLineChars="200"/>
        <w:textAlignment w:val="baseline"/>
        <w:rPr>
          <w:rFonts w:hint="eastAsia" w:ascii="仿宋" w:hAnsi="仿宋" w:eastAsia="仿宋" w:cs="宋体"/>
          <w:color w:val="000000"/>
          <w:sz w:val="24"/>
          <w:szCs w:val="24"/>
          <w:highlight w:val="none"/>
          <w:lang w:val="en-US" w:eastAsia="zh-CN"/>
        </w:rPr>
      </w:pPr>
      <w:r>
        <w:rPr>
          <w:rFonts w:hint="eastAsia" w:ascii="仿宋" w:hAnsi="仿宋" w:eastAsia="仿宋" w:cs="宋体"/>
          <w:color w:val="000000"/>
          <w:sz w:val="24"/>
          <w:szCs w:val="24"/>
        </w:rPr>
        <w:t>3.2具有良好的商业信誉和健全的财务会计制度，需提供2024年度（或2023年度）经会计师事务所或审计机构审计的财务审计报告及财务报表（至少包含会计师事务所或审计机构签章页、资产负债表、现金流量表、损益表/利润表）或开标日前</w:t>
      </w:r>
      <w:r>
        <w:rPr>
          <w:rFonts w:hint="eastAsia" w:ascii="仿宋" w:hAnsi="仿宋" w:eastAsia="仿宋" w:cs="宋体"/>
          <w:color w:val="000000"/>
          <w:sz w:val="24"/>
          <w:szCs w:val="24"/>
          <w:lang w:val="en-US" w:eastAsia="zh-CN"/>
        </w:rPr>
        <w:t>6</w:t>
      </w:r>
      <w:r>
        <w:rPr>
          <w:rFonts w:hint="eastAsia" w:ascii="仿宋" w:hAnsi="仿宋" w:eastAsia="仿宋" w:cs="宋体"/>
          <w:color w:val="000000"/>
          <w:sz w:val="24"/>
          <w:szCs w:val="24"/>
        </w:rPr>
        <w:t>个月内开具的银行资信证明。</w:t>
      </w:r>
    </w:p>
    <w:p w14:paraId="4F68F8E8">
      <w:pPr>
        <w:spacing w:line="360" w:lineRule="auto"/>
        <w:ind w:firstLine="480" w:firstLineChars="200"/>
        <w:textAlignment w:val="baseline"/>
        <w:rPr>
          <w:rFonts w:hint="default"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3.3具有履行合同所必需的设备和专业技术能力，需提供合格投标人的资格承诺书并对此内容作出承诺。</w:t>
      </w:r>
    </w:p>
    <w:p w14:paraId="3A703A1E">
      <w:pPr>
        <w:spacing w:line="360" w:lineRule="auto"/>
        <w:ind w:firstLine="480" w:firstLineChars="200"/>
        <w:textAlignment w:val="baseline"/>
        <w:rPr>
          <w:rFonts w:hint="default" w:ascii="仿宋" w:hAnsi="仿宋" w:eastAsia="仿宋" w:cs="宋体"/>
          <w:color w:val="000000"/>
          <w:sz w:val="24"/>
          <w:szCs w:val="24"/>
          <w:highlight w:val="none"/>
          <w:lang w:val="en-US" w:eastAsia="zh-CN"/>
        </w:rPr>
      </w:pPr>
      <w:r>
        <w:rPr>
          <w:rFonts w:hint="eastAsia" w:ascii="仿宋" w:hAnsi="仿宋" w:eastAsia="仿宋" w:cs="宋体"/>
          <w:color w:val="000000"/>
          <w:sz w:val="24"/>
          <w:szCs w:val="24"/>
        </w:rPr>
        <w:t>3.</w:t>
      </w:r>
      <w:r>
        <w:rPr>
          <w:rFonts w:hint="eastAsia" w:ascii="仿宋" w:hAnsi="仿宋" w:eastAsia="仿宋" w:cs="宋体"/>
          <w:color w:val="000000"/>
          <w:sz w:val="24"/>
          <w:szCs w:val="24"/>
          <w:lang w:val="en-US" w:eastAsia="zh-CN"/>
        </w:rPr>
        <w:t>4</w:t>
      </w:r>
      <w:r>
        <w:rPr>
          <w:rFonts w:hint="eastAsia" w:ascii="仿宋" w:hAnsi="仿宋" w:eastAsia="仿宋" w:cs="宋体"/>
          <w:color w:val="000000"/>
          <w:sz w:val="24"/>
          <w:szCs w:val="24"/>
        </w:rPr>
        <w:t>具有依法缴纳税收和社会保障资金的良好记录，提供近6个月任意一个月的税收和社会保障资金缴纳凭证。</w:t>
      </w:r>
    </w:p>
    <w:p w14:paraId="7351AEE2">
      <w:pPr>
        <w:spacing w:line="360" w:lineRule="auto"/>
        <w:ind w:firstLine="480" w:firstLineChars="200"/>
        <w:textAlignment w:val="baseline"/>
        <w:rPr>
          <w:rFonts w:ascii="仿宋" w:hAnsi="仿宋" w:eastAsia="仿宋" w:cs="Monaco"/>
          <w:color w:val="000000"/>
          <w:sz w:val="24"/>
          <w:szCs w:val="24"/>
        </w:rPr>
      </w:pPr>
      <w:r>
        <w:rPr>
          <w:rFonts w:hint="eastAsia" w:ascii="仿宋" w:hAnsi="仿宋" w:eastAsia="仿宋" w:cs="宋体"/>
          <w:color w:val="000000"/>
          <w:sz w:val="24"/>
          <w:szCs w:val="24"/>
          <w:highlight w:val="none"/>
        </w:rPr>
        <w:t>3.</w:t>
      </w:r>
      <w:r>
        <w:rPr>
          <w:rFonts w:hint="eastAsia" w:ascii="仿宋" w:hAnsi="仿宋" w:eastAsia="仿宋" w:cs="宋体"/>
          <w:color w:val="000000"/>
          <w:sz w:val="24"/>
          <w:szCs w:val="24"/>
          <w:highlight w:val="none"/>
          <w:lang w:val="en-US" w:eastAsia="zh-CN"/>
        </w:rPr>
        <w:t>5</w:t>
      </w:r>
      <w:r>
        <w:rPr>
          <w:rFonts w:hint="eastAsia" w:ascii="仿宋" w:hAnsi="仿宋" w:eastAsia="仿宋" w:cs="Monaco"/>
          <w:b/>
          <w:color w:val="000000"/>
          <w:sz w:val="24"/>
          <w:szCs w:val="24"/>
        </w:rPr>
        <w:t>投标人应经营状况良好，且近三年内（</w:t>
      </w:r>
      <w:r>
        <w:rPr>
          <w:rFonts w:hint="eastAsia" w:ascii="仿宋" w:hAnsi="仿宋" w:eastAsia="仿宋" w:cs="Monaco"/>
          <w:b/>
          <w:sz w:val="24"/>
          <w:szCs w:val="24"/>
        </w:rPr>
        <w:t>202</w:t>
      </w:r>
      <w:r>
        <w:rPr>
          <w:rFonts w:hint="eastAsia" w:ascii="仿宋" w:hAnsi="仿宋" w:eastAsia="仿宋" w:cs="Monaco"/>
          <w:b/>
          <w:sz w:val="24"/>
          <w:szCs w:val="24"/>
          <w:lang w:val="en-US" w:eastAsia="zh-CN"/>
        </w:rPr>
        <w:t>3</w:t>
      </w:r>
      <w:r>
        <w:rPr>
          <w:rFonts w:hint="eastAsia" w:ascii="仿宋" w:hAnsi="仿宋" w:eastAsia="仿宋" w:cs="Monaco"/>
          <w:b/>
          <w:sz w:val="24"/>
          <w:szCs w:val="24"/>
        </w:rPr>
        <w:t>年1月</w:t>
      </w:r>
      <w:r>
        <w:rPr>
          <w:rFonts w:hint="eastAsia" w:ascii="仿宋" w:hAnsi="仿宋" w:eastAsia="仿宋" w:cs="Monaco"/>
          <w:b/>
          <w:color w:val="000000"/>
          <w:sz w:val="24"/>
          <w:szCs w:val="24"/>
        </w:rPr>
        <w:t>1日至今）无违法违规记录。</w:t>
      </w:r>
      <w:r>
        <w:rPr>
          <w:rFonts w:hint="eastAsia" w:ascii="仿宋" w:hAnsi="仿宋" w:eastAsia="仿宋" w:cs="Monaco"/>
          <w:color w:val="000000"/>
          <w:sz w:val="24"/>
          <w:szCs w:val="24"/>
        </w:rPr>
        <w:t>违法违规记录是指被“信用中国”、“中国政府采购网”列入失信被执行人、重大税收违法失信主体、政府采购严重违法失信行为记录名单。投标人需提供自招标公告发布之日至投标截止之日期间对以上三项内容的查询截图。</w:t>
      </w:r>
    </w:p>
    <w:p w14:paraId="292744C2">
      <w:pPr>
        <w:spacing w:line="360" w:lineRule="auto"/>
        <w:ind w:firstLine="480" w:firstLineChars="200"/>
        <w:textAlignment w:val="baseline"/>
        <w:rPr>
          <w:rFonts w:ascii="仿宋" w:hAnsi="仿宋" w:eastAsia="仿宋" w:cs="Monaco"/>
          <w:color w:val="000000"/>
          <w:sz w:val="24"/>
          <w:szCs w:val="24"/>
        </w:rPr>
      </w:pPr>
      <w:r>
        <w:rPr>
          <w:rFonts w:hint="eastAsia" w:ascii="仿宋" w:hAnsi="仿宋" w:eastAsia="仿宋" w:cs="Monaco"/>
          <w:color w:val="000000"/>
          <w:sz w:val="24"/>
          <w:szCs w:val="24"/>
        </w:rPr>
        <w:t>信用中国查询网址：</w:t>
      </w:r>
      <w:r>
        <w:fldChar w:fldCharType="begin"/>
      </w:r>
      <w:r>
        <w:instrText xml:space="preserve"> HYPERLINK "https://www.creditchina.gov.cn/xinyongfuwu/?navPage=5" </w:instrText>
      </w:r>
      <w:r>
        <w:fldChar w:fldCharType="separate"/>
      </w:r>
      <w:r>
        <w:rPr>
          <w:rFonts w:hint="eastAsia" w:ascii="仿宋" w:hAnsi="仿宋" w:eastAsia="仿宋" w:cs="Monaco"/>
          <w:color w:val="000000"/>
          <w:sz w:val="24"/>
          <w:szCs w:val="24"/>
        </w:rPr>
        <w:t>https://www.creditchina.gov.cn/xinyongfuwu/?navPage=5</w:t>
      </w:r>
      <w:r>
        <w:rPr>
          <w:rFonts w:hint="eastAsia" w:ascii="仿宋" w:hAnsi="仿宋" w:eastAsia="仿宋" w:cs="Monaco"/>
          <w:color w:val="000000"/>
          <w:sz w:val="24"/>
          <w:szCs w:val="24"/>
        </w:rPr>
        <w:fldChar w:fldCharType="end"/>
      </w:r>
    </w:p>
    <w:p w14:paraId="4221C66F">
      <w:pPr>
        <w:spacing w:line="360" w:lineRule="auto"/>
        <w:ind w:firstLine="480" w:firstLineChars="200"/>
        <w:textAlignment w:val="baseline"/>
        <w:rPr>
          <w:rFonts w:ascii="仿宋" w:hAnsi="仿宋" w:eastAsia="仿宋" w:cs="Monaco"/>
          <w:color w:val="000000"/>
          <w:sz w:val="24"/>
          <w:szCs w:val="24"/>
        </w:rPr>
      </w:pPr>
      <w:r>
        <w:rPr>
          <w:rFonts w:hint="eastAsia" w:ascii="仿宋" w:hAnsi="仿宋" w:eastAsia="仿宋" w:cs="Monaco"/>
          <w:color w:val="000000"/>
          <w:sz w:val="24"/>
          <w:szCs w:val="24"/>
        </w:rPr>
        <w:t>中国政府采购网查询网址：https://www.ccgp.gov.cn/search/cr/</w:t>
      </w:r>
    </w:p>
    <w:p w14:paraId="37183B63">
      <w:pPr>
        <w:spacing w:line="360" w:lineRule="auto"/>
        <w:ind w:firstLine="480" w:firstLineChars="200"/>
        <w:textAlignment w:val="baseline"/>
        <w:rPr>
          <w:rFonts w:ascii="仿宋" w:hAnsi="仿宋" w:eastAsia="仿宋" w:cs="宋体"/>
          <w:b/>
          <w:color w:val="000000"/>
          <w:sz w:val="24"/>
          <w:szCs w:val="24"/>
          <w:highlight w:val="none"/>
        </w:rPr>
      </w:pPr>
      <w:r>
        <w:rPr>
          <w:rFonts w:hint="eastAsia" w:ascii="仿宋" w:hAnsi="仿宋" w:eastAsia="仿宋" w:cs="宋体"/>
          <w:color w:val="000000"/>
          <w:sz w:val="24"/>
          <w:szCs w:val="24"/>
          <w:highlight w:val="none"/>
        </w:rPr>
        <w:t>3</w:t>
      </w:r>
      <w:r>
        <w:rPr>
          <w:rFonts w:ascii="仿宋" w:hAnsi="仿宋" w:eastAsia="仿宋" w:cs="宋体"/>
          <w:color w:val="000000"/>
          <w:sz w:val="24"/>
          <w:szCs w:val="24"/>
          <w:highlight w:val="none"/>
        </w:rPr>
        <w:t>.</w:t>
      </w:r>
      <w:r>
        <w:rPr>
          <w:rFonts w:hint="eastAsia" w:ascii="仿宋" w:hAnsi="仿宋" w:eastAsia="仿宋" w:cs="宋体"/>
          <w:color w:val="000000"/>
          <w:sz w:val="24"/>
          <w:szCs w:val="24"/>
          <w:highlight w:val="none"/>
          <w:lang w:val="en-US" w:eastAsia="zh-CN"/>
        </w:rPr>
        <w:t>6</w:t>
      </w:r>
      <w:r>
        <w:rPr>
          <w:rFonts w:hint="eastAsia" w:ascii="仿宋" w:hAnsi="仿宋" w:eastAsia="仿宋" w:cs="宋体"/>
          <w:b/>
          <w:color w:val="000000"/>
          <w:sz w:val="24"/>
          <w:szCs w:val="24"/>
          <w:highlight w:val="none"/>
        </w:rPr>
        <w:t>严禁列入招标人及其所隶属的中国人民保险各级机构的</w:t>
      </w:r>
      <w:r>
        <w:rPr>
          <w:rFonts w:hint="eastAsia" w:ascii="仿宋" w:hAnsi="仿宋" w:eastAsia="仿宋" w:cs="宋体"/>
          <w:b/>
          <w:color w:val="000000"/>
          <w:sz w:val="24"/>
          <w:szCs w:val="24"/>
          <w:highlight w:val="none"/>
          <w:lang w:eastAsia="zh-CN"/>
        </w:rPr>
        <w:t>投标人</w:t>
      </w:r>
      <w:r>
        <w:rPr>
          <w:rFonts w:hint="eastAsia" w:ascii="仿宋" w:hAnsi="仿宋" w:eastAsia="仿宋" w:cs="宋体"/>
          <w:b/>
          <w:color w:val="000000"/>
          <w:sz w:val="24"/>
          <w:szCs w:val="24"/>
          <w:highlight w:val="none"/>
        </w:rPr>
        <w:t>黑名单且在禁入期内的</w:t>
      </w:r>
      <w:r>
        <w:rPr>
          <w:rFonts w:hint="eastAsia" w:ascii="仿宋" w:hAnsi="仿宋" w:eastAsia="仿宋" w:cs="宋体"/>
          <w:b/>
          <w:color w:val="000000"/>
          <w:sz w:val="24"/>
          <w:szCs w:val="24"/>
          <w:highlight w:val="none"/>
          <w:lang w:eastAsia="zh-CN"/>
        </w:rPr>
        <w:t>投标人</w:t>
      </w:r>
      <w:r>
        <w:rPr>
          <w:rFonts w:hint="eastAsia" w:ascii="仿宋" w:hAnsi="仿宋" w:eastAsia="仿宋" w:cs="宋体"/>
          <w:b/>
          <w:color w:val="000000"/>
          <w:sz w:val="24"/>
          <w:szCs w:val="24"/>
          <w:highlight w:val="none"/>
        </w:rPr>
        <w:t>参与采购活动。</w:t>
      </w:r>
    </w:p>
    <w:p w14:paraId="17FE2F3E">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3.</w:t>
      </w:r>
      <w:r>
        <w:rPr>
          <w:rFonts w:hint="eastAsia" w:ascii="仿宋" w:hAnsi="仿宋" w:eastAsia="仿宋" w:cs="宋体"/>
          <w:color w:val="000000"/>
          <w:sz w:val="24"/>
          <w:szCs w:val="24"/>
          <w:highlight w:val="none"/>
          <w:lang w:val="en-US" w:eastAsia="zh-CN"/>
        </w:rPr>
        <w:t>7</w:t>
      </w:r>
      <w:r>
        <w:rPr>
          <w:rFonts w:hint="eastAsia" w:ascii="仿宋" w:hAnsi="仿宋" w:eastAsia="仿宋" w:cs="宋体"/>
          <w:color w:val="000000"/>
          <w:sz w:val="24"/>
          <w:szCs w:val="24"/>
          <w:highlight w:val="none"/>
        </w:rPr>
        <w:t>单位负责人为同一人或存在控股、管理关系的不同单位，不得参加同一标段/标包投标或未划分标段/标包的同一招标项目投标，</w:t>
      </w:r>
      <w:r>
        <w:rPr>
          <w:rFonts w:hint="eastAsia" w:ascii="仿宋" w:hAnsi="仿宋" w:eastAsia="仿宋" w:cs="Monaco"/>
          <w:color w:val="000000"/>
          <w:sz w:val="24"/>
          <w:szCs w:val="24"/>
          <w:highlight w:val="none"/>
        </w:rPr>
        <w:t>需填写《投标人控股及管理关系情况申报表》。</w:t>
      </w:r>
    </w:p>
    <w:p w14:paraId="3EC71237">
      <w:pPr>
        <w:spacing w:line="360" w:lineRule="auto"/>
        <w:ind w:firstLine="480" w:firstLineChars="200"/>
        <w:textAlignment w:val="baseline"/>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3.</w:t>
      </w:r>
      <w:r>
        <w:rPr>
          <w:rFonts w:hint="eastAsia" w:ascii="仿宋" w:hAnsi="仿宋" w:eastAsia="仿宋" w:cs="宋体"/>
          <w:color w:val="000000"/>
          <w:sz w:val="24"/>
          <w:szCs w:val="24"/>
          <w:highlight w:val="none"/>
          <w:lang w:val="en-US" w:eastAsia="zh-CN"/>
        </w:rPr>
        <w:t>8</w:t>
      </w:r>
      <w:r>
        <w:rPr>
          <w:rFonts w:hint="eastAsia" w:ascii="仿宋" w:hAnsi="仿宋" w:eastAsia="仿宋" w:cs="宋体"/>
          <w:color w:val="000000"/>
          <w:sz w:val="24"/>
          <w:szCs w:val="24"/>
          <w:highlight w:val="none"/>
        </w:rPr>
        <w:t>本项目不接受联合体投标。</w:t>
      </w:r>
    </w:p>
    <w:p w14:paraId="4FA8FE29">
      <w:pPr>
        <w:spacing w:line="360" w:lineRule="auto"/>
        <w:ind w:firstLine="480" w:firstLineChars="200"/>
        <w:textAlignment w:val="baseline"/>
        <w:rPr>
          <w:highlight w:val="none"/>
        </w:rPr>
      </w:pPr>
      <w:r>
        <w:rPr>
          <w:rFonts w:hint="eastAsia" w:ascii="仿宋" w:hAnsi="仿宋" w:eastAsia="仿宋" w:cs="宋体"/>
          <w:color w:val="000000"/>
          <w:sz w:val="24"/>
          <w:highlight w:val="none"/>
        </w:rPr>
        <w:t>3.</w:t>
      </w:r>
      <w:r>
        <w:rPr>
          <w:rFonts w:hint="eastAsia" w:ascii="仿宋" w:hAnsi="仿宋" w:eastAsia="仿宋" w:cs="宋体"/>
          <w:color w:val="000000"/>
          <w:sz w:val="24"/>
          <w:highlight w:val="none"/>
          <w:lang w:val="en-US" w:eastAsia="zh-CN"/>
        </w:rPr>
        <w:t>9</w:t>
      </w:r>
      <w:r>
        <w:rPr>
          <w:rFonts w:hint="eastAsia" w:ascii="仿宋" w:hAnsi="仿宋" w:eastAsia="仿宋" w:cs="宋体"/>
          <w:color w:val="000000"/>
          <w:sz w:val="24"/>
          <w:szCs w:val="24"/>
          <w:highlight w:val="none"/>
        </w:rPr>
        <w:t>其它资格要求：具有符合规定的食品(物品)经营许可证或食品生产许可证。</w:t>
      </w:r>
    </w:p>
    <w:p w14:paraId="4E1BD5A3">
      <w:pPr>
        <w:pStyle w:val="5"/>
        <w:rPr>
          <w:rFonts w:ascii="仿宋" w:hAnsi="仿宋" w:cs="宋体"/>
          <w:color w:val="000000"/>
          <w:highlight w:val="none"/>
        </w:rPr>
      </w:pPr>
      <w:bookmarkStart w:id="18" w:name="_Toc65682916"/>
      <w:bookmarkStart w:id="19" w:name="_Toc12385"/>
      <w:bookmarkStart w:id="20" w:name="_Toc109124226"/>
      <w:bookmarkStart w:id="21" w:name="_Toc21224"/>
      <w:r>
        <w:rPr>
          <w:rFonts w:hint="eastAsia" w:ascii="仿宋" w:hAnsi="仿宋" w:cs="宋体"/>
          <w:color w:val="000000"/>
          <w:highlight w:val="none"/>
        </w:rPr>
        <w:t>四、资格审查方法</w:t>
      </w:r>
      <w:bookmarkEnd w:id="18"/>
      <w:bookmarkEnd w:id="19"/>
      <w:bookmarkEnd w:id="20"/>
      <w:bookmarkEnd w:id="21"/>
    </w:p>
    <w:p w14:paraId="5F5E4E2B">
      <w:pPr>
        <w:spacing w:line="360" w:lineRule="auto"/>
        <w:ind w:firstLine="480" w:firstLineChars="200"/>
        <w:textAlignment w:val="baseline"/>
        <w:rPr>
          <w:rFonts w:ascii="仿宋" w:hAnsi="仿宋" w:eastAsia="仿宋" w:cs="宋体"/>
          <w:color w:val="000000"/>
          <w:sz w:val="24"/>
          <w:szCs w:val="24"/>
          <w:highlight w:val="none"/>
        </w:rPr>
      </w:pPr>
      <w:bookmarkStart w:id="22" w:name="_Toc65682917"/>
      <w:bookmarkStart w:id="23" w:name="_Toc32460"/>
      <w:r>
        <w:rPr>
          <w:rFonts w:hint="eastAsia" w:ascii="仿宋" w:hAnsi="仿宋" w:eastAsia="仿宋" w:cs="宋体"/>
          <w:sz w:val="24"/>
          <w:szCs w:val="24"/>
          <w:highlight w:val="none"/>
        </w:rPr>
        <w:t>本项目将进行资格后审，资格审查方法为合格制，资格审查标准和内容见招标文件第三章“评标办法”。未通过资格后审的投标人，投标将被否决。</w:t>
      </w:r>
    </w:p>
    <w:p w14:paraId="466B9E0B">
      <w:pPr>
        <w:pStyle w:val="5"/>
        <w:rPr>
          <w:rFonts w:ascii="仿宋" w:hAnsi="仿宋" w:cs="宋体"/>
          <w:color w:val="000000"/>
          <w:szCs w:val="24"/>
          <w:highlight w:val="none"/>
        </w:rPr>
      </w:pPr>
      <w:bookmarkStart w:id="24" w:name="_Toc109124227"/>
      <w:bookmarkStart w:id="25" w:name="_Toc11877"/>
      <w:r>
        <w:rPr>
          <w:rFonts w:hint="eastAsia" w:ascii="仿宋" w:hAnsi="仿宋" w:cs="宋体"/>
          <w:color w:val="000000"/>
          <w:szCs w:val="24"/>
          <w:highlight w:val="none"/>
        </w:rPr>
        <w:t>五、招标文件的获取</w:t>
      </w:r>
      <w:bookmarkEnd w:id="22"/>
      <w:bookmarkEnd w:id="23"/>
      <w:bookmarkEnd w:id="24"/>
      <w:bookmarkEnd w:id="25"/>
    </w:p>
    <w:p w14:paraId="715E8F9B">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000000"/>
          <w:sz w:val="24"/>
          <w:szCs w:val="24"/>
          <w:highlight w:val="none"/>
        </w:rPr>
        <w:t>5.1招标文件获取时间</w:t>
      </w:r>
      <w:r>
        <w:rPr>
          <w:rFonts w:hint="eastAsia" w:ascii="仿宋" w:hAnsi="仿宋" w:eastAsia="仿宋" w:cs="宋体"/>
          <w:sz w:val="24"/>
          <w:szCs w:val="24"/>
          <w:highlight w:val="none"/>
        </w:rPr>
        <w:t>：</w:t>
      </w:r>
      <w:r>
        <w:rPr>
          <w:rFonts w:hint="eastAsia" w:ascii="仿宋" w:hAnsi="仿宋" w:eastAsia="仿宋" w:cs="宋体"/>
          <w:b/>
          <w:sz w:val="24"/>
          <w:szCs w:val="24"/>
          <w:highlight w:val="none"/>
          <w:u w:val="single"/>
          <w:lang w:eastAsia="zh-CN"/>
        </w:rPr>
        <w:t>2026</w:t>
      </w:r>
      <w:r>
        <w:rPr>
          <w:rFonts w:hint="eastAsia" w:ascii="仿宋" w:hAnsi="仿宋" w:eastAsia="仿宋" w:cs="宋体"/>
          <w:b/>
          <w:sz w:val="24"/>
          <w:szCs w:val="24"/>
          <w:highlight w:val="none"/>
          <w:u w:val="single"/>
        </w:rPr>
        <w:t>年</w:t>
      </w:r>
      <w:r>
        <w:rPr>
          <w:rFonts w:hint="eastAsia" w:ascii="仿宋" w:hAnsi="仿宋" w:eastAsia="仿宋" w:cs="宋体"/>
          <w:b/>
          <w:sz w:val="24"/>
          <w:szCs w:val="24"/>
          <w:highlight w:val="none"/>
          <w:u w:val="single"/>
          <w:lang w:val="en-US" w:eastAsia="zh-CN"/>
        </w:rPr>
        <w:t>2</w:t>
      </w:r>
      <w:r>
        <w:rPr>
          <w:rFonts w:hint="eastAsia" w:ascii="仿宋" w:hAnsi="仿宋" w:eastAsia="仿宋" w:cs="宋体"/>
          <w:b/>
          <w:sz w:val="24"/>
          <w:szCs w:val="24"/>
          <w:highlight w:val="none"/>
          <w:u w:val="single"/>
        </w:rPr>
        <w:t>月</w:t>
      </w:r>
      <w:r>
        <w:rPr>
          <w:rFonts w:hint="eastAsia" w:ascii="仿宋" w:hAnsi="仿宋" w:eastAsia="仿宋" w:cs="宋体"/>
          <w:b/>
          <w:sz w:val="24"/>
          <w:szCs w:val="24"/>
          <w:highlight w:val="none"/>
          <w:u w:val="single"/>
          <w:lang w:val="en-US" w:eastAsia="zh-CN"/>
        </w:rPr>
        <w:t>24</w:t>
      </w:r>
      <w:r>
        <w:rPr>
          <w:rFonts w:hint="eastAsia" w:ascii="仿宋" w:hAnsi="仿宋" w:eastAsia="仿宋" w:cs="宋体"/>
          <w:b/>
          <w:sz w:val="24"/>
          <w:szCs w:val="24"/>
          <w:highlight w:val="none"/>
          <w:u w:val="single"/>
        </w:rPr>
        <w:t>日</w:t>
      </w:r>
      <w:r>
        <w:rPr>
          <w:rFonts w:hint="eastAsia" w:ascii="仿宋" w:hAnsi="仿宋" w:eastAsia="仿宋" w:cs="宋体"/>
          <w:b/>
          <w:sz w:val="24"/>
          <w:szCs w:val="24"/>
          <w:highlight w:val="none"/>
        </w:rPr>
        <w:t>至</w:t>
      </w:r>
      <w:r>
        <w:rPr>
          <w:rFonts w:hint="eastAsia" w:ascii="仿宋" w:hAnsi="仿宋" w:eastAsia="仿宋" w:cs="宋体"/>
          <w:b/>
          <w:sz w:val="24"/>
          <w:szCs w:val="24"/>
          <w:highlight w:val="none"/>
          <w:u w:val="single"/>
          <w:lang w:eastAsia="zh-CN"/>
        </w:rPr>
        <w:t>2026</w:t>
      </w:r>
      <w:r>
        <w:rPr>
          <w:rFonts w:hint="eastAsia" w:ascii="仿宋" w:hAnsi="仿宋" w:eastAsia="仿宋" w:cs="宋体"/>
          <w:b/>
          <w:sz w:val="24"/>
          <w:szCs w:val="24"/>
          <w:highlight w:val="none"/>
          <w:u w:val="single"/>
        </w:rPr>
        <w:t>年</w:t>
      </w:r>
      <w:r>
        <w:rPr>
          <w:rFonts w:hint="eastAsia" w:ascii="仿宋" w:hAnsi="仿宋" w:eastAsia="仿宋" w:cs="宋体"/>
          <w:b/>
          <w:sz w:val="24"/>
          <w:szCs w:val="24"/>
          <w:highlight w:val="none"/>
          <w:u w:val="single"/>
          <w:lang w:val="en-US" w:eastAsia="zh-CN"/>
        </w:rPr>
        <w:t>3</w:t>
      </w:r>
      <w:r>
        <w:rPr>
          <w:rFonts w:hint="eastAsia" w:ascii="仿宋" w:hAnsi="仿宋" w:eastAsia="仿宋" w:cs="宋体"/>
          <w:b/>
          <w:sz w:val="24"/>
          <w:szCs w:val="24"/>
          <w:highlight w:val="none"/>
          <w:u w:val="single"/>
        </w:rPr>
        <w:t>月</w:t>
      </w:r>
      <w:r>
        <w:rPr>
          <w:rFonts w:hint="eastAsia" w:ascii="仿宋" w:hAnsi="仿宋" w:eastAsia="仿宋" w:cs="宋体"/>
          <w:b/>
          <w:sz w:val="24"/>
          <w:szCs w:val="24"/>
          <w:highlight w:val="none"/>
          <w:u w:val="single"/>
          <w:lang w:val="en-US" w:eastAsia="zh-CN"/>
        </w:rPr>
        <w:t>2</w:t>
      </w:r>
      <w:r>
        <w:rPr>
          <w:rFonts w:hint="eastAsia" w:ascii="仿宋" w:hAnsi="仿宋" w:eastAsia="仿宋" w:cs="宋体"/>
          <w:b/>
          <w:sz w:val="24"/>
          <w:szCs w:val="24"/>
          <w:highlight w:val="none"/>
          <w:u w:val="single"/>
        </w:rPr>
        <w:t>日，</w:t>
      </w:r>
      <w:r>
        <w:rPr>
          <w:rFonts w:hint="eastAsia" w:ascii="仿宋" w:hAnsi="仿宋" w:eastAsia="仿宋" w:cs="宋体"/>
          <w:sz w:val="24"/>
          <w:szCs w:val="24"/>
          <w:highlight w:val="none"/>
        </w:rPr>
        <w:t>上午8时30分至11时30</w:t>
      </w:r>
      <w:r>
        <w:rPr>
          <w:rFonts w:hint="eastAsia" w:ascii="仿宋" w:hAnsi="仿宋" w:eastAsia="仿宋" w:cs="宋体"/>
          <w:color w:val="auto"/>
          <w:sz w:val="24"/>
          <w:szCs w:val="24"/>
          <w:highlight w:val="none"/>
        </w:rPr>
        <w:t>分，下午14时至17时（北京时间，下同）。</w:t>
      </w:r>
    </w:p>
    <w:p w14:paraId="37ADF129">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标书售价为每份人民币400元，采购文件售后不退。</w:t>
      </w:r>
    </w:p>
    <w:p w14:paraId="4D517782">
      <w:pPr>
        <w:spacing w:line="360" w:lineRule="auto"/>
        <w:ind w:firstLine="480" w:firstLineChars="200"/>
        <w:textAlignment w:val="baseline"/>
        <w:rPr>
          <w:rFonts w:ascii="仿宋" w:hAnsi="仿宋" w:eastAsia="仿宋" w:cs="宋体"/>
          <w:color w:val="000000"/>
          <w:sz w:val="24"/>
          <w:szCs w:val="24"/>
          <w:highlight w:val="none"/>
        </w:rPr>
      </w:pPr>
      <w:r>
        <w:rPr>
          <w:rFonts w:hint="eastAsia" w:ascii="仿宋" w:hAnsi="仿宋" w:eastAsia="仿宋" w:cs="宋体"/>
          <w:color w:val="auto"/>
          <w:sz w:val="24"/>
          <w:szCs w:val="24"/>
          <w:highlight w:val="none"/>
        </w:rPr>
        <w:t>5.2 我公司采购文件全部以电子文本形式出售；潜在投标人购买标书前需要在我公司网站免费注册，成功后才能正常购买（今后即可直接购买），注册程序详见网站</w:t>
      </w:r>
      <w:r>
        <w:rPr>
          <w:rFonts w:hint="eastAsia" w:ascii="仿宋" w:hAnsi="仿宋" w:eastAsia="仿宋" w:cs="宋体"/>
          <w:color w:val="000000"/>
          <w:sz w:val="24"/>
          <w:szCs w:val="24"/>
          <w:highlight w:val="none"/>
        </w:rPr>
        <w:t>首页要求，潜在投标人可通过网上或微信方式购买，网上方式购买：请登录我公司网站www.nbbidding.com，进入“招标公告”栏查询到本项目后进行操作；微信方式购买：关注微信公众号“宁波国招”，或扫码我公司网站首页公布的二维码。</w:t>
      </w:r>
    </w:p>
    <w:p w14:paraId="2D4B0F24">
      <w:pPr>
        <w:spacing w:line="360" w:lineRule="auto"/>
        <w:ind w:firstLine="480" w:firstLineChars="200"/>
        <w:textAlignment w:val="baseline"/>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标书费用的支付可选择微信或者支付宝。为了保护投标人信息，预防串通采购交易，规定同一支付人对同一个标项只能扫码支付一次，如多次支付，经查实只认定第一次支付有效，其后的支付一律无效，由此可能产生的后果由支付人自己承担。</w:t>
      </w:r>
    </w:p>
    <w:p w14:paraId="6E1064E9">
      <w:pPr>
        <w:spacing w:line="360" w:lineRule="auto"/>
        <w:ind w:firstLine="480" w:firstLineChars="200"/>
        <w:textAlignment w:val="baseline"/>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标书出售联系电话：0574-87386429。</w:t>
      </w:r>
    </w:p>
    <w:p w14:paraId="39A78F44">
      <w:pPr>
        <w:pStyle w:val="5"/>
        <w:rPr>
          <w:rFonts w:ascii="仿宋" w:hAnsi="仿宋" w:cs="宋体"/>
          <w:color w:val="000000"/>
          <w:highlight w:val="none"/>
        </w:rPr>
      </w:pPr>
      <w:bookmarkStart w:id="26" w:name="_Toc31250"/>
      <w:bookmarkStart w:id="27" w:name="_Toc109124228"/>
      <w:bookmarkStart w:id="28" w:name="_Toc7435"/>
      <w:r>
        <w:rPr>
          <w:rFonts w:hint="eastAsia" w:ascii="仿宋" w:hAnsi="仿宋" w:cs="宋体"/>
          <w:color w:val="000000"/>
          <w:highlight w:val="none"/>
        </w:rPr>
        <w:t>六、投标文件的递交</w:t>
      </w:r>
      <w:bookmarkEnd w:id="26"/>
      <w:bookmarkEnd w:id="27"/>
      <w:bookmarkEnd w:id="28"/>
    </w:p>
    <w:p w14:paraId="2C950BFF">
      <w:pPr>
        <w:spacing w:line="360" w:lineRule="auto"/>
        <w:ind w:firstLine="480" w:firstLineChars="200"/>
        <w:textAlignment w:val="baseline"/>
        <w:rPr>
          <w:rFonts w:ascii="仿宋" w:hAnsi="仿宋" w:eastAsia="仿宋" w:cs="宋体"/>
          <w:sz w:val="24"/>
          <w:szCs w:val="24"/>
          <w:highlight w:val="none"/>
        </w:rPr>
      </w:pPr>
      <w:r>
        <w:rPr>
          <w:rFonts w:hint="eastAsia" w:ascii="仿宋" w:hAnsi="仿宋" w:eastAsia="仿宋" w:cs="宋体"/>
          <w:color w:val="000000"/>
          <w:sz w:val="24"/>
          <w:szCs w:val="24"/>
          <w:highlight w:val="none"/>
        </w:rPr>
        <w:t>6.1投标文件递交截止时间：</w:t>
      </w:r>
      <w:r>
        <w:rPr>
          <w:rFonts w:hint="eastAsia" w:ascii="仿宋" w:hAnsi="仿宋" w:eastAsia="仿宋" w:cs="宋体"/>
          <w:sz w:val="24"/>
          <w:szCs w:val="24"/>
          <w:highlight w:val="none"/>
          <w:u w:val="single"/>
          <w:lang w:eastAsia="zh-CN"/>
        </w:rPr>
        <w:t>2026</w:t>
      </w:r>
      <w:r>
        <w:rPr>
          <w:rFonts w:hint="eastAsia" w:ascii="仿宋" w:hAnsi="仿宋" w:eastAsia="仿宋" w:cs="宋体"/>
          <w:sz w:val="24"/>
          <w:szCs w:val="24"/>
          <w:highlight w:val="none"/>
          <w:u w:val="single"/>
        </w:rPr>
        <w:t>年</w:t>
      </w:r>
      <w:r>
        <w:rPr>
          <w:rFonts w:hint="eastAsia" w:ascii="仿宋" w:hAnsi="仿宋" w:eastAsia="仿宋" w:cs="宋体"/>
          <w:sz w:val="24"/>
          <w:szCs w:val="24"/>
          <w:highlight w:val="none"/>
          <w:u w:val="single"/>
          <w:lang w:val="en-US" w:eastAsia="zh-CN"/>
        </w:rPr>
        <w:t>3</w:t>
      </w:r>
      <w:r>
        <w:rPr>
          <w:rFonts w:hint="eastAsia" w:ascii="仿宋" w:hAnsi="仿宋" w:eastAsia="仿宋" w:cs="宋体"/>
          <w:sz w:val="24"/>
          <w:szCs w:val="24"/>
          <w:highlight w:val="none"/>
          <w:u w:val="single"/>
        </w:rPr>
        <w:t>月</w:t>
      </w:r>
      <w:r>
        <w:rPr>
          <w:rFonts w:hint="eastAsia" w:ascii="仿宋" w:hAnsi="仿宋" w:eastAsia="仿宋" w:cs="宋体"/>
          <w:sz w:val="24"/>
          <w:szCs w:val="24"/>
          <w:highlight w:val="none"/>
          <w:u w:val="single"/>
          <w:lang w:val="en-US" w:eastAsia="zh-CN"/>
        </w:rPr>
        <w:t>17</w:t>
      </w:r>
      <w:r>
        <w:rPr>
          <w:rFonts w:hint="eastAsia" w:ascii="仿宋" w:hAnsi="仿宋" w:eastAsia="仿宋" w:cs="宋体"/>
          <w:sz w:val="24"/>
          <w:szCs w:val="24"/>
          <w:highlight w:val="none"/>
          <w:u w:val="single"/>
        </w:rPr>
        <w:t>日</w:t>
      </w:r>
      <w:r>
        <w:rPr>
          <w:rFonts w:hint="eastAsia" w:ascii="仿宋" w:hAnsi="仿宋" w:eastAsia="仿宋" w:cs="宋体"/>
          <w:sz w:val="24"/>
          <w:szCs w:val="24"/>
          <w:highlight w:val="none"/>
          <w:u w:val="single"/>
          <w:lang w:val="en-US" w:eastAsia="zh-CN"/>
        </w:rPr>
        <w:t>9</w:t>
      </w:r>
      <w:r>
        <w:rPr>
          <w:rFonts w:hint="eastAsia" w:ascii="仿宋" w:hAnsi="仿宋" w:eastAsia="仿宋" w:cs="宋体"/>
          <w:sz w:val="24"/>
          <w:szCs w:val="24"/>
          <w:highlight w:val="none"/>
          <w:u w:val="single"/>
        </w:rPr>
        <w:t>时</w:t>
      </w:r>
      <w:r>
        <w:rPr>
          <w:rFonts w:hint="eastAsia" w:ascii="仿宋" w:hAnsi="仿宋" w:eastAsia="仿宋" w:cs="宋体"/>
          <w:sz w:val="24"/>
          <w:szCs w:val="24"/>
          <w:highlight w:val="none"/>
          <w:u w:val="single"/>
          <w:lang w:val="en-US" w:eastAsia="zh-CN"/>
        </w:rPr>
        <w:t>3</w:t>
      </w:r>
      <w:r>
        <w:rPr>
          <w:rFonts w:hint="eastAsia" w:ascii="仿宋" w:hAnsi="仿宋" w:eastAsia="仿宋" w:cs="宋体"/>
          <w:sz w:val="24"/>
          <w:szCs w:val="24"/>
          <w:highlight w:val="none"/>
          <w:u w:val="single"/>
        </w:rPr>
        <w:t>0分00秒</w:t>
      </w:r>
      <w:r>
        <w:rPr>
          <w:rFonts w:hint="eastAsia" w:ascii="仿宋" w:hAnsi="仿宋" w:eastAsia="仿宋" w:cs="宋体"/>
          <w:sz w:val="24"/>
          <w:szCs w:val="24"/>
          <w:highlight w:val="none"/>
        </w:rPr>
        <w:t>。</w:t>
      </w:r>
    </w:p>
    <w:p w14:paraId="3A99D30F">
      <w:pPr>
        <w:spacing w:line="360" w:lineRule="auto"/>
        <w:ind w:firstLine="480" w:firstLineChars="200"/>
        <w:textAlignment w:val="baseline"/>
        <w:rPr>
          <w:rFonts w:ascii="仿宋" w:hAnsi="仿宋" w:eastAsia="仿宋" w:cs="宋体"/>
          <w:b/>
          <w:bCs/>
          <w:color w:val="000000"/>
          <w:sz w:val="24"/>
          <w:szCs w:val="24"/>
          <w:highlight w:val="none"/>
        </w:rPr>
      </w:pPr>
      <w:r>
        <w:rPr>
          <w:rFonts w:hint="eastAsia" w:ascii="仿宋" w:hAnsi="仿宋" w:eastAsia="仿宋" w:cs="宋体"/>
          <w:color w:val="000000"/>
          <w:sz w:val="24"/>
          <w:szCs w:val="24"/>
          <w:highlight w:val="none"/>
        </w:rPr>
        <w:t>6.2投标文件递交地点：</w:t>
      </w:r>
      <w:bookmarkStart w:id="29" w:name="_Toc109124229"/>
      <w:bookmarkStart w:id="30" w:name="_Toc3941"/>
      <w:r>
        <w:rPr>
          <w:rFonts w:hint="eastAsia" w:ascii="仿宋" w:hAnsi="仿宋" w:eastAsia="仿宋" w:cs="宋体"/>
          <w:color w:val="000000"/>
          <w:sz w:val="24"/>
          <w:szCs w:val="24"/>
          <w:highlight w:val="none"/>
        </w:rPr>
        <w:t>递交截止时间前将通过投标文件制作工具将按要求制作完成并加密后的电子投标文件上传到电子招标平台。电子投标文件制作说明详见采购文件第二章。</w:t>
      </w:r>
    </w:p>
    <w:p w14:paraId="58D859F8">
      <w:pPr>
        <w:spacing w:line="360" w:lineRule="auto"/>
        <w:ind w:firstLine="480" w:firstLineChars="200"/>
        <w:textAlignment w:val="baseline"/>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6.3</w:t>
      </w:r>
      <w:r>
        <w:rPr>
          <w:rFonts w:hint="eastAsia" w:ascii="仿宋" w:hAnsi="仿宋" w:eastAsia="仿宋" w:cs="宋体"/>
          <w:b/>
          <w:bCs/>
          <w:color w:val="000000"/>
          <w:sz w:val="24"/>
          <w:szCs w:val="24"/>
          <w:highlight w:val="none"/>
        </w:rPr>
        <w:t>解密（开标）地址：</w:t>
      </w:r>
      <w:r>
        <w:rPr>
          <w:rFonts w:hint="eastAsia" w:ascii="仿宋" w:hAnsi="仿宋" w:eastAsia="仿宋" w:cs="宋体"/>
          <w:color w:val="000000"/>
          <w:sz w:val="24"/>
          <w:szCs w:val="24"/>
          <w:highlight w:val="none"/>
        </w:rPr>
        <w:t>宁波市国际招标有限公司网上开标大厅网址：http://www.nbbidding.com/User/remote（也可从投标文件设置工具中进入网上开标大厅），宁波市国际招标有限公司开标大厅（二）（宁波市江北区环城北路西段207弄19号世茂茂悦商业中心1号楼七楼招投标会议中心）。</w:t>
      </w:r>
    </w:p>
    <w:p w14:paraId="39E6C346">
      <w:pPr>
        <w:spacing w:line="360" w:lineRule="auto"/>
        <w:ind w:firstLine="480" w:firstLineChars="200"/>
        <w:textAlignment w:val="baseline"/>
        <w:rPr>
          <w:highlight w:val="none"/>
        </w:rPr>
      </w:pPr>
      <w:r>
        <w:rPr>
          <w:rFonts w:hint="eastAsia" w:ascii="仿宋" w:hAnsi="仿宋" w:eastAsia="仿宋" w:cs="宋体"/>
          <w:color w:val="000000"/>
          <w:sz w:val="24"/>
          <w:szCs w:val="24"/>
          <w:highlight w:val="none"/>
        </w:rPr>
        <w:t>6.4</w:t>
      </w:r>
      <w:r>
        <w:rPr>
          <w:rFonts w:hint="eastAsia" w:ascii="仿宋" w:hAnsi="仿宋" w:eastAsia="仿宋" w:cs="宋体"/>
          <w:b/>
          <w:bCs/>
          <w:color w:val="000000"/>
          <w:sz w:val="24"/>
          <w:szCs w:val="24"/>
          <w:highlight w:val="none"/>
        </w:rPr>
        <w:t>解密（开启）时间：</w:t>
      </w:r>
      <w:r>
        <w:rPr>
          <w:rFonts w:hint="eastAsia" w:ascii="仿宋" w:hAnsi="仿宋" w:eastAsia="仿宋" w:cs="宋体"/>
          <w:sz w:val="24"/>
          <w:szCs w:val="24"/>
          <w:highlight w:val="none"/>
          <w:u w:val="single"/>
          <w:lang w:eastAsia="zh-CN"/>
        </w:rPr>
        <w:t>2026</w:t>
      </w:r>
      <w:r>
        <w:rPr>
          <w:rFonts w:hint="eastAsia" w:ascii="仿宋" w:hAnsi="仿宋" w:eastAsia="仿宋" w:cs="宋体"/>
          <w:sz w:val="24"/>
          <w:szCs w:val="24"/>
          <w:highlight w:val="none"/>
          <w:u w:val="single"/>
        </w:rPr>
        <w:t>年</w:t>
      </w:r>
      <w:r>
        <w:rPr>
          <w:rFonts w:hint="eastAsia" w:ascii="仿宋" w:hAnsi="仿宋" w:eastAsia="仿宋" w:cs="宋体"/>
          <w:sz w:val="24"/>
          <w:szCs w:val="24"/>
          <w:highlight w:val="none"/>
          <w:u w:val="single"/>
          <w:lang w:val="en-US" w:eastAsia="zh-CN"/>
        </w:rPr>
        <w:t>3</w:t>
      </w:r>
      <w:r>
        <w:rPr>
          <w:rFonts w:hint="eastAsia" w:ascii="仿宋" w:hAnsi="仿宋" w:eastAsia="仿宋" w:cs="宋体"/>
          <w:sz w:val="24"/>
          <w:szCs w:val="24"/>
          <w:highlight w:val="none"/>
          <w:u w:val="single"/>
        </w:rPr>
        <w:t>月</w:t>
      </w:r>
      <w:r>
        <w:rPr>
          <w:rFonts w:hint="eastAsia" w:ascii="仿宋" w:hAnsi="仿宋" w:eastAsia="仿宋" w:cs="宋体"/>
          <w:sz w:val="24"/>
          <w:szCs w:val="24"/>
          <w:highlight w:val="none"/>
          <w:u w:val="single"/>
          <w:lang w:val="en-US" w:eastAsia="zh-CN"/>
        </w:rPr>
        <w:t>17</w:t>
      </w:r>
      <w:r>
        <w:rPr>
          <w:rFonts w:hint="eastAsia" w:ascii="仿宋" w:hAnsi="仿宋" w:eastAsia="仿宋" w:cs="宋体"/>
          <w:sz w:val="24"/>
          <w:szCs w:val="24"/>
          <w:highlight w:val="none"/>
          <w:u w:val="single"/>
        </w:rPr>
        <w:t>日</w:t>
      </w:r>
      <w:r>
        <w:rPr>
          <w:rFonts w:hint="eastAsia" w:ascii="仿宋" w:hAnsi="仿宋" w:eastAsia="仿宋" w:cs="宋体"/>
          <w:sz w:val="24"/>
          <w:szCs w:val="24"/>
          <w:highlight w:val="none"/>
          <w:u w:val="single"/>
          <w:lang w:val="en-US" w:eastAsia="zh-CN"/>
        </w:rPr>
        <w:t>9</w:t>
      </w:r>
      <w:r>
        <w:rPr>
          <w:rFonts w:hint="eastAsia" w:ascii="仿宋" w:hAnsi="仿宋" w:eastAsia="仿宋" w:cs="宋体"/>
          <w:sz w:val="24"/>
          <w:szCs w:val="24"/>
          <w:highlight w:val="none"/>
          <w:u w:val="single"/>
        </w:rPr>
        <w:t>时</w:t>
      </w:r>
      <w:r>
        <w:rPr>
          <w:rFonts w:hint="eastAsia" w:ascii="仿宋" w:hAnsi="仿宋" w:eastAsia="仿宋" w:cs="宋体"/>
          <w:sz w:val="24"/>
          <w:szCs w:val="24"/>
          <w:highlight w:val="none"/>
          <w:u w:val="single"/>
          <w:lang w:val="en-US" w:eastAsia="zh-CN"/>
        </w:rPr>
        <w:t>3</w:t>
      </w:r>
      <w:r>
        <w:rPr>
          <w:rFonts w:hint="eastAsia" w:ascii="仿宋" w:hAnsi="仿宋" w:eastAsia="仿宋" w:cs="宋体"/>
          <w:sz w:val="24"/>
          <w:szCs w:val="24"/>
          <w:highlight w:val="none"/>
          <w:u w:val="single"/>
        </w:rPr>
        <w:t>0分00秒</w:t>
      </w:r>
      <w:r>
        <w:rPr>
          <w:rFonts w:hint="eastAsia" w:ascii="仿宋" w:hAnsi="仿宋" w:eastAsia="仿宋" w:cs="宋体"/>
          <w:color w:val="000000"/>
          <w:sz w:val="24"/>
          <w:szCs w:val="24"/>
          <w:highlight w:val="none"/>
        </w:rPr>
        <w:t>（北京时间），解密期限为解密（开启）时间起30分钟内。投标人自行准备电脑登陆网上开标大厅使用CA进行解密并查看开标信息。</w:t>
      </w:r>
    </w:p>
    <w:p w14:paraId="0EE2716B">
      <w:pPr>
        <w:spacing w:line="360" w:lineRule="auto"/>
        <w:ind w:firstLine="480" w:firstLineChars="200"/>
        <w:textAlignment w:val="baseline"/>
        <w:rPr>
          <w:rFonts w:ascii="仿宋" w:hAnsi="仿宋" w:eastAsia="仿宋" w:cs="宋体"/>
          <w:b/>
          <w:bCs/>
          <w:color w:val="000000"/>
          <w:sz w:val="24"/>
          <w:szCs w:val="24"/>
          <w:highlight w:val="none"/>
        </w:rPr>
      </w:pPr>
      <w:r>
        <w:rPr>
          <w:rFonts w:hint="eastAsia" w:ascii="仿宋" w:hAnsi="仿宋" w:eastAsia="仿宋" w:cs="宋体"/>
          <w:color w:val="000000"/>
          <w:sz w:val="24"/>
          <w:szCs w:val="24"/>
          <w:highlight w:val="none"/>
        </w:rPr>
        <w:t>6.5</w:t>
      </w:r>
      <w:r>
        <w:rPr>
          <w:rFonts w:hint="eastAsia" w:ascii="仿宋" w:hAnsi="仿宋" w:eastAsia="仿宋" w:cs="宋体"/>
          <w:b/>
          <w:bCs/>
          <w:color w:val="000000"/>
          <w:sz w:val="24"/>
          <w:szCs w:val="24"/>
          <w:highlight w:val="none"/>
        </w:rPr>
        <w:t>出现以下情形之一时，招标人/招标代理机构不予接收投标文件：</w:t>
      </w:r>
    </w:p>
    <w:p w14:paraId="00903071">
      <w:pPr>
        <w:spacing w:line="360" w:lineRule="auto"/>
        <w:ind w:firstLine="480" w:firstLineChars="200"/>
        <w:textAlignment w:val="baseline"/>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6.5.1未按照招标公告要求获取招标文件的；</w:t>
      </w:r>
    </w:p>
    <w:p w14:paraId="277AF473">
      <w:pPr>
        <w:spacing w:line="360" w:lineRule="auto"/>
        <w:ind w:firstLine="480" w:firstLineChars="200"/>
        <w:textAlignment w:val="baseline"/>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6.5.2未按照招标公告要求将投标文件上传电子招标平台的。</w:t>
      </w:r>
    </w:p>
    <w:p w14:paraId="4BF5BCC5">
      <w:pPr>
        <w:pStyle w:val="5"/>
        <w:rPr>
          <w:rFonts w:ascii="仿宋" w:hAnsi="仿宋" w:cs="宋体"/>
          <w:color w:val="000000"/>
          <w:highlight w:val="none"/>
        </w:rPr>
      </w:pPr>
      <w:bookmarkStart w:id="31" w:name="_Toc23758"/>
      <w:r>
        <w:rPr>
          <w:rFonts w:hint="eastAsia" w:ascii="仿宋" w:hAnsi="仿宋" w:cs="宋体"/>
          <w:color w:val="000000"/>
          <w:highlight w:val="none"/>
        </w:rPr>
        <w:t>七、发布公告的媒介</w:t>
      </w:r>
      <w:bookmarkEnd w:id="29"/>
      <w:bookmarkEnd w:id="30"/>
      <w:bookmarkEnd w:id="31"/>
    </w:p>
    <w:p w14:paraId="2937DA86">
      <w:pPr>
        <w:spacing w:line="360" w:lineRule="auto"/>
        <w:ind w:firstLine="480" w:firstLineChars="200"/>
        <w:textAlignment w:val="baseline"/>
        <w:rPr>
          <w:rFonts w:ascii="仿宋" w:hAnsi="仿宋" w:eastAsia="仿宋" w:cs="宋体"/>
          <w:color w:val="000000"/>
          <w:sz w:val="24"/>
          <w:szCs w:val="24"/>
          <w:highlight w:val="none"/>
        </w:rPr>
      </w:pPr>
      <w:r>
        <w:rPr>
          <w:rFonts w:hint="eastAsia" w:ascii="仿宋" w:hAnsi="仿宋" w:eastAsia="仿宋" w:cs="宋体"/>
          <w:sz w:val="24"/>
          <w:szCs w:val="24"/>
          <w:highlight w:val="none"/>
        </w:rPr>
        <w:t>本项目招标公告同时在</w:t>
      </w:r>
      <w:r>
        <w:rPr>
          <w:rFonts w:hint="eastAsia" w:ascii="仿宋" w:hAnsi="仿宋" w:eastAsia="仿宋" w:cs="仿宋"/>
          <w:kern w:val="2"/>
          <w:sz w:val="24"/>
          <w:szCs w:val="24"/>
          <w:u w:val="single"/>
        </w:rPr>
        <w:t>“人保e采”外网门户（https://ec.picc.com/）、金采网(www.cfcpn.com)、中国采购与招标网（https://www.chinabidding.com.cn/）、宁波市国际招标有限公司网站（http://www.nbbidding.com/）</w:t>
      </w:r>
      <w:r>
        <w:rPr>
          <w:rFonts w:hint="eastAsia" w:ascii="仿宋" w:hAnsi="仿宋" w:eastAsia="仿宋" w:cs="宋体"/>
          <w:sz w:val="24"/>
          <w:szCs w:val="24"/>
          <w:highlight w:val="none"/>
        </w:rPr>
        <w:t>上发布，除上述外，招标人/招标</w:t>
      </w:r>
      <w:r>
        <w:rPr>
          <w:rFonts w:hint="eastAsia" w:ascii="仿宋" w:hAnsi="仿宋" w:eastAsia="仿宋" w:cs="宋体"/>
          <w:color w:val="000000"/>
          <w:sz w:val="24"/>
          <w:szCs w:val="24"/>
          <w:highlight w:val="none"/>
        </w:rPr>
        <w:t>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23640EF0">
      <w:pPr>
        <w:pStyle w:val="5"/>
        <w:rPr>
          <w:rFonts w:ascii="仿宋" w:hAnsi="仿宋" w:cs="宋体"/>
          <w:color w:val="000000"/>
          <w:highlight w:val="none"/>
        </w:rPr>
      </w:pPr>
      <w:bookmarkStart w:id="32" w:name="_Toc7046"/>
      <w:bookmarkStart w:id="33" w:name="_Toc24187"/>
      <w:bookmarkStart w:id="34" w:name="_Toc109124230"/>
      <w:bookmarkStart w:id="35" w:name="_Toc20415"/>
      <w:bookmarkStart w:id="36" w:name="_Toc24589"/>
      <w:bookmarkStart w:id="37" w:name="_Toc26408"/>
      <w:r>
        <w:rPr>
          <w:rFonts w:hint="eastAsia" w:ascii="仿宋" w:hAnsi="仿宋" w:cs="宋体"/>
          <w:color w:val="000000"/>
          <w:highlight w:val="none"/>
        </w:rPr>
        <w:t>八、注意事项</w:t>
      </w:r>
    </w:p>
    <w:p w14:paraId="19813C87">
      <w:pPr>
        <w:spacing w:line="360" w:lineRule="auto"/>
        <w:ind w:firstLine="480" w:firstLineChars="200"/>
        <w:textAlignment w:val="baseline"/>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投标前准备：</w:t>
      </w:r>
    </w:p>
    <w:p w14:paraId="1DDECF5F">
      <w:pPr>
        <w:spacing w:line="360" w:lineRule="auto"/>
        <w:ind w:firstLine="480" w:firstLineChars="200"/>
        <w:textAlignment w:val="baseline"/>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各投标人应在提交截止时间前确保成为宁波市国际招标有限公司（公司网站www.nbbidding.com）注册投标人，并完成CA数字证书办理。CA网上申领地址：http://www.nbbidding.com/Home/Index/ca_apply，申领费用：500元/个（不含邮寄费用），有效期一年。</w:t>
      </w:r>
    </w:p>
    <w:p w14:paraId="51628F2C">
      <w:pPr>
        <w:spacing w:line="360" w:lineRule="auto"/>
        <w:ind w:firstLine="480" w:firstLineChars="200"/>
        <w:textAlignment w:val="baseline"/>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完成CA数字证书办理预计2个工作日（不含邮寄在途时间，邮寄费用自理），请投标人自行把握时间及时办理以免错过响应。因未注册、未及时办理CA数字证书等原因造成无法投标或投标失败等后果由投标人自行承担。</w:t>
      </w:r>
    </w:p>
    <w:p w14:paraId="65E27216">
      <w:pPr>
        <w:spacing w:line="360" w:lineRule="auto"/>
        <w:ind w:firstLine="480" w:firstLineChars="200"/>
        <w:textAlignment w:val="baseline"/>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电子投标文件设置上传中过程遇到问题请联系咨询热线：0574-87228339，QQ号：993233509。（服务时间：工作日8：30-11:30 13:30-18:00）</w:t>
      </w:r>
    </w:p>
    <w:p w14:paraId="70DFEDCB">
      <w:pPr>
        <w:spacing w:line="360" w:lineRule="auto"/>
        <w:ind w:firstLine="480" w:firstLineChars="200"/>
        <w:textAlignment w:val="baseline"/>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CA办理及使用过程中遇到问题联系：天威诚信公司，电话：18268583907（服务时间：工作日8：30-11:30 13:30-17:30）</w:t>
      </w:r>
    </w:p>
    <w:p w14:paraId="42881E02">
      <w:pPr>
        <w:spacing w:line="360" w:lineRule="auto"/>
        <w:ind w:firstLine="480" w:firstLineChars="200"/>
        <w:textAlignment w:val="baseline"/>
        <w:rPr>
          <w:rFonts w:ascii="仿宋" w:hAnsi="仿宋" w:eastAsia="仿宋" w:cs="宋体"/>
          <w:color w:val="000000"/>
          <w:sz w:val="24"/>
          <w:szCs w:val="24"/>
          <w:highlight w:val="none"/>
        </w:rPr>
      </w:pPr>
    </w:p>
    <w:p w14:paraId="538D9038">
      <w:pPr>
        <w:pStyle w:val="5"/>
        <w:rPr>
          <w:rFonts w:ascii="仿宋" w:hAnsi="仿宋" w:cs="宋体"/>
          <w:color w:val="000000"/>
          <w:highlight w:val="none"/>
        </w:rPr>
      </w:pPr>
      <w:r>
        <w:rPr>
          <w:rFonts w:hint="eastAsia" w:ascii="仿宋" w:hAnsi="仿宋" w:cs="宋体"/>
          <w:color w:val="000000"/>
          <w:highlight w:val="none"/>
        </w:rPr>
        <w:t>九、联系方式</w:t>
      </w:r>
      <w:bookmarkEnd w:id="32"/>
      <w:bookmarkEnd w:id="33"/>
      <w:bookmarkEnd w:id="34"/>
      <w:bookmarkEnd w:id="35"/>
      <w:bookmarkEnd w:id="36"/>
      <w:bookmarkEnd w:id="37"/>
    </w:p>
    <w:p w14:paraId="7FEBE50E">
      <w:pPr>
        <w:spacing w:line="360" w:lineRule="auto"/>
        <w:ind w:firstLine="480" w:firstLineChars="200"/>
        <w:textAlignment w:val="baseline"/>
        <w:rPr>
          <w:rFonts w:hint="default" w:ascii="仿宋" w:hAnsi="仿宋" w:eastAsia="仿宋" w:cs="宋体"/>
          <w:sz w:val="24"/>
          <w:szCs w:val="24"/>
          <w:highlight w:val="none"/>
          <w:lang w:val="en-US" w:eastAsia="zh-CN"/>
        </w:rPr>
      </w:pPr>
      <w:r>
        <w:rPr>
          <w:rFonts w:hint="default" w:ascii="仿宋" w:hAnsi="仿宋" w:eastAsia="仿宋" w:cs="宋体"/>
          <w:sz w:val="24"/>
          <w:szCs w:val="24"/>
          <w:highlight w:val="none"/>
          <w:lang w:val="en-US" w:eastAsia="zh-CN"/>
        </w:rPr>
        <w:t>名    称：</w:t>
      </w:r>
      <w:r>
        <w:rPr>
          <w:rFonts w:hint="eastAsia" w:ascii="仿宋" w:hAnsi="仿宋" w:eastAsia="仿宋" w:cs="宋体"/>
          <w:sz w:val="24"/>
          <w:szCs w:val="24"/>
          <w:highlight w:val="none"/>
          <w:lang w:val="en-US" w:eastAsia="zh-CN"/>
        </w:rPr>
        <w:t>中国人民财产保险股份有限公司宁波市分公司工会委员会</w:t>
      </w:r>
    </w:p>
    <w:p w14:paraId="3DBF3060">
      <w:pPr>
        <w:spacing w:line="360" w:lineRule="auto"/>
        <w:ind w:firstLine="480" w:firstLineChars="200"/>
        <w:textAlignment w:val="baseline"/>
        <w:rPr>
          <w:rFonts w:hint="default" w:ascii="仿宋" w:hAnsi="仿宋" w:eastAsia="仿宋" w:cs="宋体"/>
          <w:sz w:val="24"/>
          <w:szCs w:val="24"/>
          <w:highlight w:val="none"/>
          <w:lang w:val="en-US" w:eastAsia="zh-CN"/>
        </w:rPr>
      </w:pPr>
      <w:r>
        <w:rPr>
          <w:rFonts w:hint="default" w:ascii="仿宋" w:hAnsi="仿宋" w:eastAsia="仿宋" w:cs="宋体"/>
          <w:sz w:val="24"/>
          <w:szCs w:val="24"/>
          <w:highlight w:val="none"/>
          <w:lang w:val="en-US" w:eastAsia="zh-CN"/>
        </w:rPr>
        <w:t>地    址：宁波市海曙区大来街人保大厦</w:t>
      </w:r>
    </w:p>
    <w:p w14:paraId="6A306056">
      <w:pPr>
        <w:spacing w:line="360" w:lineRule="auto"/>
        <w:ind w:firstLine="480" w:firstLineChars="200"/>
        <w:textAlignment w:val="baseline"/>
        <w:rPr>
          <w:rFonts w:hint="default" w:ascii="仿宋" w:hAnsi="仿宋" w:eastAsia="仿宋" w:cs="宋体"/>
          <w:sz w:val="24"/>
          <w:szCs w:val="24"/>
          <w:highlight w:val="none"/>
          <w:lang w:val="en-US" w:eastAsia="zh-CN"/>
        </w:rPr>
      </w:pPr>
      <w:r>
        <w:rPr>
          <w:rFonts w:hint="default" w:ascii="仿宋" w:hAnsi="仿宋" w:eastAsia="仿宋" w:cs="宋体"/>
          <w:sz w:val="24"/>
          <w:szCs w:val="24"/>
          <w:highlight w:val="none"/>
          <w:lang w:val="en-US" w:eastAsia="zh-CN"/>
        </w:rPr>
        <w:t>联系人：林女士</w:t>
      </w:r>
    </w:p>
    <w:p w14:paraId="3CA24A22">
      <w:pPr>
        <w:spacing w:line="360" w:lineRule="auto"/>
        <w:ind w:firstLine="480" w:firstLineChars="200"/>
        <w:textAlignment w:val="baseline"/>
        <w:rPr>
          <w:rFonts w:hint="default" w:ascii="仿宋" w:hAnsi="仿宋" w:eastAsia="仿宋" w:cs="宋体"/>
          <w:sz w:val="24"/>
          <w:szCs w:val="24"/>
          <w:highlight w:val="none"/>
          <w:lang w:val="en-US" w:eastAsia="zh-CN"/>
        </w:rPr>
      </w:pPr>
      <w:r>
        <w:rPr>
          <w:rFonts w:hint="default" w:ascii="仿宋" w:hAnsi="仿宋" w:eastAsia="仿宋" w:cs="宋体"/>
          <w:sz w:val="24"/>
          <w:szCs w:val="24"/>
          <w:highlight w:val="none"/>
          <w:lang w:val="en-US" w:eastAsia="zh-CN"/>
        </w:rPr>
        <w:t>联系电话：0574-81853009</w:t>
      </w:r>
    </w:p>
    <w:p w14:paraId="2DB39D84">
      <w:pPr>
        <w:spacing w:line="360" w:lineRule="auto"/>
        <w:ind w:firstLine="480" w:firstLineChars="200"/>
        <w:textAlignment w:val="baseline"/>
        <w:rPr>
          <w:rFonts w:hint="default" w:ascii="仿宋" w:hAnsi="仿宋" w:eastAsia="仿宋" w:cs="宋体"/>
          <w:sz w:val="24"/>
          <w:szCs w:val="24"/>
          <w:highlight w:val="none"/>
          <w:lang w:val="en-US" w:eastAsia="zh-CN"/>
        </w:rPr>
      </w:pPr>
      <w:r>
        <w:rPr>
          <w:rFonts w:hint="default" w:ascii="仿宋" w:hAnsi="仿宋" w:eastAsia="仿宋" w:cs="宋体"/>
          <w:sz w:val="24"/>
          <w:szCs w:val="24"/>
          <w:highlight w:val="none"/>
          <w:lang w:val="en-US" w:eastAsia="zh-CN"/>
        </w:rPr>
        <w:t>受理异议的联系人：</w:t>
      </w:r>
      <w:r>
        <w:rPr>
          <w:rFonts w:hint="eastAsia" w:ascii="仿宋" w:hAnsi="仿宋" w:eastAsia="仿宋" w:cs="宋体"/>
          <w:sz w:val="24"/>
          <w:szCs w:val="24"/>
          <w:highlight w:val="none"/>
          <w:lang w:val="en-US" w:eastAsia="zh-CN"/>
        </w:rPr>
        <w:t>丁</w:t>
      </w:r>
      <w:r>
        <w:rPr>
          <w:rFonts w:hint="default" w:ascii="仿宋" w:hAnsi="仿宋" w:eastAsia="仿宋" w:cs="宋体"/>
          <w:sz w:val="24"/>
          <w:szCs w:val="24"/>
          <w:highlight w:val="none"/>
          <w:lang w:val="en-US" w:eastAsia="zh-CN"/>
        </w:rPr>
        <w:t>女士</w:t>
      </w:r>
    </w:p>
    <w:p w14:paraId="1E7A9BC2">
      <w:pPr>
        <w:spacing w:line="360" w:lineRule="auto"/>
        <w:ind w:firstLine="480" w:firstLineChars="200"/>
        <w:textAlignment w:val="baseline"/>
        <w:rPr>
          <w:rFonts w:hint="default" w:ascii="仿宋" w:hAnsi="仿宋" w:eastAsia="仿宋" w:cs="宋体"/>
          <w:sz w:val="24"/>
          <w:szCs w:val="24"/>
          <w:highlight w:val="none"/>
          <w:lang w:val="en-US" w:eastAsia="zh-CN"/>
        </w:rPr>
      </w:pPr>
      <w:r>
        <w:rPr>
          <w:rFonts w:hint="default" w:ascii="仿宋" w:hAnsi="仿宋" w:eastAsia="仿宋" w:cs="宋体"/>
          <w:sz w:val="24"/>
          <w:szCs w:val="24"/>
          <w:highlight w:val="none"/>
          <w:lang w:val="en-US" w:eastAsia="zh-CN"/>
        </w:rPr>
        <w:t>联系方式：0574-</w:t>
      </w:r>
      <w:r>
        <w:rPr>
          <w:rFonts w:hint="eastAsia" w:ascii="仿宋" w:hAnsi="仿宋" w:eastAsia="仿宋" w:cs="宋体"/>
          <w:sz w:val="24"/>
          <w:szCs w:val="24"/>
          <w:highlight w:val="none"/>
          <w:lang w:val="en-US" w:eastAsia="zh-CN"/>
        </w:rPr>
        <w:t>81853109</w:t>
      </w:r>
    </w:p>
    <w:p w14:paraId="72730303">
      <w:pPr>
        <w:spacing w:line="360" w:lineRule="auto"/>
        <w:ind w:firstLine="420"/>
        <w:rPr>
          <w:rFonts w:ascii="仿宋" w:hAnsi="仿宋" w:eastAsia="仿宋" w:cs="宋体"/>
          <w:color w:val="000000"/>
          <w:sz w:val="24"/>
          <w:szCs w:val="24"/>
          <w:highlight w:val="none"/>
        </w:rPr>
      </w:pPr>
    </w:p>
    <w:p w14:paraId="244D0D2B">
      <w:pPr>
        <w:spacing w:line="360" w:lineRule="auto"/>
        <w:ind w:firstLine="420"/>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招标代理机构名称：宁波市国际招标有限公司</w:t>
      </w:r>
    </w:p>
    <w:p w14:paraId="590D3317">
      <w:pPr>
        <w:spacing w:line="360" w:lineRule="auto"/>
        <w:ind w:firstLine="420"/>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地址：宁波市江北区环城北路西段207弄19号世茂茂悦商业中心1号楼</w:t>
      </w:r>
    </w:p>
    <w:p w14:paraId="2DB1FC7D">
      <w:pPr>
        <w:spacing w:line="360" w:lineRule="auto"/>
        <w:ind w:firstLine="420"/>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联系人：潘顺吉、夏伟立、严锋、张敏恒、曹晓琪、张俊娟</w:t>
      </w:r>
    </w:p>
    <w:p w14:paraId="0833EB9B">
      <w:pPr>
        <w:spacing w:line="360" w:lineRule="auto"/>
        <w:ind w:firstLine="420"/>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电话：0574-87520541</w:t>
      </w:r>
    </w:p>
    <w:p w14:paraId="2B7631A3">
      <w:pPr>
        <w:spacing w:line="360" w:lineRule="auto"/>
        <w:ind w:firstLine="420"/>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电子邮件：nbitc@126.com</w:t>
      </w:r>
    </w:p>
    <w:p w14:paraId="2860DD9F"/>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Monaco">
    <w:panose1 w:val="020B0509030404040204"/>
    <w:charset w:val="00"/>
    <w:family w:val="moder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FAA24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paragraph" w:styleId="4">
    <w:name w:val="heading 1"/>
    <w:basedOn w:val="1"/>
    <w:next w:val="1"/>
    <w:qFormat/>
    <w:uiPriority w:val="0"/>
    <w:pPr>
      <w:keepNext/>
      <w:keepLines/>
      <w:spacing w:before="340" w:after="330" w:line="576" w:lineRule="auto"/>
      <w:jc w:val="center"/>
      <w:outlineLvl w:val="0"/>
    </w:pPr>
    <w:rPr>
      <w:rFonts w:eastAsia="仿宋"/>
      <w:b/>
      <w:kern w:val="44"/>
      <w:sz w:val="28"/>
    </w:rPr>
  </w:style>
  <w:style w:type="paragraph" w:styleId="5">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tabs>
        <w:tab w:val="left" w:pos="0"/>
        <w:tab w:val="left" w:pos="1260"/>
        <w:tab w:val="left" w:pos="1365"/>
      </w:tabs>
      <w:ind w:firstLine="420"/>
    </w:pPr>
    <w:rPr>
      <w:rFonts w:ascii="Times New Roman" w:hAnsi="Times New Roman"/>
    </w:rPr>
  </w:style>
  <w:style w:type="paragraph" w:styleId="3">
    <w:name w:val="Body Text Indent"/>
    <w:basedOn w:val="1"/>
    <w:qFormat/>
    <w:uiPriority w:val="0"/>
    <w:pPr>
      <w:spacing w:after="120"/>
      <w:ind w:left="420" w:leftChars="200"/>
    </w:pPr>
  </w:style>
  <w:style w:type="paragraph" w:styleId="6">
    <w:name w:val="Body Text"/>
    <w:basedOn w:val="1"/>
    <w:unhideWhenUsed/>
    <w:qFormat/>
    <w:uiPriority w:val="99"/>
    <w:pPr>
      <w:spacing w:after="12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2026-02-13T06:53:10Z</dcterms:created>
  <dc:creator>Administrator</dc:creator>
  <cp:lastModifiedBy>Helios、</cp:lastModifiedBy>
  <dcterms:modified xsi:type="dcterms:W3CDTF">2026-02-13T06:53:46Z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eyJoZGlkIjoiMmMyYWE0NGM5ZmNiZjA3NDdkNzMwY2FhMzUxNjE0NmMiLCJ1c2VySWQiOiI1MTU3OTAxNTIifQ==</vt:lpwstr>
  </property>
  <property fmtid="{D5CDD505-2E9C-101B-9397-08002B2CF9AE}" pid="4" name="ICV">
    <vt:lpwstr>6DBCE005557C47F9B5C96948726BCF1D_12</vt:lpwstr>
  </property>
</Properties>
</file>