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lang w:val="en-US" w:eastAsia="zh-CN"/>
          <w14:textFill>
            <w14:solidFill>
              <w14:schemeClr w14:val="tx1"/>
            </w14:solidFill>
          </w14:textFill>
        </w:rPr>
        <w:t>铜仁分公司石阡支公司第三方质量风险管理机构</w:t>
      </w:r>
      <w:r>
        <w:rPr>
          <w:rFonts w:hint="eastAsia" w:ascii="黑体" w:hAnsi="黑体" w:eastAsia="黑体"/>
          <w:color w:val="000000" w:themeColor="text1"/>
          <w:sz w:val="32"/>
          <w:szCs w:val="32"/>
          <w14:textFill>
            <w14:solidFill>
              <w14:schemeClr w14:val="tx1"/>
            </w14:solidFill>
          </w14:textFill>
        </w:rPr>
        <w:t>采购项目</w:t>
      </w:r>
    </w:p>
    <w:p>
      <w:pPr>
        <w:pStyle w:val="52"/>
        <w:adjustRightInd w:val="0"/>
        <w:snapToGrid w:val="0"/>
        <w:spacing w:line="360" w:lineRule="auto"/>
        <w:jc w:val="center"/>
        <w:rPr>
          <w:sz w:val="28"/>
          <w:szCs w:val="28"/>
        </w:rPr>
      </w:pPr>
      <w:r>
        <w:rPr>
          <w:rFonts w:hint="eastAsia" w:ascii="黑体" w:hAnsi="黑体" w:eastAsia="黑体"/>
          <w:sz w:val="32"/>
          <w:szCs w:val="32"/>
        </w:rPr>
        <w:t>竞争性磋商邀请文件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hint="eastAsia"/>
          <w:sz w:val="28"/>
          <w:szCs w:val="28"/>
        </w:rPr>
      </w:pPr>
      <w:r>
        <w:rPr>
          <w:rFonts w:hint="eastAsia"/>
          <w:sz w:val="28"/>
          <w:szCs w:val="28"/>
        </w:rPr>
        <w:t>我公司拟通过</w:t>
      </w:r>
      <w:r>
        <w:rPr>
          <w:rFonts w:hint="eastAsia"/>
          <w:b w:val="0"/>
          <w:bCs w:val="0"/>
          <w:sz w:val="28"/>
          <w:szCs w:val="28"/>
        </w:rPr>
        <w:t>竞争性磋商方式</w:t>
      </w:r>
      <w:r>
        <w:rPr>
          <w:rFonts w:hint="eastAsia"/>
          <w:sz w:val="28"/>
          <w:szCs w:val="28"/>
        </w:rPr>
        <w:t>选择</w:t>
      </w:r>
      <w:r>
        <w:rPr>
          <w:rFonts w:hint="eastAsia"/>
          <w:sz w:val="28"/>
          <w:szCs w:val="28"/>
          <w:lang w:val="en-US" w:eastAsia="zh-CN"/>
        </w:rPr>
        <w:t>第三方质量风险管理机构</w:t>
      </w:r>
      <w:r>
        <w:rPr>
          <w:rFonts w:hint="eastAsia" w:ascii="宋体" w:hAnsi="宋体" w:eastAsia="宋体" w:cs="宋体"/>
          <w:color w:val="000000" w:themeColor="text1"/>
          <w:sz w:val="28"/>
          <w:szCs w:val="28"/>
          <w14:textFill>
            <w14:solidFill>
              <w14:schemeClr w14:val="tx1"/>
            </w14:solidFill>
          </w14:textFill>
        </w:rPr>
        <w:t>采购</w:t>
      </w:r>
      <w:r>
        <w:rPr>
          <w:rFonts w:hint="eastAsia" w:ascii="宋体" w:hAnsi="宋体" w:eastAsia="宋体" w:cs="宋体"/>
          <w:color w:val="000000" w:themeColor="text1"/>
          <w:sz w:val="28"/>
          <w:szCs w:val="28"/>
          <w:lang w:val="en-US" w:eastAsia="zh-CN"/>
          <w14:textFill>
            <w14:solidFill>
              <w14:schemeClr w14:val="tx1"/>
            </w14:solidFill>
          </w14:textFill>
        </w:rPr>
        <w:t>服务</w:t>
      </w:r>
      <w:r>
        <w:rPr>
          <w:rFonts w:hint="eastAsia" w:ascii="宋体" w:hAnsi="宋体" w:eastAsia="宋体" w:cs="宋体"/>
          <w:color w:val="000000" w:themeColor="text1"/>
          <w:sz w:val="28"/>
          <w:szCs w:val="28"/>
          <w14:textFill>
            <w14:solidFill>
              <w14:schemeClr w14:val="tx1"/>
            </w14:solidFill>
          </w14:textFill>
        </w:rPr>
        <w:t>项目</w:t>
      </w:r>
      <w:r>
        <w:rPr>
          <w:rFonts w:hint="eastAsia"/>
          <w:sz w:val="28"/>
          <w:szCs w:val="28"/>
        </w:rPr>
        <w:t>供应商，对在石阡县辖区两个标段区域高标准农田建设工程项目的工程质量提供风险管理服务，涉及建设面积20003亩，两个项目分别为：贵州省石阡县2024年高标准农田建设项目（一标段），工程造价28407016.96元；贵州省石阡县2024年高标准农田建设项目（二标段），工程造价26274344.64元。服务地点：石阡县白沙镇、本庄镇、花桥镇、聚凤乡、龙井乡、泉都街道、石固乡等 7 个乡镇(街道)19 个村（小岩村、谷米寨村、大堰村、石坟坡村、桃子 坪村、小葛坪村、三塘村、均坪村、许家沟村、化塘村、乐桥村、葛闪渡村、北坪村、梁家屯村、宝龙村、孔石化村、银丰村、石场村、凯峡河村）。服务标的分别为：田间灌排与排水、田间道路、农田防护、农田输配电工程及固定农业科技配套等基础设施。服务期限</w:t>
      </w:r>
      <w:r>
        <w:rPr>
          <w:rFonts w:hint="eastAsia"/>
          <w:sz w:val="28"/>
          <w:szCs w:val="28"/>
          <w:lang w:val="en-US" w:eastAsia="zh-CN"/>
        </w:rPr>
        <w:t>6</w:t>
      </w:r>
      <w:r>
        <w:rPr>
          <w:rFonts w:hint="eastAsia"/>
          <w:sz w:val="28"/>
          <w:szCs w:val="28"/>
        </w:rPr>
        <w:t>年，其中1年建设期和</w:t>
      </w:r>
      <w:r>
        <w:rPr>
          <w:rFonts w:hint="eastAsia"/>
          <w:sz w:val="28"/>
          <w:szCs w:val="28"/>
          <w:lang w:val="en-US" w:eastAsia="zh-CN"/>
        </w:rPr>
        <w:t>5</w:t>
      </w:r>
      <w:r>
        <w:rPr>
          <w:rFonts w:hint="eastAsia"/>
          <w:sz w:val="28"/>
          <w:szCs w:val="28"/>
        </w:rPr>
        <w:t>年运营管护期服务。</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val="0"/>
          <w:bCs w:val="0"/>
          <w:color w:val="000000"/>
          <w:sz w:val="28"/>
          <w:szCs w:val="28"/>
        </w:rPr>
        <w:t>严格</w:t>
      </w:r>
      <w:r>
        <w:rPr>
          <w:rFonts w:hint="eastAsia"/>
          <w:color w:val="000000"/>
          <w:sz w:val="28"/>
          <w:szCs w:val="28"/>
        </w:rPr>
        <w:t>按本邀请文件之规定准备</w:t>
      </w:r>
      <w:r>
        <w:rPr>
          <w:rFonts w:hint="eastAsia"/>
          <w:b w:val="0"/>
          <w:bCs/>
          <w:color w:val="000000"/>
          <w:sz w:val="28"/>
          <w:szCs w:val="28"/>
        </w:rPr>
        <w:t>响应文件</w:t>
      </w:r>
      <w:r>
        <w:rPr>
          <w:rFonts w:hint="eastAsia"/>
          <w:sz w:val="28"/>
          <w:szCs w:val="28"/>
        </w:rPr>
        <w:t>并参加磋商会议，磋商相关事宜见附件。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default"/>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铜仁分公司石阡支公司</w:t>
      </w:r>
    </w:p>
    <w:p>
      <w:pPr>
        <w:pStyle w:val="52"/>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贵州省石阡县泉都街道文笔社区佛顶山中路220号</w:t>
      </w:r>
    </w:p>
    <w:p>
      <w:pPr>
        <w:pStyle w:val="52"/>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15117748626</w:t>
      </w:r>
    </w:p>
    <w:p>
      <w:pPr>
        <w:pStyle w:val="52"/>
        <w:adjustRightInd w:val="0"/>
        <w:snapToGrid w:val="0"/>
        <w:spacing w:line="360" w:lineRule="auto"/>
        <w:ind w:firstLine="420"/>
        <w:rPr>
          <w:rFonts w:hint="eastAsia"/>
          <w:sz w:val="28"/>
          <w:szCs w:val="28"/>
        </w:rPr>
      </w:pPr>
      <w:r>
        <w:rPr>
          <w:rFonts w:hint="eastAsia"/>
          <w:sz w:val="28"/>
          <w:szCs w:val="28"/>
        </w:rPr>
        <w:t>联系人：</w:t>
      </w:r>
      <w:r>
        <w:rPr>
          <w:rFonts w:hint="eastAsia"/>
          <w:sz w:val="28"/>
          <w:szCs w:val="28"/>
          <w:lang w:val="en-US" w:eastAsia="zh-CN"/>
        </w:rPr>
        <w:t>方英</w:t>
      </w:r>
    </w:p>
    <w:p>
      <w:pPr>
        <w:pStyle w:val="52"/>
        <w:adjustRightInd w:val="0"/>
        <w:snapToGrid w:val="0"/>
        <w:spacing w:line="360" w:lineRule="auto"/>
        <w:rPr>
          <w:sz w:val="28"/>
          <w:szCs w:val="28"/>
        </w:rPr>
      </w:pPr>
      <w:r>
        <w:rPr>
          <w:rFonts w:hint="eastAsia"/>
          <w:sz w:val="28"/>
          <w:szCs w:val="28"/>
        </w:rPr>
        <w:t xml:space="preserve"> 附件：一、磋商事项说明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default" w:eastAsia="宋体"/>
          <w:sz w:val="28"/>
          <w:szCs w:val="28"/>
          <w:lang w:val="en-US" w:eastAsia="zh-CN"/>
        </w:rPr>
      </w:pPr>
      <w:r>
        <w:rPr>
          <w:rFonts w:hint="eastAsia"/>
          <w:sz w:val="28"/>
          <w:szCs w:val="28"/>
        </w:rPr>
        <w:t>中国人民财产保险股份有限公司</w:t>
      </w:r>
      <w:r>
        <w:rPr>
          <w:rFonts w:hint="eastAsia"/>
          <w:sz w:val="28"/>
          <w:szCs w:val="28"/>
          <w:lang w:val="en-US" w:eastAsia="zh-CN"/>
        </w:rPr>
        <w:t>铜仁分公司石阡支公司</w:t>
      </w:r>
    </w:p>
    <w:p>
      <w:pPr>
        <w:pStyle w:val="52"/>
        <w:adjustRightInd w:val="0"/>
        <w:snapToGrid w:val="0"/>
        <w:spacing w:line="360" w:lineRule="auto"/>
        <w:ind w:left="3780" w:right="620" w:hanging="3780"/>
        <w:jc w:val="righ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20</w:t>
      </w:r>
      <w:r>
        <w:rPr>
          <w:color w:val="000000" w:themeColor="text1"/>
          <w:sz w:val="28"/>
          <w:szCs w:val="28"/>
          <w14:textFill>
            <w14:solidFill>
              <w14:schemeClr w14:val="tx1"/>
            </w14:solidFill>
          </w14:textFill>
        </w:rPr>
        <w:t>2</w:t>
      </w:r>
      <w:r>
        <w:rPr>
          <w:rFonts w:hint="eastAsia"/>
          <w:color w:val="000000" w:themeColor="text1"/>
          <w:sz w:val="28"/>
          <w:szCs w:val="28"/>
          <w:lang w:val="en-US" w:eastAsia="zh-CN"/>
          <w14:textFill>
            <w14:solidFill>
              <w14:schemeClr w14:val="tx1"/>
            </w14:solidFill>
          </w14:textFill>
        </w:rPr>
        <w:t>6</w:t>
      </w:r>
      <w:r>
        <w:rPr>
          <w:rFonts w:hint="eastAsia"/>
          <w:color w:val="000000" w:themeColor="text1"/>
          <w:sz w:val="28"/>
          <w:szCs w:val="28"/>
          <w14:textFill>
            <w14:solidFill>
              <w14:schemeClr w14:val="tx1"/>
            </w14:solidFill>
          </w14:textFill>
        </w:rPr>
        <w:t>年</w:t>
      </w:r>
      <w:r>
        <w:rPr>
          <w:rFonts w:hint="eastAsia"/>
          <w:color w:val="000000" w:themeColor="text1"/>
          <w:sz w:val="28"/>
          <w:szCs w:val="28"/>
          <w:lang w:val="en-US" w:eastAsia="zh-CN"/>
          <w14:textFill>
            <w14:solidFill>
              <w14:schemeClr w14:val="tx1"/>
            </w14:solidFill>
          </w14:textFill>
        </w:rPr>
        <w:t>2</w:t>
      </w:r>
      <w:r>
        <w:rPr>
          <w:rFonts w:hint="eastAsia"/>
          <w:color w:val="000000" w:themeColor="text1"/>
          <w:sz w:val="28"/>
          <w:szCs w:val="28"/>
          <w14:textFill>
            <w14:solidFill>
              <w14:schemeClr w14:val="tx1"/>
            </w14:solidFill>
          </w14:textFill>
        </w:rPr>
        <w:t>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磋商事项说明……………………………………………………………………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color w:val="000000"/>
          <w:u w:val="none"/>
        </w:rPr>
        <w:t>4</w:t>
      </w:r>
    </w:p>
    <w:p>
      <w:pPr>
        <w:pStyle w:val="52"/>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四、磋商时间和地点……………………………………………………………………</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五、竞争性磋商流程…………………………………………………………………………</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2"/>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color w:val="000000"/>
          <w:u w:val="none"/>
        </w:rPr>
        <w:t>7</w:t>
      </w:r>
    </w:p>
    <w:p>
      <w:pPr>
        <w:pStyle w:val="52"/>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t>9</w:t>
      </w:r>
    </w:p>
    <w:p>
      <w:pPr>
        <w:pStyle w:val="52"/>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color w:val="000000"/>
          <w:u w:val="none"/>
        </w:rPr>
        <w:t>2</w:t>
      </w:r>
      <w:r>
        <w:t>0</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………………………………………………………21</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2"/>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2"/>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2"/>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2"/>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2"/>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2"/>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cs="宋体" w:asciiTheme="minorEastAsia" w:hAnsiTheme="minorEastAsia" w:eastAsiaTheme="minorEastAsia"/>
          <w:i/>
          <w:color w:val="0000FF"/>
          <w:kern w:val="0"/>
          <w:sz w:val="24"/>
          <w:szCs w:val="24"/>
        </w:rPr>
      </w:pPr>
      <w:r>
        <w:rPr>
          <w:rFonts w:cs="宋体" w:asciiTheme="minorEastAsia" w:hAnsiTheme="minorEastAsia" w:eastAsiaTheme="minorEastAsia"/>
          <w:i/>
          <w:color w:val="0000FF"/>
          <w:kern w:val="0"/>
          <w:sz w:val="24"/>
          <w:szCs w:val="24"/>
        </w:rPr>
        <w:t>（</w:t>
      </w:r>
      <w:r>
        <w:rPr>
          <w:rFonts w:hint="eastAsia" w:cs="宋体" w:asciiTheme="minorEastAsia" w:hAnsiTheme="minorEastAsia" w:eastAsiaTheme="minorEastAsia"/>
          <w:i/>
          <w:color w:val="0000FF"/>
          <w:kern w:val="0"/>
          <w:sz w:val="24"/>
          <w:szCs w:val="24"/>
        </w:rPr>
        <w:t>是否法人和其余资质条件可视项目情况修改或增加。</w:t>
      </w:r>
      <w:r>
        <w:rPr>
          <w:rFonts w:cs="宋体" w:asciiTheme="minorEastAsia" w:hAnsiTheme="minorEastAsia" w:eastAsiaTheme="minorEastAsia"/>
          <w:i/>
          <w:color w:val="0000FF"/>
          <w:kern w:val="0"/>
          <w:sz w:val="24"/>
          <w:szCs w:val="24"/>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9"/>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666"/>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keepNext w:val="0"/>
              <w:keepLines w:val="0"/>
              <w:widowControl/>
              <w:suppressLineNumbers w:val="0"/>
              <w:spacing w:before="0" w:beforeAutospacing="0" w:after="0" w:afterAutospacing="0" w:line="320" w:lineRule="exact"/>
              <w:ind w:left="0" w:right="0"/>
              <w:jc w:val="center"/>
              <w:rPr>
                <w:rFonts w:hint="eastAsia"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项 目</w:t>
            </w:r>
          </w:p>
        </w:tc>
        <w:tc>
          <w:tcPr>
            <w:tcW w:w="6666" w:type="dxa"/>
            <w:vAlign w:val="center"/>
          </w:tcPr>
          <w:p>
            <w:pPr>
              <w:keepNext w:val="0"/>
              <w:keepLines w:val="0"/>
              <w:widowControl/>
              <w:suppressLineNumbers w:val="0"/>
              <w:spacing w:before="0" w:beforeAutospacing="0" w:after="0" w:afterAutospacing="0" w:line="320" w:lineRule="exact"/>
              <w:ind w:left="0" w:right="0"/>
              <w:jc w:val="center"/>
              <w:rPr>
                <w:rFonts w:hint="eastAsia"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u w:color="FF0000"/>
                <w14:textFill>
                  <w14:solidFill>
                    <w14:schemeClr w14:val="tx1"/>
                  </w14:solidFill>
                </w14:textFill>
              </w:rPr>
              <w:t>评分内容</w:t>
            </w:r>
          </w:p>
        </w:tc>
        <w:tc>
          <w:tcPr>
            <w:tcW w:w="780" w:type="dxa"/>
            <w:vAlign w:val="center"/>
          </w:tcPr>
          <w:p>
            <w:pPr>
              <w:keepNext w:val="0"/>
              <w:keepLines w:val="0"/>
              <w:widowControl/>
              <w:suppressLineNumbers w:val="0"/>
              <w:spacing w:before="0" w:beforeAutospacing="0" w:after="0" w:afterAutospacing="0" w:line="320" w:lineRule="exact"/>
              <w:ind w:left="0" w:right="0"/>
              <w:jc w:val="center"/>
              <w:rPr>
                <w:rFonts w:hint="eastAsia"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keepNext w:val="0"/>
              <w:keepLines w:val="0"/>
              <w:widowControl/>
              <w:suppressLineNumbers w:val="0"/>
              <w:spacing w:before="0" w:beforeAutospacing="0" w:after="0" w:afterAutospacing="0" w:line="320" w:lineRule="exact"/>
              <w:ind w:left="0" w:right="0"/>
              <w:rPr>
                <w:rFonts w:hint="eastAsia"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keepNext w:val="0"/>
              <w:keepLines w:val="0"/>
              <w:widowControl/>
              <w:suppressLineNumbers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价格得分（50）</w:t>
            </w:r>
          </w:p>
        </w:tc>
        <w:tc>
          <w:tcPr>
            <w:tcW w:w="6666" w:type="dxa"/>
            <w:vAlign w:val="center"/>
          </w:tcPr>
          <w:p>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snapToGrid w:val="0"/>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评分法中的价格分采用低价优先法计算，即满足招标文件要求且最低的评审价格为评标基准价，等于评标基准价得50分。其他供应商的价格分统一按照下列公式计算，精确到小数点后两位：</w:t>
            </w:r>
          </w:p>
          <w:p>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snapToGrid w:val="0"/>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供应商报价得分＝（评标基准价/评审价格）×50；</w:t>
            </w:r>
          </w:p>
          <w:p>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snapToGrid w:val="0"/>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评审价格按照如下方式定义：</w:t>
            </w:r>
          </w:p>
          <w:p>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snapToGrid w:val="0"/>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对于承诺提供增值税专用发票的供应商，评审价格即不含税的投标总价净价；</w:t>
            </w:r>
          </w:p>
          <w:p>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snapToGrid w:val="0"/>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对于不能提供增值税专用发票的供应商，评审价格是含税的投标总价。</w:t>
            </w:r>
          </w:p>
        </w:tc>
        <w:tc>
          <w:tcPr>
            <w:tcW w:w="780" w:type="dxa"/>
            <w:vAlign w:val="center"/>
          </w:tcPr>
          <w:p>
            <w:pPr>
              <w:keepNext w:val="0"/>
              <w:keepLines w:val="0"/>
              <w:widowControl/>
              <w:suppressLineNumbers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keepNext w:val="0"/>
              <w:keepLines w:val="0"/>
              <w:widowControl/>
              <w:suppressLineNumbers w:val="0"/>
              <w:spacing w:before="0" w:beforeAutospacing="0" w:after="0" w:afterAutospacing="0" w:line="320" w:lineRule="exact"/>
              <w:ind w:left="0" w:right="0"/>
              <w:rPr>
                <w:rFonts w:hint="eastAsia"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技术质量得分</w:t>
            </w:r>
          </w:p>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（4</w:t>
            </w:r>
            <w:r>
              <w:rPr>
                <w:rFonts w:hint="eastAsia" w:asciiTheme="minorEastAsia" w:hAnsiTheme="minorEastAsia" w:eastAsiaTheme="minorEastAsia"/>
                <w:color w:val="000000" w:themeColor="text1"/>
                <w:kern w:val="0"/>
                <w:sz w:val="24"/>
                <w:lang w:val="en-US" w:eastAsia="zh-CN"/>
                <w14:textFill>
                  <w14:solidFill>
                    <w14:schemeClr w14:val="tx1"/>
                  </w14:solidFill>
                </w14:textFill>
              </w:rPr>
              <w:t>0</w:t>
            </w:r>
            <w:r>
              <w:rPr>
                <w:rFonts w:hint="eastAsia" w:asciiTheme="minorEastAsia" w:hAnsiTheme="minorEastAsia" w:eastAsiaTheme="minorEastAsia"/>
                <w:color w:val="000000" w:themeColor="text1"/>
                <w:kern w:val="0"/>
                <w:sz w:val="24"/>
                <w14:textFill>
                  <w14:solidFill>
                    <w14:schemeClr w14:val="tx1"/>
                  </w14:solidFill>
                </w14:textFill>
              </w:rPr>
              <w:t>）</w:t>
            </w:r>
          </w:p>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p>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p>
        </w:tc>
        <w:tc>
          <w:tcPr>
            <w:tcW w:w="6666" w:type="dxa"/>
            <w:vAlign w:val="center"/>
          </w:tcPr>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14:textFill>
                  <w14:solidFill>
                    <w14:schemeClr w14:val="tx1"/>
                  </w14:solidFill>
                </w14:textFill>
              </w:rPr>
            </w:pPr>
            <w:r>
              <w:rPr>
                <w:rFonts w:hint="eastAsia" w:ascii="宋体" w:hAnsi="宋体" w:eastAsia="宋体" w:cs="Arial"/>
                <w:color w:val="000000" w:themeColor="text1"/>
                <w:sz w:val="24"/>
                <w14:textFill>
                  <w14:solidFill>
                    <w14:schemeClr w14:val="tx1"/>
                  </w14:solidFill>
                </w14:textFill>
              </w:rPr>
              <w:t>项目技术方案根据各参选供应商的响应文件中对服务方案统筹程度，如高标准农田质量</w:t>
            </w:r>
            <w:r>
              <w:rPr>
                <w:rFonts w:hint="eastAsia" w:ascii="宋体" w:hAnsi="宋体" w:eastAsia="宋体" w:cs="Arial"/>
                <w:color w:val="000000" w:themeColor="text1"/>
                <w:sz w:val="24"/>
                <w:lang w:val="en-US" w:eastAsia="zh-CN"/>
                <w14:textFill>
                  <w14:solidFill>
                    <w14:schemeClr w14:val="tx1"/>
                  </w14:solidFill>
                </w14:textFill>
              </w:rPr>
              <w:t>排查内容</w:t>
            </w:r>
            <w:r>
              <w:rPr>
                <w:rFonts w:hint="eastAsia" w:ascii="宋体" w:hAnsi="宋体" w:eastAsia="宋体" w:cs="Arial"/>
                <w:color w:val="000000" w:themeColor="text1"/>
                <w:sz w:val="24"/>
                <w14:textFill>
                  <w14:solidFill>
                    <w14:schemeClr w14:val="tx1"/>
                  </w14:solidFill>
                </w14:textFill>
              </w:rPr>
              <w:t>、质量排查工具和方法</w:t>
            </w:r>
            <w:r>
              <w:rPr>
                <w:rFonts w:hint="eastAsia" w:ascii="宋体" w:hAnsi="宋体" w:eastAsia="宋体" w:cs="Arial"/>
                <w:color w:val="000000" w:themeColor="text1"/>
                <w:sz w:val="24"/>
                <w:lang w:val="en-US" w:eastAsia="zh-CN"/>
                <w14:textFill>
                  <w14:solidFill>
                    <w14:schemeClr w14:val="tx1"/>
                  </w14:solidFill>
                </w14:textFill>
              </w:rPr>
              <w:t>、对应的数据收集、数据分析方法、排查实施计划和安排、监督和评估</w:t>
            </w:r>
            <w:r>
              <w:rPr>
                <w:rFonts w:hint="eastAsia" w:ascii="宋体" w:hAnsi="宋体" w:eastAsia="宋体" w:cs="Arial"/>
                <w:color w:val="000000" w:themeColor="text1"/>
                <w:sz w:val="24"/>
                <w14:textFill>
                  <w14:solidFill>
                    <w14:schemeClr w14:val="tx1"/>
                  </w14:solidFill>
                </w14:textFill>
              </w:rPr>
              <w:t>、</w:t>
            </w:r>
            <w:r>
              <w:rPr>
                <w:rFonts w:hint="eastAsia" w:ascii="宋体" w:hAnsi="宋体" w:eastAsia="宋体" w:cs="Arial"/>
                <w:color w:val="000000" w:themeColor="text1"/>
                <w:sz w:val="24"/>
                <w:lang w:val="en-US" w:eastAsia="zh-CN"/>
                <w14:textFill>
                  <w14:solidFill>
                    <w14:schemeClr w14:val="tx1"/>
                  </w14:solidFill>
                </w14:textFill>
              </w:rPr>
              <w:t>后续跟进措施等与项目有关的服务内容，</w:t>
            </w:r>
            <w:r>
              <w:rPr>
                <w:rFonts w:hint="eastAsia" w:ascii="宋体" w:hAnsi="宋体" w:eastAsia="宋体" w:cs="Arial"/>
                <w:color w:val="000000" w:themeColor="text1"/>
                <w:sz w:val="24"/>
                <w14:textFill>
                  <w14:solidFill>
                    <w14:schemeClr w14:val="tx1"/>
                  </w14:solidFill>
                </w14:textFill>
              </w:rPr>
              <w:t>进行比较评分，</w:t>
            </w:r>
            <w:r>
              <w:rPr>
                <w:rFonts w:hint="eastAsia" w:ascii="宋体" w:hAnsi="宋体" w:eastAsia="宋体" w:cs="Arial"/>
                <w:color w:val="000000" w:themeColor="text1"/>
                <w:sz w:val="24"/>
                <w:lang w:val="en-US" w:eastAsia="zh-CN"/>
                <w14:textFill>
                  <w14:solidFill>
                    <w14:schemeClr w14:val="tx1"/>
                  </w14:solidFill>
                </w14:textFill>
              </w:rPr>
              <w:t>优16-20分，良9-15分，差1-8分；不提供0分。</w:t>
            </w:r>
          </w:p>
        </w:tc>
        <w:tc>
          <w:tcPr>
            <w:tcW w:w="780" w:type="dxa"/>
            <w:vAlign w:val="center"/>
          </w:tcPr>
          <w:p>
            <w:pPr>
              <w:keepNext w:val="0"/>
              <w:keepLines w:val="0"/>
              <w:widowControl/>
              <w:suppressLineNumbers w:val="0"/>
              <w:snapToGrid w:val="0"/>
              <w:spacing w:before="0" w:beforeAutospacing="0" w:after="0" w:afterAutospacing="0" w:line="320" w:lineRule="exact"/>
              <w:ind w:left="0" w:right="0"/>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1323" w:type="dxa"/>
            <w:vMerge w:val="continue"/>
            <w:shd w:val="clear" w:color="auto" w:fill="auto"/>
            <w:vAlign w:val="center"/>
          </w:tcPr>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14:textFill>
                  <w14:solidFill>
                    <w14:schemeClr w14:val="tx1"/>
                  </w14:solidFill>
                </w14:textFill>
              </w:rPr>
            </w:pPr>
          </w:p>
        </w:tc>
        <w:tc>
          <w:tcPr>
            <w:tcW w:w="6666" w:type="dxa"/>
            <w:vAlign w:val="center"/>
          </w:tcPr>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lang w:val="en-US" w:eastAsia="zh-CN"/>
                <w14:textFill>
                  <w14:solidFill>
                    <w14:schemeClr w14:val="tx1"/>
                  </w14:solidFill>
                </w14:textFill>
              </w:rPr>
            </w:pPr>
            <w:r>
              <w:rPr>
                <w:rFonts w:hint="eastAsia" w:ascii="宋体" w:hAnsi="宋体" w:eastAsia="宋体" w:cs="Arial"/>
                <w:color w:val="000000" w:themeColor="text1"/>
                <w:sz w:val="24"/>
                <w14:textFill>
                  <w14:solidFill>
                    <w14:schemeClr w14:val="tx1"/>
                  </w14:solidFill>
                </w14:textFill>
              </w:rPr>
              <w:t>项目团队对</w:t>
            </w:r>
            <w:r>
              <w:rPr>
                <w:rFonts w:hint="eastAsia" w:ascii="宋体" w:hAnsi="宋体" w:eastAsia="宋体" w:cs="Arial"/>
                <w:color w:val="000000" w:themeColor="text1"/>
                <w:sz w:val="24"/>
                <w:lang w:val="en-US" w:eastAsia="zh-CN"/>
                <w14:textFill>
                  <w14:solidFill>
                    <w14:schemeClr w14:val="tx1"/>
                  </w14:solidFill>
                </w14:textFill>
              </w:rPr>
              <w:t>该项目内容的</w:t>
            </w:r>
            <w:r>
              <w:rPr>
                <w:rFonts w:hint="eastAsia" w:ascii="宋体" w:hAnsi="宋体" w:eastAsia="宋体" w:cs="Arial"/>
                <w:color w:val="000000" w:themeColor="text1"/>
                <w:sz w:val="24"/>
                <w14:textFill>
                  <w14:solidFill>
                    <w14:schemeClr w14:val="tx1"/>
                  </w14:solidFill>
                </w14:textFill>
              </w:rPr>
              <w:t>响应程度高，项目团队人员配备合理，职责分工明确，团队人员工作年限、技术能力、综合素质等</w:t>
            </w:r>
            <w:r>
              <w:rPr>
                <w:rFonts w:hint="eastAsia" w:ascii="宋体" w:hAnsi="宋体" w:eastAsia="宋体" w:cs="Arial"/>
                <w:color w:val="000000" w:themeColor="text1"/>
                <w:sz w:val="24"/>
                <w:lang w:val="en-US" w:eastAsia="zh-CN"/>
                <w14:textFill>
                  <w14:solidFill>
                    <w14:schemeClr w14:val="tx1"/>
                  </w14:solidFill>
                </w14:textFill>
              </w:rPr>
              <w:t>进行综合评价，优10-15分，良5-9分，差0-4分</w:t>
            </w:r>
          </w:p>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14:textFill>
                  <w14:solidFill>
                    <w14:schemeClr w14:val="tx1"/>
                  </w14:solidFill>
                </w14:textFill>
              </w:rPr>
            </w:pPr>
            <w:r>
              <w:rPr>
                <w:rFonts w:hint="eastAsia" w:ascii="宋体" w:hAnsi="宋体" w:eastAsia="宋体" w:cs="Arial"/>
                <w:color w:val="000000" w:themeColor="text1"/>
                <w:sz w:val="24"/>
                <w14:textFill>
                  <w14:solidFill>
                    <w14:schemeClr w14:val="tx1"/>
                  </w14:solidFill>
                </w14:textFill>
              </w:rPr>
              <w:t>注：需提供项目团队成员</w:t>
            </w:r>
            <w:r>
              <w:rPr>
                <w:rFonts w:hint="eastAsia" w:ascii="宋体" w:hAnsi="宋体" w:eastAsia="宋体" w:cs="Arial"/>
                <w:color w:val="000000" w:themeColor="text1"/>
                <w:sz w:val="24"/>
                <w:lang w:val="en-US" w:eastAsia="zh-CN"/>
                <w14:textFill>
                  <w14:solidFill>
                    <w14:schemeClr w14:val="tx1"/>
                  </w14:solidFill>
                </w14:textFill>
              </w:rPr>
              <w:t>清单</w:t>
            </w:r>
            <w:r>
              <w:rPr>
                <w:rFonts w:hint="eastAsia" w:ascii="宋体" w:hAnsi="宋体" w:eastAsia="宋体" w:cs="Arial"/>
                <w:color w:val="000000" w:themeColor="text1"/>
                <w:sz w:val="24"/>
                <w14:textFill>
                  <w14:solidFill>
                    <w14:schemeClr w14:val="tx1"/>
                  </w14:solidFill>
                </w14:textFill>
              </w:rPr>
              <w:t>、相关</w:t>
            </w:r>
            <w:r>
              <w:rPr>
                <w:rFonts w:hint="eastAsia" w:ascii="宋体" w:hAnsi="宋体" w:eastAsia="宋体" w:cs="Arial"/>
                <w:color w:val="000000" w:themeColor="text1"/>
                <w:sz w:val="24"/>
                <w:lang w:val="en-US" w:eastAsia="zh-CN"/>
                <w14:textFill>
                  <w14:solidFill>
                    <w14:schemeClr w14:val="tx1"/>
                  </w14:solidFill>
                </w14:textFill>
              </w:rPr>
              <w:t>资质</w:t>
            </w:r>
            <w:r>
              <w:rPr>
                <w:rFonts w:hint="eastAsia" w:ascii="宋体" w:hAnsi="宋体" w:eastAsia="宋体" w:cs="Arial"/>
                <w:color w:val="000000" w:themeColor="text1"/>
                <w:sz w:val="24"/>
                <w14:textFill>
                  <w14:solidFill>
                    <w14:schemeClr w14:val="tx1"/>
                  </w14:solidFill>
                </w14:textFill>
              </w:rPr>
              <w:t>证书等有效证明文件。</w:t>
            </w:r>
          </w:p>
        </w:tc>
        <w:tc>
          <w:tcPr>
            <w:tcW w:w="780" w:type="dxa"/>
            <w:vAlign w:val="center"/>
          </w:tcPr>
          <w:p>
            <w:pPr>
              <w:keepNext w:val="0"/>
              <w:keepLines w:val="0"/>
              <w:widowControl/>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1323" w:type="dxa"/>
            <w:vMerge w:val="continue"/>
            <w:shd w:val="clear" w:color="auto" w:fill="auto"/>
            <w:vAlign w:val="center"/>
          </w:tcPr>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p>
        </w:tc>
        <w:tc>
          <w:tcPr>
            <w:tcW w:w="6666" w:type="dxa"/>
            <w:vAlign w:val="center"/>
          </w:tcPr>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14:textFill>
                  <w14:solidFill>
                    <w14:schemeClr w14:val="tx1"/>
                  </w14:solidFill>
                </w14:textFill>
              </w:rPr>
            </w:pPr>
            <w:r>
              <w:rPr>
                <w:rFonts w:hint="eastAsia" w:ascii="宋体" w:hAnsi="宋体" w:eastAsia="宋体" w:cs="Arial"/>
                <w:color w:val="000000" w:themeColor="text1"/>
                <w:sz w:val="24"/>
                <w:lang w:val="en-US" w:eastAsia="zh-CN"/>
                <w14:textFill>
                  <w14:solidFill>
                    <w14:schemeClr w14:val="tx1"/>
                  </w14:solidFill>
                </w14:textFill>
              </w:rPr>
              <w:t>供应商近三年（2023年1月1日至开标日）有成功实施案例或软件著作权，案例须提供合同复印件（包括合同首页、体现项目内容页、签署日期页及盖章页）或中标通知书复印件作为有效证明文件，软件著作权须提供复印件作为有效证明文件。无得0分，每增加一个得1分，最多得5分。</w:t>
            </w:r>
          </w:p>
        </w:tc>
        <w:tc>
          <w:tcPr>
            <w:tcW w:w="780" w:type="dxa"/>
            <w:vAlign w:val="center"/>
          </w:tcPr>
          <w:p>
            <w:pPr>
              <w:keepNext w:val="0"/>
              <w:keepLines w:val="0"/>
              <w:widowControl/>
              <w:suppressLineNumbers w:val="0"/>
              <w:snapToGrid w:val="0"/>
              <w:spacing w:before="0" w:beforeAutospacing="0" w:after="0" w:afterAutospacing="0" w:line="320" w:lineRule="exact"/>
              <w:ind w:left="0" w:right="0"/>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1323" w:type="dxa"/>
            <w:shd w:val="clear" w:color="auto" w:fill="auto"/>
            <w:vAlign w:val="center"/>
          </w:tcPr>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服务水平</w:t>
            </w:r>
          </w:p>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评分</w:t>
            </w:r>
          </w:p>
          <w:p>
            <w:pPr>
              <w:keepNext w:val="0"/>
              <w:keepLines w:val="0"/>
              <w:suppressLineNumbers w:val="0"/>
              <w:snapToGrid w:val="0"/>
              <w:spacing w:before="0" w:beforeAutospacing="0" w:after="0" w:afterAutospacing="0" w:line="320" w:lineRule="exact"/>
              <w:ind w:left="0" w:right="0"/>
              <w:jc w:val="center"/>
              <w:rPr>
                <w:rFonts w:hint="eastAsia"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w:t>
            </w: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r>
              <w:rPr>
                <w:rFonts w:hint="eastAsia" w:asciiTheme="minorEastAsia" w:hAnsiTheme="minorEastAsia" w:eastAsiaTheme="minorEastAsia"/>
                <w:color w:val="000000" w:themeColor="text1"/>
                <w:kern w:val="0"/>
                <w:sz w:val="24"/>
                <w:u w:color="FF0000"/>
                <w14:textFill>
                  <w14:solidFill>
                    <w14:schemeClr w14:val="tx1"/>
                  </w14:solidFill>
                </w14:textFill>
              </w:rPr>
              <w:t>）</w:t>
            </w:r>
          </w:p>
        </w:tc>
        <w:tc>
          <w:tcPr>
            <w:tcW w:w="6666" w:type="dxa"/>
            <w:vAlign w:val="center"/>
          </w:tcPr>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14:textFill>
                  <w14:solidFill>
                    <w14:schemeClr w14:val="tx1"/>
                  </w14:solidFill>
                </w14:textFill>
              </w:rPr>
            </w:pPr>
            <w:r>
              <w:rPr>
                <w:rFonts w:hint="eastAsia" w:ascii="宋体" w:hAnsi="宋体" w:eastAsia="宋体" w:cs="Arial"/>
                <w:color w:val="000000" w:themeColor="text1"/>
                <w:sz w:val="24"/>
                <w14:textFill>
                  <w14:solidFill>
                    <w14:schemeClr w14:val="tx1"/>
                  </w14:solidFill>
                </w14:textFill>
              </w:rPr>
              <w:t>供应商具有完善的人员服务体系，服务团队人员稳定、离职率低，得</w:t>
            </w:r>
            <w:r>
              <w:rPr>
                <w:rFonts w:hint="eastAsia" w:ascii="宋体" w:hAnsi="宋体" w:cs="Arial"/>
                <w:color w:val="000000" w:themeColor="text1"/>
                <w:sz w:val="24"/>
                <w:lang w:val="en-US" w:eastAsia="zh-CN"/>
                <w14:textFill>
                  <w14:solidFill>
                    <w14:schemeClr w14:val="tx1"/>
                  </w14:solidFill>
                </w14:textFill>
              </w:rPr>
              <w:t>7</w:t>
            </w:r>
            <w:r>
              <w:rPr>
                <w:rFonts w:hint="eastAsia" w:ascii="宋体" w:hAnsi="宋体" w:eastAsia="宋体" w:cs="Arial"/>
                <w:color w:val="000000" w:themeColor="text1"/>
                <w:sz w:val="24"/>
                <w14:textFill>
                  <w14:solidFill>
                    <w14:schemeClr w14:val="tx1"/>
                  </w14:solidFill>
                </w14:textFill>
              </w:rPr>
              <w:t>-</w:t>
            </w:r>
            <w:r>
              <w:rPr>
                <w:rFonts w:hint="eastAsia" w:ascii="宋体" w:hAnsi="宋体" w:cs="Arial"/>
                <w:color w:val="000000" w:themeColor="text1"/>
                <w:sz w:val="24"/>
                <w:lang w:val="en-US" w:eastAsia="zh-CN"/>
                <w14:textFill>
                  <w14:solidFill>
                    <w14:schemeClr w14:val="tx1"/>
                  </w14:solidFill>
                </w14:textFill>
              </w:rPr>
              <w:t>10</w:t>
            </w:r>
            <w:r>
              <w:rPr>
                <w:rFonts w:hint="eastAsia" w:ascii="宋体" w:hAnsi="宋体" w:eastAsia="宋体" w:cs="Arial"/>
                <w:color w:val="000000" w:themeColor="text1"/>
                <w:sz w:val="24"/>
                <w14:textFill>
                  <w14:solidFill>
                    <w14:schemeClr w14:val="tx1"/>
                  </w14:solidFill>
                </w14:textFill>
              </w:rPr>
              <w:t>分；</w:t>
            </w:r>
          </w:p>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14:textFill>
                  <w14:solidFill>
                    <w14:schemeClr w14:val="tx1"/>
                  </w14:solidFill>
                </w14:textFill>
              </w:rPr>
            </w:pPr>
            <w:r>
              <w:rPr>
                <w:rFonts w:hint="eastAsia" w:ascii="宋体" w:hAnsi="宋体" w:eastAsia="宋体" w:cs="Arial"/>
                <w:color w:val="000000" w:themeColor="text1"/>
                <w:sz w:val="24"/>
                <w14:textFill>
                  <w14:solidFill>
                    <w14:schemeClr w14:val="tx1"/>
                  </w14:solidFill>
                </w14:textFill>
              </w:rPr>
              <w:t>供应商人员服务体系较完善，服务团队人员较稳定、离职率较低，得</w:t>
            </w:r>
            <w:r>
              <w:rPr>
                <w:rFonts w:hint="eastAsia" w:ascii="宋体" w:hAnsi="宋体" w:cs="Arial"/>
                <w:color w:val="000000" w:themeColor="text1"/>
                <w:sz w:val="24"/>
                <w:lang w:val="en-US" w:eastAsia="zh-CN"/>
                <w14:textFill>
                  <w14:solidFill>
                    <w14:schemeClr w14:val="tx1"/>
                  </w14:solidFill>
                </w14:textFill>
              </w:rPr>
              <w:t>4</w:t>
            </w:r>
            <w:r>
              <w:rPr>
                <w:rFonts w:hint="eastAsia" w:ascii="宋体" w:hAnsi="宋体" w:eastAsia="宋体" w:cs="Arial"/>
                <w:color w:val="000000" w:themeColor="text1"/>
                <w:sz w:val="24"/>
                <w14:textFill>
                  <w14:solidFill>
                    <w14:schemeClr w14:val="tx1"/>
                  </w14:solidFill>
                </w14:textFill>
              </w:rPr>
              <w:t>-</w:t>
            </w:r>
            <w:r>
              <w:rPr>
                <w:rFonts w:hint="eastAsia" w:ascii="宋体" w:hAnsi="宋体" w:cs="Arial"/>
                <w:color w:val="000000" w:themeColor="text1"/>
                <w:sz w:val="24"/>
                <w:lang w:val="en-US" w:eastAsia="zh-CN"/>
                <w14:textFill>
                  <w14:solidFill>
                    <w14:schemeClr w14:val="tx1"/>
                  </w14:solidFill>
                </w14:textFill>
              </w:rPr>
              <w:t>6</w:t>
            </w:r>
            <w:r>
              <w:rPr>
                <w:rFonts w:hint="eastAsia" w:ascii="宋体" w:hAnsi="宋体" w:eastAsia="宋体" w:cs="Arial"/>
                <w:color w:val="000000" w:themeColor="text1"/>
                <w:sz w:val="24"/>
                <w14:textFill>
                  <w14:solidFill>
                    <w14:schemeClr w14:val="tx1"/>
                  </w14:solidFill>
                </w14:textFill>
              </w:rPr>
              <w:t>分；</w:t>
            </w:r>
          </w:p>
          <w:p>
            <w:pPr>
              <w:keepNext w:val="0"/>
              <w:keepLines w:val="0"/>
              <w:suppressLineNumbers w:val="0"/>
              <w:spacing w:before="0" w:beforeAutospacing="0" w:after="0" w:afterAutospacing="0" w:line="320" w:lineRule="exact"/>
              <w:ind w:left="0" w:right="0"/>
              <w:rPr>
                <w:rFonts w:hint="eastAsia" w:ascii="宋体" w:hAnsi="宋体" w:eastAsia="宋体" w:cs="Arial"/>
                <w:color w:val="000000" w:themeColor="text1"/>
                <w:sz w:val="24"/>
                <w14:textFill>
                  <w14:solidFill>
                    <w14:schemeClr w14:val="tx1"/>
                  </w14:solidFill>
                </w14:textFill>
              </w:rPr>
            </w:pPr>
            <w:r>
              <w:rPr>
                <w:rFonts w:hint="eastAsia" w:ascii="宋体" w:hAnsi="宋体" w:eastAsia="宋体" w:cs="Arial"/>
                <w:color w:val="000000" w:themeColor="text1"/>
                <w:sz w:val="24"/>
                <w14:textFill>
                  <w14:solidFill>
                    <w14:schemeClr w14:val="tx1"/>
                  </w14:solidFill>
                </w14:textFill>
              </w:rPr>
              <w:t>供应商人员服务体系较差，服务团队人员稳定性差、离职率高，得</w:t>
            </w:r>
            <w:r>
              <w:rPr>
                <w:rFonts w:hint="eastAsia" w:ascii="宋体" w:hAnsi="宋体" w:cs="Arial"/>
                <w:color w:val="000000" w:themeColor="text1"/>
                <w:sz w:val="24"/>
                <w:lang w:val="en-US" w:eastAsia="zh-CN"/>
                <w14:textFill>
                  <w14:solidFill>
                    <w14:schemeClr w14:val="tx1"/>
                  </w14:solidFill>
                </w14:textFill>
              </w:rPr>
              <w:t>1</w:t>
            </w:r>
            <w:r>
              <w:rPr>
                <w:rFonts w:hint="eastAsia" w:ascii="宋体" w:hAnsi="宋体" w:eastAsia="宋体" w:cs="Arial"/>
                <w:color w:val="000000" w:themeColor="text1"/>
                <w:sz w:val="24"/>
                <w14:textFill>
                  <w14:solidFill>
                    <w14:schemeClr w14:val="tx1"/>
                  </w14:solidFill>
                </w14:textFill>
              </w:rPr>
              <w:t>-</w:t>
            </w:r>
            <w:r>
              <w:rPr>
                <w:rFonts w:hint="eastAsia" w:ascii="宋体" w:hAnsi="宋体" w:cs="Arial"/>
                <w:color w:val="000000" w:themeColor="text1"/>
                <w:sz w:val="24"/>
                <w:lang w:val="en-US" w:eastAsia="zh-CN"/>
                <w14:textFill>
                  <w14:solidFill>
                    <w14:schemeClr w14:val="tx1"/>
                  </w14:solidFill>
                </w14:textFill>
              </w:rPr>
              <w:t>3</w:t>
            </w:r>
            <w:r>
              <w:rPr>
                <w:rFonts w:hint="eastAsia" w:ascii="宋体" w:hAnsi="宋体" w:eastAsia="宋体" w:cs="Arial"/>
                <w:color w:val="000000" w:themeColor="text1"/>
                <w:sz w:val="24"/>
                <w14:textFill>
                  <w14:solidFill>
                    <w14:schemeClr w14:val="tx1"/>
                  </w14:solidFill>
                </w14:textFill>
              </w:rPr>
              <w:t>分。</w:t>
            </w:r>
          </w:p>
        </w:tc>
        <w:tc>
          <w:tcPr>
            <w:tcW w:w="780" w:type="dxa"/>
            <w:vAlign w:val="center"/>
          </w:tcPr>
          <w:p>
            <w:pPr>
              <w:keepNext w:val="0"/>
              <w:keepLines w:val="0"/>
              <w:widowControl/>
              <w:suppressLineNumbers w:val="0"/>
              <w:snapToGrid w:val="0"/>
              <w:spacing w:before="0" w:beforeAutospacing="0" w:after="0" w:afterAutospacing="0" w:line="320" w:lineRule="exact"/>
              <w:ind w:left="0" w:right="0"/>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989" w:type="dxa"/>
            <w:gridSpan w:val="2"/>
            <w:vAlign w:val="center"/>
          </w:tcPr>
          <w:p>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b/>
                <w:snapToGrid w:val="0"/>
                <w:color w:val="000000" w:themeColor="text1"/>
                <w:sz w:val="24"/>
                <w14:textFill>
                  <w14:solidFill>
                    <w14:schemeClr w14:val="tx1"/>
                  </w14:solidFill>
                </w14:textFill>
              </w:rPr>
            </w:pPr>
            <w:r>
              <w:rPr>
                <w:rFonts w:hint="eastAsia" w:asciiTheme="minorEastAsia" w:hAnsiTheme="minorEastAsia" w:eastAsiaTheme="minorEastAsia"/>
                <w:b/>
                <w:snapToGrid w:val="0"/>
                <w:color w:val="000000" w:themeColor="text1"/>
                <w:sz w:val="24"/>
                <w14:textFill>
                  <w14:solidFill>
                    <w14:schemeClr w14:val="tx1"/>
                  </w14:solidFill>
                </w14:textFill>
              </w:rPr>
              <w:t>合计</w:t>
            </w:r>
          </w:p>
        </w:tc>
        <w:tc>
          <w:tcPr>
            <w:tcW w:w="780" w:type="dxa"/>
            <w:vAlign w:val="center"/>
          </w:tcPr>
          <w:p>
            <w:pPr>
              <w:keepNext w:val="0"/>
              <w:keepLines w:val="0"/>
              <w:widowControl/>
              <w:suppressLineNumbers w:val="0"/>
              <w:snapToGrid w:val="0"/>
              <w:spacing w:before="0" w:beforeAutospacing="0" w:after="0" w:afterAutospacing="0" w:line="320" w:lineRule="exact"/>
              <w:ind w:left="0" w:right="0"/>
              <w:jc w:val="center"/>
              <w:rPr>
                <w:rFonts w:hint="eastAsia" w:asciiTheme="minorEastAsia" w:hAnsiTheme="minorEastAsia" w:eastAsiaTheme="minorEastAsia"/>
                <w:b/>
                <w:color w:val="000000" w:themeColor="text1"/>
                <w:kern w:val="0"/>
                <w:sz w:val="24"/>
                <w:u w:color="FF0000"/>
                <w14:textFill>
                  <w14:solidFill>
                    <w14:schemeClr w14:val="tx1"/>
                  </w14:solidFill>
                </w14:textFill>
              </w:rPr>
            </w:pPr>
            <w:r>
              <w:rPr>
                <w:rFonts w:hint="eastAsia" w:asciiTheme="minorEastAsia" w:hAnsiTheme="minorEastAsia" w:eastAsiaTheme="minorEastAsia"/>
                <w:b/>
                <w:color w:val="000000" w:themeColor="text1"/>
                <w:kern w:val="0"/>
                <w:sz w:val="24"/>
                <w:u w:color="FF0000"/>
                <w14:textFill>
                  <w14:solidFill>
                    <w14:schemeClr w14:val="tx1"/>
                  </w14:solidFill>
                </w14:textFill>
              </w:rPr>
              <w:t>100</w:t>
            </w:r>
          </w:p>
        </w:tc>
      </w:tr>
    </w:tbl>
    <w:p>
      <w:pPr>
        <w:rPr>
          <w:rFonts w:hint="eastAsia" w:eastAsia="宋体"/>
          <w:color w:val="000000" w:themeColor="text1"/>
          <w:lang w:eastAsia="zh-CN"/>
          <w14:textFill>
            <w14:solidFill>
              <w14:schemeClr w14:val="tx1"/>
            </w14:solidFill>
          </w14:textFill>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2026年</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日上午9:30，贵州省石阡县泉都街道文笔社区佛顶山中路220号中国人民财产保险股份有限公</w:t>
      </w:r>
      <w:r>
        <w:rPr>
          <w:rFonts w:hint="eastAsia" w:ascii="宋体" w:hAnsi="宋体" w:cs="宋体"/>
          <w:color w:val="000000" w:themeColor="text1"/>
          <w:kern w:val="0"/>
          <w:sz w:val="24"/>
          <w:szCs w:val="24"/>
          <w14:textFill>
            <w14:solidFill>
              <w14:schemeClr w14:val="tx1"/>
            </w14:solidFill>
          </w14:textFill>
        </w:rPr>
        <w:t>司</w:t>
      </w:r>
      <w:r>
        <w:rPr>
          <w:rFonts w:hint="eastAsia" w:ascii="宋体" w:hAnsi="宋体" w:cs="宋体"/>
          <w:color w:val="000000" w:themeColor="text1"/>
          <w:kern w:val="0"/>
          <w:sz w:val="24"/>
          <w:szCs w:val="24"/>
          <w:lang w:val="en-US" w:eastAsia="zh-CN"/>
          <w14:textFill>
            <w14:solidFill>
              <w14:schemeClr w14:val="tx1"/>
            </w14:solidFill>
          </w14:textFill>
        </w:rPr>
        <w:t>石阡支公司四楼</w:t>
      </w:r>
      <w:r>
        <w:rPr>
          <w:rFonts w:hint="eastAsia" w:ascii="宋体" w:hAnsi="宋体" w:cs="宋体"/>
          <w:color w:val="000000" w:themeColor="text1"/>
          <w:kern w:val="0"/>
          <w:sz w:val="24"/>
          <w:szCs w:val="24"/>
          <w14:textFill>
            <w14:solidFill>
              <w14:schemeClr w14:val="tx1"/>
            </w14:solidFill>
          </w14:textFill>
        </w:rPr>
        <w:t>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bookmarkStart w:id="17" w:name="_GoBack"/>
      <w:bookmarkEnd w:id="17"/>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firstLine="480"/>
              <w:rPr>
                <w:rFonts w:hint="eastAsia" w:ascii="宋体" w:hAnsi="宋体" w:cs="宋体"/>
                <w:color w:val="FF0000"/>
                <w:sz w:val="24"/>
                <w:szCs w:val="24"/>
              </w:rPr>
            </w:pPr>
            <w:r>
              <w:rPr>
                <w:rFonts w:hint="eastAsia" w:ascii="宋体" w:hAnsi="宋体" w:cs="宋体"/>
                <w:color w:val="FF0000"/>
                <w:sz w:val="24"/>
                <w:szCs w:val="24"/>
                <w:lang w:bidi="ar"/>
              </w:rPr>
              <w:t>（小写人民币元）</w:t>
            </w:r>
          </w:p>
          <w:p>
            <w:pPr>
              <w:keepNext w:val="0"/>
              <w:keepLines w:val="0"/>
              <w:suppressLineNumbers w:val="0"/>
              <w:adjustRightInd w:val="0"/>
              <w:snapToGrid w:val="0"/>
              <w:spacing w:before="0" w:beforeAutospacing="0" w:after="0" w:afterAutospacing="0" w:line="360" w:lineRule="auto"/>
              <w:ind w:left="0" w:right="0" w:firstLine="480"/>
              <w:rPr>
                <w:rFonts w:hint="eastAsia" w:ascii="宋体" w:hAnsi="宋体" w:cs="宋体"/>
                <w:color w:val="FF0000"/>
                <w:sz w:val="24"/>
                <w:szCs w:val="24"/>
              </w:rPr>
            </w:pPr>
          </w:p>
          <w:p>
            <w:pPr>
              <w:keepNext w:val="0"/>
              <w:keepLines w:val="0"/>
              <w:suppressLineNumbers w:val="0"/>
              <w:adjustRightInd w:val="0"/>
              <w:snapToGrid w:val="0"/>
              <w:spacing w:before="0" w:beforeAutospacing="0" w:after="0" w:afterAutospacing="0" w:line="360" w:lineRule="auto"/>
              <w:ind w:left="0" w:right="0" w:firstLine="480"/>
              <w:rPr>
                <w:rFonts w:hint="eastAsia"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r>
              <w:rPr>
                <w:rFonts w:hint="eastAsia" w:ascii="宋体" w:hAnsi="宋体" w:cs="宋体"/>
                <w:color w:val="FF0000"/>
                <w:sz w:val="24"/>
                <w:szCs w:val="24"/>
                <w:lang w:bidi="ar"/>
              </w:rPr>
              <w:t>（小写人民币元）</w:t>
            </w: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p>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r>
              <w:rPr>
                <w:rFonts w:hint="eastAsia" w:ascii="宋体" w:hAnsi="宋体" w:cs="宋体"/>
                <w:color w:val="FF0000"/>
                <w:sz w:val="24"/>
                <w:szCs w:val="24"/>
                <w:lang w:bidi="ar"/>
              </w:rPr>
              <w:t>（大写人民币元）</w:t>
            </w: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rPr>
                <w:rFonts w:hint="eastAsia"/>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rPr>
                <w:rFonts w:hint="eastAsia"/>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r>
              <w:rPr>
                <w:rFonts w:hint="eastAsia" w:ascii="宋体" w:hAnsi="宋体" w:cs="宋体"/>
                <w:color w:val="FF0000"/>
                <w:sz w:val="24"/>
                <w:szCs w:val="24"/>
                <w:lang w:bidi="ar"/>
              </w:rPr>
              <w:t>（大写人民币元）</w:t>
            </w: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rPr>
                <w:rFonts w:hint="eastAsia"/>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hint="eastAsia"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hint="eastAsia" w:ascii="宋体" w:hAnsi="宋体" w:eastAsia="宋体" w:cs="Times New Roman"/>
          <w:b w:val="0"/>
          <w:bCs w:val="0"/>
          <w:color w:val="FF0000"/>
          <w:kern w:val="2"/>
          <w:sz w:val="24"/>
          <w:szCs w:val="24"/>
          <w:lang w:val="en-US" w:eastAsia="zh-CN" w:bidi="ar-SA"/>
        </w:rPr>
      </w:pPr>
      <w:r>
        <w:rPr>
          <w:rFonts w:hint="eastAsia" w:ascii="宋体" w:hAnsi="宋体" w:cs="宋体"/>
          <w:color w:val="FF0000"/>
          <w:sz w:val="24"/>
          <w:szCs w:val="24"/>
          <w:lang w:val="en-US" w:eastAsia="zh-CN" w:bidi="ar"/>
        </w:rPr>
        <w:t>5</w:t>
      </w:r>
      <w:r>
        <w:rPr>
          <w:rFonts w:hint="eastAsia" w:ascii="宋体" w:hAnsi="宋体" w:eastAsia="宋体" w:cs="Times New Roman"/>
          <w:b w:val="0"/>
          <w:bCs w:val="0"/>
          <w:color w:val="FF0000"/>
          <w:kern w:val="2"/>
          <w:sz w:val="24"/>
          <w:szCs w:val="24"/>
          <w:lang w:val="en-US" w:eastAsia="zh-CN" w:bidi="ar-SA"/>
        </w:rPr>
        <w:t>、项目总净价（不含税）</w:t>
      </w:r>
      <w:r>
        <w:rPr>
          <w:rFonts w:hint="eastAsia" w:ascii="宋体" w:hAnsi="宋体" w:cs="Times New Roman"/>
          <w:b w:val="0"/>
          <w:bCs w:val="0"/>
          <w:color w:val="FF0000"/>
          <w:kern w:val="2"/>
          <w:sz w:val="24"/>
          <w:szCs w:val="24"/>
          <w:lang w:val="en-US" w:eastAsia="zh-CN" w:bidi="ar-SA"/>
        </w:rPr>
        <w:t>预算</w:t>
      </w:r>
      <w:r>
        <w:rPr>
          <w:rFonts w:hint="eastAsia" w:ascii="宋体" w:hAnsi="宋体" w:eastAsia="宋体" w:cs="Times New Roman"/>
          <w:b w:val="0"/>
          <w:bCs w:val="0"/>
          <w:color w:val="FF0000"/>
          <w:kern w:val="2"/>
          <w:sz w:val="24"/>
          <w:szCs w:val="24"/>
          <w:lang w:val="en-US" w:eastAsia="zh-CN" w:bidi="ar-SA"/>
        </w:rPr>
        <w:t>上限=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left"/>
              <w:textAlignment w:val="center"/>
              <w:rPr>
                <w:rFonts w:hint="eastAsia"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left"/>
              <w:textAlignment w:val="center"/>
              <w:rPr>
                <w:rFonts w:hint="eastAsia"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left"/>
              <w:textAlignment w:val="center"/>
              <w:rPr>
                <w:rFonts w:hint="eastAsia"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left"/>
              <w:textAlignment w:val="center"/>
              <w:rPr>
                <w:rFonts w:hint="eastAsia"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djustRightInd w:val="0"/>
              <w:snapToGrid w:val="0"/>
              <w:spacing w:before="0" w:beforeAutospacing="0" w:after="0" w:afterAutospacing="0" w:line="360" w:lineRule="auto"/>
              <w:ind w:left="0" w:right="0"/>
              <w:jc w:val="center"/>
              <w:textAlignment w:val="center"/>
              <w:rPr>
                <w:rFonts w:hint="eastAsia"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pStyle w:val="6"/>
        <w:numPr>
          <w:ilvl w:val="3"/>
          <w:numId w:val="0"/>
        </w:numPr>
        <w:tabs>
          <w:tab w:val="left" w:pos="864"/>
        </w:tabs>
        <w:adjustRightInd w:val="0"/>
        <w:snapToGrid w:val="0"/>
        <w:spacing w:before="0" w:after="0" w:line="360" w:lineRule="auto"/>
        <w:ind w:leftChars="0"/>
        <w:rPr>
          <w:rFonts w:hint="eastAsia" w:ascii="宋体" w:hAnsi="宋体" w:cs="宋体"/>
          <w:b w:val="0"/>
          <w:bCs w:val="0"/>
          <w:color w:val="FF0000"/>
          <w:kern w:val="0"/>
          <w:sz w:val="24"/>
          <w:szCs w:val="24"/>
          <w:lang w:val="en-US" w:eastAsia="zh-CN"/>
        </w:rPr>
      </w:pPr>
      <w:r>
        <w:rPr>
          <w:rFonts w:hint="eastAsia" w:ascii="宋体" w:hAnsi="宋体" w:cs="宋体"/>
          <w:b w:val="0"/>
          <w:bCs w:val="0"/>
          <w:color w:val="FF0000"/>
          <w:kern w:val="0"/>
          <w:sz w:val="24"/>
          <w:szCs w:val="24"/>
          <w:lang w:val="en-US" w:eastAsia="zh-CN"/>
        </w:rPr>
        <w:t xml:space="preserve">    5.分项报价预算上限：</w:t>
      </w:r>
    </w:p>
    <w:p>
      <w:pPr>
        <w:pStyle w:val="6"/>
        <w:numPr>
          <w:ilvl w:val="3"/>
          <w:numId w:val="0"/>
        </w:numPr>
        <w:tabs>
          <w:tab w:val="left" w:pos="864"/>
        </w:tabs>
        <w:adjustRightInd w:val="0"/>
        <w:snapToGrid w:val="0"/>
        <w:spacing w:before="0" w:after="0" w:line="360" w:lineRule="auto"/>
        <w:ind w:leftChars="0"/>
        <w:rPr>
          <w:rFonts w:hint="default" w:ascii="宋体" w:hAnsi="宋体" w:cs="宋体"/>
          <w:b w:val="0"/>
          <w:bCs w:val="0"/>
          <w:color w:val="FF0000"/>
          <w:kern w:val="0"/>
          <w:sz w:val="24"/>
          <w:szCs w:val="24"/>
          <w:lang w:val="en-US" w:eastAsia="zh-CN"/>
        </w:rPr>
      </w:pPr>
    </w:p>
    <w:p>
      <w:pPr>
        <w:widowControl/>
        <w:adjustRightInd w:val="0"/>
        <w:snapToGrid w:val="0"/>
        <w:spacing w:line="360" w:lineRule="auto"/>
        <w:ind w:firstLine="480" w:firstLineChars="200"/>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5183170"/>
      <w:bookmarkEnd w:id="8"/>
      <w:bookmarkStart w:id="9" w:name="_Toc127761806"/>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5250" w:leftChars="2500" w:right="0" w:firstLine="640"/>
              <w:jc w:val="center"/>
              <w:rPr>
                <w:rFonts w:hint="eastAsia" w:ascii="宋体" w:hAnsi="宋体"/>
                <w:kern w:val="0"/>
                <w:sz w:val="24"/>
                <w:szCs w:val="24"/>
              </w:rPr>
            </w:pPr>
          </w:p>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48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近3年内介入</w:t>
            </w:r>
          </w:p>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480"/>
              <w:rPr>
                <w:rFonts w:hint="eastAsia"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w:t>
      </w:r>
      <w:r>
        <w:rPr>
          <w:rFonts w:hint="eastAsia" w:asciiTheme="minorEastAsia" w:hAnsiTheme="minorEastAsia" w:eastAsiaTheme="minorEastAsia"/>
          <w:sz w:val="24"/>
          <w:szCs w:val="24"/>
          <w:lang w:val="en-US" w:eastAsia="zh-CN"/>
        </w:rPr>
        <w:t>该单位2024</w:t>
      </w:r>
      <w:r>
        <w:rPr>
          <w:rFonts w:hint="eastAsia" w:asciiTheme="minorEastAsia" w:hAnsiTheme="minorEastAsia" w:eastAsiaTheme="minorEastAsia"/>
          <w:sz w:val="24"/>
          <w:szCs w:val="24"/>
        </w:rPr>
        <w:t>年度或202</w:t>
      </w:r>
      <w:r>
        <w:rPr>
          <w:rFonts w:hint="eastAsia" w:asciiTheme="minorEastAsia" w:hAnsiTheme="minorEastAsia" w:eastAsiaTheme="minorEastAsia"/>
          <w:sz w:val="24"/>
          <w:szCs w:val="24"/>
          <w:lang w:val="en-US" w:eastAsia="zh-CN"/>
        </w:rPr>
        <w:t>5</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序号</w:t>
            </w:r>
          </w:p>
        </w:tc>
        <w:tc>
          <w:tcPr>
            <w:tcW w:w="565"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合同名称</w:t>
            </w: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合同乙方单位名称</w:t>
            </w: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合同标的</w:t>
            </w: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合同金额</w:t>
            </w: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签署日期</w:t>
            </w:r>
          </w:p>
        </w:tc>
        <w:tc>
          <w:tcPr>
            <w:tcW w:w="1053"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甲方单位名称/联系人</w:t>
            </w:r>
          </w:p>
        </w:tc>
        <w:tc>
          <w:tcPr>
            <w:tcW w:w="1111"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eastAsia"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4"/>
        <w:numPr>
          <w:ilvl w:val="0"/>
          <w:numId w:val="0"/>
        </w:numPr>
        <w:adjustRightInd w:val="0"/>
        <w:snapToGrid w:val="0"/>
        <w:spacing w:before="0" w:after="0" w:line="360" w:lineRule="auto"/>
        <w:rPr>
          <w:rFonts w:hint="eastAsia"/>
          <w:sz w:val="24"/>
          <w:szCs w:val="24"/>
        </w:rPr>
      </w:pPr>
      <w:r>
        <w:rPr>
          <w:rFonts w:hint="eastAsia"/>
          <w:sz w:val="24"/>
          <w:szCs w:val="24"/>
        </w:rPr>
        <w:t>附件4.</w:t>
      </w:r>
      <w:bookmarkStart w:id="14" w:name="_Toc169079576"/>
      <w:bookmarkStart w:id="15" w:name="_Toc104714603"/>
      <w:r>
        <w:rPr>
          <w:rFonts w:hint="eastAsia"/>
          <w:sz w:val="24"/>
          <w:szCs w:val="24"/>
        </w:rPr>
        <w:t>1</w:t>
      </w:r>
      <w:r>
        <w:rPr>
          <w:sz w:val="24"/>
          <w:szCs w:val="24"/>
        </w:rPr>
        <w:t xml:space="preserve"> </w:t>
      </w:r>
      <w:r>
        <w:rPr>
          <w:rFonts w:hint="eastAsia"/>
          <w:sz w:val="24"/>
          <w:szCs w:val="24"/>
        </w:rPr>
        <w:t>合同条款</w:t>
      </w:r>
    </w:p>
    <w:p>
      <w:pPr>
        <w:keepNext w:val="0"/>
        <w:keepLines w:val="0"/>
        <w:pageBreakBefore w:val="0"/>
        <w:widowControl w:val="0"/>
        <w:kinsoku/>
        <w:wordWrap/>
        <w:overflowPunct/>
        <w:topLinePunct w:val="0"/>
        <w:autoSpaceDE/>
        <w:autoSpaceDN/>
        <w:bidi w:val="0"/>
        <w:adjustRightInd/>
        <w:snapToGrid/>
        <w:spacing w:after="157" w:afterLines="50" w:line="360" w:lineRule="auto"/>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委托方(甲方)：中国人民财产保险股份有限公司</w:t>
      </w:r>
      <w:r>
        <w:rPr>
          <w:rFonts w:hint="eastAsia" w:ascii="宋体" w:hAnsi="宋体" w:eastAsia="宋体" w:cs="宋体"/>
          <w:b w:val="0"/>
          <w:bCs/>
          <w:sz w:val="24"/>
          <w:szCs w:val="24"/>
          <w:lang w:val="en-US" w:eastAsia="zh-CN"/>
        </w:rPr>
        <w:t>铜仁分公司</w:t>
      </w:r>
    </w:p>
    <w:p>
      <w:pPr>
        <w:keepNext w:val="0"/>
        <w:keepLines w:val="0"/>
        <w:pageBreakBefore w:val="0"/>
        <w:widowControl w:val="0"/>
        <w:kinsoku/>
        <w:wordWrap/>
        <w:overflowPunct/>
        <w:topLinePunct w:val="0"/>
        <w:autoSpaceDE/>
        <w:autoSpaceDN/>
        <w:bidi w:val="0"/>
        <w:adjustRightInd/>
        <w:snapToGrid/>
        <w:spacing w:after="157" w:afterLines="50" w:line="360" w:lineRule="auto"/>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受托方(乙方)：</w:t>
      </w:r>
    </w:p>
    <w:p>
      <w:pPr>
        <w:keepNext w:val="0"/>
        <w:keepLines w:val="0"/>
        <w:pageBreakBefore w:val="0"/>
        <w:widowControl w:val="0"/>
        <w:kinsoku/>
        <w:wordWrap/>
        <w:overflowPunct/>
        <w:topLinePunct w:val="0"/>
        <w:autoSpaceDE/>
        <w:autoSpaceDN/>
        <w:bidi w:val="0"/>
        <w:adjustRightInd/>
        <w:snapToGrid/>
        <w:spacing w:after="157" w:afterLines="50" w:line="360" w:lineRule="auto"/>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签订时间：</w:t>
      </w:r>
    </w:p>
    <w:p>
      <w:pPr>
        <w:keepNext w:val="0"/>
        <w:keepLines w:val="0"/>
        <w:pageBreakBefore w:val="0"/>
        <w:widowControl w:val="0"/>
        <w:kinsoku/>
        <w:wordWrap/>
        <w:overflowPunct/>
        <w:topLinePunct w:val="0"/>
        <w:autoSpaceDE/>
        <w:autoSpaceDN/>
        <w:bidi w:val="0"/>
        <w:adjustRightInd/>
        <w:snapToGrid/>
        <w:spacing w:after="157" w:afterLines="50" w:line="360" w:lineRule="auto"/>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签订地点：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委托方(甲方)：</w:t>
      </w:r>
      <w:r>
        <w:rPr>
          <w:rFonts w:hint="eastAsia" w:ascii="宋体" w:hAnsi="宋体" w:eastAsia="宋体" w:cs="宋体"/>
          <w:b w:val="0"/>
          <w:bCs/>
          <w:sz w:val="24"/>
          <w:szCs w:val="24"/>
          <w:lang w:val="en-US" w:eastAsia="zh-CN"/>
        </w:rPr>
        <w:t>中国人民财产保险股份有限公司铜仁分公司</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受托方(乙方)：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依照《中华人民共和国民法典》等法律、法规的相关规定以及招标文件和投标约定的有关内容，因甲方与投保人签订了石阡县2024年高标准农田建设工程质量潜在缺陷责任保险合同，甲方应为高标准农田提供高效优质管护服务，需</w:t>
      </w:r>
      <w:r>
        <w:rPr>
          <w:rFonts w:hint="eastAsia" w:ascii="宋体" w:hAnsi="宋体" w:eastAsia="宋体" w:cs="宋体"/>
          <w:b w:val="0"/>
          <w:bCs/>
          <w:color w:val="0000FF"/>
          <w:sz w:val="24"/>
          <w:szCs w:val="24"/>
          <w:lang w:val="en-US" w:eastAsia="zh-CN"/>
        </w:rPr>
        <w:t>聘请具备相关资质的第三方质量风险管理机构（TIS）对工程施工进行风险把控和监督，并参与工程竣工验收</w:t>
      </w:r>
      <w:r>
        <w:rPr>
          <w:rFonts w:hint="eastAsia" w:ascii="宋体" w:hAnsi="宋体" w:eastAsia="宋体" w:cs="宋体"/>
          <w:b w:val="0"/>
          <w:bCs/>
          <w:sz w:val="24"/>
          <w:szCs w:val="24"/>
          <w:lang w:val="en-US" w:eastAsia="zh-CN"/>
        </w:rPr>
        <w:t>。为了降低出险、明确责任以及更好履行保险合同权利义务， 特委托专业第三方机构/公司对上述保险合同中的案涉两个标段项目进行</w:t>
      </w:r>
      <w:r>
        <w:rPr>
          <w:rFonts w:hint="eastAsia" w:ascii="宋体" w:hAnsi="宋体" w:eastAsia="宋体" w:cs="宋体"/>
          <w:b w:val="0"/>
          <w:bCs/>
          <w:color w:val="0000FF"/>
          <w:sz w:val="24"/>
          <w:szCs w:val="24"/>
          <w:lang w:val="en-US" w:eastAsia="zh-CN"/>
        </w:rPr>
        <w:t>工程质量风险管理</w:t>
      </w:r>
      <w:r>
        <w:rPr>
          <w:rFonts w:hint="eastAsia" w:ascii="宋体" w:hAnsi="宋体" w:eastAsia="宋体" w:cs="宋体"/>
          <w:b w:val="0"/>
          <w:bCs/>
          <w:sz w:val="24"/>
          <w:szCs w:val="24"/>
          <w:lang w:val="en-US" w:eastAsia="zh-CN"/>
        </w:rPr>
        <w:t>，故甲方委托乙方承担工程质量风险管理服务项目(以下称为“本项目”)工作事宜，本着平等、自愿、公平、公正的原则，甲乙双方经协商达成一致，具体内容如下：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第一条 项目基本情况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1.项目名称：石阡县2024年高标准农田建设工程质量潜在缺陷责任保险项目第三方工程质量风险管理服务。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服务范围：按委托方要求对石阡县辖区两个标段区域高标准农田建设工程项目的工程质量提供风险管理服务，涉及建设面积20003亩，两个项目分别为：贵州省石阡县2024年高标准农田建设项目（一标段），工程造价28407016.96元；贵州省石阡县2024年高标准农田建设项目（二标段），工程造价26274344.64元。服务地点：石阡县白沙镇、本庄镇、花桥镇、聚凤乡、龙井乡、泉都街道、石固乡等 7 个乡镇(街道)19 个村（小岩村、谷米寨村、大堰村、石坟坡村、桃子 坪村、小葛坪村、三塘村、均坪村、许家沟村、化塘村、乐桥村、葛闪渡村、北坪村、梁家屯村、宝龙村、孔石化村、银丰村、石场村、凯峡河村）。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服务标的包括但不限于：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（1）田间道路。包含田间道路、生产路及机耕路。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灌排系统。包含小型堰坝、农用（机）井、小型泵站、小型集雨设施等水源工程；明渠、管道等输水工程；硬化明沟、暗管等排水工程；水闸、渡槽、倒虹吸、农桥、涵洞、跌水、量水设施等渠系建筑物；以及喷灌、微灌、水肥一体化设备等节水灌溉工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（3）农田防护工程。主要包括护堤、护岸等小型岸坡防护工程；谷坊、沟头防护、拦河坝等沟谷治理工程；截水沟、排洪沟等坡面防护工程。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（4）农田输配电工程。主要包含输电线路、变配电设备、弱电设施及相关配套工程。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（5）其他。投保人和承保机构约定的其他保险标的。如小型气象站、农业物联网设备等。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3.项目服务期限：   年   月   日至      年    月    日。共6年，其中1年建设期和5年运营管护期服务。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第二条  工作依据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1.高标准农田建设工程项目工程质量第三方风险管理服务合作协议。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2.甲方及业主方提供的基础资料。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3.国家、省市相关技术标准、规范和相关文件。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第三条 工作内容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1.工程内容/服务内容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乙方作为工程质量管理巡查的专业机构，在现有管理条件下，受甲方委托，开展高标准农田建设项目工程质量第三方风险管理巡查工作，协助甲方对责任方按照合同履职履责的情况进行管理，对工程施工过程进行飞检、巡查，对存在的问题及时形成书面报告；挖掘提炼总结优秀的管理经验，提出管理和技术建议；提交第三方管理巡查、风险评估工作报告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2.人员要求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2.1乙方项目负责人具备高级工程师或以上的职称，需具备国家注册建造师或注册结构工程师或注册建筑师或注册监理工程师等执业资格证书其中一项，有12年以上工作经验。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2.2工作人员从事本行业工作年限不低于5年。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2.3乙方团队工作人员的专业背景及工作经验满足巡查工作要求。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3.工程质量风险管理服务事项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3.1乙方制定项目管理巡查工作方案、检查评价体系。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3.2建设期乙方按项目进度节点进行巡查，每月巡查次数不低于2次，完工后投入运营管护期每年巡察不低于1次，对于施工过程中重要节点及重点专项工程，应有针对性地增加现场检查频次，及时发现存在的问题，建立质量隐患台账，对巡查发现的问题，督促落实整改到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3.3做好管理巡查工作记录，分析原因、预警风险。乙方每次巡查要有巡查工作记录；建设期每半月出具《项目过程风险检查报告》，运营期每年出具《风险检查报告》,编写巡查报告(配影像资料)报甲方，报告中明确巡查发现的质量问题和整改建议。乙方的工作记录和巡查报告在巡查后三个工作日内报甲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3.4工程主体完工阶段，乙方分别对每个项目出具竣工风险总体评估报告，项目风险评估报告，评估报告出具日期不得晚于各市县农业农村局工程验收时间。竣工风险总体评估报告的内容应包括风险管理情况汇总、竣工检查情况汇总、对竣工遗留质量风险问题的跟踪复核、对已经出现的质量缺陷的查看及产生原因判别、目前的质量缺陷是否得到妥善解决整改及销项质量风险汇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3.5对甲方在巡查工作中发现的问题，或对外签订的相关专业协议，向乙方提出技术支持或疑难咨询时，乙方应及时给出专业解答和出具意见。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3.6在农业主管部门组织的检查、会议过程中，要求乙方到场的，乙方在接到甲方通知后，应按时到达。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3.7 乙方需按照甲方要求，在甲方的农田管护平台规范录入服务相关信息，农田管护平台账号由甲方提供。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4.巡查服务效力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4.1乙方对巡查中发现的问题，有权直接提出整改意见和要求。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4.2乙方对巡查中发现的问题，有权报告甲方或业主方，提出整改建议和要求。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4.3乙方对巡查中发现的问题，有权直接报告建设单位，提出整改要求。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5.其它相关技术服务成果。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第五条 合同价款及支付方式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1.合同价款：合同价暂定为</w:t>
      </w:r>
      <w:r>
        <w:rPr>
          <w:rFonts w:hint="eastAsia" w:ascii="宋体" w:hAnsi="宋体" w:eastAsia="宋体" w:cs="宋体"/>
          <w:b w:val="0"/>
          <w:bCs/>
          <w:sz w:val="24"/>
          <w:szCs w:val="24"/>
          <w:u w:val="single"/>
          <w:lang w:val="en-US" w:eastAsia="zh-CN"/>
        </w:rPr>
        <w:t xml:space="preserve">    元</w:t>
      </w:r>
      <w:r>
        <w:rPr>
          <w:rFonts w:hint="eastAsia" w:ascii="宋体" w:hAnsi="宋体" w:eastAsia="宋体" w:cs="宋体"/>
          <w:b w:val="0"/>
          <w:bCs/>
          <w:sz w:val="24"/>
          <w:szCs w:val="24"/>
          <w:lang w:val="en-US" w:eastAsia="zh-CN"/>
        </w:rPr>
        <w:t xml:space="preserve"> ,含一切税费。本合同价包括乙方所提供的所有服务费用。合同总价包括乙方履行本合同义务所发生的一切费用和支出。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2.合同价款分四期支付：合同签订后，甲方自高标准农田项目业主方支付第一期保费后的十个工作日内（甲方和业主方约定的第一期保险费缴费时间为2024年</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月底前），向乙方支付30%合同首期款；乙方进场6个月后，甲方向乙方支付20%合同二期款；工程项目政府主管部门和高标准农田项目业主方组织验收合格后，甲方向乙方支付30%合同三期款；剩余20%合同款按照每年开展现场巡察提供巡察报告之后1个月内支付10%合同款，每期乙方按要求提交相关金额的正式发票给甲方。如因发票提交时间延误，甲方自收到乙方发票后的十个工作日内支付相应款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第六条 双方的责任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1.甲方将对乙方提供以下条件：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1.1指定相对固定人员为本项目的甲方负责人，代表甲方与乙方接洽并负责本工作内容的决策、协调、发出指令和接收乙方的报告。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1.2确定项目进展期间的各项沟通计划，负责甲方各项要求的下达。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1.3协调技术指引使用部门及人员，参与被检查与评价项目参建方等与乙方的配合工作。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1.4提供必要的服务需要的技术资料。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1.5按本合同按期支付服务费用。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1.6力所能及的为乙方提供服务工作条件。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2.1乙方所提供的服务应符合国家的有关法律、法规和标准的规定。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2.2乙方应保证组建一支由具有丰富的工程质量、安全检查评价经验所组成的工作团队；乙方应保证管理巡查团队人员的稳定性，若因特殊原因需临时替换或变更团队人员时需征得甲方代表的同意。乙方人员如不称职，甲方有权提出更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lang w:val="en-US" w:eastAsia="zh-CN"/>
        </w:rPr>
        <w:t>2.3乙方指定固定的有丰富项目管理经验人员为本项目的项目经理，代表乙方对本工程管理巡查服务工作负责，并接受和贯彻甲方的指示，按时向甲方呈交巡查报告。</w:t>
      </w:r>
      <w:r>
        <w:rPr>
          <w:rFonts w:hint="eastAsia" w:ascii="宋体" w:hAnsi="宋体" w:eastAsia="宋体" w:cs="宋体"/>
          <w:b w:val="0"/>
          <w:bCs/>
          <w:color w:val="auto"/>
          <w:sz w:val="24"/>
          <w:szCs w:val="24"/>
          <w:lang w:val="en-US" w:eastAsia="zh-CN"/>
        </w:rPr>
        <w:t>乙方还应指定一名公司高管人员作为项目的总统筹，参加重大会议。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2.4乙方所提供的建议、请示、报告和通知均应采用书面形式。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2.5乙方应对本项目管理、技术、经济资料保密，未经甲方书面许可不得泄露给第三方。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2.6乙方应独立完成咨询服务工作；不得接受被检查项目参建单位的礼品馈赠、宴请及其它不当利益，若经甲方查证发生此类不当行为，甲方有权终止合同，并视情节移交廉政管理部门。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2.7乙方应按照合同的内容和要求完成管理巡查服务。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2.8乙方应对现场管理巡查工作人员进行安全教育，确保管理巡查工作人员具备识别危险源的能力，规避危险源，保障自身安全。乙方应为每位管理巡查工作人员购买工伤保险或人身意外伤害险。在施工现场如因乙方管理巡查工作人员违规操作、未遵守现场安全管理规定等原因造成的安全事故，乙方承担因自身违章和过失而造成事故的全部责任和因此而发生的一切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2.9充分了解甲方意图和思路，认真研讨工作方案，开展各项工作。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2.10及时完成各项工作，应充分考虑甲方评审所需时间要求。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2.11充分协调内部资源，保证工作质量。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2.12乙方必须保证第三方风险评估的公正性，不得随意更改管理巡查的原始数据及评价结果。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2.13协助甲方定期召开总结协调会。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第七条 保密条款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1.双方应遵守国家的有关保密规定。妥善保管对方提供的资料，保守对方的各项秘密，并保护对方的知识产权。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2.未经甲方许可，乙方不得将本项目的成果文件及任何数据、图纸、资料向任何第三方转让或用于本合同项目外的其他项目。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3.无论本合同或本合同其他条款是否有效，本保密条款始终约束双方。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第八条 合同变更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1.本合同履行过程中的需求变更和进度调整，以甲乙双方达成一致的书面文件为准。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2.乙方遇到不能按期完成工作的情况，应及时以书面形式将不能按期完成工作的原因、延误时间通知甲方。甲方在收到乙方通知后，根据情况决定是否延长完成时间。如同意延长，则乙方的责任期相应延长。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若由于乙方的原因造成工作进度延迟，工作成果质量低劣，不能满足甲方工作需要和项目评审要求时，甲方有权终止合同，并根据乙方己完成的实际工作量，原则上按相应工作阶段支付服务费用，如出现可能造成甲方损失的情况时，甲方有权扣减部分应付费用。无论是否继续合作，乙方都应将己完成的阶段性成果移交给甲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4.因非乙方责任造成项目进度推迟或延误，无法按照本合同约定的日期完成相应工作，双方经过协商可以进一步约定完成的日期，乙方的责任期也随之顺延。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5.甲方变更委托项目内容、规模、条件，或对所提供资料作较大修改时，应于确定修改之日起5个工作日内书面告知乙方。因以上原因造成乙方返工，工作量按本合同规定的计费标准计算。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第九条违约责任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1.甲方违约责任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甲方未按本合同约定支付合同价款，乙方书面催告甲方并给予不少于5个工作日的履行期限后甲方仍未支付的，乙方有权自该期限届满之日起要求甲方支付该阶段合同价款每日0.3‰的逾期违约金，逾期超过30(个)工作日(含30个工作日)以上时，乙方有权暂停履行下阶段工作，并书面通知甲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2.乙方的违约责任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未经甲方许可，乙方不得将本合同项目与任何第三方合作，或将本合同标的的全部或部分擅自转包给任何第三方。否则，甲方有权要求乙方终止与第三方的合同。乙方应承担因此而产生的相关责任，并向甲方支付合同总价款20%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2.2本合同履行期间，因乙方原因，未能按本合同规定时间完成各阶段有关工作的，每延误一天，若尚未支付的合同款项不足以抵扣的，甲方有权直接要求乙方按上述标准继续支付违约金，如甲方三次及以上书面通知甲方未按合同履行工作职责提示函的，甲方有权解除本合同，且有权在服务费中扣除应支付服务费30%的违约金或直接要求乙方按总服务费30%标准支付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2.3未经甲方同意，乙方调整项目负责人或技术骨干、减少团队人员数量的，甲方有权在服务费中扣除应支付服务费20%的违约金。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第十条 合同解除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1.本合同履行过程中出现以下情形，任何一方可以书面通知对方解除合同。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1.1非归责于任何一方的原因，项目取消的；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1.2非归责于任何一方的原因，项目长期暂停，超过60(个)工作日；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本合同履行期间，因上述情形造成合同终止的，甲方应按乙方己经完成的工作量向乙方支付费用，乙方同时负责将己完成的阶段性成果移交甲方。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2.本合同履行过程中出现下列情形，甲方有权解除合同：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2.1乙方未能按合同约定的日期提交工作成果，延误时间超过30(个)工作日；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2.2因乙方工作的错误或遗漏造成成果质量损失，且乙方未按甲方要求采取及时有效的补救措施的；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2.3乙方未经甲方同意，擅自将本合同项目与任何第三方合作，或将本合同标的全部或部分擅自转包给任何第三方，且未按甲方的要求终止与第三方的合同的；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2.4乙方明确表示或者以自己的行为表明不履行本合同的。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3.本合同履行过程中出现下列情形，乙方有权解除合同：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3.1甲方不审查本项目成果或暂停本项目，延误时间超过60(个)工作日；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3.2甲方未按本合同约定，逾期支付合同价款超过30(个)工作日；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3.3甲方明确表示或者以自己的行为表明不履行本合同的；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第十一条 合同争议的解决方式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因本合同的履行或合同本身发生的争议或纠纷，双方应协商解决。协商不成的，按下列方式解决：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口 提交铜仁市仲裁机构按提请仲裁，仲裁裁决为终局，对双方均有约束力。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口 向甲方住所地人民法院起诉。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第十二条 其他条款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1.如发生不可抗力，如行政命令、政策法规、罢工、禁运、战争、自然灾害(如洪水或地震)或其他超出合同双方控制的事件，致使一方无法履行合同，本合同解除。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本合同所称不可抗力是指自然灾害、战争、地震突发事件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10个工作日内，受影响方应向对方提交正式报告及有关部门开具的证明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1.2发生不可抗力，甲乙双方承担各自的损失。由于其中一方延迟履行合同义务后发生不可抗力的，不能免除责任。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1.3不可抗力事件导致一方无法履行合同义务或继续履行己无意义，由双方协商终止本合同并进行清算，甲方应按照乙方己完成的工作量支付款项，同时乙方应向甲方提交在合同终止日前完成的所有项目文件和相关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2.本合同的附件为合同不可分割的组成部分，与本合同具有同等 法律效力。双方来往的传真、电报、会议纪要等，经双方协商认可后，均可视为合同的组成部分，与本合同具有同等法律效力。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3.本合同未尽事宜，由双方协商签订补充协议。补充协议应以书 面形式做成，经双方法定代表人或其授权代表签字、盖章后与本合同具有同等法律效力。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4.本合同一式两份正本，双方各执一份，均具同等法律效力。</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委托方(甲方)(盖章)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日期：     年    月   日</w:t>
      </w:r>
      <w:r>
        <w:rPr>
          <w:rFonts w:hint="eastAsia" w:ascii="宋体" w:hAnsi="宋体" w:eastAsia="宋体" w:cs="宋体"/>
          <w:b w:val="0"/>
          <w:bCs/>
          <w:sz w:val="24"/>
          <w:szCs w:val="24"/>
          <w:lang w:val="en-US" w:eastAsia="zh-CN"/>
        </w:rPr>
        <w:tab/>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受托方(乙方)(盖章):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日期：     年    月   日</w:t>
      </w:r>
      <w:r>
        <w:rPr>
          <w:rFonts w:hint="eastAsia" w:ascii="宋体" w:hAnsi="宋体" w:eastAsia="宋体" w:cs="宋体"/>
          <w:b w:val="0"/>
          <w:bCs/>
          <w:sz w:val="24"/>
          <w:szCs w:val="24"/>
          <w:lang w:val="en-US" w:eastAsia="zh-CN"/>
        </w:rPr>
        <w:tab/>
      </w:r>
    </w:p>
    <w:p>
      <w:pPr>
        <w:spacing w:before="100" w:beforeAutospacing="1" w:after="100" w:afterAutospacing="1"/>
        <w:rPr>
          <w:color w:val="3A3A3A"/>
        </w:rPr>
      </w:pPr>
      <w:bookmarkStart w:id="16" w:name="_Toc68615221"/>
      <w:r>
        <w:rPr>
          <w:rFonts w:ascii="宋体" w:hAnsi="宋体"/>
          <w:b/>
          <w:bCs/>
          <w:color w:val="FF0000"/>
          <w:sz w:val="32"/>
          <w:szCs w:val="32"/>
          <w:highlight w:val="yellow"/>
        </w:rPr>
        <w:br w:type="page"/>
      </w:r>
    </w:p>
    <w:p>
      <w:pPr>
        <w:widowControl/>
        <w:jc w:val="left"/>
        <w:rPr>
          <w:b/>
          <w:bCs/>
          <w:kern w:val="0"/>
          <w:sz w:val="32"/>
          <w:szCs w:val="32"/>
        </w:rPr>
      </w:pPr>
    </w:p>
    <w:p>
      <w:pPr>
        <w:pStyle w:val="5"/>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Pr>
        <w:pStyle w:val="4"/>
        <w:numPr>
          <w:ilvl w:val="0"/>
          <w:numId w:val="0"/>
        </w:numPr>
        <w:spacing w:line="240" w:lineRule="auto"/>
        <w:rPr>
          <w:rFonts w:hint="eastAsia"/>
          <w:sz w:val="24"/>
          <w:szCs w:val="24"/>
        </w:rPr>
        <w:sectPr>
          <w:footerReference r:id="rId3" w:type="default"/>
          <w:footerReference r:id="rId4" w:type="even"/>
          <w:pgSz w:w="11906" w:h="16838"/>
          <w:pgMar w:top="1440" w:right="1274" w:bottom="1440" w:left="1797" w:header="851" w:footer="992" w:gutter="0"/>
          <w:cols w:space="720" w:num="1"/>
          <w:docGrid w:linePitch="312" w:charSpace="0"/>
        </w:sectPr>
      </w:pPr>
    </w:p>
    <w:p>
      <w:pPr>
        <w:rPr>
          <w:rFonts w:hint="eastAsia"/>
        </w:rPr>
      </w:pP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4"/>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pPr>
        <w:pStyle w:val="4"/>
        <w:numPr>
          <w:ilvl w:val="0"/>
          <w:numId w:val="0"/>
        </w:numPr>
        <w:spacing w:line="240" w:lineRule="auto"/>
        <w:rPr>
          <w:rFonts w:hint="eastAsia"/>
          <w:sz w:val="24"/>
          <w:szCs w:val="24"/>
        </w:rPr>
        <w:sectPr>
          <w:pgSz w:w="11906" w:h="16838"/>
          <w:pgMar w:top="1440" w:right="1274" w:bottom="1440" w:left="1797" w:header="851" w:footer="992" w:gutter="0"/>
          <w:cols w:space="720" w:num="1"/>
          <w:docGrid w:linePitch="312" w:charSpace="0"/>
        </w:sectPr>
      </w:pPr>
    </w:p>
    <w:p>
      <w:pPr>
        <w:pStyle w:val="4"/>
        <w:numPr>
          <w:ilvl w:val="0"/>
          <w:numId w:val="0"/>
        </w:numPr>
        <w:spacing w:line="240" w:lineRule="auto"/>
        <w:rPr>
          <w:sz w:val="24"/>
          <w:szCs w:val="24"/>
        </w:rPr>
      </w:pPr>
      <w:r>
        <w:rPr>
          <w:rFonts w:hint="eastAsia"/>
          <w:sz w:val="24"/>
          <w:szCs w:val="24"/>
        </w:rPr>
        <w:t>附件4.2 采购需求及技术服务要求</w:t>
      </w:r>
    </w:p>
    <w:p>
      <w:pPr>
        <w:widowControl/>
        <w:jc w:val="left"/>
        <w:rPr>
          <w:rFonts w:asciiTheme="minorEastAsia" w:hAnsiTheme="minorEastAsia" w:eastAsiaTheme="minorEastAsia"/>
          <w:sz w:val="24"/>
          <w:szCs w:val="24"/>
        </w:rPr>
      </w:pPr>
      <w:r>
        <w:rPr>
          <w:rFonts w:ascii="Calibri Light" w:hAnsi="Calibri Light"/>
          <w:b/>
          <w:bCs/>
          <w:color w:val="FF0000"/>
          <w:sz w:val="32"/>
          <w:szCs w:val="32"/>
          <w:highlight w:val="yellow"/>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3YjM0YzI2NjllNWRkNTEwZDJmMTMzYTU4NTA1ODMifQ=="/>
  </w:docVars>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485AA2"/>
    <w:rsid w:val="021303D9"/>
    <w:rsid w:val="022A2F1B"/>
    <w:rsid w:val="062067FE"/>
    <w:rsid w:val="0AFF2249"/>
    <w:rsid w:val="0C353372"/>
    <w:rsid w:val="0CE17171"/>
    <w:rsid w:val="120102F7"/>
    <w:rsid w:val="13BC34F6"/>
    <w:rsid w:val="13F56E49"/>
    <w:rsid w:val="147E60B5"/>
    <w:rsid w:val="16972CA0"/>
    <w:rsid w:val="191E0C26"/>
    <w:rsid w:val="1B61067A"/>
    <w:rsid w:val="1BB7745A"/>
    <w:rsid w:val="1D34206D"/>
    <w:rsid w:val="1DEF6D8A"/>
    <w:rsid w:val="1E652C66"/>
    <w:rsid w:val="1F880A4A"/>
    <w:rsid w:val="20C96E58"/>
    <w:rsid w:val="20EE3814"/>
    <w:rsid w:val="22D6459C"/>
    <w:rsid w:val="24684952"/>
    <w:rsid w:val="274F000B"/>
    <w:rsid w:val="2D4B705C"/>
    <w:rsid w:val="2FEB3D2E"/>
    <w:rsid w:val="31D85CDF"/>
    <w:rsid w:val="340C09C2"/>
    <w:rsid w:val="349E0540"/>
    <w:rsid w:val="35F07DBC"/>
    <w:rsid w:val="38755805"/>
    <w:rsid w:val="39A74E22"/>
    <w:rsid w:val="39EE3018"/>
    <w:rsid w:val="3AB01CF9"/>
    <w:rsid w:val="3D5168E8"/>
    <w:rsid w:val="3E8A7180"/>
    <w:rsid w:val="3FA2309A"/>
    <w:rsid w:val="40583A27"/>
    <w:rsid w:val="40A34623"/>
    <w:rsid w:val="447424DD"/>
    <w:rsid w:val="49316771"/>
    <w:rsid w:val="49596D00"/>
    <w:rsid w:val="4B14423A"/>
    <w:rsid w:val="4C3B7B56"/>
    <w:rsid w:val="4C721A7B"/>
    <w:rsid w:val="4CEC4311"/>
    <w:rsid w:val="4D437C2E"/>
    <w:rsid w:val="4DFE254E"/>
    <w:rsid w:val="503E1327"/>
    <w:rsid w:val="587250A7"/>
    <w:rsid w:val="5C983278"/>
    <w:rsid w:val="5D15707C"/>
    <w:rsid w:val="5E203FF8"/>
    <w:rsid w:val="602202C6"/>
    <w:rsid w:val="603F1787"/>
    <w:rsid w:val="607109A5"/>
    <w:rsid w:val="64061766"/>
    <w:rsid w:val="656A1DA4"/>
    <w:rsid w:val="65DA6A1B"/>
    <w:rsid w:val="65F20A51"/>
    <w:rsid w:val="673E51F0"/>
    <w:rsid w:val="69190D6C"/>
    <w:rsid w:val="6B2D7772"/>
    <w:rsid w:val="6B48020E"/>
    <w:rsid w:val="6B94288B"/>
    <w:rsid w:val="6D3867BF"/>
    <w:rsid w:val="6E8A28E9"/>
    <w:rsid w:val="7427609D"/>
    <w:rsid w:val="792E5B5D"/>
    <w:rsid w:val="7F287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9">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7"/>
    <w:unhideWhenUsed/>
    <w:qFormat/>
    <w:uiPriority w:val="99"/>
    <w:pPr>
      <w:tabs>
        <w:tab w:val="center" w:pos="4153"/>
        <w:tab w:val="right" w:pos="8306"/>
      </w:tabs>
      <w:snapToGrid w:val="0"/>
      <w:jc w:val="left"/>
    </w:pPr>
    <w:rPr>
      <w:sz w:val="18"/>
      <w:szCs w:val="18"/>
    </w:rPr>
  </w:style>
  <w:style w:type="paragraph" w:styleId="21">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1"/>
    <w:qFormat/>
    <w:uiPriority w:val="99"/>
    <w:rPr>
      <w:sz w:val="18"/>
      <w:szCs w:val="18"/>
    </w:rPr>
  </w:style>
  <w:style w:type="character" w:customStyle="1" w:styleId="37">
    <w:name w:val="页脚 Char"/>
    <w:basedOn w:val="31"/>
    <w:link w:val="20"/>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4"/>
    <w:qFormat/>
    <w:uiPriority w:val="9"/>
    <w:rPr>
      <w:rFonts w:ascii="Calibri Light" w:hAnsi="Calibri Light" w:eastAsia="宋体" w:cs="Times New Roman"/>
      <w:b/>
      <w:bCs/>
      <w:sz w:val="32"/>
      <w:szCs w:val="32"/>
    </w:rPr>
  </w:style>
  <w:style w:type="character" w:customStyle="1" w:styleId="40">
    <w:name w:val="标题 3 Char"/>
    <w:basedOn w:val="31"/>
    <w:link w:val="5"/>
    <w:qFormat/>
    <w:uiPriority w:val="9"/>
    <w:rPr>
      <w:rFonts w:ascii="Times New Roman" w:hAnsi="Times New Roman" w:eastAsia="宋体" w:cs="Times New Roman"/>
      <w:b/>
      <w:bCs/>
      <w:kern w:val="0"/>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9"/>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9"/>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msolistparagraph"/>
    <w:basedOn w:val="1"/>
    <w:qFormat/>
    <w:uiPriority w:val="0"/>
    <w:pPr>
      <w:keepNext w:val="0"/>
      <w:keepLines w:val="0"/>
      <w:widowControl/>
      <w:suppressLineNumbers w:val="0"/>
      <w:spacing w:before="0" w:beforeAutospacing="0" w:after="0" w:afterAutospacing="0"/>
      <w:ind w:left="0" w:right="0" w:firstLine="420"/>
      <w:jc w:val="both"/>
    </w:pPr>
    <w:rPr>
      <w:rFonts w:hint="default" w:ascii="Calibri" w:hAnsi="Calibri" w:eastAsia="宋体" w:cs="宋体"/>
      <w:kern w:val="0"/>
      <w:sz w:val="20"/>
      <w:szCs w:val="21"/>
      <w:lang w:val="en-US" w:eastAsia="zh-CN" w:bidi="ar"/>
    </w:rPr>
  </w:style>
  <w:style w:type="paragraph" w:customStyle="1" w:styleId="134">
    <w:name w:val="1"/>
    <w:basedOn w:val="1"/>
    <w:next w:val="18"/>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9458</Words>
  <Characters>10010</Characters>
  <Lines>83</Lines>
  <Paragraphs>23</Paragraphs>
  <TotalTime>8</TotalTime>
  <ScaleCrop>false</ScaleCrop>
  <LinksUpToDate>false</LinksUpToDate>
  <CharactersWithSpaces>10272</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代群</cp:lastModifiedBy>
  <dcterms:modified xsi:type="dcterms:W3CDTF">2026-02-11T01:33:29Z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57CD75A06C994E5B9FB261641B1240B6</vt:lpwstr>
  </property>
</Properties>
</file>