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color w:val="000000"/>
          <w:sz w:val="28"/>
          <w:szCs w:val="28"/>
        </w:rPr>
      </w:pPr>
    </w:p>
    <w:p>
      <w:pPr>
        <w:adjustRightInd w:val="0"/>
        <w:snapToGrid w:val="0"/>
        <w:spacing w:line="360" w:lineRule="auto"/>
        <w:jc w:val="center"/>
        <w:rPr>
          <w:rFonts w:ascii="仿宋" w:hAnsi="仿宋" w:eastAsia="仿宋" w:cs="仿宋"/>
          <w:bCs/>
          <w:color w:val="000000"/>
          <w:sz w:val="28"/>
          <w:szCs w:val="28"/>
        </w:rPr>
      </w:pPr>
    </w:p>
    <w:p>
      <w:pPr>
        <w:adjustRightInd w:val="0"/>
        <w:snapToGrid w:val="0"/>
        <w:spacing w:line="360" w:lineRule="auto"/>
        <w:jc w:val="center"/>
        <w:rPr>
          <w:rFonts w:ascii="仿宋" w:hAnsi="仿宋" w:eastAsia="仿宋" w:cs="仿宋"/>
          <w:bCs/>
          <w:color w:val="000000"/>
          <w:sz w:val="28"/>
          <w:szCs w:val="28"/>
        </w:rPr>
      </w:pPr>
    </w:p>
    <w:p>
      <w:pPr>
        <w:adjustRightInd w:val="0"/>
        <w:snapToGrid w:val="0"/>
        <w:spacing w:line="360" w:lineRule="auto"/>
        <w:jc w:val="center"/>
        <w:rPr>
          <w:rFonts w:ascii="仿宋" w:hAnsi="仿宋" w:eastAsia="仿宋" w:cs="仿宋"/>
          <w:b/>
          <w:color w:val="000000"/>
          <w:sz w:val="44"/>
          <w:szCs w:val="44"/>
        </w:rPr>
      </w:pPr>
    </w:p>
    <w:p>
      <w:pPr>
        <w:tabs>
          <w:tab w:val="left" w:pos="720"/>
          <w:tab w:val="left" w:pos="8295"/>
        </w:tabs>
        <w:spacing w:line="360" w:lineRule="auto"/>
        <w:jc w:val="center"/>
        <w:rPr>
          <w:rFonts w:ascii="仿宋" w:hAnsi="仿宋" w:eastAsia="仿宋" w:cs="仿宋"/>
          <w:b/>
          <w:color w:val="000000"/>
          <w:sz w:val="28"/>
          <w:szCs w:val="28"/>
        </w:rPr>
      </w:pPr>
      <w:bookmarkStart w:id="287" w:name="_GoBack"/>
      <w:r>
        <w:rPr>
          <w:rFonts w:hint="eastAsia" w:ascii="仿宋" w:hAnsi="仿宋" w:eastAsia="仿宋" w:cs="宋体"/>
          <w:b/>
          <w:color w:val="FF0000"/>
          <w:spacing w:val="40"/>
          <w:sz w:val="36"/>
          <w:szCs w:val="36"/>
        </w:rPr>
        <w:t>人保财险贵州毕节分公司202</w:t>
      </w:r>
      <w:r>
        <w:rPr>
          <w:rFonts w:hint="eastAsia" w:ascii="仿宋" w:hAnsi="仿宋" w:eastAsia="仿宋" w:cs="宋体"/>
          <w:b/>
          <w:color w:val="FF0000"/>
          <w:spacing w:val="40"/>
          <w:sz w:val="36"/>
          <w:szCs w:val="36"/>
          <w:lang w:val="en-US" w:eastAsia="zh-CN"/>
        </w:rPr>
        <w:t>6</w:t>
      </w:r>
      <w:r>
        <w:rPr>
          <w:rFonts w:hint="eastAsia" w:ascii="仿宋" w:hAnsi="仿宋" w:eastAsia="仿宋" w:cs="宋体"/>
          <w:b/>
          <w:color w:val="FF0000"/>
          <w:spacing w:val="40"/>
          <w:sz w:val="36"/>
          <w:szCs w:val="36"/>
        </w:rPr>
        <w:t>年宣传推广服务供应商入库采购项目</w:t>
      </w:r>
    </w:p>
    <w:bookmarkEnd w:id="287"/>
    <w:p>
      <w:pPr>
        <w:tabs>
          <w:tab w:val="left" w:pos="720"/>
          <w:tab w:val="left" w:pos="8295"/>
        </w:tabs>
        <w:spacing w:line="360" w:lineRule="auto"/>
        <w:jc w:val="center"/>
        <w:rPr>
          <w:rFonts w:ascii="仿宋" w:hAnsi="仿宋" w:eastAsia="仿宋" w:cs="仿宋"/>
          <w:b/>
          <w:color w:val="000000"/>
          <w:sz w:val="28"/>
          <w:szCs w:val="28"/>
        </w:rPr>
      </w:pPr>
    </w:p>
    <w:p>
      <w:pPr>
        <w:rPr>
          <w:rFonts w:ascii="仿宋" w:hAnsi="仿宋" w:eastAsia="仿宋" w:cs="仿宋"/>
          <w:color w:val="000000"/>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bCs/>
          <w:color w:val="000000"/>
          <w:sz w:val="84"/>
          <w:szCs w:val="84"/>
        </w:rPr>
      </w:pPr>
      <w:r>
        <w:rPr>
          <w:rFonts w:hint="eastAsia" w:ascii="仿宋" w:hAnsi="仿宋" w:eastAsia="仿宋" w:cs="仿宋"/>
          <w:b/>
          <w:bCs/>
          <w:color w:val="000000"/>
          <w:sz w:val="84"/>
          <w:szCs w:val="84"/>
        </w:rPr>
        <w:t>询价文件</w:t>
      </w: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36"/>
          <w:szCs w:val="36"/>
        </w:rPr>
      </w:pPr>
    </w:p>
    <w:p>
      <w:pPr>
        <w:pStyle w:val="19"/>
        <w:rPr>
          <w:rFonts w:ascii="宋体" w:hAnsi="宋体"/>
          <w:color w:val="FF0000"/>
          <w:kern w:val="0"/>
          <w:szCs w:val="21"/>
        </w:rPr>
      </w:pPr>
    </w:p>
    <w:p>
      <w:pPr>
        <w:tabs>
          <w:tab w:val="left" w:pos="8295"/>
        </w:tabs>
        <w:adjustRightInd w:val="0"/>
        <w:snapToGrid w:val="0"/>
        <w:spacing w:line="360" w:lineRule="auto"/>
        <w:ind w:left="17" w:right="-21" w:rightChars="-10" w:hanging="17" w:hangingChars="6"/>
        <w:jc w:val="center"/>
        <w:rPr>
          <w:rFonts w:ascii="仿宋" w:hAnsi="仿宋" w:eastAsia="仿宋" w:cs="仿宋"/>
          <w:b/>
          <w:color w:val="FF0000"/>
          <w:kern w:val="0"/>
          <w:sz w:val="28"/>
          <w:szCs w:val="28"/>
        </w:rPr>
      </w:pPr>
      <w:r>
        <w:rPr>
          <w:rFonts w:hint="eastAsia" w:ascii="仿宋" w:hAnsi="仿宋" w:eastAsia="仿宋" w:cs="仿宋"/>
          <w:b/>
          <w:color w:val="FF0000"/>
          <w:kern w:val="0"/>
          <w:sz w:val="28"/>
          <w:szCs w:val="28"/>
        </w:rPr>
        <w:t>采购人：中国人民财产保险股份有限公司</w:t>
      </w:r>
      <w:r>
        <w:rPr>
          <w:rFonts w:hint="eastAsia" w:ascii="仿宋" w:hAnsi="仿宋" w:eastAsia="仿宋" w:cs="仿宋"/>
          <w:b/>
          <w:color w:val="FF0000"/>
          <w:kern w:val="0"/>
          <w:sz w:val="28"/>
          <w:szCs w:val="28"/>
          <w:lang w:val="en-US" w:eastAsia="zh-CN"/>
        </w:rPr>
        <w:t>毕节</w:t>
      </w:r>
      <w:r>
        <w:rPr>
          <w:rFonts w:hint="eastAsia" w:ascii="仿宋" w:hAnsi="仿宋" w:eastAsia="仿宋" w:cs="仿宋"/>
          <w:b/>
          <w:color w:val="FF0000"/>
          <w:kern w:val="0"/>
          <w:sz w:val="28"/>
          <w:szCs w:val="28"/>
        </w:rPr>
        <w:t>分公司</w:t>
      </w:r>
    </w:p>
    <w:p>
      <w:pPr>
        <w:tabs>
          <w:tab w:val="left" w:pos="720"/>
          <w:tab w:val="left" w:pos="8295"/>
        </w:tabs>
        <w:spacing w:line="360" w:lineRule="auto"/>
        <w:jc w:val="center"/>
        <w:rPr>
          <w:rFonts w:ascii="仿宋" w:hAnsi="仿宋" w:eastAsia="仿宋" w:cs="仿宋"/>
          <w:b/>
          <w:color w:val="FF0000"/>
          <w:sz w:val="36"/>
          <w:szCs w:val="36"/>
        </w:rPr>
      </w:pPr>
      <w:r>
        <w:rPr>
          <w:rFonts w:hint="eastAsia" w:ascii="仿宋" w:hAnsi="仿宋" w:eastAsia="仿宋" w:cs="仿宋"/>
          <w:b/>
          <w:color w:val="FF0000"/>
          <w:sz w:val="28"/>
          <w:szCs w:val="28"/>
        </w:rPr>
        <w:t>日期：202</w:t>
      </w:r>
      <w:r>
        <w:rPr>
          <w:rFonts w:hint="eastAsia" w:ascii="仿宋" w:hAnsi="仿宋" w:eastAsia="仿宋" w:cs="仿宋"/>
          <w:b/>
          <w:color w:val="FF0000"/>
          <w:sz w:val="28"/>
          <w:szCs w:val="28"/>
          <w:lang w:val="en-US" w:eastAsia="zh-CN"/>
        </w:rPr>
        <w:t>6</w:t>
      </w:r>
      <w:r>
        <w:rPr>
          <w:rFonts w:hint="eastAsia" w:ascii="仿宋" w:hAnsi="仿宋" w:eastAsia="仿宋" w:cs="仿宋"/>
          <w:b/>
          <w:color w:val="FF0000"/>
          <w:sz w:val="28"/>
          <w:szCs w:val="28"/>
        </w:rPr>
        <w:t>年</w:t>
      </w:r>
      <w:r>
        <w:rPr>
          <w:rFonts w:hint="eastAsia" w:ascii="仿宋" w:hAnsi="仿宋" w:eastAsia="仿宋" w:cs="仿宋"/>
          <w:b/>
          <w:color w:val="FF0000"/>
          <w:sz w:val="28"/>
          <w:szCs w:val="28"/>
          <w:lang w:val="en-US" w:eastAsia="zh-CN"/>
        </w:rPr>
        <w:t>2</w:t>
      </w:r>
      <w:r>
        <w:rPr>
          <w:rFonts w:hint="eastAsia" w:ascii="仿宋" w:hAnsi="仿宋" w:eastAsia="仿宋" w:cs="仿宋"/>
          <w:b/>
          <w:color w:val="FF0000"/>
          <w:sz w:val="28"/>
          <w:szCs w:val="28"/>
        </w:rPr>
        <w:t>月</w:t>
      </w:r>
    </w:p>
    <w:p>
      <w:pPr>
        <w:spacing w:line="360" w:lineRule="auto"/>
        <w:jc w:val="center"/>
        <w:rPr>
          <w:rFonts w:ascii="仿宋" w:hAnsi="仿宋" w:eastAsia="仿宋" w:cs="仿宋"/>
          <w:color w:val="000000"/>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sdt>
      <w:sdtPr>
        <w:rPr>
          <w:rFonts w:ascii="宋体" w:hAnsi="宋体"/>
          <w:b/>
          <w:bCs/>
          <w:caps/>
        </w:rPr>
        <w:id w:val="147482321"/>
        <w15:color w:val="DBDBDB"/>
        <w:docPartObj>
          <w:docPartGallery w:val="Table of Contents"/>
          <w:docPartUnique/>
        </w:docPartObj>
      </w:sdtPr>
      <w:sdtEndPr>
        <w:rPr>
          <w:rFonts w:ascii="宋体" w:hAnsi="宋体"/>
          <w:b/>
          <w:bCs/>
          <w:caps/>
        </w:rPr>
      </w:sdtEndPr>
      <w:sdtContent>
        <w:p>
          <w:pPr>
            <w:pStyle w:val="29"/>
            <w:tabs>
              <w:tab w:val="right" w:leader="dot" w:pos="9638"/>
            </w:tabs>
            <w:rPr>
              <w:rFonts w:ascii="Calibri" w:hAnsi="Calibri" w:eastAsia="宋体" w:cs="Calibri"/>
              <w:b/>
              <w:bCs/>
              <w:caps/>
              <w:kern w:val="2"/>
              <w:sz w:val="20"/>
              <w:szCs w:val="20"/>
              <w:lang w:val="en-US" w:eastAsia="zh-CN" w:bidi="ar-SA"/>
            </w:rPr>
          </w:pPr>
          <w:bookmarkStart w:id="1" w:name="_Toc7300"/>
          <w:bookmarkStart w:id="2" w:name="_Toc11838"/>
          <w:bookmarkStart w:id="3" w:name="_Toc19709"/>
          <w:bookmarkStart w:id="4" w:name="_Toc11826"/>
          <w:bookmarkStart w:id="5" w:name="_Toc444891333"/>
          <w:bookmarkStart w:id="6" w:name="_Toc287600115"/>
          <w:bookmarkStart w:id="7" w:name="_Toc517281813"/>
          <w:bookmarkStart w:id="8" w:name="_Toc100672391"/>
          <w:bookmarkStart w:id="9" w:name="_Toc8478"/>
          <w:bookmarkStart w:id="10" w:name="_Toc120625359"/>
          <w:r>
            <w:fldChar w:fldCharType="begin"/>
          </w:r>
          <w:r>
            <w:instrText xml:space="preserve">TOC \o "1-3" \h \u </w:instrText>
          </w:r>
          <w:r>
            <w:fldChar w:fldCharType="separate"/>
          </w:r>
        </w:p>
        <w:p>
          <w:pPr>
            <w:pStyle w:val="29"/>
            <w:tabs>
              <w:tab w:val="right" w:leader="dot" w:pos="9638"/>
            </w:tabs>
          </w:pPr>
          <w:r>
            <w:fldChar w:fldCharType="begin"/>
          </w:r>
          <w:r>
            <w:instrText xml:space="preserve"> HYPERLINK \l _Toc30782 </w:instrText>
          </w:r>
          <w:r>
            <w:fldChar w:fldCharType="separate"/>
          </w:r>
          <w:r>
            <w:rPr>
              <w:rFonts w:hint="eastAsia" w:ascii="仿宋" w:hAnsi="仿宋" w:eastAsia="仿宋" w:cs="仿宋"/>
              <w:bCs w:val="0"/>
              <w:szCs w:val="28"/>
            </w:rPr>
            <w:t>第一章 询价函</w:t>
          </w:r>
          <w:r>
            <w:tab/>
          </w:r>
          <w:r>
            <w:fldChar w:fldCharType="begin"/>
          </w:r>
          <w:r>
            <w:instrText xml:space="preserve"> PAGEREF _Toc30782 \h </w:instrText>
          </w:r>
          <w:r>
            <w:fldChar w:fldCharType="separate"/>
          </w:r>
          <w:r>
            <w:t>3</w:t>
          </w:r>
          <w:r>
            <w:fldChar w:fldCharType="end"/>
          </w:r>
          <w:r>
            <w:fldChar w:fldCharType="end"/>
          </w:r>
        </w:p>
        <w:p>
          <w:pPr>
            <w:pStyle w:val="34"/>
            <w:tabs>
              <w:tab w:val="right" w:leader="dot" w:pos="9638"/>
            </w:tabs>
          </w:pPr>
          <w:r>
            <w:fldChar w:fldCharType="begin"/>
          </w:r>
          <w:r>
            <w:instrText xml:space="preserve"> HYPERLINK \l _Toc23928 </w:instrText>
          </w:r>
          <w:r>
            <w:fldChar w:fldCharType="separate"/>
          </w:r>
          <w:r>
            <w:rPr>
              <w:rFonts w:hint="eastAsia" w:ascii="仿宋" w:hAnsi="仿宋" w:eastAsia="仿宋" w:cs="仿宋"/>
              <w:szCs w:val="24"/>
            </w:rPr>
            <w:t>一、项目概况与采购范围</w:t>
          </w:r>
          <w:r>
            <w:tab/>
          </w:r>
          <w:r>
            <w:fldChar w:fldCharType="begin"/>
          </w:r>
          <w:r>
            <w:instrText xml:space="preserve"> PAGEREF _Toc23928 \h </w:instrText>
          </w:r>
          <w:r>
            <w:fldChar w:fldCharType="separate"/>
          </w:r>
          <w:r>
            <w:t>3</w:t>
          </w:r>
          <w:r>
            <w:fldChar w:fldCharType="end"/>
          </w:r>
          <w:r>
            <w:fldChar w:fldCharType="end"/>
          </w:r>
        </w:p>
        <w:p>
          <w:pPr>
            <w:pStyle w:val="34"/>
            <w:tabs>
              <w:tab w:val="right" w:leader="dot" w:pos="9638"/>
            </w:tabs>
          </w:pPr>
          <w:r>
            <w:fldChar w:fldCharType="begin"/>
          </w:r>
          <w:r>
            <w:instrText xml:space="preserve"> HYPERLINK \l _Toc1577 </w:instrText>
          </w:r>
          <w:r>
            <w:fldChar w:fldCharType="separate"/>
          </w:r>
          <w:r>
            <w:rPr>
              <w:rFonts w:hint="eastAsia" w:ascii="仿宋" w:hAnsi="仿宋" w:eastAsia="仿宋" w:cs="仿宋"/>
              <w:szCs w:val="24"/>
            </w:rPr>
            <w:t>二、供应商资格要求</w:t>
          </w:r>
          <w:r>
            <w:tab/>
          </w:r>
          <w:r>
            <w:fldChar w:fldCharType="begin"/>
          </w:r>
          <w:r>
            <w:instrText xml:space="preserve"> PAGEREF _Toc1577 \h </w:instrText>
          </w:r>
          <w:r>
            <w:fldChar w:fldCharType="separate"/>
          </w:r>
          <w:r>
            <w:t>3</w:t>
          </w:r>
          <w:r>
            <w:fldChar w:fldCharType="end"/>
          </w:r>
          <w:r>
            <w:fldChar w:fldCharType="end"/>
          </w:r>
        </w:p>
        <w:p>
          <w:pPr>
            <w:pStyle w:val="34"/>
            <w:tabs>
              <w:tab w:val="right" w:leader="dot" w:pos="9638"/>
            </w:tabs>
          </w:pPr>
          <w:r>
            <w:fldChar w:fldCharType="begin"/>
          </w:r>
          <w:r>
            <w:instrText xml:space="preserve"> HYPERLINK \l _Toc9392 </w:instrText>
          </w:r>
          <w:r>
            <w:fldChar w:fldCharType="separate"/>
          </w:r>
          <w:r>
            <w:rPr>
              <w:rFonts w:hint="eastAsia" w:ascii="仿宋" w:hAnsi="仿宋" w:eastAsia="仿宋" w:cs="仿宋"/>
              <w:szCs w:val="24"/>
            </w:rPr>
            <w:t>三、资格审查方法</w:t>
          </w:r>
          <w:r>
            <w:tab/>
          </w:r>
          <w:r>
            <w:fldChar w:fldCharType="begin"/>
          </w:r>
          <w:r>
            <w:instrText xml:space="preserve"> PAGEREF _Toc9392 \h </w:instrText>
          </w:r>
          <w:r>
            <w:fldChar w:fldCharType="separate"/>
          </w:r>
          <w:r>
            <w:t>4</w:t>
          </w:r>
          <w:r>
            <w:fldChar w:fldCharType="end"/>
          </w:r>
          <w:r>
            <w:fldChar w:fldCharType="end"/>
          </w:r>
        </w:p>
        <w:p>
          <w:pPr>
            <w:pStyle w:val="34"/>
            <w:tabs>
              <w:tab w:val="right" w:leader="dot" w:pos="9638"/>
            </w:tabs>
          </w:pPr>
          <w:r>
            <w:fldChar w:fldCharType="begin"/>
          </w:r>
          <w:r>
            <w:instrText xml:space="preserve"> HYPERLINK \l _Toc23101 </w:instrText>
          </w:r>
          <w:r>
            <w:fldChar w:fldCharType="separate"/>
          </w:r>
          <w:r>
            <w:rPr>
              <w:rFonts w:hint="eastAsia" w:ascii="仿宋" w:hAnsi="仿宋" w:eastAsia="仿宋" w:cs="仿宋"/>
              <w:szCs w:val="24"/>
            </w:rPr>
            <w:t>四、询价文件的领取</w:t>
          </w:r>
          <w:r>
            <w:tab/>
          </w:r>
          <w:r>
            <w:fldChar w:fldCharType="begin"/>
          </w:r>
          <w:r>
            <w:instrText xml:space="preserve"> PAGEREF _Toc23101 \h </w:instrText>
          </w:r>
          <w:r>
            <w:fldChar w:fldCharType="separate"/>
          </w:r>
          <w:r>
            <w:t>4</w:t>
          </w:r>
          <w:r>
            <w:fldChar w:fldCharType="end"/>
          </w:r>
          <w:r>
            <w:fldChar w:fldCharType="end"/>
          </w:r>
        </w:p>
        <w:p>
          <w:pPr>
            <w:pStyle w:val="34"/>
            <w:tabs>
              <w:tab w:val="right" w:leader="dot" w:pos="9638"/>
            </w:tabs>
          </w:pPr>
          <w:r>
            <w:fldChar w:fldCharType="begin"/>
          </w:r>
          <w:r>
            <w:instrText xml:space="preserve"> HYPERLINK \l _Toc13663 </w:instrText>
          </w:r>
          <w:r>
            <w:fldChar w:fldCharType="separate"/>
          </w:r>
          <w:r>
            <w:rPr>
              <w:rFonts w:hint="eastAsia" w:ascii="仿宋" w:hAnsi="仿宋" w:eastAsia="仿宋" w:cs="仿宋"/>
              <w:szCs w:val="24"/>
            </w:rPr>
            <w:t>五、响应文件的递交</w:t>
          </w:r>
          <w:r>
            <w:tab/>
          </w:r>
          <w:r>
            <w:fldChar w:fldCharType="begin"/>
          </w:r>
          <w:r>
            <w:instrText xml:space="preserve"> PAGEREF _Toc13663 \h </w:instrText>
          </w:r>
          <w:r>
            <w:fldChar w:fldCharType="separate"/>
          </w:r>
          <w:r>
            <w:t>4</w:t>
          </w:r>
          <w:r>
            <w:fldChar w:fldCharType="end"/>
          </w:r>
          <w:r>
            <w:fldChar w:fldCharType="end"/>
          </w:r>
        </w:p>
        <w:p>
          <w:pPr>
            <w:pStyle w:val="34"/>
            <w:tabs>
              <w:tab w:val="right" w:leader="dot" w:pos="9638"/>
            </w:tabs>
          </w:pPr>
          <w:r>
            <w:fldChar w:fldCharType="begin"/>
          </w:r>
          <w:r>
            <w:instrText xml:space="preserve"> HYPERLINK \l _Toc25355 </w:instrText>
          </w:r>
          <w:r>
            <w:fldChar w:fldCharType="separate"/>
          </w:r>
          <w:r>
            <w:rPr>
              <w:rFonts w:hint="eastAsia" w:ascii="仿宋" w:hAnsi="仿宋" w:eastAsia="仿宋" w:cs="仿宋"/>
              <w:szCs w:val="24"/>
            </w:rPr>
            <w:t>六、联系方式</w:t>
          </w:r>
          <w:r>
            <w:tab/>
          </w:r>
          <w:r>
            <w:fldChar w:fldCharType="begin"/>
          </w:r>
          <w:r>
            <w:instrText xml:space="preserve"> PAGEREF _Toc25355 \h </w:instrText>
          </w:r>
          <w:r>
            <w:fldChar w:fldCharType="separate"/>
          </w:r>
          <w:r>
            <w:t>4</w:t>
          </w:r>
          <w:r>
            <w:fldChar w:fldCharType="end"/>
          </w:r>
          <w:r>
            <w:fldChar w:fldCharType="end"/>
          </w:r>
        </w:p>
        <w:p>
          <w:pPr>
            <w:pStyle w:val="29"/>
            <w:tabs>
              <w:tab w:val="right" w:leader="dot" w:pos="9638"/>
            </w:tabs>
          </w:pPr>
          <w:r>
            <w:fldChar w:fldCharType="begin"/>
          </w:r>
          <w:r>
            <w:instrText xml:space="preserve"> HYPERLINK \l _Toc17790 </w:instrText>
          </w:r>
          <w:r>
            <w:fldChar w:fldCharType="separate"/>
          </w:r>
          <w:r>
            <w:rPr>
              <w:rFonts w:hint="eastAsia" w:ascii="仿宋" w:hAnsi="仿宋" w:eastAsia="仿宋" w:cs="仿宋"/>
              <w:szCs w:val="28"/>
            </w:rPr>
            <w:t>第二章 供应商须知</w:t>
          </w:r>
          <w:r>
            <w:tab/>
          </w:r>
          <w:r>
            <w:fldChar w:fldCharType="begin"/>
          </w:r>
          <w:r>
            <w:instrText xml:space="preserve"> PAGEREF _Toc17790 \h </w:instrText>
          </w:r>
          <w:r>
            <w:fldChar w:fldCharType="separate"/>
          </w:r>
          <w:r>
            <w:t>5</w:t>
          </w:r>
          <w:r>
            <w:fldChar w:fldCharType="end"/>
          </w:r>
          <w:r>
            <w:fldChar w:fldCharType="end"/>
          </w:r>
        </w:p>
        <w:p>
          <w:pPr>
            <w:pStyle w:val="34"/>
            <w:tabs>
              <w:tab w:val="right" w:leader="dot" w:pos="9638"/>
            </w:tabs>
          </w:pPr>
          <w:r>
            <w:fldChar w:fldCharType="begin"/>
          </w:r>
          <w:r>
            <w:instrText xml:space="preserve"> HYPERLINK \l _Toc8620 </w:instrText>
          </w:r>
          <w:r>
            <w:fldChar w:fldCharType="separate"/>
          </w:r>
          <w:r>
            <w:rPr>
              <w:rFonts w:hint="eastAsia" w:ascii="仿宋" w:hAnsi="仿宋" w:eastAsia="仿宋" w:cs="仿宋"/>
              <w:szCs w:val="24"/>
            </w:rPr>
            <w:t>一、供应商须知前附表</w:t>
          </w:r>
          <w:r>
            <w:tab/>
          </w:r>
          <w:r>
            <w:fldChar w:fldCharType="begin"/>
          </w:r>
          <w:r>
            <w:instrText xml:space="preserve"> PAGEREF _Toc8620 \h </w:instrText>
          </w:r>
          <w:r>
            <w:fldChar w:fldCharType="separate"/>
          </w:r>
          <w:r>
            <w:t>5</w:t>
          </w:r>
          <w:r>
            <w:fldChar w:fldCharType="end"/>
          </w:r>
          <w:r>
            <w:fldChar w:fldCharType="end"/>
          </w:r>
        </w:p>
        <w:p>
          <w:pPr>
            <w:pStyle w:val="34"/>
            <w:tabs>
              <w:tab w:val="right" w:leader="dot" w:pos="9638"/>
            </w:tabs>
          </w:pPr>
          <w:r>
            <w:fldChar w:fldCharType="begin"/>
          </w:r>
          <w:r>
            <w:instrText xml:space="preserve"> HYPERLINK \l _Toc28865 </w:instrText>
          </w:r>
          <w:r>
            <w:fldChar w:fldCharType="separate"/>
          </w:r>
          <w:r>
            <w:rPr>
              <w:rFonts w:hint="eastAsia" w:ascii="仿宋" w:hAnsi="仿宋" w:eastAsia="仿宋" w:cs="仿宋"/>
              <w:szCs w:val="24"/>
            </w:rPr>
            <w:t>二、供应商须知正文</w:t>
          </w:r>
          <w:r>
            <w:tab/>
          </w:r>
          <w:r>
            <w:fldChar w:fldCharType="begin"/>
          </w:r>
          <w:r>
            <w:instrText xml:space="preserve"> PAGEREF _Toc28865 \h </w:instrText>
          </w:r>
          <w:r>
            <w:fldChar w:fldCharType="separate"/>
          </w:r>
          <w:r>
            <w:t>8</w:t>
          </w:r>
          <w:r>
            <w:fldChar w:fldCharType="end"/>
          </w:r>
          <w:r>
            <w:fldChar w:fldCharType="end"/>
          </w:r>
        </w:p>
        <w:p>
          <w:pPr>
            <w:pStyle w:val="21"/>
            <w:tabs>
              <w:tab w:val="right" w:leader="dot" w:pos="9638"/>
            </w:tabs>
          </w:pPr>
          <w:r>
            <w:fldChar w:fldCharType="begin"/>
          </w:r>
          <w:r>
            <w:instrText xml:space="preserve"> HYPERLINK \l _Toc19989 </w:instrText>
          </w:r>
          <w:r>
            <w:fldChar w:fldCharType="separate"/>
          </w:r>
          <w:r>
            <w:rPr>
              <w:rFonts w:hint="eastAsia" w:ascii="仿宋" w:hAnsi="仿宋" w:eastAsia="仿宋" w:cs="仿宋"/>
              <w:szCs w:val="24"/>
            </w:rPr>
            <w:t>（一）总 则</w:t>
          </w:r>
          <w:r>
            <w:tab/>
          </w:r>
          <w:r>
            <w:fldChar w:fldCharType="begin"/>
          </w:r>
          <w:r>
            <w:instrText xml:space="preserve"> PAGEREF _Toc19989 \h </w:instrText>
          </w:r>
          <w:r>
            <w:fldChar w:fldCharType="separate"/>
          </w:r>
          <w:r>
            <w:t>8</w:t>
          </w:r>
          <w:r>
            <w:fldChar w:fldCharType="end"/>
          </w:r>
          <w:r>
            <w:fldChar w:fldCharType="end"/>
          </w:r>
        </w:p>
        <w:p>
          <w:pPr>
            <w:pStyle w:val="21"/>
            <w:tabs>
              <w:tab w:val="right" w:leader="dot" w:pos="9638"/>
            </w:tabs>
          </w:pPr>
          <w:r>
            <w:fldChar w:fldCharType="begin"/>
          </w:r>
          <w:r>
            <w:instrText xml:space="preserve"> HYPERLINK \l _Toc13837 </w:instrText>
          </w:r>
          <w:r>
            <w:fldChar w:fldCharType="separate"/>
          </w:r>
          <w:r>
            <w:rPr>
              <w:rFonts w:hint="eastAsia" w:ascii="仿宋" w:hAnsi="仿宋" w:eastAsia="仿宋" w:cs="仿宋"/>
              <w:szCs w:val="24"/>
            </w:rPr>
            <w:t>（二）询价文件</w:t>
          </w:r>
          <w:r>
            <w:tab/>
          </w:r>
          <w:r>
            <w:fldChar w:fldCharType="begin"/>
          </w:r>
          <w:r>
            <w:instrText xml:space="preserve"> PAGEREF _Toc13837 \h </w:instrText>
          </w:r>
          <w:r>
            <w:fldChar w:fldCharType="separate"/>
          </w:r>
          <w:r>
            <w:t>8</w:t>
          </w:r>
          <w:r>
            <w:fldChar w:fldCharType="end"/>
          </w:r>
          <w:r>
            <w:fldChar w:fldCharType="end"/>
          </w:r>
        </w:p>
        <w:p>
          <w:pPr>
            <w:pStyle w:val="21"/>
            <w:tabs>
              <w:tab w:val="right" w:leader="dot" w:pos="9638"/>
            </w:tabs>
          </w:pPr>
          <w:r>
            <w:fldChar w:fldCharType="begin"/>
          </w:r>
          <w:r>
            <w:instrText xml:space="preserve"> HYPERLINK \l _Toc7996 </w:instrText>
          </w:r>
          <w:r>
            <w:fldChar w:fldCharType="separate"/>
          </w:r>
          <w:r>
            <w:rPr>
              <w:rFonts w:hint="eastAsia" w:ascii="仿宋" w:hAnsi="仿宋" w:eastAsia="仿宋" w:cs="仿宋"/>
              <w:szCs w:val="24"/>
            </w:rPr>
            <w:t>（三）响应文件</w:t>
          </w:r>
          <w:r>
            <w:tab/>
          </w:r>
          <w:r>
            <w:fldChar w:fldCharType="begin"/>
          </w:r>
          <w:r>
            <w:instrText xml:space="preserve"> PAGEREF _Toc7996 \h </w:instrText>
          </w:r>
          <w:r>
            <w:fldChar w:fldCharType="separate"/>
          </w:r>
          <w:r>
            <w:t>9</w:t>
          </w:r>
          <w:r>
            <w:fldChar w:fldCharType="end"/>
          </w:r>
          <w:r>
            <w:fldChar w:fldCharType="end"/>
          </w:r>
        </w:p>
        <w:p>
          <w:pPr>
            <w:pStyle w:val="21"/>
            <w:tabs>
              <w:tab w:val="right" w:leader="dot" w:pos="9638"/>
            </w:tabs>
          </w:pPr>
          <w:r>
            <w:fldChar w:fldCharType="begin"/>
          </w:r>
          <w:r>
            <w:instrText xml:space="preserve"> HYPERLINK \l _Toc23965 </w:instrText>
          </w:r>
          <w:r>
            <w:fldChar w:fldCharType="separate"/>
          </w:r>
          <w:r>
            <w:rPr>
              <w:rFonts w:hint="eastAsia" w:ascii="仿宋" w:hAnsi="仿宋" w:eastAsia="仿宋" w:cs="仿宋"/>
              <w:szCs w:val="24"/>
            </w:rPr>
            <w:t>（四）响应文件的递交</w:t>
          </w:r>
          <w:r>
            <w:tab/>
          </w:r>
          <w:r>
            <w:fldChar w:fldCharType="begin"/>
          </w:r>
          <w:r>
            <w:instrText xml:space="preserve"> PAGEREF _Toc23965 \h </w:instrText>
          </w:r>
          <w:r>
            <w:fldChar w:fldCharType="separate"/>
          </w:r>
          <w:r>
            <w:t>11</w:t>
          </w:r>
          <w:r>
            <w:fldChar w:fldCharType="end"/>
          </w:r>
          <w:r>
            <w:fldChar w:fldCharType="end"/>
          </w:r>
        </w:p>
        <w:p>
          <w:pPr>
            <w:pStyle w:val="21"/>
            <w:tabs>
              <w:tab w:val="right" w:leader="dot" w:pos="9638"/>
            </w:tabs>
          </w:pPr>
          <w:r>
            <w:fldChar w:fldCharType="begin"/>
          </w:r>
          <w:r>
            <w:instrText xml:space="preserve"> HYPERLINK \l _Toc23837 </w:instrText>
          </w:r>
          <w:r>
            <w:fldChar w:fldCharType="separate"/>
          </w:r>
          <w:r>
            <w:rPr>
              <w:rFonts w:hint="eastAsia" w:ascii="仿宋" w:hAnsi="仿宋" w:eastAsia="仿宋" w:cs="仿宋"/>
              <w:szCs w:val="24"/>
            </w:rPr>
            <w:t>（五）评审与询价</w:t>
          </w:r>
          <w:r>
            <w:tab/>
          </w:r>
          <w:r>
            <w:fldChar w:fldCharType="begin"/>
          </w:r>
          <w:r>
            <w:instrText xml:space="preserve"> PAGEREF _Toc23837 \h </w:instrText>
          </w:r>
          <w:r>
            <w:fldChar w:fldCharType="separate"/>
          </w:r>
          <w:r>
            <w:t>11</w:t>
          </w:r>
          <w:r>
            <w:fldChar w:fldCharType="end"/>
          </w:r>
          <w:r>
            <w:fldChar w:fldCharType="end"/>
          </w:r>
        </w:p>
        <w:p>
          <w:pPr>
            <w:pStyle w:val="21"/>
            <w:tabs>
              <w:tab w:val="right" w:leader="dot" w:pos="9638"/>
            </w:tabs>
          </w:pPr>
          <w:r>
            <w:fldChar w:fldCharType="begin"/>
          </w:r>
          <w:r>
            <w:instrText xml:space="preserve"> HYPERLINK \l _Toc30054 </w:instrText>
          </w:r>
          <w:r>
            <w:fldChar w:fldCharType="separate"/>
          </w:r>
          <w:r>
            <w:rPr>
              <w:rFonts w:hint="eastAsia" w:ascii="仿宋" w:hAnsi="仿宋" w:eastAsia="仿宋" w:cs="仿宋"/>
              <w:szCs w:val="24"/>
            </w:rPr>
            <w:t>（六）授予合同</w:t>
          </w:r>
          <w:r>
            <w:tab/>
          </w:r>
          <w:r>
            <w:fldChar w:fldCharType="begin"/>
          </w:r>
          <w:r>
            <w:instrText xml:space="preserve"> PAGEREF _Toc30054 \h </w:instrText>
          </w:r>
          <w:r>
            <w:fldChar w:fldCharType="separate"/>
          </w:r>
          <w:r>
            <w:t>12</w:t>
          </w:r>
          <w:r>
            <w:fldChar w:fldCharType="end"/>
          </w:r>
          <w:r>
            <w:fldChar w:fldCharType="end"/>
          </w:r>
        </w:p>
        <w:p>
          <w:pPr>
            <w:pStyle w:val="21"/>
            <w:tabs>
              <w:tab w:val="right" w:leader="dot" w:pos="9638"/>
            </w:tabs>
          </w:pPr>
          <w:r>
            <w:fldChar w:fldCharType="begin"/>
          </w:r>
          <w:r>
            <w:instrText xml:space="preserve"> HYPERLINK \l _Toc21532 </w:instrText>
          </w:r>
          <w:r>
            <w:fldChar w:fldCharType="separate"/>
          </w:r>
          <w:r>
            <w:rPr>
              <w:rFonts w:hint="eastAsia" w:ascii="仿宋" w:hAnsi="仿宋" w:eastAsia="仿宋" w:cs="仿宋"/>
              <w:szCs w:val="24"/>
            </w:rPr>
            <w:t>（七）其他</w:t>
          </w:r>
          <w:r>
            <w:tab/>
          </w:r>
          <w:r>
            <w:fldChar w:fldCharType="begin"/>
          </w:r>
          <w:r>
            <w:instrText xml:space="preserve"> PAGEREF _Toc21532 \h </w:instrText>
          </w:r>
          <w:r>
            <w:fldChar w:fldCharType="separate"/>
          </w:r>
          <w:r>
            <w:t>13</w:t>
          </w:r>
          <w:r>
            <w:fldChar w:fldCharType="end"/>
          </w:r>
          <w:r>
            <w:fldChar w:fldCharType="end"/>
          </w:r>
        </w:p>
        <w:p>
          <w:pPr>
            <w:pStyle w:val="29"/>
            <w:tabs>
              <w:tab w:val="right" w:leader="dot" w:pos="9638"/>
            </w:tabs>
          </w:pPr>
          <w:r>
            <w:fldChar w:fldCharType="begin"/>
          </w:r>
          <w:r>
            <w:instrText xml:space="preserve"> HYPERLINK \l _Toc15735 </w:instrText>
          </w:r>
          <w:r>
            <w:fldChar w:fldCharType="separate"/>
          </w:r>
          <w:r>
            <w:rPr>
              <w:rFonts w:hint="eastAsia" w:ascii="仿宋" w:hAnsi="仿宋" w:eastAsia="仿宋" w:cs="仿宋"/>
              <w:szCs w:val="28"/>
            </w:rPr>
            <w:t>第三章 评审办法</w:t>
          </w:r>
          <w:r>
            <w:tab/>
          </w:r>
          <w:r>
            <w:fldChar w:fldCharType="begin"/>
          </w:r>
          <w:r>
            <w:instrText xml:space="preserve"> PAGEREF _Toc15735 \h </w:instrText>
          </w:r>
          <w:r>
            <w:fldChar w:fldCharType="separate"/>
          </w:r>
          <w:r>
            <w:t>14</w:t>
          </w:r>
          <w:r>
            <w:fldChar w:fldCharType="end"/>
          </w:r>
          <w:r>
            <w:fldChar w:fldCharType="end"/>
          </w:r>
        </w:p>
        <w:p>
          <w:pPr>
            <w:pStyle w:val="34"/>
            <w:tabs>
              <w:tab w:val="right" w:leader="dot" w:pos="9638"/>
            </w:tabs>
          </w:pPr>
          <w:r>
            <w:fldChar w:fldCharType="begin"/>
          </w:r>
          <w:r>
            <w:instrText xml:space="preserve"> HYPERLINK \l _Toc15457 </w:instrText>
          </w:r>
          <w:r>
            <w:fldChar w:fldCharType="separate"/>
          </w:r>
          <w:r>
            <w:rPr>
              <w:rFonts w:hint="eastAsia" w:ascii="仿宋" w:hAnsi="仿宋" w:eastAsia="仿宋" w:cs="仿宋"/>
              <w:szCs w:val="24"/>
            </w:rPr>
            <w:t>一、评审程序</w:t>
          </w:r>
          <w:r>
            <w:tab/>
          </w:r>
          <w:r>
            <w:fldChar w:fldCharType="begin"/>
          </w:r>
          <w:r>
            <w:instrText xml:space="preserve"> PAGEREF _Toc15457 \h </w:instrText>
          </w:r>
          <w:r>
            <w:fldChar w:fldCharType="separate"/>
          </w:r>
          <w:r>
            <w:t>14</w:t>
          </w:r>
          <w:r>
            <w:fldChar w:fldCharType="end"/>
          </w:r>
          <w:r>
            <w:fldChar w:fldCharType="end"/>
          </w:r>
        </w:p>
        <w:p>
          <w:pPr>
            <w:pStyle w:val="34"/>
            <w:tabs>
              <w:tab w:val="right" w:leader="dot" w:pos="9638"/>
            </w:tabs>
          </w:pPr>
          <w:r>
            <w:fldChar w:fldCharType="begin"/>
          </w:r>
          <w:r>
            <w:instrText xml:space="preserve"> HYPERLINK \l _Toc27745 </w:instrText>
          </w:r>
          <w:r>
            <w:fldChar w:fldCharType="separate"/>
          </w:r>
          <w:r>
            <w:rPr>
              <w:rFonts w:hint="eastAsia" w:ascii="仿宋" w:hAnsi="仿宋" w:eastAsia="仿宋" w:cs="仿宋"/>
              <w:szCs w:val="24"/>
            </w:rPr>
            <w:t>二、初步评审</w:t>
          </w:r>
          <w:r>
            <w:tab/>
          </w:r>
          <w:r>
            <w:fldChar w:fldCharType="begin"/>
          </w:r>
          <w:r>
            <w:instrText xml:space="preserve"> PAGEREF _Toc27745 \h </w:instrText>
          </w:r>
          <w:r>
            <w:fldChar w:fldCharType="separate"/>
          </w:r>
          <w:r>
            <w:t>14</w:t>
          </w:r>
          <w:r>
            <w:fldChar w:fldCharType="end"/>
          </w:r>
          <w:r>
            <w:fldChar w:fldCharType="end"/>
          </w:r>
        </w:p>
        <w:p>
          <w:pPr>
            <w:pStyle w:val="29"/>
            <w:tabs>
              <w:tab w:val="right" w:leader="dot" w:pos="9638"/>
            </w:tabs>
          </w:pPr>
          <w:r>
            <w:fldChar w:fldCharType="begin"/>
          </w:r>
          <w:r>
            <w:instrText xml:space="preserve"> HYPERLINK \l _Toc32026 </w:instrText>
          </w:r>
          <w:r>
            <w:fldChar w:fldCharType="separate"/>
          </w:r>
          <w:r>
            <w:rPr>
              <w:rFonts w:hint="eastAsia" w:ascii="仿宋" w:hAnsi="仿宋" w:eastAsia="仿宋" w:cs="仿宋"/>
              <w:szCs w:val="28"/>
            </w:rPr>
            <w:t>第四章 合同条款</w:t>
          </w:r>
          <w:r>
            <w:tab/>
          </w:r>
          <w:r>
            <w:fldChar w:fldCharType="begin"/>
          </w:r>
          <w:r>
            <w:instrText xml:space="preserve"> PAGEREF _Toc32026 \h </w:instrText>
          </w:r>
          <w:r>
            <w:fldChar w:fldCharType="separate"/>
          </w:r>
          <w:r>
            <w:t>16</w:t>
          </w:r>
          <w:r>
            <w:fldChar w:fldCharType="end"/>
          </w:r>
          <w:r>
            <w:fldChar w:fldCharType="end"/>
          </w:r>
        </w:p>
        <w:p>
          <w:pPr>
            <w:pStyle w:val="29"/>
            <w:tabs>
              <w:tab w:val="right" w:leader="dot" w:pos="9638"/>
            </w:tabs>
          </w:pPr>
          <w:r>
            <w:fldChar w:fldCharType="begin"/>
          </w:r>
          <w:r>
            <w:instrText xml:space="preserve"> HYPERLINK \l _Toc13299 </w:instrText>
          </w:r>
          <w:r>
            <w:fldChar w:fldCharType="separate"/>
          </w:r>
          <w:r>
            <w:rPr>
              <w:rFonts w:hint="eastAsia" w:ascii="仿宋" w:hAnsi="仿宋" w:eastAsia="仿宋" w:cs="仿宋"/>
              <w:szCs w:val="28"/>
            </w:rPr>
            <w:t>第五章 采购需求</w:t>
          </w:r>
          <w:r>
            <w:tab/>
          </w:r>
          <w:r>
            <w:fldChar w:fldCharType="begin"/>
          </w:r>
          <w:r>
            <w:instrText xml:space="preserve"> PAGEREF _Toc13299 \h </w:instrText>
          </w:r>
          <w:r>
            <w:fldChar w:fldCharType="separate"/>
          </w:r>
          <w:r>
            <w:t>28</w:t>
          </w:r>
          <w:r>
            <w:fldChar w:fldCharType="end"/>
          </w:r>
          <w:r>
            <w:fldChar w:fldCharType="end"/>
          </w:r>
        </w:p>
        <w:p>
          <w:pPr>
            <w:pStyle w:val="29"/>
            <w:tabs>
              <w:tab w:val="right" w:leader="dot" w:pos="9638"/>
            </w:tabs>
          </w:pPr>
          <w:r>
            <w:fldChar w:fldCharType="begin"/>
          </w:r>
          <w:r>
            <w:instrText xml:space="preserve"> HYPERLINK \l _Toc13002 </w:instrText>
          </w:r>
          <w:r>
            <w:fldChar w:fldCharType="separate"/>
          </w:r>
          <w:r>
            <w:rPr>
              <w:rFonts w:hint="eastAsia" w:ascii="仿宋" w:hAnsi="仿宋" w:eastAsia="仿宋" w:cs="仿宋"/>
              <w:szCs w:val="28"/>
            </w:rPr>
            <w:t>第六章 响应文件格式</w:t>
          </w:r>
          <w:r>
            <w:tab/>
          </w:r>
          <w:r>
            <w:fldChar w:fldCharType="begin"/>
          </w:r>
          <w:r>
            <w:instrText xml:space="preserve"> PAGEREF _Toc13002 \h </w:instrText>
          </w:r>
          <w:r>
            <w:fldChar w:fldCharType="separate"/>
          </w:r>
          <w:r>
            <w:t>32</w:t>
          </w:r>
          <w:r>
            <w:fldChar w:fldCharType="end"/>
          </w:r>
          <w:r>
            <w:fldChar w:fldCharType="end"/>
          </w:r>
        </w:p>
        <w:p>
          <w:pPr>
            <w:pStyle w:val="34"/>
            <w:tabs>
              <w:tab w:val="right" w:leader="dot" w:pos="9638"/>
            </w:tabs>
          </w:pPr>
          <w:r>
            <w:fldChar w:fldCharType="begin"/>
          </w:r>
          <w:r>
            <w:instrText xml:space="preserve"> HYPERLINK \l _Toc28880 </w:instrText>
          </w:r>
          <w:r>
            <w:fldChar w:fldCharType="separate"/>
          </w:r>
          <w:r>
            <w:rPr>
              <w:rFonts w:hint="eastAsia" w:ascii="仿宋" w:hAnsi="仿宋" w:eastAsia="仿宋" w:cs="仿宋"/>
              <w:szCs w:val="24"/>
            </w:rPr>
            <w:t>一、商务册文件</w:t>
          </w:r>
          <w:r>
            <w:tab/>
          </w:r>
          <w:r>
            <w:fldChar w:fldCharType="begin"/>
          </w:r>
          <w:r>
            <w:instrText xml:space="preserve"> PAGEREF _Toc28880 \h </w:instrText>
          </w:r>
          <w:r>
            <w:fldChar w:fldCharType="separate"/>
          </w:r>
          <w:r>
            <w:t>34</w:t>
          </w:r>
          <w:r>
            <w:fldChar w:fldCharType="end"/>
          </w:r>
          <w:r>
            <w:fldChar w:fldCharType="end"/>
          </w:r>
        </w:p>
        <w:p>
          <w:pPr>
            <w:pStyle w:val="21"/>
            <w:tabs>
              <w:tab w:val="right" w:leader="dot" w:pos="9638"/>
            </w:tabs>
          </w:pPr>
          <w:r>
            <w:fldChar w:fldCharType="begin"/>
          </w:r>
          <w:r>
            <w:instrText xml:space="preserve"> HYPERLINK \l _Toc22796 </w:instrText>
          </w:r>
          <w:r>
            <w:fldChar w:fldCharType="separate"/>
          </w:r>
          <w:r>
            <w:rPr>
              <w:rFonts w:hint="eastAsia" w:ascii="仿宋" w:hAnsi="仿宋" w:eastAsia="仿宋" w:cs="仿宋"/>
              <w:szCs w:val="24"/>
            </w:rPr>
            <w:t>（一）响应函</w:t>
          </w:r>
          <w:r>
            <w:tab/>
          </w:r>
          <w:r>
            <w:fldChar w:fldCharType="begin"/>
          </w:r>
          <w:r>
            <w:instrText xml:space="preserve"> PAGEREF _Toc22796 \h </w:instrText>
          </w:r>
          <w:r>
            <w:fldChar w:fldCharType="separate"/>
          </w:r>
          <w:r>
            <w:t>34</w:t>
          </w:r>
          <w:r>
            <w:fldChar w:fldCharType="end"/>
          </w:r>
          <w:r>
            <w:fldChar w:fldCharType="end"/>
          </w:r>
        </w:p>
        <w:p>
          <w:pPr>
            <w:pStyle w:val="21"/>
            <w:tabs>
              <w:tab w:val="right" w:leader="dot" w:pos="9638"/>
            </w:tabs>
          </w:pPr>
          <w:r>
            <w:fldChar w:fldCharType="begin"/>
          </w:r>
          <w:r>
            <w:instrText xml:space="preserve"> HYPERLINK \l _Toc930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_Toc930 \h </w:instrText>
          </w:r>
          <w:r>
            <w:fldChar w:fldCharType="separate"/>
          </w:r>
          <w:r>
            <w:t>35</w:t>
          </w:r>
          <w:r>
            <w:fldChar w:fldCharType="end"/>
          </w:r>
          <w:r>
            <w:fldChar w:fldCharType="end"/>
          </w:r>
        </w:p>
        <w:p>
          <w:pPr>
            <w:pStyle w:val="21"/>
            <w:tabs>
              <w:tab w:val="right" w:leader="dot" w:pos="9638"/>
            </w:tabs>
          </w:pPr>
          <w:r>
            <w:fldChar w:fldCharType="begin"/>
          </w:r>
          <w:r>
            <w:instrText xml:space="preserve"> HYPERLINK \l _Toc15218 </w:instrText>
          </w:r>
          <w:r>
            <w:fldChar w:fldCharType="separate"/>
          </w:r>
          <w:r>
            <w:rPr>
              <w:rFonts w:hint="eastAsia" w:ascii="仿宋" w:hAnsi="仿宋" w:eastAsia="仿宋" w:cs="仿宋"/>
              <w:szCs w:val="24"/>
            </w:rPr>
            <w:t>（三）资格证明文件</w:t>
          </w:r>
          <w:r>
            <w:tab/>
          </w:r>
          <w:r>
            <w:fldChar w:fldCharType="begin"/>
          </w:r>
          <w:r>
            <w:instrText xml:space="preserve"> PAGEREF _Toc15218 \h </w:instrText>
          </w:r>
          <w:r>
            <w:fldChar w:fldCharType="separate"/>
          </w:r>
          <w:r>
            <w:t>36</w:t>
          </w:r>
          <w:r>
            <w:fldChar w:fldCharType="end"/>
          </w:r>
          <w:r>
            <w:fldChar w:fldCharType="end"/>
          </w:r>
        </w:p>
        <w:p>
          <w:pPr>
            <w:pStyle w:val="21"/>
            <w:tabs>
              <w:tab w:val="right" w:leader="dot" w:pos="9638"/>
            </w:tabs>
          </w:pPr>
          <w:r>
            <w:fldChar w:fldCharType="begin"/>
          </w:r>
          <w:r>
            <w:instrText xml:space="preserve"> HYPERLINK \l _Toc2298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_Toc2298 \h </w:instrText>
          </w:r>
          <w:r>
            <w:fldChar w:fldCharType="separate"/>
          </w:r>
          <w:r>
            <w:t>42</w:t>
          </w:r>
          <w:r>
            <w:fldChar w:fldCharType="end"/>
          </w:r>
          <w:r>
            <w:fldChar w:fldCharType="end"/>
          </w:r>
        </w:p>
        <w:p>
          <w:pPr>
            <w:pStyle w:val="21"/>
            <w:tabs>
              <w:tab w:val="right" w:leader="dot" w:pos="9638"/>
            </w:tabs>
          </w:pPr>
          <w:r>
            <w:fldChar w:fldCharType="begin"/>
          </w:r>
          <w:r>
            <w:instrText xml:space="preserve"> HYPERLINK \l _Toc11886 </w:instrText>
          </w:r>
          <w:r>
            <w:fldChar w:fldCharType="separate"/>
          </w:r>
          <w:r>
            <w:rPr>
              <w:rFonts w:hint="eastAsia" w:ascii="仿宋" w:hAnsi="仿宋" w:eastAsia="仿宋" w:cs="仿宋"/>
              <w:szCs w:val="24"/>
            </w:rPr>
            <w:t>（六）合同条款应答偏离表</w:t>
          </w:r>
          <w:r>
            <w:tab/>
          </w:r>
          <w:r>
            <w:fldChar w:fldCharType="begin"/>
          </w:r>
          <w:r>
            <w:instrText xml:space="preserve"> PAGEREF _Toc11886 \h </w:instrText>
          </w:r>
          <w:r>
            <w:fldChar w:fldCharType="separate"/>
          </w:r>
          <w:r>
            <w:t>43</w:t>
          </w:r>
          <w:r>
            <w:fldChar w:fldCharType="end"/>
          </w:r>
          <w:r>
            <w:fldChar w:fldCharType="end"/>
          </w:r>
        </w:p>
        <w:p>
          <w:pPr>
            <w:pStyle w:val="21"/>
            <w:tabs>
              <w:tab w:val="right" w:leader="dot" w:pos="9638"/>
            </w:tabs>
          </w:pPr>
          <w:r>
            <w:fldChar w:fldCharType="begin"/>
          </w:r>
          <w:r>
            <w:instrText xml:space="preserve"> HYPERLINK \l _Toc3356 </w:instrText>
          </w:r>
          <w:r>
            <w:fldChar w:fldCharType="separate"/>
          </w:r>
          <w:r>
            <w:rPr>
              <w:rFonts w:hint="eastAsia" w:ascii="仿宋" w:hAnsi="仿宋" w:eastAsia="仿宋" w:cs="仿宋"/>
              <w:szCs w:val="24"/>
            </w:rPr>
            <w:t>（七）供应商行为准则承诺函</w:t>
          </w:r>
          <w:r>
            <w:tab/>
          </w:r>
          <w:r>
            <w:fldChar w:fldCharType="begin"/>
          </w:r>
          <w:r>
            <w:instrText xml:space="preserve"> PAGEREF _Toc3356 \h </w:instrText>
          </w:r>
          <w:r>
            <w:fldChar w:fldCharType="separate"/>
          </w:r>
          <w:r>
            <w:t>44</w:t>
          </w:r>
          <w:r>
            <w:fldChar w:fldCharType="end"/>
          </w:r>
          <w:r>
            <w:fldChar w:fldCharType="end"/>
          </w:r>
        </w:p>
        <w:p>
          <w:pPr>
            <w:pStyle w:val="21"/>
            <w:tabs>
              <w:tab w:val="right" w:leader="dot" w:pos="9638"/>
            </w:tabs>
          </w:pPr>
          <w:r>
            <w:fldChar w:fldCharType="begin"/>
          </w:r>
          <w:r>
            <w:instrText xml:space="preserve"> HYPERLINK \l _Toc22627 </w:instrText>
          </w:r>
          <w:r>
            <w:fldChar w:fldCharType="separate"/>
          </w:r>
          <w:r>
            <w:rPr>
              <w:rFonts w:hint="eastAsia" w:ascii="仿宋" w:hAnsi="仿宋" w:eastAsia="仿宋" w:cs="仿宋"/>
              <w:szCs w:val="24"/>
            </w:rPr>
            <w:t>（八）供应商廉洁诚信承诺书</w:t>
          </w:r>
          <w:r>
            <w:tab/>
          </w:r>
          <w:r>
            <w:fldChar w:fldCharType="begin"/>
          </w:r>
          <w:r>
            <w:instrText xml:space="preserve"> PAGEREF _Toc22627 \h </w:instrText>
          </w:r>
          <w:r>
            <w:fldChar w:fldCharType="separate"/>
          </w:r>
          <w:r>
            <w:t>46</w:t>
          </w:r>
          <w:r>
            <w:fldChar w:fldCharType="end"/>
          </w:r>
          <w:r>
            <w:fldChar w:fldCharType="end"/>
          </w:r>
        </w:p>
        <w:p>
          <w:pPr>
            <w:pStyle w:val="21"/>
            <w:tabs>
              <w:tab w:val="right" w:leader="dot" w:pos="9638"/>
            </w:tabs>
          </w:pPr>
          <w:r>
            <w:fldChar w:fldCharType="begin"/>
          </w:r>
          <w:r>
            <w:instrText xml:space="preserve"> HYPERLINK \l _Toc843 </w:instrText>
          </w:r>
          <w:r>
            <w:fldChar w:fldCharType="separate"/>
          </w:r>
          <w:r>
            <w:rPr>
              <w:rFonts w:hint="eastAsia" w:ascii="仿宋" w:hAnsi="仿宋" w:eastAsia="仿宋" w:cs="仿宋"/>
              <w:szCs w:val="24"/>
            </w:rPr>
            <w:t>（九）其他材料</w:t>
          </w:r>
          <w:r>
            <w:tab/>
          </w:r>
          <w:r>
            <w:fldChar w:fldCharType="begin"/>
          </w:r>
          <w:r>
            <w:instrText xml:space="preserve"> PAGEREF _Toc843 \h </w:instrText>
          </w:r>
          <w:r>
            <w:fldChar w:fldCharType="separate"/>
          </w:r>
          <w:r>
            <w:t>49</w:t>
          </w:r>
          <w:r>
            <w:fldChar w:fldCharType="end"/>
          </w:r>
          <w:r>
            <w:fldChar w:fldCharType="end"/>
          </w:r>
        </w:p>
        <w:p>
          <w:pPr>
            <w:pStyle w:val="34"/>
            <w:tabs>
              <w:tab w:val="right" w:leader="dot" w:pos="9638"/>
            </w:tabs>
          </w:pPr>
          <w:r>
            <w:fldChar w:fldCharType="begin"/>
          </w:r>
          <w:r>
            <w:instrText xml:space="preserve"> HYPERLINK \l _Toc21580 </w:instrText>
          </w:r>
          <w:r>
            <w:fldChar w:fldCharType="separate"/>
          </w:r>
          <w:r>
            <w:rPr>
              <w:rFonts w:hint="eastAsia" w:ascii="仿宋" w:hAnsi="仿宋" w:eastAsia="仿宋" w:cs="仿宋"/>
              <w:szCs w:val="24"/>
            </w:rPr>
            <w:t>二、技术册文件</w:t>
          </w:r>
          <w:r>
            <w:tab/>
          </w:r>
          <w:r>
            <w:fldChar w:fldCharType="begin"/>
          </w:r>
          <w:r>
            <w:instrText xml:space="preserve"> PAGEREF _Toc21580 \h </w:instrText>
          </w:r>
          <w:r>
            <w:fldChar w:fldCharType="separate"/>
          </w:r>
          <w:r>
            <w:t>50</w:t>
          </w:r>
          <w:r>
            <w:fldChar w:fldCharType="end"/>
          </w:r>
          <w:r>
            <w:fldChar w:fldCharType="end"/>
          </w:r>
        </w:p>
        <w:p>
          <w:pPr>
            <w:pStyle w:val="21"/>
            <w:tabs>
              <w:tab w:val="right" w:leader="dot" w:pos="9638"/>
            </w:tabs>
          </w:pPr>
          <w:r>
            <w:fldChar w:fldCharType="begin"/>
          </w:r>
          <w:r>
            <w:instrText xml:space="preserve"> HYPERLINK \l _Toc17487 </w:instrText>
          </w:r>
          <w:r>
            <w:fldChar w:fldCharType="separate"/>
          </w:r>
          <w:r>
            <w:rPr>
              <w:rFonts w:hint="eastAsia" w:ascii="仿宋" w:hAnsi="仿宋" w:eastAsia="仿宋" w:cs="仿宋"/>
              <w:szCs w:val="24"/>
            </w:rPr>
            <w:t>（一）采购需求应答偏离表</w:t>
          </w:r>
          <w:r>
            <w:tab/>
          </w:r>
          <w:r>
            <w:fldChar w:fldCharType="begin"/>
          </w:r>
          <w:r>
            <w:instrText xml:space="preserve"> PAGEREF _Toc17487 \h </w:instrText>
          </w:r>
          <w:r>
            <w:fldChar w:fldCharType="separate"/>
          </w:r>
          <w:r>
            <w:t>50</w:t>
          </w:r>
          <w:r>
            <w:fldChar w:fldCharType="end"/>
          </w:r>
          <w:r>
            <w:fldChar w:fldCharType="end"/>
          </w:r>
        </w:p>
        <w:p>
          <w:pPr>
            <w:pStyle w:val="21"/>
            <w:tabs>
              <w:tab w:val="right" w:leader="dot" w:pos="9638"/>
            </w:tabs>
          </w:pPr>
          <w:r>
            <w:fldChar w:fldCharType="begin"/>
          </w:r>
          <w:r>
            <w:instrText xml:space="preserve"> HYPERLINK \l _Toc674 </w:instrText>
          </w:r>
          <w:r>
            <w:fldChar w:fldCharType="separate"/>
          </w:r>
          <w:r>
            <w:rPr>
              <w:rFonts w:hint="eastAsia" w:ascii="仿宋" w:hAnsi="仿宋" w:eastAsia="仿宋" w:cs="仿宋"/>
              <w:szCs w:val="24"/>
            </w:rPr>
            <w:t>（二）服务方案</w:t>
          </w:r>
          <w:r>
            <w:tab/>
          </w:r>
          <w:r>
            <w:fldChar w:fldCharType="begin"/>
          </w:r>
          <w:r>
            <w:instrText xml:space="preserve"> PAGEREF _Toc674 \h </w:instrText>
          </w:r>
          <w:r>
            <w:fldChar w:fldCharType="separate"/>
          </w:r>
          <w:r>
            <w:t>51</w:t>
          </w:r>
          <w:r>
            <w:fldChar w:fldCharType="end"/>
          </w:r>
          <w:r>
            <w:fldChar w:fldCharType="end"/>
          </w:r>
        </w:p>
        <w:p>
          <w:pPr>
            <w:pStyle w:val="21"/>
            <w:tabs>
              <w:tab w:val="right" w:leader="dot" w:pos="9638"/>
            </w:tabs>
          </w:pPr>
          <w:r>
            <w:fldChar w:fldCharType="begin"/>
          </w:r>
          <w:r>
            <w:instrText xml:space="preserve"> HYPERLINK \l _Toc13897 </w:instrText>
          </w:r>
          <w:r>
            <w:fldChar w:fldCharType="separate"/>
          </w:r>
          <w:r>
            <w:rPr>
              <w:rFonts w:hint="eastAsia" w:ascii="仿宋" w:hAnsi="仿宋" w:eastAsia="仿宋" w:cs="仿宋"/>
              <w:szCs w:val="24"/>
            </w:rPr>
            <w:t>（三）其他材料</w:t>
          </w:r>
          <w:r>
            <w:tab/>
          </w:r>
          <w:r>
            <w:fldChar w:fldCharType="begin"/>
          </w:r>
          <w:r>
            <w:instrText xml:space="preserve"> PAGEREF _Toc13897 \h </w:instrText>
          </w:r>
          <w:r>
            <w:fldChar w:fldCharType="separate"/>
          </w:r>
          <w:r>
            <w:t>52</w:t>
          </w:r>
          <w:r>
            <w:fldChar w:fldCharType="end"/>
          </w:r>
          <w:r>
            <w:fldChar w:fldCharType="end"/>
          </w:r>
        </w:p>
        <w:p>
          <w:pPr>
            <w:pStyle w:val="34"/>
            <w:tabs>
              <w:tab w:val="right" w:leader="dot" w:pos="9638"/>
            </w:tabs>
          </w:pPr>
          <w:r>
            <w:fldChar w:fldCharType="begin"/>
          </w:r>
          <w:r>
            <w:instrText xml:space="preserve"> HYPERLINK \l _Toc16995 </w:instrText>
          </w:r>
          <w:r>
            <w:fldChar w:fldCharType="separate"/>
          </w:r>
          <w:r>
            <w:rPr>
              <w:rFonts w:hint="eastAsia" w:ascii="仿宋" w:hAnsi="仿宋" w:eastAsia="仿宋" w:cs="仿宋"/>
              <w:szCs w:val="24"/>
            </w:rPr>
            <w:t>三、报价文件</w:t>
          </w:r>
          <w:r>
            <w:tab/>
          </w:r>
          <w:r>
            <w:fldChar w:fldCharType="begin"/>
          </w:r>
          <w:r>
            <w:instrText xml:space="preserve"> PAGEREF _Toc16995 \h </w:instrText>
          </w:r>
          <w:r>
            <w:fldChar w:fldCharType="separate"/>
          </w:r>
          <w:r>
            <w:t>53</w:t>
          </w:r>
          <w:r>
            <w:fldChar w:fldCharType="end"/>
          </w:r>
          <w:r>
            <w:fldChar w:fldCharType="end"/>
          </w:r>
        </w:p>
        <w:p>
          <w:pPr>
            <w:pStyle w:val="21"/>
            <w:tabs>
              <w:tab w:val="right" w:leader="dot" w:pos="9638"/>
            </w:tabs>
          </w:pPr>
          <w:r>
            <w:fldChar w:fldCharType="begin"/>
          </w:r>
          <w:r>
            <w:instrText xml:space="preserve"> HYPERLINK \l _Toc4118 </w:instrText>
          </w:r>
          <w:r>
            <w:fldChar w:fldCharType="separate"/>
          </w:r>
          <w:r>
            <w:rPr>
              <w:rFonts w:hint="eastAsia" w:ascii="仿宋" w:hAnsi="仿宋" w:eastAsia="仿宋" w:cs="仿宋"/>
              <w:szCs w:val="24"/>
            </w:rPr>
            <w:t>报价一览表</w:t>
          </w:r>
          <w:r>
            <w:tab/>
          </w:r>
          <w:r>
            <w:fldChar w:fldCharType="begin"/>
          </w:r>
          <w:r>
            <w:instrText xml:space="preserve"> PAGEREF _Toc4118 \h </w:instrText>
          </w:r>
          <w:r>
            <w:fldChar w:fldCharType="separate"/>
          </w:r>
          <w:r>
            <w:t>53</w:t>
          </w:r>
          <w:r>
            <w:fldChar w:fldCharType="end"/>
          </w:r>
          <w:r>
            <w:fldChar w:fldCharType="end"/>
          </w:r>
        </w:p>
        <w:p>
          <w:pPr>
            <w:tabs>
              <w:tab w:val="right" w:leader="dot" w:pos="9638"/>
            </w:tabs>
            <w:rPr>
              <w:rFonts w:ascii="仿宋" w:hAnsi="仿宋" w:eastAsia="仿宋" w:cs="仿宋"/>
              <w:color w:val="000000"/>
              <w:sz w:val="28"/>
              <w:szCs w:val="28"/>
            </w:rPr>
          </w:pPr>
          <w:r>
            <w:fldChar w:fldCharType="end"/>
          </w:r>
        </w:p>
      </w:sdtContent>
    </w:sdt>
    <w:p>
      <w:pPr>
        <w:pStyle w:val="4"/>
        <w:spacing w:before="0" w:after="0" w:line="360" w:lineRule="auto"/>
        <w:jc w:val="center"/>
        <w:rPr>
          <w:rFonts w:ascii="仿宋" w:hAnsi="仿宋" w:eastAsia="仿宋" w:cs="仿宋"/>
          <w:bCs w:val="0"/>
          <w:color w:val="000000"/>
          <w:sz w:val="28"/>
          <w:szCs w:val="28"/>
        </w:rPr>
      </w:pPr>
      <w:bookmarkStart w:id="11" w:name="_Toc30782"/>
      <w:r>
        <w:rPr>
          <w:rFonts w:hint="eastAsia" w:ascii="仿宋" w:hAnsi="仿宋" w:eastAsia="仿宋" w:cs="仿宋"/>
          <w:bCs w:val="0"/>
          <w:color w:val="000000"/>
          <w:sz w:val="28"/>
          <w:szCs w:val="28"/>
        </w:rPr>
        <w:t xml:space="preserve">第一章 </w:t>
      </w:r>
      <w:bookmarkEnd w:id="1"/>
      <w:bookmarkEnd w:id="2"/>
      <w:bookmarkEnd w:id="3"/>
      <w:bookmarkEnd w:id="4"/>
      <w:bookmarkEnd w:id="5"/>
      <w:bookmarkEnd w:id="6"/>
      <w:bookmarkEnd w:id="7"/>
      <w:r>
        <w:rPr>
          <w:rFonts w:hint="eastAsia" w:ascii="仿宋" w:hAnsi="仿宋" w:eastAsia="仿宋" w:cs="仿宋"/>
          <w:bCs w:val="0"/>
          <w:color w:val="000000"/>
          <w:sz w:val="28"/>
          <w:szCs w:val="28"/>
        </w:rPr>
        <w:t>询价</w:t>
      </w:r>
      <w:bookmarkEnd w:id="8"/>
      <w:r>
        <w:rPr>
          <w:rFonts w:hint="eastAsia" w:ascii="仿宋" w:hAnsi="仿宋" w:eastAsia="仿宋" w:cs="仿宋"/>
          <w:bCs w:val="0"/>
          <w:color w:val="000000"/>
          <w:sz w:val="28"/>
          <w:szCs w:val="28"/>
        </w:rPr>
        <w:t>函</w:t>
      </w:r>
      <w:bookmarkEnd w:id="9"/>
      <w:bookmarkEnd w:id="10"/>
      <w:bookmarkEnd w:id="11"/>
    </w:p>
    <w:p>
      <w:pPr>
        <w:wordWrap w:val="0"/>
        <w:spacing w:line="360" w:lineRule="auto"/>
        <w:ind w:firstLine="480" w:firstLineChars="200"/>
        <w:textAlignment w:val="baseline"/>
        <w:rPr>
          <w:rFonts w:ascii="仿宋" w:hAnsi="仿宋" w:eastAsia="仿宋" w:cs="仿宋"/>
          <w:color w:val="000000"/>
          <w:sz w:val="24"/>
        </w:rPr>
      </w:pPr>
    </w:p>
    <w:p>
      <w:pPr>
        <w:wordWrap w:val="0"/>
        <w:spacing w:line="360" w:lineRule="auto"/>
        <w:ind w:firstLine="480" w:firstLineChars="200"/>
        <w:textAlignment w:val="baseline"/>
        <w:rPr>
          <w:rFonts w:ascii="仿宋" w:hAnsi="仿宋" w:eastAsia="仿宋" w:cs="Cambria Math"/>
          <w:color w:val="auto"/>
          <w:sz w:val="24"/>
        </w:rPr>
      </w:pPr>
      <w:r>
        <w:rPr>
          <w:rFonts w:hint="eastAsia" w:ascii="仿宋" w:hAnsi="仿宋" w:eastAsia="仿宋" w:cs="仿宋"/>
          <w:color w:val="auto"/>
          <w:sz w:val="24"/>
        </w:rPr>
        <w:t>本项目</w:t>
      </w:r>
      <w:r>
        <w:rPr>
          <w:rFonts w:hint="eastAsia" w:ascii="仿宋" w:hAnsi="仿宋" w:eastAsia="仿宋" w:cs="仿宋"/>
          <w:color w:val="auto"/>
          <w:sz w:val="24"/>
          <w:u w:val="single"/>
        </w:rPr>
        <w:t>人保财险贵州毕节分公司</w:t>
      </w:r>
      <w:r>
        <w:rPr>
          <w:rFonts w:hint="eastAsia" w:ascii="仿宋" w:hAnsi="仿宋" w:eastAsia="仿宋" w:cs="仿宋"/>
          <w:color w:val="auto"/>
          <w:sz w:val="24"/>
          <w:u w:val="single"/>
          <w:lang w:eastAsia="zh-CN"/>
        </w:rPr>
        <w:t>2026</w:t>
      </w:r>
      <w:r>
        <w:rPr>
          <w:rFonts w:hint="eastAsia" w:ascii="仿宋" w:hAnsi="仿宋" w:eastAsia="仿宋" w:cs="仿宋"/>
          <w:color w:val="auto"/>
          <w:sz w:val="24"/>
          <w:u w:val="single"/>
        </w:rPr>
        <w:t>年宣传推广服务供应商入库采购项目</w:t>
      </w:r>
      <w:r>
        <w:rPr>
          <w:rFonts w:hint="eastAsia" w:ascii="仿宋" w:hAnsi="仿宋" w:eastAsia="仿宋" w:cs="仿宋"/>
          <w:color w:val="auto"/>
          <w:sz w:val="24"/>
        </w:rPr>
        <w:t>由</w:t>
      </w:r>
      <w:r>
        <w:rPr>
          <w:rFonts w:hint="eastAsia" w:ascii="仿宋" w:hAnsi="仿宋" w:eastAsia="仿宋" w:cs="仿宋"/>
          <w:color w:val="auto"/>
          <w:sz w:val="24"/>
          <w:u w:val="single"/>
        </w:rPr>
        <w:t>中国人民财产保险股份有限公司</w:t>
      </w:r>
      <w:r>
        <w:rPr>
          <w:rFonts w:hint="eastAsia" w:ascii="仿宋" w:hAnsi="仿宋" w:eastAsia="仿宋" w:cs="仿宋"/>
          <w:color w:val="auto"/>
          <w:sz w:val="24"/>
          <w:u w:val="single"/>
          <w:lang w:val="en-US" w:eastAsia="zh-CN"/>
        </w:rPr>
        <w:t>毕节</w:t>
      </w:r>
      <w:r>
        <w:rPr>
          <w:rFonts w:hint="eastAsia" w:ascii="仿宋" w:hAnsi="仿宋" w:eastAsia="仿宋" w:cs="仿宋"/>
          <w:color w:val="auto"/>
          <w:sz w:val="24"/>
          <w:u w:val="single"/>
        </w:rPr>
        <w:t>分公司</w:t>
      </w:r>
      <w:r>
        <w:rPr>
          <w:rFonts w:hint="eastAsia" w:ascii="仿宋" w:hAnsi="仿宋" w:eastAsia="仿宋" w:cs="仿宋"/>
          <w:color w:val="auto"/>
          <w:sz w:val="24"/>
        </w:rPr>
        <w:t>（以下简称“采购人”）</w:t>
      </w:r>
      <w:r>
        <w:rPr>
          <w:rFonts w:hint="eastAsia" w:ascii="仿宋" w:hAnsi="仿宋" w:eastAsia="仿宋" w:cs="Cambria Math"/>
          <w:color w:val="auto"/>
          <w:sz w:val="24"/>
        </w:rPr>
        <w:t>批准并落实资金，组织本项目的询价工作</w:t>
      </w:r>
      <w:r>
        <w:rPr>
          <w:rFonts w:hint="eastAsia" w:ascii="仿宋" w:hAnsi="仿宋" w:eastAsia="仿宋" w:cs="仿宋"/>
          <w:color w:val="auto"/>
          <w:sz w:val="24"/>
        </w:rPr>
        <w:t>，采购合同由</w:t>
      </w:r>
      <w:r>
        <w:rPr>
          <w:rFonts w:hint="eastAsia" w:ascii="仿宋" w:hAnsi="仿宋" w:eastAsia="仿宋" w:cs="宋体"/>
          <w:color w:val="auto"/>
          <w:sz w:val="24"/>
          <w:u w:val="single"/>
        </w:rPr>
        <w:t>中国人民财产保险股份有限公司</w:t>
      </w:r>
      <w:r>
        <w:rPr>
          <w:rFonts w:hint="eastAsia" w:ascii="仿宋" w:hAnsi="仿宋" w:eastAsia="仿宋" w:cs="宋体"/>
          <w:color w:val="auto"/>
          <w:sz w:val="24"/>
          <w:u w:val="single"/>
          <w:lang w:val="en-US" w:eastAsia="zh-CN"/>
        </w:rPr>
        <w:t>毕节</w:t>
      </w:r>
      <w:r>
        <w:rPr>
          <w:rFonts w:hint="eastAsia" w:ascii="仿宋" w:hAnsi="仿宋" w:eastAsia="仿宋" w:cs="宋体"/>
          <w:color w:val="auto"/>
          <w:sz w:val="24"/>
          <w:u w:val="single"/>
        </w:rPr>
        <w:t>分公司</w:t>
      </w:r>
      <w:r>
        <w:rPr>
          <w:rFonts w:hint="eastAsia" w:ascii="仿宋" w:hAnsi="仿宋" w:eastAsia="仿宋" w:cs="宋体"/>
          <w:color w:val="auto"/>
          <w:sz w:val="24"/>
        </w:rPr>
        <w:t>（以下简称“人保财险</w:t>
      </w:r>
      <w:r>
        <w:rPr>
          <w:rFonts w:hint="eastAsia" w:ascii="仿宋" w:hAnsi="仿宋" w:eastAsia="仿宋" w:cs="宋体"/>
          <w:color w:val="auto"/>
          <w:sz w:val="24"/>
          <w:lang w:val="en-US" w:eastAsia="zh-CN"/>
        </w:rPr>
        <w:t>毕节</w:t>
      </w:r>
      <w:r>
        <w:rPr>
          <w:rFonts w:hint="eastAsia" w:ascii="仿宋" w:hAnsi="仿宋" w:eastAsia="仿宋" w:cs="宋体"/>
          <w:color w:val="auto"/>
          <w:sz w:val="24"/>
        </w:rPr>
        <w:t>分公司”）</w:t>
      </w:r>
      <w:r>
        <w:rPr>
          <w:rFonts w:hint="eastAsia" w:ascii="仿宋" w:hAnsi="仿宋" w:eastAsia="仿宋" w:cs="仿宋"/>
          <w:color w:val="auto"/>
          <w:sz w:val="24"/>
        </w:rPr>
        <w:t>根据成交结果与成交人签署。现进行公开征集，</w:t>
      </w:r>
      <w:r>
        <w:rPr>
          <w:rFonts w:hint="eastAsia" w:ascii="仿宋" w:hAnsi="仿宋" w:eastAsia="仿宋" w:cs="Cambria Math"/>
          <w:color w:val="auto"/>
          <w:sz w:val="24"/>
        </w:rPr>
        <w:t xml:space="preserve">有意向且具有提供标的物能力的潜在供应商（以下简称“供应商”）可前来参与。 </w:t>
      </w:r>
    </w:p>
    <w:p>
      <w:pPr>
        <w:pStyle w:val="5"/>
        <w:ind w:firstLine="0" w:firstLineChars="0"/>
        <w:jc w:val="left"/>
        <w:rPr>
          <w:rFonts w:ascii="仿宋" w:hAnsi="仿宋" w:eastAsia="仿宋" w:cs="仿宋"/>
          <w:color w:val="auto"/>
          <w:sz w:val="24"/>
          <w:szCs w:val="24"/>
        </w:rPr>
      </w:pPr>
      <w:bookmarkStart w:id="12" w:name="_Toc100672392"/>
      <w:bookmarkStart w:id="13" w:name="_Toc120625360"/>
      <w:bookmarkStart w:id="14" w:name="_Toc23928"/>
      <w:bookmarkStart w:id="15" w:name="_Toc4068"/>
      <w:r>
        <w:rPr>
          <w:rFonts w:hint="eastAsia" w:ascii="仿宋" w:hAnsi="仿宋" w:eastAsia="仿宋" w:cs="仿宋"/>
          <w:color w:val="auto"/>
          <w:sz w:val="24"/>
          <w:szCs w:val="24"/>
        </w:rPr>
        <w:t>一、项目概况与采购范围</w:t>
      </w:r>
      <w:bookmarkEnd w:id="12"/>
      <w:bookmarkEnd w:id="13"/>
      <w:bookmarkEnd w:id="14"/>
      <w:bookmarkEnd w:id="15"/>
    </w:p>
    <w:p>
      <w:pPr>
        <w:adjustRightInd w:val="0"/>
        <w:snapToGrid w:val="0"/>
        <w:spacing w:line="360" w:lineRule="auto"/>
        <w:ind w:firstLine="480" w:firstLineChars="200"/>
        <w:jc w:val="left"/>
        <w:rPr>
          <w:rFonts w:ascii="仿宋" w:hAnsi="仿宋" w:eastAsia="仿宋" w:cs="仿宋"/>
          <w:color w:val="auto"/>
          <w:sz w:val="24"/>
        </w:rPr>
      </w:pPr>
      <w:bookmarkStart w:id="16" w:name="_Hlk77264910"/>
      <w:r>
        <w:rPr>
          <w:rFonts w:hint="eastAsia" w:ascii="仿宋" w:hAnsi="仿宋" w:eastAsia="仿宋" w:cs="仿宋"/>
          <w:color w:val="auto"/>
          <w:sz w:val="24"/>
        </w:rPr>
        <w:t>1.1 项目名称：</w:t>
      </w:r>
      <w:r>
        <w:rPr>
          <w:rFonts w:hint="eastAsia" w:ascii="仿宋" w:hAnsi="仿宋" w:eastAsia="仿宋" w:cs="仿宋"/>
          <w:color w:val="auto"/>
          <w:sz w:val="24"/>
          <w:u w:val="single"/>
        </w:rPr>
        <w:t>人保财险贵州毕节分公司</w:t>
      </w:r>
      <w:r>
        <w:rPr>
          <w:rFonts w:hint="eastAsia" w:ascii="仿宋" w:hAnsi="仿宋" w:eastAsia="仿宋" w:cs="仿宋"/>
          <w:color w:val="auto"/>
          <w:sz w:val="24"/>
          <w:u w:val="single"/>
          <w:lang w:eastAsia="zh-CN"/>
        </w:rPr>
        <w:t>2026</w:t>
      </w:r>
      <w:r>
        <w:rPr>
          <w:rFonts w:hint="eastAsia" w:ascii="仿宋" w:hAnsi="仿宋" w:eastAsia="仿宋" w:cs="仿宋"/>
          <w:color w:val="auto"/>
          <w:sz w:val="24"/>
          <w:u w:val="single"/>
        </w:rPr>
        <w:t>年宣传推广服务供应商入库采购项目</w:t>
      </w:r>
      <w:r>
        <w:rPr>
          <w:rFonts w:hint="eastAsia" w:ascii="仿宋" w:hAnsi="仿宋" w:eastAsia="仿宋" w:cs="仿宋"/>
          <w:color w:val="auto"/>
          <w:sz w:val="24"/>
        </w:rPr>
        <w:t>。</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1.2 采购范围：本项目拟采购供应商为我公司产品提供推广宣传服务，具体技术要求详见第五章采购需求。</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1.3 标包划分：本项目不划分标。</w:t>
      </w:r>
    </w:p>
    <w:p>
      <w:pPr>
        <w:adjustRightInd w:val="0"/>
        <w:snapToGrid w:val="0"/>
        <w:spacing w:line="360" w:lineRule="auto"/>
        <w:ind w:firstLine="480" w:firstLineChars="200"/>
        <w:jc w:val="left"/>
        <w:rPr>
          <w:rFonts w:ascii="仿宋" w:hAnsi="仿宋" w:eastAsia="仿宋" w:cs="仿宋"/>
          <w:color w:val="auto"/>
          <w:sz w:val="24"/>
        </w:rPr>
      </w:pPr>
      <w:r>
        <w:rPr>
          <w:rFonts w:ascii="仿宋" w:hAnsi="仿宋" w:eastAsia="仿宋" w:cs="仿宋"/>
          <w:color w:val="auto"/>
          <w:sz w:val="24"/>
        </w:rPr>
        <w:t>1.4</w:t>
      </w:r>
      <w:r>
        <w:rPr>
          <w:rFonts w:ascii="仿宋" w:hAnsi="仿宋" w:cs="仿宋"/>
          <w:color w:val="auto"/>
          <w:sz w:val="24"/>
        </w:rPr>
        <w:t xml:space="preserve"> </w:t>
      </w:r>
      <w:r>
        <w:rPr>
          <w:rFonts w:hint="eastAsia" w:ascii="仿宋" w:hAnsi="仿宋" w:eastAsia="仿宋" w:cs="仿宋"/>
          <w:color w:val="auto"/>
          <w:sz w:val="24"/>
        </w:rPr>
        <w:t>项目性质：服务。</w:t>
      </w:r>
      <w:bookmarkEnd w:id="16"/>
      <w:bookmarkStart w:id="17" w:name="_Toc100672393"/>
    </w:p>
    <w:p>
      <w:pPr>
        <w:adjustRightInd w:val="0"/>
        <w:snapToGrid w:val="0"/>
        <w:spacing w:line="360" w:lineRule="auto"/>
        <w:ind w:firstLine="480" w:firstLineChars="200"/>
        <w:jc w:val="left"/>
        <w:rPr>
          <w:rFonts w:hint="default" w:ascii="仿宋" w:hAnsi="仿宋" w:eastAsia="仿宋" w:cs="宋体"/>
          <w:color w:val="auto"/>
          <w:sz w:val="24"/>
          <w:lang w:val="en-US" w:eastAsia="zh-CN"/>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仿宋"/>
          <w:color w:val="auto"/>
          <w:sz w:val="24"/>
        </w:rPr>
        <w:t>服务期限/交货期限：</w:t>
      </w:r>
      <w:r>
        <w:rPr>
          <w:rFonts w:hint="eastAsia" w:ascii="仿宋" w:hAnsi="仿宋" w:eastAsia="仿宋" w:cs="宋体"/>
          <w:color w:val="auto"/>
          <w:sz w:val="24"/>
          <w:lang w:val="en-US" w:eastAsia="zh-CN"/>
        </w:rPr>
        <w:t>三</w:t>
      </w:r>
      <w:r>
        <w:rPr>
          <w:rFonts w:hint="eastAsia" w:ascii="仿宋" w:hAnsi="仿宋" w:eastAsia="仿宋" w:cs="宋体"/>
          <w:color w:val="auto"/>
          <w:sz w:val="24"/>
        </w:rPr>
        <w:t>年</w:t>
      </w:r>
      <w:r>
        <w:rPr>
          <w:rFonts w:hint="eastAsia" w:ascii="仿宋" w:hAnsi="仿宋" w:eastAsia="仿宋" w:cs="宋体"/>
          <w:color w:val="auto"/>
          <w:sz w:val="24"/>
          <w:lang w:val="en-US" w:eastAsia="zh-CN"/>
        </w:rPr>
        <w:t>。</w:t>
      </w:r>
    </w:p>
    <w:p>
      <w:pPr>
        <w:pStyle w:val="5"/>
        <w:ind w:firstLine="0" w:firstLineChars="0"/>
        <w:jc w:val="left"/>
        <w:rPr>
          <w:rFonts w:ascii="仿宋" w:hAnsi="仿宋" w:eastAsia="仿宋" w:cs="仿宋"/>
          <w:color w:val="auto"/>
          <w:sz w:val="24"/>
          <w:szCs w:val="24"/>
        </w:rPr>
      </w:pPr>
      <w:bookmarkStart w:id="18" w:name="_Toc19428"/>
      <w:bookmarkStart w:id="19" w:name="_Toc120625361"/>
      <w:bookmarkStart w:id="20" w:name="_Toc1577"/>
      <w:r>
        <w:rPr>
          <w:rFonts w:hint="eastAsia" w:ascii="仿宋" w:hAnsi="仿宋" w:eastAsia="仿宋" w:cs="仿宋"/>
          <w:color w:val="auto"/>
          <w:sz w:val="24"/>
          <w:szCs w:val="24"/>
        </w:rPr>
        <w:t>二、供应商资格要求</w:t>
      </w:r>
      <w:bookmarkEnd w:id="17"/>
      <w:bookmarkEnd w:id="18"/>
      <w:bookmarkEnd w:id="19"/>
      <w:bookmarkEnd w:id="20"/>
    </w:p>
    <w:p>
      <w:pPr>
        <w:spacing w:line="360" w:lineRule="auto"/>
        <w:ind w:firstLine="480" w:firstLineChars="200"/>
        <w:textAlignment w:val="baseline"/>
        <w:rPr>
          <w:rFonts w:ascii="仿宋" w:hAnsi="仿宋" w:eastAsia="仿宋" w:cs="宋体"/>
          <w:color w:val="auto"/>
          <w:sz w:val="24"/>
        </w:rPr>
      </w:pPr>
      <w:bookmarkStart w:id="21" w:name="_Toc120625362"/>
      <w:bookmarkStart w:id="22" w:name="_Toc100672394"/>
      <w:r>
        <w:rPr>
          <w:rFonts w:ascii="仿宋" w:hAnsi="仿宋" w:eastAsia="仿宋" w:cs="宋体"/>
          <w:color w:val="auto"/>
          <w:sz w:val="24"/>
        </w:rPr>
        <w:t>2</w:t>
      </w:r>
      <w:r>
        <w:rPr>
          <w:rFonts w:hint="eastAsia" w:ascii="仿宋" w:hAnsi="仿宋" w:eastAsia="仿宋" w:cs="宋体"/>
          <w:color w:val="auto"/>
          <w:sz w:val="24"/>
        </w:rPr>
        <w:t>.1</w:t>
      </w:r>
      <w:r>
        <w:rPr>
          <w:rFonts w:hint="eastAsia" w:ascii="仿宋" w:hAnsi="仿宋" w:eastAsia="仿宋" w:cs="Monaco"/>
          <w:b/>
          <w:bCs/>
          <w:color w:val="auto"/>
          <w:sz w:val="24"/>
        </w:rPr>
        <w:t>在中华人民共和国境内依法登记的法人或其他组织，具有独立承担民事责任的能力，</w:t>
      </w:r>
      <w:r>
        <w:rPr>
          <w:rFonts w:hint="eastAsia" w:ascii="仿宋" w:hAnsi="仿宋" w:eastAsia="仿宋" w:cs="Monaco"/>
          <w:color w:val="auto"/>
          <w:sz w:val="24"/>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540" w:firstLineChars="225"/>
        <w:textAlignment w:val="baseline"/>
        <w:rPr>
          <w:rFonts w:ascii="仿宋" w:hAnsi="仿宋" w:eastAsia="仿宋" w:cs="宋体"/>
          <w:color w:val="auto"/>
          <w:sz w:val="24"/>
        </w:rPr>
      </w:pPr>
      <w:r>
        <w:rPr>
          <w:rFonts w:ascii="仿宋" w:hAnsi="仿宋" w:eastAsia="仿宋" w:cs="宋体"/>
          <w:color w:val="auto"/>
          <w:sz w:val="24"/>
        </w:rPr>
        <w:t>2</w:t>
      </w:r>
      <w:r>
        <w:rPr>
          <w:rFonts w:hint="eastAsia" w:ascii="仿宋" w:hAnsi="仿宋" w:eastAsia="仿宋" w:cs="宋体"/>
          <w:color w:val="auto"/>
          <w:sz w:val="24"/>
        </w:rPr>
        <w:t>.</w:t>
      </w:r>
      <w:r>
        <w:rPr>
          <w:rFonts w:ascii="仿宋" w:hAnsi="仿宋" w:eastAsia="仿宋" w:cs="宋体"/>
          <w:color w:val="auto"/>
          <w:sz w:val="24"/>
        </w:rPr>
        <w:t>2</w:t>
      </w:r>
      <w:r>
        <w:rPr>
          <w:rFonts w:hint="eastAsia" w:ascii="仿宋" w:hAnsi="仿宋" w:eastAsia="仿宋" w:cs="宋体"/>
          <w:b/>
          <w:bCs/>
          <w:color w:val="auto"/>
          <w:sz w:val="24"/>
        </w:rPr>
        <w:t>供应商应具有履行合同所必需的设备和专业技术能力</w:t>
      </w:r>
      <w:r>
        <w:rPr>
          <w:rFonts w:hint="eastAsia" w:ascii="仿宋" w:hAnsi="仿宋" w:eastAsia="仿宋" w:cs="宋体"/>
          <w:color w:val="auto"/>
          <w:sz w:val="24"/>
        </w:rPr>
        <w:t>，(</w:t>
      </w:r>
      <w:r>
        <w:rPr>
          <w:rFonts w:ascii="仿宋" w:hAnsi="仿宋" w:eastAsia="仿宋" w:cs="宋体"/>
          <w:color w:val="auto"/>
          <w:sz w:val="24"/>
        </w:rPr>
        <w:t>提供承诺函</w:t>
      </w:r>
      <w:r>
        <w:rPr>
          <w:rFonts w:hint="eastAsia" w:ascii="仿宋" w:hAnsi="仿宋" w:eastAsia="仿宋" w:cs="宋体"/>
          <w:color w:val="auto"/>
          <w:sz w:val="24"/>
        </w:rPr>
        <w:t>)</w:t>
      </w:r>
      <w:r>
        <w:rPr>
          <w:rFonts w:ascii="仿宋" w:hAnsi="仿宋" w:eastAsia="仿宋" w:cs="宋体"/>
          <w:color w:val="auto"/>
          <w:sz w:val="24"/>
        </w:rPr>
        <w:t xml:space="preserve"> </w:t>
      </w:r>
    </w:p>
    <w:p>
      <w:pPr>
        <w:spacing w:line="360" w:lineRule="auto"/>
        <w:ind w:firstLine="480" w:firstLineChars="200"/>
        <w:textAlignment w:val="baseline"/>
        <w:rPr>
          <w:rFonts w:ascii="仿宋" w:hAnsi="仿宋" w:eastAsia="仿宋" w:cs="宋体"/>
          <w:color w:val="auto"/>
          <w:sz w:val="24"/>
        </w:rPr>
      </w:pPr>
      <w:r>
        <w:rPr>
          <w:rFonts w:ascii="仿宋" w:hAnsi="仿宋" w:eastAsia="仿宋" w:cs="宋体"/>
          <w:color w:val="auto"/>
          <w:sz w:val="24"/>
        </w:rPr>
        <w:t>2</w:t>
      </w:r>
      <w:r>
        <w:rPr>
          <w:rFonts w:hint="eastAsia" w:ascii="仿宋" w:hAnsi="仿宋" w:eastAsia="仿宋" w:cs="宋体"/>
          <w:color w:val="auto"/>
          <w:sz w:val="24"/>
        </w:rPr>
        <w:t>.</w:t>
      </w:r>
      <w:r>
        <w:rPr>
          <w:rFonts w:hint="eastAsia" w:ascii="仿宋" w:hAnsi="仿宋" w:eastAsia="仿宋" w:cs="宋体"/>
          <w:color w:val="auto"/>
          <w:sz w:val="24"/>
          <w:lang w:val="en-US" w:eastAsia="zh-CN"/>
        </w:rPr>
        <w:t>3</w:t>
      </w:r>
      <w:r>
        <w:rPr>
          <w:rFonts w:hint="eastAsia" w:ascii="仿宋" w:hAnsi="仿宋" w:eastAsia="仿宋" w:cs="宋体"/>
          <w:b/>
          <w:bCs/>
          <w:color w:val="auto"/>
          <w:sz w:val="24"/>
        </w:rPr>
        <w:t>具有依法缴纳税收和社会保障资金的良好记录</w:t>
      </w:r>
      <w:r>
        <w:rPr>
          <w:rFonts w:hint="eastAsia" w:ascii="仿宋" w:hAnsi="仿宋" w:eastAsia="仿宋" w:cs="宋体"/>
          <w:color w:val="auto"/>
          <w:sz w:val="24"/>
        </w:rPr>
        <w:t>，提供近6个月任意一个月的税收和社会保障资金缴纳凭证。</w:t>
      </w:r>
    </w:p>
    <w:p>
      <w:pPr>
        <w:spacing w:line="360" w:lineRule="auto"/>
        <w:ind w:firstLine="480" w:firstLineChars="200"/>
        <w:textAlignment w:val="baseline"/>
        <w:rPr>
          <w:rFonts w:ascii="仿宋" w:hAnsi="仿宋" w:eastAsia="仿宋" w:cs="Monaco"/>
          <w:color w:val="auto"/>
          <w:sz w:val="24"/>
        </w:rPr>
      </w:pPr>
      <w:r>
        <w:rPr>
          <w:rFonts w:ascii="仿宋" w:hAnsi="仿宋" w:eastAsia="仿宋" w:cs="宋体"/>
          <w:color w:val="auto"/>
          <w:sz w:val="24"/>
        </w:rPr>
        <w:t>2</w:t>
      </w:r>
      <w:r>
        <w:rPr>
          <w:rFonts w:hint="eastAsia" w:ascii="仿宋" w:hAnsi="仿宋" w:eastAsia="仿宋" w:cs="宋体"/>
          <w:color w:val="auto"/>
          <w:sz w:val="24"/>
        </w:rPr>
        <w:t>.</w:t>
      </w:r>
      <w:r>
        <w:rPr>
          <w:rFonts w:hint="eastAsia" w:ascii="仿宋" w:hAnsi="仿宋" w:eastAsia="仿宋" w:cs="宋体"/>
          <w:color w:val="auto"/>
          <w:sz w:val="24"/>
          <w:lang w:val="en-US" w:eastAsia="zh-CN"/>
        </w:rPr>
        <w:t>4</w:t>
      </w:r>
      <w:r>
        <w:rPr>
          <w:rFonts w:hint="eastAsia" w:ascii="仿宋" w:hAnsi="仿宋" w:eastAsia="仿宋" w:cs="Monaco"/>
          <w:b/>
          <w:bCs/>
          <w:color w:val="auto"/>
          <w:sz w:val="24"/>
        </w:rPr>
        <w:t>供应商应经营状况良好，且近三年内（20</w:t>
      </w:r>
      <w:r>
        <w:rPr>
          <w:rFonts w:ascii="仿宋" w:hAnsi="仿宋" w:eastAsia="仿宋" w:cs="Monaco"/>
          <w:b/>
          <w:bCs/>
          <w:color w:val="auto"/>
          <w:sz w:val="24"/>
        </w:rPr>
        <w:t>2</w:t>
      </w:r>
      <w:r>
        <w:rPr>
          <w:rFonts w:hint="eastAsia" w:ascii="仿宋" w:hAnsi="仿宋" w:eastAsia="仿宋" w:cs="Monaco"/>
          <w:b/>
          <w:bCs/>
          <w:color w:val="auto"/>
          <w:sz w:val="24"/>
          <w:lang w:val="en-US" w:eastAsia="zh-CN"/>
        </w:rPr>
        <w:t>3</w:t>
      </w:r>
      <w:r>
        <w:rPr>
          <w:rFonts w:hint="eastAsia" w:ascii="仿宋" w:hAnsi="仿宋" w:eastAsia="仿宋" w:cs="Monaco"/>
          <w:b/>
          <w:bCs/>
          <w:color w:val="auto"/>
          <w:sz w:val="24"/>
        </w:rPr>
        <w:t>年</w:t>
      </w:r>
      <w:r>
        <w:rPr>
          <w:rFonts w:hint="eastAsia" w:ascii="仿宋" w:hAnsi="仿宋" w:eastAsia="仿宋" w:cs="Monaco"/>
          <w:b/>
          <w:bCs/>
          <w:color w:val="auto"/>
          <w:sz w:val="24"/>
          <w:lang w:val="en-US" w:eastAsia="zh-CN"/>
        </w:rPr>
        <w:t>2</w:t>
      </w:r>
      <w:r>
        <w:rPr>
          <w:rFonts w:hint="eastAsia" w:ascii="仿宋" w:hAnsi="仿宋" w:eastAsia="仿宋" w:cs="Monaco"/>
          <w:b/>
          <w:bCs/>
          <w:color w:val="auto"/>
          <w:sz w:val="24"/>
        </w:rPr>
        <w:t>月1日至今）无违法违规记录</w:t>
      </w:r>
      <w:r>
        <w:rPr>
          <w:rFonts w:hint="eastAsia" w:ascii="仿宋" w:hAnsi="仿宋" w:eastAsia="仿宋" w:cs="Monaco"/>
          <w:color w:val="auto"/>
          <w:sz w:val="24"/>
        </w:rPr>
        <w:t xml:space="preserve">。违法违规记录是指被“信用中国”列入失信被执行人、重大税收违法失信主体、政府采购严重违法失信行为记录名单。供应商需提供自竞争性询价函发布之日至响应文件递交截止之日期间对以上三项内容的查询截图并加盖公章。 </w:t>
      </w:r>
    </w:p>
    <w:p>
      <w:pPr>
        <w:spacing w:line="360" w:lineRule="auto"/>
        <w:ind w:firstLine="480" w:firstLineChars="200"/>
        <w:textAlignment w:val="baseline"/>
        <w:rPr>
          <w:rFonts w:ascii="仿宋" w:hAnsi="仿宋" w:eastAsia="仿宋" w:cs="Monaco"/>
          <w:color w:val="auto"/>
          <w:sz w:val="24"/>
        </w:rPr>
      </w:pPr>
      <w:r>
        <w:rPr>
          <w:rFonts w:hint="eastAsia" w:ascii="仿宋" w:hAnsi="仿宋" w:eastAsia="仿宋" w:cs="Monaco"/>
          <w:color w:val="auto"/>
          <w:sz w:val="24"/>
        </w:rPr>
        <w:t>信用中国查询网址：https://www.creditchina.gov.cn/xinyongfuwu/?navPage=5</w:t>
      </w:r>
    </w:p>
    <w:p>
      <w:pPr>
        <w:spacing w:line="360" w:lineRule="auto"/>
        <w:ind w:firstLine="480" w:firstLineChars="200"/>
        <w:textAlignment w:val="baseline"/>
        <w:rPr>
          <w:rFonts w:ascii="仿宋" w:hAnsi="仿宋" w:eastAsia="仿宋" w:cs="宋体"/>
          <w:b/>
          <w:bCs/>
          <w:color w:val="auto"/>
          <w:sz w:val="24"/>
        </w:rPr>
      </w:pPr>
      <w:r>
        <w:rPr>
          <w:rFonts w:ascii="仿宋" w:hAnsi="仿宋" w:eastAsia="仿宋" w:cs="宋体"/>
          <w:color w:val="auto"/>
          <w:sz w:val="24"/>
        </w:rPr>
        <w:t>2.</w:t>
      </w:r>
      <w:r>
        <w:rPr>
          <w:rFonts w:hint="eastAsia" w:ascii="仿宋" w:hAnsi="仿宋" w:eastAsia="仿宋" w:cs="宋体"/>
          <w:color w:val="auto"/>
          <w:sz w:val="24"/>
          <w:lang w:val="en-US" w:eastAsia="zh-CN"/>
        </w:rPr>
        <w:t>5</w:t>
      </w:r>
      <w:r>
        <w:rPr>
          <w:rFonts w:ascii="仿宋" w:hAnsi="仿宋" w:eastAsia="仿宋" w:cs="宋体"/>
          <w:color w:val="auto"/>
          <w:sz w:val="24"/>
        </w:rPr>
        <w:t xml:space="preserve"> </w:t>
      </w:r>
      <w:r>
        <w:rPr>
          <w:rFonts w:hint="eastAsia" w:ascii="仿宋" w:hAnsi="仿宋" w:eastAsia="仿宋" w:cs="宋体"/>
          <w:b/>
          <w:bCs/>
          <w:color w:val="auto"/>
          <w:sz w:val="24"/>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sz w:val="24"/>
        </w:rPr>
      </w:pPr>
      <w:r>
        <w:rPr>
          <w:rFonts w:ascii="仿宋" w:hAnsi="仿宋" w:eastAsia="仿宋" w:cs="宋体"/>
          <w:color w:val="auto"/>
          <w:sz w:val="24"/>
        </w:rPr>
        <w:t>2</w:t>
      </w:r>
      <w:r>
        <w:rPr>
          <w:rFonts w:hint="eastAsia" w:ascii="仿宋" w:hAnsi="仿宋" w:eastAsia="仿宋" w:cs="宋体"/>
          <w:color w:val="auto"/>
          <w:sz w:val="24"/>
        </w:rPr>
        <w:t>.</w:t>
      </w:r>
      <w:r>
        <w:rPr>
          <w:rFonts w:hint="eastAsia" w:ascii="仿宋" w:hAnsi="仿宋" w:eastAsia="仿宋" w:cs="宋体"/>
          <w:color w:val="auto"/>
          <w:sz w:val="24"/>
          <w:lang w:val="en-US" w:eastAsia="zh-CN"/>
        </w:rPr>
        <w:t>6</w:t>
      </w:r>
      <w:r>
        <w:rPr>
          <w:rFonts w:hint="eastAsia" w:ascii="仿宋" w:hAnsi="仿宋" w:eastAsia="仿宋" w:cs="宋体"/>
          <w:color w:val="auto"/>
          <w:sz w:val="24"/>
        </w:rPr>
        <w:t>单位负责人为同一人或存在控股、管理关系的不同单位，不得参加同一标段/标包的询价响应或未划分标段/标包的同一采购项目的询价响应，</w:t>
      </w:r>
      <w:r>
        <w:rPr>
          <w:rFonts w:hint="eastAsia" w:ascii="仿宋" w:hAnsi="仿宋" w:eastAsia="仿宋" w:cs="Monaco"/>
          <w:color w:val="auto"/>
          <w:sz w:val="24"/>
        </w:rPr>
        <w:t>需填写《供应商控股及管理关系情况申报表》。</w:t>
      </w:r>
    </w:p>
    <w:p>
      <w:pPr>
        <w:pStyle w:val="5"/>
        <w:ind w:firstLine="0" w:firstLineChars="0"/>
        <w:jc w:val="left"/>
        <w:rPr>
          <w:rFonts w:ascii="仿宋" w:hAnsi="仿宋" w:eastAsia="仿宋" w:cs="仿宋"/>
          <w:color w:val="auto"/>
          <w:sz w:val="24"/>
          <w:szCs w:val="24"/>
        </w:rPr>
      </w:pPr>
      <w:bookmarkStart w:id="23" w:name="_Toc4123"/>
      <w:bookmarkStart w:id="24" w:name="_Toc9392"/>
      <w:r>
        <w:rPr>
          <w:rFonts w:hint="eastAsia" w:ascii="仿宋" w:hAnsi="仿宋" w:eastAsia="仿宋" w:cs="仿宋"/>
          <w:color w:val="auto"/>
          <w:sz w:val="24"/>
          <w:szCs w:val="24"/>
        </w:rPr>
        <w:t>三、资格审查方法</w:t>
      </w:r>
      <w:bookmarkEnd w:id="21"/>
      <w:bookmarkEnd w:id="22"/>
      <w:bookmarkEnd w:id="23"/>
      <w:bookmarkEnd w:id="24"/>
    </w:p>
    <w:p>
      <w:pPr>
        <w:spacing w:line="360" w:lineRule="auto"/>
        <w:ind w:firstLine="480" w:firstLineChars="200"/>
        <w:textAlignment w:val="baseline"/>
        <w:rPr>
          <w:rFonts w:ascii="仿宋" w:hAnsi="仿宋" w:eastAsia="仿宋" w:cs="仿宋"/>
          <w:color w:val="auto"/>
          <w:sz w:val="24"/>
        </w:rPr>
      </w:pPr>
      <w:r>
        <w:rPr>
          <w:rFonts w:hint="eastAsia" w:ascii="仿宋" w:hAnsi="仿宋" w:eastAsia="仿宋" w:cs="仿宋"/>
          <w:color w:val="auto"/>
          <w:sz w:val="24"/>
        </w:rPr>
        <w:t>本项目将进行资格后审，资格审查方法为合格制，资格审查标准和内容见询价文件第三章评审办法。未通过资格后审的供应商，响应文件将被否决，不进入后续环节。</w:t>
      </w:r>
    </w:p>
    <w:p>
      <w:pPr>
        <w:pStyle w:val="5"/>
        <w:ind w:firstLine="0" w:firstLineChars="0"/>
        <w:jc w:val="left"/>
        <w:rPr>
          <w:rFonts w:ascii="仿宋" w:hAnsi="仿宋" w:eastAsia="仿宋" w:cs="仿宋"/>
          <w:color w:val="auto"/>
          <w:sz w:val="24"/>
          <w:szCs w:val="24"/>
        </w:rPr>
      </w:pPr>
      <w:bookmarkStart w:id="25" w:name="_Toc120625363"/>
      <w:bookmarkStart w:id="26" w:name="_Toc23101"/>
      <w:bookmarkStart w:id="27" w:name="_Toc100672395"/>
      <w:bookmarkStart w:id="28" w:name="_Toc26430"/>
      <w:r>
        <w:rPr>
          <w:rFonts w:hint="eastAsia" w:ascii="仿宋" w:hAnsi="仿宋" w:eastAsia="仿宋" w:cs="仿宋"/>
          <w:color w:val="auto"/>
          <w:sz w:val="24"/>
          <w:szCs w:val="24"/>
        </w:rPr>
        <w:t>四、询价文件的领取</w:t>
      </w:r>
      <w:bookmarkEnd w:id="25"/>
      <w:bookmarkEnd w:id="26"/>
      <w:bookmarkEnd w:id="27"/>
      <w:bookmarkEnd w:id="28"/>
    </w:p>
    <w:p>
      <w:pPr>
        <w:pStyle w:val="88"/>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4</w:t>
      </w:r>
      <w:r>
        <w:rPr>
          <w:rFonts w:hint="eastAsia" w:ascii="仿宋" w:hAnsi="仿宋" w:eastAsia="仿宋" w:cs="仿宋"/>
          <w:color w:val="auto"/>
          <w:sz w:val="24"/>
          <w:szCs w:val="24"/>
        </w:rPr>
        <w:t>.1询价文件发放时间：</w:t>
      </w:r>
      <w:r>
        <w:rPr>
          <w:rFonts w:hint="eastAsia" w:ascii="仿宋" w:hAnsi="仿宋" w:eastAsia="仿宋" w:cs="宋体"/>
          <w:b/>
          <w:color w:val="auto"/>
          <w:sz w:val="24"/>
          <w:szCs w:val="24"/>
          <w:u w:val="single"/>
          <w:lang w:eastAsia="zh-CN"/>
        </w:rPr>
        <w:t>2026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2</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lang w:eastAsia="zh-CN"/>
        </w:rPr>
        <w:t>2026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3</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3</w:t>
      </w:r>
      <w:r>
        <w:rPr>
          <w:rFonts w:hint="eastAsia" w:ascii="仿宋" w:hAnsi="仿宋" w:eastAsia="仿宋" w:cs="宋体"/>
          <w:b/>
          <w:color w:val="auto"/>
          <w:sz w:val="24"/>
          <w:szCs w:val="24"/>
          <w:u w:val="single"/>
        </w:rPr>
        <w:t>日</w:t>
      </w:r>
      <w:r>
        <w:rPr>
          <w:rFonts w:hint="eastAsia" w:ascii="仿宋" w:hAnsi="仿宋" w:eastAsia="仿宋" w:cs="仿宋"/>
          <w:b/>
          <w:color w:val="auto"/>
          <w:sz w:val="24"/>
          <w:szCs w:val="24"/>
          <w:u w:val="single"/>
        </w:rPr>
        <w:t>，8:30至11:30，14:00至17:00（北京时间，下同）</w:t>
      </w:r>
      <w:r>
        <w:rPr>
          <w:rFonts w:hint="eastAsia" w:ascii="仿宋" w:hAnsi="仿宋" w:eastAsia="仿宋" w:cs="仿宋"/>
          <w:color w:val="auto"/>
          <w:sz w:val="24"/>
          <w:szCs w:val="24"/>
        </w:rPr>
        <w:t>。</w:t>
      </w:r>
    </w:p>
    <w:p>
      <w:pPr>
        <w:pStyle w:val="5"/>
        <w:ind w:firstLine="0" w:firstLineChars="0"/>
        <w:jc w:val="left"/>
        <w:rPr>
          <w:rFonts w:ascii="仿宋" w:hAnsi="仿宋" w:eastAsia="仿宋" w:cs="仿宋"/>
          <w:color w:val="auto"/>
          <w:sz w:val="24"/>
          <w:szCs w:val="24"/>
        </w:rPr>
      </w:pPr>
      <w:bookmarkStart w:id="29" w:name="_Toc4400"/>
      <w:bookmarkStart w:id="30" w:name="_Toc100672396"/>
      <w:bookmarkStart w:id="31" w:name="_Toc120625364"/>
      <w:bookmarkStart w:id="32" w:name="_Toc13663"/>
      <w:r>
        <w:rPr>
          <w:rFonts w:hint="eastAsia" w:ascii="仿宋" w:hAnsi="仿宋" w:eastAsia="仿宋" w:cs="仿宋"/>
          <w:color w:val="auto"/>
          <w:sz w:val="24"/>
          <w:szCs w:val="24"/>
        </w:rPr>
        <w:t>五、响应文件的递交</w:t>
      </w:r>
      <w:bookmarkEnd w:id="29"/>
      <w:bookmarkEnd w:id="30"/>
      <w:bookmarkEnd w:id="31"/>
      <w:bookmarkEnd w:id="32"/>
    </w:p>
    <w:p>
      <w:pPr>
        <w:spacing w:line="360" w:lineRule="auto"/>
        <w:ind w:firstLine="480" w:firstLineChars="200"/>
        <w:textAlignment w:val="baseline"/>
        <w:rPr>
          <w:rFonts w:ascii="仿宋" w:hAnsi="仿宋" w:eastAsia="仿宋" w:cs="宋体"/>
          <w:color w:val="auto"/>
          <w:sz w:val="24"/>
        </w:rPr>
      </w:pPr>
      <w:r>
        <w:rPr>
          <w:rFonts w:ascii="仿宋" w:hAnsi="仿宋" w:eastAsia="仿宋" w:cs="宋体"/>
          <w:color w:val="auto"/>
          <w:sz w:val="24"/>
        </w:rPr>
        <w:t>5</w:t>
      </w:r>
      <w:r>
        <w:rPr>
          <w:rFonts w:hint="eastAsia" w:ascii="仿宋" w:hAnsi="仿宋" w:eastAsia="仿宋" w:cs="宋体"/>
          <w:color w:val="auto"/>
          <w:sz w:val="24"/>
        </w:rPr>
        <w:t>.1响应文件递交截止时间：</w:t>
      </w:r>
      <w:r>
        <w:rPr>
          <w:rFonts w:hint="eastAsia" w:ascii="仿宋" w:hAnsi="仿宋" w:eastAsia="仿宋" w:cs="宋体"/>
          <w:color w:val="auto"/>
          <w:sz w:val="24"/>
          <w:u w:val="single"/>
        </w:rPr>
        <w:t>20</w:t>
      </w:r>
      <w:r>
        <w:rPr>
          <w:rFonts w:hint="eastAsia" w:ascii="仿宋" w:hAnsi="仿宋" w:eastAsia="仿宋" w:cs="宋体"/>
          <w:color w:val="auto"/>
          <w:sz w:val="24"/>
          <w:u w:val="single"/>
          <w:lang w:val="en-US" w:eastAsia="zh-CN"/>
        </w:rPr>
        <w:t>26</w:t>
      </w:r>
      <w:r>
        <w:rPr>
          <w:rFonts w:hint="eastAsia" w:ascii="仿宋" w:hAnsi="仿宋" w:eastAsia="仿宋" w:cs="宋体"/>
          <w:color w:val="auto"/>
          <w:sz w:val="24"/>
          <w:u w:val="single"/>
        </w:rPr>
        <w:t>年</w:t>
      </w:r>
      <w:r>
        <w:rPr>
          <w:rFonts w:hint="eastAsia" w:ascii="仿宋" w:hAnsi="仿宋" w:eastAsia="仿宋" w:cs="宋体"/>
          <w:color w:val="auto"/>
          <w:sz w:val="24"/>
          <w:u w:val="single"/>
          <w:lang w:val="en-US" w:eastAsia="zh-CN"/>
        </w:rPr>
        <w:t>3</w:t>
      </w:r>
      <w:r>
        <w:rPr>
          <w:rFonts w:hint="eastAsia" w:ascii="仿宋" w:hAnsi="仿宋" w:eastAsia="仿宋" w:cs="宋体"/>
          <w:color w:val="auto"/>
          <w:sz w:val="24"/>
          <w:u w:val="single"/>
        </w:rPr>
        <w:t>月</w:t>
      </w:r>
      <w:r>
        <w:rPr>
          <w:rFonts w:hint="eastAsia" w:ascii="仿宋" w:hAnsi="仿宋" w:eastAsia="仿宋" w:cs="宋体"/>
          <w:color w:val="auto"/>
          <w:sz w:val="24"/>
          <w:u w:val="single"/>
          <w:lang w:val="en-US" w:eastAsia="zh-CN"/>
        </w:rPr>
        <w:t>6</w:t>
      </w:r>
      <w:r>
        <w:rPr>
          <w:rFonts w:hint="eastAsia" w:ascii="仿宋" w:hAnsi="仿宋" w:eastAsia="仿宋" w:cs="宋体"/>
          <w:color w:val="auto"/>
          <w:sz w:val="24"/>
          <w:u w:val="single"/>
        </w:rPr>
        <w:t>日</w:t>
      </w:r>
      <w:r>
        <w:rPr>
          <w:rFonts w:hint="eastAsia" w:ascii="仿宋" w:hAnsi="仿宋" w:eastAsia="仿宋" w:cs="宋体"/>
          <w:color w:val="auto"/>
          <w:sz w:val="24"/>
          <w:u w:val="single"/>
          <w:lang w:val="en-US" w:eastAsia="zh-CN"/>
        </w:rPr>
        <w:t>10</w:t>
      </w:r>
      <w:r>
        <w:rPr>
          <w:rFonts w:hint="eastAsia" w:ascii="仿宋" w:hAnsi="仿宋" w:eastAsia="仿宋" w:cs="宋体"/>
          <w:color w:val="auto"/>
          <w:sz w:val="24"/>
          <w:u w:val="single"/>
        </w:rPr>
        <w:t>时</w:t>
      </w:r>
      <w:r>
        <w:rPr>
          <w:rFonts w:hint="eastAsia" w:ascii="仿宋" w:hAnsi="仿宋" w:eastAsia="仿宋" w:cs="宋体"/>
          <w:color w:val="auto"/>
          <w:sz w:val="24"/>
          <w:u w:val="single"/>
          <w:lang w:val="en-US" w:eastAsia="zh-CN"/>
        </w:rPr>
        <w:t>00</w:t>
      </w:r>
      <w:r>
        <w:rPr>
          <w:rFonts w:hint="eastAsia" w:ascii="仿宋" w:hAnsi="仿宋" w:eastAsia="仿宋" w:cs="宋体"/>
          <w:color w:val="auto"/>
          <w:sz w:val="24"/>
          <w:u w:val="single"/>
        </w:rPr>
        <w:t>分00秒</w:t>
      </w:r>
      <w:r>
        <w:rPr>
          <w:rFonts w:hint="eastAsia" w:ascii="仿宋" w:hAnsi="仿宋" w:eastAsia="仿宋" w:cs="宋体"/>
          <w:color w:val="auto"/>
          <w:sz w:val="24"/>
        </w:rPr>
        <w:t>。</w:t>
      </w:r>
    </w:p>
    <w:p>
      <w:pPr>
        <w:spacing w:line="360" w:lineRule="auto"/>
        <w:ind w:firstLine="480" w:firstLineChars="200"/>
        <w:jc w:val="left"/>
        <w:textAlignment w:val="baseline"/>
        <w:rPr>
          <w:color w:val="auto"/>
        </w:rPr>
      </w:pPr>
      <w:bookmarkStart w:id="33" w:name="_Toc100672397"/>
      <w:bookmarkStart w:id="34" w:name="_Toc120625365"/>
      <w:r>
        <w:rPr>
          <w:rFonts w:hint="eastAsia" w:ascii="仿宋" w:hAnsi="仿宋" w:eastAsia="仿宋" w:cs="宋体"/>
          <w:color w:val="auto"/>
          <w:sz w:val="24"/>
        </w:rPr>
        <w:t>5.2响应文件的递交：</w:t>
      </w:r>
      <w:r>
        <w:rPr>
          <w:rFonts w:hint="eastAsia" w:ascii="仿宋" w:hAnsi="仿宋" w:eastAsia="仿宋" w:cs="宋体"/>
          <w:color w:val="auto"/>
          <w:sz w:val="24"/>
          <w:u w:val="single"/>
        </w:rPr>
        <w:t>须现场递交/邮寄至</w:t>
      </w:r>
      <w:r>
        <w:rPr>
          <w:rFonts w:hint="eastAsia" w:ascii="仿宋" w:hAnsi="仿宋" w:eastAsia="仿宋" w:cs="宋体"/>
          <w:color w:val="auto"/>
          <w:sz w:val="24"/>
          <w:u w:val="single"/>
          <w:lang w:val="en-US" w:eastAsia="zh-CN"/>
        </w:rPr>
        <w:t>贵州省毕节市七星关区麻园大道5楼个人客户事业部</w:t>
      </w:r>
      <w:r>
        <w:rPr>
          <w:rFonts w:hint="eastAsia" w:ascii="仿宋" w:hAnsi="仿宋" w:eastAsia="仿宋" w:cs="宋体"/>
          <w:color w:val="auto"/>
          <w:sz w:val="24"/>
        </w:rPr>
        <w:t>，</w:t>
      </w:r>
      <w:r>
        <w:rPr>
          <w:rFonts w:hint="eastAsia" w:ascii="仿宋" w:hAnsi="仿宋" w:eastAsia="仿宋" w:cs="宋体"/>
          <w:b/>
          <w:bCs/>
          <w:color w:val="auto"/>
          <w:sz w:val="24"/>
        </w:rPr>
        <w:t>逾期送达或者未送达指定地点或者未按照询价文件要求封装的纸质响应文件不予接收。</w:t>
      </w:r>
    </w:p>
    <w:bookmarkEnd w:id="33"/>
    <w:bookmarkEnd w:id="34"/>
    <w:p>
      <w:pPr>
        <w:pStyle w:val="5"/>
        <w:ind w:firstLine="0" w:firstLineChars="0"/>
        <w:jc w:val="left"/>
        <w:rPr>
          <w:rFonts w:ascii="仿宋" w:hAnsi="仿宋" w:eastAsia="仿宋" w:cs="仿宋"/>
          <w:color w:val="auto"/>
          <w:sz w:val="24"/>
          <w:szCs w:val="24"/>
        </w:rPr>
      </w:pPr>
      <w:bookmarkStart w:id="35" w:name="_Toc100672398"/>
      <w:bookmarkStart w:id="36" w:name="_Toc5041"/>
      <w:bookmarkStart w:id="37" w:name="_Toc25355"/>
      <w:bookmarkStart w:id="38" w:name="_Toc120625366"/>
      <w:r>
        <w:rPr>
          <w:rFonts w:hint="eastAsia" w:ascii="仿宋" w:hAnsi="仿宋" w:eastAsia="仿宋" w:cs="仿宋"/>
          <w:color w:val="auto"/>
          <w:sz w:val="24"/>
          <w:szCs w:val="24"/>
        </w:rPr>
        <w:t>六、联系方式</w:t>
      </w:r>
      <w:bookmarkEnd w:id="35"/>
      <w:bookmarkEnd w:id="36"/>
      <w:bookmarkEnd w:id="37"/>
      <w:bookmarkEnd w:id="38"/>
    </w:p>
    <w:p>
      <w:pPr>
        <w:tabs>
          <w:tab w:val="left" w:pos="-105"/>
          <w:tab w:val="left" w:pos="420"/>
          <w:tab w:val="left" w:pos="630"/>
          <w:tab w:val="left" w:pos="1155"/>
          <w:tab w:val="left" w:pos="1890"/>
          <w:tab w:val="left" w:pos="3150"/>
          <w:tab w:val="left" w:pos="3780"/>
        </w:tabs>
        <w:spacing w:line="360" w:lineRule="auto"/>
        <w:ind w:firstLine="422" w:firstLineChars="175"/>
        <w:jc w:val="left"/>
        <w:rPr>
          <w:rFonts w:ascii="仿宋" w:hAnsi="仿宋" w:eastAsia="仿宋" w:cs="仿宋"/>
          <w:b/>
          <w:bCs/>
          <w:color w:val="auto"/>
          <w:sz w:val="24"/>
        </w:rPr>
      </w:pPr>
      <w:bookmarkStart w:id="39" w:name="_Toc2797"/>
      <w:bookmarkStart w:id="40" w:name="_Toc287600116"/>
      <w:bookmarkStart w:id="41" w:name="_Toc444891334"/>
      <w:bookmarkStart w:id="42" w:name="_Toc1895"/>
      <w:bookmarkStart w:id="43" w:name="_Toc17103"/>
      <w:bookmarkStart w:id="44" w:name="_Toc517281814"/>
      <w:bookmarkStart w:id="45" w:name="_Toc23165"/>
      <w:r>
        <w:rPr>
          <w:rFonts w:hint="eastAsia" w:ascii="仿宋" w:hAnsi="仿宋" w:eastAsia="仿宋" w:cs="仿宋"/>
          <w:b/>
          <w:bCs/>
          <w:color w:val="auto"/>
          <w:sz w:val="24"/>
        </w:rPr>
        <w:t>采购人：中国人民财产保险股份有限公司</w:t>
      </w:r>
      <w:r>
        <w:rPr>
          <w:rFonts w:hint="eastAsia" w:ascii="仿宋" w:hAnsi="仿宋" w:eastAsia="仿宋" w:cs="仿宋"/>
          <w:b/>
          <w:bCs/>
          <w:color w:val="auto"/>
          <w:sz w:val="24"/>
          <w:lang w:val="en-US" w:eastAsia="zh-CN"/>
        </w:rPr>
        <w:t>毕节</w:t>
      </w:r>
      <w:r>
        <w:rPr>
          <w:rFonts w:hint="eastAsia" w:ascii="仿宋" w:hAnsi="仿宋" w:eastAsia="仿宋" w:cs="仿宋"/>
          <w:b/>
          <w:bCs/>
          <w:color w:val="auto"/>
          <w:sz w:val="24"/>
        </w:rPr>
        <w:t>分公司</w:t>
      </w:r>
    </w:p>
    <w:p>
      <w:pPr>
        <w:spacing w:line="360" w:lineRule="auto"/>
        <w:ind w:firstLine="420" w:firstLineChars="175"/>
        <w:jc w:val="left"/>
        <w:rPr>
          <w:rFonts w:ascii="仿宋" w:hAnsi="仿宋" w:eastAsia="仿宋" w:cs="仿宋"/>
          <w:color w:val="auto"/>
          <w:sz w:val="24"/>
        </w:rPr>
      </w:pPr>
      <w:r>
        <w:rPr>
          <w:rFonts w:hint="eastAsia" w:ascii="仿宋" w:hAnsi="仿宋" w:eastAsia="仿宋" w:cs="仿宋"/>
          <w:color w:val="auto"/>
          <w:sz w:val="24"/>
        </w:rPr>
        <w:t>地址：贵州省毕节市七星关区麻园大道5楼个人客户事业部</w:t>
      </w:r>
    </w:p>
    <w:p>
      <w:pPr>
        <w:spacing w:line="360" w:lineRule="auto"/>
        <w:ind w:firstLine="420" w:firstLineChars="175"/>
        <w:jc w:val="left"/>
        <w:rPr>
          <w:rFonts w:hint="default" w:ascii="仿宋" w:hAnsi="仿宋" w:eastAsia="仿宋" w:cs="仿宋"/>
          <w:color w:val="auto"/>
          <w:sz w:val="24"/>
          <w:lang w:val="en-US" w:eastAsia="zh-CN"/>
        </w:rPr>
      </w:pPr>
      <w:bookmarkStart w:id="46" w:name="_Hlk69457004"/>
      <w:r>
        <w:rPr>
          <w:rFonts w:hint="eastAsia" w:ascii="仿宋" w:hAnsi="仿宋" w:eastAsia="仿宋" w:cs="宋体"/>
          <w:color w:val="auto"/>
          <w:sz w:val="24"/>
        </w:rPr>
        <w:t>联系人：</w:t>
      </w:r>
      <w:r>
        <w:rPr>
          <w:rFonts w:hint="eastAsia" w:ascii="仿宋" w:hAnsi="仿宋" w:eastAsia="仿宋" w:cs="宋体"/>
          <w:color w:val="auto"/>
          <w:sz w:val="24"/>
          <w:lang w:val="en-US" w:eastAsia="zh-CN"/>
        </w:rPr>
        <w:t>郭涛</w:t>
      </w:r>
    </w:p>
    <w:p>
      <w:pPr>
        <w:spacing w:line="360" w:lineRule="auto"/>
        <w:ind w:firstLine="420" w:firstLineChars="175"/>
        <w:jc w:val="left"/>
        <w:rPr>
          <w:rFonts w:hint="default" w:ascii="仿宋" w:hAnsi="仿宋" w:eastAsia="仿宋" w:cs="仿宋"/>
          <w:color w:val="auto"/>
          <w:sz w:val="24"/>
          <w:lang w:val="en-US"/>
        </w:rPr>
      </w:pPr>
      <w:r>
        <w:rPr>
          <w:rFonts w:hint="eastAsia" w:ascii="仿宋" w:hAnsi="仿宋" w:eastAsia="仿宋" w:cs="宋体"/>
          <w:color w:val="auto"/>
          <w:sz w:val="24"/>
        </w:rPr>
        <w:t>电话：</w:t>
      </w:r>
      <w:r>
        <w:rPr>
          <w:rFonts w:hint="eastAsia" w:ascii="仿宋" w:hAnsi="仿宋" w:eastAsia="仿宋" w:cs="宋体"/>
          <w:color w:val="auto"/>
          <w:sz w:val="24"/>
          <w:lang w:val="en-US" w:eastAsia="zh-CN"/>
        </w:rPr>
        <w:t>18685738811</w:t>
      </w:r>
    </w:p>
    <w:p>
      <w:pPr>
        <w:spacing w:line="360" w:lineRule="auto"/>
        <w:ind w:firstLine="420" w:firstLineChars="175"/>
        <w:jc w:val="left"/>
        <w:rPr>
          <w:rFonts w:hint="default" w:ascii="仿宋" w:hAnsi="仿宋" w:eastAsia="仿宋" w:cs="仿宋"/>
          <w:color w:val="auto"/>
          <w:sz w:val="24"/>
          <w:lang w:val="en-US" w:eastAsia="zh-CN"/>
        </w:rPr>
      </w:pPr>
      <w:r>
        <w:rPr>
          <w:rFonts w:hint="eastAsia" w:ascii="仿宋" w:hAnsi="仿宋" w:eastAsia="仿宋" w:cs="宋体"/>
          <w:color w:val="auto"/>
          <w:sz w:val="24"/>
        </w:rPr>
        <w:t>电子邮件：</w:t>
      </w:r>
      <w:bookmarkEnd w:id="46"/>
      <w:r>
        <w:rPr>
          <w:rFonts w:hint="eastAsia" w:ascii="仿宋" w:hAnsi="仿宋" w:eastAsia="仿宋" w:cs="仿宋"/>
          <w:color w:val="auto"/>
          <w:sz w:val="24"/>
          <w:lang w:val="en-US" w:eastAsia="zh-CN"/>
        </w:rPr>
        <w:t>917773778@qq.com</w:t>
      </w:r>
    </w:p>
    <w:p>
      <w:pPr>
        <w:spacing w:line="360" w:lineRule="auto"/>
        <w:ind w:firstLine="480" w:firstLineChars="200"/>
        <w:textAlignment w:val="baseline"/>
        <w:rPr>
          <w:rFonts w:ascii="仿宋" w:hAnsi="仿宋" w:eastAsia="仿宋" w:cs="宋体"/>
          <w:color w:val="auto"/>
          <w:sz w:val="24"/>
        </w:rPr>
      </w:pPr>
    </w:p>
    <w:p>
      <w:pPr>
        <w:spacing w:line="360" w:lineRule="auto"/>
        <w:ind w:firstLine="480" w:firstLineChars="200"/>
        <w:jc w:val="right"/>
        <w:textAlignment w:val="baseline"/>
        <w:rPr>
          <w:rFonts w:ascii="仿宋" w:hAnsi="仿宋" w:eastAsia="仿宋" w:cs="宋体"/>
          <w:color w:val="auto"/>
          <w:sz w:val="24"/>
        </w:rPr>
      </w:pPr>
    </w:p>
    <w:p>
      <w:pPr>
        <w:spacing w:line="360" w:lineRule="auto"/>
        <w:ind w:firstLine="480" w:firstLineChars="200"/>
        <w:jc w:val="right"/>
        <w:textAlignment w:val="baseline"/>
        <w:rPr>
          <w:rFonts w:ascii="仿宋" w:hAnsi="仿宋" w:eastAsia="仿宋" w:cs="宋体"/>
          <w:color w:val="auto"/>
          <w:sz w:val="24"/>
        </w:rPr>
      </w:pPr>
      <w:r>
        <w:rPr>
          <w:rFonts w:hint="eastAsia" w:ascii="仿宋" w:hAnsi="仿宋" w:eastAsia="仿宋" w:cs="宋体"/>
          <w:color w:val="auto"/>
          <w:sz w:val="24"/>
        </w:rPr>
        <w:t>采购人：中国人民财产保险股份有限公司</w:t>
      </w:r>
      <w:r>
        <w:rPr>
          <w:rFonts w:hint="eastAsia" w:ascii="仿宋" w:hAnsi="仿宋" w:eastAsia="仿宋" w:cs="宋体"/>
          <w:color w:val="auto"/>
          <w:sz w:val="24"/>
          <w:lang w:val="en-US" w:eastAsia="zh-CN"/>
        </w:rPr>
        <w:t>毕节</w:t>
      </w:r>
      <w:r>
        <w:rPr>
          <w:rFonts w:hint="eastAsia" w:ascii="仿宋" w:hAnsi="仿宋" w:eastAsia="仿宋" w:cs="宋体"/>
          <w:color w:val="auto"/>
          <w:sz w:val="24"/>
        </w:rPr>
        <w:t>分公司</w:t>
      </w:r>
    </w:p>
    <w:p>
      <w:pPr>
        <w:spacing w:line="360" w:lineRule="auto"/>
        <w:ind w:firstLine="480" w:firstLineChars="200"/>
        <w:jc w:val="right"/>
        <w:textAlignment w:val="baseline"/>
        <w:rPr>
          <w:rFonts w:ascii="仿宋" w:hAnsi="仿宋" w:eastAsia="仿宋" w:cs="宋体"/>
          <w:color w:val="auto"/>
          <w:sz w:val="24"/>
        </w:rPr>
      </w:pPr>
      <w:r>
        <w:rPr>
          <w:rFonts w:hint="eastAsia" w:ascii="仿宋" w:hAnsi="仿宋" w:eastAsia="仿宋" w:cs="宋体"/>
          <w:color w:val="auto"/>
          <w:sz w:val="24"/>
          <w:lang w:eastAsia="zh-CN"/>
        </w:rPr>
        <w:t>2026</w:t>
      </w:r>
      <w:r>
        <w:rPr>
          <w:rFonts w:hint="eastAsia" w:ascii="仿宋" w:hAnsi="仿宋" w:eastAsia="仿宋" w:cs="宋体"/>
          <w:color w:val="auto"/>
          <w:sz w:val="24"/>
        </w:rPr>
        <w:t>年</w:t>
      </w:r>
      <w:r>
        <w:rPr>
          <w:rFonts w:hint="eastAsia" w:ascii="仿宋" w:hAnsi="仿宋" w:eastAsia="仿宋" w:cs="宋体"/>
          <w:color w:val="auto"/>
          <w:sz w:val="24"/>
          <w:lang w:val="en-US" w:eastAsia="zh-CN"/>
        </w:rPr>
        <w:t>2</w:t>
      </w:r>
      <w:r>
        <w:rPr>
          <w:rFonts w:hint="eastAsia" w:ascii="仿宋" w:hAnsi="仿宋" w:eastAsia="仿宋" w:cs="宋体"/>
          <w:color w:val="auto"/>
          <w:sz w:val="24"/>
        </w:rPr>
        <w:t>月</w:t>
      </w:r>
    </w:p>
    <w:p>
      <w:pPr>
        <w:pStyle w:val="19"/>
        <w:rPr>
          <w:rFonts w:ascii="宋体" w:hAnsi="宋体"/>
          <w:kern w:val="0"/>
          <w:szCs w:val="21"/>
        </w:rPr>
      </w:pPr>
    </w:p>
    <w:p>
      <w:pPr>
        <w:pStyle w:val="19"/>
        <w:rPr>
          <w:rFonts w:ascii="宋体" w:hAnsi="宋体"/>
          <w:kern w:val="0"/>
          <w:szCs w:val="21"/>
        </w:rPr>
      </w:pPr>
    </w:p>
    <w:p>
      <w:pPr>
        <w:pStyle w:val="4"/>
        <w:spacing w:before="0" w:after="0" w:line="360" w:lineRule="auto"/>
        <w:jc w:val="center"/>
        <w:rPr>
          <w:rFonts w:ascii="仿宋" w:hAnsi="仿宋" w:eastAsia="仿宋" w:cs="仿宋"/>
          <w:color w:val="000000"/>
          <w:sz w:val="28"/>
          <w:szCs w:val="28"/>
        </w:rPr>
      </w:pPr>
      <w:r>
        <w:rPr>
          <w:rFonts w:ascii="仿宋" w:hAnsi="仿宋" w:eastAsia="仿宋" w:cs="仿宋"/>
          <w:color w:val="000000"/>
          <w:sz w:val="28"/>
          <w:szCs w:val="28"/>
        </w:rPr>
        <w:br w:type="page"/>
      </w:r>
      <w:bookmarkStart w:id="47" w:name="_Toc120625367"/>
      <w:bookmarkStart w:id="48" w:name="_Toc100672399"/>
      <w:bookmarkStart w:id="49" w:name="_Toc17790"/>
      <w:bookmarkStart w:id="50" w:name="_Toc18428"/>
      <w:r>
        <w:rPr>
          <w:rFonts w:hint="eastAsia" w:ascii="仿宋" w:hAnsi="仿宋" w:eastAsia="仿宋" w:cs="仿宋"/>
          <w:color w:val="000000"/>
          <w:sz w:val="28"/>
          <w:szCs w:val="28"/>
        </w:rPr>
        <w:t>第二章 供应商须知</w:t>
      </w:r>
      <w:bookmarkEnd w:id="39"/>
      <w:bookmarkEnd w:id="40"/>
      <w:bookmarkEnd w:id="41"/>
      <w:bookmarkEnd w:id="42"/>
      <w:bookmarkEnd w:id="43"/>
      <w:bookmarkEnd w:id="44"/>
      <w:bookmarkEnd w:id="45"/>
      <w:bookmarkEnd w:id="47"/>
      <w:bookmarkEnd w:id="48"/>
      <w:bookmarkEnd w:id="49"/>
      <w:bookmarkEnd w:id="50"/>
    </w:p>
    <w:p>
      <w:pPr>
        <w:pStyle w:val="5"/>
        <w:ind w:firstLine="0" w:firstLineChars="0"/>
        <w:jc w:val="left"/>
        <w:rPr>
          <w:rFonts w:ascii="仿宋" w:hAnsi="仿宋" w:eastAsia="仿宋" w:cs="仿宋"/>
          <w:color w:val="000000"/>
          <w:sz w:val="24"/>
          <w:szCs w:val="24"/>
        </w:rPr>
      </w:pPr>
      <w:bookmarkStart w:id="51" w:name="_Toc21444"/>
      <w:bookmarkStart w:id="52" w:name="_Toc28087"/>
      <w:bookmarkStart w:id="53" w:name="_Toc8620"/>
      <w:bookmarkStart w:id="54" w:name="_Toc19783313"/>
      <w:bookmarkStart w:id="55" w:name="_Toc287600118"/>
      <w:bookmarkStart w:id="56" w:name="_Toc120625369"/>
      <w:bookmarkStart w:id="57" w:name="_Toc517281816"/>
      <w:bookmarkStart w:id="58" w:name="_Toc444891336"/>
      <w:bookmarkStart w:id="59" w:name="_Toc100672401"/>
      <w:bookmarkStart w:id="60" w:name="_Toc20514"/>
      <w:bookmarkStart w:id="61" w:name="_Toc6047"/>
      <w:bookmarkStart w:id="62" w:name="_Toc27232"/>
      <w:bookmarkStart w:id="63" w:name="_Toc11071"/>
      <w:r>
        <w:rPr>
          <w:rFonts w:hint="eastAsia" w:ascii="仿宋" w:hAnsi="仿宋" w:eastAsia="仿宋" w:cs="仿宋"/>
          <w:color w:val="000000"/>
          <w:sz w:val="24"/>
          <w:szCs w:val="24"/>
        </w:rPr>
        <w:t>一、供应商须知前附表</w:t>
      </w:r>
      <w:bookmarkEnd w:id="51"/>
      <w:bookmarkEnd w:id="52"/>
      <w:bookmarkEnd w:id="53"/>
    </w:p>
    <w:p>
      <w:pPr>
        <w:spacing w:line="360" w:lineRule="auto"/>
        <w:jc w:val="left"/>
        <w:rPr>
          <w:rFonts w:ascii="仿宋" w:hAnsi="仿宋" w:eastAsia="仿宋" w:cs="仿宋"/>
          <w:bCs/>
          <w:color w:val="000000"/>
          <w:sz w:val="24"/>
        </w:rPr>
      </w:pPr>
      <w:r>
        <w:rPr>
          <w:rFonts w:hint="eastAsia" w:ascii="仿宋" w:hAnsi="仿宋" w:eastAsia="仿宋" w:cs="仿宋"/>
          <w:bCs/>
          <w:color w:val="000000"/>
          <w:sz w:val="24"/>
        </w:rPr>
        <w:t>本须知前附表是对供应商须知正文的具体补充和修改，如有矛盾，以本前附表为准。</w:t>
      </w:r>
    </w:p>
    <w:tbl>
      <w:tblPr>
        <w:tblStyle w:val="40"/>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949"/>
        <w:gridCol w:w="1826"/>
        <w:gridCol w:w="7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条款号</w:t>
            </w:r>
          </w:p>
        </w:tc>
        <w:tc>
          <w:tcPr>
            <w:tcW w:w="929"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条款名称</w:t>
            </w:r>
          </w:p>
        </w:tc>
        <w:tc>
          <w:tcPr>
            <w:tcW w:w="3588" w:type="pct"/>
            <w:vAlign w:val="center"/>
          </w:tcPr>
          <w:p>
            <w:pPr>
              <w:tabs>
                <w:tab w:val="left" w:pos="1180"/>
              </w:tabs>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采购范围</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询价函“一、项目概况与采购范围”</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rPr>
              <w:t>□资格后审，</w:t>
            </w:r>
            <w:r>
              <w:rPr>
                <w:rFonts w:hint="eastAsia" w:ascii="仿宋" w:hAnsi="仿宋" w:eastAsia="仿宋" w:cs="仿宋"/>
                <w:color w:val="FF0000"/>
              </w:rPr>
              <w:t>详见</w:t>
            </w:r>
            <w:r>
              <w:rPr>
                <w:rFonts w:hint="eastAsia" w:ascii="仿宋" w:hAnsi="仿宋" w:eastAsia="仿宋" w:cs="仿宋"/>
                <w:color w:val="FF0000"/>
                <w:u w:val="single"/>
              </w:rPr>
              <w:t>第一章 询价函“二、供应商资格要求”</w:t>
            </w:r>
            <w:r>
              <w:rPr>
                <w:rFonts w:hint="eastAsia" w:ascii="仿宋" w:hAnsi="仿宋" w:eastAsia="仿宋" w:cs="仿宋"/>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spacing w:before="62" w:beforeLines="20" w:after="62" w:afterLines="20" w:line="360" w:lineRule="auto"/>
              <w:jc w:val="center"/>
              <w:rPr>
                <w:rFonts w:ascii="仿宋" w:hAnsi="仿宋" w:eastAsia="仿宋" w:cs="仿宋"/>
                <w:color w:val="000000"/>
                <w:szCs w:val="21"/>
              </w:rPr>
            </w:pPr>
            <w:r>
              <w:rPr>
                <w:rFonts w:hint="eastAsia" w:ascii="仿宋" w:hAnsi="仿宋" w:eastAsia="仿宋" w:cs="仿宋"/>
                <w:color w:val="000000"/>
                <w:szCs w:val="21"/>
              </w:rPr>
              <w:t>★询价文件实质性要求的标识</w:t>
            </w:r>
          </w:p>
        </w:tc>
        <w:tc>
          <w:tcPr>
            <w:tcW w:w="3588" w:type="pct"/>
            <w:vAlign w:val="center"/>
          </w:tcPr>
          <w:p>
            <w:pPr>
              <w:pStyle w:val="136"/>
              <w:topLinePunct/>
              <w:spacing w:before="62" w:beforeLines="20" w:after="62" w:afterLines="20" w:line="360" w:lineRule="auto"/>
              <w:rPr>
                <w:rFonts w:ascii="仿宋" w:hAnsi="仿宋" w:eastAsia="仿宋" w:cs="Cambria Math"/>
                <w:b/>
                <w:color w:val="000000"/>
                <w:sz w:val="21"/>
                <w:szCs w:val="21"/>
              </w:rPr>
            </w:pPr>
            <w:r>
              <w:rPr>
                <w:rFonts w:hint="eastAsia" w:ascii="仿宋" w:hAnsi="仿宋" w:eastAsia="仿宋" w:cs="Cambria Math"/>
                <w:color w:val="000000"/>
                <w:sz w:val="21"/>
                <w:szCs w:val="21"/>
                <w:u w:val="single"/>
              </w:rPr>
              <w:t>询价文件中标识“★”条款、注明“询价响应将被否决”、“对其响应做否决处理”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供应商提出澄清的截止时间和方式</w:t>
            </w:r>
          </w:p>
        </w:tc>
        <w:tc>
          <w:tcPr>
            <w:tcW w:w="3588" w:type="pct"/>
            <w:vAlign w:val="center"/>
          </w:tcPr>
          <w:p>
            <w:pPr>
              <w:pStyle w:val="136"/>
              <w:topLinePunct/>
              <w:spacing w:before="62" w:beforeLines="20" w:after="62" w:afterLines="20"/>
              <w:rPr>
                <w:rFonts w:ascii="仿宋" w:hAnsi="仿宋" w:eastAsia="仿宋" w:cs="宋体"/>
                <w:color w:val="FF0000"/>
                <w:sz w:val="21"/>
                <w:szCs w:val="21"/>
              </w:rPr>
            </w:pPr>
            <w:r>
              <w:rPr>
                <w:rFonts w:hint="eastAsia" w:ascii="仿宋" w:hAnsi="仿宋" w:eastAsia="仿宋" w:cs="宋体"/>
                <w:b/>
                <w:color w:val="FF0000"/>
                <w:sz w:val="21"/>
                <w:szCs w:val="21"/>
              </w:rPr>
              <w:t>截止时间：</w:t>
            </w:r>
            <w:r>
              <w:rPr>
                <w:rFonts w:hint="eastAsia" w:ascii="仿宋" w:hAnsi="仿宋" w:eastAsia="仿宋" w:cs="宋体"/>
                <w:b/>
                <w:color w:val="FF0000"/>
                <w:sz w:val="21"/>
                <w:szCs w:val="21"/>
                <w:u w:val="single"/>
                <w:lang w:eastAsia="zh-CN"/>
              </w:rPr>
              <w:t>2026</w:t>
            </w:r>
            <w:r>
              <w:rPr>
                <w:rFonts w:hint="eastAsia" w:ascii="仿宋" w:hAnsi="仿宋" w:eastAsia="仿宋" w:cs="宋体"/>
                <w:b/>
                <w:color w:val="FF0000"/>
                <w:sz w:val="21"/>
                <w:szCs w:val="21"/>
                <w:u w:val="single"/>
              </w:rPr>
              <w:t>年</w:t>
            </w:r>
            <w:r>
              <w:rPr>
                <w:rFonts w:hint="eastAsia" w:ascii="仿宋" w:hAnsi="仿宋" w:eastAsia="仿宋" w:cs="宋体"/>
                <w:b/>
                <w:color w:val="FF0000"/>
                <w:sz w:val="21"/>
                <w:szCs w:val="21"/>
                <w:u w:val="single"/>
                <w:lang w:val="en-US" w:eastAsia="zh-CN"/>
              </w:rPr>
              <w:t>3</w:t>
            </w:r>
            <w:r>
              <w:rPr>
                <w:rFonts w:hint="eastAsia" w:ascii="仿宋" w:hAnsi="仿宋" w:eastAsia="仿宋" w:cs="宋体"/>
                <w:b/>
                <w:color w:val="FF0000"/>
                <w:sz w:val="21"/>
                <w:szCs w:val="21"/>
                <w:u w:val="single"/>
              </w:rPr>
              <w:t>月</w:t>
            </w:r>
            <w:r>
              <w:rPr>
                <w:rFonts w:hint="eastAsia" w:ascii="仿宋" w:hAnsi="仿宋" w:eastAsia="仿宋" w:cs="宋体"/>
                <w:b/>
                <w:color w:val="FF0000"/>
                <w:sz w:val="21"/>
                <w:szCs w:val="21"/>
                <w:u w:val="single"/>
                <w:lang w:val="en-US" w:eastAsia="zh-CN"/>
              </w:rPr>
              <w:t>6</w:t>
            </w:r>
            <w:r>
              <w:rPr>
                <w:rFonts w:hint="eastAsia" w:ascii="仿宋" w:hAnsi="仿宋" w:eastAsia="仿宋" w:cs="宋体"/>
                <w:b/>
                <w:color w:val="FF0000"/>
                <w:sz w:val="21"/>
                <w:szCs w:val="21"/>
                <w:u w:val="single"/>
              </w:rPr>
              <w:t xml:space="preserve">日 </w:t>
            </w:r>
            <w:r>
              <w:rPr>
                <w:rFonts w:hint="eastAsia" w:ascii="仿宋" w:hAnsi="仿宋" w:eastAsia="仿宋" w:cs="宋体"/>
                <w:b/>
                <w:color w:val="FF0000"/>
                <w:sz w:val="21"/>
                <w:szCs w:val="21"/>
                <w:u w:val="single"/>
                <w:lang w:val="en-US" w:eastAsia="zh-CN"/>
              </w:rPr>
              <w:t>10</w:t>
            </w:r>
            <w:r>
              <w:rPr>
                <w:rFonts w:hint="eastAsia" w:ascii="仿宋" w:hAnsi="仿宋" w:eastAsia="仿宋" w:cs="宋体"/>
                <w:b/>
                <w:color w:val="FF0000"/>
                <w:sz w:val="21"/>
                <w:szCs w:val="21"/>
                <w:u w:val="single"/>
              </w:rPr>
              <w:t xml:space="preserve">时 </w:t>
            </w:r>
            <w:r>
              <w:rPr>
                <w:rFonts w:hint="eastAsia" w:ascii="仿宋" w:hAnsi="仿宋" w:eastAsia="仿宋" w:cs="宋体"/>
                <w:b/>
                <w:color w:val="FF0000"/>
                <w:sz w:val="21"/>
                <w:szCs w:val="21"/>
                <w:u w:val="single"/>
                <w:lang w:val="en-US" w:eastAsia="zh-CN"/>
              </w:rPr>
              <w:t>0</w:t>
            </w:r>
            <w:r>
              <w:rPr>
                <w:rFonts w:hint="eastAsia" w:ascii="仿宋" w:hAnsi="仿宋" w:eastAsia="仿宋" w:cs="宋体"/>
                <w:b/>
                <w:color w:val="FF0000"/>
                <w:sz w:val="21"/>
                <w:szCs w:val="21"/>
                <w:u w:val="single"/>
              </w:rPr>
              <w:t>分</w:t>
            </w:r>
            <w:r>
              <w:rPr>
                <w:rFonts w:hint="eastAsia" w:ascii="仿宋" w:hAnsi="仿宋" w:eastAsia="仿宋" w:cs="宋体"/>
                <w:b/>
                <w:color w:val="FF0000"/>
                <w:sz w:val="21"/>
                <w:szCs w:val="21"/>
              </w:rPr>
              <w:t>（北京时间）。</w:t>
            </w:r>
          </w:p>
          <w:p>
            <w:pPr>
              <w:pStyle w:val="144"/>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FF0000"/>
                <w:sz w:val="21"/>
                <w:szCs w:val="21"/>
              </w:rPr>
              <w:t>提出澄清的方式：</w:t>
            </w:r>
            <w:r>
              <w:rPr>
                <w:rFonts w:hint="eastAsia" w:ascii="仿宋" w:hAnsi="仿宋" w:eastAsia="仿宋" w:cs="宋体"/>
                <w:color w:val="FF0000"/>
                <w:sz w:val="21"/>
                <w:szCs w:val="21"/>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供应商确认收到澄清或修改的截止时间和方式</w:t>
            </w:r>
          </w:p>
        </w:tc>
        <w:tc>
          <w:tcPr>
            <w:tcW w:w="3588" w:type="pct"/>
            <w:vAlign w:val="center"/>
          </w:tcPr>
          <w:p>
            <w:pPr>
              <w:spacing w:line="360" w:lineRule="auto"/>
              <w:rPr>
                <w:rFonts w:ascii="仿宋" w:hAnsi="仿宋" w:eastAsia="仿宋" w:cs="宋体"/>
                <w:bCs/>
                <w:color w:val="FF0000"/>
                <w:szCs w:val="21"/>
              </w:rPr>
            </w:pPr>
            <w:r>
              <w:rPr>
                <w:rFonts w:hint="eastAsia" w:ascii="仿宋" w:hAnsi="仿宋" w:eastAsia="仿宋" w:cs="宋体"/>
                <w:b/>
                <w:color w:val="FF0000"/>
                <w:szCs w:val="21"/>
              </w:rPr>
              <w:t>确认收到澄清或修改的时间：</w:t>
            </w:r>
            <w:r>
              <w:rPr>
                <w:rFonts w:hint="eastAsia" w:ascii="仿宋" w:hAnsi="仿宋" w:eastAsia="仿宋" w:cs="宋体"/>
                <w:bCs/>
                <w:color w:val="FF0000"/>
                <w:szCs w:val="21"/>
                <w:u w:val="single"/>
              </w:rPr>
              <w:t>收到询价文件澄清或修改通知后</w:t>
            </w:r>
            <w:r>
              <w:rPr>
                <w:rFonts w:ascii="仿宋" w:hAnsi="仿宋" w:eastAsia="仿宋" w:cs="宋体"/>
                <w:bCs/>
                <w:color w:val="FF0000"/>
                <w:szCs w:val="21"/>
                <w:u w:val="single"/>
              </w:rPr>
              <w:t>1</w:t>
            </w:r>
            <w:r>
              <w:rPr>
                <w:rFonts w:hint="eastAsia" w:ascii="仿宋" w:hAnsi="仿宋" w:eastAsia="仿宋" w:cs="宋体"/>
                <w:bCs/>
                <w:color w:val="FF0000"/>
                <w:szCs w:val="21"/>
                <w:u w:val="single"/>
              </w:rPr>
              <w:t>个工作日内。</w:t>
            </w:r>
          </w:p>
          <w:p>
            <w:pPr>
              <w:spacing w:line="360" w:lineRule="auto"/>
              <w:rPr>
                <w:rFonts w:ascii="仿宋" w:hAnsi="仿宋" w:eastAsia="仿宋" w:cs="宋体"/>
                <w:color w:val="000000"/>
                <w:szCs w:val="21"/>
              </w:rPr>
            </w:pPr>
            <w:r>
              <w:rPr>
                <w:rFonts w:hint="eastAsia" w:ascii="仿宋" w:hAnsi="仿宋" w:eastAsia="仿宋" w:cs="宋体"/>
                <w:color w:val="FF0000"/>
                <w:szCs w:val="21"/>
              </w:rPr>
              <w:t>确认收到澄清或修改文件的方式：书面形式。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3588" w:type="pct"/>
            <w:vAlign w:val="center"/>
          </w:tcPr>
          <w:p>
            <w:pPr>
              <w:pStyle w:val="144"/>
              <w:spacing w:before="62" w:beforeLines="20" w:after="62" w:afterLines="20" w:line="276" w:lineRule="auto"/>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响应文件按照以下架构分成三册并顺序编制：</w:t>
            </w:r>
          </w:p>
          <w:p>
            <w:pPr>
              <w:pStyle w:val="152"/>
              <w:spacing w:before="62" w:beforeLines="20" w:after="62" w:afterLines="20" w:line="276" w:lineRule="auto"/>
              <w:rPr>
                <w:rFonts w:ascii="仿宋" w:hAnsi="仿宋" w:eastAsia="仿宋" w:cs="仿宋"/>
                <w:b/>
                <w:color w:val="000000"/>
              </w:rPr>
            </w:pPr>
            <w:r>
              <w:rPr>
                <w:rFonts w:hint="eastAsia" w:ascii="仿宋" w:hAnsi="仿宋" w:eastAsia="仿宋" w:cs="仿宋"/>
                <w:b/>
                <w:color w:val="000000"/>
              </w:rPr>
              <w:t>一、商务文件</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初步评审索引表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（一）响应函</w:t>
            </w:r>
          </w:p>
          <w:p>
            <w:pPr>
              <w:pStyle w:val="144"/>
              <w:spacing w:before="62" w:beforeLines="20" w:after="62" w:afterLines="20"/>
              <w:rPr>
                <w:rFonts w:hint="eastAsia"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（三）资格证明文件</w:t>
            </w:r>
          </w:p>
          <w:p>
            <w:pPr>
              <w:pStyle w:val="144"/>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（四）供应商须知应答偏离表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（五）合同条款应答偏离表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（六）供应商行为准则承诺书</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宋体"/>
                <w:color w:val="000000"/>
              </w:rPr>
              <w:t>（七）供应商廉洁诚信承诺书</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（八）其他材料</w:t>
            </w:r>
            <w:r>
              <w:rPr>
                <w:rFonts w:hint="eastAsia" w:ascii="仿宋" w:hAnsi="仿宋" w:eastAsia="仿宋" w:cs="宋体"/>
                <w:color w:val="000000"/>
              </w:rPr>
              <w:t>（如有）</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spacing w:line="276" w:lineRule="auto"/>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（二）技术方案</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s="宋体"/>
                <w:color w:val="000000"/>
              </w:rPr>
              <w:t>（如有）</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三、报价文件</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（一）报价一览表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（二）分项报价表</w:t>
            </w:r>
            <w:r>
              <w:rPr>
                <w:rFonts w:hint="eastAsia" w:ascii="仿宋" w:hAnsi="仿宋" w:eastAsia="仿宋" w:cs="宋体"/>
                <w:color w:val="000000"/>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3588" w:type="pct"/>
            <w:vAlign w:val="center"/>
          </w:tcPr>
          <w:p>
            <w:pPr>
              <w:autoSpaceDE w:val="0"/>
              <w:autoSpaceDN w:val="0"/>
              <w:spacing w:line="360" w:lineRule="auto"/>
              <w:rPr>
                <w:rFonts w:ascii="仿宋" w:hAnsi="仿宋" w:eastAsia="仿宋" w:cs="宋体"/>
                <w:bCs/>
                <w:color w:val="000000"/>
                <w:szCs w:val="21"/>
              </w:rPr>
            </w:pPr>
            <w:r>
              <w:rPr>
                <w:rFonts w:hint="eastAsia" w:ascii="仿宋" w:hAnsi="仿宋" w:eastAsia="仿宋" w:cs="仿宋"/>
                <w:color w:val="000000"/>
              </w:rPr>
              <w:t>详见</w:t>
            </w:r>
            <w:r>
              <w:rPr>
                <w:rFonts w:hint="eastAsia" w:ascii="仿宋" w:hAnsi="仿宋" w:eastAsia="仿宋" w:cs="仿宋"/>
                <w:color w:val="000000"/>
                <w:u w:val="single"/>
              </w:rPr>
              <w:t>第一章 询价函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3588" w:type="pct"/>
            <w:vAlign w:val="center"/>
          </w:tcPr>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136"/>
              <w:topLinePunct/>
              <w:spacing w:before="62" w:beforeLines="20" w:after="62" w:afterLines="20" w:line="360" w:lineRule="auto"/>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询价响应报价</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1）供应商应结合自身实力与经验、市场价格竞争及合同实施风险等因素进行综合考虑进行报价。</w:t>
            </w:r>
          </w:p>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2）供应商须报出一次性不得更改的价格，并作为该供应商的评审价格。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★询价响应有效期</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rPr>
              <w:t>询价响应有效期：</w:t>
            </w:r>
            <w:r>
              <w:rPr>
                <w:rFonts w:ascii="仿宋" w:hAnsi="仿宋" w:eastAsia="仿宋" w:cs="仿宋"/>
                <w:color w:val="FF0000"/>
                <w:u w:val="single"/>
              </w:rPr>
              <w:t>90</w:t>
            </w:r>
            <w:r>
              <w:rPr>
                <w:rFonts w:hint="eastAsia" w:ascii="仿宋" w:hAnsi="仿宋" w:eastAsia="仿宋" w:cs="仿宋"/>
                <w:color w:val="FF0000"/>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pStyle w:val="152"/>
              <w:spacing w:before="62" w:beforeLines="20" w:after="62" w:afterLines="20" w:line="360" w:lineRule="auto"/>
              <w:jc w:val="center"/>
              <w:rPr>
                <w:rFonts w:ascii="仿宋" w:hAnsi="仿宋" w:eastAsia="仿宋" w:cs="仿宋"/>
                <w:color w:val="000000"/>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响应文件的份数</w:t>
            </w:r>
          </w:p>
        </w:tc>
        <w:tc>
          <w:tcPr>
            <w:tcW w:w="3588" w:type="pct"/>
            <w:vAlign w:val="center"/>
          </w:tcPr>
          <w:p>
            <w:pPr>
              <w:pStyle w:val="17"/>
              <w:rPr>
                <w:rFonts w:ascii="仿宋" w:hAnsi="仿宋" w:eastAsia="仿宋" w:cs="宋体"/>
                <w:color w:val="000000"/>
              </w:rPr>
            </w:pPr>
            <w:r>
              <w:rPr>
                <w:rFonts w:hint="eastAsia" w:ascii="仿宋" w:hAnsi="仿宋" w:eastAsia="仿宋" w:cs="宋体"/>
                <w:color w:val="FF0000"/>
                <w:sz w:val="21"/>
                <w:szCs w:val="21"/>
              </w:rPr>
              <w:t>电子文件</w:t>
            </w:r>
            <w:r>
              <w:rPr>
                <w:rFonts w:hint="eastAsia" w:ascii="仿宋" w:hAnsi="仿宋" w:eastAsia="仿宋" w:cs="宋体"/>
                <w:color w:val="FF0000"/>
                <w:sz w:val="21"/>
                <w:szCs w:val="21"/>
                <w:u w:val="single"/>
              </w:rPr>
              <w:t>1</w:t>
            </w:r>
            <w:r>
              <w:rPr>
                <w:rFonts w:hint="eastAsia" w:ascii="仿宋" w:hAnsi="仿宋" w:eastAsia="仿宋" w:cs="宋体"/>
                <w:color w:val="FF0000"/>
                <w:sz w:val="21"/>
                <w:szCs w:val="21"/>
              </w:rPr>
              <w:t>份（具体格式要求PDF格式）；纸质文件正本</w:t>
            </w:r>
            <w:r>
              <w:rPr>
                <w:rFonts w:hint="eastAsia" w:ascii="仿宋" w:hAnsi="仿宋" w:eastAsia="仿宋" w:cs="宋体"/>
                <w:color w:val="FF0000"/>
                <w:sz w:val="21"/>
                <w:szCs w:val="21"/>
                <w:u w:val="single"/>
              </w:rPr>
              <w:t xml:space="preserve"> 1 </w:t>
            </w:r>
            <w:r>
              <w:rPr>
                <w:rFonts w:hint="eastAsia" w:ascii="仿宋" w:hAnsi="仿宋" w:eastAsia="仿宋" w:cs="宋体"/>
                <w:color w:val="FF0000"/>
                <w:sz w:val="21"/>
                <w:szCs w:val="21"/>
              </w:rPr>
              <w:t>份，副本</w:t>
            </w:r>
            <w:r>
              <w:rPr>
                <w:rFonts w:ascii="仿宋" w:hAnsi="仿宋" w:eastAsia="仿宋" w:cs="宋体"/>
                <w:color w:val="FF0000"/>
                <w:sz w:val="21"/>
                <w:szCs w:val="21"/>
                <w:u w:val="single"/>
              </w:rPr>
              <w:t xml:space="preserve"> 1</w:t>
            </w:r>
            <w:r>
              <w:rPr>
                <w:rFonts w:hint="eastAsia" w:ascii="仿宋" w:hAnsi="仿宋" w:eastAsia="仿宋" w:cs="宋体"/>
                <w:color w:val="FF0000"/>
                <w:sz w:val="21"/>
                <w:szCs w:val="21"/>
                <w:u w:val="single"/>
              </w:rPr>
              <w:t xml:space="preserve"> </w:t>
            </w:r>
            <w:r>
              <w:rPr>
                <w:rFonts w:hint="eastAsia" w:ascii="仿宋" w:hAnsi="仿宋" w:eastAsia="仿宋" w:cs="宋体"/>
                <w:color w:val="FF0000"/>
                <w:sz w:val="21"/>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纸质</w:t>
            </w:r>
            <w:r>
              <w:rPr>
                <w:rFonts w:hint="eastAsia" w:ascii="仿宋" w:hAnsi="仿宋" w:eastAsia="仿宋" w:cs="仿宋"/>
                <w:color w:val="000000"/>
                <w:szCs w:val="21"/>
              </w:rPr>
              <w:t>响应文件的装订、密封和标记</w:t>
            </w:r>
          </w:p>
        </w:tc>
        <w:tc>
          <w:tcPr>
            <w:tcW w:w="3588" w:type="pct"/>
            <w:vAlign w:val="center"/>
          </w:tcPr>
          <w:p>
            <w:pPr>
              <w:spacing w:line="360" w:lineRule="auto"/>
              <w:rPr>
                <w:rFonts w:hint="eastAsia" w:ascii="仿宋" w:hAnsi="仿宋" w:eastAsia="仿宋" w:cs="Cambria Math"/>
                <w:color w:val="000000"/>
                <w:szCs w:val="21"/>
              </w:rPr>
            </w:pPr>
            <w:r>
              <w:rPr>
                <w:rFonts w:hint="eastAsia" w:ascii="仿宋" w:hAnsi="仿宋" w:eastAsia="仿宋" w:cs="Cambria Math"/>
                <w:color w:val="000000"/>
                <w:szCs w:val="21"/>
              </w:rPr>
              <w:t>采用A4纸左侧装订，双面打印，密封粘接缝隙加盖供应商公章或由法定代表人（负责人）或其委托代理人签字。未按要求密封的</w:t>
            </w:r>
            <w:r>
              <w:rPr>
                <w:rFonts w:hint="eastAsia" w:ascii="仿宋" w:hAnsi="仿宋" w:eastAsia="仿宋" w:cs="Cambria Math"/>
                <w:color w:val="000000"/>
                <w:szCs w:val="21"/>
                <w:lang w:eastAsia="zh-Hans"/>
              </w:rPr>
              <w:t>纸质</w:t>
            </w:r>
            <w:r>
              <w:rPr>
                <w:rFonts w:hint="eastAsia" w:ascii="仿宋" w:hAnsi="仿宋" w:eastAsia="仿宋" w:cs="Cambria Math"/>
                <w:color w:val="000000"/>
                <w:szCs w:val="21"/>
              </w:rPr>
              <w:t>响应文件不予接收。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pStyle w:val="152"/>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响应文件的递交</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询价函“五、响应文件的递交”</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组建询价小组</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FF0000"/>
              </w:rPr>
              <w:t>本项目询价小组成员人数为</w:t>
            </w:r>
            <w:r>
              <w:rPr>
                <w:rFonts w:ascii="仿宋" w:hAnsi="仿宋" w:eastAsia="仿宋" w:cs="仿宋"/>
                <w:color w:val="FF0000"/>
                <w:u w:val="single"/>
              </w:rPr>
              <w:t>7</w:t>
            </w:r>
            <w:r>
              <w:rPr>
                <w:rFonts w:hint="eastAsia" w:ascii="仿宋" w:hAnsi="仿宋" w:eastAsia="仿宋" w:cs="仿宋"/>
                <w:color w:val="FF0000"/>
                <w:u w:val="single"/>
              </w:rPr>
              <w:t>人</w:t>
            </w:r>
            <w:r>
              <w:rPr>
                <w:rFonts w:hint="eastAsia" w:ascii="仿宋" w:hAnsi="仿宋" w:eastAsia="仿宋" w:cs="仿宋"/>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询价小组从质量和服务均能满足采购文件实质性响应要求的供应商中，按照报价由低到高的顺序</w:t>
            </w:r>
            <w:r>
              <w:rPr>
                <w:rFonts w:hint="eastAsia" w:ascii="仿宋" w:hAnsi="仿宋" w:eastAsia="仿宋" w:cs="宋体"/>
                <w:color w:val="000000"/>
              </w:rPr>
              <w:t>此次采购中选的供应商将按照通过初审的实质性响应的供应商数量来选定，若通过初审的实质性响应的供应商数量≦3时，按1:3比例进行选定；若通过初审的实质性响应的供应商数量≥4时，按1:1.5比例进行选定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pStyle w:val="152"/>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成交人数量</w:t>
            </w:r>
          </w:p>
        </w:tc>
        <w:tc>
          <w:tcPr>
            <w:tcW w:w="3588" w:type="pct"/>
            <w:vAlign w:val="center"/>
          </w:tcPr>
          <w:p>
            <w:pPr>
              <w:pStyle w:val="152"/>
              <w:spacing w:before="62" w:beforeLines="20" w:after="62" w:afterLines="20"/>
              <w:rPr>
                <w:rFonts w:ascii="仿宋" w:hAnsi="仿宋" w:eastAsia="仿宋" w:cs="仿宋"/>
                <w:color w:val="FF0000"/>
                <w:u w:val="single"/>
              </w:rPr>
            </w:pPr>
            <w:r>
              <w:rPr>
                <w:rFonts w:hint="eastAsia" w:ascii="仿宋" w:hAnsi="仿宋" w:eastAsia="仿宋" w:cs="仿宋"/>
                <w:color w:val="FF0000"/>
              </w:rPr>
              <w:t>成交人数量：</w:t>
            </w:r>
            <w:r>
              <w:rPr>
                <w:rFonts w:hint="eastAsia" w:ascii="仿宋" w:hAnsi="仿宋" w:eastAsia="仿宋" w:cs="仿宋"/>
                <w:color w:val="FF0000"/>
                <w:u w:val="single"/>
                <w:lang w:val="en-US" w:eastAsia="zh-CN"/>
              </w:rPr>
              <w:t>此次采购中选的供应商将按照通过初审的实质性响应的供应商数量来选定，若通过初审的实质性响应的供应商数量≦3时，按1:3比例进行选定；若通过初审的实质性响应的供应商数量≥4时，按1:1.5比例进行选定。</w:t>
            </w:r>
          </w:p>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u w:val="single"/>
              </w:rPr>
              <w:t>报价按三个服务内容所报单价合计数剔除可抵扣的增值税进项税后按从低到高顺序排序，此次采购中选的供应商将按照通过初审的实质性响应的供应商数量来选定，若通过初审的实质性响应的供应商数量≦3时，按1:3比例进行选定；若通过初审的实质性响应的供应商数量≥4时，按1:1.5比例进行选定，如果出现报价相同的供应商，以短视频报价低者排序在先，如短视频报价相同，则再以首页弹窗报价低者排序，短视频和首页弹窗报价均相同时，最后以轮播大图报价低者排序。</w:t>
            </w:r>
            <w:r>
              <w:rPr>
                <w:rFonts w:hint="eastAsia" w:ascii="仿宋" w:hAnsi="仿宋" w:eastAsia="仿宋" w:cs="仿宋"/>
              </w:rPr>
              <w:t>成交候选人放弃成交、因不可抗力不能履行合同、</w:t>
            </w:r>
            <w:r>
              <w:rPr>
                <w:rFonts w:hint="eastAsia" w:ascii="仿宋" w:hAnsi="仿宋" w:eastAsia="仿宋" w:cs="宋体"/>
                <w:color w:val="000000"/>
              </w:rPr>
              <w:t>不按照询价文件要求提交履约保证金</w:t>
            </w:r>
            <w:r>
              <w:rPr>
                <w:rFonts w:hint="eastAsia" w:ascii="仿宋" w:hAnsi="仿宋" w:eastAsia="仿宋" w:cs="仿宋"/>
              </w:rPr>
              <w:t>、存在重大经营或法律风险、被查实存在影响采购结果的违法行为等情形，采购人按照询价小组提出的成交候选人名单排序依次确定其他成交候选人为成交人，或者重新采购。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履约保证金</w:t>
            </w:r>
          </w:p>
        </w:tc>
        <w:tc>
          <w:tcPr>
            <w:tcW w:w="3588" w:type="pct"/>
            <w:vAlign w:val="center"/>
          </w:tcPr>
          <w:p>
            <w:pPr>
              <w:autoSpaceDE w:val="0"/>
              <w:autoSpaceDN w:val="0"/>
              <w:spacing w:line="360" w:lineRule="auto"/>
              <w:rPr>
                <w:rFonts w:ascii="仿宋" w:hAnsi="仿宋" w:eastAsia="仿宋" w:cs="仿宋"/>
                <w:color w:val="000000"/>
                <w:szCs w:val="21"/>
              </w:rPr>
            </w:pPr>
            <w:r>
              <w:rPr>
                <w:rFonts w:hint="eastAsia" w:ascii="仿宋" w:hAnsi="仿宋" w:eastAsia="仿宋" w:cs="宋体"/>
                <w:color w:val="FF0000"/>
                <w:szCs w:val="21"/>
              </w:rPr>
              <w:t>□不收取</w:t>
            </w:r>
          </w:p>
        </w:tc>
      </w:tr>
    </w:tbl>
    <w:p>
      <w:pPr>
        <w:rPr>
          <w:rFonts w:ascii="仿宋" w:hAnsi="仿宋" w:eastAsia="仿宋" w:cs="仿宋"/>
          <w:color w:val="000000"/>
          <w:sz w:val="24"/>
        </w:rPr>
      </w:pPr>
      <w:r>
        <w:rPr>
          <w:rFonts w:hint="eastAsia" w:ascii="仿宋" w:hAnsi="仿宋" w:eastAsia="仿宋" w:cs="仿宋"/>
          <w:color w:val="000000"/>
          <w:sz w:val="24"/>
        </w:rPr>
        <w:br w:type="page"/>
      </w:r>
    </w:p>
    <w:p>
      <w:pPr>
        <w:pStyle w:val="5"/>
        <w:ind w:firstLine="0" w:firstLineChars="0"/>
        <w:jc w:val="left"/>
        <w:rPr>
          <w:rFonts w:ascii="仿宋" w:hAnsi="仿宋" w:eastAsia="仿宋" w:cs="仿宋"/>
          <w:color w:val="000000"/>
          <w:sz w:val="24"/>
          <w:szCs w:val="24"/>
        </w:rPr>
      </w:pPr>
      <w:bookmarkStart w:id="64" w:name="_Toc28865"/>
      <w:bookmarkStart w:id="65" w:name="_Toc8093"/>
      <w:r>
        <w:rPr>
          <w:rFonts w:hint="eastAsia" w:ascii="仿宋" w:hAnsi="仿宋" w:eastAsia="仿宋" w:cs="仿宋"/>
          <w:color w:val="000000"/>
          <w:sz w:val="24"/>
          <w:szCs w:val="24"/>
        </w:rPr>
        <w:t>二、供应商须知</w:t>
      </w:r>
      <w:bookmarkEnd w:id="54"/>
      <w:bookmarkEnd w:id="55"/>
      <w:bookmarkEnd w:id="56"/>
      <w:bookmarkEnd w:id="57"/>
      <w:bookmarkEnd w:id="58"/>
      <w:bookmarkEnd w:id="59"/>
      <w:bookmarkEnd w:id="60"/>
      <w:bookmarkEnd w:id="61"/>
      <w:bookmarkEnd w:id="62"/>
      <w:bookmarkEnd w:id="63"/>
      <w:r>
        <w:rPr>
          <w:rFonts w:hint="eastAsia" w:ascii="仿宋" w:hAnsi="仿宋" w:eastAsia="仿宋" w:cs="仿宋"/>
          <w:color w:val="000000"/>
          <w:sz w:val="24"/>
          <w:szCs w:val="24"/>
        </w:rPr>
        <w:t>正文</w:t>
      </w:r>
      <w:bookmarkEnd w:id="64"/>
      <w:bookmarkEnd w:id="65"/>
    </w:p>
    <w:p>
      <w:pPr>
        <w:pStyle w:val="6"/>
        <w:spacing w:before="0" w:after="0" w:line="360" w:lineRule="auto"/>
        <w:jc w:val="center"/>
        <w:rPr>
          <w:rFonts w:ascii="仿宋" w:hAnsi="仿宋" w:eastAsia="仿宋" w:cs="仿宋"/>
          <w:color w:val="000000"/>
          <w:sz w:val="24"/>
          <w:szCs w:val="24"/>
        </w:rPr>
      </w:pPr>
      <w:bookmarkStart w:id="66" w:name="_Toc431"/>
      <w:bookmarkStart w:id="67" w:name="_Toc16441"/>
      <w:bookmarkStart w:id="68" w:name="_Toc444891337"/>
      <w:bookmarkStart w:id="69" w:name="_Toc517281817"/>
      <w:bookmarkStart w:id="70" w:name="_Toc22969"/>
      <w:bookmarkStart w:id="71" w:name="_Toc100672402"/>
      <w:bookmarkStart w:id="72" w:name="_Toc19783314"/>
      <w:bookmarkStart w:id="73" w:name="_Toc6681"/>
      <w:bookmarkStart w:id="74" w:name="_Toc19989"/>
      <w:bookmarkStart w:id="75" w:name="_Toc11851"/>
      <w:bookmarkStart w:id="76" w:name="_Toc287600119"/>
      <w:r>
        <w:rPr>
          <w:rFonts w:hint="eastAsia" w:ascii="仿宋" w:hAnsi="仿宋" w:eastAsia="仿宋" w:cs="仿宋"/>
          <w:color w:val="000000"/>
          <w:sz w:val="24"/>
          <w:szCs w:val="24"/>
        </w:rPr>
        <w:t>（一）总 则</w:t>
      </w:r>
      <w:bookmarkEnd w:id="66"/>
      <w:bookmarkEnd w:id="67"/>
      <w:bookmarkEnd w:id="68"/>
      <w:bookmarkEnd w:id="69"/>
      <w:bookmarkEnd w:id="70"/>
      <w:bookmarkEnd w:id="71"/>
      <w:bookmarkEnd w:id="72"/>
      <w:bookmarkEnd w:id="73"/>
      <w:bookmarkEnd w:id="74"/>
      <w:bookmarkEnd w:id="75"/>
      <w:bookmarkEnd w:id="76"/>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本项目按照中华人民共和国有关法律、行政法规和部门规章以及采购人的采购管理制度，通过询价方式确定签约供应商。</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jc w:val="left"/>
        <w:rPr>
          <w:rFonts w:ascii="仿宋" w:hAnsi="仿宋" w:eastAsia="仿宋" w:cs="仿宋"/>
          <w:bCs/>
          <w:color w:val="000000"/>
          <w:sz w:val="24"/>
        </w:rPr>
      </w:pP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仿宋"/>
          <w:bCs/>
          <w:color w:val="000000"/>
          <w:sz w:val="24"/>
        </w:rPr>
        <w:t>详细内容详见第五章采购需求。</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jc w:val="left"/>
        <w:rPr>
          <w:rFonts w:ascii="仿宋" w:hAnsi="仿宋" w:eastAsia="仿宋" w:cs="仿宋"/>
          <w:color w:val="000000"/>
          <w:sz w:val="24"/>
        </w:rPr>
      </w:pPr>
      <w:r>
        <w:rPr>
          <w:rFonts w:hint="eastAsia" w:ascii="仿宋" w:hAnsi="仿宋" w:eastAsia="仿宋" w:cs="仿宋"/>
          <w:color w:val="000000"/>
          <w:sz w:val="24"/>
        </w:rPr>
        <w:t>资金来源于采购人或其子公司（含分支机构）自筹（比例100%），且资金已落实。</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4.1</w:t>
      </w:r>
      <w:r>
        <w:rPr>
          <w:rFonts w:hint="eastAsia" w:ascii="仿宋" w:hAnsi="仿宋" w:eastAsia="仿宋" w:cs="宋体"/>
          <w:color w:val="000000"/>
          <w:kern w:val="0"/>
          <w:sz w:val="24"/>
        </w:rPr>
        <w:t>资格预审：是指在递交响应文件前对潜在供应商进行的资格审查。采用资格预审方式的，资格条件已经在询价文件发出前的资格预审文件中作出规定。</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0"/>
          <w:sz w:val="24"/>
        </w:rPr>
        <w:t>.2资格后审：是指在首次响应文件递交截止时间后由询价小组根据询价文件的规定对供应商进行的资格审查。采购人应当在询价文件中详细规定资格审查标准和方法，资格后审一般包括资格要求、符合性要求、技术要求和价格比较等审查标准和方法。本项目资格审查方式、供应商应具备的资格条件</w:t>
      </w:r>
      <w:r>
        <w:rPr>
          <w:rFonts w:hint="eastAsia" w:ascii="仿宋" w:hAnsi="仿宋" w:eastAsia="仿宋" w:cs="宋体"/>
          <w:color w:val="000000"/>
          <w:kern w:val="0"/>
          <w:sz w:val="24"/>
          <w:u w:val="single"/>
        </w:rPr>
        <w:t>详见本须知前附表。</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5.询价响应费用</w:t>
      </w:r>
    </w:p>
    <w:p>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自行承担所有准备和参与本次询价响应的有关费用。</w:t>
      </w:r>
    </w:p>
    <w:p>
      <w:pPr>
        <w:pStyle w:val="6"/>
        <w:spacing w:before="0" w:after="0" w:line="360" w:lineRule="auto"/>
        <w:jc w:val="center"/>
        <w:rPr>
          <w:rFonts w:ascii="仿宋" w:hAnsi="仿宋" w:eastAsia="仿宋" w:cs="仿宋"/>
          <w:color w:val="000000"/>
          <w:sz w:val="24"/>
          <w:szCs w:val="24"/>
        </w:rPr>
      </w:pPr>
      <w:bookmarkStart w:id="77" w:name="_Toc24246"/>
      <w:bookmarkStart w:id="78" w:name="_Toc5255"/>
      <w:bookmarkStart w:id="79" w:name="_Toc13837"/>
      <w:bookmarkStart w:id="80" w:name="_Toc100672403"/>
      <w:bookmarkStart w:id="81" w:name="_Toc517281818"/>
      <w:bookmarkStart w:id="82" w:name="_Toc3016"/>
      <w:bookmarkStart w:id="83" w:name="_Toc444891338"/>
      <w:bookmarkStart w:id="84" w:name="_Toc19783315"/>
      <w:bookmarkStart w:id="85" w:name="_Toc25513"/>
      <w:bookmarkStart w:id="86" w:name="_Toc10975"/>
      <w:bookmarkStart w:id="87" w:name="_Toc287600120"/>
      <w:r>
        <w:rPr>
          <w:rFonts w:hint="eastAsia" w:ascii="仿宋" w:hAnsi="仿宋" w:eastAsia="仿宋" w:cs="仿宋"/>
          <w:color w:val="000000"/>
          <w:sz w:val="24"/>
          <w:szCs w:val="24"/>
        </w:rPr>
        <w:t>（二）询价文件</w:t>
      </w:r>
      <w:bookmarkEnd w:id="77"/>
      <w:bookmarkEnd w:id="78"/>
      <w:bookmarkEnd w:id="79"/>
      <w:bookmarkEnd w:id="80"/>
      <w:bookmarkEnd w:id="81"/>
      <w:bookmarkEnd w:id="82"/>
      <w:bookmarkEnd w:id="83"/>
      <w:bookmarkEnd w:id="84"/>
      <w:bookmarkEnd w:id="85"/>
      <w:bookmarkEnd w:id="86"/>
      <w:bookmarkEnd w:id="87"/>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6.询价文件的组成</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6.1询价文件包括下列内容：</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询价函</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第六章 响应文件格式</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w:t>
      </w:r>
      <w:r>
        <w:rPr>
          <w:rFonts w:ascii="仿宋" w:hAnsi="仿宋" w:eastAsia="仿宋" w:cs="仿宋"/>
          <w:color w:val="000000"/>
          <w:kern w:val="0"/>
          <w:sz w:val="24"/>
        </w:rPr>
        <w:t>2</w:t>
      </w:r>
      <w:r>
        <w:rPr>
          <w:rFonts w:hint="eastAsia" w:ascii="仿宋" w:hAnsi="仿宋" w:eastAsia="仿宋" w:cs="仿宋"/>
          <w:color w:val="000000"/>
          <w:kern w:val="0"/>
          <w:sz w:val="24"/>
        </w:rPr>
        <w:t>采购人在询价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7.询价文件的修改</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7.1潜在</w:t>
      </w:r>
      <w:r>
        <w:rPr>
          <w:rFonts w:hint="eastAsia" w:ascii="仿宋" w:hAnsi="仿宋" w:eastAsia="仿宋" w:cs="宋体"/>
          <w:color w:val="000000"/>
          <w:kern w:val="0"/>
          <w:sz w:val="24"/>
        </w:rPr>
        <w:t>供应商对</w:t>
      </w:r>
      <w:r>
        <w:rPr>
          <w:rFonts w:hint="eastAsia" w:ascii="仿宋" w:hAnsi="仿宋" w:eastAsia="仿宋" w:cs="仿宋"/>
          <w:color w:val="000000"/>
          <w:sz w:val="24"/>
        </w:rPr>
        <w:t>询价文件</w:t>
      </w:r>
      <w:r>
        <w:rPr>
          <w:rFonts w:hint="eastAsia" w:ascii="仿宋" w:hAnsi="仿宋" w:eastAsia="仿宋" w:cs="宋体"/>
          <w:color w:val="000000"/>
          <w:kern w:val="0"/>
          <w:sz w:val="24"/>
        </w:rPr>
        <w:t>有疑问的，应当按照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规定的时间和方式，要求采购人对</w:t>
      </w:r>
      <w:r>
        <w:rPr>
          <w:rFonts w:hint="eastAsia" w:ascii="仿宋" w:hAnsi="仿宋" w:eastAsia="仿宋" w:cs="仿宋"/>
          <w:color w:val="000000"/>
          <w:sz w:val="24"/>
        </w:rPr>
        <w:t>询价文件</w:t>
      </w:r>
      <w:r>
        <w:rPr>
          <w:rFonts w:hint="eastAsia" w:ascii="仿宋" w:hAnsi="仿宋" w:eastAsia="仿宋" w:cs="宋体"/>
          <w:color w:val="000000"/>
          <w:kern w:val="0"/>
          <w:sz w:val="24"/>
        </w:rPr>
        <w:t>进行澄清。</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7.2</w:t>
      </w:r>
      <w:r>
        <w:rPr>
          <w:rFonts w:hint="eastAsia" w:ascii="仿宋" w:hAnsi="仿宋" w:eastAsia="仿宋" w:cs="仿宋"/>
          <w:color w:val="000000"/>
          <w:sz w:val="24"/>
        </w:rPr>
        <w:t>采购人在响应文件递交截止时间前，可以书面形式发出对询价文件的澄清或修改内容，</w:t>
      </w:r>
      <w:r>
        <w:rPr>
          <w:rFonts w:hint="eastAsia" w:ascii="仿宋" w:hAnsi="仿宋" w:eastAsia="仿宋" w:cs="宋体"/>
          <w:color w:val="000000"/>
          <w:kern w:val="0"/>
          <w:sz w:val="24"/>
        </w:rPr>
        <w:t>如澄清或修改的内容可能影响响应文件编制的，采购人应当在响应文件递交截止时间前的一定时间以书面形式通知所有获取</w:t>
      </w:r>
      <w:r>
        <w:rPr>
          <w:rFonts w:hint="eastAsia" w:ascii="仿宋" w:hAnsi="仿宋" w:eastAsia="仿宋" w:cs="仿宋"/>
          <w:color w:val="000000"/>
          <w:sz w:val="24"/>
        </w:rPr>
        <w:t>询价文件</w:t>
      </w:r>
      <w:r>
        <w:rPr>
          <w:rFonts w:hint="eastAsia" w:ascii="仿宋" w:hAnsi="仿宋" w:eastAsia="仿宋" w:cs="宋体"/>
          <w:color w:val="000000"/>
          <w:kern w:val="0"/>
          <w:sz w:val="24"/>
        </w:rPr>
        <w:t>的潜在供应商，如不足该时长的，采购人将相应顺延提交响应文件的截止时间。</w:t>
      </w:r>
    </w:p>
    <w:p>
      <w:pPr>
        <w:widowControl/>
        <w:topLinePunct/>
        <w:spacing w:line="360" w:lineRule="auto"/>
      </w:pPr>
      <w:r>
        <w:rPr>
          <w:rFonts w:hint="eastAsia" w:ascii="仿宋" w:hAnsi="仿宋" w:eastAsia="仿宋" w:cs="宋体"/>
          <w:color w:val="000000"/>
          <w:kern w:val="0"/>
          <w:sz w:val="24"/>
        </w:rPr>
        <w:t>7.</w:t>
      </w:r>
      <w:r>
        <w:rPr>
          <w:rFonts w:ascii="仿宋" w:hAnsi="仿宋" w:eastAsia="仿宋" w:cs="宋体"/>
          <w:color w:val="000000"/>
          <w:kern w:val="0"/>
          <w:sz w:val="24"/>
        </w:rPr>
        <w:t>3</w:t>
      </w:r>
      <w:r>
        <w:rPr>
          <w:rFonts w:hint="eastAsia" w:ascii="仿宋" w:hAnsi="仿宋" w:eastAsia="仿宋" w:cs="宋体"/>
          <w:color w:val="000000"/>
          <w:kern w:val="0"/>
          <w:sz w:val="24"/>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rPr>
      </w:pPr>
      <w:r>
        <w:rPr>
          <w:rFonts w:hint="eastAsia" w:ascii="仿宋" w:hAnsi="仿宋" w:eastAsia="仿宋" w:cs="宋体"/>
          <w:color w:val="000000"/>
          <w:kern w:val="0"/>
          <w:sz w:val="24"/>
        </w:rPr>
        <w:t>7</w:t>
      </w:r>
      <w:r>
        <w:rPr>
          <w:rFonts w:ascii="仿宋" w:hAnsi="仿宋" w:eastAsia="仿宋" w:cs="宋体"/>
          <w:color w:val="000000"/>
          <w:kern w:val="0"/>
          <w:sz w:val="24"/>
        </w:rPr>
        <w:t>.</w:t>
      </w:r>
      <w:r>
        <w:rPr>
          <w:rFonts w:hint="eastAsia" w:ascii="仿宋" w:hAnsi="仿宋" w:eastAsia="仿宋" w:cs="宋体"/>
          <w:color w:val="000000"/>
          <w:kern w:val="0"/>
          <w:sz w:val="24"/>
        </w:rPr>
        <w:t>4</w:t>
      </w:r>
      <w:r>
        <w:rPr>
          <w:rFonts w:hint="eastAsia" w:ascii="仿宋" w:hAnsi="仿宋" w:eastAsia="仿宋" w:cs="仿宋"/>
          <w:color w:val="000000"/>
          <w:sz w:val="24"/>
        </w:rPr>
        <w:t xml:space="preserve"> </w:t>
      </w:r>
      <w:r>
        <w:rPr>
          <w:rFonts w:hint="eastAsia" w:ascii="仿宋" w:hAnsi="仿宋" w:eastAsia="仿宋" w:cs="宋体"/>
          <w:color w:val="000000"/>
          <w:kern w:val="0"/>
          <w:sz w:val="24"/>
        </w:rPr>
        <w:t>所有关于</w:t>
      </w:r>
      <w:r>
        <w:rPr>
          <w:rFonts w:hint="eastAsia" w:ascii="仿宋" w:hAnsi="仿宋" w:eastAsia="仿宋" w:cs="仿宋"/>
          <w:color w:val="000000"/>
          <w:sz w:val="24"/>
        </w:rPr>
        <w:t>询价文件</w:t>
      </w:r>
      <w:r>
        <w:rPr>
          <w:rFonts w:hint="eastAsia" w:ascii="仿宋" w:hAnsi="仿宋" w:eastAsia="仿宋" w:cs="宋体"/>
          <w:color w:val="000000"/>
          <w:kern w:val="0"/>
          <w:sz w:val="24"/>
        </w:rPr>
        <w:t>的澄清和修改均作为</w:t>
      </w:r>
      <w:r>
        <w:rPr>
          <w:rFonts w:hint="eastAsia" w:ascii="仿宋" w:hAnsi="仿宋" w:eastAsia="仿宋" w:cs="仿宋"/>
          <w:color w:val="000000"/>
          <w:sz w:val="24"/>
        </w:rPr>
        <w:t>询价文件</w:t>
      </w:r>
      <w:r>
        <w:rPr>
          <w:rFonts w:hint="eastAsia" w:ascii="仿宋" w:hAnsi="仿宋" w:eastAsia="仿宋" w:cs="宋体"/>
          <w:color w:val="000000"/>
          <w:kern w:val="0"/>
          <w:sz w:val="24"/>
        </w:rPr>
        <w:t>的补充部分。</w:t>
      </w:r>
      <w:r>
        <w:rPr>
          <w:rFonts w:hint="eastAsia" w:ascii="仿宋" w:hAnsi="仿宋" w:eastAsia="仿宋" w:cs="仿宋"/>
          <w:color w:val="000000"/>
          <w:sz w:val="24"/>
        </w:rPr>
        <w:t>当询价文件、询价文件的澄清或修改等在同一内容的表述上不一致时，以最后发出的书面文件为准。</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8.询价响应预备会</w:t>
      </w:r>
    </w:p>
    <w:p>
      <w:pPr>
        <w:spacing w:line="360" w:lineRule="auto"/>
        <w:textAlignment w:val="baseline"/>
        <w:rPr>
          <w:rFonts w:ascii="仿宋" w:hAnsi="仿宋" w:eastAsia="仿宋" w:cs="宋体"/>
          <w:color w:val="000000"/>
          <w:sz w:val="24"/>
          <w:u w:val="single"/>
        </w:rPr>
      </w:pPr>
      <w:r>
        <w:rPr>
          <w:rFonts w:hint="eastAsia" w:ascii="仿宋" w:hAnsi="仿宋" w:eastAsia="仿宋" w:cs="宋体"/>
          <w:color w:val="000000"/>
          <w:sz w:val="24"/>
        </w:rPr>
        <w:t>采购人认为必要时，将召开询价响应预备会(答疑会)，公开解答潜在供应商对询价文件提出的疑问，时间、地点等</w:t>
      </w:r>
      <w:r>
        <w:rPr>
          <w:rFonts w:hint="eastAsia" w:ascii="仿宋" w:hAnsi="仿宋" w:eastAsia="仿宋" w:cs="宋体"/>
          <w:color w:val="000000"/>
          <w:sz w:val="24"/>
          <w:u w:val="single"/>
        </w:rPr>
        <w:t>详见本须知前附表。</w:t>
      </w:r>
    </w:p>
    <w:p>
      <w:pPr>
        <w:pStyle w:val="6"/>
        <w:spacing w:before="0" w:after="0" w:line="360" w:lineRule="auto"/>
        <w:jc w:val="center"/>
        <w:rPr>
          <w:rFonts w:ascii="仿宋" w:hAnsi="仿宋" w:eastAsia="仿宋" w:cs="仿宋"/>
          <w:color w:val="000000"/>
          <w:sz w:val="24"/>
          <w:szCs w:val="24"/>
        </w:rPr>
      </w:pPr>
      <w:bookmarkStart w:id="88" w:name="_Toc100672404"/>
      <w:bookmarkStart w:id="89" w:name="_Toc7996"/>
      <w:bookmarkStart w:id="90" w:name="_Toc14308"/>
      <w:bookmarkStart w:id="91" w:name="_Toc27563"/>
      <w:bookmarkStart w:id="92" w:name="_Toc27642"/>
      <w:bookmarkStart w:id="93" w:name="_Toc19783316"/>
      <w:bookmarkStart w:id="94" w:name="_Toc13691"/>
      <w:bookmarkStart w:id="95" w:name="_Toc16985"/>
      <w:bookmarkStart w:id="96" w:name="_Toc444891339"/>
      <w:bookmarkStart w:id="97" w:name="_Toc517281819"/>
      <w:bookmarkStart w:id="98" w:name="_Toc287600121"/>
      <w:r>
        <w:rPr>
          <w:rFonts w:hint="eastAsia" w:ascii="仿宋" w:hAnsi="仿宋" w:eastAsia="仿宋" w:cs="仿宋"/>
          <w:color w:val="000000"/>
          <w:sz w:val="24"/>
          <w:szCs w:val="24"/>
        </w:rPr>
        <w:t>（三）响应文件</w:t>
      </w:r>
      <w:bookmarkEnd w:id="88"/>
      <w:bookmarkEnd w:id="89"/>
      <w:bookmarkEnd w:id="90"/>
      <w:bookmarkEnd w:id="91"/>
      <w:bookmarkEnd w:id="92"/>
      <w:bookmarkEnd w:id="93"/>
      <w:bookmarkEnd w:id="94"/>
      <w:bookmarkEnd w:id="95"/>
      <w:bookmarkEnd w:id="96"/>
      <w:bookmarkEnd w:id="97"/>
      <w:bookmarkEnd w:id="98"/>
    </w:p>
    <w:p>
      <w:pPr>
        <w:pStyle w:val="7"/>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jc w:val="left"/>
        <w:rPr>
          <w:rFonts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7"/>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.1 供应商应当按照询价文件的要求编制响应文件，并对其提交的响应文件的真实性、合法性承担法律责任。响应文件应当对询价文件提出的实质性要求和条件作出响应。 </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.2 供应商应认真阅读询价文件中所有的事项、格式、条款和技术规范等。供应商没有按照询价文件要求递交全部资料，或者供应商没有对询价文件在各方面都作出实质性响应是供应商的风险，并可能导致其询价响应被否决。 </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0.3 </w:t>
      </w:r>
      <w:r>
        <w:rPr>
          <w:rFonts w:hint="eastAsia" w:ascii="仿宋" w:hAnsi="仿宋" w:eastAsia="仿宋" w:cs="宋体"/>
          <w:color w:val="000000"/>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询价文件中要求进行解释或提出建议的除外）。</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0.4 </w:t>
      </w:r>
      <w:r>
        <w:rPr>
          <w:rFonts w:hint="eastAsia" w:ascii="仿宋" w:hAnsi="仿宋" w:eastAsia="仿宋" w:cs="宋体"/>
          <w:color w:val="000000"/>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询价文件中要求进行解释或提出建议的除外）。</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5</w:t>
      </w:r>
      <w:r>
        <w:rPr>
          <w:rFonts w:hint="eastAsia" w:ascii="仿宋" w:hAnsi="仿宋" w:eastAsia="仿宋" w:cs="宋体"/>
          <w:color w:val="000000"/>
          <w:kern w:val="0"/>
          <w:sz w:val="24"/>
        </w:rPr>
        <w:t xml:space="preserve"> 供应商提交的响应文件以及供应商与采购人就有关询价的所有往来函电均应使用中文。供应商提交的证明文件和印刷的文献可以使用另一种语言，但相应内容应当译成中文，在解释响应文件时以中文译本为准。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ascii="仿宋" w:hAnsi="仿宋" w:eastAsia="仿宋" w:cs="宋体"/>
          <w:color w:val="000000"/>
          <w:kern w:val="0"/>
          <w:sz w:val="24"/>
          <w:u w:val="single"/>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6</w:t>
      </w:r>
      <w:r>
        <w:rPr>
          <w:rFonts w:hint="eastAsia" w:ascii="仿宋" w:hAnsi="仿宋" w:eastAsia="仿宋" w:cs="宋体"/>
          <w:color w:val="000000"/>
          <w:kern w:val="0"/>
          <w:sz w:val="24"/>
        </w:rPr>
        <w:t xml:space="preserve">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color w:val="000000"/>
          <w:kern w:val="0"/>
          <w:sz w:val="24"/>
          <w:u w:val="single"/>
        </w:rPr>
        <w:t>见本须知前附表。</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0.7</w:t>
      </w:r>
      <w:r>
        <w:rPr>
          <w:rFonts w:hint="eastAsia" w:ascii="仿宋" w:hAnsi="仿宋" w:eastAsia="仿宋" w:cs="仿宋"/>
          <w:color w:val="000000"/>
          <w:sz w:val="24"/>
        </w:rPr>
        <w:t>除工程规范另有规定外，响应文件使用的度量衡单位，均采用中华人民共和国法定计量单位。</w:t>
      </w:r>
    </w:p>
    <w:p>
      <w:pPr>
        <w:keepNext/>
        <w:keepLines/>
        <w:spacing w:line="360" w:lineRule="auto"/>
        <w:jc w:val="left"/>
        <w:outlineLvl w:val="3"/>
        <w:rPr>
          <w:rFonts w:ascii="仿宋" w:hAnsi="仿宋" w:eastAsia="仿宋" w:cs="仿宋"/>
          <w:b/>
          <w:bCs/>
          <w:color w:val="000000"/>
          <w:sz w:val="24"/>
        </w:rPr>
      </w:pPr>
      <w:r>
        <w:rPr>
          <w:rFonts w:hint="eastAsia" w:ascii="仿宋" w:hAnsi="仿宋" w:eastAsia="仿宋" w:cs="仿宋"/>
          <w:b/>
          <w:bCs/>
          <w:color w:val="000000"/>
          <w:sz w:val="24"/>
        </w:rPr>
        <w:t>1</w:t>
      </w:r>
      <w:r>
        <w:rPr>
          <w:rFonts w:ascii="仿宋" w:hAnsi="仿宋" w:eastAsia="仿宋" w:cs="仿宋"/>
          <w:b/>
          <w:bCs/>
          <w:color w:val="000000"/>
          <w:sz w:val="24"/>
        </w:rPr>
        <w:t>1</w:t>
      </w:r>
      <w:r>
        <w:rPr>
          <w:rFonts w:hint="eastAsia" w:ascii="仿宋" w:hAnsi="仿宋" w:eastAsia="仿宋" w:cs="仿宋"/>
          <w:b/>
          <w:bCs/>
          <w:color w:val="000000"/>
          <w:sz w:val="24"/>
        </w:rPr>
        <w:t xml:space="preserve">.响应报价 </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参加询价采购活动的供应商，应当按照询价文件的规定一次报出不得更改的价格，采购人不接受供应商的任何低于成本报价的不正当竞争方式，其他报价要求</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.响应有效期</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.1响应有效期从响应文件递交截止之日起算，具体时间</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，在此期间，供应商不得要求撤销或修改其响应文件。供应商承诺的询价响应有效期必须不短于询价文件规定的响应有效期，否则将构成对询价文件的非实质性响应，响应将被否决。</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.2 在原响应有效期结束前，出现特殊情况的，采购人可以书面形式要求所有供应商延长响应有效期。供应商同意延长的，不得要求或被允许修改其响应文件的实质性内容。供应商拒绝延长的，其询价响应失效。</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widowControl/>
        <w:topLinePunct/>
        <w:spacing w:line="360" w:lineRule="auto"/>
        <w:rPr>
          <w:rFonts w:ascii="仿宋" w:hAnsi="仿宋" w:eastAsia="仿宋" w:cs="宋体"/>
          <w:color w:val="000000"/>
          <w:kern w:val="0"/>
          <w:sz w:val="24"/>
        </w:rPr>
      </w:pPr>
      <w:bookmarkStart w:id="99" w:name="_Toc14726"/>
      <w:bookmarkStart w:id="100" w:name="_Toc444891340"/>
      <w:bookmarkStart w:id="101" w:name="_Toc7129"/>
      <w:bookmarkStart w:id="102" w:name="_Toc19783317"/>
      <w:bookmarkStart w:id="103" w:name="_Toc287600122"/>
      <w:bookmarkStart w:id="104" w:name="_Toc517281820"/>
      <w:bookmarkStart w:id="105" w:name="_Toc18673"/>
      <w:bookmarkStart w:id="106" w:name="_Toc21600"/>
      <w:bookmarkStart w:id="107" w:name="_Toc4155"/>
      <w:r>
        <w:rPr>
          <w:rFonts w:ascii="仿宋" w:hAnsi="仿宋" w:eastAsia="仿宋" w:cs="宋体"/>
          <w:color w:val="000000"/>
          <w:kern w:val="0"/>
          <w:sz w:val="24"/>
        </w:rPr>
        <w:t>13</w:t>
      </w:r>
      <w:r>
        <w:rPr>
          <w:rFonts w:hint="eastAsia" w:ascii="仿宋" w:hAnsi="仿宋" w:eastAsia="仿宋" w:cs="宋体"/>
          <w:color w:val="000000"/>
          <w:kern w:val="0"/>
          <w:sz w:val="24"/>
        </w:rPr>
        <w:t>.1 供应商应当编制一份响应文件“正本”和</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所述份数的“副本”和“电子版”，副本为正本复印件。纸质版文件与电子版文件不一致时，以</w:t>
      </w:r>
      <w:r>
        <w:rPr>
          <w:rFonts w:hint="eastAsia" w:ascii="仿宋" w:hAnsi="仿宋" w:eastAsia="仿宋" w:cs="宋体"/>
          <w:b/>
          <w:bCs/>
          <w:kern w:val="0"/>
          <w:sz w:val="24"/>
          <w:lang w:eastAsia="zh-Hans"/>
        </w:rPr>
        <w:t>电子版</w:t>
      </w:r>
      <w:r>
        <w:rPr>
          <w:rFonts w:hint="eastAsia" w:ascii="仿宋" w:hAnsi="仿宋" w:eastAsia="仿宋" w:cs="宋体"/>
          <w:color w:val="000000"/>
          <w:kern w:val="0"/>
          <w:sz w:val="24"/>
        </w:rPr>
        <w:t>文件为准;响应文件正本与副本不一致时，以正本为准。</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.2 每份响应文件的正本、副本应当分别装订，并于封面上明确标明“正本”“副本”字样。具体要求</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w:t>
      </w:r>
      <w:r>
        <w:rPr>
          <w:rFonts w:ascii="仿宋" w:hAnsi="仿宋" w:eastAsia="仿宋" w:cs="宋体"/>
          <w:color w:val="000000"/>
          <w:kern w:val="0"/>
          <w:sz w:val="24"/>
        </w:rPr>
        <w:t>3</w:t>
      </w:r>
      <w:r>
        <w:rPr>
          <w:rFonts w:hint="eastAsia" w:ascii="仿宋" w:hAnsi="仿宋" w:eastAsia="仿宋" w:cs="宋体"/>
          <w:color w:val="000000"/>
          <w:kern w:val="0"/>
          <w:sz w:val="24"/>
        </w:rPr>
        <w:t xml:space="preserve">  对于询价文件中提及的原件或复印件要求，照片件、扫描件、影印件、截图件等与其具有同等效力（</w:t>
      </w:r>
      <w:r>
        <w:rPr>
          <w:rFonts w:hint="eastAsia" w:ascii="仿宋" w:hAnsi="仿宋" w:eastAsia="仿宋" w:cs="仿宋"/>
          <w:color w:val="000000"/>
          <w:sz w:val="24"/>
        </w:rPr>
        <w:t>询价</w:t>
      </w:r>
      <w:r>
        <w:rPr>
          <w:rFonts w:hint="eastAsia" w:ascii="仿宋" w:hAnsi="仿宋" w:eastAsia="仿宋" w:cs="宋体"/>
          <w:color w:val="000000"/>
          <w:kern w:val="0"/>
          <w:sz w:val="24"/>
        </w:rPr>
        <w:t>文件有特殊要求的除外）。</w:t>
      </w:r>
    </w:p>
    <w:p>
      <w:pPr>
        <w:pStyle w:val="6"/>
        <w:spacing w:before="0" w:after="0" w:line="360" w:lineRule="auto"/>
        <w:jc w:val="center"/>
        <w:rPr>
          <w:rFonts w:ascii="仿宋" w:hAnsi="仿宋" w:eastAsia="仿宋" w:cs="仿宋"/>
          <w:color w:val="000000"/>
          <w:sz w:val="24"/>
          <w:szCs w:val="24"/>
        </w:rPr>
      </w:pPr>
      <w:bookmarkStart w:id="108" w:name="_Toc23965"/>
      <w:bookmarkStart w:id="109" w:name="_Toc100672405"/>
      <w:r>
        <w:rPr>
          <w:rFonts w:hint="eastAsia" w:ascii="仿宋" w:hAnsi="仿宋" w:eastAsia="仿宋" w:cs="仿宋"/>
          <w:color w:val="000000"/>
          <w:sz w:val="24"/>
          <w:szCs w:val="24"/>
        </w:rPr>
        <w:t>（四）响应文件的</w:t>
      </w:r>
      <w:bookmarkEnd w:id="99"/>
      <w:bookmarkEnd w:id="100"/>
      <w:bookmarkEnd w:id="101"/>
      <w:bookmarkEnd w:id="102"/>
      <w:bookmarkEnd w:id="103"/>
      <w:bookmarkEnd w:id="104"/>
      <w:bookmarkEnd w:id="105"/>
      <w:bookmarkEnd w:id="106"/>
      <w:bookmarkEnd w:id="107"/>
      <w:r>
        <w:rPr>
          <w:rFonts w:hint="eastAsia" w:ascii="仿宋" w:hAnsi="仿宋" w:eastAsia="仿宋" w:cs="仿宋"/>
          <w:color w:val="000000"/>
          <w:sz w:val="24"/>
          <w:szCs w:val="24"/>
        </w:rPr>
        <w:t>递交</w:t>
      </w:r>
      <w:bookmarkEnd w:id="108"/>
      <w:bookmarkEnd w:id="109"/>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4</w:t>
      </w:r>
      <w:r>
        <w:rPr>
          <w:rFonts w:hint="eastAsia" w:ascii="仿宋" w:hAnsi="仿宋" w:eastAsia="仿宋" w:cs="仿宋"/>
          <w:color w:val="000000"/>
          <w:sz w:val="24"/>
        </w:rPr>
        <w:t>.1供应商应按</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规定的时间、地点递交响应文件。</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14.2</w:t>
      </w:r>
      <w:r>
        <w:rPr>
          <w:rFonts w:hint="eastAsia" w:ascii="仿宋" w:hAnsi="仿宋" w:eastAsia="仿宋" w:cs="宋体"/>
          <w:color w:val="000000"/>
          <w:kern w:val="0"/>
          <w:sz w:val="24"/>
        </w:rPr>
        <w:t xml:space="preserve"> 出现下列情形之一时，响应文件不予接收：</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（1）电子响应文件逾期递交的；</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（2）纸质响应文件逾期递交或者未送达指定地点或者未按照询价函要求封装的；</w:t>
      </w:r>
    </w:p>
    <w:p>
      <w:pPr>
        <w:spacing w:line="360" w:lineRule="auto"/>
        <w:jc w:val="left"/>
        <w:rPr>
          <w:rFonts w:ascii="仿宋" w:hAnsi="仿宋" w:eastAsia="仿宋" w:cs="宋体"/>
          <w:sz w:val="24"/>
        </w:rPr>
      </w:pPr>
      <w:r>
        <w:rPr>
          <w:rFonts w:hint="eastAsia" w:ascii="仿宋" w:hAnsi="仿宋" w:eastAsia="仿宋" w:cs="宋体"/>
          <w:color w:val="000000"/>
          <w:sz w:val="24"/>
        </w:rPr>
        <w:t>（3）未通过资格预审的申请供应商递交的；</w:t>
      </w:r>
      <w:r>
        <w:rPr>
          <w:rFonts w:hint="eastAsia" w:ascii="仿宋" w:hAnsi="仿宋" w:eastAsia="仿宋" w:cs="宋体"/>
          <w:i/>
          <w:sz w:val="24"/>
        </w:rPr>
        <w:t>（资格预审项目适用）</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（4）未按询价函要求获得本项目询价文件的。</w:t>
      </w:r>
    </w:p>
    <w:p>
      <w:pPr>
        <w:pStyle w:val="7"/>
        <w:spacing w:before="0" w:after="0" w:line="360" w:lineRule="auto"/>
        <w:jc w:val="left"/>
        <w:rPr>
          <w:rFonts w:ascii="仿宋" w:hAnsi="仿宋" w:eastAsia="仿宋" w:cs="仿宋"/>
          <w:color w:val="000000"/>
          <w:sz w:val="24"/>
          <w:szCs w:val="24"/>
        </w:rPr>
      </w:pPr>
      <w:bookmarkStart w:id="110" w:name="_Toc30466"/>
      <w:bookmarkStart w:id="111" w:name="_Toc11361"/>
      <w:bookmarkStart w:id="112" w:name="_Toc100672406"/>
      <w:bookmarkStart w:id="113" w:name="_Toc2636"/>
      <w:bookmarkStart w:id="114" w:name="_Toc444891341"/>
      <w:bookmarkStart w:id="115" w:name="_Toc12797"/>
      <w:bookmarkStart w:id="116" w:name="_Toc20741"/>
      <w:bookmarkStart w:id="117" w:name="_Toc517281821"/>
      <w:bookmarkStart w:id="118" w:name="_Toc287600123"/>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jc w:val="left"/>
        <w:rPr>
          <w:rFonts w:ascii="仿宋" w:hAnsi="仿宋" w:eastAsia="仿宋" w:cs="仿宋"/>
          <w:color w:val="000000"/>
          <w:sz w:val="24"/>
        </w:rPr>
      </w:pPr>
      <w:r>
        <w:rPr>
          <w:rFonts w:ascii="仿宋" w:hAnsi="仿宋" w:eastAsia="仿宋" w:cs="仿宋"/>
          <w:color w:val="000000"/>
          <w:sz w:val="24"/>
        </w:rPr>
        <w:t>15</w:t>
      </w:r>
      <w:r>
        <w:rPr>
          <w:rFonts w:hint="eastAsia" w:ascii="仿宋" w:hAnsi="仿宋" w:eastAsia="仿宋" w:cs="仿宋"/>
          <w:color w:val="000000"/>
          <w:sz w:val="24"/>
        </w:rPr>
        <w:t>.1</w:t>
      </w:r>
      <w:r>
        <w:rPr>
          <w:rFonts w:hint="eastAsia" w:ascii="仿宋" w:hAnsi="仿宋" w:eastAsia="仿宋" w:cs="宋体"/>
          <w:color w:val="000000"/>
          <w:spacing w:val="-4"/>
          <w:kern w:val="0"/>
          <w:sz w:val="24"/>
        </w:rPr>
        <w:t>在</w:t>
      </w:r>
      <w:r>
        <w:rPr>
          <w:rFonts w:hint="eastAsia" w:ascii="仿宋" w:hAnsi="仿宋" w:eastAsia="仿宋" w:cs="仿宋"/>
          <w:color w:val="000000"/>
          <w:sz w:val="24"/>
        </w:rPr>
        <w:t>询价</w:t>
      </w:r>
      <w:r>
        <w:rPr>
          <w:rFonts w:hint="eastAsia" w:ascii="仿宋" w:hAnsi="仿宋" w:eastAsia="仿宋" w:cs="宋体"/>
          <w:color w:val="000000"/>
          <w:kern w:val="0"/>
          <w:sz w:val="24"/>
        </w:rPr>
        <w:t>文件</w:t>
      </w:r>
      <w:r>
        <w:rPr>
          <w:rFonts w:hint="eastAsia" w:ascii="仿宋" w:hAnsi="仿宋" w:eastAsia="仿宋" w:cs="宋体"/>
          <w:color w:val="000000"/>
          <w:spacing w:val="-4"/>
          <w:kern w:val="0"/>
          <w:sz w:val="24"/>
        </w:rPr>
        <w:t>规定的</w:t>
      </w:r>
      <w:r>
        <w:rPr>
          <w:rFonts w:hint="eastAsia" w:ascii="仿宋" w:hAnsi="仿宋" w:eastAsia="仿宋" w:cs="仿宋"/>
          <w:color w:val="000000"/>
          <w:sz w:val="24"/>
        </w:rPr>
        <w:t>响应文件</w:t>
      </w:r>
      <w:r>
        <w:rPr>
          <w:rFonts w:hint="eastAsia" w:ascii="仿宋" w:hAnsi="仿宋" w:eastAsia="仿宋" w:cs="宋体"/>
          <w:color w:val="000000"/>
          <w:spacing w:val="-4"/>
          <w:kern w:val="0"/>
          <w:sz w:val="24"/>
        </w:rPr>
        <w:t>递交截止时间前，</w:t>
      </w:r>
      <w:r>
        <w:rPr>
          <w:rFonts w:hint="eastAsia" w:ascii="仿宋" w:hAnsi="仿宋" w:eastAsia="仿宋" w:cs="宋体"/>
          <w:color w:val="000000"/>
          <w:kern w:val="0"/>
          <w:sz w:val="24"/>
        </w:rPr>
        <w:t>可以补充、修改或撤回已提交的响应文件。</w:t>
      </w:r>
      <w:r>
        <w:rPr>
          <w:rFonts w:ascii="仿宋" w:hAnsi="仿宋" w:eastAsia="仿宋" w:cs="宋体"/>
          <w:color w:val="000000"/>
          <w:kern w:val="0"/>
          <w:sz w:val="24"/>
        </w:rPr>
        <w:t>补充、修改的内容为</w:t>
      </w:r>
      <w:r>
        <w:rPr>
          <w:rFonts w:hint="eastAsia" w:ascii="仿宋" w:hAnsi="仿宋" w:eastAsia="仿宋" w:cs="宋体"/>
          <w:color w:val="000000"/>
          <w:kern w:val="0"/>
          <w:sz w:val="24"/>
        </w:rPr>
        <w:t>响应</w:t>
      </w:r>
      <w:r>
        <w:rPr>
          <w:rFonts w:ascii="仿宋" w:hAnsi="仿宋" w:eastAsia="仿宋" w:cs="宋体"/>
          <w:color w:val="000000"/>
          <w:kern w:val="0"/>
          <w:sz w:val="24"/>
        </w:rPr>
        <w:t>文件的组成部分</w:t>
      </w:r>
      <w:r>
        <w:rPr>
          <w:rFonts w:hint="eastAsia" w:ascii="仿宋" w:hAnsi="仿宋" w:eastAsia="仿宋" w:cs="宋体"/>
          <w:color w:val="000000"/>
          <w:kern w:val="0"/>
          <w:sz w:val="24"/>
        </w:rPr>
        <w:t>，应当在响应文件递交截止时间前按照</w:t>
      </w:r>
      <w:r>
        <w:rPr>
          <w:rFonts w:hint="eastAsia" w:ascii="仿宋" w:hAnsi="仿宋" w:eastAsia="仿宋" w:cs="仿宋"/>
          <w:color w:val="000000"/>
          <w:sz w:val="24"/>
        </w:rPr>
        <w:t>询价</w:t>
      </w:r>
      <w:r>
        <w:rPr>
          <w:rFonts w:hint="eastAsia" w:ascii="仿宋" w:hAnsi="仿宋" w:eastAsia="仿宋" w:cs="宋体"/>
          <w:color w:val="000000"/>
          <w:kern w:val="0"/>
          <w:sz w:val="24"/>
        </w:rPr>
        <w:t>文件的规定进行递交。</w:t>
      </w:r>
    </w:p>
    <w:p>
      <w:pPr>
        <w:pStyle w:val="19"/>
        <w:spacing w:line="360" w:lineRule="auto"/>
        <w:jc w:val="left"/>
        <w:rPr>
          <w:rFonts w:ascii="仿宋" w:hAnsi="仿宋" w:eastAsia="仿宋" w:cs="宋体"/>
          <w:color w:val="000000"/>
          <w:kern w:val="0"/>
          <w:sz w:val="24"/>
        </w:rPr>
      </w:pPr>
      <w:bookmarkStart w:id="119" w:name="_Toc246996202"/>
      <w:bookmarkStart w:id="120" w:name="_Toc247085716"/>
      <w:bookmarkStart w:id="121" w:name="_Toc144974526"/>
      <w:bookmarkStart w:id="122" w:name="_Toc179632576"/>
      <w:bookmarkStart w:id="123" w:name="_Toc152045558"/>
      <w:bookmarkStart w:id="124" w:name="_Toc326223561"/>
      <w:bookmarkStart w:id="125" w:name="_Toc246996945"/>
      <w:bookmarkStart w:id="126" w:name="_Toc152042334"/>
      <w:bookmarkStart w:id="127" w:name="_Toc334766948"/>
      <w:bookmarkStart w:id="128" w:name="_Toc332188194"/>
      <w:r>
        <w:rPr>
          <w:rFonts w:ascii="仿宋" w:hAnsi="仿宋" w:eastAsia="仿宋" w:cs="仿宋"/>
          <w:color w:val="000000"/>
          <w:sz w:val="24"/>
        </w:rPr>
        <w:t>16.2</w:t>
      </w:r>
      <w:bookmarkEnd w:id="119"/>
      <w:bookmarkEnd w:id="120"/>
      <w:bookmarkEnd w:id="121"/>
      <w:bookmarkEnd w:id="122"/>
      <w:bookmarkEnd w:id="123"/>
      <w:bookmarkEnd w:id="124"/>
      <w:bookmarkEnd w:id="125"/>
      <w:bookmarkEnd w:id="126"/>
      <w:bookmarkEnd w:id="127"/>
      <w:bookmarkEnd w:id="128"/>
      <w:r>
        <w:rPr>
          <w:rFonts w:hint="eastAsia" w:ascii="仿宋" w:hAnsi="仿宋" w:eastAsia="仿宋" w:cs="仿宋"/>
          <w:color w:val="000000"/>
          <w:sz w:val="24"/>
        </w:rPr>
        <w:t xml:space="preserve"> </w:t>
      </w:r>
      <w:r>
        <w:rPr>
          <w:rFonts w:hint="eastAsia" w:ascii="仿宋" w:hAnsi="仿宋" w:eastAsia="仿宋" w:cs="宋体"/>
          <w:color w:val="000000"/>
          <w:kern w:val="0"/>
          <w:sz w:val="24"/>
        </w:rPr>
        <w:t>响应文件递交截止时间后，供应商在响应有效期内撤销其响应文件，</w:t>
      </w:r>
      <w:r>
        <w:rPr>
          <w:rFonts w:hint="eastAsia" w:ascii="仿宋" w:hAnsi="仿宋" w:eastAsia="仿宋" w:cs="仿宋"/>
          <w:color w:val="000000"/>
          <w:sz w:val="24"/>
        </w:rPr>
        <w:t>询价</w:t>
      </w:r>
      <w:r>
        <w:rPr>
          <w:rFonts w:hint="eastAsia" w:ascii="仿宋" w:hAnsi="仿宋" w:eastAsia="仿宋" w:cs="宋体"/>
          <w:color w:val="000000"/>
          <w:kern w:val="0"/>
          <w:sz w:val="24"/>
        </w:rPr>
        <w:t>保证金不予退还。</w:t>
      </w:r>
    </w:p>
    <w:p>
      <w:pPr>
        <w:pStyle w:val="6"/>
        <w:spacing w:before="0" w:after="0" w:line="360" w:lineRule="auto"/>
        <w:jc w:val="center"/>
        <w:rPr>
          <w:rFonts w:ascii="仿宋" w:hAnsi="仿宋" w:eastAsia="仿宋" w:cs="仿宋"/>
          <w:color w:val="000000"/>
          <w:sz w:val="24"/>
          <w:szCs w:val="24"/>
        </w:rPr>
      </w:pPr>
      <w:bookmarkStart w:id="129" w:name="_Toc23837"/>
      <w:r>
        <w:rPr>
          <w:rFonts w:hint="eastAsia" w:ascii="仿宋" w:hAnsi="仿宋" w:eastAsia="仿宋" w:cs="仿宋"/>
          <w:color w:val="000000"/>
          <w:sz w:val="24"/>
          <w:szCs w:val="24"/>
        </w:rPr>
        <w:t>（五）评审</w:t>
      </w:r>
      <w:bookmarkEnd w:id="110"/>
      <w:bookmarkEnd w:id="111"/>
      <w:bookmarkEnd w:id="112"/>
      <w:bookmarkEnd w:id="113"/>
      <w:bookmarkEnd w:id="114"/>
      <w:bookmarkEnd w:id="115"/>
      <w:bookmarkEnd w:id="116"/>
      <w:bookmarkEnd w:id="117"/>
      <w:bookmarkEnd w:id="118"/>
      <w:r>
        <w:rPr>
          <w:rFonts w:hint="eastAsia" w:ascii="仿宋" w:hAnsi="仿宋" w:eastAsia="仿宋" w:cs="仿宋"/>
          <w:color w:val="000000"/>
          <w:sz w:val="24"/>
          <w:szCs w:val="24"/>
        </w:rPr>
        <w:t>与询价</w:t>
      </w:r>
      <w:bookmarkEnd w:id="129"/>
    </w:p>
    <w:p>
      <w:pPr>
        <w:pStyle w:val="7"/>
        <w:spacing w:before="0" w:after="0" w:line="360" w:lineRule="auto"/>
        <w:jc w:val="left"/>
        <w:rPr>
          <w:rFonts w:ascii="仿宋" w:hAnsi="仿宋" w:eastAsia="仿宋" w:cs="仿宋"/>
          <w:color w:val="000000"/>
          <w:sz w:val="24"/>
          <w:szCs w:val="24"/>
        </w:rPr>
      </w:pPr>
      <w:bookmarkStart w:id="130" w:name="_Toc234223229"/>
      <w:bookmarkStart w:id="131"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30"/>
      <w:r>
        <w:rPr>
          <w:rFonts w:hint="eastAsia" w:ascii="仿宋" w:hAnsi="仿宋" w:eastAsia="仿宋" w:cs="仿宋"/>
          <w:color w:val="000000"/>
          <w:sz w:val="24"/>
          <w:szCs w:val="24"/>
        </w:rPr>
        <w:t>询价小组</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6.1</w:t>
      </w:r>
      <w:r>
        <w:rPr>
          <w:rFonts w:hint="eastAsia" w:ascii="仿宋" w:hAnsi="仿宋" w:eastAsia="仿宋" w:cs="宋体"/>
          <w:color w:val="000000"/>
          <w:kern w:val="0"/>
          <w:sz w:val="24"/>
        </w:rPr>
        <w:t>采购人依照企业采购管理制度的相关规定组建</w:t>
      </w:r>
      <w:r>
        <w:rPr>
          <w:rFonts w:hint="eastAsia" w:ascii="仿宋" w:hAnsi="仿宋" w:eastAsia="仿宋" w:cs="宋体"/>
          <w:color w:val="000000"/>
          <w:kern w:val="0"/>
          <w:sz w:val="24"/>
          <w:lang w:val="en-US" w:eastAsia="zh-CN"/>
        </w:rPr>
        <w:t>7</w:t>
      </w:r>
      <w:r>
        <w:rPr>
          <w:rFonts w:hint="eastAsia" w:ascii="仿宋" w:hAnsi="仿宋" w:eastAsia="仿宋" w:cs="宋体"/>
          <w:color w:val="auto"/>
          <w:kern w:val="0"/>
          <w:sz w:val="24"/>
        </w:rPr>
        <w:t>人</w:t>
      </w:r>
      <w:r>
        <w:rPr>
          <w:rFonts w:hint="eastAsia" w:ascii="仿宋" w:hAnsi="仿宋" w:eastAsia="仿宋" w:cs="宋体"/>
          <w:color w:val="000000"/>
          <w:kern w:val="0"/>
          <w:sz w:val="24"/>
        </w:rPr>
        <w:t>以上单数的询价小组，具体人数</w:t>
      </w:r>
      <w:r>
        <w:rPr>
          <w:rFonts w:hint="eastAsia" w:ascii="仿宋" w:hAnsi="仿宋" w:eastAsia="仿宋" w:cs="仿宋"/>
          <w:color w:val="000000"/>
          <w:sz w:val="24"/>
        </w:rPr>
        <w:t>见</w:t>
      </w:r>
      <w:r>
        <w:rPr>
          <w:rFonts w:hint="eastAsia" w:ascii="仿宋" w:hAnsi="仿宋" w:eastAsia="仿宋" w:cs="仿宋"/>
          <w:color w:val="000000"/>
          <w:sz w:val="24"/>
          <w:u w:val="single"/>
        </w:rPr>
        <w:t>本须知前附表</w:t>
      </w:r>
      <w:r>
        <w:rPr>
          <w:rFonts w:hint="eastAsia" w:ascii="仿宋" w:hAnsi="仿宋" w:eastAsia="仿宋" w:cs="宋体"/>
          <w:color w:val="000000"/>
          <w:kern w:val="0"/>
          <w:sz w:val="24"/>
        </w:rPr>
        <w:t>，询价小组成员名单在成交结果确定前保密。</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6.2</w:t>
      </w:r>
      <w:r>
        <w:rPr>
          <w:rFonts w:hint="eastAsia" w:ascii="仿宋" w:hAnsi="仿宋" w:eastAsia="仿宋" w:cs="宋体"/>
          <w:color w:val="000000"/>
          <w:kern w:val="0"/>
          <w:sz w:val="24"/>
        </w:rPr>
        <w:t>询价小组成员应当按照客观、公正、审慎的原则，根据询价文件规定的评审程序、评审方法和评审标准进行独立评审。</w:t>
      </w:r>
    </w:p>
    <w:p>
      <w:pPr>
        <w:pStyle w:val="7"/>
        <w:spacing w:before="0" w:after="0" w:line="360" w:lineRule="auto"/>
        <w:jc w:val="left"/>
        <w:rPr>
          <w:rFonts w:ascii="仿宋" w:hAnsi="仿宋" w:eastAsia="仿宋" w:cs="仿宋"/>
          <w:color w:val="000000"/>
          <w:sz w:val="24"/>
          <w:szCs w:val="24"/>
        </w:rPr>
      </w:pPr>
      <w:bookmarkStart w:id="132"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7.1</w:t>
      </w:r>
      <w:r>
        <w:rPr>
          <w:rFonts w:hint="eastAsia" w:ascii="仿宋" w:hAnsi="仿宋" w:eastAsia="仿宋" w:cs="宋体"/>
          <w:color w:val="000000"/>
          <w:kern w:val="0"/>
          <w:sz w:val="24"/>
        </w:rPr>
        <w:t>询价小组按照第三章评审办法中初步评审的内容及要求，对响应文件进行初步评审。通过初步评审的供应商进入后续环节，未通过初步评审的供应商，按无效响应处理，不进入详细评审环节。</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7.2</w:t>
      </w:r>
      <w:r>
        <w:rPr>
          <w:rFonts w:hint="eastAsia" w:ascii="仿宋" w:hAnsi="仿宋" w:eastAsia="仿宋" w:cs="宋体"/>
          <w:color w:val="000000"/>
          <w:kern w:val="0"/>
          <w:sz w:val="24"/>
        </w:rPr>
        <w:t>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rPr>
      </w:pPr>
      <w:r>
        <w:rPr>
          <w:rFonts w:hint="eastAsia" w:ascii="仿宋" w:hAnsi="仿宋" w:eastAsia="仿宋" w:cs="宋体"/>
          <w:color w:val="000000"/>
          <w:kern w:val="0"/>
          <w:sz w:val="24"/>
        </w:rPr>
        <w:t>1</w:t>
      </w:r>
      <w:r>
        <w:rPr>
          <w:rFonts w:ascii="仿宋" w:hAnsi="仿宋" w:eastAsia="仿宋" w:cs="宋体"/>
          <w:color w:val="000000"/>
          <w:kern w:val="0"/>
          <w:sz w:val="24"/>
        </w:rPr>
        <w:t>7.3</w:t>
      </w:r>
      <w:r>
        <w:rPr>
          <w:rFonts w:hint="eastAsia" w:ascii="仿宋" w:hAnsi="仿宋" w:eastAsia="仿宋" w:cs="宋体"/>
          <w:color w:val="000000"/>
          <w:kern w:val="0"/>
          <w:sz w:val="24"/>
        </w:rPr>
        <w:t>询价小组对供应商递交的澄清、说明或补正有疑问的，可以要求供应商进一步澄清、说明或者补正，直至满足询价小组的要求。拒不按要求进行澄清、说明或者补正的供应商</w:t>
      </w:r>
      <w:r>
        <w:rPr>
          <w:rFonts w:hint="eastAsia" w:ascii="仿宋" w:hAnsi="仿宋" w:eastAsia="仿宋" w:cs="仿宋"/>
          <w:b/>
          <w:bCs/>
          <w:sz w:val="24"/>
        </w:rPr>
        <w:t>，询价小组有权对其响应做否决处理。</w:t>
      </w:r>
    </w:p>
    <w:p>
      <w:pPr>
        <w:widowControl/>
        <w:topLinePunct/>
        <w:spacing w:line="360" w:lineRule="auto"/>
      </w:pPr>
      <w:r>
        <w:rPr>
          <w:rFonts w:hint="eastAsia" w:ascii="仿宋" w:hAnsi="仿宋" w:eastAsia="仿宋" w:cs="宋体"/>
          <w:color w:val="000000"/>
          <w:kern w:val="0"/>
          <w:sz w:val="24"/>
        </w:rPr>
        <w:t>1</w:t>
      </w:r>
      <w:r>
        <w:rPr>
          <w:rFonts w:ascii="仿宋" w:hAnsi="仿宋" w:eastAsia="仿宋" w:cs="宋体"/>
          <w:color w:val="000000"/>
          <w:kern w:val="0"/>
          <w:sz w:val="24"/>
        </w:rPr>
        <w:t>7.4</w:t>
      </w:r>
      <w:r>
        <w:rPr>
          <w:rFonts w:hint="eastAsia" w:ascii="仿宋" w:hAnsi="仿宋" w:eastAsia="仿宋" w:cs="宋体"/>
          <w:color w:val="000000"/>
          <w:kern w:val="0"/>
          <w:sz w:val="24"/>
        </w:rPr>
        <w:t>询价小组必要时可以要求供应商提交有关证明和证件的原件，以便核验。拒不按要求提供原件的供应商，</w:t>
      </w:r>
      <w:r>
        <w:rPr>
          <w:rFonts w:hint="eastAsia" w:ascii="仿宋" w:hAnsi="仿宋" w:eastAsia="仿宋" w:cs="宋体"/>
          <w:b/>
          <w:bCs/>
          <w:color w:val="000000"/>
          <w:kern w:val="0"/>
          <w:sz w:val="24"/>
        </w:rPr>
        <w:t>询价</w:t>
      </w:r>
      <w:r>
        <w:rPr>
          <w:rFonts w:hint="eastAsia" w:ascii="仿宋" w:hAnsi="仿宋" w:eastAsia="仿宋" w:cs="仿宋"/>
          <w:b/>
          <w:bCs/>
          <w:sz w:val="24"/>
        </w:rPr>
        <w:t>小组有权对其响应做否决处理。</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bookmarkEnd w:id="131"/>
      <w:bookmarkEnd w:id="132"/>
      <w:r>
        <w:rPr>
          <w:rFonts w:hint="eastAsia" w:ascii="仿宋" w:hAnsi="仿宋" w:eastAsia="仿宋" w:cs="仿宋"/>
          <w:color w:val="000000"/>
          <w:sz w:val="24"/>
          <w:szCs w:val="24"/>
        </w:rPr>
        <w:t>询价</w:t>
      </w:r>
    </w:p>
    <w:p>
      <w:pPr>
        <w:spacing w:line="360" w:lineRule="auto"/>
        <w:jc w:val="left"/>
        <w:rPr>
          <w:rFonts w:ascii="仿宋" w:hAnsi="仿宋" w:eastAsia="仿宋" w:cs="仿宋"/>
          <w:color w:val="000000"/>
          <w:sz w:val="24"/>
        </w:rPr>
      </w:pPr>
      <w:r>
        <w:rPr>
          <w:rFonts w:ascii="仿宋" w:hAnsi="仿宋" w:eastAsia="仿宋" w:cs="仿宋"/>
          <w:color w:val="000000"/>
          <w:sz w:val="24"/>
        </w:rPr>
        <w:t>18</w:t>
      </w:r>
      <w:r>
        <w:rPr>
          <w:rFonts w:hint="eastAsia" w:ascii="仿宋" w:hAnsi="仿宋" w:eastAsia="仿宋" w:cs="仿宋"/>
          <w:color w:val="000000"/>
          <w:sz w:val="24"/>
        </w:rPr>
        <w:t>.1询价小组在询价过程中，不得改变询价函所确定的技术和服务等要求、评审程序、评定成交的标准和合同文本等事项。</w:t>
      </w:r>
    </w:p>
    <w:p>
      <w:pPr>
        <w:spacing w:line="360" w:lineRule="auto"/>
        <w:jc w:val="left"/>
        <w:rPr>
          <w:rFonts w:ascii="仿宋" w:hAnsi="仿宋" w:eastAsia="仿宋" w:cs="仿宋"/>
          <w:color w:val="000000"/>
          <w:sz w:val="24"/>
        </w:rPr>
      </w:pPr>
      <w:r>
        <w:rPr>
          <w:rFonts w:ascii="仿宋" w:hAnsi="仿宋" w:eastAsia="仿宋" w:cs="仿宋"/>
          <w:color w:val="000000"/>
          <w:sz w:val="24"/>
        </w:rPr>
        <w:t>18.2</w:t>
      </w:r>
      <w:r>
        <w:rPr>
          <w:rFonts w:hint="eastAsia" w:ascii="仿宋" w:hAnsi="仿宋" w:eastAsia="仿宋" w:cs="仿宋"/>
          <w:color w:val="000000"/>
          <w:sz w:val="24"/>
        </w:rPr>
        <w:t>询价小组采用最低价法对提交报价的供应商进行评审。最低价法，是指响应文件满足询价文件全部实质性要求且报价最低的供应商作为成交人的评审方法。</w:t>
      </w:r>
    </w:p>
    <w:p>
      <w:pPr>
        <w:spacing w:line="360" w:lineRule="auto"/>
        <w:jc w:val="left"/>
        <w:rPr>
          <w:rFonts w:ascii="仿宋" w:hAnsi="仿宋" w:eastAsia="仿宋" w:cs="仿宋"/>
          <w:color w:val="000000"/>
          <w:sz w:val="24"/>
        </w:rPr>
      </w:pPr>
      <w:r>
        <w:rPr>
          <w:rFonts w:ascii="仿宋" w:hAnsi="仿宋" w:eastAsia="仿宋" w:cs="仿宋"/>
          <w:color w:val="000000"/>
          <w:sz w:val="24"/>
        </w:rPr>
        <w:t>18.3</w:t>
      </w:r>
      <w:r>
        <w:rPr>
          <w:rFonts w:hint="eastAsia" w:ascii="仿宋" w:hAnsi="仿宋" w:eastAsia="仿宋" w:cs="仿宋"/>
          <w:color w:val="000000"/>
          <w:sz w:val="24"/>
        </w:rPr>
        <w:t>发生以下情形之一的，原则上做终止采购处理：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（1）出现影响采购公正的违法、违规行为的；</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（2）成交候选人报价超过预算金额，采购需求方无法解决的；</w:t>
      </w:r>
    </w:p>
    <w:p>
      <w:pPr>
        <w:spacing w:line="360" w:lineRule="auto"/>
        <w:jc w:val="left"/>
        <w:rPr>
          <w:rFonts w:ascii="仿宋" w:hAnsi="仿宋" w:eastAsia="仿宋" w:cs="仿宋"/>
          <w:color w:val="00000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w:t>
      </w:r>
      <w:r>
        <w:rPr>
          <w:rFonts w:hint="eastAsia" w:ascii="仿宋" w:hAnsi="仿宋" w:eastAsia="仿宋" w:cs="宋体"/>
          <w:color w:val="000000"/>
          <w:kern w:val="0"/>
          <w:sz w:val="24"/>
        </w:rPr>
        <w:t>成交人为N家（1＜N≤3）的项目，有效供应商少于</w:t>
      </w:r>
      <w:r>
        <w:rPr>
          <w:rFonts w:hint="eastAsia" w:ascii="仿宋" w:hAnsi="仿宋" w:eastAsia="仿宋" w:cs="宋体"/>
          <w:color w:val="000000"/>
          <w:kern w:val="0"/>
          <w:sz w:val="24"/>
          <w:lang w:val="en-US" w:eastAsia="zh-CN"/>
        </w:rPr>
        <w:t>3</w:t>
      </w:r>
      <w:r>
        <w:rPr>
          <w:rFonts w:hint="eastAsia" w:ascii="仿宋" w:hAnsi="仿宋" w:eastAsia="仿宋" w:cs="宋体"/>
          <w:color w:val="000000"/>
          <w:kern w:val="0"/>
          <w:sz w:val="24"/>
        </w:rPr>
        <w:t>N家（不含本数）；成交人为N家（N＞3）的项目，有效供应商少于1.5N家（不含本数）。</w:t>
      </w:r>
    </w:p>
    <w:p>
      <w:pPr>
        <w:widowControl/>
        <w:topLinePunct/>
        <w:spacing w:line="360" w:lineRule="auto"/>
        <w:rPr>
          <w:rFonts w:ascii="仿宋" w:hAnsi="仿宋" w:eastAsia="仿宋" w:cs="仿宋"/>
          <w:color w:val="000000"/>
          <w:sz w:val="24"/>
        </w:rPr>
      </w:pPr>
      <w:r>
        <w:rPr>
          <w:rFonts w:ascii="仿宋" w:hAnsi="仿宋" w:eastAsia="仿宋" w:cs="仿宋"/>
          <w:color w:val="000000"/>
          <w:sz w:val="24"/>
        </w:rPr>
        <w:t>18</w:t>
      </w:r>
      <w:r>
        <w:rPr>
          <w:rFonts w:hint="eastAsia" w:ascii="仿宋" w:hAnsi="仿宋" w:eastAsia="仿宋" w:cs="仿宋"/>
          <w:color w:val="000000"/>
          <w:sz w:val="24"/>
        </w:rPr>
        <w:t>.</w:t>
      </w:r>
      <w:r>
        <w:rPr>
          <w:rFonts w:ascii="仿宋" w:hAnsi="仿宋" w:eastAsia="仿宋" w:cs="仿宋"/>
          <w:color w:val="000000"/>
          <w:sz w:val="24"/>
        </w:rPr>
        <w:t>4</w:t>
      </w:r>
      <w:r>
        <w:rPr>
          <w:rFonts w:hint="eastAsia" w:ascii="仿宋" w:hAnsi="仿宋" w:eastAsia="仿宋" w:cs="仿宋"/>
          <w:color w:val="000000"/>
          <w:sz w:val="24"/>
        </w:rPr>
        <w:t>成交候选人推荐原则</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宋体"/>
          <w:color w:val="000000"/>
          <w:kern w:val="0"/>
          <w:sz w:val="24"/>
        </w:rPr>
        <w:t>成交候选人的经营、财务状况发生较大变化或者存在违法行为，采购人认为可能影响其履约能力的，应当在发出成交通知书前由原询价小组会按照询价文件规定的标准和方法审查确认。</w:t>
      </w:r>
    </w:p>
    <w:p>
      <w:pPr>
        <w:pStyle w:val="6"/>
        <w:spacing w:before="0" w:after="0" w:line="360" w:lineRule="auto"/>
        <w:jc w:val="center"/>
        <w:rPr>
          <w:rFonts w:ascii="仿宋" w:hAnsi="仿宋" w:eastAsia="仿宋" w:cs="仿宋"/>
          <w:color w:val="000000"/>
          <w:sz w:val="24"/>
          <w:szCs w:val="24"/>
        </w:rPr>
      </w:pPr>
      <w:bookmarkStart w:id="133" w:name="_Toc30054"/>
      <w:bookmarkStart w:id="134" w:name="_Toc13936"/>
      <w:bookmarkStart w:id="135" w:name="_Toc234223231"/>
      <w:bookmarkStart w:id="136" w:name="_Toc517281822"/>
      <w:bookmarkStart w:id="137" w:name="_Toc19451"/>
      <w:bookmarkStart w:id="138" w:name="_Toc16781"/>
      <w:bookmarkStart w:id="139" w:name="_Toc287600124"/>
      <w:bookmarkStart w:id="140" w:name="_Toc2322"/>
      <w:bookmarkStart w:id="141" w:name="_Toc9911"/>
      <w:bookmarkStart w:id="142" w:name="_Toc444891342"/>
      <w:bookmarkStart w:id="143" w:name="_Toc100672407"/>
      <w:r>
        <w:rPr>
          <w:rFonts w:hint="eastAsia" w:ascii="仿宋" w:hAnsi="仿宋" w:eastAsia="仿宋" w:cs="仿宋"/>
          <w:color w:val="000000"/>
          <w:sz w:val="24"/>
          <w:szCs w:val="24"/>
        </w:rPr>
        <w:t>（六）授予合同</w:t>
      </w:r>
      <w:bookmarkEnd w:id="133"/>
      <w:bookmarkEnd w:id="134"/>
      <w:bookmarkEnd w:id="135"/>
      <w:bookmarkEnd w:id="136"/>
      <w:bookmarkEnd w:id="137"/>
      <w:bookmarkEnd w:id="138"/>
      <w:bookmarkEnd w:id="139"/>
      <w:bookmarkEnd w:id="140"/>
      <w:bookmarkEnd w:id="141"/>
      <w:bookmarkEnd w:id="142"/>
      <w:bookmarkEnd w:id="143"/>
    </w:p>
    <w:p>
      <w:pPr>
        <w:pStyle w:val="7"/>
        <w:spacing w:before="0" w:after="0" w:line="360" w:lineRule="auto"/>
        <w:jc w:val="left"/>
        <w:rPr>
          <w:rFonts w:ascii="仿宋" w:hAnsi="仿宋" w:eastAsia="仿宋" w:cs="仿宋"/>
          <w:color w:val="000000"/>
          <w:sz w:val="24"/>
          <w:szCs w:val="24"/>
        </w:rPr>
      </w:pPr>
      <w:bookmarkStart w:id="144" w:name="_Toc234223232"/>
      <w:r>
        <w:rPr>
          <w:rFonts w:ascii="仿宋" w:hAnsi="仿宋" w:eastAsia="仿宋" w:cs="仿宋"/>
          <w:color w:val="000000"/>
          <w:sz w:val="24"/>
          <w:szCs w:val="24"/>
        </w:rPr>
        <w:t>19</w:t>
      </w:r>
      <w:r>
        <w:rPr>
          <w:rFonts w:hint="eastAsia" w:ascii="仿宋" w:hAnsi="仿宋" w:eastAsia="仿宋" w:cs="仿宋"/>
          <w:color w:val="000000"/>
          <w:sz w:val="24"/>
          <w:szCs w:val="24"/>
        </w:rPr>
        <w:t>.确定</w:t>
      </w:r>
      <w:bookmarkEnd w:id="144"/>
      <w:r>
        <w:rPr>
          <w:rFonts w:hint="eastAsia" w:ascii="仿宋" w:hAnsi="仿宋" w:eastAsia="仿宋" w:cs="仿宋"/>
          <w:color w:val="000000"/>
          <w:sz w:val="24"/>
          <w:szCs w:val="24"/>
        </w:rPr>
        <w:t>成交人</w:t>
      </w:r>
    </w:p>
    <w:p>
      <w:pPr>
        <w:spacing w:line="360" w:lineRule="auto"/>
        <w:jc w:val="left"/>
        <w:rPr>
          <w:rFonts w:ascii="仿宋" w:hAnsi="仿宋" w:eastAsia="仿宋" w:cs="仿宋"/>
          <w:color w:val="000000"/>
          <w:sz w:val="24"/>
        </w:rPr>
      </w:pPr>
      <w:r>
        <w:rPr>
          <w:rFonts w:ascii="仿宋" w:hAnsi="仿宋" w:eastAsia="仿宋" w:cs="仿宋"/>
          <w:color w:val="000000"/>
          <w:sz w:val="24"/>
        </w:rPr>
        <w:t>19.1</w:t>
      </w:r>
      <w:r>
        <w:rPr>
          <w:rFonts w:hint="eastAsia" w:ascii="仿宋" w:hAnsi="仿宋" w:eastAsia="仿宋" w:cs="仿宋"/>
          <w:color w:val="000000"/>
          <w:sz w:val="24"/>
        </w:rPr>
        <w:t>采购人收到评审报告后，从评审报告提出的成交候选人中，根据质量和服务均能满足采购文件实质性响应要求且报价最低的原则确定成交供应商，也可以书面授权询价小组直接确定成交供应商，成交人数量</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spacing w:line="360" w:lineRule="auto"/>
        <w:jc w:val="left"/>
        <w:rPr>
          <w:rFonts w:ascii="仿宋" w:hAnsi="仿宋" w:eastAsia="仿宋" w:cs="宋体"/>
          <w:color w:val="000000"/>
          <w:kern w:val="0"/>
          <w:sz w:val="24"/>
        </w:rPr>
      </w:pPr>
      <w:r>
        <w:rPr>
          <w:rFonts w:ascii="仿宋" w:hAnsi="仿宋" w:eastAsia="仿宋" w:cs="仿宋"/>
          <w:color w:val="000000"/>
          <w:sz w:val="24"/>
        </w:rPr>
        <w:t>19.2</w:t>
      </w:r>
      <w:r>
        <w:rPr>
          <w:rFonts w:hint="eastAsia" w:ascii="仿宋" w:hAnsi="仿宋" w:eastAsia="仿宋" w:cs="宋体"/>
          <w:color w:val="000000"/>
          <w:kern w:val="0"/>
          <w:sz w:val="24"/>
        </w:rPr>
        <w:t>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0.</w:t>
      </w:r>
      <w:r>
        <w:rPr>
          <w:rFonts w:hint="eastAsia" w:ascii="仿宋" w:hAnsi="仿宋" w:eastAsia="仿宋" w:cs="仿宋"/>
          <w:color w:val="000000"/>
          <w:sz w:val="24"/>
          <w:szCs w:val="24"/>
        </w:rPr>
        <w:t>签订合同</w:t>
      </w:r>
    </w:p>
    <w:p>
      <w:pPr>
        <w:widowControl/>
        <w:topLinePunct/>
        <w:spacing w:line="360" w:lineRule="auto"/>
        <w:rPr>
          <w:rFonts w:ascii="仿宋" w:hAnsi="仿宋" w:eastAsia="仿宋" w:cs="仿宋"/>
          <w:color w:val="000000"/>
          <w:sz w:val="24"/>
        </w:rPr>
      </w:pPr>
      <w:r>
        <w:rPr>
          <w:rFonts w:hint="eastAsia" w:ascii="仿宋" w:hAnsi="仿宋" w:eastAsia="仿宋" w:cs="仿宋"/>
          <w:color w:val="000000"/>
          <w:sz w:val="24"/>
        </w:rPr>
        <w:t>2</w:t>
      </w:r>
      <w:r>
        <w:rPr>
          <w:rFonts w:ascii="仿宋" w:hAnsi="仿宋" w:eastAsia="仿宋" w:cs="仿宋"/>
          <w:color w:val="000000"/>
          <w:sz w:val="24"/>
        </w:rPr>
        <w:t>0.1</w:t>
      </w:r>
      <w:r>
        <w:rPr>
          <w:rFonts w:hint="eastAsia" w:ascii="仿宋" w:hAnsi="仿宋" w:eastAsia="仿宋" w:cs="仿宋"/>
          <w:color w:val="000000"/>
          <w:sz w:val="24"/>
        </w:rPr>
        <w:t>采购人与成交人按照询价文件和成交人的响应文件</w:t>
      </w:r>
      <w:r>
        <w:rPr>
          <w:rFonts w:hint="eastAsia" w:ascii="仿宋" w:hAnsi="仿宋" w:eastAsia="仿宋" w:cs="宋体"/>
          <w:color w:val="000000"/>
          <w:kern w:val="0"/>
          <w:sz w:val="24"/>
        </w:rPr>
        <w:t>订立书面合同。</w:t>
      </w:r>
      <w:r>
        <w:rPr>
          <w:rFonts w:hint="eastAsia" w:ascii="仿宋" w:hAnsi="仿宋" w:eastAsia="仿宋" w:cs="仿宋"/>
          <w:color w:val="000000"/>
          <w:sz w:val="24"/>
        </w:rPr>
        <w:t>合同的标的、价款、质量、履行期限等主要条款应当与询价文件和成交人的响应文件的内容一致。</w:t>
      </w:r>
    </w:p>
    <w:p>
      <w:pPr>
        <w:widowControl/>
        <w:topLinePunct/>
        <w:spacing w:line="360" w:lineRule="auto"/>
        <w:rPr>
          <w:rFonts w:ascii="仿宋" w:hAnsi="仿宋" w:eastAsia="仿宋" w:cs="宋体"/>
          <w:color w:val="000000"/>
          <w:kern w:val="0"/>
          <w:sz w:val="24"/>
        </w:rPr>
      </w:pPr>
      <w:bookmarkStart w:id="145" w:name="_Toc14533"/>
      <w:bookmarkStart w:id="146" w:name="_Toc100672408"/>
      <w:bookmarkStart w:id="147" w:name="_Toc234223235"/>
      <w:r>
        <w:rPr>
          <w:rFonts w:hint="eastAsia" w:ascii="仿宋" w:hAnsi="仿宋" w:eastAsia="仿宋" w:cs="仿宋"/>
          <w:color w:val="000000"/>
          <w:sz w:val="24"/>
        </w:rPr>
        <w:t>2</w:t>
      </w:r>
      <w:r>
        <w:rPr>
          <w:rFonts w:ascii="仿宋" w:hAnsi="仿宋" w:eastAsia="仿宋" w:cs="仿宋"/>
          <w:color w:val="000000"/>
          <w:sz w:val="24"/>
        </w:rPr>
        <w:t>0.2</w:t>
      </w:r>
      <w:r>
        <w:rPr>
          <w:rFonts w:hint="eastAsia" w:ascii="仿宋" w:hAnsi="仿宋" w:eastAsia="仿宋" w:cs="仿宋"/>
          <w:color w:val="000000"/>
          <w:sz w:val="24"/>
        </w:rPr>
        <w:t xml:space="preserve"> </w:t>
      </w:r>
      <w:r>
        <w:rPr>
          <w:rFonts w:hint="eastAsia" w:ascii="仿宋" w:hAnsi="仿宋" w:eastAsia="仿宋" w:cs="宋体"/>
          <w:color w:val="000000"/>
          <w:kern w:val="0"/>
          <w:sz w:val="24"/>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2</w:t>
      </w:r>
      <w:r>
        <w:rPr>
          <w:rFonts w:ascii="仿宋" w:hAnsi="仿宋" w:eastAsia="仿宋" w:cs="仿宋"/>
          <w:color w:val="000000"/>
          <w:sz w:val="24"/>
        </w:rPr>
        <w:t>0</w:t>
      </w:r>
      <w:r>
        <w:rPr>
          <w:rFonts w:ascii="仿宋" w:hAnsi="仿宋" w:eastAsia="仿宋" w:cs="宋体"/>
          <w:color w:val="000000"/>
          <w:kern w:val="0"/>
          <w:sz w:val="24"/>
        </w:rPr>
        <w:t>.3</w:t>
      </w:r>
      <w:r>
        <w:rPr>
          <w:rFonts w:hint="eastAsia" w:ascii="仿宋" w:hAnsi="仿宋" w:eastAsia="仿宋" w:cs="仿宋"/>
          <w:color w:val="000000"/>
          <w:sz w:val="24"/>
        </w:rPr>
        <w:t>询价</w:t>
      </w:r>
      <w:r>
        <w:rPr>
          <w:rFonts w:hint="eastAsia" w:ascii="仿宋" w:hAnsi="仿宋" w:eastAsia="仿宋" w:cs="宋体"/>
          <w:color w:val="000000"/>
          <w:kern w:val="0"/>
          <w:sz w:val="24"/>
        </w:rPr>
        <w:t>文件要求成交人提交履约保证金的，成交人应当按照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要求的金额和方式递交。成交人如不按要求提交履约保证金，将取消其成交资格，询价保证金不予退还。</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2</w:t>
      </w:r>
      <w:r>
        <w:rPr>
          <w:rFonts w:ascii="仿宋" w:hAnsi="仿宋" w:eastAsia="仿宋" w:cs="仿宋"/>
          <w:color w:val="000000"/>
          <w:sz w:val="24"/>
        </w:rPr>
        <w:t>0</w:t>
      </w:r>
      <w:r>
        <w:rPr>
          <w:rFonts w:hint="eastAsia" w:ascii="仿宋" w:hAnsi="仿宋" w:eastAsia="仿宋" w:cs="宋体"/>
          <w:color w:val="000000"/>
          <w:kern w:val="0"/>
          <w:sz w:val="24"/>
        </w:rPr>
        <w:t>.4成交供应商</w:t>
      </w:r>
      <w:r>
        <w:rPr>
          <w:rFonts w:ascii="仿宋" w:hAnsi="仿宋" w:eastAsia="仿宋" w:cs="宋体"/>
          <w:color w:val="000000"/>
          <w:kern w:val="0"/>
          <w:sz w:val="24"/>
        </w:rPr>
        <w:t>不履行与</w:t>
      </w:r>
      <w:r>
        <w:rPr>
          <w:rFonts w:hint="eastAsia" w:ascii="仿宋" w:hAnsi="仿宋" w:eastAsia="仿宋" w:cs="宋体"/>
          <w:color w:val="000000"/>
          <w:kern w:val="0"/>
          <w:sz w:val="24"/>
        </w:rPr>
        <w:t>采购</w:t>
      </w:r>
      <w:r>
        <w:rPr>
          <w:rFonts w:ascii="仿宋" w:hAnsi="仿宋" w:eastAsia="仿宋" w:cs="宋体"/>
          <w:color w:val="000000"/>
          <w:kern w:val="0"/>
          <w:sz w:val="24"/>
        </w:rPr>
        <w:t>人订立的合同的，</w:t>
      </w:r>
      <w:r>
        <w:rPr>
          <w:rFonts w:hint="eastAsia" w:ascii="仿宋" w:hAnsi="仿宋" w:eastAsia="仿宋" w:cs="宋体"/>
          <w:color w:val="000000"/>
          <w:kern w:val="0"/>
          <w:sz w:val="24"/>
        </w:rPr>
        <w:t>履约</w:t>
      </w:r>
      <w:r>
        <w:rPr>
          <w:rFonts w:ascii="仿宋" w:hAnsi="仿宋" w:eastAsia="仿宋" w:cs="宋体"/>
          <w:color w:val="000000"/>
          <w:kern w:val="0"/>
          <w:sz w:val="24"/>
        </w:rPr>
        <w:t>保证金不予退还，给</w:t>
      </w:r>
      <w:r>
        <w:rPr>
          <w:rFonts w:hint="eastAsia" w:ascii="仿宋" w:hAnsi="仿宋" w:eastAsia="仿宋" w:cs="宋体"/>
          <w:color w:val="000000"/>
          <w:kern w:val="0"/>
          <w:sz w:val="24"/>
        </w:rPr>
        <w:t>采购</w:t>
      </w:r>
      <w:r>
        <w:rPr>
          <w:rFonts w:ascii="仿宋" w:hAnsi="仿宋" w:eastAsia="仿宋" w:cs="宋体"/>
          <w:color w:val="000000"/>
          <w:kern w:val="0"/>
          <w:sz w:val="24"/>
        </w:rPr>
        <w:t>人造成的损失超过履约保证金数额的，还应当对超过部分予以赔偿；没有提交履约保证金的，应当对</w:t>
      </w:r>
      <w:r>
        <w:rPr>
          <w:rFonts w:hint="eastAsia" w:ascii="仿宋" w:hAnsi="仿宋" w:eastAsia="仿宋" w:cs="宋体"/>
          <w:color w:val="000000"/>
          <w:kern w:val="0"/>
          <w:sz w:val="24"/>
        </w:rPr>
        <w:t>采购</w:t>
      </w:r>
      <w:r>
        <w:rPr>
          <w:rFonts w:ascii="仿宋" w:hAnsi="仿宋" w:eastAsia="仿宋" w:cs="宋体"/>
          <w:color w:val="000000"/>
          <w:kern w:val="0"/>
          <w:sz w:val="24"/>
        </w:rPr>
        <w:t>人的损失承担赔偿责任。</w:t>
      </w:r>
    </w:p>
    <w:p>
      <w:pPr>
        <w:pStyle w:val="6"/>
        <w:spacing w:before="0" w:after="0" w:line="360" w:lineRule="auto"/>
        <w:jc w:val="center"/>
        <w:rPr>
          <w:rFonts w:ascii="仿宋" w:hAnsi="仿宋" w:eastAsia="仿宋" w:cs="仿宋"/>
          <w:color w:val="000000"/>
          <w:sz w:val="24"/>
          <w:szCs w:val="24"/>
        </w:rPr>
      </w:pPr>
      <w:bookmarkStart w:id="148" w:name="_Toc21532"/>
      <w:r>
        <w:rPr>
          <w:rFonts w:hint="eastAsia" w:ascii="仿宋" w:hAnsi="仿宋" w:eastAsia="仿宋" w:cs="仿宋"/>
          <w:color w:val="000000"/>
          <w:sz w:val="24"/>
          <w:szCs w:val="24"/>
        </w:rPr>
        <w:t>（七）其他</w:t>
      </w:r>
      <w:bookmarkEnd w:id="145"/>
      <w:bookmarkEnd w:id="146"/>
      <w:bookmarkEnd w:id="148"/>
    </w:p>
    <w:p>
      <w:pPr>
        <w:pStyle w:val="7"/>
        <w:spacing w:before="0" w:after="0" w:line="360" w:lineRule="auto"/>
        <w:jc w:val="left"/>
        <w:rPr>
          <w:rFonts w:ascii="仿宋" w:hAnsi="仿宋" w:eastAsia="仿宋" w:cs="仿宋"/>
          <w:bCs w:val="0"/>
          <w:color w:val="000000"/>
          <w:sz w:val="24"/>
          <w:szCs w:val="24"/>
        </w:rPr>
      </w:pPr>
      <w:r>
        <w:rPr>
          <w:rFonts w:ascii="仿宋" w:hAnsi="仿宋" w:eastAsia="仿宋" w:cs="仿宋"/>
          <w:bCs w:val="0"/>
          <w:color w:val="000000"/>
          <w:sz w:val="24"/>
          <w:szCs w:val="24"/>
        </w:rPr>
        <w:t>21</w:t>
      </w:r>
      <w:r>
        <w:rPr>
          <w:rFonts w:hint="eastAsia" w:ascii="仿宋" w:hAnsi="仿宋" w:eastAsia="仿宋" w:cs="仿宋"/>
          <w:bCs w:val="0"/>
          <w:color w:val="000000"/>
          <w:sz w:val="24"/>
          <w:szCs w:val="24"/>
        </w:rPr>
        <w:t>.</w:t>
      </w:r>
      <w:bookmarkEnd w:id="147"/>
      <w:r>
        <w:rPr>
          <w:rFonts w:hint="eastAsia" w:ascii="仿宋" w:hAnsi="仿宋" w:eastAsia="仿宋" w:cs="仿宋"/>
          <w:bCs w:val="0"/>
          <w:color w:val="000000"/>
          <w:sz w:val="24"/>
          <w:szCs w:val="24"/>
        </w:rPr>
        <w:t>其他情况</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pPr>
        <w:rPr>
          <w:color w:val="000000"/>
        </w:rPr>
        <w:sectPr>
          <w:headerReference r:id="rId8" w:type="default"/>
          <w:footerReference r:id="rId9" w:type="default"/>
          <w:pgSz w:w="11906" w:h="16838"/>
          <w:pgMar w:top="1417" w:right="1134" w:bottom="1134" w:left="1134" w:header="851" w:footer="992" w:gutter="0"/>
          <w:cols w:space="720" w:num="1"/>
          <w:docGrid w:type="lines" w:linePitch="312" w:charSpace="0"/>
        </w:sectPr>
      </w:pPr>
    </w:p>
    <w:p>
      <w:pPr>
        <w:pStyle w:val="4"/>
        <w:spacing w:before="0" w:after="0" w:line="360" w:lineRule="auto"/>
        <w:jc w:val="center"/>
        <w:rPr>
          <w:rFonts w:ascii="仿宋" w:hAnsi="仿宋" w:eastAsia="仿宋" w:cs="仿宋"/>
          <w:color w:val="000000"/>
          <w:sz w:val="28"/>
          <w:szCs w:val="28"/>
        </w:rPr>
      </w:pPr>
      <w:bookmarkStart w:id="149" w:name="_Toc15735"/>
      <w:bookmarkStart w:id="150" w:name="_Toc120625370"/>
      <w:bookmarkStart w:id="151" w:name="_Toc100672409"/>
      <w:bookmarkStart w:id="152" w:name="_Toc8154"/>
      <w:bookmarkStart w:id="153" w:name="_Toc444891343"/>
      <w:bookmarkStart w:id="154" w:name="_Toc517281824"/>
      <w:r>
        <w:rPr>
          <w:rFonts w:hint="eastAsia" w:ascii="仿宋" w:hAnsi="仿宋" w:eastAsia="仿宋" w:cs="仿宋"/>
          <w:color w:val="000000"/>
          <w:sz w:val="28"/>
          <w:szCs w:val="28"/>
        </w:rPr>
        <w:t>第三章 评审办法</w:t>
      </w:r>
      <w:bookmarkEnd w:id="149"/>
      <w:bookmarkEnd w:id="150"/>
      <w:bookmarkEnd w:id="151"/>
      <w:bookmarkEnd w:id="152"/>
    </w:p>
    <w:p>
      <w:pPr>
        <w:pStyle w:val="5"/>
        <w:ind w:firstLine="0" w:firstLineChars="0"/>
        <w:jc w:val="left"/>
        <w:rPr>
          <w:rFonts w:ascii="仿宋" w:hAnsi="仿宋" w:eastAsia="仿宋" w:cs="仿宋"/>
          <w:color w:val="000000"/>
          <w:sz w:val="24"/>
          <w:szCs w:val="24"/>
        </w:rPr>
      </w:pPr>
      <w:bookmarkStart w:id="155" w:name="_Toc517281825"/>
      <w:bookmarkStart w:id="156" w:name="_Toc120625371"/>
      <w:bookmarkStart w:id="157" w:name="_Toc15457"/>
      <w:bookmarkStart w:id="158" w:name="_Toc444891344"/>
      <w:bookmarkStart w:id="159" w:name="_Toc8137"/>
      <w:bookmarkStart w:id="160" w:name="_Toc100672410"/>
      <w:bookmarkStart w:id="161" w:name="_Toc226969358"/>
      <w:bookmarkStart w:id="162" w:name="_Toc227057964"/>
      <w:r>
        <w:rPr>
          <w:rFonts w:hint="eastAsia" w:ascii="仿宋" w:hAnsi="仿宋" w:eastAsia="仿宋" w:cs="仿宋"/>
          <w:color w:val="000000"/>
          <w:sz w:val="24"/>
          <w:szCs w:val="24"/>
        </w:rPr>
        <w:t>一、评审程序</w:t>
      </w:r>
      <w:bookmarkEnd w:id="155"/>
      <w:bookmarkEnd w:id="156"/>
      <w:bookmarkEnd w:id="157"/>
      <w:bookmarkEnd w:id="158"/>
      <w:bookmarkEnd w:id="159"/>
      <w:bookmarkEnd w:id="160"/>
    </w:p>
    <w:p>
      <w:pPr>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sz w:val="24"/>
        </w:rPr>
        <w:t>询价小组</w:t>
      </w:r>
      <w:r>
        <w:rPr>
          <w:rFonts w:hint="eastAsia" w:ascii="仿宋" w:hAnsi="仿宋" w:eastAsia="仿宋" w:cs="仿宋"/>
          <w:color w:val="000000"/>
          <w:kern w:val="0"/>
          <w:sz w:val="24"/>
        </w:rPr>
        <w:t>对全部响应文件中的相关内容进行评审。评审按照以下程序进行：</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1、熟悉询价文件；</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2、对全部响应文件进行初步评审，检查响应文件是否完全满足询价文件的初审要求；初步评审中有一项不符合评审标准的，将做否决响应处理；</w:t>
      </w:r>
    </w:p>
    <w:p>
      <w:pPr>
        <w:spacing w:line="360" w:lineRule="auto"/>
        <w:ind w:firstLine="420" w:firstLineChars="175"/>
        <w:jc w:val="left"/>
        <w:rPr>
          <w:rFonts w:ascii="仿宋" w:hAnsi="仿宋" w:eastAsia="仿宋" w:cs="仿宋"/>
          <w:color w:val="000000"/>
          <w:kern w:val="0"/>
          <w:sz w:val="24"/>
        </w:rPr>
      </w:pPr>
      <w:r>
        <w:rPr>
          <w:rFonts w:ascii="仿宋" w:hAnsi="仿宋" w:eastAsia="仿宋" w:cs="仿宋"/>
          <w:color w:val="000000"/>
          <w:kern w:val="0"/>
          <w:sz w:val="24"/>
        </w:rPr>
        <w:t>3</w:t>
      </w:r>
      <w:r>
        <w:rPr>
          <w:rFonts w:hint="eastAsia" w:ascii="仿宋" w:hAnsi="仿宋" w:eastAsia="仿宋" w:cs="仿宋"/>
          <w:color w:val="000000"/>
          <w:kern w:val="0"/>
          <w:sz w:val="24"/>
        </w:rPr>
        <w:t>、供应商有以下情形之一的，询价小组应当否决其询价响应：</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（1）按照询价函要求已经递交电子响应文件，但未按要求递交纸质响应文件；</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（2）响应文件未经供应商盖章和单位负责人签字；</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（3）允许联合体响应的，联合体没有递交共同响应协议；</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（4）不符合国家或者</w:t>
      </w:r>
      <w:r>
        <w:rPr>
          <w:rFonts w:hint="eastAsia" w:ascii="仿宋" w:hAnsi="仿宋" w:eastAsia="仿宋" w:cs="仿宋"/>
          <w:color w:val="000000"/>
          <w:sz w:val="24"/>
        </w:rPr>
        <w:t>询价</w:t>
      </w:r>
      <w:r>
        <w:rPr>
          <w:rFonts w:hint="eastAsia" w:ascii="仿宋" w:hAnsi="仿宋" w:eastAsia="仿宋" w:cs="仿宋"/>
          <w:kern w:val="0"/>
          <w:sz w:val="24"/>
        </w:rPr>
        <w:t>文件规定的资格条件；</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（5）同一供应商提交两个以上不同的响应文件或者响应报价，但</w:t>
      </w:r>
      <w:r>
        <w:rPr>
          <w:rFonts w:hint="eastAsia" w:ascii="仿宋" w:hAnsi="仿宋" w:eastAsia="仿宋" w:cs="仿宋"/>
          <w:color w:val="000000"/>
          <w:sz w:val="24"/>
        </w:rPr>
        <w:t>询价</w:t>
      </w:r>
      <w:r>
        <w:rPr>
          <w:rFonts w:hint="eastAsia" w:ascii="仿宋" w:hAnsi="仿宋" w:eastAsia="仿宋" w:cs="仿宋"/>
          <w:kern w:val="0"/>
          <w:sz w:val="24"/>
        </w:rPr>
        <w:t>文件要求提交备选文件的除外；</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仿宋"/>
          <w:kern w:val="0"/>
          <w:sz w:val="24"/>
        </w:rPr>
        <w:t>（6）</w:t>
      </w:r>
      <w:r>
        <w:rPr>
          <w:rFonts w:hint="eastAsia" w:ascii="仿宋" w:hAnsi="仿宋" w:eastAsia="仿宋" w:cs="宋体"/>
          <w:color w:val="000000"/>
          <w:kern w:val="0"/>
          <w:sz w:val="24"/>
        </w:rPr>
        <w:t>最终报价低于成本或者高于</w:t>
      </w:r>
      <w:r>
        <w:rPr>
          <w:rFonts w:hint="eastAsia" w:ascii="仿宋" w:hAnsi="仿宋" w:eastAsia="仿宋" w:cs="仿宋"/>
          <w:color w:val="000000"/>
          <w:sz w:val="24"/>
        </w:rPr>
        <w:t>询价</w:t>
      </w:r>
      <w:r>
        <w:rPr>
          <w:rFonts w:hint="eastAsia" w:ascii="仿宋" w:hAnsi="仿宋" w:eastAsia="仿宋" w:cs="宋体"/>
          <w:color w:val="000000"/>
          <w:kern w:val="0"/>
          <w:sz w:val="24"/>
        </w:rPr>
        <w:t>文件设定的最高投标限价；</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（7）响应文件未对</w:t>
      </w:r>
      <w:r>
        <w:rPr>
          <w:rFonts w:hint="eastAsia" w:ascii="仿宋" w:hAnsi="仿宋" w:eastAsia="仿宋" w:cs="仿宋"/>
          <w:color w:val="000000"/>
          <w:sz w:val="24"/>
        </w:rPr>
        <w:t>询价</w:t>
      </w:r>
      <w:r>
        <w:rPr>
          <w:rFonts w:hint="eastAsia" w:ascii="仿宋" w:hAnsi="仿宋" w:eastAsia="仿宋" w:cs="宋体"/>
          <w:color w:val="000000"/>
          <w:kern w:val="0"/>
          <w:sz w:val="24"/>
        </w:rPr>
        <w:t xml:space="preserve">文件的实质性要求和条件作出响应； </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（8）供应商有串通投标、弄虚作假、行贿等违法行为；</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（9）不接受或不确认因算术性错误进行的价格修正；</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（10）响应文件附有采购人不能接受的条件；</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（11）不符合</w:t>
      </w:r>
      <w:r>
        <w:rPr>
          <w:rFonts w:hint="eastAsia" w:ascii="仿宋" w:hAnsi="仿宋" w:eastAsia="仿宋" w:cs="仿宋"/>
          <w:color w:val="000000"/>
          <w:sz w:val="24"/>
        </w:rPr>
        <w:t>询价</w:t>
      </w:r>
      <w:r>
        <w:rPr>
          <w:rFonts w:hint="eastAsia" w:ascii="仿宋" w:hAnsi="仿宋" w:eastAsia="仿宋" w:cs="宋体"/>
          <w:color w:val="000000"/>
          <w:kern w:val="0"/>
          <w:sz w:val="24"/>
        </w:rPr>
        <w:t>文件中规定的其他实质性要求。</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4、</w:t>
      </w:r>
      <w:r>
        <w:rPr>
          <w:rFonts w:hint="eastAsia" w:ascii="仿宋" w:hAnsi="仿宋" w:eastAsia="仿宋" w:cs="仿宋"/>
          <w:color w:val="000000"/>
          <w:sz w:val="24"/>
        </w:rPr>
        <w:t>从质量和服务均能满足采购文件实质性响应要求的供应商中，按照最后报价由低到高的顺序提出成交候选人</w:t>
      </w:r>
      <w:r>
        <w:rPr>
          <w:rFonts w:hint="eastAsia" w:ascii="仿宋" w:hAnsi="仿宋" w:eastAsia="仿宋" w:cs="仿宋"/>
          <w:color w:val="000000"/>
          <w:kern w:val="0"/>
          <w:sz w:val="24"/>
        </w:rPr>
        <w:t>，提交评审报告，评审报告应包含评审情况说明、排名次序、推荐成交候选人名单及其他说明事项。</w:t>
      </w:r>
    </w:p>
    <w:p>
      <w:pPr>
        <w:pStyle w:val="5"/>
        <w:ind w:firstLine="0" w:firstLineChars="0"/>
        <w:jc w:val="left"/>
        <w:rPr>
          <w:rFonts w:ascii="仿宋" w:hAnsi="仿宋" w:eastAsia="仿宋" w:cs="仿宋"/>
          <w:color w:val="000000"/>
          <w:sz w:val="24"/>
          <w:szCs w:val="24"/>
        </w:rPr>
      </w:pPr>
      <w:bookmarkStart w:id="163" w:name="_Toc120625372"/>
      <w:bookmarkStart w:id="164" w:name="_Toc100672411"/>
      <w:bookmarkStart w:id="165" w:name="_Toc517281826"/>
      <w:bookmarkStart w:id="166" w:name="_Toc444891345"/>
      <w:bookmarkStart w:id="167" w:name="_Toc5817"/>
      <w:bookmarkStart w:id="168" w:name="_Toc27745"/>
      <w:r>
        <w:rPr>
          <w:rFonts w:hint="eastAsia" w:ascii="仿宋" w:hAnsi="仿宋" w:eastAsia="仿宋" w:cs="仿宋"/>
          <w:color w:val="000000"/>
          <w:sz w:val="24"/>
          <w:szCs w:val="24"/>
        </w:rPr>
        <w:t>二、初步评审</w:t>
      </w:r>
      <w:bookmarkEnd w:id="163"/>
      <w:bookmarkEnd w:id="164"/>
      <w:bookmarkEnd w:id="165"/>
      <w:bookmarkEnd w:id="166"/>
      <w:bookmarkEnd w:id="167"/>
      <w:bookmarkEnd w:id="168"/>
    </w:p>
    <w:bookmarkEnd w:id="161"/>
    <w:bookmarkEnd w:id="162"/>
    <w:tbl>
      <w:tblPr>
        <w:tblStyle w:val="40"/>
        <w:tblW w:w="5000"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171"/>
        <w:gridCol w:w="2357"/>
        <w:gridCol w:w="565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43" w:type="pct"/>
            <w:vAlign w:val="center"/>
          </w:tcPr>
          <w:p>
            <w:pPr>
              <w:widowControl/>
              <w:spacing w:line="360" w:lineRule="auto"/>
              <w:jc w:val="center"/>
              <w:rPr>
                <w:rFonts w:ascii="仿宋" w:hAnsi="仿宋" w:eastAsia="仿宋" w:cs="仿宋"/>
                <w:b/>
                <w:color w:val="000000"/>
                <w:kern w:val="0"/>
                <w:szCs w:val="21"/>
              </w:rPr>
            </w:pPr>
            <w:bookmarkStart w:id="169" w:name="_Toc9003"/>
            <w:bookmarkStart w:id="170" w:name="_Toc426620345"/>
            <w:bookmarkStart w:id="171" w:name="_Toc444891346"/>
            <w:bookmarkStart w:id="172" w:name="_Toc13468"/>
            <w:bookmarkStart w:id="173" w:name="_Toc517281827"/>
            <w:bookmarkStart w:id="174" w:name="_Toc4633"/>
            <w:r>
              <w:rPr>
                <w:rFonts w:hint="eastAsia" w:ascii="仿宋" w:hAnsi="仿宋" w:eastAsia="仿宋" w:cs="仿宋"/>
                <w:b/>
                <w:color w:val="000000"/>
                <w:kern w:val="0"/>
                <w:szCs w:val="21"/>
              </w:rPr>
              <w:t>序号</w:t>
            </w:r>
          </w:p>
        </w:tc>
        <w:tc>
          <w:tcPr>
            <w:tcW w:w="594" w:type="pct"/>
          </w:tcPr>
          <w:p>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评审环节</w:t>
            </w:r>
          </w:p>
        </w:tc>
        <w:tc>
          <w:tcPr>
            <w:tcW w:w="1196" w:type="pct"/>
            <w:vAlign w:val="center"/>
          </w:tcPr>
          <w:p>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评审因素</w:t>
            </w:r>
          </w:p>
        </w:tc>
        <w:tc>
          <w:tcPr>
            <w:tcW w:w="2867" w:type="pct"/>
            <w:vAlign w:val="center"/>
          </w:tcPr>
          <w:p>
            <w:pPr>
              <w:widowControl/>
              <w:spacing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94"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供应商名称</w:t>
            </w:r>
          </w:p>
        </w:tc>
        <w:tc>
          <w:tcPr>
            <w:tcW w:w="2867" w:type="pct"/>
            <w:vAlign w:val="center"/>
          </w:tcPr>
          <w:p>
            <w:pPr>
              <w:spacing w:before="24" w:after="24" w:line="276" w:lineRule="auto"/>
              <w:jc w:val="left"/>
              <w:rPr>
                <w:rFonts w:ascii="仿宋" w:hAnsi="仿宋" w:eastAsia="仿宋" w:cs="仿宋"/>
                <w:color w:val="000000"/>
                <w:kern w:val="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line="276" w:lineRule="auto"/>
              <w:jc w:val="center"/>
              <w:rPr>
                <w:rFonts w:ascii="仿宋" w:hAnsi="仿宋" w:eastAsia="仿宋" w:cs="仿宋"/>
                <w:color w:val="000000"/>
                <w:spacing w:val="-4"/>
                <w:kern w:val="0"/>
                <w:szCs w:val="21"/>
              </w:rPr>
            </w:pPr>
            <w:r>
              <w:rPr>
                <w:rFonts w:hint="eastAsia" w:ascii="仿宋" w:hAnsi="仿宋" w:eastAsia="仿宋" w:cs="仿宋"/>
                <w:color w:val="000000"/>
                <w:szCs w:val="21"/>
              </w:rPr>
              <w:t>法定代表人（负责人）身份证明</w:t>
            </w:r>
          </w:p>
        </w:tc>
        <w:tc>
          <w:tcPr>
            <w:tcW w:w="2867" w:type="pct"/>
            <w:vAlign w:val="center"/>
          </w:tcPr>
          <w:p>
            <w:pPr>
              <w:pStyle w:val="172"/>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134"/>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50"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响应文件签字或盖章</w:t>
            </w:r>
          </w:p>
        </w:tc>
        <w:tc>
          <w:tcPr>
            <w:tcW w:w="2867" w:type="pct"/>
            <w:vAlign w:val="center"/>
          </w:tcPr>
          <w:p>
            <w:pPr>
              <w:pStyle w:val="152"/>
              <w:spacing w:before="62" w:beforeLines="20" w:after="62" w:afterLines="20" w:line="276" w:lineRule="auto"/>
              <w:rPr>
                <w:rFonts w:ascii="仿宋" w:hAnsi="仿宋" w:eastAsia="仿宋" w:cs="宋体"/>
                <w:color w:val="000000"/>
              </w:rPr>
            </w:pPr>
            <w:r>
              <w:rPr>
                <w:rFonts w:hint="eastAsia" w:ascii="仿宋" w:hAnsi="仿宋" w:eastAsia="仿宋" w:cs="宋体"/>
                <w:color w:val="000000"/>
              </w:rPr>
              <w:t>1、上述两款以外的响应文件格式中有落款的文件，</w:t>
            </w:r>
            <w:r>
              <w:rPr>
                <w:rFonts w:hint="eastAsia" w:ascii="仿宋" w:hAnsi="仿宋" w:eastAsia="仿宋" w:cs="宋体"/>
                <w:b/>
                <w:color w:val="000000"/>
              </w:rPr>
              <w:t>均需</w:t>
            </w:r>
            <w:r>
              <w:rPr>
                <w:rFonts w:hint="eastAsia" w:ascii="仿宋" w:hAnsi="仿宋" w:eastAsia="仿宋" w:cs="宋体"/>
                <w:color w:val="000000"/>
              </w:rPr>
              <w:t>加盖公章</w:t>
            </w:r>
            <w:r>
              <w:rPr>
                <w:rFonts w:hint="eastAsia" w:ascii="仿宋" w:hAnsi="仿宋" w:eastAsia="仿宋" w:cs="宋体"/>
                <w:b/>
                <w:color w:val="000000"/>
              </w:rPr>
              <w:t>或</w:t>
            </w:r>
            <w:r>
              <w:rPr>
                <w:rFonts w:hint="eastAsia" w:ascii="仿宋" w:hAnsi="仿宋" w:eastAsia="仿宋" w:cs="宋体"/>
                <w:color w:val="000000"/>
              </w:rPr>
              <w:t>由法定代表人（负责人）签字</w:t>
            </w:r>
            <w:r>
              <w:rPr>
                <w:rFonts w:hint="eastAsia" w:ascii="仿宋" w:hAnsi="仿宋" w:eastAsia="仿宋" w:cs="宋体"/>
                <w:b/>
                <w:color w:val="000000"/>
              </w:rPr>
              <w:t>或</w:t>
            </w:r>
            <w:r>
              <w:rPr>
                <w:rFonts w:hint="eastAsia" w:ascii="仿宋" w:hAnsi="仿宋" w:eastAsia="仿宋" w:cs="宋体"/>
                <w:color w:val="000000"/>
              </w:rPr>
              <w:t>其委托代理人签字。</w:t>
            </w:r>
          </w:p>
          <w:p>
            <w:pPr>
              <w:pStyle w:val="152"/>
              <w:spacing w:before="62" w:beforeLines="20" w:after="62" w:afterLines="20" w:line="276" w:lineRule="auto"/>
              <w:rPr>
                <w:rFonts w:ascii="仿宋" w:hAnsi="仿宋" w:eastAsia="仿宋" w:cs="Cambria Math"/>
                <w:color w:val="000000"/>
              </w:rPr>
            </w:pPr>
            <w:r>
              <w:rPr>
                <w:rFonts w:hint="eastAsia" w:ascii="仿宋" w:hAnsi="仿宋" w:eastAsia="仿宋" w:cs="宋体"/>
                <w:color w:val="000000"/>
              </w:rPr>
              <w:t>2、响应文件的所有签字处均指手写签字</w:t>
            </w:r>
            <w:r>
              <w:rPr>
                <w:rFonts w:hint="eastAsia" w:ascii="仿宋" w:hAnsi="仿宋" w:eastAsia="仿宋" w:cs="宋体"/>
                <w:b/>
                <w:color w:val="000000"/>
              </w:rPr>
              <w:t>或</w:t>
            </w:r>
            <w:r>
              <w:rPr>
                <w:rFonts w:hint="eastAsia" w:ascii="仿宋" w:hAnsi="仿宋" w:eastAsia="仿宋" w:cs="宋体"/>
                <w:color w:val="000000"/>
              </w:rPr>
              <w:t>签名章/印章</w:t>
            </w:r>
            <w:r>
              <w:rPr>
                <w:rFonts w:hint="eastAsia" w:ascii="仿宋" w:hAnsi="仿宋" w:eastAsia="仿宋" w:cs="宋体"/>
                <w:b/>
                <w:bCs/>
                <w:color w:val="000000"/>
              </w:rPr>
              <w:t>或</w:t>
            </w:r>
            <w:r>
              <w:rPr>
                <w:rFonts w:hint="eastAsia" w:ascii="仿宋" w:hAnsi="仿宋" w:eastAsia="仿宋" w:cs="宋体"/>
                <w:color w:val="000000"/>
              </w:rPr>
              <w:t>CA签名章，</w:t>
            </w:r>
            <w:r>
              <w:rPr>
                <w:rFonts w:hint="eastAsia" w:ascii="仿宋" w:hAnsi="仿宋" w:eastAsia="仿宋" w:cs="宋体"/>
                <w:b/>
                <w:color w:val="000000"/>
              </w:rPr>
              <w:t>不得</w:t>
            </w:r>
            <w:r>
              <w:rPr>
                <w:rFonts w:hint="eastAsia" w:ascii="仿宋" w:hAnsi="仿宋" w:eastAsia="仿宋" w:cs="宋体"/>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w:t>
            </w:r>
          </w:p>
        </w:tc>
        <w:tc>
          <w:tcPr>
            <w:tcW w:w="594"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19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具有独立承担民事责任的能力</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具有履行合同所必需的设备和专业技术能力</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Cs w:val="21"/>
              </w:rPr>
              <w:t>经营状况良好，且近三年内无重大违法违规记录</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Cs w:val="21"/>
              </w:rPr>
              <w:t>具有依法缴纳税收和社会保障资金的良好记录</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jc w:val="center"/>
              <w:rPr>
                <w:rFonts w:ascii="仿宋" w:hAnsi="仿宋" w:eastAsia="仿宋" w:cs="仿宋"/>
                <w:kern w:val="0"/>
                <w:szCs w:val="21"/>
              </w:rPr>
            </w:pPr>
            <w:r>
              <w:rPr>
                <w:rFonts w:hint="eastAsia" w:ascii="仿宋" w:hAnsi="仿宋" w:eastAsia="仿宋" w:cs="仿宋"/>
                <w:szCs w:val="21"/>
              </w:rPr>
              <w:t>未被列入我公司供应商黑名单或已不在禁入期内</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kern w:val="0"/>
                <w:szCs w:val="21"/>
              </w:rPr>
            </w:pPr>
            <w:r>
              <w:rPr>
                <w:rFonts w:hint="eastAsia" w:ascii="仿宋" w:hAnsi="仿宋" w:eastAsia="仿宋" w:cs="Cambria Math"/>
                <w:szCs w:val="21"/>
              </w:rPr>
              <w:t>单位负责人为同一人或存在控股、管理关系的不同单位，不得参加同一标包采购</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ascii="仿宋" w:hAnsi="仿宋" w:eastAsia="仿宋" w:cs="仿宋"/>
                <w:color w:val="000000"/>
                <w:kern w:val="0"/>
                <w:szCs w:val="21"/>
              </w:rPr>
              <w:t>3</w:t>
            </w:r>
          </w:p>
        </w:tc>
        <w:tc>
          <w:tcPr>
            <w:tcW w:w="594" w:type="pct"/>
            <w:vMerge w:val="restart"/>
            <w:vAlign w:val="center"/>
          </w:tcPr>
          <w:p>
            <w:pPr>
              <w:spacing w:before="24" w:after="24"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响应性评审标准</w:t>
            </w: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响应函</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宋体"/>
                <w:color w:val="000000"/>
                <w:szCs w:val="21"/>
              </w:rPr>
              <w:t>供应商行为准则承诺书</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宋体"/>
                <w:color w:val="000000"/>
                <w:szCs w:val="21"/>
              </w:rPr>
              <w:t>供应商廉洁诚信承诺书</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FF0000"/>
                <w:kern w:val="0"/>
                <w:szCs w:val="21"/>
              </w:rPr>
            </w:pPr>
            <w:r>
              <w:rPr>
                <w:rFonts w:hint="eastAsia" w:ascii="仿宋" w:hAnsi="仿宋" w:eastAsia="仿宋" w:cs="Cambria Math"/>
                <w:color w:val="FF0000"/>
                <w:szCs w:val="21"/>
              </w:rPr>
              <w:t>供应商偏离应答</w:t>
            </w:r>
          </w:p>
        </w:tc>
        <w:tc>
          <w:tcPr>
            <w:tcW w:w="2867" w:type="pct"/>
            <w:vAlign w:val="center"/>
          </w:tcPr>
          <w:p>
            <w:pPr>
              <w:spacing w:before="24" w:after="24" w:line="276" w:lineRule="auto"/>
              <w:jc w:val="left"/>
              <w:rPr>
                <w:rFonts w:ascii="仿宋" w:hAnsi="仿宋" w:eastAsia="仿宋" w:cs="仿宋"/>
                <w:color w:val="FF0000"/>
                <w:szCs w:val="21"/>
              </w:rPr>
            </w:pPr>
            <w:r>
              <w:rPr>
                <w:rFonts w:hint="eastAsia" w:ascii="仿宋" w:hAnsi="仿宋" w:eastAsia="仿宋" w:cs="仿宋"/>
                <w:color w:val="FF0000"/>
                <w:szCs w:val="21"/>
              </w:rPr>
              <w:t>《供应商须知应答偏离表》、《合同条款应答偏离表》、《采购需求应答偏离表》》进行了符合第二章“供应商须知”的应答</w:t>
            </w:r>
          </w:p>
        </w:tc>
      </w:tr>
    </w:tbl>
    <w:p>
      <w:pPr>
        <w:pStyle w:val="122"/>
        <w:tabs>
          <w:tab w:val="left" w:pos="0"/>
        </w:tabs>
        <w:adjustRightInd w:val="0"/>
        <w:snapToGrid w:val="0"/>
        <w:spacing w:line="360" w:lineRule="auto"/>
        <w:ind w:firstLine="422"/>
        <w:rPr>
          <w:rFonts w:ascii="仿宋" w:hAnsi="仿宋" w:eastAsia="仿宋" w:cs="仿宋"/>
          <w:color w:val="000000"/>
          <w:sz w:val="24"/>
          <w:szCs w:val="24"/>
        </w:rPr>
      </w:pPr>
      <w:r>
        <w:rPr>
          <w:rFonts w:hint="eastAsia" w:ascii="仿宋" w:hAnsi="仿宋" w:eastAsia="仿宋" w:cs="仿宋"/>
          <w:b/>
          <w:bCs/>
          <w:color w:val="000000"/>
          <w:szCs w:val="21"/>
        </w:rPr>
        <w:br w:type="page"/>
      </w:r>
      <w:bookmarkEnd w:id="169"/>
      <w:bookmarkEnd w:id="170"/>
      <w:bookmarkEnd w:id="171"/>
      <w:bookmarkEnd w:id="172"/>
      <w:bookmarkEnd w:id="173"/>
      <w:bookmarkEnd w:id="174"/>
    </w:p>
    <w:p>
      <w:pPr>
        <w:pStyle w:val="4"/>
        <w:spacing w:before="0" w:after="0" w:line="360" w:lineRule="auto"/>
        <w:jc w:val="center"/>
        <w:rPr>
          <w:rFonts w:ascii="仿宋" w:hAnsi="仿宋" w:eastAsia="仿宋" w:cs="仿宋"/>
          <w:color w:val="FF0000"/>
          <w:sz w:val="28"/>
          <w:szCs w:val="28"/>
        </w:rPr>
      </w:pPr>
      <w:bookmarkStart w:id="175" w:name="_Toc120625374"/>
      <w:bookmarkStart w:id="176" w:name="_Toc32026"/>
      <w:bookmarkStart w:id="177" w:name="_Toc9121"/>
      <w:bookmarkStart w:id="178" w:name="_Toc100672414"/>
      <w:r>
        <w:rPr>
          <w:rFonts w:hint="eastAsia" w:ascii="仿宋" w:hAnsi="仿宋" w:eastAsia="仿宋" w:cs="仿宋"/>
          <w:color w:val="FF0000"/>
          <w:sz w:val="28"/>
          <w:szCs w:val="28"/>
        </w:rPr>
        <w:t>第四章 合同条款</w:t>
      </w:r>
      <w:bookmarkEnd w:id="175"/>
      <w:bookmarkEnd w:id="176"/>
      <w:bookmarkEnd w:id="177"/>
      <w:bookmarkEnd w:id="178"/>
    </w:p>
    <w:p>
      <w:pPr>
        <w:snapToGrid w:val="0"/>
        <w:spacing w:line="360" w:lineRule="auto"/>
        <w:jc w:val="center"/>
        <w:rPr>
          <w:rFonts w:hint="eastAsia" w:asciiTheme="minorEastAsia" w:hAnsiTheme="minorEastAsia"/>
          <w:b/>
          <w:sz w:val="44"/>
          <w:szCs w:val="44"/>
        </w:rPr>
      </w:pPr>
      <w:r>
        <w:rPr>
          <w:rFonts w:hint="eastAsia" w:ascii="宋体" w:hAnsi="宋体"/>
          <w:b/>
          <w:bCs/>
          <w:sz w:val="44"/>
          <w:szCs w:val="44"/>
        </w:rPr>
        <w:t>毕节分公司与XX宣传推广服务协议</w:t>
      </w:r>
    </w:p>
    <w:p>
      <w:pPr>
        <w:snapToGrid w:val="0"/>
        <w:spacing w:line="360" w:lineRule="auto"/>
        <w:jc w:val="center"/>
        <w:rPr>
          <w:rFonts w:asciiTheme="minorEastAsia" w:hAnsiTheme="minorEastAsia"/>
          <w:b/>
          <w:sz w:val="44"/>
          <w:szCs w:val="44"/>
        </w:rPr>
      </w:pPr>
    </w:p>
    <w:p>
      <w:pPr>
        <w:snapToGrid w:val="0"/>
        <w:spacing w:line="360" w:lineRule="auto"/>
        <w:rPr>
          <w:rFonts w:asciiTheme="minorEastAsia" w:hAnsiTheme="minorEastAsia"/>
          <w:sz w:val="32"/>
          <w:szCs w:val="32"/>
        </w:rPr>
      </w:pPr>
      <w:r>
        <w:rPr>
          <w:rFonts w:hint="eastAsia" w:asciiTheme="minorEastAsia" w:hAnsiTheme="minorEastAsia"/>
          <w:sz w:val="32"/>
          <w:szCs w:val="32"/>
        </w:rPr>
        <w:t>甲方</w:t>
      </w:r>
      <w:r>
        <w:rPr>
          <w:rFonts w:hint="eastAsia" w:asciiTheme="minorEastAsia" w:hAnsiTheme="minorEastAsia"/>
          <w:sz w:val="32"/>
          <w:szCs w:val="32"/>
          <w:lang w:eastAsia="zh-CN"/>
        </w:rPr>
        <w:t>：</w:t>
      </w:r>
      <w:r>
        <w:rPr>
          <w:rFonts w:hint="eastAsia" w:asciiTheme="minorEastAsia" w:hAnsiTheme="minorEastAsia"/>
          <w:sz w:val="32"/>
          <w:szCs w:val="32"/>
        </w:rPr>
        <w:t>中国人民财产保险股份有限公司</w:t>
      </w:r>
      <w:r>
        <w:rPr>
          <w:rFonts w:hint="eastAsia" w:asciiTheme="minorEastAsia" w:hAnsiTheme="minorEastAsia"/>
          <w:sz w:val="32"/>
          <w:szCs w:val="32"/>
          <w:lang w:val="en-US" w:eastAsia="zh-CN"/>
        </w:rPr>
        <w:t>毕节</w:t>
      </w:r>
      <w:r>
        <w:rPr>
          <w:rFonts w:hint="eastAsia" w:asciiTheme="minorEastAsia" w:hAnsiTheme="minorEastAsia"/>
          <w:sz w:val="32"/>
          <w:szCs w:val="32"/>
        </w:rPr>
        <w:t>分公司　　</w:t>
      </w:r>
    </w:p>
    <w:p>
      <w:pPr>
        <w:spacing w:line="360" w:lineRule="auto"/>
        <w:jc w:val="left"/>
        <w:rPr>
          <w:rFonts w:hint="eastAsia" w:eastAsia="宋体" w:cs="仿宋_GB2312" w:asciiTheme="minorEastAsia" w:hAnsiTheme="minorEastAsia"/>
          <w:kern w:val="0"/>
          <w:sz w:val="32"/>
          <w:szCs w:val="32"/>
          <w:lang w:val="en-US" w:eastAsia="zh-CN"/>
        </w:rPr>
      </w:pPr>
      <w:r>
        <w:rPr>
          <w:rFonts w:cs="仿宋_GB2312" w:asciiTheme="minorEastAsia" w:hAnsiTheme="minorEastAsia"/>
          <w:sz w:val="32"/>
          <w:szCs w:val="32"/>
        </w:rPr>
        <w:t>地址：</w:t>
      </w:r>
      <w:r>
        <w:rPr>
          <w:rFonts w:hint="eastAsia" w:cs="仿宋_GB2312" w:asciiTheme="minorEastAsia" w:hAnsiTheme="minorEastAsia"/>
          <w:sz w:val="32"/>
          <w:szCs w:val="32"/>
        </w:rPr>
        <w:t>贵州省毕节七星关区麻园大道</w:t>
      </w:r>
      <w:r>
        <w:rPr>
          <w:rFonts w:hint="eastAsia" w:cs="仿宋_GB2312" w:asciiTheme="minorEastAsia" w:hAnsiTheme="minorEastAsia"/>
          <w:sz w:val="32"/>
          <w:szCs w:val="32"/>
          <w:lang w:val="en-US" w:eastAsia="zh-CN"/>
        </w:rPr>
        <w:t>中段</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w:t>
      </w:r>
    </w:p>
    <w:p>
      <w:pPr>
        <w:spacing w:line="360" w:lineRule="auto"/>
        <w:jc w:val="left"/>
        <w:rPr>
          <w:rFonts w:cs="仿宋_GB2312" w:asciiTheme="minorEastAsia" w:hAnsiTheme="minorEastAsia"/>
          <w:sz w:val="32"/>
          <w:szCs w:val="32"/>
        </w:rPr>
      </w:pPr>
      <w:r>
        <w:rPr>
          <w:rFonts w:cs="仿宋_GB2312" w:asciiTheme="minorEastAsia" w:hAnsiTheme="minorEastAsia"/>
          <w:kern w:val="0"/>
          <w:sz w:val="32"/>
          <w:szCs w:val="32"/>
        </w:rPr>
        <w:t>乙方：</w:t>
      </w:r>
      <w:r>
        <w:rPr>
          <w:rFonts w:cs="仿宋_GB2312" w:asciiTheme="minorEastAsia" w:hAnsiTheme="minorEastAsia"/>
          <w:sz w:val="32"/>
          <w:szCs w:val="32"/>
        </w:rPr>
        <w:t xml:space="preserve"> </w:t>
      </w:r>
    </w:p>
    <w:p>
      <w:pPr>
        <w:widowControl/>
        <w:adjustRightInd w:val="0"/>
        <w:snapToGrid w:val="0"/>
        <w:spacing w:line="360" w:lineRule="auto"/>
        <w:ind w:right="640"/>
        <w:rPr>
          <w:rFonts w:cs="宋体" w:asciiTheme="minorEastAsia" w:hAnsiTheme="minorEastAsia"/>
          <w:kern w:val="0"/>
          <w:sz w:val="32"/>
          <w:szCs w:val="32"/>
        </w:rPr>
      </w:pPr>
      <w:r>
        <w:rPr>
          <w:rFonts w:cs="宋体" w:asciiTheme="minorEastAsia" w:hAnsiTheme="minorEastAsia"/>
          <w:kern w:val="0"/>
          <w:sz w:val="32"/>
          <w:szCs w:val="32"/>
        </w:rPr>
        <w:t>地址：</w:t>
      </w:r>
    </w:p>
    <w:p>
      <w:pPr>
        <w:snapToGrid w:val="0"/>
        <w:spacing w:line="360" w:lineRule="auto"/>
        <w:rPr>
          <w:rFonts w:asciiTheme="minorEastAsia" w:hAnsiTheme="minorEastAsia"/>
          <w:sz w:val="32"/>
          <w:szCs w:val="32"/>
        </w:rPr>
      </w:pPr>
    </w:p>
    <w:p>
      <w:pPr>
        <w:snapToGrid w:val="0"/>
        <w:spacing w:line="360" w:lineRule="auto"/>
        <w:rPr>
          <w:rFonts w:cs="Arial" w:asciiTheme="minorEastAsia" w:hAnsiTheme="minorEastAsia"/>
          <w:sz w:val="32"/>
          <w:szCs w:val="32"/>
        </w:rPr>
      </w:pPr>
      <w:r>
        <w:rPr>
          <w:rFonts w:hint="eastAsia" w:cs="Arial" w:asciiTheme="minorEastAsia" w:hAnsiTheme="minorEastAsia"/>
          <w:sz w:val="32"/>
          <w:szCs w:val="32"/>
        </w:rPr>
        <w:t>鉴于：</w:t>
      </w:r>
    </w:p>
    <w:p>
      <w:pPr>
        <w:snapToGrid w:val="0"/>
        <w:spacing w:line="360" w:lineRule="auto"/>
        <w:rPr>
          <w:rFonts w:asciiTheme="minorEastAsia" w:hAnsiTheme="minorEastAsia"/>
          <w:sz w:val="32"/>
          <w:szCs w:val="32"/>
        </w:rPr>
      </w:pPr>
      <w:r>
        <w:rPr>
          <w:rFonts w:hint="eastAsia" w:asciiTheme="minorEastAsia" w:hAnsiTheme="minorEastAsia"/>
          <w:sz w:val="32"/>
          <w:szCs w:val="32"/>
        </w:rPr>
        <w:t xml:space="preserve">    本合同双方当事人（1）均为依照中华人民共和国法律成立并有效存续的独立法人，（2）并且已经获得签署本合同的相应授权，（3）具备履行本合同所必须的资质和条件。 </w:t>
      </w:r>
    </w:p>
    <w:p>
      <w:pPr>
        <w:snapToGrid w:val="0"/>
        <w:spacing w:line="360" w:lineRule="auto"/>
        <w:ind w:firstLine="627" w:firstLineChars="196"/>
        <w:rPr>
          <w:rFonts w:cs="Arial" w:asciiTheme="minorEastAsia" w:hAnsiTheme="minorEastAsia"/>
          <w:sz w:val="32"/>
          <w:szCs w:val="32"/>
        </w:rPr>
      </w:pPr>
      <w:r>
        <w:rPr>
          <w:rFonts w:hint="eastAsia" w:cs="宋体" w:asciiTheme="minorEastAsia" w:hAnsiTheme="minorEastAsia"/>
          <w:bCs/>
          <w:sz w:val="32"/>
          <w:szCs w:val="32"/>
        </w:rPr>
        <w:t>为保障双方的合法权益，根据《中华人民共和国民法典》及相关法律法规的规定,</w:t>
      </w:r>
      <w:r>
        <w:rPr>
          <w:rFonts w:hint="eastAsia" w:cs="Arial" w:asciiTheme="minorEastAsia" w:hAnsiTheme="minorEastAsia"/>
          <w:sz w:val="32"/>
          <w:szCs w:val="32"/>
        </w:rPr>
        <w:t xml:space="preserve"> 甲、乙双方在平等互利、协商一致的基础上，达成协议如下，以资共同遵照执行。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b/>
          <w:bCs/>
          <w:sz w:val="32"/>
          <w:szCs w:val="32"/>
          <w:lang w:val="zh-CN"/>
        </w:rPr>
        <w:t xml:space="preserve"> </w:t>
      </w:r>
      <w:r>
        <w:rPr>
          <w:rFonts w:hint="eastAsia" w:cs="楷体_GB2312" w:asciiTheme="minorEastAsia" w:hAnsiTheme="minorEastAsia"/>
          <w:sz w:val="32"/>
          <w:szCs w:val="32"/>
          <w:lang w:val="zh-CN"/>
        </w:rPr>
        <w:t>第一条 服务内容及要求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双方约定乙方向甲方提供宣传活动的设计、宣传活动推广等服务。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1</w:t>
      </w:r>
      <w:r>
        <w:rPr>
          <w:rFonts w:hint="eastAsia" w:cs="楷体_GB2312" w:asciiTheme="minorEastAsia" w:hAnsiTheme="minorEastAsia"/>
          <w:sz w:val="32"/>
          <w:szCs w:val="32"/>
        </w:rPr>
        <w:t>.经双方约定，</w:t>
      </w:r>
      <w:r>
        <w:rPr>
          <w:rFonts w:hint="eastAsia" w:cs="楷体_GB2312" w:asciiTheme="minorEastAsia" w:hAnsiTheme="minorEastAsia"/>
          <w:sz w:val="32"/>
          <w:szCs w:val="32"/>
          <w:lang w:val="zh-CN"/>
        </w:rPr>
        <w:t>本合同由乙方向甲方所辖的分支机构提供</w:t>
      </w:r>
      <w:r>
        <w:rPr>
          <w:rFonts w:hint="eastAsia" w:cs="楷体_GB2312" w:asciiTheme="minorEastAsia" w:hAnsiTheme="minorEastAsia"/>
          <w:sz w:val="32"/>
          <w:szCs w:val="32"/>
        </w:rPr>
        <w:t>宣传</w:t>
      </w:r>
      <w:r>
        <w:rPr>
          <w:rFonts w:hint="eastAsia" w:cs="楷体_GB2312" w:asciiTheme="minorEastAsia" w:hAnsiTheme="minorEastAsia"/>
          <w:sz w:val="32"/>
          <w:szCs w:val="32"/>
          <w:lang w:val="zh-CN"/>
        </w:rPr>
        <w:t>推广服务，</w:t>
      </w:r>
      <w:r>
        <w:rPr>
          <w:rFonts w:hint="eastAsia" w:cs="楷体_GB2312" w:asciiTheme="minorEastAsia" w:hAnsiTheme="minorEastAsia"/>
          <w:sz w:val="32"/>
          <w:szCs w:val="32"/>
        </w:rPr>
        <w:t>具体服务内容包括但不限于：轮播大图宣传、首页弹窗宣传、短视频宣传。</w:t>
      </w:r>
      <w:r>
        <w:rPr>
          <w:rFonts w:hint="eastAsia" w:cs="楷体_GB2312" w:asciiTheme="minorEastAsia" w:hAnsiTheme="minorEastAsia"/>
          <w:sz w:val="32"/>
          <w:szCs w:val="32"/>
          <w:lang w:val="zh-CN"/>
        </w:rPr>
        <w:t>具体宣传推广需求由甲方所辖分支机构确定后发送乙方。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本合同项下双方约定的服务内容、服务标准如下：</w:t>
      </w:r>
    </w:p>
    <w:p>
      <w:pPr>
        <w:ind w:firstLine="562" w:firstLineChars="20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b/>
          <w:kern w:val="0"/>
          <w:sz w:val="28"/>
          <w:szCs w:val="28"/>
          <w:shd w:val="clear" w:color="auto" w:fill="FFFFFF"/>
          <w:lang w:bidi="ar"/>
        </w:rPr>
        <w:t>（一）服务内容</w:t>
      </w:r>
    </w:p>
    <w:p>
      <w:pPr>
        <w:snapToGrid w:val="0"/>
        <w:spacing w:line="360" w:lineRule="auto"/>
        <w:rPr>
          <w:rFonts w:cs="楷体_GB2312" w:asciiTheme="minorEastAsia" w:hAnsiTheme="minorEastAsia"/>
          <w:sz w:val="32"/>
          <w:szCs w:val="32"/>
        </w:rPr>
      </w:pPr>
      <w:r>
        <w:rPr>
          <w:rFonts w:ascii="方正仿宋_GB18030" w:hAnsi="方正仿宋_GB18030" w:eastAsia="方正仿宋_GB18030" w:cs="方正仿宋_GB18030"/>
          <w:sz w:val="28"/>
          <w:szCs w:val="28"/>
        </w:rPr>
        <w:t xml:space="preserve">  </w:t>
      </w:r>
      <w:r>
        <w:rPr>
          <w:rFonts w:cs="楷体_GB2312" w:asciiTheme="minorEastAsia" w:hAnsiTheme="minorEastAsia"/>
          <w:sz w:val="32"/>
          <w:szCs w:val="32"/>
        </w:rPr>
        <w:t xml:space="preserve"> </w:t>
      </w:r>
      <w:r>
        <w:rPr>
          <w:rFonts w:hint="eastAsia" w:cs="楷体_GB2312" w:asciiTheme="minorEastAsia" w:hAnsiTheme="minorEastAsia"/>
          <w:sz w:val="32"/>
          <w:szCs w:val="32"/>
        </w:rPr>
        <w:t>1.</w:t>
      </w:r>
      <w:r>
        <w:rPr>
          <w:rFonts w:cs="楷体_GB2312" w:asciiTheme="minorEastAsia" w:hAnsiTheme="minorEastAsia"/>
          <w:sz w:val="32"/>
          <w:szCs w:val="32"/>
        </w:rPr>
        <w:t xml:space="preserve">轮播大图宣传：在服务商网站专区首页顶部配置静态或动态大图，按我司要求排期，自动循环播放，用于同时突出车险、非车险核心卖点及活动权益，点击可直达产品详情或投保入口，也可根据推广需要体现我司销售联系方式。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2.</w:t>
      </w:r>
      <w:r>
        <w:rPr>
          <w:rFonts w:cs="楷体_GB2312" w:asciiTheme="minorEastAsia" w:hAnsiTheme="minorEastAsia"/>
          <w:sz w:val="32"/>
          <w:szCs w:val="32"/>
        </w:rPr>
        <w:t xml:space="preserve">首页弹窗宣传：访客进入网站时立即触发的居中浮层，支持定时、地域、时段过滤，一次性展示我司当期主视觉、主标语和跳转按钮，确保重点活动全面触达。  </w:t>
      </w:r>
    </w:p>
    <w:p>
      <w:pPr>
        <w:snapToGrid w:val="0"/>
        <w:spacing w:line="360" w:lineRule="auto"/>
        <w:ind w:firstLine="640" w:firstLineChars="200"/>
        <w:rPr>
          <w:rFonts w:cs="楷体_GB2312" w:asciiTheme="minorEastAsia" w:hAnsiTheme="minorEastAsia"/>
          <w:sz w:val="32"/>
          <w:szCs w:val="32"/>
        </w:rPr>
      </w:pPr>
      <w:r>
        <w:rPr>
          <w:rFonts w:hint="eastAsia" w:cs="楷体_GB2312" w:asciiTheme="minorEastAsia" w:hAnsiTheme="minorEastAsia"/>
          <w:sz w:val="32"/>
          <w:szCs w:val="32"/>
        </w:rPr>
        <w:t>3.</w:t>
      </w:r>
      <w:r>
        <w:rPr>
          <w:rFonts w:cs="楷体_GB2312" w:asciiTheme="minorEastAsia" w:hAnsiTheme="minorEastAsia"/>
          <w:sz w:val="32"/>
          <w:szCs w:val="32"/>
        </w:rPr>
        <w:t>短视频</w:t>
      </w:r>
      <w:r>
        <w:rPr>
          <w:rFonts w:hint="eastAsia" w:cs="楷体_GB2312" w:asciiTheme="minorEastAsia" w:hAnsiTheme="minorEastAsia"/>
          <w:sz w:val="32"/>
          <w:szCs w:val="32"/>
        </w:rPr>
        <w:t>宣传</w:t>
      </w:r>
      <w:r>
        <w:rPr>
          <w:rFonts w:cs="楷体_GB2312" w:asciiTheme="minorEastAsia" w:hAnsiTheme="minorEastAsia"/>
          <w:sz w:val="32"/>
          <w:szCs w:val="32"/>
        </w:rPr>
        <w:t xml:space="preserve">：在宣传专区以竖/横版短视频形式呈现，可演绎用车、出行、健康等多场景风险及对应保障，支持自动播放、静音播放、点击放大等。支持跳转联系我司销售投保。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lang w:val="zh-CN"/>
        </w:rPr>
        <w:t>（</w:t>
      </w:r>
      <w:r>
        <w:rPr>
          <w:rFonts w:hint="eastAsia" w:cs="楷体_GB2312" w:asciiTheme="minorEastAsia" w:hAnsiTheme="minorEastAsia"/>
          <w:sz w:val="32"/>
          <w:szCs w:val="32"/>
        </w:rPr>
        <w:t>二）服务标准</w:t>
      </w:r>
      <w:r>
        <w:rPr>
          <w:rFonts w:cs="楷体_GB2312" w:asciiTheme="minorEastAsia" w:hAnsiTheme="minorEastAsia"/>
          <w:sz w:val="32"/>
          <w:szCs w:val="32"/>
          <w:lang w:val="zh-CN"/>
        </w:rPr>
        <w:t xml:space="preserve"> </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1.</w:t>
      </w:r>
      <w:r>
        <w:rPr>
          <w:rFonts w:cs="楷体_GB2312" w:asciiTheme="minorEastAsia" w:hAnsiTheme="minorEastAsia"/>
          <w:sz w:val="32"/>
          <w:szCs w:val="32"/>
          <w:lang w:val="zh-CN"/>
        </w:rPr>
        <w:t>运营：所有组件快速上线、故障及时恢复、数据报表推送，我司可随时要求替换素材、调整顺序或下线等。</w:t>
      </w:r>
    </w:p>
    <w:p>
      <w:pPr>
        <w:snapToGrid w:val="0"/>
        <w:spacing w:line="360" w:lineRule="auto"/>
        <w:ind w:firstLine="640"/>
        <w:rPr>
          <w:rFonts w:cs="楷体_GB2312" w:asciiTheme="minorEastAsia" w:hAnsiTheme="minorEastAsia"/>
          <w:sz w:val="32"/>
          <w:szCs w:val="32"/>
          <w:lang w:val="zh-CN"/>
        </w:rPr>
      </w:pPr>
      <w:r>
        <w:rPr>
          <w:rFonts w:hint="eastAsia" w:cs="楷体_GB2312" w:asciiTheme="minorEastAsia" w:hAnsiTheme="minorEastAsia"/>
          <w:sz w:val="32"/>
          <w:szCs w:val="32"/>
        </w:rPr>
        <w:t>2.</w:t>
      </w:r>
      <w:r>
        <w:rPr>
          <w:rFonts w:hint="eastAsia" w:cs="楷体_GB2312" w:asciiTheme="minorEastAsia" w:hAnsiTheme="minorEastAsia"/>
          <w:sz w:val="32"/>
          <w:szCs w:val="32"/>
          <w:lang w:val="zh-CN"/>
        </w:rPr>
        <w:t xml:space="preserve">合同期限：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年</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 xml:space="preserve">年 </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月</w:t>
      </w:r>
      <w:r>
        <w:rPr>
          <w:rFonts w:hint="eastAsia" w:cs="楷体_GB2312" w:asciiTheme="minorEastAsia" w:hAnsiTheme="minorEastAsia"/>
          <w:sz w:val="32"/>
          <w:szCs w:val="32"/>
        </w:rPr>
        <w:t xml:space="preserve">  </w:t>
      </w:r>
      <w:r>
        <w:rPr>
          <w:rFonts w:hint="eastAsia" w:cs="楷体_GB2312" w:asciiTheme="minorEastAsia" w:hAnsiTheme="minorEastAsia"/>
          <w:sz w:val="32"/>
          <w:szCs w:val="32"/>
          <w:lang w:val="zh-CN"/>
        </w:rPr>
        <w:t>日；</w:t>
      </w:r>
    </w:p>
    <w:p>
      <w:pPr>
        <w:snapToGrid w:val="0"/>
        <w:spacing w:line="360" w:lineRule="auto"/>
        <w:ind w:firstLine="640" w:firstLineChars="200"/>
        <w:rPr>
          <w:rFonts w:cs="楷体_GB2312" w:asciiTheme="minorEastAsia" w:hAnsiTheme="minorEastAsia"/>
          <w:sz w:val="32"/>
          <w:szCs w:val="32"/>
          <w:lang w:val="zh-CN"/>
        </w:rPr>
      </w:pPr>
      <w:r>
        <w:rPr>
          <w:rFonts w:hint="eastAsia" w:cs="楷体_GB2312" w:asciiTheme="minorEastAsia" w:hAnsiTheme="minorEastAsia"/>
          <w:sz w:val="32"/>
          <w:szCs w:val="32"/>
        </w:rPr>
        <w:t>3.</w:t>
      </w:r>
      <w:r>
        <w:rPr>
          <w:rFonts w:hint="eastAsia" w:cs="楷体_GB2312" w:asciiTheme="minorEastAsia" w:hAnsiTheme="minorEastAsia"/>
          <w:sz w:val="32"/>
          <w:szCs w:val="32"/>
          <w:lang w:val="zh-CN"/>
        </w:rPr>
        <w:t>服务价格：每次活动策划及推广结束后，乙方必须向甲方提供本次推广盖章确认的费用结算表。本次活动推广单价为：</w:t>
      </w:r>
      <w:r>
        <w:rPr>
          <w:rFonts w:hint="eastAsia" w:cs="楷体_GB2312" w:asciiTheme="minorEastAsia" w:hAnsiTheme="minorEastAsia"/>
          <w:sz w:val="32"/>
          <w:szCs w:val="32"/>
        </w:rPr>
        <w:t>见附件</w:t>
      </w:r>
      <w:r>
        <w:rPr>
          <w:rFonts w:hint="eastAsia" w:cs="楷体_GB2312" w:asciiTheme="minorEastAsia" w:hAnsiTheme="minorEastAsia"/>
          <w:sz w:val="32"/>
          <w:szCs w:val="32"/>
          <w:lang w:val="zh-CN"/>
        </w:rPr>
        <w:t>。</w:t>
      </w:r>
      <w:r>
        <w:rPr>
          <w:rFonts w:hint="eastAsia" w:cs="楷体_GB2312" w:asciiTheme="minorEastAsia" w:hAnsiTheme="minorEastAsia"/>
          <w:sz w:val="32"/>
          <w:szCs w:val="32"/>
        </w:rPr>
        <w:t>在约定的结算周期内，</w:t>
      </w:r>
      <w:r>
        <w:rPr>
          <w:rFonts w:cs="楷体_GB2312" w:asciiTheme="minorEastAsia" w:hAnsiTheme="minorEastAsia"/>
          <w:sz w:val="32"/>
          <w:szCs w:val="32"/>
          <w:lang w:val="zh-CN"/>
        </w:rPr>
        <w:t>我司</w:t>
      </w:r>
      <w:r>
        <w:rPr>
          <w:rFonts w:hint="eastAsia" w:cs="楷体_GB2312" w:asciiTheme="minorEastAsia" w:hAnsiTheme="minorEastAsia"/>
          <w:sz w:val="32"/>
          <w:szCs w:val="32"/>
        </w:rPr>
        <w:t>根据双方核对的上一周期</w:t>
      </w:r>
      <w:r>
        <w:rPr>
          <w:rFonts w:cs="楷体_GB2312" w:asciiTheme="minorEastAsia" w:hAnsiTheme="minorEastAsia"/>
          <w:sz w:val="32"/>
          <w:szCs w:val="32"/>
          <w:lang w:val="zh-CN"/>
        </w:rPr>
        <w:t>对应的</w:t>
      </w:r>
      <w:r>
        <w:rPr>
          <w:rFonts w:hint="eastAsia" w:cs="楷体_GB2312" w:asciiTheme="minorEastAsia" w:hAnsiTheme="minorEastAsia"/>
          <w:sz w:val="32"/>
          <w:szCs w:val="32"/>
        </w:rPr>
        <w:t>实际</w:t>
      </w:r>
      <w:r>
        <w:rPr>
          <w:rFonts w:cs="楷体_GB2312" w:asciiTheme="minorEastAsia" w:hAnsiTheme="minorEastAsia"/>
          <w:sz w:val="32"/>
          <w:szCs w:val="32"/>
          <w:lang w:val="zh-CN"/>
        </w:rPr>
        <w:t>推广宣传类目</w:t>
      </w:r>
      <w:r>
        <w:rPr>
          <w:rFonts w:hint="eastAsia" w:cs="楷体_GB2312" w:asciiTheme="minorEastAsia" w:hAnsiTheme="minorEastAsia"/>
          <w:sz w:val="32"/>
          <w:szCs w:val="32"/>
        </w:rPr>
        <w:t>单价</w:t>
      </w:r>
      <w:r>
        <w:rPr>
          <w:rFonts w:cs="楷体_GB2312" w:asciiTheme="minorEastAsia" w:hAnsiTheme="minorEastAsia"/>
          <w:sz w:val="32"/>
          <w:szCs w:val="32"/>
          <w:lang w:val="zh-CN"/>
        </w:rPr>
        <w:t>*数量，所有类目汇总</w:t>
      </w:r>
      <w:r>
        <w:rPr>
          <w:rFonts w:hint="eastAsia" w:cs="楷体_GB2312" w:asciiTheme="minorEastAsia" w:hAnsiTheme="minorEastAsia"/>
          <w:sz w:val="32"/>
          <w:szCs w:val="32"/>
        </w:rPr>
        <w:t>进行费用结算</w:t>
      </w:r>
      <w:r>
        <w:rPr>
          <w:rFonts w:cs="楷体_GB2312" w:asciiTheme="minorEastAsia" w:hAnsiTheme="minorEastAsia"/>
          <w:sz w:val="32"/>
          <w:szCs w:val="32"/>
          <w:lang w:val="zh-CN"/>
        </w:rPr>
        <w:t>。</w:t>
      </w:r>
    </w:p>
    <w:p>
      <w:pPr>
        <w:snapToGrid w:val="0"/>
        <w:spacing w:line="360" w:lineRule="auto"/>
        <w:ind w:firstLine="640" w:firstLineChars="200"/>
        <w:rPr>
          <w:rFonts w:cs="楷体_GB2312" w:asciiTheme="minorEastAsia" w:hAnsiTheme="minorEastAsia"/>
          <w:sz w:val="32"/>
          <w:szCs w:val="32"/>
          <w:lang w:val="zh-CN"/>
        </w:rPr>
      </w:pPr>
      <w:r>
        <w:rPr>
          <w:rFonts w:hint="eastAsia" w:asciiTheme="minorEastAsia" w:hAnsiTheme="minorEastAsia" w:cstheme="minorEastAsia"/>
          <w:bCs/>
          <w:sz w:val="32"/>
          <w:szCs w:val="32"/>
        </w:rPr>
        <w:t>服务内容、服务标准如上所述，本合同为一次签订3年期服务合同，到期不续签。若乙方无法满足甲方服务需求，甲方有权终止合同。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第二条 合同价格</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（一）本合同为单价合同，计算方式为：1.轮播大图宣传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ascii="仿宋_GB2312"/>
          <w:sz w:val="32"/>
          <w:szCs w:val="32"/>
          <w:lang w:val="en-US" w:eastAsia="zh-CN"/>
        </w:rPr>
        <w:t>天</w:t>
      </w:r>
      <w:r>
        <w:rPr>
          <w:rFonts w:hint="eastAsia" w:cs="楷体_GB2312" w:asciiTheme="minorEastAsia" w:hAnsiTheme="minorEastAsia"/>
          <w:sz w:val="32"/>
          <w:szCs w:val="32"/>
          <w:lang w:val="zh-CN"/>
        </w:rPr>
        <w:t>（大写：）；2.首页弹窗宣传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r>
        <w:rPr>
          <w:rFonts w:hint="eastAsia" w:cs="楷体_GB2312" w:asciiTheme="minorEastAsia" w:hAnsiTheme="minorEastAsia"/>
          <w:sz w:val="32"/>
          <w:szCs w:val="32"/>
          <w:lang w:val="en-US" w:eastAsia="zh-CN"/>
        </w:rPr>
        <w:t>3</w:t>
      </w:r>
      <w:r>
        <w:rPr>
          <w:rFonts w:hint="eastAsia" w:cs="楷体_GB2312" w:asciiTheme="minorEastAsia" w:hAnsiTheme="minorEastAsia"/>
          <w:sz w:val="32"/>
          <w:szCs w:val="32"/>
          <w:lang w:val="zh-CN"/>
        </w:rPr>
        <w:t>.短视频宣传</w:t>
      </w:r>
      <w:r>
        <w:rPr>
          <w:rFonts w:hint="eastAsia" w:cs="楷体_GB2312" w:asciiTheme="minorEastAsia" w:hAnsiTheme="minorEastAsia"/>
          <w:sz w:val="32"/>
          <w:szCs w:val="32"/>
          <w:lang w:val="en-US" w:eastAsia="zh-CN"/>
        </w:rPr>
        <w:t>为</w:t>
      </w:r>
      <w:r>
        <w:rPr>
          <w:rFonts w:hint="eastAsia" w:cs="楷体_GB2312" w:asciiTheme="minorEastAsia" w:hAnsiTheme="minorEastAsia"/>
          <w:sz w:val="32"/>
          <w:szCs w:val="32"/>
          <w:lang w:val="zh-CN"/>
        </w:rPr>
        <w:t>**元/</w:t>
      </w:r>
      <w:r>
        <w:rPr>
          <w:rFonts w:hint="eastAsia" w:cs="楷体_GB2312" w:asciiTheme="minorEastAsia" w:hAnsiTheme="minorEastAsia"/>
          <w:sz w:val="32"/>
          <w:szCs w:val="32"/>
          <w:lang w:val="en-US" w:eastAsia="zh-CN"/>
        </w:rPr>
        <w:t>天</w:t>
      </w:r>
      <w:r>
        <w:rPr>
          <w:rFonts w:hint="eastAsia" w:cs="楷体_GB2312" w:asciiTheme="minorEastAsia" w:hAnsiTheme="minorEastAsia"/>
          <w:sz w:val="32"/>
          <w:szCs w:val="32"/>
          <w:lang w:val="zh-CN"/>
        </w:rPr>
        <w:t>（大写：）；</w:t>
      </w:r>
    </w:p>
    <w:p>
      <w:pPr>
        <w:snapToGrid w:val="0"/>
        <w:spacing w:line="360" w:lineRule="auto"/>
        <w:rPr>
          <w:rFonts w:cs="楷体_GB2312" w:asciiTheme="minorEastAsia" w:hAnsiTheme="minorEastAsia"/>
          <w:sz w:val="32"/>
          <w:szCs w:val="32"/>
        </w:rPr>
      </w:pPr>
      <w:r>
        <w:rPr>
          <w:rFonts w:hint="eastAsia" w:cs="楷体_GB2312" w:asciiTheme="minorEastAsia" w:hAnsiTheme="minorEastAsia"/>
          <w:sz w:val="32"/>
          <w:szCs w:val="32"/>
          <w:lang w:val="zh-CN"/>
        </w:rPr>
        <w:t xml:space="preserve">    </w:t>
      </w:r>
      <w:r>
        <w:rPr>
          <w:rFonts w:hint="eastAsia" w:cs="楷体_GB2312" w:asciiTheme="minorEastAsia" w:hAnsiTheme="minorEastAsia"/>
          <w:sz w:val="32"/>
          <w:szCs w:val="32"/>
        </w:rPr>
        <w:t>合同单价见附件</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（二）乙方因提供本合同项下服务所发生的一切费用和税费，已包括在前款约定的费用当中；除双方另有书面约定外，甲方不再就乙方提供本合同项下的服务向乙方另行支付任何其它费用。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第三条 付款安排</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本合同使用货币种类为人民币。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甲方按照验收标准进行验收，经验收合格，且收到乙方提供的足额有效的增值税专用发票后_______天内付款。乙方收取服务费指定账户以乙方开具的发票信息为准。</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发票相关约定：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乙方应向甲方开具增值税专用发票，甲方开票信息如下：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公司名称：_______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纳税识别号：_______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银行账号：_______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开户银行：_______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开票地址：_______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开票电话：_______</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 甲方采用转账方式付款，甲方应向乙方以下账户进行支付：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账号：</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开户行： </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乙方如需改变上述账户，应提前10日以书面通知甲方。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乙方同时向甲方公司及其分支机构提供产品及服务的，双方应在合同中约定甲方的分支机构和对应的价款。乙方应分别对清单中的费用承担方开具相应金额的发票；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（六） 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（七） 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（八） 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（九） 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（十） 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第四条 双方的权利和义务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甲方的权利和义务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（1）甲方有权获得本合同项下乙方应提供的全部合格的服务；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（2）甲方有权在合同期内对乙方的产品及服务进行监督；</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（3）乙方未按照合同约定履行义务的，甲方有权采取相应的措施；</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（4）甲方应按照合同约定向乙方支付合同价款；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（5）甲方享有其它双方约定的权利、承担其它双方约定的义务。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乙方的权利和义务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（1）乙方有权获得甲方支付的合同价款；</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（2）乙方应按照合同约定向甲方提供全部合格的服务；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（3）乙方应按照合同约定履行相应的维护和保修或其他后续义务；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（4）乙方必须遵守甲方制定的各项服务标准、工作流程及各项要求；</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（5）乙方应当按照甲方提出的变更需求及时调整和完善服务内容；</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（6）乙方服务团队成员如需变更应提前两周与甲方协调并取得同意；</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（7）乙方承担由于自身或合作施工单位由于服务效果与服务设计方案偏差原因造成的损失；</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（8）乙方享有其它双方约定的权利、承担其它双方约定的义务。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第五条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禁止转让</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未经甲方事先书面同意，乙方不得将其本合同项下之全部义务或其中一部分义务转让给第三方执行。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第六条 知识产权保障及权利保证</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知识产权保障</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_______所有，_______可以不受限制地进行使用或许可第三方使用。未经_______事先书面许可，_______不得为本合同之外的任何目的、以任何形式自行使用或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（4）本合同因履行完毕、解除或不可抗力等终止之日起3日内，乙方应将甲方提供的所有信息和资料移交甲方，并且自终止之日起不得继续使用或擅自许可任何第三方使用甲方提供的所有信息和资料。</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第七条 违约责任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如果由于甲方原因延迟付款，每延迟一天，甲方应按照应付合同价款的0.05%向乙方支付违约金。</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如果乙方未按合同约定的时间、地点、内容、质量要求等提供服务，每迟延一日，应向甲方支付合同总价款的0.05%作为违约金。乙方迟延提供服务，并不免除乙方应当按照合同继续提供服务的义务。如果乙方延迟7天仍不能按照合同约定提供服务的，甲方有权解除合同。甲方有权从未付合同价款中扣除乙方延迟履行合同义务的违约金，不足部分，乙方应予以补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因违约而解除合同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（1）如乙方服务团队负责人发生变更或核心服务团队发生重大变化，乙方未能及时书面告知甲方造成服务水平下降，或变更后人员资质不符合甲方要求的，甲方有权即时解除本合同。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（2）如乙方未经甲方书面许可，以甲方名义向媒体或其他第三方进行任何商业行为的，甲方有权即时解除本合同。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（3）因乙方延迟履行合同义务或因其他违约行为导致甲方解除合同的，乙方应向甲方支付本合同价款总额20%的违约金，如违约金不足以弥补甲方损失的，超出部分由乙方继续承担赔偿责任。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如果乙方违反本合同约定的保密义务，乙方应向甲方支付相当于本合同总价款20%的违约金，甲方受到的损失超出违约金的部分，由乙方继续承担赔偿责任。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（五） 除本合同的约定外，因乙方的违约行为给甲方造成损失的，乙方应向甲方支付相当于合同服务费用总额20%的违约金，如甲方受到的损失超过违约金的，超出部分由乙方继续承担赔偿责任。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第八条 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乙方在本合同中所受领的保密信息应及时返还甲方或在甲方监督下予以销毁。乙方擅自留存备份信息，视为违反保密约定。</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无论本合同因何种原因终止，本保密条款依然有效。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第九条 不可抗力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合同一方迟延履行后发生不可抗力的，不能免除其责任。</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第十条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合同变更</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对本合同的任何变更或补充，须经甲乙双方协商一致，并另行签订书面补充协议。</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第十一条 法律适用与争议解决</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本合同的订立、效力、解释、履行和争议的解决均适用中华人民共和国法律（不包括港澳台地区法律）。</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凡因本合同引起的或与本合同有关的任何争议，双方首先应友好协商解决。协商不成的，任何一方均有权向甲方所在地人民法院起诉。</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第十二条 合同生效及其他</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（一） 本合同经甲乙双方法定代表人或授权代表签字并加盖公章后生效。</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（二） 由于法律和法规、政策而导致本合同任何条款无效或无法执行，则该条款无效，但不影响剩余其他条款的效力。</w:t>
      </w:r>
    </w:p>
    <w:p>
      <w:pPr>
        <w:snapToGrid w:val="0"/>
        <w:spacing w:line="360" w:lineRule="auto"/>
        <w:rPr>
          <w:rFonts w:cs="楷体_GB2312" w:asciiTheme="minorEastAsia" w:hAnsiTheme="minorEastAsia"/>
          <w:sz w:val="32"/>
          <w:szCs w:val="32"/>
          <w:lang w:val="zh-CN"/>
        </w:rPr>
      </w:pPr>
      <w:r>
        <w:rPr>
          <w:rFonts w:hint="eastAsia" w:cs="楷体_GB2312" w:asciiTheme="minorEastAsia" w:hAnsiTheme="minorEastAsia"/>
          <w:sz w:val="32"/>
          <w:szCs w:val="32"/>
          <w:lang w:val="zh-CN"/>
        </w:rPr>
        <w:t xml:space="preserve">   （三） 本合同一式__</w:t>
      </w:r>
      <w:r>
        <w:rPr>
          <w:rFonts w:hint="eastAsia" w:cs="楷体_GB2312" w:asciiTheme="minorEastAsia" w:hAnsiTheme="minorEastAsia"/>
          <w:sz w:val="32"/>
          <w:szCs w:val="32"/>
        </w:rPr>
        <w:t>贰</w:t>
      </w:r>
      <w:r>
        <w:rPr>
          <w:rFonts w:hint="eastAsia" w:cs="楷体_GB2312" w:asciiTheme="minorEastAsia" w:hAnsiTheme="minorEastAsia"/>
          <w:sz w:val="32"/>
          <w:szCs w:val="32"/>
          <w:lang w:val="zh-CN"/>
        </w:rPr>
        <w:t>___份，甲方执__壹__份，乙方执___壹__份，均具有同等法律效力。</w:t>
      </w:r>
    </w:p>
    <w:p>
      <w:pPr>
        <w:snapToGrid w:val="0"/>
        <w:spacing w:line="360" w:lineRule="auto"/>
        <w:ind w:firstLine="640" w:firstLineChars="200"/>
        <w:rPr>
          <w:rFonts w:asciiTheme="minorEastAsia" w:hAnsiTheme="minorEastAsia" w:cstheme="minorEastAsia"/>
          <w:bCs/>
          <w:sz w:val="32"/>
          <w:szCs w:val="32"/>
          <w:lang w:val="zh-CN"/>
        </w:rPr>
      </w:pPr>
    </w:p>
    <w:p>
      <w:pPr>
        <w:snapToGrid w:val="0"/>
        <w:spacing w:line="360" w:lineRule="auto"/>
        <w:rPr>
          <w:rFonts w:asciiTheme="minorEastAsia" w:hAnsiTheme="minorEastAsia"/>
          <w:b/>
          <w:sz w:val="32"/>
          <w:szCs w:val="32"/>
        </w:rPr>
      </w:pPr>
      <w:r>
        <w:rPr>
          <w:rFonts w:hint="eastAsia" w:cs="楷体_GB2312" w:asciiTheme="minorEastAsia" w:hAnsiTheme="minorEastAsia"/>
          <w:b/>
          <w:bCs/>
          <w:sz w:val="32"/>
          <w:szCs w:val="32"/>
          <w:lang w:val="zh-CN"/>
        </w:rPr>
        <w:t>兹证明，各方于</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rPr>
        <w:t xml:space="preserve"> </w:t>
      </w:r>
      <w:r>
        <w:rPr>
          <w:rFonts w:hint="eastAsia" w:cs="楷体_GB2312" w:asciiTheme="minorEastAsia" w:hAnsiTheme="minorEastAsia"/>
          <w:b/>
          <w:bCs/>
          <w:sz w:val="32"/>
          <w:szCs w:val="32"/>
          <w:lang w:val="zh-CN"/>
        </w:rPr>
        <w:t>年</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月</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u w:val="single"/>
        </w:rPr>
        <w:t xml:space="preserve">  </w:t>
      </w:r>
      <w:r>
        <w:rPr>
          <w:rFonts w:hint="eastAsia" w:cs="楷体_GB2312" w:asciiTheme="minorEastAsia" w:hAnsiTheme="minorEastAsia"/>
          <w:b/>
          <w:bCs/>
          <w:sz w:val="32"/>
          <w:szCs w:val="32"/>
          <w:u w:val="single"/>
          <w:lang w:val="zh-CN"/>
        </w:rPr>
        <w:t xml:space="preserve"> </w:t>
      </w:r>
      <w:r>
        <w:rPr>
          <w:rFonts w:hint="eastAsia" w:cs="楷体_GB2312" w:asciiTheme="minorEastAsia" w:hAnsiTheme="minorEastAsia"/>
          <w:b/>
          <w:bCs/>
          <w:sz w:val="32"/>
          <w:szCs w:val="32"/>
          <w:lang w:val="zh-CN"/>
        </w:rPr>
        <w:t>日签订本合同。</w:t>
      </w:r>
    </w:p>
    <w:p>
      <w:pPr>
        <w:snapToGrid w:val="0"/>
        <w:spacing w:line="360" w:lineRule="auto"/>
        <w:ind w:left="7035" w:hanging="7035" w:hangingChars="2190"/>
        <w:rPr>
          <w:rFonts w:asciiTheme="minorEastAsia" w:hAnsiTheme="minorEastAsia"/>
          <w:b/>
          <w:sz w:val="32"/>
          <w:szCs w:val="32"/>
        </w:rPr>
      </w:pPr>
    </w:p>
    <w:p>
      <w:pPr>
        <w:rPr>
          <w:rFonts w:asciiTheme="minorEastAsia" w:hAnsiTheme="minorEastAsia"/>
          <w:b/>
          <w:bCs/>
          <w:sz w:val="32"/>
          <w:szCs w:val="32"/>
        </w:rPr>
      </w:pPr>
      <w:r>
        <w:rPr>
          <w:rFonts w:hint="eastAsia" w:asciiTheme="minorEastAsia" w:hAnsiTheme="minorEastAsia"/>
          <w:b/>
          <w:sz w:val="32"/>
          <w:szCs w:val="32"/>
        </w:rPr>
        <w:t>甲方：</w:t>
      </w:r>
      <w:r>
        <w:rPr>
          <w:rFonts w:hint="eastAsia" w:asciiTheme="minorEastAsia" w:hAnsiTheme="minorEastAsia"/>
          <w:b/>
          <w:bCs/>
          <w:sz w:val="32"/>
          <w:szCs w:val="32"/>
        </w:rPr>
        <w:t xml:space="preserve">                                                  </w:t>
      </w:r>
    </w:p>
    <w:p>
      <w:pPr>
        <w:snapToGrid w:val="0"/>
        <w:spacing w:line="360" w:lineRule="auto"/>
        <w:rPr>
          <w:rFonts w:asciiTheme="minorEastAsia" w:hAnsiTheme="minorEastAsia"/>
          <w:b/>
          <w:bCs/>
          <w:sz w:val="28"/>
          <w:szCs w:val="28"/>
        </w:rPr>
      </w:pPr>
      <w:r>
        <w:rPr>
          <w:rFonts w:hint="eastAsia" w:asciiTheme="minorEastAsia" w:hAnsiTheme="minorEastAsia"/>
          <w:b/>
          <w:bCs/>
          <w:sz w:val="32"/>
          <w:szCs w:val="32"/>
        </w:rPr>
        <w:t xml:space="preserve">法定代表人或授权代表人：   </w:t>
      </w:r>
      <w:r>
        <w:rPr>
          <w:rFonts w:hint="eastAsia" w:asciiTheme="minorEastAsia" w:hAnsiTheme="minorEastAsia"/>
          <w:b/>
          <w:bCs/>
          <w:sz w:val="28"/>
          <w:szCs w:val="28"/>
        </w:rPr>
        <w:t xml:space="preserve">     </w:t>
      </w: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spacing w:line="360" w:lineRule="auto"/>
        <w:jc w:val="left"/>
        <w:rPr>
          <w:rFonts w:asciiTheme="minorEastAsia" w:hAnsiTheme="minorEastAsia"/>
          <w:b/>
          <w:sz w:val="32"/>
          <w:szCs w:val="32"/>
        </w:rPr>
      </w:pPr>
    </w:p>
    <w:p>
      <w:pPr>
        <w:rPr>
          <w:rFonts w:cs="仿宋_GB2312" w:asciiTheme="minorEastAsia" w:hAnsiTheme="minorEastAsia"/>
          <w:b/>
          <w:bCs/>
          <w:kern w:val="0"/>
          <w:sz w:val="32"/>
          <w:szCs w:val="32"/>
        </w:rPr>
      </w:pPr>
      <w:r>
        <w:rPr>
          <w:rFonts w:hint="eastAsia" w:asciiTheme="minorEastAsia" w:hAnsiTheme="minorEastAsia"/>
          <w:b/>
          <w:bCs/>
          <w:sz w:val="32"/>
          <w:szCs w:val="32"/>
        </w:rPr>
        <w:t>乙方：</w:t>
      </w:r>
      <w:r>
        <w:rPr>
          <w:rFonts w:cs="仿宋_GB2312" w:asciiTheme="minorEastAsia" w:hAnsiTheme="minorEastAsia"/>
          <w:b/>
          <w:bCs/>
          <w:sz w:val="32"/>
          <w:szCs w:val="32"/>
        </w:rPr>
        <w:t xml:space="preserve"> </w:t>
      </w:r>
    </w:p>
    <w:p>
      <w:pPr>
        <w:snapToGrid w:val="0"/>
        <w:spacing w:line="360" w:lineRule="auto"/>
        <w:rPr>
          <w:rFonts w:asciiTheme="minorEastAsia" w:hAnsiTheme="minorEastAsia"/>
          <w:b/>
          <w:bCs/>
          <w:sz w:val="32"/>
          <w:szCs w:val="32"/>
        </w:rPr>
      </w:pPr>
      <w:r>
        <w:rPr>
          <w:rFonts w:hint="eastAsia" w:asciiTheme="minorEastAsia" w:hAnsiTheme="minorEastAsia"/>
          <w:b/>
          <w:bCs/>
          <w:sz w:val="32"/>
          <w:szCs w:val="32"/>
        </w:rPr>
        <w:t>法定代表人或授权代表人：</w:t>
      </w:r>
    </w:p>
    <w:p/>
    <w:p>
      <w:pPr>
        <w:spacing w:line="360" w:lineRule="auto"/>
        <w:rPr>
          <w:rFonts w:asciiTheme="minorEastAsia" w:hAnsiTheme="minorEastAsia"/>
          <w:b/>
          <w:bCs/>
          <w:sz w:val="28"/>
          <w:szCs w:val="28"/>
        </w:rPr>
      </w:pPr>
    </w:p>
    <w:p>
      <w:pPr>
        <w:spacing w:line="360" w:lineRule="auto"/>
        <w:rPr>
          <w:rFonts w:asciiTheme="minorEastAsia" w:hAnsiTheme="minorEastAsia"/>
          <w:sz w:val="28"/>
          <w:szCs w:val="28"/>
        </w:rPr>
      </w:pPr>
    </w:p>
    <w:p>
      <w:pPr>
        <w:spacing w:line="360" w:lineRule="auto"/>
        <w:rPr>
          <w:rFonts w:asciiTheme="minorEastAsia" w:hAnsiTheme="minorEastAsia"/>
          <w:sz w:val="28"/>
          <w:szCs w:val="28"/>
        </w:rPr>
      </w:pPr>
    </w:p>
    <w:p>
      <w:pPr>
        <w:rPr>
          <w:rFonts w:asciiTheme="majorEastAsia" w:hAnsiTheme="majorEastAsia" w:eastAsiaTheme="majorEastAsia" w:cstheme="majorEastAsia"/>
          <w:sz w:val="32"/>
          <w:szCs w:val="32"/>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9"/>
        <w:rPr>
          <w:rFonts w:hint="eastAsia"/>
        </w:rPr>
      </w:pPr>
    </w:p>
    <w:p>
      <w:pPr>
        <w:pStyle w:val="124"/>
      </w:pPr>
    </w:p>
    <w:p>
      <w:pPr>
        <w:jc w:val="left"/>
        <w:rPr>
          <w:rFonts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合同附件</w:t>
      </w:r>
    </w:p>
    <w:p>
      <w:pPr>
        <w:jc w:val="center"/>
        <w:rPr>
          <w:b/>
          <w:bCs/>
          <w:sz w:val="40"/>
          <w:szCs w:val="40"/>
        </w:rPr>
      </w:pPr>
      <w:r>
        <w:rPr>
          <w:rFonts w:hint="eastAsia"/>
          <w:b/>
          <w:bCs/>
          <w:sz w:val="40"/>
          <w:szCs w:val="40"/>
        </w:rPr>
        <w:t>服务项目内容及单价</w:t>
      </w:r>
    </w:p>
    <w:p>
      <w:pPr>
        <w:pStyle w:val="124"/>
      </w:pP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321"/>
        <w:gridCol w:w="2228"/>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序号</w:t>
            </w:r>
          </w:p>
        </w:tc>
        <w:tc>
          <w:tcPr>
            <w:tcW w:w="2321"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宣传推广类目</w:t>
            </w:r>
          </w:p>
        </w:tc>
        <w:tc>
          <w:tcPr>
            <w:tcW w:w="222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含税单价</w:t>
            </w:r>
          </w:p>
        </w:tc>
        <w:tc>
          <w:tcPr>
            <w:tcW w:w="1708" w:type="dxa"/>
            <w:vAlign w:val="center"/>
          </w:tcPr>
          <w:p>
            <w:pPr>
              <w:spacing w:line="192" w:lineRule="auto"/>
              <w:jc w:val="center"/>
              <w:rPr>
                <w:rFonts w:ascii="仿宋_GB2312" w:hAnsi="仿宋_GB2312" w:eastAsia="仿宋_GB2312" w:cs="仿宋_GB2312"/>
                <w:b/>
                <w:bCs/>
                <w:spacing w:val="3"/>
                <w:sz w:val="32"/>
                <w:szCs w:val="32"/>
              </w:rPr>
            </w:pPr>
            <w:r>
              <w:rPr>
                <w:rFonts w:hint="eastAsia" w:ascii="仿宋_GB2312" w:hAnsi="仿宋_GB2312" w:eastAsia="仿宋_GB2312" w:cs="仿宋_GB2312"/>
                <w:b/>
                <w:bCs/>
                <w:spacing w:val="3"/>
                <w:sz w:val="32"/>
                <w:szCs w:val="32"/>
              </w:rPr>
              <w:t>计价单位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1</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轮播大图宣传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2</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首页弹窗宣传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962"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3</w:t>
            </w:r>
          </w:p>
        </w:tc>
        <w:tc>
          <w:tcPr>
            <w:tcW w:w="2321" w:type="dxa"/>
            <w:vAlign w:val="center"/>
          </w:tcPr>
          <w:p>
            <w:pPr>
              <w:widowControl/>
              <w:spacing w:line="192" w:lineRule="auto"/>
              <w:jc w:val="center"/>
              <w:rPr>
                <w:rFonts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短视频宣传</w:t>
            </w:r>
          </w:p>
        </w:tc>
        <w:tc>
          <w:tcPr>
            <w:tcW w:w="2228" w:type="dxa"/>
            <w:vAlign w:val="center"/>
          </w:tcPr>
          <w:p>
            <w:pPr>
              <w:widowControl/>
              <w:spacing w:line="192" w:lineRule="auto"/>
              <w:jc w:val="center"/>
              <w:rPr>
                <w:rFonts w:ascii="仿宋_GB2312" w:hAnsi="仿宋_GB2312" w:eastAsia="仿宋_GB2312" w:cs="仿宋_GB2312"/>
                <w:spacing w:val="3"/>
                <w:sz w:val="32"/>
                <w:szCs w:val="32"/>
                <w:highlight w:val="yellow"/>
              </w:rPr>
            </w:pPr>
          </w:p>
        </w:tc>
        <w:tc>
          <w:tcPr>
            <w:tcW w:w="1708" w:type="dxa"/>
            <w:vAlign w:val="center"/>
          </w:tcPr>
          <w:p>
            <w:pPr>
              <w:widowControl/>
              <w:jc w:val="center"/>
              <w:rPr>
                <w:rFonts w:ascii="仿宋_GB2312" w:hAnsi="仿宋_GB2312" w:eastAsia="仿宋_GB2312" w:cs="仿宋_GB2312"/>
                <w:spacing w:val="3"/>
                <w:sz w:val="32"/>
                <w:szCs w:val="32"/>
              </w:rPr>
            </w:pPr>
            <w:r>
              <w:rPr>
                <w:rFonts w:hint="eastAsia" w:ascii="仿宋_GB2312" w:hAnsi="仿宋_GB2312" w:eastAsia="仿宋_GB2312" w:cs="仿宋_GB2312"/>
                <w:kern w:val="0"/>
                <w:sz w:val="32"/>
                <w:szCs w:val="32"/>
                <w:shd w:val="clear" w:color="auto" w:fill="FFFFFF"/>
                <w:lang w:bidi="ar"/>
              </w:rPr>
              <w:t>元/条</w:t>
            </w:r>
          </w:p>
        </w:tc>
      </w:tr>
    </w:tbl>
    <w:p/>
    <w:p>
      <w:pPr>
        <w:pStyle w:val="19"/>
      </w:pPr>
    </w:p>
    <w:p>
      <w:pPr>
        <w:pStyle w:val="19"/>
        <w:jc w:val="both"/>
        <w:rPr>
          <w:rFonts w:hint="eastAsia"/>
        </w:rPr>
        <w:sectPr>
          <w:footerReference r:id="rId10" w:type="default"/>
          <w:pgSz w:w="11906" w:h="16838"/>
          <w:pgMar w:top="1417" w:right="1134" w:bottom="1134" w:left="1134" w:header="851" w:footer="992" w:gutter="0"/>
          <w:cols w:space="720" w:num="1"/>
          <w:titlePg/>
          <w:docGrid w:type="lines" w:linePitch="312" w:charSpace="0"/>
        </w:sectPr>
      </w:pPr>
    </w:p>
    <w:bookmarkEnd w:id="153"/>
    <w:bookmarkEnd w:id="154"/>
    <w:p>
      <w:pPr>
        <w:pStyle w:val="4"/>
        <w:spacing w:before="0" w:after="0" w:line="360" w:lineRule="auto"/>
        <w:jc w:val="center"/>
        <w:rPr>
          <w:rFonts w:ascii="仿宋" w:hAnsi="仿宋" w:eastAsia="仿宋" w:cs="仿宋"/>
          <w:color w:val="FF0000"/>
        </w:rPr>
      </w:pPr>
      <w:bookmarkStart w:id="179" w:name="_Toc24143"/>
      <w:bookmarkStart w:id="180" w:name="_Toc24217"/>
      <w:bookmarkStart w:id="181" w:name="_Toc16424"/>
      <w:bookmarkStart w:id="182" w:name="_Toc28349"/>
      <w:bookmarkStart w:id="183" w:name="_Toc444891347"/>
      <w:bookmarkStart w:id="184" w:name="_Toc26092"/>
      <w:bookmarkStart w:id="185" w:name="_Toc517281828"/>
      <w:bookmarkStart w:id="186" w:name="_Toc13299"/>
      <w:bookmarkStart w:id="187" w:name="_Toc120625375"/>
      <w:bookmarkStart w:id="188" w:name="_Toc100672415"/>
      <w:r>
        <w:rPr>
          <w:rFonts w:hint="eastAsia" w:ascii="仿宋" w:hAnsi="仿宋" w:eastAsia="仿宋" w:cs="仿宋"/>
          <w:color w:val="FF0000"/>
          <w:sz w:val="28"/>
          <w:szCs w:val="28"/>
        </w:rPr>
        <w:t xml:space="preserve">第五章 </w:t>
      </w:r>
      <w:bookmarkEnd w:id="179"/>
      <w:bookmarkEnd w:id="180"/>
      <w:bookmarkEnd w:id="181"/>
      <w:bookmarkEnd w:id="182"/>
      <w:bookmarkEnd w:id="183"/>
      <w:r>
        <w:rPr>
          <w:rFonts w:hint="eastAsia" w:ascii="仿宋" w:hAnsi="仿宋" w:eastAsia="仿宋" w:cs="仿宋"/>
          <w:color w:val="FF0000"/>
          <w:sz w:val="28"/>
          <w:szCs w:val="28"/>
        </w:rPr>
        <w:t>采购需求</w:t>
      </w:r>
      <w:bookmarkEnd w:id="184"/>
      <w:bookmarkEnd w:id="185"/>
      <w:bookmarkEnd w:id="186"/>
      <w:bookmarkEnd w:id="187"/>
      <w:bookmarkEnd w:id="188"/>
    </w:p>
    <w:p>
      <w:bookmarkStart w:id="189" w:name="_Toc444891352"/>
      <w:bookmarkStart w:id="190" w:name="_Toc21125"/>
      <w:bookmarkStart w:id="191" w:name="_Toc11206"/>
      <w:bookmarkStart w:id="192" w:name="_Toc517281835"/>
      <w:bookmarkStart w:id="193" w:name="_Toc287600128"/>
      <w:bookmarkStart w:id="194" w:name="_Toc10693"/>
      <w:bookmarkStart w:id="195" w:name="_Toc17141"/>
    </w:p>
    <w:p/>
    <w:p/>
    <w:p>
      <w:pPr>
        <w:spacing w:line="560" w:lineRule="exact"/>
        <w:ind w:firstLine="562" w:firstLineChars="200"/>
        <w:rPr>
          <w:rFonts w:hint="eastAsia" w:ascii="仿宋" w:hAnsi="仿宋" w:eastAsia="仿宋"/>
          <w:b/>
          <w:sz w:val="28"/>
        </w:rPr>
      </w:pPr>
      <w:r>
        <w:rPr>
          <w:rFonts w:hint="eastAsia" w:ascii="仿宋" w:hAnsi="仿宋" w:eastAsia="仿宋"/>
          <w:b/>
          <w:sz w:val="28"/>
        </w:rPr>
        <w:t>（一）采购项目概况及需求</w:t>
      </w:r>
    </w:p>
    <w:p>
      <w:pPr>
        <w:spacing w:line="560" w:lineRule="exact"/>
        <w:ind w:firstLine="560" w:firstLineChars="200"/>
        <w:rPr>
          <w:rFonts w:hint="eastAsia" w:ascii="仿宋" w:hAnsi="仿宋" w:eastAsia="仿宋"/>
          <w:sz w:val="28"/>
        </w:rPr>
      </w:pPr>
      <w:r>
        <w:rPr>
          <w:rFonts w:hint="eastAsia" w:ascii="仿宋" w:hAnsi="仿宋" w:eastAsia="仿宋"/>
          <w:sz w:val="28"/>
        </w:rPr>
        <w:t>项目名称：人保财险贵州毕节分公司</w:t>
      </w:r>
      <w:r>
        <w:rPr>
          <w:rFonts w:hint="eastAsia" w:ascii="仿宋" w:hAnsi="仿宋" w:eastAsia="仿宋"/>
          <w:sz w:val="28"/>
          <w:lang w:eastAsia="zh-CN"/>
        </w:rPr>
        <w:t>2026</w:t>
      </w:r>
      <w:r>
        <w:rPr>
          <w:rFonts w:hint="eastAsia" w:ascii="仿宋" w:hAnsi="仿宋" w:eastAsia="仿宋"/>
          <w:sz w:val="28"/>
        </w:rPr>
        <w:t>年宣传推广服务供应商入库采购项目。</w:t>
      </w:r>
    </w:p>
    <w:p>
      <w:pPr>
        <w:spacing w:line="560" w:lineRule="exact"/>
        <w:ind w:firstLine="562" w:firstLineChars="200"/>
        <w:rPr>
          <w:rFonts w:hint="eastAsia" w:ascii="仿宋" w:hAnsi="仿宋" w:eastAsia="仿宋"/>
          <w:b/>
          <w:sz w:val="28"/>
        </w:rPr>
      </w:pPr>
      <w:r>
        <w:rPr>
          <w:rFonts w:hint="eastAsia" w:ascii="仿宋" w:hAnsi="仿宋" w:eastAsia="仿宋"/>
          <w:b/>
          <w:sz w:val="28"/>
        </w:rPr>
        <w:t>采购需求：</w:t>
      </w:r>
    </w:p>
    <w:p>
      <w:pPr>
        <w:spacing w:line="560" w:lineRule="exact"/>
        <w:ind w:firstLine="560" w:firstLineChars="200"/>
        <w:rPr>
          <w:rFonts w:hint="eastAsia" w:ascii="仿宋" w:hAnsi="仿宋" w:eastAsia="仿宋"/>
          <w:sz w:val="28"/>
        </w:rPr>
      </w:pPr>
      <w:r>
        <w:rPr>
          <w:rFonts w:hint="eastAsia" w:ascii="仿宋" w:hAnsi="仿宋" w:eastAsia="仿宋"/>
          <w:sz w:val="28"/>
        </w:rPr>
        <w:t>（1）服务内容：</w:t>
      </w:r>
    </w:p>
    <w:p>
      <w:pPr>
        <w:spacing w:line="560" w:lineRule="exact"/>
        <w:ind w:firstLine="560" w:firstLineChars="200"/>
        <w:rPr>
          <w:rFonts w:hint="eastAsia" w:ascii="仿宋" w:hAnsi="仿宋" w:eastAsia="仿宋"/>
          <w:sz w:val="28"/>
        </w:rPr>
      </w:pPr>
      <w:r>
        <w:rPr>
          <w:rFonts w:hint="eastAsia" w:ascii="仿宋" w:hAnsi="仿宋" w:eastAsia="仿宋"/>
          <w:sz w:val="28"/>
        </w:rPr>
        <w:t>本项目选定</w:t>
      </w:r>
      <w:r>
        <w:rPr>
          <w:rFonts w:hint="eastAsia" w:ascii="仿宋" w:hAnsi="仿宋" w:eastAsia="仿宋"/>
          <w:sz w:val="28"/>
          <w:lang w:val="en-US" w:eastAsia="zh-CN"/>
        </w:rPr>
        <w:t>多</w:t>
      </w:r>
      <w:r>
        <w:rPr>
          <w:rFonts w:hint="eastAsia" w:ascii="仿宋" w:hAnsi="仿宋" w:eastAsia="仿宋"/>
          <w:sz w:val="28"/>
        </w:rPr>
        <w:t>家供应商，为我公司提供周期为</w:t>
      </w:r>
      <w:r>
        <w:rPr>
          <w:rFonts w:hint="eastAsia" w:ascii="仿宋" w:hAnsi="仿宋" w:eastAsia="仿宋"/>
          <w:sz w:val="28"/>
          <w:lang w:val="en-US" w:eastAsia="zh-CN"/>
        </w:rPr>
        <w:t>3</w:t>
      </w:r>
      <w:r>
        <w:rPr>
          <w:rFonts w:hint="eastAsia" w:ascii="仿宋" w:hAnsi="仿宋" w:eastAsia="仿宋"/>
          <w:sz w:val="28"/>
        </w:rPr>
        <w:t>年的</w:t>
      </w:r>
      <w:r>
        <w:rPr>
          <w:rFonts w:hint="eastAsia" w:ascii="仿宋" w:hAnsi="仿宋" w:eastAsia="仿宋"/>
          <w:sz w:val="28"/>
          <w:lang w:val="en-US" w:eastAsia="zh-CN"/>
        </w:rPr>
        <w:t>宣</w:t>
      </w:r>
      <w:r>
        <w:rPr>
          <w:rFonts w:hint="eastAsia" w:ascii="仿宋" w:hAnsi="仿宋" w:eastAsia="仿宋"/>
          <w:sz w:val="28"/>
        </w:rPr>
        <w:t>传推广服务，具体服务内容为轮播大图宣传、首页弹窗宣传、短视频宣传。</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1.轮播大图宣传：在服务商网站专区首页顶部配置静态或动态大图，按我司要求排期，自动循环播放，用于同时突出车险、非车险核心卖点及活动权益，点击可直达产品详情或投保入口，也可根据推广需要体现我司销售联系方式。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2.首页弹窗宣传：访客进入网站时立即触发的居中浮层，支持定时、地域、时段过滤，一次性展示我司当期主视觉、主标语和跳转按钮，确保重点活动全面触达。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3.短视频宣传：在宣传专区以竖/横版短视频形式呈现，可演绎用车、出行、健康等多场景风险及对应保障，支持自动播放、静音播放、点击放大等。支持跳转联系我司销售投保。  </w:t>
      </w:r>
    </w:p>
    <w:p>
      <w:pPr>
        <w:spacing w:line="560" w:lineRule="exact"/>
        <w:ind w:firstLine="560" w:firstLineChars="200"/>
        <w:rPr>
          <w:rFonts w:hint="eastAsia" w:ascii="仿宋" w:hAnsi="仿宋" w:eastAsia="仿宋"/>
          <w:sz w:val="28"/>
        </w:rPr>
      </w:pPr>
      <w:r>
        <w:rPr>
          <w:rFonts w:hint="eastAsia" w:ascii="仿宋" w:hAnsi="仿宋" w:eastAsia="仿宋"/>
          <w:sz w:val="28"/>
        </w:rPr>
        <w:t>4.运营：所有组件快速上线、故障及时恢复、数据报表推送，我司可随时要求替换素材、调整顺序或下线等。</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（2）服务形式  </w:t>
      </w:r>
    </w:p>
    <w:p>
      <w:pPr>
        <w:spacing w:line="560" w:lineRule="exact"/>
        <w:ind w:firstLine="560" w:firstLineChars="200"/>
        <w:rPr>
          <w:rFonts w:hint="eastAsia" w:ascii="仿宋" w:hAnsi="仿宋" w:eastAsia="仿宋"/>
          <w:sz w:val="28"/>
        </w:rPr>
      </w:pPr>
      <w:r>
        <w:rPr>
          <w:rFonts w:hint="eastAsia" w:ascii="仿宋" w:hAnsi="仿宋" w:eastAsia="仿宋"/>
          <w:sz w:val="28"/>
        </w:rPr>
        <w:t>“专区 + 组件”模式：专区为统一落地页，组件可按活动需要自由组合、叠加使用；同一页面可同时展示车险、非车险多个产品，并支持随时上下架、替换素材。</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（3）服务要求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1.移动端专享：专区及所有组件须适配移动端网站，页面加载完整且流畅。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2.快速响应：我司提交需求后，供应商即时处理并优先上线；紧急替换需求即时响应，确保内容实时更新，满足我司业务需求。  </w:t>
      </w:r>
    </w:p>
    <w:p>
      <w:pPr>
        <w:spacing w:line="560" w:lineRule="exact"/>
        <w:ind w:firstLine="560" w:firstLineChars="200"/>
        <w:rPr>
          <w:rFonts w:hint="eastAsia" w:ascii="仿宋" w:hAnsi="仿宋" w:eastAsia="仿宋"/>
          <w:sz w:val="28"/>
        </w:rPr>
      </w:pPr>
      <w:r>
        <w:rPr>
          <w:rFonts w:hint="eastAsia" w:ascii="仿宋" w:hAnsi="仿宋" w:eastAsia="仿宋"/>
          <w:sz w:val="28"/>
        </w:rPr>
        <w:t>3.数据简报：运营期内，供应商可随时向我司提供《宣传推广简报》，列明各组件版本内容、上线时段及替换记录。</w:t>
      </w:r>
    </w:p>
    <w:p>
      <w:pPr>
        <w:spacing w:line="560" w:lineRule="exact"/>
        <w:ind w:firstLine="560" w:firstLineChars="200"/>
        <w:rPr>
          <w:rFonts w:hint="eastAsia" w:ascii="仿宋" w:hAnsi="仿宋" w:eastAsia="仿宋"/>
          <w:sz w:val="28"/>
        </w:rPr>
      </w:pPr>
      <w:r>
        <w:rPr>
          <w:rFonts w:hint="eastAsia" w:ascii="仿宋" w:hAnsi="仿宋" w:eastAsia="仿宋"/>
          <w:sz w:val="28"/>
        </w:rPr>
        <w:t>4.备份存档：所有已发布素材及配置参数供应商保留不少于一年，我司可随时申请回溯或二次调用。</w:t>
      </w:r>
    </w:p>
    <w:p>
      <w:pPr>
        <w:spacing w:line="560" w:lineRule="exact"/>
        <w:ind w:firstLine="562" w:firstLineChars="200"/>
        <w:rPr>
          <w:rFonts w:hint="eastAsia" w:ascii="仿宋" w:hAnsi="仿宋" w:eastAsia="仿宋"/>
          <w:b/>
          <w:sz w:val="28"/>
        </w:rPr>
      </w:pPr>
      <w:r>
        <w:rPr>
          <w:rFonts w:hint="eastAsia" w:ascii="仿宋" w:hAnsi="仿宋" w:eastAsia="仿宋"/>
          <w:b/>
          <w:sz w:val="28"/>
        </w:rPr>
        <w:t>（二）采购预算：</w:t>
      </w:r>
    </w:p>
    <w:p>
      <w:pPr>
        <w:spacing w:line="560" w:lineRule="exact"/>
        <w:ind w:firstLine="560" w:firstLineChars="200"/>
        <w:rPr>
          <w:rFonts w:ascii="仿宋" w:hAnsi="仿宋" w:eastAsia="仿宋"/>
          <w:sz w:val="28"/>
        </w:rPr>
      </w:pPr>
      <w:r>
        <w:rPr>
          <w:rFonts w:hint="eastAsia" w:ascii="仿宋" w:hAnsi="仿宋" w:eastAsia="仿宋"/>
          <w:sz w:val="28"/>
        </w:rPr>
        <w:t>按照我公司服务需求和当地市场情况，本次采购最高限价见下表：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321"/>
        <w:gridCol w:w="2228"/>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序号</w:t>
            </w:r>
          </w:p>
        </w:tc>
        <w:tc>
          <w:tcPr>
            <w:tcW w:w="2321"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宣传推广类目</w:t>
            </w:r>
          </w:p>
        </w:tc>
        <w:tc>
          <w:tcPr>
            <w:tcW w:w="2228"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含税单价限价</w:t>
            </w:r>
          </w:p>
        </w:tc>
        <w:tc>
          <w:tcPr>
            <w:tcW w:w="1708"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计价单位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1</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轮播大图宣传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6000</w:t>
            </w:r>
          </w:p>
        </w:tc>
        <w:tc>
          <w:tcPr>
            <w:tcW w:w="1708" w:type="dxa"/>
            <w:vAlign w:val="center"/>
          </w:tcPr>
          <w:p>
            <w:pPr>
              <w:widowControl/>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2</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首页弹窗宣传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8000</w:t>
            </w:r>
          </w:p>
        </w:tc>
        <w:tc>
          <w:tcPr>
            <w:tcW w:w="1708" w:type="dxa"/>
            <w:vAlign w:val="center"/>
          </w:tcPr>
          <w:p>
            <w:pPr>
              <w:widowControl/>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3</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短视频宣传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3000</w:t>
            </w:r>
          </w:p>
        </w:tc>
        <w:tc>
          <w:tcPr>
            <w:tcW w:w="1708" w:type="dxa"/>
            <w:vAlign w:val="center"/>
          </w:tcPr>
          <w:p>
            <w:pPr>
              <w:widowControl/>
              <w:jc w:val="center"/>
              <w:rPr>
                <w:rFonts w:asciiTheme="majorEastAsia" w:hAnsiTheme="majorEastAsia" w:eastAsiaTheme="majorEastAsia" w:cstheme="majorEastAsia"/>
                <w:kern w:val="0"/>
                <w:sz w:val="32"/>
                <w:szCs w:val="32"/>
                <w:shd w:val="clear" w:color="auto" w:fill="FFFFFF"/>
                <w:lang w:bidi="ar"/>
              </w:rPr>
            </w:pPr>
            <w:r>
              <w:rPr>
                <w:rFonts w:hint="eastAsia" w:asciiTheme="majorEastAsia" w:hAnsiTheme="majorEastAsia" w:eastAsiaTheme="majorEastAsia" w:cstheme="majorEastAsia"/>
                <w:kern w:val="0"/>
                <w:sz w:val="32"/>
                <w:szCs w:val="32"/>
                <w:shd w:val="clear" w:color="auto" w:fill="FFFFFF"/>
                <w:lang w:bidi="ar"/>
              </w:rPr>
              <w:t>元/条</w:t>
            </w:r>
          </w:p>
        </w:tc>
      </w:tr>
    </w:tbl>
    <w:p>
      <w:pPr>
        <w:spacing w:line="560" w:lineRule="exact"/>
        <w:ind w:firstLine="560" w:firstLineChars="200"/>
        <w:rPr>
          <w:rFonts w:hint="eastAsia" w:ascii="仿宋" w:hAnsi="仿宋" w:eastAsia="仿宋"/>
          <w:sz w:val="28"/>
        </w:rPr>
      </w:pPr>
      <w:r>
        <w:rPr>
          <w:rFonts w:hint="eastAsia" w:ascii="仿宋" w:hAnsi="仿宋" w:eastAsia="仿宋"/>
          <w:sz w:val="28"/>
        </w:rPr>
        <w:t>对供应商提供宣传推广日均访问量要求：</w:t>
      </w:r>
    </w:p>
    <w:p>
      <w:pPr>
        <w:spacing w:line="560" w:lineRule="exact"/>
        <w:ind w:firstLine="560" w:firstLineChars="200"/>
        <w:rPr>
          <w:rFonts w:hint="eastAsia" w:ascii="仿宋" w:hAnsi="仿宋" w:eastAsia="仿宋"/>
          <w:sz w:val="28"/>
        </w:rPr>
      </w:pPr>
      <w:r>
        <w:rPr>
          <w:rFonts w:hint="eastAsia" w:ascii="仿宋" w:hAnsi="仿宋" w:eastAsia="仿宋"/>
          <w:sz w:val="28"/>
        </w:rPr>
        <w:t>1.轮播大图宣传：供应商需保障日均访问量不低于8000次；</w:t>
      </w:r>
    </w:p>
    <w:p>
      <w:pPr>
        <w:spacing w:line="560" w:lineRule="exact"/>
        <w:ind w:firstLine="560" w:firstLineChars="200"/>
        <w:rPr>
          <w:rFonts w:hint="eastAsia" w:ascii="仿宋" w:hAnsi="仿宋" w:eastAsia="仿宋"/>
          <w:sz w:val="28"/>
        </w:rPr>
      </w:pPr>
      <w:r>
        <w:rPr>
          <w:rFonts w:hint="eastAsia" w:ascii="仿宋" w:hAnsi="仿宋" w:eastAsia="仿宋"/>
          <w:sz w:val="28"/>
        </w:rPr>
        <w:t>2.首页弹窗宣传：供应商需保障日均访问量不低于10000次；</w:t>
      </w:r>
    </w:p>
    <w:p>
      <w:pPr>
        <w:spacing w:line="560" w:lineRule="exact"/>
        <w:ind w:firstLine="560" w:firstLineChars="200"/>
        <w:rPr>
          <w:rFonts w:hint="eastAsia" w:ascii="仿宋" w:hAnsi="仿宋" w:eastAsia="仿宋"/>
          <w:sz w:val="28"/>
        </w:rPr>
      </w:pPr>
      <w:r>
        <w:rPr>
          <w:rFonts w:hint="eastAsia" w:ascii="仿宋" w:hAnsi="仿宋" w:eastAsia="仿宋"/>
          <w:sz w:val="28"/>
        </w:rPr>
        <w:t>3.短视频宣传：供应商需保障日均访问量不低于15000次；</w:t>
      </w:r>
    </w:p>
    <w:p>
      <w:pPr>
        <w:spacing w:line="560" w:lineRule="exact"/>
        <w:ind w:firstLine="562" w:firstLineChars="200"/>
        <w:rPr>
          <w:rFonts w:hint="eastAsia" w:ascii="仿宋" w:hAnsi="仿宋" w:eastAsia="仿宋"/>
          <w:b/>
          <w:sz w:val="28"/>
        </w:rPr>
      </w:pPr>
      <w:r>
        <w:rPr>
          <w:rFonts w:hint="eastAsia" w:ascii="仿宋" w:hAnsi="仿宋" w:eastAsia="仿宋"/>
          <w:b/>
          <w:sz w:val="28"/>
        </w:rPr>
        <w:t>（三）验收/考核标准</w:t>
      </w:r>
    </w:p>
    <w:p>
      <w:pPr>
        <w:spacing w:line="560" w:lineRule="exact"/>
        <w:ind w:firstLine="560" w:firstLineChars="200"/>
        <w:rPr>
          <w:rFonts w:hint="eastAsia" w:ascii="仿宋" w:hAnsi="仿宋" w:eastAsia="仿宋"/>
          <w:sz w:val="28"/>
        </w:rPr>
      </w:pPr>
      <w:r>
        <w:rPr>
          <w:rFonts w:hint="eastAsia" w:ascii="仿宋" w:hAnsi="仿宋" w:eastAsia="仿宋"/>
          <w:sz w:val="28"/>
        </w:rPr>
        <w:t>1.轮播大图验收方式：供应商提交“轮播日首页顶部截图”——完整显示静态/动态大图。内容符合我司要求。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2.首页弹窗验收方式：供应商提交“弹窗实拍照片”——手机进入网站的弹窗显示，内容、按钮、跳转链接均符合我司要求。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3.短视频验收方式：供应商提交“宣传专区页面截图 + 任意短视频播放界面截图”各1张。画面、字幕、跳转销售信息等均符合我司要求。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4.供应商宣传网站的访问量要达到我们服务要求的最低访问量。</w:t>
      </w:r>
    </w:p>
    <w:p>
      <w:pPr>
        <w:spacing w:line="560" w:lineRule="exact"/>
        <w:ind w:firstLine="562" w:firstLineChars="200"/>
        <w:rPr>
          <w:rFonts w:hint="eastAsia" w:ascii="仿宋" w:hAnsi="仿宋" w:eastAsia="仿宋"/>
          <w:b/>
          <w:bCs/>
          <w:sz w:val="28"/>
        </w:rPr>
      </w:pPr>
      <w:r>
        <w:rPr>
          <w:rFonts w:hint="eastAsia" w:ascii="仿宋" w:hAnsi="仿宋" w:eastAsia="仿宋"/>
          <w:b/>
          <w:bCs/>
          <w:sz w:val="28"/>
          <w:lang w:eastAsia="zh-CN"/>
        </w:rPr>
        <w:t>（</w:t>
      </w:r>
      <w:r>
        <w:rPr>
          <w:rFonts w:hint="eastAsia" w:ascii="仿宋" w:hAnsi="仿宋" w:eastAsia="仿宋"/>
          <w:b/>
          <w:bCs/>
          <w:sz w:val="28"/>
          <w:lang w:val="en-US" w:eastAsia="zh-CN"/>
        </w:rPr>
        <w:t>四</w:t>
      </w:r>
      <w:r>
        <w:rPr>
          <w:rFonts w:hint="eastAsia" w:ascii="仿宋" w:hAnsi="仿宋" w:eastAsia="仿宋"/>
          <w:b/>
          <w:bCs/>
          <w:sz w:val="28"/>
          <w:lang w:eastAsia="zh-CN"/>
        </w:rPr>
        <w:t>）</w:t>
      </w:r>
      <w:r>
        <w:rPr>
          <w:rFonts w:hint="eastAsia" w:ascii="仿宋" w:hAnsi="仿宋" w:eastAsia="仿宋"/>
          <w:b/>
          <w:bCs/>
          <w:sz w:val="28"/>
        </w:rPr>
        <w:t>服务要求：</w:t>
      </w:r>
    </w:p>
    <w:p>
      <w:pPr>
        <w:spacing w:line="560" w:lineRule="exact"/>
        <w:ind w:firstLine="560" w:firstLineChars="200"/>
        <w:rPr>
          <w:rFonts w:hint="eastAsia" w:ascii="仿宋" w:hAnsi="仿宋" w:eastAsia="仿宋"/>
          <w:sz w:val="28"/>
        </w:rPr>
      </w:pPr>
      <w:r>
        <w:rPr>
          <w:rFonts w:hint="eastAsia" w:ascii="仿宋" w:hAnsi="仿宋" w:eastAsia="仿宋"/>
          <w:sz w:val="28"/>
        </w:rPr>
        <w:t>1.根据我公司下辖分支机构宣传需求，服务机构需指派专人提前与我公司需求机构进行对接，确定具体宣传要求、宣传规模和拟达成的宣传效果，对接宣传过程准备等具体事宜。每次宣传活动结束后，我公司将对宣传效果达成情况进行评估，对于未达成宣传效果的服务机构需配合整改，并出具对应促进达成宣传效果的具体举措，若连续三次承办的宣传需求未达成宣传效果且后续无有效措施促进宣传效果提升的，我公司有权提前终止服务合同。（需出具具体服务方案，见附件4）</w:t>
      </w:r>
    </w:p>
    <w:p>
      <w:pPr>
        <w:spacing w:line="560" w:lineRule="exact"/>
        <w:ind w:firstLine="560" w:firstLineChars="200"/>
        <w:rPr>
          <w:rFonts w:hint="eastAsia" w:ascii="仿宋" w:hAnsi="仿宋" w:eastAsia="仿宋"/>
          <w:sz w:val="28"/>
        </w:rPr>
      </w:pPr>
      <w:r>
        <w:rPr>
          <w:rFonts w:hint="eastAsia" w:ascii="仿宋" w:hAnsi="仿宋" w:eastAsia="仿宋"/>
          <w:sz w:val="28"/>
        </w:rPr>
        <w:t>2.费用结算必须开具增值税专用发票。</w:t>
      </w:r>
    </w:p>
    <w:p>
      <w:pPr>
        <w:spacing w:line="560" w:lineRule="exact"/>
        <w:ind w:firstLine="560" w:firstLineChars="200"/>
        <w:rPr>
          <w:rFonts w:ascii="仿宋" w:hAnsi="仿宋" w:eastAsia="仿宋"/>
          <w:sz w:val="28"/>
        </w:rPr>
      </w:pPr>
      <w:r>
        <w:rPr>
          <w:rFonts w:hint="eastAsia" w:ascii="仿宋" w:hAnsi="仿宋" w:eastAsia="仿宋"/>
          <w:sz w:val="28"/>
        </w:rPr>
        <w:t>3.如果出现报价相同的供应商，以短视频报价低者排序在先，如短视频报价相同，则再也首页弹窗报价低者排序，短视频和首页弹窗报价均相同时，最后以轮播大图报价低者排序。</w:t>
      </w:r>
    </w:p>
    <w:p>
      <w:pPr>
        <w:spacing w:line="560" w:lineRule="exact"/>
        <w:ind w:firstLine="562" w:firstLineChars="200"/>
        <w:rPr>
          <w:rFonts w:ascii="仿宋" w:hAnsi="仿宋" w:eastAsia="仿宋"/>
          <w:b/>
          <w:sz w:val="28"/>
        </w:rPr>
      </w:pPr>
      <w:r>
        <w:rPr>
          <w:rFonts w:hint="eastAsia" w:ascii="仿宋" w:hAnsi="仿宋" w:eastAsia="仿宋"/>
          <w:b/>
          <w:sz w:val="28"/>
        </w:rPr>
        <w:t>（四）供应商使用规则</w:t>
      </w:r>
    </w:p>
    <w:p>
      <w:pPr>
        <w:spacing w:line="560" w:lineRule="exact"/>
        <w:ind w:firstLine="560" w:firstLineChars="200"/>
        <w:rPr>
          <w:rFonts w:hint="eastAsia" w:ascii="仿宋" w:hAnsi="仿宋" w:eastAsia="仿宋"/>
          <w:sz w:val="28"/>
        </w:rPr>
      </w:pPr>
      <w:r>
        <w:rPr>
          <w:rFonts w:hint="eastAsia" w:ascii="仿宋" w:hAnsi="仿宋" w:eastAsia="仿宋"/>
          <w:sz w:val="28"/>
        </w:rPr>
        <w:t>入围后，首个季度平均分配业务量，后续根据服务质量进行赋分评价，引入竞争机制，服务质量较好的单位可获得较多的资源分配，具体规则如下：</w:t>
      </w:r>
    </w:p>
    <w:p>
      <w:pPr>
        <w:spacing w:line="560" w:lineRule="exact"/>
        <w:ind w:firstLine="560" w:firstLineChars="200"/>
        <w:rPr>
          <w:rFonts w:ascii="仿宋_GB2312" w:hAnsi="仿宋_GB2312" w:eastAsia="仿宋_GB2312" w:cs="仿宋_GB2312"/>
          <w:color w:val="auto"/>
          <w:sz w:val="32"/>
          <w:szCs w:val="32"/>
        </w:rPr>
      </w:pPr>
      <w:r>
        <w:rPr>
          <w:rFonts w:hint="eastAsia" w:ascii="仿宋" w:hAnsi="仿宋" w:eastAsia="仿宋"/>
          <w:sz w:val="28"/>
        </w:rPr>
        <w:t>每季度结束后对供应商服务进行赋分评价，评价内容如下所示：</w:t>
      </w:r>
    </w:p>
    <w:tbl>
      <w:tblPr>
        <w:tblStyle w:val="40"/>
        <w:tblW w:w="9315" w:type="dxa"/>
        <w:tblInd w:w="93" w:type="dxa"/>
        <w:tblLayout w:type="autofit"/>
        <w:tblCellMar>
          <w:top w:w="0" w:type="dxa"/>
          <w:left w:w="108" w:type="dxa"/>
          <w:bottom w:w="0" w:type="dxa"/>
          <w:right w:w="108" w:type="dxa"/>
        </w:tblCellMar>
      </w:tblPr>
      <w:tblGrid>
        <w:gridCol w:w="2610"/>
        <w:gridCol w:w="5625"/>
        <w:gridCol w:w="1080"/>
      </w:tblGrid>
      <w:tr>
        <w:tblPrEx>
          <w:tblCellMar>
            <w:top w:w="0" w:type="dxa"/>
            <w:left w:w="108" w:type="dxa"/>
            <w:bottom w:w="0" w:type="dxa"/>
            <w:right w:w="108" w:type="dxa"/>
          </w:tblCellMar>
        </w:tblPrEx>
        <w:trPr>
          <w:trHeight w:val="64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服务评分</w:t>
            </w:r>
          </w:p>
        </w:tc>
        <w:tc>
          <w:tcPr>
            <w:tcW w:w="5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说明</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分值</w:t>
            </w:r>
          </w:p>
        </w:tc>
      </w:tr>
      <w:tr>
        <w:tblPrEx>
          <w:tblCellMar>
            <w:top w:w="0" w:type="dxa"/>
            <w:left w:w="108" w:type="dxa"/>
            <w:bottom w:w="0" w:type="dxa"/>
            <w:right w:w="108" w:type="dxa"/>
          </w:tblCellMar>
        </w:tblPrEx>
        <w:trPr>
          <w:trHeight w:val="690" w:hRule="atLeast"/>
        </w:trPr>
        <w:tc>
          <w:tcPr>
            <w:tcW w:w="26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服务技能</w:t>
            </w:r>
          </w:p>
        </w:tc>
        <w:tc>
          <w:tcPr>
            <w:tcW w:w="5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是否认真提供服务，是得20分，否不得分。</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50</w:t>
            </w:r>
          </w:p>
        </w:tc>
      </w:tr>
      <w:tr>
        <w:tblPrEx>
          <w:tblCellMar>
            <w:top w:w="0" w:type="dxa"/>
            <w:left w:w="108" w:type="dxa"/>
            <w:bottom w:w="0" w:type="dxa"/>
            <w:right w:w="108" w:type="dxa"/>
          </w:tblCellMar>
        </w:tblPrEx>
        <w:trPr>
          <w:trHeight w:val="690" w:hRule="atLeast"/>
        </w:trPr>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sz w:val="24"/>
              </w:rPr>
              <w:t>服务态度、服务质重、工作效率好坏分成3个等级赋分，好的为14-20，良的为7-13，差的为0-6。</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657" w:hRule="atLeast"/>
        </w:trPr>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方案落地周期、物料交付速度、应急修改响应时长快得10分，否不得分。</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r>
      <w:tr>
        <w:tblPrEx>
          <w:tblCellMar>
            <w:top w:w="0" w:type="dxa"/>
            <w:left w:w="108" w:type="dxa"/>
            <w:bottom w:w="0" w:type="dxa"/>
            <w:right w:w="108" w:type="dxa"/>
          </w:tblCellMar>
        </w:tblPrEx>
        <w:trPr>
          <w:trHeight w:val="806" w:hRule="atLeast"/>
        </w:trPr>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纪律要求</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是否遵守规章制度，服从管理，得</w:t>
            </w:r>
            <w:r>
              <w:rPr>
                <w:rFonts w:hint="eastAsia" w:ascii="仿宋_GB2312" w:hAnsi="仿宋_GB2312" w:cs="仿宋_GB2312"/>
                <w:color w:val="000000"/>
                <w:kern w:val="0"/>
                <w:sz w:val="24"/>
                <w:highlight w:val="none"/>
                <w:lang w:val="en-US" w:eastAsia="zh-CN" w:bidi="ar"/>
              </w:rPr>
              <w:t>2</w:t>
            </w:r>
            <w:r>
              <w:rPr>
                <w:rFonts w:hint="eastAsia" w:ascii="仿宋_GB2312" w:hAnsi="仿宋_GB2312" w:eastAsia="仿宋_GB2312" w:cs="仿宋_GB2312"/>
                <w:color w:val="000000"/>
                <w:kern w:val="0"/>
                <w:sz w:val="24"/>
                <w:highlight w:val="none"/>
                <w:lang w:bidi="ar"/>
              </w:rPr>
              <w:t>0分;违反规章制度或不服从管理，影响公司形象受处理的进行扣分。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20</w:t>
            </w:r>
          </w:p>
        </w:tc>
      </w:tr>
      <w:tr>
        <w:tblPrEx>
          <w:tblCellMar>
            <w:top w:w="0" w:type="dxa"/>
            <w:left w:w="108" w:type="dxa"/>
            <w:bottom w:w="0" w:type="dxa"/>
            <w:right w:w="108" w:type="dxa"/>
          </w:tblCellMar>
        </w:tblPrEx>
        <w:trPr>
          <w:trHeight w:val="1000" w:hRule="atLeast"/>
        </w:trPr>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人员配置</w:t>
            </w:r>
          </w:p>
        </w:tc>
        <w:tc>
          <w:tcPr>
            <w:tcW w:w="5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根据服务内容，提供服务的人员的配置是否满足服务需求，是否有稳定的3人以上服务团队</w:t>
            </w:r>
            <w:r>
              <w:rPr>
                <w:rFonts w:hint="eastAsia" w:ascii="仿宋_GB2312" w:hAnsi="仿宋_GB2312" w:eastAsia="仿宋_GB2312" w:cs="仿宋_GB2312"/>
                <w:color w:val="000000"/>
                <w:kern w:val="0"/>
                <w:sz w:val="24"/>
                <w:highlight w:val="none"/>
                <w:lang w:eastAsia="zh-CN" w:bidi="ar"/>
              </w:rPr>
              <w:t>，</w:t>
            </w:r>
            <w:r>
              <w:rPr>
                <w:rFonts w:hint="eastAsia" w:ascii="仿宋_GB2312" w:hAnsi="仿宋_GB2312" w:eastAsia="仿宋_GB2312" w:cs="仿宋_GB2312"/>
                <w:color w:val="000000"/>
                <w:kern w:val="0"/>
                <w:sz w:val="24"/>
                <w:highlight w:val="none"/>
                <w:lang w:val="en-US" w:eastAsia="zh-CN" w:bidi="ar"/>
              </w:rPr>
              <w:t>完全满足30分，</w:t>
            </w:r>
            <w:r>
              <w:rPr>
                <w:rFonts w:hint="eastAsia" w:ascii="仿宋_GB2312" w:hAnsi="仿宋_GB2312" w:eastAsia="仿宋_GB2312" w:cs="仿宋_GB2312"/>
                <w:color w:val="000000"/>
                <w:kern w:val="0"/>
                <w:sz w:val="24"/>
                <w:highlight w:val="none"/>
                <w:lang w:bidi="ar"/>
              </w:rPr>
              <w:t>提供服务的人员</w:t>
            </w:r>
            <w:r>
              <w:rPr>
                <w:rFonts w:hint="eastAsia" w:ascii="仿宋_GB2312" w:hAnsi="仿宋_GB2312" w:eastAsia="仿宋_GB2312" w:cs="仿宋_GB2312"/>
                <w:color w:val="000000"/>
                <w:kern w:val="0"/>
                <w:sz w:val="24"/>
                <w:highlight w:val="none"/>
                <w:lang w:val="en-US" w:eastAsia="zh-CN" w:bidi="ar"/>
              </w:rPr>
              <w:t>少于3人时根据实际</w:t>
            </w:r>
            <w:r>
              <w:rPr>
                <w:rFonts w:hint="eastAsia" w:ascii="仿宋_GB2312" w:hAnsi="仿宋_GB2312" w:eastAsia="仿宋_GB2312" w:cs="仿宋_GB2312"/>
                <w:color w:val="000000"/>
                <w:kern w:val="0"/>
                <w:sz w:val="24"/>
                <w:highlight w:val="none"/>
                <w:lang w:bidi="ar"/>
              </w:rPr>
              <w:t>提供服务的人</w:t>
            </w:r>
            <w:r>
              <w:rPr>
                <w:rFonts w:hint="eastAsia" w:ascii="仿宋_GB2312" w:hAnsi="仿宋_GB2312" w:eastAsia="仿宋_GB2312" w:cs="仿宋_GB2312"/>
                <w:color w:val="000000"/>
                <w:kern w:val="0"/>
                <w:sz w:val="24"/>
                <w:highlight w:val="none"/>
                <w:lang w:val="en-US" w:eastAsia="zh-CN" w:bidi="ar"/>
              </w:rPr>
              <w:t>数比例赋分。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30</w:t>
            </w:r>
          </w:p>
        </w:tc>
      </w:tr>
      <w:tr>
        <w:tblPrEx>
          <w:tblCellMar>
            <w:top w:w="0" w:type="dxa"/>
            <w:left w:w="108" w:type="dxa"/>
            <w:bottom w:w="0" w:type="dxa"/>
            <w:right w:w="108" w:type="dxa"/>
          </w:tblCellMar>
        </w:tblPrEx>
        <w:trPr>
          <w:trHeight w:val="617" w:hRule="atLeast"/>
        </w:trPr>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合计</w:t>
            </w:r>
          </w:p>
        </w:tc>
        <w:tc>
          <w:tcPr>
            <w:tcW w:w="5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仿宋_GB2312" w:eastAsia="仿宋_GB2312" w:cs="仿宋_GB2312"/>
                <w:color w:val="000000"/>
                <w:sz w:val="24"/>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仿宋_GB2312" w:eastAsia="仿宋_GB2312" w:cs="仿宋_GB2312"/>
                <w:color w:val="000000"/>
                <w:sz w:val="24"/>
              </w:rPr>
            </w:pPr>
            <w:r>
              <w:rPr>
                <w:rFonts w:hint="eastAsia" w:ascii="仿宋_GB2312" w:hAnsi="仿宋_GB2312" w:eastAsia="仿宋_GB2312" w:cs="仿宋_GB2312"/>
                <w:color w:val="000000"/>
                <w:kern w:val="0"/>
                <w:sz w:val="24"/>
                <w:highlight w:val="none"/>
                <w:lang w:bidi="ar"/>
              </w:rPr>
              <w:t>100</w:t>
            </w:r>
          </w:p>
        </w:tc>
      </w:tr>
    </w:tbl>
    <w:p>
      <w:pPr>
        <w:spacing w:line="560" w:lineRule="exact"/>
        <w:ind w:firstLine="560" w:firstLineChars="200"/>
        <w:rPr>
          <w:rFonts w:hint="eastAsia" w:ascii="仿宋" w:hAnsi="仿宋" w:eastAsia="仿宋"/>
          <w:sz w:val="28"/>
        </w:rPr>
      </w:pPr>
      <w:r>
        <w:rPr>
          <w:rFonts w:hint="eastAsia" w:ascii="仿宋" w:hAnsi="仿宋" w:eastAsia="仿宋"/>
          <w:sz w:val="28"/>
        </w:rPr>
        <w:t>根据赋分结果确定下一季度任务分配，得分90-100分，80-89分，70-79分,60-69分分别按40%，30%，20%,10%比例分配服务数量，得分60分以下的将暂停分配服务。得分90-100分的供应商可共同分配总服务量的40%，该分数段内所有供应商平分这部分服务量；80-89分的供应商共同分配总服务量的30%，同样由该分数段内所有供应商平分；70-79分的供应商共同分配总服务量的20%，按该分数段供应商数量平均拆分；60-69分的供应商共同分配总服务量的10%，由同分数段供应商平分；评分在60分以下的供应商，暂停分配下一季度服务量。如因采购供应商中途退出合作、供应商自身情况无法达到我司份额要求或我司认为该供应商无法继续合作，则该供应商对应比例平均分配到其他供应商名下。</w:t>
      </w:r>
    </w:p>
    <w:p>
      <w:pPr>
        <w:pStyle w:val="19"/>
        <w:jc w:val="both"/>
        <w:rPr>
          <w:rFonts w:hint="eastAsia"/>
        </w:rPr>
      </w:pPr>
    </w:p>
    <w:p>
      <w:pPr>
        <w:pStyle w:val="19"/>
        <w:jc w:val="both"/>
        <w:rPr>
          <w:rFonts w:hint="eastAsia"/>
        </w:rPr>
      </w:pPr>
    </w:p>
    <w:p/>
    <w:p/>
    <w:p>
      <w:pPr>
        <w:pStyle w:val="4"/>
        <w:spacing w:before="0" w:after="0" w:line="360" w:lineRule="auto"/>
        <w:jc w:val="center"/>
        <w:rPr>
          <w:rFonts w:ascii="仿宋" w:hAnsi="仿宋" w:eastAsia="仿宋" w:cs="仿宋"/>
          <w:color w:val="000000"/>
          <w:sz w:val="28"/>
          <w:szCs w:val="28"/>
        </w:rPr>
      </w:pPr>
      <w:r>
        <w:rPr>
          <w:rFonts w:ascii="仿宋" w:hAnsi="仿宋" w:eastAsia="仿宋" w:cs="仿宋"/>
          <w:color w:val="000000"/>
          <w:sz w:val="28"/>
          <w:szCs w:val="28"/>
        </w:rPr>
        <w:br w:type="page"/>
      </w:r>
      <w:bookmarkStart w:id="196" w:name="_Toc120625376"/>
      <w:bookmarkStart w:id="197" w:name="_Toc100672416"/>
      <w:bookmarkStart w:id="198" w:name="_Toc26995"/>
      <w:bookmarkStart w:id="199" w:name="_Toc13002"/>
      <w:r>
        <w:rPr>
          <w:rFonts w:hint="eastAsia" w:ascii="仿宋" w:hAnsi="仿宋" w:eastAsia="仿宋" w:cs="仿宋"/>
          <w:color w:val="000000"/>
          <w:sz w:val="28"/>
          <w:szCs w:val="28"/>
        </w:rPr>
        <w:t>第六章 响应文件格式</w:t>
      </w:r>
      <w:bookmarkEnd w:id="189"/>
      <w:bookmarkEnd w:id="190"/>
      <w:bookmarkEnd w:id="191"/>
      <w:bookmarkEnd w:id="192"/>
      <w:bookmarkEnd w:id="193"/>
      <w:bookmarkEnd w:id="194"/>
      <w:bookmarkEnd w:id="195"/>
      <w:bookmarkEnd w:id="196"/>
      <w:bookmarkEnd w:id="197"/>
      <w:bookmarkEnd w:id="198"/>
      <w:bookmarkEnd w:id="199"/>
    </w:p>
    <w:p>
      <w:pPr>
        <w:spacing w:line="360" w:lineRule="auto"/>
        <w:rPr>
          <w:rFonts w:ascii="仿宋" w:hAnsi="仿宋" w:eastAsia="仿宋" w:cs="仿宋"/>
          <w:b/>
          <w:color w:val="000000"/>
        </w:rPr>
      </w:pPr>
      <w:r>
        <w:rPr>
          <w:rFonts w:hint="eastAsia" w:ascii="仿宋" w:hAnsi="仿宋" w:eastAsia="仿宋" w:cs="仿宋"/>
          <w:b/>
          <w:color w:val="000000"/>
          <w:sz w:val="24"/>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15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152"/>
              <w:spacing w:before="156" w:after="312"/>
              <w:ind w:right="-284"/>
              <w:jc w:val="center"/>
              <w:rPr>
                <w:rFonts w:hint="eastAsia" w:ascii="仿宋" w:hAnsi="仿宋" w:eastAsia="仿宋" w:cs="仿宋"/>
                <w:color w:val="000000"/>
                <w:sz w:val="32"/>
              </w:rPr>
            </w:pPr>
            <w:r>
              <w:rPr>
                <w:rFonts w:hint="eastAsia" w:ascii="仿宋" w:hAnsi="仿宋" w:eastAsia="仿宋" w:cs="仿宋"/>
                <w:color w:val="000000"/>
                <w:sz w:val="32"/>
              </w:rPr>
              <w:t>人保财险贵州毕节分公司</w:t>
            </w:r>
            <w:r>
              <w:rPr>
                <w:rFonts w:hint="eastAsia" w:ascii="仿宋" w:hAnsi="仿宋" w:eastAsia="仿宋" w:cs="仿宋"/>
                <w:color w:val="000000"/>
                <w:sz w:val="32"/>
                <w:lang w:eastAsia="zh-CN"/>
              </w:rPr>
              <w:t>2026</w:t>
            </w:r>
            <w:r>
              <w:rPr>
                <w:rFonts w:hint="eastAsia" w:ascii="仿宋" w:hAnsi="仿宋" w:eastAsia="仿宋" w:cs="仿宋"/>
                <w:color w:val="000000"/>
                <w:sz w:val="32"/>
              </w:rPr>
              <w:t>年宣传推广服务供应商入库采购项目</w:t>
            </w:r>
          </w:p>
          <w:p>
            <w:pPr>
              <w:pStyle w:val="152"/>
              <w:spacing w:before="156" w:after="312"/>
              <w:ind w:right="-284"/>
              <w:jc w:val="center"/>
              <w:rPr>
                <w:rFonts w:ascii="仿宋" w:hAnsi="仿宋" w:eastAsia="仿宋" w:cs="仿宋"/>
                <w:color w:val="000000"/>
                <w:sz w:val="32"/>
              </w:rPr>
            </w:pPr>
          </w:p>
          <w:p>
            <w:pPr>
              <w:pStyle w:val="152"/>
              <w:ind w:right="-284" w:firstLine="2240"/>
              <w:rPr>
                <w:rFonts w:ascii="仿宋" w:hAnsi="仿宋" w:eastAsia="仿宋" w:cs="仿宋"/>
                <w:color w:val="000000"/>
                <w:sz w:val="28"/>
                <w:u w:val="single"/>
              </w:rPr>
            </w:pPr>
          </w:p>
          <w:p>
            <w:pPr>
              <w:pStyle w:val="15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询价响应文件</w:t>
            </w:r>
          </w:p>
          <w:p>
            <w:pPr>
              <w:pStyle w:val="152"/>
              <w:spacing w:before="624" w:after="156" w:line="160" w:lineRule="atLeast"/>
              <w:ind w:right="-284"/>
              <w:jc w:val="center"/>
              <w:rPr>
                <w:rFonts w:ascii="仿宋" w:hAnsi="仿宋" w:eastAsia="仿宋" w:cs="仿宋"/>
                <w:color w:val="000000"/>
                <w:sz w:val="52"/>
              </w:rPr>
            </w:pPr>
          </w:p>
          <w:p>
            <w:pPr>
              <w:pStyle w:val="15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（商务册/技术册/报价册文件）</w:t>
            </w:r>
          </w:p>
          <w:p>
            <w:pPr>
              <w:pStyle w:val="15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15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152"/>
              <w:spacing w:after="624"/>
              <w:ind w:right="-284"/>
              <w:jc w:val="center"/>
              <w:rPr>
                <w:rFonts w:ascii="仿宋" w:hAnsi="仿宋" w:eastAsia="仿宋" w:cs="仿宋"/>
                <w:color w:val="000000"/>
                <w:sz w:val="24"/>
              </w:rPr>
            </w:pPr>
          </w:p>
          <w:p>
            <w:pPr>
              <w:pStyle w:val="15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rPr>
          <w:rFonts w:ascii="仿宋" w:hAnsi="仿宋" w:eastAsia="仿宋" w:cs="仿宋"/>
          <w:color w:val="000000"/>
          <w:kern w:val="0"/>
          <w:szCs w:val="21"/>
        </w:rPr>
      </w:pPr>
    </w:p>
    <w:p>
      <w:pPr>
        <w:spacing w:line="360" w:lineRule="auto"/>
        <w:rPr>
          <w:rFonts w:ascii="仿宋" w:hAnsi="仿宋" w:eastAsia="仿宋" w:cs="仿宋"/>
          <w:b/>
          <w:color w:val="000000"/>
          <w:sz w:val="24"/>
        </w:rPr>
      </w:pPr>
      <w:bookmarkStart w:id="200" w:name="_Toc3936"/>
      <w:bookmarkStart w:id="201" w:name="_Toc19783362"/>
      <w:bookmarkStart w:id="202" w:name="_Toc21280"/>
      <w:bookmarkStart w:id="203" w:name="_Toc444891353"/>
      <w:bookmarkStart w:id="204" w:name="_Toc19910"/>
      <w:bookmarkStart w:id="205" w:name="_Toc11783"/>
      <w:bookmarkStart w:id="206" w:name="_Toc517281836"/>
      <w:bookmarkStart w:id="207" w:name="_Toc287600131"/>
      <w:bookmarkStart w:id="208" w:name="_Toc25957"/>
      <w:bookmarkStart w:id="209" w:name="_Toc287600129"/>
      <w:bookmarkStart w:id="210" w:name="_Toc19783360"/>
      <w:r>
        <w:rPr>
          <w:rFonts w:hint="eastAsia" w:ascii="仿宋" w:hAnsi="仿宋" w:eastAsia="仿宋" w:cs="仿宋"/>
          <w:b/>
          <w:color w:val="000000"/>
          <w:sz w:val="24"/>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15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pStyle w:val="5"/>
        <w:ind w:firstLine="0" w:firstLineChars="0"/>
        <w:jc w:val="both"/>
        <w:rPr>
          <w:rFonts w:ascii="仿宋" w:hAnsi="仿宋" w:eastAsia="仿宋" w:cs="仿宋"/>
          <w:color w:val="000000"/>
          <w:sz w:val="24"/>
          <w:szCs w:val="24"/>
        </w:rPr>
      </w:pPr>
      <w:r>
        <w:rPr>
          <w:rFonts w:ascii="仿宋" w:hAnsi="仿宋" w:eastAsia="仿宋" w:cs="仿宋"/>
          <w:color w:val="000000"/>
          <w:sz w:val="24"/>
          <w:szCs w:val="24"/>
        </w:rPr>
        <w:br w:type="page"/>
      </w:r>
      <w:bookmarkStart w:id="211" w:name="_Toc100672417"/>
      <w:bookmarkStart w:id="212" w:name="_Toc28880"/>
      <w:bookmarkStart w:id="213" w:name="_Toc120625377"/>
      <w:bookmarkStart w:id="214" w:name="_Toc12119"/>
      <w:r>
        <w:rPr>
          <w:rFonts w:hint="eastAsia" w:ascii="仿宋" w:hAnsi="仿宋" w:eastAsia="仿宋" w:cs="仿宋"/>
          <w:color w:val="000000"/>
          <w:sz w:val="24"/>
          <w:szCs w:val="24"/>
        </w:rPr>
        <w:t>一、商务册文件</w:t>
      </w:r>
      <w:bookmarkEnd w:id="200"/>
      <w:bookmarkEnd w:id="211"/>
      <w:bookmarkEnd w:id="212"/>
      <w:bookmarkEnd w:id="213"/>
      <w:bookmarkEnd w:id="214"/>
    </w:p>
    <w:bookmarkEnd w:id="201"/>
    <w:bookmarkEnd w:id="202"/>
    <w:bookmarkEnd w:id="203"/>
    <w:bookmarkEnd w:id="204"/>
    <w:bookmarkEnd w:id="205"/>
    <w:bookmarkEnd w:id="206"/>
    <w:bookmarkEnd w:id="207"/>
    <w:bookmarkEnd w:id="208"/>
    <w:p>
      <w:pPr>
        <w:pStyle w:val="6"/>
        <w:spacing w:before="0" w:after="0" w:line="360" w:lineRule="auto"/>
        <w:rPr>
          <w:rFonts w:ascii="仿宋" w:hAnsi="仿宋" w:eastAsia="仿宋" w:cs="仿宋"/>
          <w:color w:val="000000"/>
          <w:sz w:val="24"/>
          <w:szCs w:val="24"/>
        </w:rPr>
      </w:pPr>
      <w:bookmarkStart w:id="215" w:name="_Toc22796"/>
      <w:bookmarkStart w:id="216" w:name="_Toc100672420"/>
      <w:bookmarkStart w:id="217" w:name="_Toc517281837"/>
      <w:bookmarkStart w:id="218" w:name="_Toc27799"/>
      <w:bookmarkStart w:id="219" w:name="_Toc25121"/>
      <w:bookmarkStart w:id="220" w:name="_Toc7202"/>
      <w:bookmarkStart w:id="221" w:name="_Toc444891354"/>
      <w:bookmarkStart w:id="222" w:name="_Toc12140"/>
      <w:r>
        <w:rPr>
          <w:rFonts w:hint="eastAsia" w:ascii="仿宋" w:hAnsi="仿宋" w:eastAsia="仿宋" w:cs="仿宋"/>
          <w:color w:val="000000"/>
          <w:sz w:val="24"/>
          <w:szCs w:val="24"/>
        </w:rPr>
        <w:t>（一）响应函</w:t>
      </w:r>
      <w:bookmarkEnd w:id="215"/>
      <w:bookmarkEnd w:id="216"/>
    </w:p>
    <w:p>
      <w:pPr>
        <w:pStyle w:val="152"/>
        <w:spacing w:line="360" w:lineRule="auto"/>
        <w:rPr>
          <w:rFonts w:ascii="仿宋" w:hAnsi="仿宋" w:eastAsia="仿宋" w:cs="Cambria Math"/>
          <w:sz w:val="24"/>
          <w:szCs w:val="24"/>
        </w:rPr>
      </w:pPr>
      <w:r>
        <w:rPr>
          <w:rFonts w:hint="eastAsia" w:ascii="仿宋" w:hAnsi="仿宋" w:eastAsia="仿宋" w:cs="Cambria Math"/>
          <w:color w:val="000000"/>
          <w:sz w:val="24"/>
          <w:szCs w:val="24"/>
          <w:u w:val="single"/>
        </w:rPr>
        <w:t>致</w:t>
      </w:r>
      <w:r>
        <w:rPr>
          <w:rFonts w:hint="eastAsia" w:ascii="仿宋" w:hAnsi="仿宋" w:eastAsia="仿宋" w:cs="Cambria Math"/>
          <w:sz w:val="24"/>
          <w:szCs w:val="24"/>
          <w:u w:val="single"/>
        </w:rPr>
        <w:t xml:space="preserve">：中国人民财产保险股份有限公司毕节分公司       </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kern w:val="0"/>
          <w:sz w:val="24"/>
          <w:u w:val="single"/>
        </w:rPr>
        <w:t xml:space="preserve">   （供应商名称）   </w:t>
      </w:r>
      <w:r>
        <w:rPr>
          <w:rFonts w:hint="eastAsia" w:ascii="仿宋" w:hAnsi="仿宋" w:eastAsia="仿宋" w:cs="Cambria Math"/>
          <w:kern w:val="0"/>
          <w:sz w:val="24"/>
        </w:rPr>
        <w:t>（以下称“我方”）已仔细研究了</w:t>
      </w:r>
      <w:r>
        <w:rPr>
          <w:rFonts w:hint="eastAsia" w:ascii="仿宋" w:hAnsi="仿宋" w:eastAsia="仿宋" w:cs="Cambria Math"/>
          <w:kern w:val="0"/>
          <w:sz w:val="24"/>
          <w:u w:val="single"/>
        </w:rPr>
        <w:t xml:space="preserve"> </w:t>
      </w:r>
      <w:r>
        <w:rPr>
          <w:rFonts w:ascii="仿宋" w:hAnsi="仿宋" w:eastAsia="仿宋" w:cs="Cambria Math"/>
          <w:kern w:val="0"/>
          <w:sz w:val="24"/>
          <w:u w:val="single"/>
        </w:rPr>
        <w:t xml:space="preserve"> </w:t>
      </w:r>
      <w:r>
        <w:rPr>
          <w:rFonts w:hint="eastAsia" w:ascii="仿宋" w:hAnsi="仿宋" w:eastAsia="仿宋" w:cs="Cambria Math"/>
          <w:kern w:val="0"/>
          <w:sz w:val="24"/>
          <w:u w:val="single"/>
        </w:rPr>
        <w:t>人保财险贵州毕节分公司</w:t>
      </w:r>
      <w:r>
        <w:rPr>
          <w:rFonts w:hint="eastAsia" w:ascii="仿宋" w:hAnsi="仿宋" w:eastAsia="仿宋" w:cs="Cambria Math"/>
          <w:kern w:val="0"/>
          <w:sz w:val="24"/>
          <w:u w:val="single"/>
          <w:lang w:eastAsia="zh-CN"/>
        </w:rPr>
        <w:t>2026</w:t>
      </w:r>
      <w:r>
        <w:rPr>
          <w:rFonts w:hint="eastAsia" w:ascii="仿宋" w:hAnsi="仿宋" w:eastAsia="仿宋" w:cs="Cambria Math"/>
          <w:kern w:val="0"/>
          <w:sz w:val="24"/>
          <w:u w:val="single"/>
        </w:rPr>
        <w:t xml:space="preserve">年宣传推广服务供应商入库采购项目  </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询价文件的全部内容，包括澄清或者修改文件以及有关附件，我方将严格按照询价文件要求递交符合要求的全部询价响应文件。</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现我方承诺如下内容：</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1. 本响应函及询价响应文件自询价响应文件提交截止日起有效期为为</w:t>
      </w:r>
      <w:r>
        <w:rPr>
          <w:rFonts w:ascii="仿宋" w:hAnsi="仿宋" w:eastAsia="仿宋" w:cs="Cambria Math"/>
          <w:color w:val="FF0000"/>
          <w:kern w:val="0"/>
          <w:sz w:val="24"/>
          <w:u w:val="single"/>
        </w:rPr>
        <w:t>90</w:t>
      </w:r>
      <w:r>
        <w:rPr>
          <w:rFonts w:hint="eastAsia" w:ascii="仿宋" w:hAnsi="仿宋" w:eastAsia="仿宋" w:cs="Cambria Math"/>
          <w:color w:val="000000"/>
          <w:kern w:val="0"/>
          <w:sz w:val="24"/>
        </w:rPr>
        <w:t>天，我方承诺在响应有效期内不修改、撤销询价响应文件。</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2</w:t>
      </w:r>
      <w:r>
        <w:rPr>
          <w:rFonts w:hint="eastAsia" w:ascii="仿宋" w:hAnsi="仿宋" w:eastAsia="仿宋" w:cs="Cambria Math"/>
          <w:color w:val="000000"/>
          <w:kern w:val="0"/>
          <w:sz w:val="24"/>
        </w:rPr>
        <w:t>. 我方在询价过程中根据询价小组要求提供的符合相关规定的澄清文件，构成询价响应文件的组成部分。</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3</w:t>
      </w:r>
      <w:r>
        <w:rPr>
          <w:rFonts w:hint="eastAsia" w:ascii="仿宋" w:hAnsi="仿宋" w:eastAsia="仿宋" w:cs="Cambria Math"/>
          <w:color w:val="000000"/>
          <w:kern w:val="0"/>
          <w:sz w:val="24"/>
        </w:rPr>
        <w:t>. 我方同意提供贵方可能要求的与询价响应有关的一切数据或者资料。</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4</w:t>
      </w:r>
      <w:r>
        <w:rPr>
          <w:rFonts w:hint="eastAsia" w:ascii="仿宋" w:hAnsi="仿宋" w:eastAsia="仿宋" w:cs="Cambria Math"/>
          <w:color w:val="000000"/>
          <w:kern w:val="0"/>
          <w:sz w:val="24"/>
        </w:rPr>
        <w:t>．我方承诺对在本次采购活动过程中所获知贵方一切商业秘密保密，不会向任何第三方泄露，不会用于本次采购活动之外的任何其他目的。</w:t>
      </w:r>
    </w:p>
    <w:p>
      <w:pPr>
        <w:widowControl/>
        <w:spacing w:line="440" w:lineRule="exact"/>
        <w:ind w:firstLine="420"/>
      </w:pPr>
      <w:r>
        <w:rPr>
          <w:rFonts w:ascii="仿宋" w:hAnsi="仿宋" w:eastAsia="仿宋" w:cs="宋体"/>
          <w:color w:val="000000"/>
          <w:kern w:val="0"/>
          <w:sz w:val="24"/>
        </w:rPr>
        <w:t>5</w:t>
      </w:r>
      <w:r>
        <w:rPr>
          <w:rFonts w:hint="eastAsia" w:ascii="仿宋" w:hAnsi="仿宋" w:eastAsia="仿宋" w:cs="宋体"/>
          <w:color w:val="000000"/>
          <w:kern w:val="0"/>
          <w:sz w:val="24"/>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6</w:t>
      </w:r>
      <w:r>
        <w:rPr>
          <w:rFonts w:hint="eastAsia" w:ascii="仿宋" w:hAnsi="仿宋" w:eastAsia="仿宋" w:cs="Cambria Math"/>
          <w:color w:val="000000"/>
          <w:kern w:val="0"/>
          <w:sz w:val="24"/>
        </w:rPr>
        <w:t>. 如我方成交：</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（1）我方承诺在收到成交通知书后，在成交通知书规定的期限内与贵方签订合同。</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（2）我方承诺按照询价文件规定递交履约保证金、支付采购代理服务费。</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（3）我方承诺按照询价文件的规定及合同约定履行相关责任和义务。</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（4）我方在此承诺，双方合作后可开具增值税专用发票。</w:t>
      </w:r>
    </w:p>
    <w:p>
      <w:pPr>
        <w:pStyle w:val="19"/>
        <w:jc w:val="both"/>
      </w:pPr>
    </w:p>
    <w:p>
      <w:pPr>
        <w:spacing w:line="360" w:lineRule="auto"/>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360" w:lineRule="auto"/>
        <w:jc w:val="right"/>
        <w:rPr>
          <w:rFonts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209"/>
      <w:bookmarkEnd w:id="210"/>
      <w:bookmarkEnd w:id="217"/>
      <w:bookmarkEnd w:id="218"/>
      <w:bookmarkEnd w:id="219"/>
      <w:bookmarkEnd w:id="220"/>
      <w:bookmarkEnd w:id="221"/>
      <w:bookmarkEnd w:id="222"/>
      <w:bookmarkStart w:id="223" w:name="_Toc100672421"/>
      <w:bookmarkStart w:id="224" w:name="_Toc930"/>
      <w:r>
        <w:rPr>
          <w:rFonts w:hint="eastAsia" w:ascii="仿宋" w:hAnsi="仿宋" w:eastAsia="仿宋" w:cs="仿宋"/>
          <w:color w:val="000000"/>
          <w:sz w:val="24"/>
          <w:szCs w:val="24"/>
        </w:rPr>
        <w:t>（二）法定代表人（负责人）身份证明书</w:t>
      </w:r>
      <w:bookmarkEnd w:id="223"/>
      <w:bookmarkEnd w:id="224"/>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sz w:val="24"/>
        </w:rPr>
      </w:pPr>
      <w:r>
        <w:rPr>
          <w:rFonts w:hint="eastAsia" w:ascii="仿宋" w:hAnsi="仿宋" w:eastAsia="仿宋" w:cs="仿宋"/>
          <w:b/>
          <w:color w:val="000000"/>
          <w:sz w:val="24"/>
        </w:rPr>
        <w:t>法定代表人（负责人）身份证明书</w:t>
      </w:r>
      <w:r>
        <w:rPr>
          <w:rFonts w:hint="eastAsia" w:ascii="仿宋" w:hAnsi="仿宋" w:eastAsia="仿宋" w:cs="仿宋"/>
          <w:b/>
          <w:color w:val="000000"/>
          <w:sz w:val="24"/>
        </w:rPr>
        <w:tab/>
      </w:r>
    </w:p>
    <w:p>
      <w:pPr>
        <w:spacing w:line="360" w:lineRule="auto"/>
        <w:rPr>
          <w:rFonts w:ascii="仿宋" w:hAnsi="仿宋" w:eastAsia="仿宋" w:cs="仿宋"/>
          <w:b/>
          <w:color w:val="000000"/>
          <w:sz w:val="24"/>
        </w:rPr>
      </w:pPr>
    </w:p>
    <w:p>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成立时间：</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姓名：</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性别：</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年龄：</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职务：</w:t>
      </w:r>
      <w:r>
        <w:rPr>
          <w:rFonts w:hint="eastAsia" w:ascii="仿宋" w:hAnsi="仿宋" w:eastAsia="仿宋" w:cs="仿宋"/>
          <w:color w:val="000000"/>
          <w:kern w:val="0"/>
          <w:sz w:val="24"/>
          <w:u w:val="single"/>
        </w:rPr>
        <w:t xml:space="preserve">         </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系</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（供应商名称）的法定代表人。</w:t>
      </w:r>
    </w:p>
    <w:p>
      <w:pPr>
        <w:widowControl/>
        <w:topLinePunct/>
        <w:spacing w:line="360" w:lineRule="auto"/>
        <w:ind w:firstLine="420"/>
        <w:rPr>
          <w:rFonts w:ascii="仿宋" w:hAnsi="仿宋" w:eastAsia="仿宋" w:cs="仿宋"/>
          <w:color w:val="000000"/>
          <w:kern w:val="0"/>
          <w:sz w:val="24"/>
        </w:rPr>
      </w:pPr>
      <w:r>
        <w:rPr>
          <w:rFonts w:hint="eastAsia" w:ascii="仿宋" w:hAnsi="仿宋" w:eastAsia="仿宋" w:cs="仿宋"/>
          <w:color w:val="000000"/>
          <w:kern w:val="0"/>
          <w:sz w:val="24"/>
        </w:rPr>
        <w:t>特此证明。</w:t>
      </w:r>
    </w:p>
    <w:p>
      <w:pPr>
        <w:widowControl/>
        <w:spacing w:line="360" w:lineRule="auto"/>
        <w:rPr>
          <w:rFonts w:ascii="仿宋" w:hAnsi="仿宋" w:eastAsia="仿宋" w:cs="仿宋"/>
          <w:b/>
          <w:bCs/>
          <w:color w:val="000000"/>
          <w:kern w:val="0"/>
          <w:sz w:val="24"/>
        </w:rPr>
      </w:pPr>
      <w:r>
        <w:rPr>
          <w:rFonts w:hint="eastAsia" w:ascii="仿宋" w:hAnsi="仿宋" w:eastAsia="仿宋" w:cs="仿宋"/>
          <w:b/>
          <w:bCs/>
          <w:color w:val="000000"/>
          <w:kern w:val="0"/>
          <w:sz w:val="24"/>
        </w:rPr>
        <w:t>附：法定代表人身份证复印件（需同时提供正面及背面）。</w:t>
      </w:r>
    </w:p>
    <w:p>
      <w:pPr>
        <w:widowControl/>
        <w:spacing w:line="360" w:lineRule="auto"/>
        <w:rPr>
          <w:rFonts w:ascii="仿宋" w:hAnsi="仿宋" w:eastAsia="仿宋" w:cs="仿宋"/>
          <w:color w:val="000000"/>
          <w:kern w:val="0"/>
        </w:rPr>
      </w:pPr>
      <w:r>
        <w:rPr>
          <w:rFonts w:hint="eastAsia" w:ascii="仿宋" w:hAnsi="仿宋" w:eastAsia="仿宋" w:cs="仿宋"/>
          <w:color w:val="000000"/>
          <w:kern w:val="0"/>
        </w:rPr>
        <mc:AlternateContent>
          <mc:Choice Requires="wps">
            <w:drawing>
              <wp:anchor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5926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028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2"/>
        <w:spacing w:line="440" w:lineRule="atLeast"/>
        <w:ind w:firstLine="480"/>
        <w:jc w:val="left"/>
        <w:rPr>
          <w:rFonts w:ascii="仿宋" w:hAnsi="仿宋" w:eastAsia="仿宋" w:cs="仿宋"/>
          <w:color w:val="000000"/>
        </w:rPr>
      </w:pPr>
    </w:p>
    <w:p>
      <w:pPr>
        <w:pStyle w:val="152"/>
        <w:spacing w:line="440" w:lineRule="atLeast"/>
        <w:ind w:firstLine="480"/>
        <w:jc w:val="left"/>
        <w:rPr>
          <w:rFonts w:ascii="仿宋" w:hAnsi="仿宋" w:eastAsia="仿宋" w:cs="仿宋"/>
          <w:color w:val="000000"/>
        </w:rPr>
      </w:pPr>
    </w:p>
    <w:p>
      <w:pPr>
        <w:pStyle w:val="15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sz w:val="24"/>
        </w:rPr>
      </w:pPr>
    </w:p>
    <w:p>
      <w:pPr>
        <w:tabs>
          <w:tab w:val="left" w:pos="720"/>
          <w:tab w:val="left" w:pos="900"/>
        </w:tabs>
        <w:spacing w:line="360" w:lineRule="auto"/>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p>
    <w:p>
      <w:pPr>
        <w:wordWrap w:val="0"/>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tabs>
          <w:tab w:val="left" w:pos="720"/>
          <w:tab w:val="left" w:pos="900"/>
        </w:tabs>
        <w:spacing w:line="360" w:lineRule="auto"/>
        <w:ind w:left="1078"/>
        <w:rPr>
          <w:rFonts w:ascii="仿宋" w:hAnsi="仿宋" w:eastAsia="仿宋" w:cs="仿宋"/>
          <w:color w:val="000000"/>
          <w:sz w:val="24"/>
        </w:rPr>
      </w:pPr>
    </w:p>
    <w:p>
      <w:pPr>
        <w:tabs>
          <w:tab w:val="left" w:pos="720"/>
          <w:tab w:val="left" w:pos="900"/>
        </w:tabs>
        <w:spacing w:line="360" w:lineRule="auto"/>
        <w:ind w:left="1078"/>
        <w:rPr>
          <w:rFonts w:ascii="仿宋" w:hAnsi="仿宋" w:eastAsia="仿宋" w:cs="仿宋"/>
          <w:color w:val="000000"/>
          <w:sz w:val="24"/>
        </w:rPr>
      </w:pPr>
    </w:p>
    <w:p>
      <w:pPr>
        <w:pStyle w:val="6"/>
        <w:spacing w:before="0" w:after="0" w:line="360" w:lineRule="auto"/>
        <w:rPr>
          <w:rFonts w:ascii="仿宋" w:hAnsi="仿宋" w:eastAsia="仿宋" w:cs="仿宋"/>
          <w:color w:val="000000"/>
          <w:kern w:val="0"/>
          <w:szCs w:val="21"/>
        </w:rPr>
        <w:sectPr>
          <w:footerReference r:id="rId11"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bookmarkStart w:id="225" w:name="_Toc15218"/>
      <w:bookmarkStart w:id="226" w:name="_Toc100672423"/>
      <w:bookmarkStart w:id="227" w:name="_Toc517281841"/>
      <w:bookmarkStart w:id="228" w:name="_Toc27026"/>
      <w:bookmarkStart w:id="229" w:name="_Toc287600132"/>
      <w:bookmarkStart w:id="230" w:name="_Toc444891357"/>
      <w:bookmarkStart w:id="231" w:name="_Toc16561"/>
      <w:bookmarkStart w:id="232" w:name="_Toc5406"/>
      <w:bookmarkStart w:id="233" w:name="_Toc11396"/>
      <w:bookmarkStart w:id="234" w:name="_Toc34779120"/>
      <w:bookmarkStart w:id="235" w:name="_Toc34779216"/>
      <w:bookmarkStart w:id="236" w:name="_Toc34779170"/>
      <w:bookmarkStart w:id="237" w:name="_Toc35957216"/>
      <w:bookmarkStart w:id="238" w:name="_Toc287600135"/>
      <w:bookmarkStart w:id="239" w:name="_Toc34822258"/>
      <w:r>
        <w:rPr>
          <w:rFonts w:hint="eastAsia" w:ascii="仿宋" w:hAnsi="仿宋" w:eastAsia="仿宋" w:cs="仿宋"/>
          <w:color w:val="000000"/>
          <w:sz w:val="24"/>
          <w:szCs w:val="24"/>
        </w:rPr>
        <w:t>（三）资格证明文件</w:t>
      </w:r>
      <w:bookmarkEnd w:id="225"/>
      <w:bookmarkEnd w:id="226"/>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15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15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152"/>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bl>
    <w:p>
      <w:pPr>
        <w:pStyle w:val="152"/>
        <w:jc w:val="left"/>
        <w:rPr>
          <w:rFonts w:ascii="仿宋" w:hAnsi="仿宋" w:eastAsia="仿宋" w:cs="宋体"/>
          <w:b/>
          <w:color w:val="000000"/>
          <w:sz w:val="24"/>
          <w:szCs w:val="24"/>
        </w:rPr>
      </w:pPr>
      <w:r>
        <w:rPr>
          <w:rFonts w:hint="eastAsia" w:ascii="仿宋" w:hAnsi="仿宋" w:eastAsia="仿宋" w:cs="宋体"/>
          <w:b/>
          <w:color w:val="000000"/>
          <w:sz w:val="24"/>
          <w:szCs w:val="24"/>
        </w:rPr>
        <w:t>注：提供由工商部门核发的最新营业执照（正副本皆可）。</w:t>
      </w:r>
    </w:p>
    <w:p>
      <w:pPr>
        <w:pStyle w:val="152"/>
        <w:jc w:val="left"/>
        <w:rPr>
          <w:rFonts w:ascii="仿宋" w:hAnsi="仿宋" w:eastAsia="仿宋" w:cs="仿宋"/>
          <w:b/>
          <w:color w:val="000000"/>
          <w:sz w:val="24"/>
          <w:szCs w:val="24"/>
        </w:rPr>
      </w:pPr>
    </w:p>
    <w:p>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152"/>
        <w:jc w:val="left"/>
        <w:rPr>
          <w:rFonts w:ascii="仿宋" w:hAnsi="仿宋" w:eastAsia="仿宋" w:cs="仿宋"/>
          <w:b/>
          <w:color w:val="000000"/>
        </w:rPr>
      </w:pPr>
    </w:p>
    <w:p>
      <w:pPr>
        <w:pStyle w:val="7"/>
        <w:spacing w:before="0" w:after="0" w:line="360" w:lineRule="auto"/>
        <w:rPr>
          <w:rFonts w:ascii="仿宋" w:hAnsi="仿宋" w:eastAsia="仿宋" w:cs="仿宋"/>
          <w:color w:val="000000"/>
          <w:sz w:val="24"/>
        </w:rPr>
      </w:pPr>
      <w:r>
        <w:rPr>
          <w:rFonts w:hint="eastAsia" w:ascii="仿宋" w:hAnsi="仿宋" w:cs="仿宋"/>
          <w:color w:val="000000"/>
        </w:rPr>
        <w:br w:type="page"/>
      </w:r>
    </w:p>
    <w:p>
      <w:pPr>
        <w:spacing w:line="360" w:lineRule="auto"/>
        <w:ind w:firstLine="480" w:firstLineChars="200"/>
        <w:textAlignment w:val="baseline"/>
        <w:rPr>
          <w:rFonts w:ascii="仿宋" w:hAnsi="仿宋" w:eastAsia="仿宋" w:cs="仿宋"/>
          <w:color w:val="000000"/>
          <w:sz w:val="24"/>
        </w:rPr>
      </w:pP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2、具有履行合同所必需的设备和专业技术能力：提供承诺函，格式自拟</w:t>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3</w:t>
      </w:r>
      <w:r>
        <w:rPr>
          <w:rFonts w:hint="eastAsia" w:ascii="仿宋" w:hAnsi="仿宋" w:eastAsia="仿宋" w:cs="仿宋"/>
          <w:color w:val="000000"/>
          <w:sz w:val="24"/>
          <w:szCs w:val="24"/>
        </w:rPr>
        <w:t>、企业税收和社会保障资金缴纳凭证</w:t>
      </w:r>
    </w:p>
    <w:p>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提供6个月任意一个月的企业税收和社会保障资金缴纳凭证。</w:t>
      </w:r>
    </w:p>
    <w:p>
      <w:pPr>
        <w:spacing w:line="360" w:lineRule="auto"/>
        <w:ind w:firstLine="480" w:firstLineChars="200"/>
        <w:textAlignment w:val="baseline"/>
        <w:rPr>
          <w:rFonts w:ascii="仿宋" w:hAnsi="仿宋" w:eastAsia="仿宋" w:cs="Cambria Math"/>
          <w:color w:val="000000"/>
          <w:sz w:val="24"/>
        </w:rPr>
      </w:pPr>
    </w:p>
    <w:p>
      <w:pPr>
        <w:rPr>
          <w:rFonts w:ascii="仿宋" w:hAnsi="仿宋" w:eastAsia="仿宋" w:cs="仿宋"/>
          <w:color w:val="000000"/>
          <w:sz w:val="24"/>
        </w:rPr>
      </w:pPr>
      <w:r>
        <w:rPr>
          <w:rFonts w:hint="eastAsia" w:ascii="仿宋" w:hAnsi="仿宋" w:eastAsia="仿宋" w:cs="仿宋"/>
          <w:color w:val="000000"/>
          <w:sz w:val="24"/>
        </w:rPr>
        <w:br w:type="page"/>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、无违法违规记录查询截图</w:t>
      </w:r>
    </w:p>
    <w:p>
      <w:pPr>
        <w:spacing w:line="360" w:lineRule="auto"/>
        <w:ind w:firstLine="480" w:firstLineChars="200"/>
        <w:textAlignment w:val="baseline"/>
        <w:rPr>
          <w:rStyle w:val="48"/>
        </w:rPr>
      </w:pPr>
      <w:r>
        <w:rPr>
          <w:rFonts w:hint="eastAsia" w:ascii="仿宋" w:hAnsi="仿宋" w:eastAsia="仿宋" w:cs="Cambria Math"/>
          <w:color w:val="000000"/>
          <w:sz w:val="24"/>
        </w:rPr>
        <w:t>信用中国查询网址：</w:t>
      </w:r>
      <w:r>
        <w:fldChar w:fldCharType="begin"/>
      </w:r>
      <w:r>
        <w:instrText xml:space="preserve"> HYPERLINK "https://www.creditchina.gov.cn/xinyongfuwu/?navPage=5" </w:instrText>
      </w:r>
      <w:r>
        <w:fldChar w:fldCharType="separate"/>
      </w:r>
      <w:r>
        <w:rPr>
          <w:rStyle w:val="48"/>
          <w:rFonts w:hint="eastAsia"/>
        </w:rPr>
        <w:t>https://www.creditchina.gov.cn/xinyongfuwu/?navPage=5</w:t>
      </w:r>
      <w:r>
        <w:rPr>
          <w:rStyle w:val="48"/>
          <w:rFonts w:hint="eastAsia"/>
        </w:rPr>
        <w:fldChar w:fldCharType="end"/>
      </w:r>
    </w:p>
    <w:p>
      <w:pPr>
        <w:spacing w:line="360" w:lineRule="auto"/>
        <w:ind w:firstLine="480" w:firstLineChars="200"/>
        <w:textAlignment w:val="baseline"/>
        <w:rPr>
          <w:color w:val="333333"/>
        </w:rPr>
      </w:pPr>
      <w:r>
        <w:rPr>
          <w:rFonts w:hint="eastAsia" w:ascii="仿宋" w:hAnsi="仿宋" w:eastAsia="仿宋" w:cs="Cambria Math"/>
          <w:sz w:val="24"/>
        </w:rPr>
        <w:t>（1）失信被执行人查询截图范例：</w:t>
      </w:r>
    </w:p>
    <w:p>
      <w:pPr>
        <w:ind w:firstLine="210" w:firstLineChars="100"/>
      </w:pPr>
      <w:r>
        <w:drawing>
          <wp:inline distT="0" distB="0" distL="114300" distR="114300">
            <wp:extent cx="5909310" cy="4281170"/>
            <wp:effectExtent l="0" t="0" r="8890" b="1143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tretch>
                      <a:fillRect/>
                    </a:stretch>
                  </pic:blipFill>
                  <pic:spPr>
                    <a:xfrm>
                      <a:off x="0" y="0"/>
                      <a:ext cx="5909310" cy="4281170"/>
                    </a:xfrm>
                    <a:prstGeom prst="rect">
                      <a:avLst/>
                    </a:prstGeom>
                    <a:noFill/>
                    <a:ln>
                      <a:noFill/>
                    </a:ln>
                  </pic:spPr>
                </pic:pic>
              </a:graphicData>
            </a:graphic>
          </wp:inline>
        </w:drawing>
      </w:r>
    </w:p>
    <w:p>
      <w:pPr>
        <w:rPr>
          <w:rFonts w:ascii="仿宋" w:hAnsi="仿宋" w:eastAsia="仿宋" w:cs="微软雅黑"/>
          <w:color w:val="000000"/>
          <w:sz w:val="24"/>
        </w:rPr>
      </w:pPr>
      <w:r>
        <w:rPr>
          <w:rFonts w:hint="eastAsia" w:ascii="仿宋" w:hAnsi="仿宋" w:eastAsia="仿宋" w:cs="微软雅黑"/>
          <w:color w:val="000000"/>
          <w:sz w:val="24"/>
        </w:rPr>
        <w:t>（2）“信用中国”</w:t>
      </w:r>
      <w:r>
        <w:rPr>
          <w:rFonts w:hint="eastAsia" w:ascii="仿宋" w:hAnsi="仿宋" w:eastAsia="仿宋" w:cs="仿宋"/>
          <w:bCs/>
          <w:color w:val="000000"/>
          <w:sz w:val="24"/>
        </w:rPr>
        <w:t>重大税收违法失信主体</w:t>
      </w:r>
      <w:r>
        <w:rPr>
          <w:rFonts w:hint="eastAsia" w:ascii="仿宋" w:hAnsi="仿宋" w:eastAsia="仿宋" w:cs="微软雅黑"/>
          <w:color w:val="000000"/>
          <w:sz w:val="24"/>
        </w:rPr>
        <w:t>查询截图</w:t>
      </w:r>
      <w:r>
        <w:rPr>
          <w:rFonts w:hint="eastAsia" w:ascii="仿宋" w:hAnsi="仿宋" w:eastAsia="仿宋" w:cs="Cambria Math"/>
          <w:sz w:val="24"/>
        </w:rPr>
        <w:t>范例：</w:t>
      </w:r>
    </w:p>
    <w:p>
      <w:pPr>
        <w:spacing w:line="360" w:lineRule="auto"/>
        <w:textAlignment w:val="baseline"/>
      </w:pPr>
      <w:r>
        <w:rPr>
          <w:rFonts w:ascii="仿宋" w:hAnsi="仿宋" w:eastAsia="仿宋"/>
          <w:color w:val="000000"/>
          <w:szCs w:val="21"/>
        </w:rPr>
        <w:drawing>
          <wp:inline distT="0" distB="0" distL="114300" distR="114300">
            <wp:extent cx="6071235" cy="3276600"/>
            <wp:effectExtent l="0" t="0" r="12065" b="0"/>
            <wp:docPr id="7" name="图片 3" descr="17ecc54a6dd06d51d4b5110113bc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7ecc54a6dd06d51d4b5110113bc37c"/>
                    <pic:cNvPicPr>
                      <a:picLocks noChangeAspect="1"/>
                    </pic:cNvPicPr>
                  </pic:nvPicPr>
                  <pic:blipFill>
                    <a:blip r:embed="rId14"/>
                    <a:stretch>
                      <a:fillRect/>
                    </a:stretch>
                  </pic:blipFill>
                  <pic:spPr>
                    <a:xfrm>
                      <a:off x="0" y="0"/>
                      <a:ext cx="6071235" cy="3276600"/>
                    </a:xfrm>
                    <a:prstGeom prst="rect">
                      <a:avLst/>
                    </a:prstGeom>
                    <a:noFill/>
                    <a:ln>
                      <a:noFill/>
                    </a:ln>
                  </pic:spPr>
                </pic:pic>
              </a:graphicData>
            </a:graphic>
          </wp:inline>
        </w:drawing>
      </w:r>
    </w:p>
    <w:p>
      <w:pPr>
        <w:ind w:firstLine="240" w:firstLineChars="100"/>
        <w:rPr>
          <w:rFonts w:ascii="仿宋" w:hAnsi="仿宋" w:eastAsia="仿宋" w:cs="Cambria Math"/>
          <w:sz w:val="24"/>
        </w:rPr>
      </w:pPr>
      <w:r>
        <w:rPr>
          <w:rFonts w:hint="eastAsia" w:ascii="仿宋" w:hAnsi="仿宋" w:eastAsia="仿宋" w:cs="Cambria Math"/>
          <w:sz w:val="24"/>
        </w:rPr>
        <w:t>（3）政府采购严重违法失信行为记录名单查询截图范例：</w:t>
      </w:r>
    </w:p>
    <w:p>
      <w:pPr>
        <w:ind w:firstLine="210" w:firstLineChars="100"/>
      </w:pPr>
      <w: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pPr>
        <w:pStyle w:val="19"/>
        <w:rPr>
          <w:rFonts w:ascii="仿宋" w:hAnsi="仿宋" w:eastAsia="仿宋"/>
          <w:szCs w:val="21"/>
        </w:rPr>
      </w:pPr>
    </w:p>
    <w:p>
      <w:r>
        <w:br w:type="page"/>
      </w:r>
    </w:p>
    <w:p>
      <w:pPr>
        <w:pStyle w:val="7"/>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5</w:t>
      </w:r>
      <w:r>
        <w:rPr>
          <w:rFonts w:hint="eastAsia" w:ascii="仿宋" w:hAnsi="仿宋" w:eastAsia="仿宋" w:cs="仿宋"/>
          <w:color w:val="000000"/>
          <w:sz w:val="24"/>
          <w:szCs w:val="24"/>
        </w:rPr>
        <w:t>、未列入供应商黑名单承诺函</w:t>
      </w:r>
    </w:p>
    <w:p>
      <w:pPr>
        <w:pStyle w:val="19"/>
        <w:spacing w:before="240"/>
        <w:rPr>
          <w:rFonts w:ascii="仿宋" w:hAnsi="仿宋" w:eastAsia="仿宋" w:cs="Cambria Math"/>
          <w:b/>
          <w:bCs/>
          <w:color w:val="000000"/>
          <w:sz w:val="24"/>
        </w:rPr>
      </w:pPr>
      <w:r>
        <w:rPr>
          <w:rFonts w:hint="eastAsia" w:ascii="仿宋" w:hAnsi="仿宋" w:eastAsia="仿宋" w:cs="Cambria Math"/>
          <w:b/>
          <w:bCs/>
          <w:color w:val="000000"/>
          <w:sz w:val="24"/>
        </w:rPr>
        <w:t>未被列入供应商黑名单承诺函</w:t>
      </w:r>
    </w:p>
    <w:p>
      <w:pPr>
        <w:adjustRightInd w:val="0"/>
        <w:snapToGrid w:val="0"/>
        <w:spacing w:before="240" w:line="360" w:lineRule="auto"/>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中国人民财产保险股份有限公司毕节分公司     </w:t>
      </w:r>
      <w:r>
        <w:rPr>
          <w:rFonts w:hint="eastAsia" w:ascii="仿宋" w:hAnsi="仿宋" w:eastAsia="仿宋" w:cs="Cambria Math"/>
          <w:color w:val="000000"/>
          <w:sz w:val="24"/>
        </w:rPr>
        <w:t>：</w:t>
      </w:r>
    </w:p>
    <w:p>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承诺截至本项目响应文件递交截止时间，我方未被列入采购人及其所隶属的中国人民保险各级机构的供应商黑名单且未在禁入期内。</w:t>
      </w:r>
    </w:p>
    <w:p>
      <w:pPr>
        <w:pStyle w:val="19"/>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特此承诺。</w:t>
      </w:r>
    </w:p>
    <w:p>
      <w:pPr>
        <w:pStyle w:val="169"/>
        <w:ind w:firstLine="640"/>
        <w:rPr>
          <w:rFonts w:ascii="仿宋" w:hAnsi="仿宋" w:eastAsia="仿宋"/>
        </w:rPr>
      </w:pPr>
    </w:p>
    <w:p>
      <w:pPr>
        <w:pStyle w:val="169"/>
        <w:ind w:firstLine="640"/>
        <w:rPr>
          <w:rFonts w:ascii="仿宋" w:hAnsi="仿宋" w:eastAsia="仿宋"/>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144"/>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7"/>
        <w:spacing w:before="0" w:after="0" w:line="360" w:lineRule="auto"/>
        <w:rPr>
          <w:rFonts w:ascii="仿宋" w:hAnsi="仿宋" w:eastAsia="仿宋" w:cs="仿宋"/>
          <w:color w:val="000000"/>
          <w:sz w:val="24"/>
          <w:szCs w:val="24"/>
        </w:rPr>
      </w:pPr>
      <w:bookmarkStart w:id="240" w:name="_Hlk69983040"/>
      <w:r>
        <w:rPr>
          <w:rFonts w:ascii="仿宋" w:hAnsi="仿宋" w:eastAsia="仿宋" w:cs="仿宋"/>
          <w:color w:val="000000"/>
          <w:sz w:val="24"/>
          <w:szCs w:val="24"/>
        </w:rPr>
        <w:t>6</w:t>
      </w:r>
      <w:r>
        <w:rPr>
          <w:rFonts w:hint="eastAsia" w:ascii="仿宋" w:hAnsi="仿宋" w:eastAsia="仿宋" w:cs="仿宋"/>
          <w:color w:val="000000"/>
          <w:sz w:val="24"/>
          <w:szCs w:val="24"/>
        </w:rPr>
        <w:t>、供应商控股及管理关系情况申报表：提供承诺函，格式自拟。</w:t>
      </w:r>
    </w:p>
    <w:bookmarkEnd w:id="227"/>
    <w:bookmarkEnd w:id="240"/>
    <w:p>
      <w:pPr>
        <w:pStyle w:val="169"/>
        <w:ind w:firstLine="640"/>
        <w:rPr>
          <w:rFonts w:ascii="仿宋" w:hAnsi="仿宋" w:eastAsia="仿宋"/>
        </w:rPr>
      </w:pPr>
      <w:bookmarkStart w:id="241" w:name="_Toc71192048"/>
      <w:bookmarkStart w:id="242" w:name="_Toc20195"/>
      <w:bookmarkStart w:id="243" w:name="_Toc432420841"/>
      <w:bookmarkStart w:id="244" w:name="_Toc517281859"/>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hint="eastAsia" w:ascii="仿宋" w:hAnsi="仿宋" w:eastAsia="仿宋"/>
        </w:rPr>
      </w:pPr>
    </w:p>
    <w:p>
      <w:pPr>
        <w:pStyle w:val="6"/>
        <w:spacing w:before="0" w:after="0" w:line="360" w:lineRule="auto"/>
        <w:rPr>
          <w:rFonts w:ascii="仿宋" w:hAnsi="仿宋" w:cs="宋体"/>
          <w:color w:val="000000"/>
          <w:szCs w:val="24"/>
        </w:rPr>
      </w:pPr>
      <w:bookmarkStart w:id="245" w:name="_Toc2298"/>
      <w:bookmarkStart w:id="246" w:name="_Toc18208"/>
      <w:bookmarkStart w:id="247" w:name="_Toc144139212"/>
      <w:bookmarkStart w:id="248" w:name="_Toc23978"/>
      <w:bookmarkStart w:id="249" w:name="_Toc7539"/>
      <w:bookmarkStart w:id="250" w:name="_Toc112068411"/>
      <w:bookmarkStart w:id="251" w:name="_Toc65683009"/>
      <w:bookmarkStart w:id="252" w:name="_Toc100672424"/>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245"/>
      <w:bookmarkEnd w:id="246"/>
      <w:bookmarkEnd w:id="247"/>
      <w:bookmarkEnd w:id="248"/>
      <w:bookmarkEnd w:id="249"/>
      <w:bookmarkEnd w:id="250"/>
      <w:bookmarkEnd w:id="251"/>
    </w:p>
    <w:p>
      <w:pPr>
        <w:spacing w:line="360" w:lineRule="auto"/>
        <w:rPr>
          <w:rFonts w:ascii="仿宋" w:hAnsi="仿宋" w:eastAsia="仿宋" w:cs="宋体"/>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ascii="仿宋" w:hAnsi="仿宋" w:eastAsia="仿宋" w:cs="宋体"/>
          <w:color w:val="000000"/>
          <w:sz w:val="24"/>
        </w:rPr>
        <w:t xml:space="preserve">         </w:t>
      </w:r>
      <w:r>
        <w:rPr>
          <w:rFonts w:hint="eastAsia" w:ascii="仿宋" w:hAnsi="仿宋" w:eastAsia="仿宋" w:cs="宋体"/>
          <w:color w:val="000000"/>
          <w:sz w:val="24"/>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sz w:val="24"/>
        </w:rPr>
      </w:pPr>
      <w:r>
        <w:rPr>
          <w:rFonts w:hint="eastAsia" w:ascii="仿宋" w:hAnsi="仿宋" w:eastAsia="仿宋" w:cs="宋体"/>
          <w:color w:val="000000"/>
          <w:sz w:val="24"/>
        </w:rPr>
        <w:t>注：所有偏离须在本表中列出，未在本偏离表中列出偏离，将视为供应商已完全接受询价文件要求</w:t>
      </w:r>
      <w:r>
        <w:rPr>
          <w:rFonts w:hint="eastAsia" w:ascii="仿宋" w:hAnsi="仿宋" w:eastAsia="仿宋" w:cs="宋体"/>
          <w:b/>
          <w:bCs/>
          <w:color w:val="000000"/>
          <w:sz w:val="24"/>
        </w:rPr>
        <w:t>。如全部满足，在偏离表中应答“全部满足”即可。</w:t>
      </w: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rPr>
          <w:rFonts w:ascii="仿宋" w:hAnsi="仿宋" w:eastAsia="仿宋" w:cs="仿宋"/>
          <w:color w:val="000000"/>
          <w:sz w:val="24"/>
        </w:rPr>
      </w:pPr>
      <w:r>
        <w:rPr>
          <w:rFonts w:hint="eastAsia" w:ascii="仿宋" w:hAnsi="仿宋" w:eastAsia="仿宋" w:cs="仿宋"/>
          <w:color w:val="000000"/>
          <w:sz w:val="24"/>
        </w:rPr>
        <w:br w:type="page"/>
      </w:r>
    </w:p>
    <w:p>
      <w:pPr>
        <w:pStyle w:val="6"/>
        <w:spacing w:before="0" w:after="0" w:line="360" w:lineRule="auto"/>
        <w:rPr>
          <w:rFonts w:ascii="仿宋" w:hAnsi="仿宋" w:eastAsia="仿宋" w:cs="仿宋"/>
          <w:color w:val="000000"/>
          <w:sz w:val="24"/>
          <w:szCs w:val="24"/>
        </w:rPr>
      </w:pPr>
      <w:bookmarkStart w:id="253" w:name="_Toc11886"/>
      <w:r>
        <w:rPr>
          <w:rFonts w:hint="eastAsia" w:ascii="仿宋" w:hAnsi="仿宋" w:eastAsia="仿宋" w:cs="仿宋"/>
          <w:color w:val="000000"/>
          <w:sz w:val="24"/>
          <w:szCs w:val="24"/>
        </w:rPr>
        <w:t>（六）合同条款应答偏离表</w:t>
      </w:r>
      <w:bookmarkEnd w:id="252"/>
      <w:bookmarkEnd w:id="253"/>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sz w:val="24"/>
        </w:rPr>
      </w:pPr>
      <w:r>
        <w:rPr>
          <w:rFonts w:hint="eastAsia" w:ascii="仿宋" w:hAnsi="仿宋" w:eastAsia="仿宋" w:cs="Cambria Math"/>
          <w:color w:val="000000"/>
          <w:sz w:val="24"/>
        </w:rPr>
        <w:t>注：所有偏离必须在本表中列出，未在本偏离表中列出偏离，将视为供应商已完全接受询价文件要求；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sz w:val="24"/>
        </w:rPr>
      </w:pPr>
    </w:p>
    <w:p>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spacing w:line="360" w:lineRule="auto"/>
        <w:rPr>
          <w:rFonts w:ascii="仿宋" w:hAnsi="仿宋" w:eastAsia="仿宋" w:cs="仿宋"/>
          <w:color w:val="000000"/>
          <w:u w:val="single"/>
        </w:rPr>
      </w:pPr>
    </w:p>
    <w:p>
      <w:r>
        <w:br w:type="page"/>
      </w:r>
    </w:p>
    <w:p>
      <w:pPr>
        <w:pStyle w:val="6"/>
        <w:spacing w:before="0" w:after="0" w:line="360" w:lineRule="auto"/>
        <w:rPr>
          <w:rFonts w:ascii="仿宋" w:hAnsi="仿宋" w:eastAsia="仿宋" w:cs="仿宋"/>
          <w:color w:val="000000"/>
          <w:sz w:val="24"/>
          <w:szCs w:val="24"/>
        </w:rPr>
      </w:pPr>
      <w:bookmarkStart w:id="254" w:name="_Toc100672426"/>
      <w:bookmarkStart w:id="255" w:name="_Toc3356"/>
      <w:r>
        <w:rPr>
          <w:rFonts w:hint="eastAsia" w:ascii="仿宋" w:hAnsi="仿宋" w:eastAsia="仿宋" w:cs="仿宋"/>
          <w:color w:val="000000"/>
          <w:sz w:val="24"/>
          <w:szCs w:val="24"/>
        </w:rPr>
        <w:t>（七）供应商行为准则承诺函</w:t>
      </w:r>
      <w:bookmarkEnd w:id="254"/>
      <w:bookmarkEnd w:id="255"/>
    </w:p>
    <w:p>
      <w:pPr>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sz w:val="24"/>
        </w:rPr>
      </w:pP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r>
        <w:rPr>
          <w:rFonts w:hint="eastAsia"/>
        </w:rPr>
        <w:br w:type="page"/>
      </w:r>
    </w:p>
    <w:p>
      <w:pPr>
        <w:pStyle w:val="6"/>
        <w:spacing w:before="0" w:after="0" w:line="360" w:lineRule="auto"/>
        <w:rPr>
          <w:rFonts w:ascii="仿宋" w:hAnsi="仿宋" w:eastAsia="仿宋" w:cs="仿宋"/>
          <w:color w:val="000000"/>
          <w:sz w:val="24"/>
          <w:szCs w:val="24"/>
        </w:rPr>
      </w:pPr>
      <w:bookmarkStart w:id="256" w:name="_Toc548"/>
      <w:bookmarkStart w:id="257" w:name="_Toc22627"/>
      <w:bookmarkStart w:id="258" w:name="_Toc4601"/>
      <w:r>
        <w:rPr>
          <w:rFonts w:hint="eastAsia" w:ascii="仿宋" w:hAnsi="仿宋" w:eastAsia="仿宋" w:cs="仿宋"/>
          <w:color w:val="000000"/>
          <w:sz w:val="24"/>
          <w:szCs w:val="24"/>
        </w:rPr>
        <w:t>（八）供应商廉洁诚信承诺书</w:t>
      </w:r>
      <w:bookmarkEnd w:id="256"/>
      <w:bookmarkEnd w:id="257"/>
      <w:bookmarkEnd w:id="25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sz w:val="24"/>
        </w:rPr>
      </w:pP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参与采购项目的资格；</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sz w:val="24"/>
        </w:rPr>
      </w:pP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sz w:val="24"/>
        </w:rPr>
      </w:pPr>
    </w:p>
    <w:p>
      <w:pPr>
        <w:tabs>
          <w:tab w:val="left" w:pos="458"/>
        </w:tabs>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仿宋" w:hAnsi="仿宋" w:eastAsia="仿宋" w:cs="宋体"/>
          <w:color w:val="000000"/>
        </w:rPr>
      </w:pPr>
      <w:r>
        <w:rPr>
          <w:rFonts w:hint="eastAsia" w:ascii="仿宋" w:hAnsi="仿宋" w:eastAsia="仿宋" w:cs="仿宋"/>
          <w:color w:val="000000"/>
          <w:sz w:val="24"/>
        </w:rPr>
        <w:t>日期：__________________________________</w:t>
      </w:r>
    </w:p>
    <w:p>
      <w:pPr>
        <w:pStyle w:val="6"/>
        <w:spacing w:before="0" w:after="0" w:line="360" w:lineRule="auto"/>
        <w:rPr>
          <w:rFonts w:ascii="仿宋" w:hAnsi="仿宋" w:eastAsia="仿宋" w:cs="仿宋"/>
          <w:color w:val="000000"/>
          <w:sz w:val="24"/>
          <w:szCs w:val="24"/>
        </w:rPr>
      </w:pPr>
      <w:r>
        <w:rPr>
          <w:rFonts w:ascii="仿宋" w:hAnsi="仿宋" w:cs="宋体"/>
          <w:color w:val="000000"/>
          <w:szCs w:val="24"/>
        </w:rPr>
        <w:br w:type="page"/>
      </w:r>
      <w:bookmarkStart w:id="259" w:name="_Toc843"/>
      <w:bookmarkStart w:id="260" w:name="_Toc100672428"/>
      <w:r>
        <w:rPr>
          <w:rFonts w:hint="eastAsia" w:ascii="仿宋" w:hAnsi="仿宋" w:eastAsia="仿宋" w:cs="仿宋"/>
          <w:color w:val="000000"/>
          <w:sz w:val="24"/>
          <w:szCs w:val="24"/>
        </w:rPr>
        <w:t>（九）其他材料</w:t>
      </w:r>
      <w:bookmarkEnd w:id="259"/>
      <w:bookmarkEnd w:id="260"/>
    </w:p>
    <w:p>
      <w:pPr>
        <w:spacing w:line="360" w:lineRule="auto"/>
        <w:rPr>
          <w:rFonts w:ascii="仿宋" w:hAnsi="仿宋" w:eastAsia="仿宋" w:cs="仿宋"/>
          <w:color w:val="000000"/>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bookmarkEnd w:id="241"/>
    <w:p>
      <w:pPr>
        <w:pStyle w:val="5"/>
        <w:ind w:firstLine="0" w:firstLineChars="0"/>
        <w:jc w:val="both"/>
        <w:rPr>
          <w:rFonts w:ascii="仿宋" w:hAnsi="仿宋" w:eastAsia="仿宋" w:cs="仿宋"/>
          <w:color w:val="000000"/>
          <w:sz w:val="24"/>
          <w:szCs w:val="24"/>
        </w:rPr>
      </w:pPr>
      <w:bookmarkStart w:id="261" w:name="_Toc21580"/>
      <w:bookmarkStart w:id="262" w:name="_Toc120625378"/>
      <w:bookmarkStart w:id="263" w:name="_Toc7476"/>
      <w:bookmarkStart w:id="264" w:name="_Toc100672429"/>
      <w:r>
        <w:rPr>
          <w:rFonts w:hint="eastAsia" w:ascii="仿宋" w:hAnsi="仿宋" w:eastAsia="仿宋" w:cs="仿宋"/>
          <w:color w:val="000000"/>
          <w:sz w:val="24"/>
          <w:szCs w:val="24"/>
        </w:rPr>
        <w:t>二、技术册文件</w:t>
      </w:r>
      <w:bookmarkEnd w:id="242"/>
      <w:bookmarkEnd w:id="261"/>
      <w:bookmarkEnd w:id="262"/>
      <w:bookmarkEnd w:id="263"/>
      <w:bookmarkEnd w:id="264"/>
    </w:p>
    <w:bookmarkEnd w:id="243"/>
    <w:bookmarkEnd w:id="244"/>
    <w:p>
      <w:pPr>
        <w:pStyle w:val="6"/>
        <w:spacing w:before="0" w:after="0" w:line="360" w:lineRule="auto"/>
        <w:rPr>
          <w:rFonts w:ascii="仿宋" w:hAnsi="仿宋" w:eastAsia="仿宋" w:cs="仿宋"/>
          <w:color w:val="000000"/>
          <w:sz w:val="24"/>
          <w:szCs w:val="24"/>
        </w:rPr>
      </w:pPr>
      <w:bookmarkStart w:id="265" w:name="_Toc100672430"/>
      <w:bookmarkStart w:id="266" w:name="_Toc23108"/>
      <w:bookmarkStart w:id="267" w:name="_Toc17487"/>
      <w:r>
        <w:rPr>
          <w:rFonts w:hint="eastAsia" w:ascii="仿宋" w:hAnsi="仿宋" w:eastAsia="仿宋" w:cs="仿宋"/>
          <w:color w:val="000000"/>
          <w:sz w:val="24"/>
          <w:szCs w:val="24"/>
        </w:rPr>
        <w:t>（一）采购需求应答偏离表</w:t>
      </w:r>
      <w:bookmarkEnd w:id="265"/>
      <w:bookmarkEnd w:id="266"/>
      <w:bookmarkEnd w:id="267"/>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sz w:val="24"/>
        </w:rPr>
      </w:pPr>
      <w:r>
        <w:rPr>
          <w:rFonts w:hint="eastAsia" w:ascii="仿宋" w:hAnsi="仿宋" w:eastAsia="仿宋" w:cs="仿宋"/>
          <w:color w:val="000000"/>
          <w:sz w:val="24"/>
        </w:rPr>
        <w:t>注：</w:t>
      </w:r>
      <w:r>
        <w:rPr>
          <w:rFonts w:hint="eastAsia" w:ascii="仿宋" w:hAnsi="仿宋" w:eastAsia="仿宋" w:cs="Cambria Math"/>
          <w:color w:val="000000"/>
          <w:sz w:val="24"/>
        </w:rPr>
        <w:t>对于未列出的偏离内容视同供应商已完全接受询价文件的要求，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360" w:lineRule="auto"/>
        <w:ind w:left="480" w:hanging="480" w:hangingChars="200"/>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spacing w:line="360" w:lineRule="auto"/>
        <w:rPr>
          <w:rFonts w:ascii="仿宋" w:hAnsi="仿宋" w:eastAsia="仿宋" w:cs="仿宋"/>
          <w:color w:val="000000"/>
          <w:sz w:val="24"/>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268" w:name="_Toc674"/>
      <w:bookmarkStart w:id="269" w:name="_Toc100672431"/>
      <w:r>
        <w:rPr>
          <w:rFonts w:hint="eastAsia" w:ascii="仿宋" w:hAnsi="仿宋" w:eastAsia="仿宋" w:cs="仿宋"/>
          <w:color w:val="000000"/>
          <w:sz w:val="24"/>
          <w:szCs w:val="24"/>
        </w:rPr>
        <w:t>（二）服务方案</w:t>
      </w:r>
      <w:bookmarkEnd w:id="268"/>
      <w:bookmarkEnd w:id="269"/>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 xml:space="preserve">供应商应根据采购需求的要求，提供相应的文件内容以及证明材料。 </w:t>
      </w:r>
      <w:bookmarkEnd w:id="228"/>
      <w:bookmarkEnd w:id="229"/>
      <w:bookmarkEnd w:id="230"/>
      <w:bookmarkEnd w:id="231"/>
      <w:bookmarkEnd w:id="232"/>
      <w:bookmarkEnd w:id="233"/>
      <w:bookmarkStart w:id="270" w:name="_Toc517281860"/>
      <w:bookmarkStart w:id="271" w:name="_Toc444891358"/>
    </w:p>
    <w:p>
      <w:pPr>
        <w:jc w:val="center"/>
        <w:rPr>
          <w:rFonts w:asciiTheme="minorEastAsia" w:hAnsiTheme="minorEastAsia"/>
          <w:b/>
          <w:bCs/>
          <w:kern w:val="44"/>
          <w:sz w:val="28"/>
          <w:szCs w:val="28"/>
        </w:rPr>
      </w:pPr>
    </w:p>
    <w:p>
      <w:pPr>
        <w:jc w:val="center"/>
        <w:rPr>
          <w:rFonts w:asciiTheme="minorEastAsia" w:hAnsiTheme="minorEastAsia"/>
          <w:b/>
          <w:bCs/>
          <w:kern w:val="44"/>
          <w:sz w:val="28"/>
          <w:szCs w:val="28"/>
        </w:rPr>
      </w:pPr>
      <w:r>
        <w:rPr>
          <w:rFonts w:hint="eastAsia" w:asciiTheme="minorEastAsia" w:hAnsiTheme="minorEastAsia"/>
          <w:b/>
          <w:bCs/>
          <w:kern w:val="44"/>
          <w:sz w:val="28"/>
          <w:szCs w:val="28"/>
        </w:rPr>
        <w:t>服务方案</w:t>
      </w:r>
    </w:p>
    <w:p>
      <w:pPr>
        <w:spacing w:line="560" w:lineRule="exact"/>
        <w:rPr>
          <w:rFonts w:ascii="仿宋" w:hAnsi="仿宋" w:eastAsia="仿宋"/>
          <w:bCs/>
          <w:kern w:val="44"/>
          <w:sz w:val="28"/>
        </w:rPr>
      </w:pPr>
      <w:r>
        <w:rPr>
          <w:rFonts w:hint="eastAsia" w:ascii="仿宋" w:hAnsi="仿宋" w:eastAsia="仿宋"/>
          <w:bCs/>
          <w:kern w:val="44"/>
          <w:sz w:val="28"/>
        </w:rPr>
        <w:t>一、投标人简介</w:t>
      </w:r>
    </w:p>
    <w:p>
      <w:pPr>
        <w:spacing w:line="560" w:lineRule="exact"/>
        <w:rPr>
          <w:rFonts w:ascii="仿宋" w:hAnsi="仿宋" w:eastAsia="仿宋"/>
          <w:bCs/>
          <w:kern w:val="44"/>
          <w:sz w:val="28"/>
        </w:rPr>
      </w:pPr>
      <w:r>
        <w:rPr>
          <w:rFonts w:hint="eastAsia" w:ascii="仿宋" w:hAnsi="仿宋" w:eastAsia="仿宋"/>
          <w:bCs/>
          <w:kern w:val="44"/>
          <w:sz w:val="28"/>
        </w:rPr>
        <w:t>（此部分请供应商简要概述投标人情况，包括公司规模、现合作的互联网平台及每个平台的受众人群等）</w:t>
      </w:r>
    </w:p>
    <w:p>
      <w:pPr>
        <w:spacing w:line="560" w:lineRule="exact"/>
        <w:rPr>
          <w:rFonts w:ascii="仿宋" w:hAnsi="仿宋" w:eastAsia="仿宋"/>
          <w:bCs/>
          <w:kern w:val="44"/>
          <w:sz w:val="28"/>
        </w:rPr>
      </w:pPr>
      <w:r>
        <w:rPr>
          <w:rFonts w:ascii="仿宋" w:hAnsi="仿宋" w:eastAsia="仿宋"/>
          <w:bCs/>
          <w:kern w:val="44"/>
          <w:sz w:val="28"/>
        </w:rPr>
        <w:t>二</w:t>
      </w:r>
      <w:r>
        <w:rPr>
          <w:rFonts w:hint="eastAsia" w:ascii="仿宋" w:hAnsi="仿宋" w:eastAsia="仿宋"/>
          <w:bCs/>
          <w:kern w:val="44"/>
          <w:sz w:val="28"/>
        </w:rPr>
        <w:t>、</w:t>
      </w:r>
      <w:r>
        <w:rPr>
          <w:rFonts w:ascii="仿宋" w:hAnsi="仿宋" w:eastAsia="仿宋"/>
          <w:bCs/>
          <w:kern w:val="44"/>
          <w:sz w:val="28"/>
        </w:rPr>
        <w:t>项目承接案例</w:t>
      </w:r>
    </w:p>
    <w:p>
      <w:pPr>
        <w:spacing w:line="560" w:lineRule="exact"/>
        <w:rPr>
          <w:rFonts w:ascii="仿宋" w:hAnsi="仿宋" w:eastAsia="仿宋"/>
          <w:bCs/>
          <w:kern w:val="44"/>
          <w:sz w:val="28"/>
        </w:rPr>
      </w:pPr>
      <w:r>
        <w:rPr>
          <w:rFonts w:hint="eastAsia" w:ascii="仿宋" w:hAnsi="仿宋" w:eastAsia="仿宋"/>
          <w:bCs/>
          <w:kern w:val="44"/>
          <w:sz w:val="28"/>
        </w:rPr>
        <w:t>（此部分请供应商展示承接过的案例情况及与我公司或其他机构合作情况）</w:t>
      </w:r>
    </w:p>
    <w:p>
      <w:pPr>
        <w:spacing w:line="560" w:lineRule="exact"/>
        <w:rPr>
          <w:rFonts w:ascii="仿宋" w:hAnsi="仿宋" w:eastAsia="仿宋"/>
          <w:bCs/>
          <w:kern w:val="44"/>
          <w:sz w:val="28"/>
        </w:rPr>
      </w:pPr>
      <w:r>
        <w:rPr>
          <w:rFonts w:hint="eastAsia" w:ascii="仿宋" w:hAnsi="仿宋" w:eastAsia="仿宋"/>
          <w:bCs/>
          <w:kern w:val="44"/>
          <w:sz w:val="28"/>
        </w:rPr>
        <w:t>三、推广投放方案</w:t>
      </w:r>
    </w:p>
    <w:p>
      <w:pPr>
        <w:spacing w:line="560" w:lineRule="exact"/>
        <w:rPr>
          <w:rFonts w:ascii="仿宋" w:hAnsi="仿宋" w:eastAsia="仿宋"/>
          <w:bCs/>
          <w:kern w:val="44"/>
          <w:sz w:val="28"/>
        </w:rPr>
      </w:pPr>
      <w:r>
        <w:rPr>
          <w:rFonts w:hint="eastAsia" w:ascii="仿宋" w:hAnsi="仿宋" w:eastAsia="仿宋"/>
          <w:bCs/>
          <w:kern w:val="44"/>
          <w:sz w:val="28"/>
        </w:rPr>
        <w:t>（此部分请供应商展示若中标我公司该项目后，主要投放我司宣传链接的互联网平台，以及为达成宣传效果所作出的其他承诺）</w:t>
      </w:r>
    </w:p>
    <w:p>
      <w:pPr>
        <w:spacing w:line="560" w:lineRule="exact"/>
        <w:ind w:firstLine="560" w:firstLineChars="200"/>
        <w:rPr>
          <w:rFonts w:ascii="仿宋" w:hAnsi="仿宋" w:eastAsia="仿宋"/>
          <w:bCs/>
          <w:kern w:val="44"/>
          <w:sz w:val="28"/>
        </w:rPr>
      </w:pPr>
      <w:r>
        <w:rPr>
          <w:rFonts w:hint="eastAsia" w:ascii="仿宋" w:hAnsi="仿宋" w:eastAsia="仿宋"/>
          <w:bCs/>
          <w:kern w:val="44"/>
          <w:sz w:val="28"/>
        </w:rPr>
        <w:t>注：若我公司后续开发新合作互联网平台，贵公司宣传推广链接亦可通过新合作平台进行投放</w:t>
      </w:r>
    </w:p>
    <w:p>
      <w:pPr>
        <w:spacing w:line="560" w:lineRule="exact"/>
        <w:rPr>
          <w:rFonts w:ascii="仿宋" w:hAnsi="仿宋" w:eastAsia="仿宋"/>
          <w:bCs/>
          <w:kern w:val="44"/>
          <w:sz w:val="28"/>
        </w:rPr>
      </w:pPr>
      <w:r>
        <w:rPr>
          <w:rFonts w:hint="eastAsia" w:ascii="仿宋" w:hAnsi="仿宋" w:eastAsia="仿宋"/>
          <w:bCs/>
          <w:kern w:val="44"/>
          <w:sz w:val="28"/>
        </w:rPr>
        <w:t>四、投放</w:t>
      </w:r>
      <w:r>
        <w:rPr>
          <w:rFonts w:ascii="仿宋" w:hAnsi="仿宋" w:eastAsia="仿宋"/>
          <w:bCs/>
          <w:kern w:val="44"/>
          <w:sz w:val="28"/>
        </w:rPr>
        <w:t>效果评估</w:t>
      </w:r>
    </w:p>
    <w:p>
      <w:pPr>
        <w:spacing w:line="560" w:lineRule="exact"/>
        <w:rPr>
          <w:rFonts w:ascii="仿宋" w:hAnsi="仿宋" w:eastAsia="仿宋"/>
          <w:bCs/>
          <w:kern w:val="44"/>
          <w:sz w:val="28"/>
        </w:rPr>
      </w:pPr>
      <w:r>
        <w:rPr>
          <w:rFonts w:hint="eastAsia" w:ascii="仿宋" w:hAnsi="仿宋" w:eastAsia="仿宋"/>
          <w:bCs/>
          <w:kern w:val="44"/>
          <w:sz w:val="28"/>
        </w:rPr>
        <w:t>（此部分请供应商承诺需配合我司定期开展宣传效果评估，若宣传效果未达预期，承诺在多久进行改进确保达成效果等）</w:t>
      </w:r>
    </w:p>
    <w:p>
      <w:pPr>
        <w:spacing w:line="560" w:lineRule="exact"/>
        <w:rPr>
          <w:rFonts w:ascii="仿宋" w:hAnsi="仿宋" w:eastAsia="仿宋"/>
          <w:bCs/>
          <w:kern w:val="44"/>
          <w:sz w:val="28"/>
        </w:rPr>
      </w:pPr>
      <w:r>
        <w:rPr>
          <w:rFonts w:hint="eastAsia" w:ascii="仿宋" w:hAnsi="仿宋" w:eastAsia="仿宋"/>
          <w:bCs/>
          <w:kern w:val="44"/>
          <w:sz w:val="28"/>
        </w:rPr>
        <w:t>五、客户信息保护方案</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br w:type="page"/>
      </w:r>
    </w:p>
    <w:p>
      <w:pPr>
        <w:rPr>
          <w:rFonts w:ascii="仿宋" w:hAnsi="仿宋" w:eastAsia="仿宋" w:cs="仿宋"/>
          <w:color w:val="000000"/>
        </w:rPr>
      </w:pPr>
    </w:p>
    <w:p>
      <w:pPr>
        <w:rPr>
          <w:rFonts w:ascii="仿宋" w:hAnsi="仿宋" w:eastAsia="仿宋" w:cs="仿宋"/>
          <w:color w:val="000000"/>
        </w:rPr>
      </w:pPr>
    </w:p>
    <w:p>
      <w:pPr>
        <w:pStyle w:val="6"/>
        <w:spacing w:before="0" w:after="0" w:line="360" w:lineRule="auto"/>
        <w:rPr>
          <w:rFonts w:ascii="仿宋" w:hAnsi="仿宋" w:eastAsia="仿宋" w:cs="仿宋"/>
          <w:color w:val="000000"/>
          <w:sz w:val="24"/>
          <w:szCs w:val="24"/>
        </w:rPr>
      </w:pPr>
      <w:bookmarkStart w:id="272" w:name="_Toc100672432"/>
      <w:bookmarkStart w:id="273" w:name="_Toc13897"/>
      <w:r>
        <w:rPr>
          <w:rFonts w:hint="eastAsia" w:ascii="仿宋" w:hAnsi="仿宋" w:eastAsia="仿宋" w:cs="仿宋"/>
          <w:color w:val="000000"/>
          <w:sz w:val="24"/>
          <w:szCs w:val="24"/>
        </w:rPr>
        <w:t>（三）</w:t>
      </w:r>
      <w:bookmarkEnd w:id="234"/>
      <w:bookmarkEnd w:id="235"/>
      <w:bookmarkEnd w:id="236"/>
      <w:bookmarkEnd w:id="237"/>
      <w:bookmarkEnd w:id="238"/>
      <w:bookmarkEnd w:id="239"/>
      <w:bookmarkEnd w:id="270"/>
      <w:bookmarkEnd w:id="271"/>
      <w:r>
        <w:rPr>
          <w:rFonts w:hint="eastAsia" w:ascii="仿宋" w:hAnsi="仿宋" w:eastAsia="仿宋" w:cs="仿宋"/>
          <w:color w:val="000000"/>
          <w:sz w:val="24"/>
          <w:szCs w:val="24"/>
        </w:rPr>
        <w:t>其他材料</w:t>
      </w:r>
      <w:bookmarkEnd w:id="272"/>
      <w:bookmarkEnd w:id="273"/>
    </w:p>
    <w:p>
      <w:pPr>
        <w:spacing w:line="360" w:lineRule="auto"/>
        <w:rPr>
          <w:rFonts w:ascii="仿宋" w:hAnsi="仿宋" w:eastAsia="仿宋" w:cs="Cambria Math"/>
          <w:color w:val="000000"/>
          <w:sz w:val="24"/>
        </w:r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p>
      <w:pPr>
        <w:spacing w:line="360" w:lineRule="auto"/>
        <w:rPr>
          <w:rFonts w:ascii="仿宋" w:hAnsi="仿宋" w:eastAsia="仿宋" w:cs="仿宋"/>
          <w:color w:val="000000"/>
          <w:sz w:val="24"/>
        </w:rPr>
        <w:sectPr>
          <w:pgSz w:w="11906" w:h="16838"/>
          <w:pgMar w:top="1417" w:right="1134" w:bottom="1134" w:left="1134" w:header="964" w:footer="964" w:gutter="0"/>
          <w:cols w:space="720" w:num="1"/>
          <w:docGrid w:linePitch="312" w:charSpace="0"/>
        </w:sectPr>
      </w:pPr>
    </w:p>
    <w:p>
      <w:pPr>
        <w:pStyle w:val="5"/>
        <w:ind w:firstLine="0" w:firstLineChars="0"/>
        <w:jc w:val="both"/>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274" w:name="_Toc16946"/>
      <w:bookmarkStart w:id="275" w:name="_Toc16995"/>
      <w:bookmarkStart w:id="276" w:name="_Toc120625379"/>
      <w:bookmarkStart w:id="277" w:name="_Toc100672433"/>
      <w:r>
        <w:rPr>
          <w:rFonts w:hint="eastAsia" w:ascii="仿宋" w:hAnsi="仿宋" w:eastAsia="仿宋" w:cs="仿宋"/>
          <w:color w:val="000000"/>
          <w:sz w:val="24"/>
          <w:szCs w:val="24"/>
        </w:rPr>
        <w:t>三、报价文件</w:t>
      </w:r>
      <w:bookmarkEnd w:id="274"/>
      <w:bookmarkEnd w:id="275"/>
      <w:bookmarkEnd w:id="276"/>
      <w:bookmarkEnd w:id="277"/>
    </w:p>
    <w:p>
      <w:pPr>
        <w:pStyle w:val="6"/>
        <w:spacing w:before="0" w:after="0" w:line="360" w:lineRule="auto"/>
        <w:jc w:val="center"/>
        <w:rPr>
          <w:rFonts w:ascii="仿宋" w:hAnsi="仿宋" w:eastAsia="仿宋" w:cs="仿宋"/>
          <w:color w:val="000000"/>
          <w:sz w:val="24"/>
          <w:szCs w:val="24"/>
        </w:rPr>
      </w:pPr>
      <w:bookmarkStart w:id="278" w:name="_Toc511726864"/>
      <w:bookmarkStart w:id="279" w:name="_Toc4118"/>
      <w:bookmarkStart w:id="280" w:name="_Toc100672434"/>
      <w:r>
        <w:rPr>
          <w:rFonts w:hint="eastAsia" w:ascii="仿宋" w:hAnsi="仿宋" w:eastAsia="仿宋" w:cs="仿宋"/>
          <w:color w:val="000000"/>
          <w:sz w:val="24"/>
          <w:szCs w:val="24"/>
        </w:rPr>
        <w:t>报价</w:t>
      </w:r>
      <w:bookmarkEnd w:id="278"/>
      <w:r>
        <w:rPr>
          <w:rFonts w:hint="eastAsia" w:ascii="仿宋" w:hAnsi="仿宋" w:eastAsia="仿宋" w:cs="仿宋"/>
          <w:color w:val="000000"/>
          <w:sz w:val="24"/>
          <w:szCs w:val="24"/>
        </w:rPr>
        <w:t>一览表</w:t>
      </w:r>
      <w:bookmarkEnd w:id="279"/>
      <w:bookmarkEnd w:id="280"/>
    </w:p>
    <w:p>
      <w:pPr>
        <w:pStyle w:val="14"/>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人保财险贵州毕节分公司</w:t>
      </w:r>
      <w:r>
        <w:rPr>
          <w:rFonts w:hint="eastAsia" w:ascii="仿宋" w:hAnsi="仿宋" w:eastAsia="仿宋" w:cs="仿宋"/>
          <w:color w:val="000000"/>
          <w:sz w:val="24"/>
          <w:szCs w:val="24"/>
          <w:u w:val="single"/>
          <w:lang w:eastAsia="zh-CN"/>
        </w:rPr>
        <w:t>2026</w:t>
      </w:r>
      <w:r>
        <w:rPr>
          <w:rFonts w:hint="eastAsia" w:ascii="仿宋" w:hAnsi="仿宋" w:eastAsia="仿宋" w:cs="仿宋"/>
          <w:color w:val="000000"/>
          <w:sz w:val="24"/>
          <w:szCs w:val="24"/>
          <w:u w:val="single"/>
        </w:rPr>
        <w:t xml:space="preserve">年宣传推广服务供应商入库采购项目 </w:t>
      </w:r>
      <w:r>
        <w:rPr>
          <w:rFonts w:hint="eastAsia" w:ascii="仿宋" w:hAnsi="仿宋" w:eastAsia="仿宋" w:cs="仿宋"/>
          <w:color w:val="000000"/>
          <w:sz w:val="24"/>
          <w:szCs w:val="24"/>
        </w:rPr>
        <w:t xml:space="preserve"> </w:t>
      </w:r>
    </w:p>
    <w:p>
      <w:pPr>
        <w:pStyle w:val="14"/>
        <w:spacing w:line="360" w:lineRule="auto"/>
        <w:ind w:hanging="142"/>
        <w:rPr>
          <w:rFonts w:ascii="仿宋" w:hAnsi="仿宋" w:eastAsia="仿宋" w:cs="仿宋"/>
          <w:color w:val="000000"/>
          <w:sz w:val="24"/>
          <w:szCs w:val="24"/>
          <w:u w:val="single"/>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widowControl/>
        <w:jc w:val="center"/>
        <w:textAlignment w:val="center"/>
        <w:rPr>
          <w:rFonts w:ascii="仿宋" w:hAnsi="仿宋" w:eastAsia="仿宋" w:cs="仿宋"/>
          <w:color w:val="000000"/>
          <w:kern w:val="0"/>
          <w:szCs w:val="21"/>
          <w:lang w:bidi="ar"/>
        </w:rPr>
      </w:pPr>
    </w:p>
    <w:tbl>
      <w:tblPr>
        <w:tblStyle w:val="40"/>
        <w:tblW w:w="9384" w:type="dxa"/>
        <w:tblInd w:w="108" w:type="dxa"/>
        <w:tblLayout w:type="autofit"/>
        <w:tblCellMar>
          <w:top w:w="0" w:type="dxa"/>
          <w:left w:w="108" w:type="dxa"/>
          <w:bottom w:w="0" w:type="dxa"/>
          <w:right w:w="108" w:type="dxa"/>
        </w:tblCellMar>
      </w:tblPr>
      <w:tblGrid>
        <w:gridCol w:w="1134"/>
        <w:gridCol w:w="1994"/>
        <w:gridCol w:w="1564"/>
        <w:gridCol w:w="1564"/>
        <w:gridCol w:w="1564"/>
        <w:gridCol w:w="1564"/>
      </w:tblGrid>
      <w:tr>
        <w:tblPrEx>
          <w:tblCellMar>
            <w:top w:w="0" w:type="dxa"/>
            <w:left w:w="108" w:type="dxa"/>
            <w:bottom w:w="0" w:type="dxa"/>
            <w:right w:w="108" w:type="dxa"/>
          </w:tblCellMar>
        </w:tblPrEx>
        <w:trPr>
          <w:trHeight w:val="901" w:hRule="atLeast"/>
        </w:trPr>
        <w:tc>
          <w:tcPr>
            <w:tcW w:w="1134"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ascii="仿宋" w:hAnsi="仿宋" w:eastAsia="仿宋" w:cs="宋体"/>
                <w:b/>
                <w:bCs/>
                <w:color w:val="000000"/>
                <w:kern w:val="0"/>
                <w:szCs w:val="21"/>
              </w:rPr>
            </w:pPr>
            <w:r>
              <w:rPr>
                <w:rFonts w:hint="eastAsia" w:ascii="仿宋" w:hAnsi="仿宋" w:eastAsia="仿宋" w:cs="宋体"/>
                <w:b/>
                <w:bCs/>
                <w:color w:val="000000"/>
                <w:kern w:val="0"/>
                <w:szCs w:val="21"/>
              </w:rPr>
              <w:t>序号</w:t>
            </w:r>
          </w:p>
        </w:tc>
        <w:tc>
          <w:tcPr>
            <w:tcW w:w="199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项目</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单价（含税）</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税率</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发票类型</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计价单位</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轮播大图宣传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w:t>
            </w:r>
            <w:r>
              <w:rPr>
                <w:rFonts w:ascii="方正仿宋_GB18030" w:hAnsi="方正仿宋_GB18030" w:eastAsia="方正仿宋_GB18030" w:cs="方正仿宋_GB18030"/>
                <w:kern w:val="0"/>
                <w:sz w:val="22"/>
                <w:szCs w:val="28"/>
                <w:shd w:val="clear" w:color="auto" w:fill="FFFFFF"/>
                <w:lang w:bidi="ar"/>
              </w:rPr>
              <w:t>天</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首页弹窗宣传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w:t>
            </w:r>
            <w:r>
              <w:rPr>
                <w:rFonts w:ascii="方正仿宋_GB18030" w:hAnsi="方正仿宋_GB18030" w:eastAsia="方正仿宋_GB18030" w:cs="方正仿宋_GB18030"/>
                <w:kern w:val="0"/>
                <w:sz w:val="22"/>
                <w:szCs w:val="28"/>
                <w:shd w:val="clear" w:color="auto" w:fill="FFFFFF"/>
                <w:lang w:bidi="ar"/>
              </w:rPr>
              <w:t>天</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短视频</w:t>
            </w:r>
            <w:r>
              <w:rPr>
                <w:rFonts w:ascii="方正仿宋_GB18030" w:hAnsi="方正仿宋_GB18030" w:eastAsia="方正仿宋_GB18030" w:cs="方正仿宋_GB18030"/>
                <w:spacing w:val="3"/>
                <w:sz w:val="22"/>
                <w:szCs w:val="28"/>
              </w:rPr>
              <w:t>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元/条</w:t>
            </w:r>
          </w:p>
        </w:tc>
      </w:tr>
    </w:tbl>
    <w:p>
      <w:pPr>
        <w:spacing w:line="360" w:lineRule="auto"/>
        <w:rPr>
          <w:rFonts w:ascii="仿宋" w:hAnsi="仿宋" w:eastAsia="仿宋" w:cs="仿宋"/>
          <w:bCs/>
          <w:color w:val="000000"/>
          <w:sz w:val="24"/>
        </w:rPr>
      </w:pPr>
    </w:p>
    <w:p>
      <w:pPr>
        <w:spacing w:line="360" w:lineRule="auto"/>
        <w:rPr>
          <w:rFonts w:ascii="仿宋" w:hAnsi="仿宋" w:eastAsia="仿宋" w:cs="仿宋"/>
          <w:bCs/>
          <w:color w:val="000000"/>
          <w:sz w:val="24"/>
        </w:rPr>
      </w:pPr>
      <w:r>
        <w:rPr>
          <w:rFonts w:hint="eastAsia" w:ascii="仿宋" w:hAnsi="仿宋" w:eastAsia="仿宋" w:cs="仿宋"/>
          <w:bCs/>
          <w:color w:val="000000"/>
          <w:sz w:val="24"/>
        </w:rPr>
        <w:t>备注：</w:t>
      </w:r>
    </w:p>
    <w:p>
      <w:pPr>
        <w:pStyle w:val="110"/>
        <w:spacing w:line="360" w:lineRule="auto"/>
        <w:ind w:firstLine="0" w:firstLineChars="0"/>
        <w:rPr>
          <w:rFonts w:ascii="仿宋" w:hAnsi="仿宋" w:eastAsia="仿宋"/>
          <w:bCs/>
          <w:sz w:val="24"/>
        </w:rPr>
      </w:pPr>
      <w:r>
        <w:rPr>
          <w:rFonts w:hint="eastAsia" w:ascii="仿宋" w:hAnsi="仿宋" w:eastAsia="仿宋"/>
          <w:bCs/>
          <w:sz w:val="24"/>
        </w:rPr>
        <w:t>1.本次报价精确到小数点后两位（四舍五入）。</w:t>
      </w:r>
      <w:r>
        <w:rPr>
          <w:rFonts w:ascii="仿宋" w:hAnsi="仿宋" w:eastAsia="仿宋"/>
          <w:bCs/>
          <w:sz w:val="24"/>
        </w:rPr>
        <w:tab/>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2.含税价=不含税价*(1+税率)，若报价与此公式不符，增值税专用发票以不含税</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价为准进行修正，增值税普通发票以含税价进行修正。</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3.后续如因国家税率调整，专票以不含税价不变进行调整，普票以含税价不变进行</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调整。</w:t>
      </w:r>
    </w:p>
    <w:p>
      <w:pPr>
        <w:pStyle w:val="110"/>
        <w:spacing w:line="360" w:lineRule="auto"/>
        <w:ind w:left="217" w:leftChars="-68" w:hanging="360" w:hangingChars="150"/>
        <w:rPr>
          <w:rFonts w:ascii="仿宋" w:hAnsi="仿宋" w:eastAsia="仿宋"/>
          <w:bCs/>
          <w:sz w:val="24"/>
        </w:rPr>
      </w:pPr>
    </w:p>
    <w:p>
      <w:pPr>
        <w:spacing w:line="360" w:lineRule="auto"/>
        <w:ind w:firstLine="420"/>
        <w:jc w:val="right"/>
        <w:rPr>
          <w:rFonts w:ascii="仿宋" w:hAnsi="仿宋" w:eastAsia="仿宋" w:cs="仿宋"/>
          <w:color w:val="000000"/>
          <w:sz w:val="24"/>
        </w:rPr>
      </w:pPr>
    </w:p>
    <w:p>
      <w:pPr>
        <w:numPr>
          <w:ilvl w:val="0"/>
          <w:numId w:val="2"/>
        </w:numPr>
        <w:spacing w:line="440" w:lineRule="exact"/>
        <w:jc w:val="right"/>
        <w:rPr>
          <w:rFonts w:ascii="仿宋" w:hAnsi="仿宋" w:eastAsia="仿宋" w:cs="宋体"/>
          <w:color w:val="000000"/>
          <w:sz w:val="24"/>
        </w:rPr>
      </w:pPr>
      <w:bookmarkStart w:id="281" w:name="_Toc16591840"/>
      <w:bookmarkStart w:id="282" w:name="_Toc2267055"/>
      <w:bookmarkStart w:id="283" w:name="_Toc482180015"/>
      <w:bookmarkStart w:id="284" w:name="_Toc517281864"/>
      <w:bookmarkStart w:id="285" w:name="_Toc530319762"/>
      <w:bookmarkStart w:id="286" w:name="_Toc518302646"/>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法定代表人或其授权代理人：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（签字）</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bookmarkEnd w:id="281"/>
    <w:bookmarkEnd w:id="282"/>
    <w:bookmarkEnd w:id="283"/>
    <w:bookmarkEnd w:id="284"/>
    <w:bookmarkEnd w:id="285"/>
    <w:bookmarkEnd w:id="286"/>
    <w:p>
      <w:pPr>
        <w:pStyle w:val="6"/>
        <w:spacing w:line="360" w:lineRule="auto"/>
        <w:rPr>
          <w:rFonts w:ascii="宋体" w:hAnsi="宋体"/>
          <w:szCs w:val="21"/>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方正仿宋_GB2312">
    <w:altName w:val="仿宋"/>
    <w:panose1 w:val="00000000000000000000"/>
    <w:charset w:val="86"/>
    <w:family w:val="auto"/>
    <w:pitch w:val="default"/>
    <w:sig w:usb0="00000000" w:usb1="00000000" w:usb2="00000012" w:usb3="00000000" w:csb0="00040001" w:csb1="00000000"/>
  </w:font>
  <w:font w:name="方正仿宋_GB18030">
    <w:altName w:val="仿宋"/>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4"/>
      </w:rPr>
    </w:pPr>
    <w:r>
      <w:fldChar w:fldCharType="begin"/>
    </w:r>
    <w:r>
      <w:rPr>
        <w:rStyle w:val="44"/>
      </w:rPr>
      <w:instrText xml:space="preserve">PAGE  </w:instrText>
    </w:r>
    <w:r>
      <w:fldChar w:fldCharType="separate"/>
    </w:r>
    <w:r>
      <w:rPr>
        <w:rStyle w:val="44"/>
      </w:rPr>
      <w:t>4</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ind w:firstLine="4500" w:firstLineChars="2500"/>
      <w:rPr>
        <w:rStyle w:val="44"/>
      </w:rPr>
    </w:pPr>
    <w:r>
      <w:fldChar w:fldCharType="begin"/>
    </w:r>
    <w:r>
      <w:rPr>
        <w:rStyle w:val="44"/>
      </w:rPr>
      <w:instrText xml:space="preserve">PAGE  </w:instrText>
    </w:r>
    <w:r>
      <w:fldChar w:fldCharType="separate"/>
    </w:r>
    <w:r>
      <w:rPr>
        <w:rStyle w:val="44"/>
      </w:rPr>
      <w:t>15</w:t>
    </w:r>
    <w:r>
      <w:fldChar w:fldCharType="end"/>
    </w:r>
  </w:p>
  <w:p>
    <w:pPr>
      <w:pStyle w:val="27"/>
      <w:framePr w:wrap="around" w:vAnchor="text" w:hAnchor="margin" w:xAlign="center" w:y="1"/>
      <w:rPr>
        <w:rStyle w:val="44"/>
      </w:rPr>
    </w:pPr>
  </w:p>
  <w:p>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rPr>
                              <w:rStyle w:val="44"/>
                            </w:rPr>
                          </w:pPr>
                          <w:r>
                            <w:fldChar w:fldCharType="begin"/>
                          </w:r>
                          <w:r>
                            <w:rPr>
                              <w:rStyle w:val="44"/>
                            </w:rPr>
                            <w:instrText xml:space="preserve">PAGE  </w:instrText>
                          </w:r>
                          <w:r>
                            <w:fldChar w:fldCharType="separate"/>
                          </w:r>
                          <w:r>
                            <w:rPr>
                              <w:rStyle w:val="44"/>
                            </w:rPr>
                            <w:t>4</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dvGHnLAQAAmA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BY3ASWxzODET79/nf78&#10;O/39SZZJn95DjWn3HhPj8MkNmDvfA14m2oMMJn2REME4Qh3P6oohEp4eVcuqKjHEMTY7iF88PvcB&#10;4mfhDElGQwOOL6vKDl8hjqlzSqpm3a3SOo9QW9Ij6mV1dZlfnEOIri0WSSzGbpMVh+0wUdu69ojM&#10;etyBhlpceUr0F4sSY6dxNsJsbCcjlQd/s4/YQu4soY5QUzEcWOY2LVfaiKd+znr8odb/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Hbxh5ywEAAJgDAAAOAAAAAAAAAAEAIAAAACIBAABkcnMv&#10;ZTJvRG9jLnhtbFBLBQYAAAAABgAGAFkBAABfBQAAAAA=&#10;">
              <v:fill on="f" focussize="0,0"/>
              <v:stroke on="f" weight="1.25pt"/>
              <v:imagedata o:title=""/>
              <o:lock v:ext="edit" aspectratio="f"/>
              <v:textbox inset="0mm,0mm,0mm,0mm" style="mso-fit-shape-to-text:t;">
                <w:txbxContent>
                  <w:p>
                    <w:pPr>
                      <w:pStyle w:val="27"/>
                      <w:rPr>
                        <w:rStyle w:val="44"/>
                      </w:rPr>
                    </w:pPr>
                    <w:r>
                      <w:fldChar w:fldCharType="begin"/>
                    </w:r>
                    <w:r>
                      <w:rPr>
                        <w:rStyle w:val="44"/>
                      </w:rPr>
                      <w:instrText xml:space="preserve">PAGE  </w:instrText>
                    </w:r>
                    <w:r>
                      <w:fldChar w:fldCharType="separate"/>
                    </w:r>
                    <w:r>
                      <w:rPr>
                        <w:rStyle w:val="44"/>
                      </w:rP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7"/>
                            <w:jc w:val="center"/>
                          </w:pPr>
                          <w:r>
                            <w:fldChar w:fldCharType="begin"/>
                          </w:r>
                          <w:r>
                            <w:instrText xml:space="preserve">PAGE   \* MERGEFORMAT</w:instrText>
                          </w:r>
                          <w:r>
                            <w:fldChar w:fldCharType="separate"/>
                          </w:r>
                          <w:r>
                            <w:rPr>
                              <w:lang w:val="zh-CN"/>
                            </w:rPr>
                            <w:t>16</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16</w:t>
                    </w:r>
                    <w:r>
                      <w:fldChar w:fldCharType="end"/>
                    </w:r>
                  </w:p>
                </w:txbxContent>
              </v:textbox>
            </v:shape>
          </w:pict>
        </mc:Fallback>
      </mc:AlternateContent>
    </w:r>
  </w:p>
  <w:p>
    <w:pPr>
      <w:pStyle w:val="2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35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Flb5TLAQAAm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ZqTz494eILeTOEuoINRXDgWVu03Kljfjbz1lPP9Tm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RZW+UywEAAJgDAAAOAAAAAAAAAAEAIAAAACIBAABkcnMv&#10;ZTJvRG9jLnhtbFBLBQYAAAAABgAGAFkBAABfBQ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35</w:t>
                    </w:r>
                    <w:r>
                      <w:fldChar w:fldCharType="end"/>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询价文件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询价文件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8"/>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9"/>
      <w:lvlText w:val="           "/>
      <w:lvlJc w:val="left"/>
      <w:pPr>
        <w:tabs>
          <w:tab w:val="left" w:pos="1440"/>
        </w:tabs>
        <w:ind w:left="1152" w:hanging="1152"/>
      </w:pPr>
      <w:rPr>
        <w:rFonts w:hint="eastAsia"/>
      </w:rPr>
    </w:lvl>
    <w:lvl w:ilvl="6" w:tentative="0">
      <w:start w:val="1"/>
      <w:numFmt w:val="decimal"/>
      <w:pStyle w:val="10"/>
      <w:lvlText w:val="%1.%2.%3.%4.%5.%6.%7"/>
      <w:lvlJc w:val="left"/>
      <w:pPr>
        <w:tabs>
          <w:tab w:val="left" w:pos="2520"/>
        </w:tabs>
        <w:ind w:left="1296" w:hanging="1296"/>
      </w:pPr>
      <w:rPr>
        <w:rFonts w:hint="eastAsia"/>
      </w:rPr>
    </w:lvl>
    <w:lvl w:ilvl="7" w:tentative="0">
      <w:start w:val="1"/>
      <w:numFmt w:val="decimal"/>
      <w:pStyle w:val="11"/>
      <w:lvlText w:val="%1.%2.%3.%4.%5.%6.%7.%8"/>
      <w:lvlJc w:val="left"/>
      <w:pPr>
        <w:tabs>
          <w:tab w:val="left" w:pos="1440"/>
        </w:tabs>
        <w:ind w:left="1440" w:hanging="1440"/>
      </w:pPr>
      <w:rPr>
        <w:rFonts w:hint="eastAsia"/>
      </w:rPr>
    </w:lvl>
    <w:lvl w:ilvl="8" w:tentative="0">
      <w:start w:val="1"/>
      <w:numFmt w:val="decimal"/>
      <w:pStyle w:val="12"/>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43"/>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03E5"/>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0A8"/>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648"/>
    <w:rsid w:val="00097A09"/>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54D1"/>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68A0"/>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46D"/>
    <w:rsid w:val="001629F5"/>
    <w:rsid w:val="0016329D"/>
    <w:rsid w:val="00163C0D"/>
    <w:rsid w:val="001645A2"/>
    <w:rsid w:val="001645E5"/>
    <w:rsid w:val="0016486D"/>
    <w:rsid w:val="00164ABB"/>
    <w:rsid w:val="00164D56"/>
    <w:rsid w:val="00164F56"/>
    <w:rsid w:val="00165F01"/>
    <w:rsid w:val="00165F8F"/>
    <w:rsid w:val="00167491"/>
    <w:rsid w:val="00167577"/>
    <w:rsid w:val="001676B1"/>
    <w:rsid w:val="00170537"/>
    <w:rsid w:val="00170D57"/>
    <w:rsid w:val="001717AC"/>
    <w:rsid w:val="0017240A"/>
    <w:rsid w:val="00172475"/>
    <w:rsid w:val="00172575"/>
    <w:rsid w:val="001728F3"/>
    <w:rsid w:val="00172A27"/>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BD6"/>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5F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65A"/>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B1D"/>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288"/>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818"/>
    <w:rsid w:val="00356CB3"/>
    <w:rsid w:val="003577E5"/>
    <w:rsid w:val="00357C4F"/>
    <w:rsid w:val="00357E8E"/>
    <w:rsid w:val="00360741"/>
    <w:rsid w:val="003625E3"/>
    <w:rsid w:val="003626C3"/>
    <w:rsid w:val="00362844"/>
    <w:rsid w:val="00362AD4"/>
    <w:rsid w:val="00363CBB"/>
    <w:rsid w:val="003650C8"/>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C32"/>
    <w:rsid w:val="003D3F4C"/>
    <w:rsid w:val="003D47B0"/>
    <w:rsid w:val="003D48E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467"/>
    <w:rsid w:val="00414930"/>
    <w:rsid w:val="00414C3D"/>
    <w:rsid w:val="004154C6"/>
    <w:rsid w:val="004154E3"/>
    <w:rsid w:val="00416915"/>
    <w:rsid w:val="00416E0B"/>
    <w:rsid w:val="0041716A"/>
    <w:rsid w:val="004204A7"/>
    <w:rsid w:val="004210BA"/>
    <w:rsid w:val="00421AA2"/>
    <w:rsid w:val="004222E4"/>
    <w:rsid w:val="004228DF"/>
    <w:rsid w:val="00422C74"/>
    <w:rsid w:val="004236EA"/>
    <w:rsid w:val="00423763"/>
    <w:rsid w:val="0042535E"/>
    <w:rsid w:val="00425714"/>
    <w:rsid w:val="00425BC2"/>
    <w:rsid w:val="00425EC6"/>
    <w:rsid w:val="00427022"/>
    <w:rsid w:val="004274CA"/>
    <w:rsid w:val="00427AFF"/>
    <w:rsid w:val="00427F55"/>
    <w:rsid w:val="00430007"/>
    <w:rsid w:val="00430260"/>
    <w:rsid w:val="004302EC"/>
    <w:rsid w:val="004304E9"/>
    <w:rsid w:val="004313E5"/>
    <w:rsid w:val="0043197C"/>
    <w:rsid w:val="0043289E"/>
    <w:rsid w:val="00433374"/>
    <w:rsid w:val="004336C2"/>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3D35"/>
    <w:rsid w:val="00464462"/>
    <w:rsid w:val="0046481D"/>
    <w:rsid w:val="00464C8E"/>
    <w:rsid w:val="00465A25"/>
    <w:rsid w:val="00466327"/>
    <w:rsid w:val="00466B86"/>
    <w:rsid w:val="00466C31"/>
    <w:rsid w:val="004674A7"/>
    <w:rsid w:val="00467915"/>
    <w:rsid w:val="004700B2"/>
    <w:rsid w:val="00470C2B"/>
    <w:rsid w:val="00470D83"/>
    <w:rsid w:val="0047117A"/>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2921"/>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178"/>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DE"/>
    <w:rsid w:val="004F6350"/>
    <w:rsid w:val="004F6C7D"/>
    <w:rsid w:val="004F74AA"/>
    <w:rsid w:val="004F7752"/>
    <w:rsid w:val="004F7D9E"/>
    <w:rsid w:val="00500590"/>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3D44"/>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68B4"/>
    <w:rsid w:val="005375FC"/>
    <w:rsid w:val="0053781B"/>
    <w:rsid w:val="00537845"/>
    <w:rsid w:val="005407F1"/>
    <w:rsid w:val="00540BFF"/>
    <w:rsid w:val="00541086"/>
    <w:rsid w:val="00541359"/>
    <w:rsid w:val="00541AE5"/>
    <w:rsid w:val="00541B8B"/>
    <w:rsid w:val="00542378"/>
    <w:rsid w:val="00542C0C"/>
    <w:rsid w:val="00542C29"/>
    <w:rsid w:val="00542CBE"/>
    <w:rsid w:val="0054303C"/>
    <w:rsid w:val="00543A85"/>
    <w:rsid w:val="00543FD8"/>
    <w:rsid w:val="00544143"/>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03B3"/>
    <w:rsid w:val="00561578"/>
    <w:rsid w:val="005615DD"/>
    <w:rsid w:val="00561CC4"/>
    <w:rsid w:val="00561D57"/>
    <w:rsid w:val="0056314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3460"/>
    <w:rsid w:val="00594819"/>
    <w:rsid w:val="00594972"/>
    <w:rsid w:val="00594A27"/>
    <w:rsid w:val="005961FD"/>
    <w:rsid w:val="005963E3"/>
    <w:rsid w:val="005975AD"/>
    <w:rsid w:val="00597919"/>
    <w:rsid w:val="00597AB4"/>
    <w:rsid w:val="00597CB9"/>
    <w:rsid w:val="005A0E03"/>
    <w:rsid w:val="005A287D"/>
    <w:rsid w:val="005A40E3"/>
    <w:rsid w:val="005A4567"/>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992"/>
    <w:rsid w:val="005C0B73"/>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346D"/>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5B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5073"/>
    <w:rsid w:val="006753FF"/>
    <w:rsid w:val="00675BEA"/>
    <w:rsid w:val="00675F3B"/>
    <w:rsid w:val="00676E07"/>
    <w:rsid w:val="00677693"/>
    <w:rsid w:val="00677D78"/>
    <w:rsid w:val="0068020F"/>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44A"/>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175C9"/>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1018"/>
    <w:rsid w:val="0073129A"/>
    <w:rsid w:val="00731946"/>
    <w:rsid w:val="00732805"/>
    <w:rsid w:val="0073335F"/>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128"/>
    <w:rsid w:val="007B329C"/>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6E7C"/>
    <w:rsid w:val="007C7455"/>
    <w:rsid w:val="007C794A"/>
    <w:rsid w:val="007D0669"/>
    <w:rsid w:val="007D0AAB"/>
    <w:rsid w:val="007D10A5"/>
    <w:rsid w:val="007D20E6"/>
    <w:rsid w:val="007D2815"/>
    <w:rsid w:val="007D2A2F"/>
    <w:rsid w:val="007D3622"/>
    <w:rsid w:val="007D39DB"/>
    <w:rsid w:val="007D3AF4"/>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074B3"/>
    <w:rsid w:val="008105B0"/>
    <w:rsid w:val="008108FB"/>
    <w:rsid w:val="00810C3A"/>
    <w:rsid w:val="00811633"/>
    <w:rsid w:val="00811797"/>
    <w:rsid w:val="00812DBD"/>
    <w:rsid w:val="00813155"/>
    <w:rsid w:val="008136F5"/>
    <w:rsid w:val="008138C1"/>
    <w:rsid w:val="00813B69"/>
    <w:rsid w:val="00813E17"/>
    <w:rsid w:val="00813F4E"/>
    <w:rsid w:val="00813F82"/>
    <w:rsid w:val="008145ED"/>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3DBA"/>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03"/>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61C"/>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61E"/>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296"/>
    <w:rsid w:val="008A27C1"/>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039"/>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6E0E"/>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694"/>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87E"/>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05"/>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D20"/>
    <w:rsid w:val="00A1362E"/>
    <w:rsid w:val="00A13BF6"/>
    <w:rsid w:val="00A14335"/>
    <w:rsid w:val="00A1443D"/>
    <w:rsid w:val="00A1486C"/>
    <w:rsid w:val="00A150A5"/>
    <w:rsid w:val="00A151AE"/>
    <w:rsid w:val="00A154C7"/>
    <w:rsid w:val="00A158E3"/>
    <w:rsid w:val="00A15C25"/>
    <w:rsid w:val="00A17C20"/>
    <w:rsid w:val="00A20059"/>
    <w:rsid w:val="00A20681"/>
    <w:rsid w:val="00A206F4"/>
    <w:rsid w:val="00A206FA"/>
    <w:rsid w:val="00A20965"/>
    <w:rsid w:val="00A20D9F"/>
    <w:rsid w:val="00A20F6E"/>
    <w:rsid w:val="00A2173F"/>
    <w:rsid w:val="00A21C06"/>
    <w:rsid w:val="00A22B71"/>
    <w:rsid w:val="00A22BA3"/>
    <w:rsid w:val="00A22D20"/>
    <w:rsid w:val="00A2347A"/>
    <w:rsid w:val="00A2562A"/>
    <w:rsid w:val="00A2605C"/>
    <w:rsid w:val="00A263F5"/>
    <w:rsid w:val="00A26E09"/>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50443"/>
    <w:rsid w:val="00A505D1"/>
    <w:rsid w:val="00A52D0B"/>
    <w:rsid w:val="00A5446D"/>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2"/>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5F27"/>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2C3C"/>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09CC"/>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4A"/>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04FD"/>
    <w:rsid w:val="00C711F2"/>
    <w:rsid w:val="00C71209"/>
    <w:rsid w:val="00C71C64"/>
    <w:rsid w:val="00C71FCC"/>
    <w:rsid w:val="00C726C2"/>
    <w:rsid w:val="00C726F5"/>
    <w:rsid w:val="00C72ACF"/>
    <w:rsid w:val="00C73B71"/>
    <w:rsid w:val="00C74AA7"/>
    <w:rsid w:val="00C74C23"/>
    <w:rsid w:val="00C751AE"/>
    <w:rsid w:val="00C753B5"/>
    <w:rsid w:val="00C75A3B"/>
    <w:rsid w:val="00C75A50"/>
    <w:rsid w:val="00C760ED"/>
    <w:rsid w:val="00C76EEF"/>
    <w:rsid w:val="00C77151"/>
    <w:rsid w:val="00C77199"/>
    <w:rsid w:val="00C80BC6"/>
    <w:rsid w:val="00C80C2B"/>
    <w:rsid w:val="00C82689"/>
    <w:rsid w:val="00C8281C"/>
    <w:rsid w:val="00C82C05"/>
    <w:rsid w:val="00C8322E"/>
    <w:rsid w:val="00C84F28"/>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36C"/>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294"/>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4178"/>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2337"/>
    <w:rsid w:val="00D02E34"/>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ADB"/>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382D"/>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4F2"/>
    <w:rsid w:val="00D736E8"/>
    <w:rsid w:val="00D7489A"/>
    <w:rsid w:val="00D74C4E"/>
    <w:rsid w:val="00D74E9A"/>
    <w:rsid w:val="00D75306"/>
    <w:rsid w:val="00D755FC"/>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1E3"/>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81C"/>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876"/>
    <w:rsid w:val="00DC793C"/>
    <w:rsid w:val="00DC7F1D"/>
    <w:rsid w:val="00DD0287"/>
    <w:rsid w:val="00DD0511"/>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D2D"/>
    <w:rsid w:val="00DE32FC"/>
    <w:rsid w:val="00DE51B5"/>
    <w:rsid w:val="00DE592E"/>
    <w:rsid w:val="00DE5B82"/>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4FE0"/>
    <w:rsid w:val="00E55247"/>
    <w:rsid w:val="00E55375"/>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17A"/>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434F"/>
    <w:rsid w:val="00F34536"/>
    <w:rsid w:val="00F345DF"/>
    <w:rsid w:val="00F34D95"/>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0F0"/>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55A"/>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91F36"/>
    <w:rsid w:val="014A3244"/>
    <w:rsid w:val="01A51AFF"/>
    <w:rsid w:val="01B95421"/>
    <w:rsid w:val="020B1354"/>
    <w:rsid w:val="0250441F"/>
    <w:rsid w:val="025A55E9"/>
    <w:rsid w:val="029442A4"/>
    <w:rsid w:val="02A23766"/>
    <w:rsid w:val="02BC63B4"/>
    <w:rsid w:val="0317318F"/>
    <w:rsid w:val="034D12D4"/>
    <w:rsid w:val="035C2662"/>
    <w:rsid w:val="03637FE7"/>
    <w:rsid w:val="03A97929"/>
    <w:rsid w:val="03C32A6F"/>
    <w:rsid w:val="03CE20DF"/>
    <w:rsid w:val="03D57B0C"/>
    <w:rsid w:val="03FB034A"/>
    <w:rsid w:val="040E0780"/>
    <w:rsid w:val="047A6254"/>
    <w:rsid w:val="0493709F"/>
    <w:rsid w:val="04D0480D"/>
    <w:rsid w:val="04D34B21"/>
    <w:rsid w:val="04E366BD"/>
    <w:rsid w:val="04F10A9B"/>
    <w:rsid w:val="0515460A"/>
    <w:rsid w:val="053F6840"/>
    <w:rsid w:val="05656DAB"/>
    <w:rsid w:val="05931925"/>
    <w:rsid w:val="059E0622"/>
    <w:rsid w:val="05D050F7"/>
    <w:rsid w:val="05F9607E"/>
    <w:rsid w:val="064E339A"/>
    <w:rsid w:val="068D6A93"/>
    <w:rsid w:val="069E6AB1"/>
    <w:rsid w:val="06A26061"/>
    <w:rsid w:val="06CE7668"/>
    <w:rsid w:val="06E25B52"/>
    <w:rsid w:val="072D2162"/>
    <w:rsid w:val="073518D0"/>
    <w:rsid w:val="07354BC2"/>
    <w:rsid w:val="07442036"/>
    <w:rsid w:val="07CD7297"/>
    <w:rsid w:val="08B05320"/>
    <w:rsid w:val="08E41490"/>
    <w:rsid w:val="08E9597F"/>
    <w:rsid w:val="08F900D1"/>
    <w:rsid w:val="09696FDD"/>
    <w:rsid w:val="096C5C89"/>
    <w:rsid w:val="09771A8A"/>
    <w:rsid w:val="097A7E27"/>
    <w:rsid w:val="09813EE4"/>
    <w:rsid w:val="09A17C7A"/>
    <w:rsid w:val="09A54C50"/>
    <w:rsid w:val="09BC6028"/>
    <w:rsid w:val="09DD448E"/>
    <w:rsid w:val="09DD6A43"/>
    <w:rsid w:val="09EC4C25"/>
    <w:rsid w:val="09FD0A32"/>
    <w:rsid w:val="0A5A5EB7"/>
    <w:rsid w:val="0A611C05"/>
    <w:rsid w:val="0A6F3443"/>
    <w:rsid w:val="0AAE469B"/>
    <w:rsid w:val="0AB51B2D"/>
    <w:rsid w:val="0B104CB8"/>
    <w:rsid w:val="0B325F44"/>
    <w:rsid w:val="0B471BC9"/>
    <w:rsid w:val="0B6866EB"/>
    <w:rsid w:val="0B7071B5"/>
    <w:rsid w:val="0BCA3D41"/>
    <w:rsid w:val="0BCC1983"/>
    <w:rsid w:val="0C0C60A0"/>
    <w:rsid w:val="0C2057FC"/>
    <w:rsid w:val="0C2D66FE"/>
    <w:rsid w:val="0C616454"/>
    <w:rsid w:val="0C7A707B"/>
    <w:rsid w:val="0C864E88"/>
    <w:rsid w:val="0C8C7B9F"/>
    <w:rsid w:val="0CA62E5A"/>
    <w:rsid w:val="0CB43017"/>
    <w:rsid w:val="0CD32AA0"/>
    <w:rsid w:val="0CE41E67"/>
    <w:rsid w:val="0D3E33CC"/>
    <w:rsid w:val="0D5745CD"/>
    <w:rsid w:val="0D575B85"/>
    <w:rsid w:val="0D607B2A"/>
    <w:rsid w:val="0D7E21C9"/>
    <w:rsid w:val="0D885EF1"/>
    <w:rsid w:val="0DAF0AF5"/>
    <w:rsid w:val="0DDF7C6E"/>
    <w:rsid w:val="0DF317F5"/>
    <w:rsid w:val="0DF96E8C"/>
    <w:rsid w:val="0E1D2CA7"/>
    <w:rsid w:val="0E3D87E6"/>
    <w:rsid w:val="0E4571B4"/>
    <w:rsid w:val="0E513A96"/>
    <w:rsid w:val="0E824CB1"/>
    <w:rsid w:val="0E893E01"/>
    <w:rsid w:val="0EEC37BE"/>
    <w:rsid w:val="0F22624D"/>
    <w:rsid w:val="0F5A309E"/>
    <w:rsid w:val="0FD05B7C"/>
    <w:rsid w:val="0FE26F7E"/>
    <w:rsid w:val="0FF86998"/>
    <w:rsid w:val="0FFB69DA"/>
    <w:rsid w:val="104D2298"/>
    <w:rsid w:val="108A3181"/>
    <w:rsid w:val="10933928"/>
    <w:rsid w:val="10E053CE"/>
    <w:rsid w:val="115A4A6C"/>
    <w:rsid w:val="11D57FF6"/>
    <w:rsid w:val="11EC0DBF"/>
    <w:rsid w:val="11EF5B10"/>
    <w:rsid w:val="12003074"/>
    <w:rsid w:val="12042B6A"/>
    <w:rsid w:val="128D0ACD"/>
    <w:rsid w:val="12934B57"/>
    <w:rsid w:val="12B97E85"/>
    <w:rsid w:val="12E02111"/>
    <w:rsid w:val="130E37C8"/>
    <w:rsid w:val="131948E0"/>
    <w:rsid w:val="13326301"/>
    <w:rsid w:val="134B49D1"/>
    <w:rsid w:val="13774559"/>
    <w:rsid w:val="13A07D1C"/>
    <w:rsid w:val="13AA6C7A"/>
    <w:rsid w:val="13AF12D1"/>
    <w:rsid w:val="13DB77D7"/>
    <w:rsid w:val="146A774B"/>
    <w:rsid w:val="146B5DFA"/>
    <w:rsid w:val="146E33A4"/>
    <w:rsid w:val="14833540"/>
    <w:rsid w:val="14887B0E"/>
    <w:rsid w:val="14E145A4"/>
    <w:rsid w:val="14E20675"/>
    <w:rsid w:val="151D2E85"/>
    <w:rsid w:val="152315CE"/>
    <w:rsid w:val="157F4238"/>
    <w:rsid w:val="15942E62"/>
    <w:rsid w:val="15B8776F"/>
    <w:rsid w:val="15DC403B"/>
    <w:rsid w:val="167639EE"/>
    <w:rsid w:val="16987D08"/>
    <w:rsid w:val="16C06700"/>
    <w:rsid w:val="16F64A51"/>
    <w:rsid w:val="1712563F"/>
    <w:rsid w:val="173B45EA"/>
    <w:rsid w:val="17A02F74"/>
    <w:rsid w:val="17A64703"/>
    <w:rsid w:val="17D430F8"/>
    <w:rsid w:val="17DA1F62"/>
    <w:rsid w:val="17DC4C6F"/>
    <w:rsid w:val="17F10988"/>
    <w:rsid w:val="18420450"/>
    <w:rsid w:val="191E2EEC"/>
    <w:rsid w:val="1925275C"/>
    <w:rsid w:val="192667D1"/>
    <w:rsid w:val="195F03D1"/>
    <w:rsid w:val="197B27AB"/>
    <w:rsid w:val="19853DFD"/>
    <w:rsid w:val="198B0A33"/>
    <w:rsid w:val="19A73E3E"/>
    <w:rsid w:val="19B63D32"/>
    <w:rsid w:val="1A03730E"/>
    <w:rsid w:val="1A2E4342"/>
    <w:rsid w:val="1A306299"/>
    <w:rsid w:val="1A3503C3"/>
    <w:rsid w:val="1A4E6FE1"/>
    <w:rsid w:val="1A7D4CCC"/>
    <w:rsid w:val="1A8E6CD5"/>
    <w:rsid w:val="1A9452B0"/>
    <w:rsid w:val="1A986C8A"/>
    <w:rsid w:val="1AB84712"/>
    <w:rsid w:val="1ACF3752"/>
    <w:rsid w:val="1AD86012"/>
    <w:rsid w:val="1AE9346B"/>
    <w:rsid w:val="1AED79C0"/>
    <w:rsid w:val="1B476529"/>
    <w:rsid w:val="1B6212E1"/>
    <w:rsid w:val="1B77204D"/>
    <w:rsid w:val="1B834A46"/>
    <w:rsid w:val="1B857BD8"/>
    <w:rsid w:val="1B8C1890"/>
    <w:rsid w:val="1BC349DE"/>
    <w:rsid w:val="1BF442EC"/>
    <w:rsid w:val="1C3F7FA6"/>
    <w:rsid w:val="1C747EF9"/>
    <w:rsid w:val="1C813E89"/>
    <w:rsid w:val="1C844B5B"/>
    <w:rsid w:val="1C86668C"/>
    <w:rsid w:val="1CC64637"/>
    <w:rsid w:val="1CCC4A9D"/>
    <w:rsid w:val="1CD67896"/>
    <w:rsid w:val="1CE03735"/>
    <w:rsid w:val="1D3348B9"/>
    <w:rsid w:val="1D70483F"/>
    <w:rsid w:val="1D760B5F"/>
    <w:rsid w:val="1DA55EBD"/>
    <w:rsid w:val="1DA90101"/>
    <w:rsid w:val="1DB72178"/>
    <w:rsid w:val="1DE33932"/>
    <w:rsid w:val="1DE547AB"/>
    <w:rsid w:val="1E14059F"/>
    <w:rsid w:val="1E5805C9"/>
    <w:rsid w:val="1EE920F1"/>
    <w:rsid w:val="1EF321F1"/>
    <w:rsid w:val="1EF7785C"/>
    <w:rsid w:val="1EF83469"/>
    <w:rsid w:val="1F121216"/>
    <w:rsid w:val="1F1A79F2"/>
    <w:rsid w:val="1F3C2E43"/>
    <w:rsid w:val="1F4D0F4B"/>
    <w:rsid w:val="1F9F6543"/>
    <w:rsid w:val="1FAF1D46"/>
    <w:rsid w:val="1FD97C09"/>
    <w:rsid w:val="1FFF9AF8"/>
    <w:rsid w:val="200927CB"/>
    <w:rsid w:val="20451CEE"/>
    <w:rsid w:val="20625F75"/>
    <w:rsid w:val="2069158A"/>
    <w:rsid w:val="207364D3"/>
    <w:rsid w:val="209B4147"/>
    <w:rsid w:val="20C26C84"/>
    <w:rsid w:val="20C443FE"/>
    <w:rsid w:val="20F55121"/>
    <w:rsid w:val="210F16D9"/>
    <w:rsid w:val="21372259"/>
    <w:rsid w:val="21694910"/>
    <w:rsid w:val="21822CFB"/>
    <w:rsid w:val="21D63963"/>
    <w:rsid w:val="22294218"/>
    <w:rsid w:val="22415991"/>
    <w:rsid w:val="2267492F"/>
    <w:rsid w:val="22A44447"/>
    <w:rsid w:val="22B346F2"/>
    <w:rsid w:val="22E006EF"/>
    <w:rsid w:val="22F00A92"/>
    <w:rsid w:val="23327D7D"/>
    <w:rsid w:val="23444268"/>
    <w:rsid w:val="236003E2"/>
    <w:rsid w:val="23B302CE"/>
    <w:rsid w:val="23CA3DC9"/>
    <w:rsid w:val="23D16EFC"/>
    <w:rsid w:val="23EF3232"/>
    <w:rsid w:val="2403431B"/>
    <w:rsid w:val="24142194"/>
    <w:rsid w:val="246739F8"/>
    <w:rsid w:val="24A30FBB"/>
    <w:rsid w:val="24C00E4A"/>
    <w:rsid w:val="24DB1B09"/>
    <w:rsid w:val="24E60780"/>
    <w:rsid w:val="24F43B92"/>
    <w:rsid w:val="24FF19C4"/>
    <w:rsid w:val="25290C16"/>
    <w:rsid w:val="25731E80"/>
    <w:rsid w:val="258F38CC"/>
    <w:rsid w:val="260874E8"/>
    <w:rsid w:val="26333878"/>
    <w:rsid w:val="26520DBA"/>
    <w:rsid w:val="26595760"/>
    <w:rsid w:val="26C62C95"/>
    <w:rsid w:val="26CE2A68"/>
    <w:rsid w:val="26D97433"/>
    <w:rsid w:val="27315631"/>
    <w:rsid w:val="275C465E"/>
    <w:rsid w:val="27EC4E71"/>
    <w:rsid w:val="28247BB6"/>
    <w:rsid w:val="28933CCC"/>
    <w:rsid w:val="28AE7984"/>
    <w:rsid w:val="28C80D3F"/>
    <w:rsid w:val="28D96965"/>
    <w:rsid w:val="28DE3958"/>
    <w:rsid w:val="29055F95"/>
    <w:rsid w:val="29341888"/>
    <w:rsid w:val="2945508F"/>
    <w:rsid w:val="29701219"/>
    <w:rsid w:val="29B421E7"/>
    <w:rsid w:val="29DEFACB"/>
    <w:rsid w:val="29FD2F6F"/>
    <w:rsid w:val="2A0F28F4"/>
    <w:rsid w:val="2A0F54AF"/>
    <w:rsid w:val="2A1D03C7"/>
    <w:rsid w:val="2A4F5FF4"/>
    <w:rsid w:val="2A8C02FC"/>
    <w:rsid w:val="2AC12DBF"/>
    <w:rsid w:val="2AEE531A"/>
    <w:rsid w:val="2B1C66E6"/>
    <w:rsid w:val="2B22793F"/>
    <w:rsid w:val="2B2E77B1"/>
    <w:rsid w:val="2B3C5C6D"/>
    <w:rsid w:val="2B6C4470"/>
    <w:rsid w:val="2BF38951"/>
    <w:rsid w:val="2C091874"/>
    <w:rsid w:val="2C0C2E05"/>
    <w:rsid w:val="2C363D63"/>
    <w:rsid w:val="2C4A7F5F"/>
    <w:rsid w:val="2C515B6D"/>
    <w:rsid w:val="2C854E4C"/>
    <w:rsid w:val="2C8A3639"/>
    <w:rsid w:val="2C931448"/>
    <w:rsid w:val="2CA8549C"/>
    <w:rsid w:val="2CF748AA"/>
    <w:rsid w:val="2D157538"/>
    <w:rsid w:val="2D2F720D"/>
    <w:rsid w:val="2D4828C3"/>
    <w:rsid w:val="2D48594D"/>
    <w:rsid w:val="2D57345B"/>
    <w:rsid w:val="2D764F47"/>
    <w:rsid w:val="2DD91851"/>
    <w:rsid w:val="2E4D6A38"/>
    <w:rsid w:val="2E9025A4"/>
    <w:rsid w:val="2EF35252"/>
    <w:rsid w:val="2F080823"/>
    <w:rsid w:val="2F08776A"/>
    <w:rsid w:val="2F173E47"/>
    <w:rsid w:val="2F1B4932"/>
    <w:rsid w:val="2F3E632A"/>
    <w:rsid w:val="2F4F3241"/>
    <w:rsid w:val="2F6C3DCC"/>
    <w:rsid w:val="2F7744F1"/>
    <w:rsid w:val="2F81674D"/>
    <w:rsid w:val="2FC25D7B"/>
    <w:rsid w:val="2FCA7927"/>
    <w:rsid w:val="2FE87A6A"/>
    <w:rsid w:val="2FF81FE9"/>
    <w:rsid w:val="30184226"/>
    <w:rsid w:val="304D190A"/>
    <w:rsid w:val="3086347F"/>
    <w:rsid w:val="308F4B91"/>
    <w:rsid w:val="30941DB6"/>
    <w:rsid w:val="309E7091"/>
    <w:rsid w:val="30DE49F0"/>
    <w:rsid w:val="30E20ADF"/>
    <w:rsid w:val="31104BE6"/>
    <w:rsid w:val="31421084"/>
    <w:rsid w:val="31A30E4F"/>
    <w:rsid w:val="31DB58FA"/>
    <w:rsid w:val="31E0690F"/>
    <w:rsid w:val="31F06AA9"/>
    <w:rsid w:val="32535B1F"/>
    <w:rsid w:val="32830AEF"/>
    <w:rsid w:val="329945C7"/>
    <w:rsid w:val="32AE7CE7"/>
    <w:rsid w:val="32C41EAE"/>
    <w:rsid w:val="32CA0E4B"/>
    <w:rsid w:val="32CB45C8"/>
    <w:rsid w:val="332E3950"/>
    <w:rsid w:val="33314F68"/>
    <w:rsid w:val="335202DB"/>
    <w:rsid w:val="33732317"/>
    <w:rsid w:val="33790B91"/>
    <w:rsid w:val="33A337D5"/>
    <w:rsid w:val="33F71CC8"/>
    <w:rsid w:val="34016A86"/>
    <w:rsid w:val="34184C5D"/>
    <w:rsid w:val="34475E33"/>
    <w:rsid w:val="347312F7"/>
    <w:rsid w:val="34751871"/>
    <w:rsid w:val="3492234F"/>
    <w:rsid w:val="34AA0645"/>
    <w:rsid w:val="34C61DEF"/>
    <w:rsid w:val="34D349C1"/>
    <w:rsid w:val="34D65FE2"/>
    <w:rsid w:val="34DD141E"/>
    <w:rsid w:val="34EF48D4"/>
    <w:rsid w:val="34FC47B6"/>
    <w:rsid w:val="35767350"/>
    <w:rsid w:val="359E1B8E"/>
    <w:rsid w:val="35BE26D5"/>
    <w:rsid w:val="360006C2"/>
    <w:rsid w:val="36457F31"/>
    <w:rsid w:val="36A861E5"/>
    <w:rsid w:val="36BC6408"/>
    <w:rsid w:val="3706166B"/>
    <w:rsid w:val="372F3093"/>
    <w:rsid w:val="3734013D"/>
    <w:rsid w:val="373B7D1B"/>
    <w:rsid w:val="374566AD"/>
    <w:rsid w:val="37674ED7"/>
    <w:rsid w:val="37883D9D"/>
    <w:rsid w:val="37FB916F"/>
    <w:rsid w:val="37FF6BD7"/>
    <w:rsid w:val="38177FF1"/>
    <w:rsid w:val="386523B0"/>
    <w:rsid w:val="38A230B5"/>
    <w:rsid w:val="38B5305A"/>
    <w:rsid w:val="38D63A95"/>
    <w:rsid w:val="3915611C"/>
    <w:rsid w:val="397158ED"/>
    <w:rsid w:val="39724B96"/>
    <w:rsid w:val="397765EE"/>
    <w:rsid w:val="39E37660"/>
    <w:rsid w:val="3A347BA7"/>
    <w:rsid w:val="3A856654"/>
    <w:rsid w:val="3AC96B3C"/>
    <w:rsid w:val="3ADA7F84"/>
    <w:rsid w:val="3ADF8974"/>
    <w:rsid w:val="3AE22A52"/>
    <w:rsid w:val="3B093521"/>
    <w:rsid w:val="3B0A2B10"/>
    <w:rsid w:val="3B470C18"/>
    <w:rsid w:val="3B5269DA"/>
    <w:rsid w:val="3B646004"/>
    <w:rsid w:val="3BAA2DFB"/>
    <w:rsid w:val="3BD45B11"/>
    <w:rsid w:val="3C195C5A"/>
    <w:rsid w:val="3C504855"/>
    <w:rsid w:val="3CC17E22"/>
    <w:rsid w:val="3CFD6524"/>
    <w:rsid w:val="3D0A686C"/>
    <w:rsid w:val="3D4358ED"/>
    <w:rsid w:val="3D6FFD0C"/>
    <w:rsid w:val="3D833044"/>
    <w:rsid w:val="3DBD4CAC"/>
    <w:rsid w:val="3DEFC264"/>
    <w:rsid w:val="3E0655B4"/>
    <w:rsid w:val="3E337FDD"/>
    <w:rsid w:val="3E3F66DC"/>
    <w:rsid w:val="3E835940"/>
    <w:rsid w:val="3ECA28FD"/>
    <w:rsid w:val="3EFA0DD9"/>
    <w:rsid w:val="3EFFF7EA"/>
    <w:rsid w:val="3F257157"/>
    <w:rsid w:val="3F812A3A"/>
    <w:rsid w:val="3FD062C0"/>
    <w:rsid w:val="3FE383B6"/>
    <w:rsid w:val="3FFEF876"/>
    <w:rsid w:val="3FFFD53F"/>
    <w:rsid w:val="400B31E9"/>
    <w:rsid w:val="40141D1D"/>
    <w:rsid w:val="401B4FD8"/>
    <w:rsid w:val="40307C69"/>
    <w:rsid w:val="404D7AC8"/>
    <w:rsid w:val="40791BF6"/>
    <w:rsid w:val="407B722C"/>
    <w:rsid w:val="40AB4C9D"/>
    <w:rsid w:val="40DD16D8"/>
    <w:rsid w:val="413063A6"/>
    <w:rsid w:val="41391FB6"/>
    <w:rsid w:val="4145485A"/>
    <w:rsid w:val="417B40A4"/>
    <w:rsid w:val="41814A29"/>
    <w:rsid w:val="41920DF4"/>
    <w:rsid w:val="41A36DCF"/>
    <w:rsid w:val="42226A27"/>
    <w:rsid w:val="425D4FF7"/>
    <w:rsid w:val="42655A33"/>
    <w:rsid w:val="43005F1C"/>
    <w:rsid w:val="43100FE2"/>
    <w:rsid w:val="43463A91"/>
    <w:rsid w:val="43B76429"/>
    <w:rsid w:val="43B943DD"/>
    <w:rsid w:val="43BF143F"/>
    <w:rsid w:val="43F86EC3"/>
    <w:rsid w:val="44240C6A"/>
    <w:rsid w:val="44272CAC"/>
    <w:rsid w:val="443A54EB"/>
    <w:rsid w:val="44451BDC"/>
    <w:rsid w:val="447B6726"/>
    <w:rsid w:val="449A1973"/>
    <w:rsid w:val="44F02F62"/>
    <w:rsid w:val="45126E9C"/>
    <w:rsid w:val="458B1522"/>
    <w:rsid w:val="45ED0241"/>
    <w:rsid w:val="460434E4"/>
    <w:rsid w:val="465E0C5B"/>
    <w:rsid w:val="466B00B6"/>
    <w:rsid w:val="46706F3F"/>
    <w:rsid w:val="46742883"/>
    <w:rsid w:val="46757EF5"/>
    <w:rsid w:val="468375BE"/>
    <w:rsid w:val="46876032"/>
    <w:rsid w:val="46A87C88"/>
    <w:rsid w:val="46C96C6F"/>
    <w:rsid w:val="47245012"/>
    <w:rsid w:val="473D42FE"/>
    <w:rsid w:val="47793752"/>
    <w:rsid w:val="47A9364D"/>
    <w:rsid w:val="482D214A"/>
    <w:rsid w:val="485278BE"/>
    <w:rsid w:val="487D2A9B"/>
    <w:rsid w:val="48C75219"/>
    <w:rsid w:val="48D23E7A"/>
    <w:rsid w:val="48F04FAA"/>
    <w:rsid w:val="49383A95"/>
    <w:rsid w:val="49897021"/>
    <w:rsid w:val="49940EDE"/>
    <w:rsid w:val="499B766C"/>
    <w:rsid w:val="49A85CE0"/>
    <w:rsid w:val="49BB73C2"/>
    <w:rsid w:val="49CB0635"/>
    <w:rsid w:val="49CC464E"/>
    <w:rsid w:val="49E815C6"/>
    <w:rsid w:val="4A203730"/>
    <w:rsid w:val="4A203D36"/>
    <w:rsid w:val="4A3F1F54"/>
    <w:rsid w:val="4A5943E4"/>
    <w:rsid w:val="4A693AF6"/>
    <w:rsid w:val="4ADD07E4"/>
    <w:rsid w:val="4B4E3F99"/>
    <w:rsid w:val="4B512959"/>
    <w:rsid w:val="4B5A348C"/>
    <w:rsid w:val="4B715FB2"/>
    <w:rsid w:val="4B8C55E8"/>
    <w:rsid w:val="4BB858C5"/>
    <w:rsid w:val="4C083C31"/>
    <w:rsid w:val="4C100B51"/>
    <w:rsid w:val="4C875D8A"/>
    <w:rsid w:val="4C88552C"/>
    <w:rsid w:val="4D092A65"/>
    <w:rsid w:val="4D3E119B"/>
    <w:rsid w:val="4D657023"/>
    <w:rsid w:val="4D7376F9"/>
    <w:rsid w:val="4DC82BF0"/>
    <w:rsid w:val="4DCD5C9F"/>
    <w:rsid w:val="4DE577AB"/>
    <w:rsid w:val="4EBA1CDB"/>
    <w:rsid w:val="4F1B6653"/>
    <w:rsid w:val="4F314161"/>
    <w:rsid w:val="4F386441"/>
    <w:rsid w:val="4F3F55BB"/>
    <w:rsid w:val="4F464A5A"/>
    <w:rsid w:val="4F4C6491"/>
    <w:rsid w:val="4F5D32A4"/>
    <w:rsid w:val="4F66062D"/>
    <w:rsid w:val="4F67656B"/>
    <w:rsid w:val="4F9818B4"/>
    <w:rsid w:val="4FAD051B"/>
    <w:rsid w:val="4FB7AB6C"/>
    <w:rsid w:val="4FD46EBD"/>
    <w:rsid w:val="4FE828ED"/>
    <w:rsid w:val="4FEDDF80"/>
    <w:rsid w:val="501D392A"/>
    <w:rsid w:val="507951EA"/>
    <w:rsid w:val="508F2AB3"/>
    <w:rsid w:val="50B138D1"/>
    <w:rsid w:val="50F31B7F"/>
    <w:rsid w:val="511E35F8"/>
    <w:rsid w:val="51503FA0"/>
    <w:rsid w:val="51596E11"/>
    <w:rsid w:val="519B5CC2"/>
    <w:rsid w:val="51CD03C6"/>
    <w:rsid w:val="51FE7D93"/>
    <w:rsid w:val="52121DCF"/>
    <w:rsid w:val="52137423"/>
    <w:rsid w:val="521C6302"/>
    <w:rsid w:val="522105B9"/>
    <w:rsid w:val="52263BCA"/>
    <w:rsid w:val="5304202F"/>
    <w:rsid w:val="53155197"/>
    <w:rsid w:val="531B7C6E"/>
    <w:rsid w:val="53314D4C"/>
    <w:rsid w:val="53A43997"/>
    <w:rsid w:val="53D42EB7"/>
    <w:rsid w:val="5403502E"/>
    <w:rsid w:val="540A6D47"/>
    <w:rsid w:val="54457077"/>
    <w:rsid w:val="544F1263"/>
    <w:rsid w:val="549C0AA6"/>
    <w:rsid w:val="549D0C85"/>
    <w:rsid w:val="54EE6554"/>
    <w:rsid w:val="550C6C83"/>
    <w:rsid w:val="553E32D6"/>
    <w:rsid w:val="55675C79"/>
    <w:rsid w:val="55BC2E86"/>
    <w:rsid w:val="55C03CB8"/>
    <w:rsid w:val="55C624E8"/>
    <w:rsid w:val="55D94BD7"/>
    <w:rsid w:val="5625035E"/>
    <w:rsid w:val="562F0568"/>
    <w:rsid w:val="565F506B"/>
    <w:rsid w:val="56830ADF"/>
    <w:rsid w:val="56857CFC"/>
    <w:rsid w:val="569022B2"/>
    <w:rsid w:val="56BB20E5"/>
    <w:rsid w:val="56D67726"/>
    <w:rsid w:val="57002B8D"/>
    <w:rsid w:val="570555B3"/>
    <w:rsid w:val="57344DFE"/>
    <w:rsid w:val="573577BE"/>
    <w:rsid w:val="57413EB9"/>
    <w:rsid w:val="57606083"/>
    <w:rsid w:val="577E64AD"/>
    <w:rsid w:val="578B0E6E"/>
    <w:rsid w:val="578C7676"/>
    <w:rsid w:val="57A1046F"/>
    <w:rsid w:val="57D60C34"/>
    <w:rsid w:val="57F652BC"/>
    <w:rsid w:val="5848614A"/>
    <w:rsid w:val="585D6E6C"/>
    <w:rsid w:val="58A674A5"/>
    <w:rsid w:val="58CD30A4"/>
    <w:rsid w:val="58CD382E"/>
    <w:rsid w:val="590D6489"/>
    <w:rsid w:val="59154896"/>
    <w:rsid w:val="595042FB"/>
    <w:rsid w:val="59876675"/>
    <w:rsid w:val="59B961EA"/>
    <w:rsid w:val="59C9107F"/>
    <w:rsid w:val="59CE04C3"/>
    <w:rsid w:val="5A0C0158"/>
    <w:rsid w:val="5A3D0E34"/>
    <w:rsid w:val="5A4E1D0A"/>
    <w:rsid w:val="5A4FEA6A"/>
    <w:rsid w:val="5A642481"/>
    <w:rsid w:val="5A6E0818"/>
    <w:rsid w:val="5ABE7049"/>
    <w:rsid w:val="5B695259"/>
    <w:rsid w:val="5BC44CEE"/>
    <w:rsid w:val="5BDA0F82"/>
    <w:rsid w:val="5C00697E"/>
    <w:rsid w:val="5C1F3F9F"/>
    <w:rsid w:val="5C2F3299"/>
    <w:rsid w:val="5C405FA4"/>
    <w:rsid w:val="5C896574"/>
    <w:rsid w:val="5C8C3697"/>
    <w:rsid w:val="5CAC7B1C"/>
    <w:rsid w:val="5CD13E43"/>
    <w:rsid w:val="5D591FBD"/>
    <w:rsid w:val="5D5DEF0D"/>
    <w:rsid w:val="5D94180E"/>
    <w:rsid w:val="5DC411A3"/>
    <w:rsid w:val="5DCA620A"/>
    <w:rsid w:val="5DF576A1"/>
    <w:rsid w:val="5DFE433A"/>
    <w:rsid w:val="5E1373C1"/>
    <w:rsid w:val="5E3130B8"/>
    <w:rsid w:val="5E430F49"/>
    <w:rsid w:val="5E6747E1"/>
    <w:rsid w:val="5E97068D"/>
    <w:rsid w:val="5EB543C4"/>
    <w:rsid w:val="5EB92CF5"/>
    <w:rsid w:val="5ED30C10"/>
    <w:rsid w:val="5F44566E"/>
    <w:rsid w:val="5F4C554A"/>
    <w:rsid w:val="5F6528DE"/>
    <w:rsid w:val="5F675369"/>
    <w:rsid w:val="5F6F1A27"/>
    <w:rsid w:val="5F973A30"/>
    <w:rsid w:val="5F9C7872"/>
    <w:rsid w:val="5FB71F10"/>
    <w:rsid w:val="5FCF3527"/>
    <w:rsid w:val="5FF11BD5"/>
    <w:rsid w:val="60234BB8"/>
    <w:rsid w:val="602D4F22"/>
    <w:rsid w:val="603F2201"/>
    <w:rsid w:val="605721AA"/>
    <w:rsid w:val="60AE77CA"/>
    <w:rsid w:val="60B44113"/>
    <w:rsid w:val="60C06C11"/>
    <w:rsid w:val="60EA573B"/>
    <w:rsid w:val="613F7C88"/>
    <w:rsid w:val="617A1E26"/>
    <w:rsid w:val="61D60995"/>
    <w:rsid w:val="61E54B40"/>
    <w:rsid w:val="622C753A"/>
    <w:rsid w:val="622F00B1"/>
    <w:rsid w:val="62884618"/>
    <w:rsid w:val="62AE1EF3"/>
    <w:rsid w:val="62D70BD1"/>
    <w:rsid w:val="62E47D3E"/>
    <w:rsid w:val="63191A9A"/>
    <w:rsid w:val="63416D06"/>
    <w:rsid w:val="63A6157B"/>
    <w:rsid w:val="63AA21B4"/>
    <w:rsid w:val="63C3108A"/>
    <w:rsid w:val="63E1701D"/>
    <w:rsid w:val="63FC019F"/>
    <w:rsid w:val="64481AB7"/>
    <w:rsid w:val="64497B3B"/>
    <w:rsid w:val="648630F3"/>
    <w:rsid w:val="64B30F39"/>
    <w:rsid w:val="64C45F03"/>
    <w:rsid w:val="64CB5E68"/>
    <w:rsid w:val="64D5736A"/>
    <w:rsid w:val="64F851F1"/>
    <w:rsid w:val="65625FEC"/>
    <w:rsid w:val="656C7BC4"/>
    <w:rsid w:val="658F39E4"/>
    <w:rsid w:val="65930C48"/>
    <w:rsid w:val="65C23858"/>
    <w:rsid w:val="66183E19"/>
    <w:rsid w:val="66BE22A1"/>
    <w:rsid w:val="66D70B4F"/>
    <w:rsid w:val="66FF5A0E"/>
    <w:rsid w:val="67005BCA"/>
    <w:rsid w:val="671C1D5F"/>
    <w:rsid w:val="67812CEA"/>
    <w:rsid w:val="679E080A"/>
    <w:rsid w:val="67EE11BE"/>
    <w:rsid w:val="681E63B1"/>
    <w:rsid w:val="683B1C26"/>
    <w:rsid w:val="6889713A"/>
    <w:rsid w:val="69541AD9"/>
    <w:rsid w:val="69650E2F"/>
    <w:rsid w:val="69996C0E"/>
    <w:rsid w:val="69A9488B"/>
    <w:rsid w:val="69C96177"/>
    <w:rsid w:val="69E16BE6"/>
    <w:rsid w:val="6A230268"/>
    <w:rsid w:val="6A356523"/>
    <w:rsid w:val="6A5F513A"/>
    <w:rsid w:val="6A7150A8"/>
    <w:rsid w:val="6ABF2D94"/>
    <w:rsid w:val="6B067187"/>
    <w:rsid w:val="6B507AEB"/>
    <w:rsid w:val="6B537F5D"/>
    <w:rsid w:val="6B727905"/>
    <w:rsid w:val="6B9125CB"/>
    <w:rsid w:val="6BE64B7B"/>
    <w:rsid w:val="6BF315F7"/>
    <w:rsid w:val="6C05463D"/>
    <w:rsid w:val="6C274259"/>
    <w:rsid w:val="6C714624"/>
    <w:rsid w:val="6C9F23F5"/>
    <w:rsid w:val="6CD07465"/>
    <w:rsid w:val="6CDA28F7"/>
    <w:rsid w:val="6CFF5E7D"/>
    <w:rsid w:val="6D10711C"/>
    <w:rsid w:val="6D1771CB"/>
    <w:rsid w:val="6D2E27CF"/>
    <w:rsid w:val="6D52034D"/>
    <w:rsid w:val="6D5C8456"/>
    <w:rsid w:val="6D70737B"/>
    <w:rsid w:val="6D771760"/>
    <w:rsid w:val="6D993D80"/>
    <w:rsid w:val="6D9F3D50"/>
    <w:rsid w:val="6DDF75FC"/>
    <w:rsid w:val="6DEF065F"/>
    <w:rsid w:val="6DF90EC9"/>
    <w:rsid w:val="6E01448B"/>
    <w:rsid w:val="6E2E5E48"/>
    <w:rsid w:val="6E61687E"/>
    <w:rsid w:val="6E866386"/>
    <w:rsid w:val="6EC40562"/>
    <w:rsid w:val="6ED160AB"/>
    <w:rsid w:val="6EDCD8A4"/>
    <w:rsid w:val="6EF71747"/>
    <w:rsid w:val="6F106C53"/>
    <w:rsid w:val="6F4F6D21"/>
    <w:rsid w:val="6F58696B"/>
    <w:rsid w:val="6F7D8CE6"/>
    <w:rsid w:val="6F95673A"/>
    <w:rsid w:val="6FBB755E"/>
    <w:rsid w:val="6FEE1B2C"/>
    <w:rsid w:val="70216AC8"/>
    <w:rsid w:val="70392C2A"/>
    <w:rsid w:val="70745258"/>
    <w:rsid w:val="707819B0"/>
    <w:rsid w:val="709B2D07"/>
    <w:rsid w:val="709F64A5"/>
    <w:rsid w:val="70AD6346"/>
    <w:rsid w:val="70CF02ED"/>
    <w:rsid w:val="70D74AB3"/>
    <w:rsid w:val="70DA6154"/>
    <w:rsid w:val="70E95D7A"/>
    <w:rsid w:val="71136C4F"/>
    <w:rsid w:val="712E15B0"/>
    <w:rsid w:val="713B74DB"/>
    <w:rsid w:val="714D0A49"/>
    <w:rsid w:val="717520A9"/>
    <w:rsid w:val="719F0B7C"/>
    <w:rsid w:val="71CD6934"/>
    <w:rsid w:val="71EA15C0"/>
    <w:rsid w:val="71F83BE6"/>
    <w:rsid w:val="725737C3"/>
    <w:rsid w:val="72757496"/>
    <w:rsid w:val="727B41C2"/>
    <w:rsid w:val="72B07BDF"/>
    <w:rsid w:val="73253029"/>
    <w:rsid w:val="732860A1"/>
    <w:rsid w:val="73517BC9"/>
    <w:rsid w:val="73B44DF0"/>
    <w:rsid w:val="73B6CDC5"/>
    <w:rsid w:val="73F21076"/>
    <w:rsid w:val="7417189B"/>
    <w:rsid w:val="74340A39"/>
    <w:rsid w:val="74611F1F"/>
    <w:rsid w:val="7491533F"/>
    <w:rsid w:val="74D22127"/>
    <w:rsid w:val="750D524B"/>
    <w:rsid w:val="753D053B"/>
    <w:rsid w:val="75846400"/>
    <w:rsid w:val="75B69C5A"/>
    <w:rsid w:val="75C26102"/>
    <w:rsid w:val="75CC5A83"/>
    <w:rsid w:val="75FA4693"/>
    <w:rsid w:val="76072028"/>
    <w:rsid w:val="761A3604"/>
    <w:rsid w:val="76390E53"/>
    <w:rsid w:val="767577A0"/>
    <w:rsid w:val="7677C0A0"/>
    <w:rsid w:val="768611D1"/>
    <w:rsid w:val="76A61737"/>
    <w:rsid w:val="76BE11CF"/>
    <w:rsid w:val="774B2EC4"/>
    <w:rsid w:val="7761477F"/>
    <w:rsid w:val="776A7337"/>
    <w:rsid w:val="777F4087"/>
    <w:rsid w:val="77B41026"/>
    <w:rsid w:val="77B60329"/>
    <w:rsid w:val="77EB98B8"/>
    <w:rsid w:val="77FDA89B"/>
    <w:rsid w:val="78041F2B"/>
    <w:rsid w:val="7817F238"/>
    <w:rsid w:val="785D788F"/>
    <w:rsid w:val="78700E16"/>
    <w:rsid w:val="7878622D"/>
    <w:rsid w:val="78A70A09"/>
    <w:rsid w:val="78AB6CF2"/>
    <w:rsid w:val="78F85823"/>
    <w:rsid w:val="78FF40FB"/>
    <w:rsid w:val="794857A6"/>
    <w:rsid w:val="79585961"/>
    <w:rsid w:val="79614897"/>
    <w:rsid w:val="79680FED"/>
    <w:rsid w:val="79BB2545"/>
    <w:rsid w:val="7A45651E"/>
    <w:rsid w:val="7A4F7B07"/>
    <w:rsid w:val="7A640DEF"/>
    <w:rsid w:val="7A685998"/>
    <w:rsid w:val="7B0F0EC6"/>
    <w:rsid w:val="7B2A4A73"/>
    <w:rsid w:val="7B3B3EC1"/>
    <w:rsid w:val="7B44451C"/>
    <w:rsid w:val="7B7114EB"/>
    <w:rsid w:val="7B766521"/>
    <w:rsid w:val="7B9A6B24"/>
    <w:rsid w:val="7B9A6FC5"/>
    <w:rsid w:val="7BA269EE"/>
    <w:rsid w:val="7BC47376"/>
    <w:rsid w:val="7BEB4073"/>
    <w:rsid w:val="7BF78840"/>
    <w:rsid w:val="7BFD9344"/>
    <w:rsid w:val="7C00147E"/>
    <w:rsid w:val="7C0E1600"/>
    <w:rsid w:val="7C136885"/>
    <w:rsid w:val="7C3717CE"/>
    <w:rsid w:val="7C691183"/>
    <w:rsid w:val="7C792EC7"/>
    <w:rsid w:val="7D0D2D49"/>
    <w:rsid w:val="7D203553"/>
    <w:rsid w:val="7D4441A2"/>
    <w:rsid w:val="7D6F44B2"/>
    <w:rsid w:val="7D9948DF"/>
    <w:rsid w:val="7D9C56A0"/>
    <w:rsid w:val="7DC47C61"/>
    <w:rsid w:val="7DD76F8A"/>
    <w:rsid w:val="7E00744C"/>
    <w:rsid w:val="7E27194F"/>
    <w:rsid w:val="7E5D471B"/>
    <w:rsid w:val="7E7D381A"/>
    <w:rsid w:val="7E93527C"/>
    <w:rsid w:val="7EC17537"/>
    <w:rsid w:val="7EDFEFE0"/>
    <w:rsid w:val="7EE7D0B8"/>
    <w:rsid w:val="7F0969F7"/>
    <w:rsid w:val="7F4033B0"/>
    <w:rsid w:val="7F4B17C2"/>
    <w:rsid w:val="7F65074C"/>
    <w:rsid w:val="7F6B1C88"/>
    <w:rsid w:val="7F7367DF"/>
    <w:rsid w:val="7FAA5858"/>
    <w:rsid w:val="7FAF3BDF"/>
    <w:rsid w:val="7FC8E83A"/>
    <w:rsid w:val="7FCFBEA0"/>
    <w:rsid w:val="7FF5C50B"/>
    <w:rsid w:val="7FF8015F"/>
    <w:rsid w:val="7FFDC00C"/>
    <w:rsid w:val="7FFF0B5E"/>
    <w:rsid w:val="7FFFDE6F"/>
    <w:rsid w:val="877F24EE"/>
    <w:rsid w:val="9EBBB3C6"/>
    <w:rsid w:val="9FED3A78"/>
    <w:rsid w:val="A4D9679D"/>
    <w:rsid w:val="A7FFAED3"/>
    <w:rsid w:val="AEF548E8"/>
    <w:rsid w:val="AFBEB0C6"/>
    <w:rsid w:val="BBFF94D7"/>
    <w:rsid w:val="BEBF26DD"/>
    <w:rsid w:val="BF9FE4B6"/>
    <w:rsid w:val="BFDFB785"/>
    <w:rsid w:val="BFF74CCB"/>
    <w:rsid w:val="C2EFD1DC"/>
    <w:rsid w:val="C75C3FC9"/>
    <w:rsid w:val="CEED4CB8"/>
    <w:rsid w:val="D6DBE02D"/>
    <w:rsid w:val="DBF9AF50"/>
    <w:rsid w:val="DD6D421A"/>
    <w:rsid w:val="DE767273"/>
    <w:rsid w:val="DFDFD2DC"/>
    <w:rsid w:val="E7DBF2BA"/>
    <w:rsid w:val="EB7BA25A"/>
    <w:rsid w:val="EBB9902A"/>
    <w:rsid w:val="EBD61924"/>
    <w:rsid w:val="EBFF8B8F"/>
    <w:rsid w:val="EEDC2D33"/>
    <w:rsid w:val="EF23EF07"/>
    <w:rsid w:val="F1FD5B54"/>
    <w:rsid w:val="F3F7A0E4"/>
    <w:rsid w:val="F5776324"/>
    <w:rsid w:val="F5EAF77A"/>
    <w:rsid w:val="F7D329AE"/>
    <w:rsid w:val="F94B9B39"/>
    <w:rsid w:val="FDF5A407"/>
    <w:rsid w:val="FE5F7D5E"/>
    <w:rsid w:val="FE9E96A7"/>
    <w:rsid w:val="FEF74405"/>
    <w:rsid w:val="FF3B902D"/>
    <w:rsid w:val="FF7DC710"/>
    <w:rsid w:val="FFFA62BB"/>
    <w:rsid w:val="FFFFA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6">
    <w:name w:val="heading 3"/>
    <w:basedOn w:val="1"/>
    <w:next w:val="1"/>
    <w:link w:val="57"/>
    <w:qFormat/>
    <w:uiPriority w:val="0"/>
    <w:pPr>
      <w:keepNext/>
      <w:keepLines/>
      <w:spacing w:before="260" w:after="260" w:line="416" w:lineRule="auto"/>
      <w:outlineLvl w:val="2"/>
    </w:pPr>
    <w:rPr>
      <w:b/>
      <w:bCs/>
      <w:sz w:val="32"/>
      <w:szCs w:val="32"/>
    </w:rPr>
  </w:style>
  <w:style w:type="paragraph" w:styleId="7">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9">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10">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11">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2">
    <w:name w:val="heading 9"/>
    <w:basedOn w:val="1"/>
    <w:next w:val="1"/>
    <w:link w:val="59"/>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rPr>
      <w:rFonts w:ascii="Arial" w:hAnsi="Arial"/>
      <w:snapToGrid w:val="0"/>
      <w:kern w:val="0"/>
      <w:sz w:val="20"/>
    </w:rPr>
  </w:style>
  <w:style w:type="paragraph" w:styleId="3">
    <w:name w:val="Body Text Indent"/>
    <w:basedOn w:val="1"/>
    <w:next w:val="1"/>
    <w:qFormat/>
    <w:uiPriority w:val="0"/>
    <w:pPr>
      <w:spacing w:line="400" w:lineRule="exact"/>
      <w:ind w:firstLine="560" w:firstLineChars="200"/>
    </w:pPr>
    <w:rPr>
      <w:sz w:val="28"/>
      <w:u w:val="single"/>
    </w:rPr>
  </w:style>
  <w:style w:type="paragraph" w:styleId="13">
    <w:name w:val="toc 7"/>
    <w:basedOn w:val="1"/>
    <w:next w:val="1"/>
    <w:qFormat/>
    <w:uiPriority w:val="39"/>
    <w:pPr>
      <w:ind w:left="1260"/>
      <w:jc w:val="left"/>
    </w:pPr>
    <w:rPr>
      <w:rFonts w:ascii="Calibri" w:hAnsi="Calibri" w:cs="Calibri"/>
      <w:sz w:val="18"/>
      <w:szCs w:val="18"/>
    </w:rPr>
  </w:style>
  <w:style w:type="paragraph" w:styleId="14">
    <w:name w:val="Normal Indent"/>
    <w:basedOn w:val="1"/>
    <w:link w:val="60"/>
    <w:qFormat/>
    <w:uiPriority w:val="0"/>
    <w:pPr>
      <w:widowControl/>
      <w:ind w:firstLine="420"/>
      <w:jc w:val="left"/>
    </w:pPr>
    <w:rPr>
      <w:kern w:val="0"/>
      <w:sz w:val="20"/>
      <w:szCs w:val="20"/>
    </w:rPr>
  </w:style>
  <w:style w:type="paragraph" w:styleId="15">
    <w:name w:val="caption"/>
    <w:basedOn w:val="1"/>
    <w:next w:val="1"/>
    <w:qFormat/>
    <w:uiPriority w:val="0"/>
    <w:rPr>
      <w:rFonts w:ascii="Arial" w:hAnsi="Arial" w:eastAsia="黑体"/>
      <w:sz w:val="20"/>
    </w:rPr>
  </w:style>
  <w:style w:type="paragraph" w:styleId="16">
    <w:name w:val="Document Map"/>
    <w:basedOn w:val="1"/>
    <w:link w:val="61"/>
    <w:qFormat/>
    <w:uiPriority w:val="0"/>
    <w:pPr>
      <w:shd w:val="clear" w:color="auto" w:fill="000080"/>
    </w:pPr>
  </w:style>
  <w:style w:type="paragraph" w:styleId="17">
    <w:name w:val="annotation text"/>
    <w:basedOn w:val="1"/>
    <w:link w:val="62"/>
    <w:qFormat/>
    <w:uiPriority w:val="99"/>
    <w:pPr>
      <w:adjustRightInd w:val="0"/>
      <w:spacing w:line="360" w:lineRule="atLeast"/>
      <w:jc w:val="left"/>
      <w:textAlignment w:val="baseline"/>
    </w:pPr>
    <w:rPr>
      <w:kern w:val="0"/>
      <w:sz w:val="24"/>
      <w:szCs w:val="20"/>
    </w:rPr>
  </w:style>
  <w:style w:type="paragraph" w:styleId="18">
    <w:name w:val="Body Text 3"/>
    <w:basedOn w:val="1"/>
    <w:link w:val="63"/>
    <w:qFormat/>
    <w:uiPriority w:val="0"/>
    <w:pPr>
      <w:spacing w:line="440" w:lineRule="exact"/>
    </w:pPr>
    <w:rPr>
      <w:sz w:val="24"/>
    </w:rPr>
  </w:style>
  <w:style w:type="paragraph" w:styleId="19">
    <w:name w:val="Body Text"/>
    <w:basedOn w:val="1"/>
    <w:link w:val="54"/>
    <w:qFormat/>
    <w:uiPriority w:val="0"/>
    <w:pPr>
      <w:jc w:val="center"/>
    </w:pPr>
    <w:rPr>
      <w:sz w:val="52"/>
    </w:rPr>
  </w:style>
  <w:style w:type="paragraph" w:styleId="20">
    <w:name w:val="toc 5"/>
    <w:basedOn w:val="1"/>
    <w:next w:val="1"/>
    <w:qFormat/>
    <w:uiPriority w:val="39"/>
    <w:pPr>
      <w:ind w:left="840"/>
      <w:jc w:val="left"/>
    </w:pPr>
    <w:rPr>
      <w:rFonts w:ascii="Calibri" w:hAnsi="Calibri" w:cs="Calibri"/>
      <w:sz w:val="18"/>
      <w:szCs w:val="18"/>
    </w:rPr>
  </w:style>
  <w:style w:type="paragraph" w:styleId="21">
    <w:name w:val="toc 3"/>
    <w:basedOn w:val="1"/>
    <w:next w:val="1"/>
    <w:qFormat/>
    <w:uiPriority w:val="39"/>
    <w:pPr>
      <w:ind w:left="420"/>
      <w:jc w:val="left"/>
    </w:pPr>
    <w:rPr>
      <w:rFonts w:ascii="Calibri" w:hAnsi="Calibri" w:cs="Calibri"/>
      <w:i/>
      <w:iCs/>
      <w:sz w:val="20"/>
      <w:szCs w:val="20"/>
    </w:rPr>
  </w:style>
  <w:style w:type="paragraph" w:styleId="22">
    <w:name w:val="Plain Text"/>
    <w:basedOn w:val="1"/>
    <w:link w:val="64"/>
    <w:qFormat/>
    <w:uiPriority w:val="0"/>
    <w:rPr>
      <w:rFonts w:ascii="宋体" w:hAnsi="Courier New"/>
      <w:szCs w:val="20"/>
    </w:rPr>
  </w:style>
  <w:style w:type="paragraph" w:styleId="23">
    <w:name w:val="toc 8"/>
    <w:basedOn w:val="1"/>
    <w:next w:val="1"/>
    <w:qFormat/>
    <w:uiPriority w:val="39"/>
    <w:pPr>
      <w:ind w:left="1470"/>
      <w:jc w:val="left"/>
    </w:pPr>
    <w:rPr>
      <w:rFonts w:ascii="Calibri" w:hAnsi="Calibri" w:cs="Calibri"/>
      <w:sz w:val="18"/>
      <w:szCs w:val="18"/>
    </w:rPr>
  </w:style>
  <w:style w:type="paragraph" w:styleId="24">
    <w:name w:val="Date"/>
    <w:basedOn w:val="1"/>
    <w:next w:val="1"/>
    <w:qFormat/>
    <w:uiPriority w:val="0"/>
    <w:pPr>
      <w:ind w:left="100" w:leftChars="2500"/>
    </w:pPr>
  </w:style>
  <w:style w:type="paragraph" w:styleId="25">
    <w:name w:val="Body Text Indent 2"/>
    <w:basedOn w:val="1"/>
    <w:qFormat/>
    <w:uiPriority w:val="0"/>
    <w:pPr>
      <w:spacing w:line="400" w:lineRule="exact"/>
      <w:ind w:firstLine="560" w:firstLineChars="200"/>
    </w:pPr>
    <w:rPr>
      <w:sz w:val="28"/>
    </w:rPr>
  </w:style>
  <w:style w:type="paragraph" w:styleId="26">
    <w:name w:val="Balloon Text"/>
    <w:basedOn w:val="1"/>
    <w:link w:val="65"/>
    <w:qFormat/>
    <w:uiPriority w:val="0"/>
    <w:rPr>
      <w:sz w:val="18"/>
      <w:szCs w:val="18"/>
    </w:rPr>
  </w:style>
  <w:style w:type="paragraph" w:styleId="27">
    <w:name w:val="footer"/>
    <w:basedOn w:val="1"/>
    <w:link w:val="66"/>
    <w:qFormat/>
    <w:uiPriority w:val="99"/>
    <w:pPr>
      <w:tabs>
        <w:tab w:val="center" w:pos="4153"/>
        <w:tab w:val="right" w:pos="8306"/>
      </w:tabs>
      <w:snapToGrid w:val="0"/>
      <w:jc w:val="left"/>
    </w:pPr>
    <w:rPr>
      <w:sz w:val="18"/>
      <w:szCs w:val="18"/>
    </w:rPr>
  </w:style>
  <w:style w:type="paragraph" w:styleId="28">
    <w:name w:val="header"/>
    <w:basedOn w:val="1"/>
    <w:link w:val="67"/>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List"/>
    <w:basedOn w:val="1"/>
    <w:qFormat/>
    <w:uiPriority w:val="0"/>
    <w:pPr>
      <w:ind w:left="200" w:hanging="200" w:hangingChars="200"/>
    </w:pPr>
    <w:rPr>
      <w:szCs w:val="20"/>
    </w:rPr>
  </w:style>
  <w:style w:type="paragraph" w:styleId="32">
    <w:name w:val="toc 6"/>
    <w:basedOn w:val="1"/>
    <w:next w:val="1"/>
    <w:qFormat/>
    <w:uiPriority w:val="39"/>
    <w:pPr>
      <w:ind w:left="1050"/>
      <w:jc w:val="left"/>
    </w:pPr>
    <w:rPr>
      <w:rFonts w:ascii="Calibri" w:hAnsi="Calibri" w:cs="Calibri"/>
      <w:sz w:val="18"/>
      <w:szCs w:val="18"/>
    </w:rPr>
  </w:style>
  <w:style w:type="paragraph" w:styleId="33">
    <w:name w:val="Body Text Indent 3"/>
    <w:basedOn w:val="1"/>
    <w:qFormat/>
    <w:uiPriority w:val="0"/>
    <w:pPr>
      <w:spacing w:line="500" w:lineRule="exact"/>
      <w:ind w:firstLine="570"/>
    </w:pPr>
    <w:rPr>
      <w:rFonts w:eastAsia="黑体"/>
      <w:sz w:val="28"/>
    </w:rPr>
  </w:style>
  <w:style w:type="paragraph" w:styleId="34">
    <w:name w:val="toc 2"/>
    <w:basedOn w:val="1"/>
    <w:next w:val="1"/>
    <w:qFormat/>
    <w:uiPriority w:val="39"/>
    <w:pPr>
      <w:ind w:left="210"/>
      <w:jc w:val="left"/>
    </w:pPr>
    <w:rPr>
      <w:rFonts w:ascii="Calibri" w:hAnsi="Calibri" w:cs="Calibri"/>
      <w:smallCaps/>
      <w:sz w:val="20"/>
      <w:szCs w:val="20"/>
    </w:rPr>
  </w:style>
  <w:style w:type="paragraph" w:styleId="35">
    <w:name w:val="toc 9"/>
    <w:basedOn w:val="1"/>
    <w:next w:val="1"/>
    <w:qFormat/>
    <w:uiPriority w:val="39"/>
    <w:pPr>
      <w:ind w:left="1680"/>
      <w:jc w:val="left"/>
    </w:pPr>
    <w:rPr>
      <w:rFonts w:ascii="Calibri" w:hAnsi="Calibri" w:cs="Calibri"/>
      <w:sz w:val="18"/>
      <w:szCs w:val="18"/>
    </w:rPr>
  </w:style>
  <w:style w:type="paragraph" w:styleId="36">
    <w:name w:val="Body Text 2"/>
    <w:basedOn w:val="1"/>
    <w:qFormat/>
    <w:uiPriority w:val="0"/>
    <w:rPr>
      <w:sz w:val="28"/>
    </w:rPr>
  </w:style>
  <w:style w:type="paragraph" w:styleId="37">
    <w:name w:val="Normal (Web)"/>
    <w:basedOn w:val="1"/>
    <w:qFormat/>
    <w:uiPriority w:val="0"/>
    <w:pPr>
      <w:widowControl/>
      <w:spacing w:before="100" w:beforeAutospacing="1" w:after="100" w:afterAutospacing="1"/>
      <w:jc w:val="left"/>
    </w:pPr>
    <w:rPr>
      <w:rFonts w:ascii="宋体" w:hAnsi="宋体"/>
      <w:kern w:val="0"/>
      <w:sz w:val="24"/>
    </w:rPr>
  </w:style>
  <w:style w:type="paragraph" w:styleId="38">
    <w:name w:val="Title"/>
    <w:basedOn w:val="1"/>
    <w:link w:val="68"/>
    <w:qFormat/>
    <w:uiPriority w:val="0"/>
    <w:pPr>
      <w:adjustRightInd w:val="0"/>
      <w:spacing w:before="240" w:after="60" w:line="312" w:lineRule="atLeast"/>
      <w:jc w:val="center"/>
      <w:textAlignment w:val="baseline"/>
    </w:pPr>
    <w:rPr>
      <w:rFonts w:ascii="Arial" w:hAnsi="Arial"/>
      <w:b/>
      <w:kern w:val="28"/>
      <w:sz w:val="32"/>
      <w:szCs w:val="20"/>
    </w:rPr>
  </w:style>
  <w:style w:type="paragraph" w:styleId="39">
    <w:name w:val="annotation subject"/>
    <w:basedOn w:val="17"/>
    <w:next w:val="17"/>
    <w:link w:val="69"/>
    <w:qFormat/>
    <w:uiPriority w:val="0"/>
    <w:pPr>
      <w:adjustRightInd/>
      <w:spacing w:line="240" w:lineRule="auto"/>
      <w:textAlignment w:val="auto"/>
    </w:pPr>
    <w:rPr>
      <w:b/>
      <w:bCs/>
      <w:kern w:val="2"/>
      <w:sz w:val="21"/>
      <w:szCs w:val="24"/>
    </w:rPr>
  </w:style>
  <w:style w:type="table" w:styleId="41">
    <w:name w:val="Table Grid"/>
    <w:basedOn w:val="40"/>
    <w:qFormat/>
    <w:uiPriority w:val="5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rFonts w:cs="Times New Roman"/>
      <w:b/>
    </w:rPr>
  </w:style>
  <w:style w:type="character" w:styleId="44">
    <w:name w:val="page number"/>
    <w:qFormat/>
    <w:uiPriority w:val="0"/>
  </w:style>
  <w:style w:type="character" w:styleId="45">
    <w:name w:val="FollowedHyperlink"/>
    <w:qFormat/>
    <w:uiPriority w:val="0"/>
    <w:rPr>
      <w:color w:val="333333"/>
      <w:u w:val="none"/>
    </w:rPr>
  </w:style>
  <w:style w:type="character" w:styleId="46">
    <w:name w:val="Emphasis"/>
    <w:qFormat/>
    <w:uiPriority w:val="20"/>
  </w:style>
  <w:style w:type="character" w:styleId="47">
    <w:name w:val="HTML Definition"/>
    <w:unhideWhenUsed/>
    <w:qFormat/>
    <w:uiPriority w:val="99"/>
    <w:rPr>
      <w:i/>
      <w:iCs/>
    </w:rPr>
  </w:style>
  <w:style w:type="character" w:styleId="48">
    <w:name w:val="Hyperlink"/>
    <w:qFormat/>
    <w:uiPriority w:val="99"/>
    <w:rPr>
      <w:color w:val="333333"/>
      <w:u w:val="none"/>
    </w:rPr>
  </w:style>
  <w:style w:type="character" w:styleId="49">
    <w:name w:val="HTML Code"/>
    <w:unhideWhenUsed/>
    <w:qFormat/>
    <w:uiPriority w:val="99"/>
    <w:rPr>
      <w:rFonts w:hint="default" w:ascii="Consolas" w:hAnsi="Consolas" w:eastAsia="Consolas" w:cs="Consolas"/>
      <w:color w:val="C7254E"/>
      <w:sz w:val="21"/>
      <w:szCs w:val="21"/>
      <w:shd w:val="clear" w:color="auto" w:fill="F9F2F4"/>
    </w:rPr>
  </w:style>
  <w:style w:type="character" w:styleId="50">
    <w:name w:val="annotation reference"/>
    <w:qFormat/>
    <w:uiPriority w:val="99"/>
    <w:rPr>
      <w:sz w:val="21"/>
      <w:szCs w:val="21"/>
    </w:rPr>
  </w:style>
  <w:style w:type="character" w:styleId="51">
    <w:name w:val="HTML Keyboard"/>
    <w:unhideWhenUsed/>
    <w:qFormat/>
    <w:uiPriority w:val="99"/>
    <w:rPr>
      <w:rFonts w:hint="default" w:ascii="Consolas" w:hAnsi="Consolas" w:eastAsia="Consolas" w:cs="Consolas"/>
      <w:color w:val="FFFFFF"/>
      <w:sz w:val="21"/>
      <w:szCs w:val="21"/>
      <w:shd w:val="clear" w:color="auto" w:fill="333333"/>
    </w:rPr>
  </w:style>
  <w:style w:type="character" w:styleId="52">
    <w:name w:val="HTML Sample"/>
    <w:unhideWhenUsed/>
    <w:qFormat/>
    <w:uiPriority w:val="99"/>
    <w:rPr>
      <w:rFonts w:ascii="Consolas" w:hAnsi="Consolas" w:eastAsia="Consolas" w:cs="Consolas"/>
      <w:sz w:val="21"/>
      <w:szCs w:val="21"/>
    </w:rPr>
  </w:style>
  <w:style w:type="paragraph" w:customStyle="1" w:styleId="53">
    <w:name w:val="Char2 Char Char Char1 Char Char Char Char Char Char Char Char1 Char1 Char Char1 Char"/>
    <w:basedOn w:val="1"/>
    <w:qFormat/>
    <w:uiPriority w:val="0"/>
    <w:rPr>
      <w:rFonts w:ascii="宋体" w:hAnsi="宋体"/>
      <w:kern w:val="0"/>
      <w:szCs w:val="21"/>
    </w:rPr>
  </w:style>
  <w:style w:type="character" w:customStyle="1" w:styleId="54">
    <w:name w:val="正文文本 Char"/>
    <w:link w:val="19"/>
    <w:qFormat/>
    <w:locked/>
    <w:uiPriority w:val="0"/>
    <w:rPr>
      <w:kern w:val="2"/>
      <w:sz w:val="52"/>
      <w:szCs w:val="24"/>
    </w:rPr>
  </w:style>
  <w:style w:type="character" w:customStyle="1" w:styleId="55">
    <w:name w:val="标题 1 Char"/>
    <w:link w:val="4"/>
    <w:qFormat/>
    <w:locked/>
    <w:uiPriority w:val="0"/>
    <w:rPr>
      <w:b/>
      <w:bCs/>
      <w:kern w:val="44"/>
      <w:sz w:val="44"/>
      <w:szCs w:val="44"/>
    </w:rPr>
  </w:style>
  <w:style w:type="character" w:customStyle="1" w:styleId="56">
    <w:name w:val="标题 2 Char"/>
    <w:link w:val="5"/>
    <w:qFormat/>
    <w:locked/>
    <w:uiPriority w:val="0"/>
    <w:rPr>
      <w:rFonts w:ascii="Arial" w:hAnsi="Arial"/>
      <w:b/>
      <w:bCs/>
      <w:color w:val="FF0000"/>
      <w:kern w:val="2"/>
      <w:sz w:val="28"/>
      <w:szCs w:val="32"/>
    </w:rPr>
  </w:style>
  <w:style w:type="character" w:customStyle="1" w:styleId="57">
    <w:name w:val="标题 3 Char"/>
    <w:link w:val="6"/>
    <w:qFormat/>
    <w:uiPriority w:val="0"/>
    <w:rPr>
      <w:b/>
      <w:bCs/>
      <w:kern w:val="2"/>
      <w:sz w:val="32"/>
      <w:szCs w:val="32"/>
    </w:rPr>
  </w:style>
  <w:style w:type="character" w:customStyle="1" w:styleId="58">
    <w:name w:val="标题 4 Char"/>
    <w:link w:val="7"/>
    <w:qFormat/>
    <w:uiPriority w:val="0"/>
    <w:rPr>
      <w:rFonts w:ascii="Arial" w:hAnsi="Arial" w:eastAsia="黑体"/>
      <w:b/>
      <w:bCs/>
      <w:kern w:val="2"/>
      <w:sz w:val="28"/>
      <w:szCs w:val="28"/>
    </w:rPr>
  </w:style>
  <w:style w:type="character" w:customStyle="1" w:styleId="59">
    <w:name w:val="标题 9 Char"/>
    <w:link w:val="12"/>
    <w:qFormat/>
    <w:uiPriority w:val="0"/>
    <w:rPr>
      <w:rFonts w:ascii="Arial" w:hAnsi="Arial" w:eastAsia="黑体"/>
      <w:sz w:val="21"/>
      <w:szCs w:val="21"/>
    </w:rPr>
  </w:style>
  <w:style w:type="character" w:customStyle="1" w:styleId="60">
    <w:name w:val="正文缩进 Char"/>
    <w:link w:val="14"/>
    <w:qFormat/>
    <w:uiPriority w:val="0"/>
  </w:style>
  <w:style w:type="character" w:customStyle="1" w:styleId="61">
    <w:name w:val="文档结构图 Char1"/>
    <w:link w:val="16"/>
    <w:qFormat/>
    <w:uiPriority w:val="0"/>
    <w:rPr>
      <w:kern w:val="2"/>
      <w:sz w:val="21"/>
      <w:szCs w:val="24"/>
      <w:shd w:val="clear" w:color="auto" w:fill="000080"/>
    </w:rPr>
  </w:style>
  <w:style w:type="character" w:customStyle="1" w:styleId="62">
    <w:name w:val="批注文字 Char"/>
    <w:link w:val="17"/>
    <w:qFormat/>
    <w:locked/>
    <w:uiPriority w:val="99"/>
    <w:rPr>
      <w:sz w:val="24"/>
    </w:rPr>
  </w:style>
  <w:style w:type="character" w:customStyle="1" w:styleId="63">
    <w:name w:val="正文文本 3 Char"/>
    <w:link w:val="18"/>
    <w:qFormat/>
    <w:uiPriority w:val="0"/>
    <w:rPr>
      <w:kern w:val="2"/>
      <w:sz w:val="24"/>
      <w:szCs w:val="24"/>
    </w:rPr>
  </w:style>
  <w:style w:type="character" w:customStyle="1" w:styleId="64">
    <w:name w:val="纯文本 Char1"/>
    <w:link w:val="22"/>
    <w:qFormat/>
    <w:uiPriority w:val="0"/>
    <w:rPr>
      <w:rFonts w:ascii="宋体" w:hAnsi="Courier New"/>
      <w:kern w:val="2"/>
      <w:sz w:val="21"/>
    </w:rPr>
  </w:style>
  <w:style w:type="character" w:customStyle="1" w:styleId="65">
    <w:name w:val="批注框文本 Char"/>
    <w:link w:val="26"/>
    <w:qFormat/>
    <w:locked/>
    <w:uiPriority w:val="0"/>
    <w:rPr>
      <w:kern w:val="2"/>
      <w:sz w:val="18"/>
      <w:szCs w:val="18"/>
    </w:rPr>
  </w:style>
  <w:style w:type="character" w:customStyle="1" w:styleId="66">
    <w:name w:val="页脚 Char"/>
    <w:link w:val="27"/>
    <w:qFormat/>
    <w:uiPriority w:val="99"/>
    <w:rPr>
      <w:kern w:val="2"/>
      <w:sz w:val="18"/>
      <w:szCs w:val="18"/>
    </w:rPr>
  </w:style>
  <w:style w:type="character" w:customStyle="1" w:styleId="67">
    <w:name w:val="页眉 Char"/>
    <w:link w:val="28"/>
    <w:qFormat/>
    <w:locked/>
    <w:uiPriority w:val="99"/>
    <w:rPr>
      <w:kern w:val="2"/>
      <w:sz w:val="18"/>
      <w:szCs w:val="18"/>
    </w:rPr>
  </w:style>
  <w:style w:type="character" w:customStyle="1" w:styleId="68">
    <w:name w:val="标题 Char"/>
    <w:link w:val="38"/>
    <w:qFormat/>
    <w:locked/>
    <w:uiPriority w:val="0"/>
    <w:rPr>
      <w:rFonts w:ascii="Arial" w:hAnsi="Arial"/>
      <w:b/>
      <w:kern w:val="28"/>
      <w:sz w:val="32"/>
    </w:rPr>
  </w:style>
  <w:style w:type="character" w:customStyle="1" w:styleId="69">
    <w:name w:val="批注主题 Char1"/>
    <w:link w:val="39"/>
    <w:qFormat/>
    <w:locked/>
    <w:uiPriority w:val="0"/>
    <w:rPr>
      <w:b/>
      <w:bCs/>
      <w:kern w:val="2"/>
      <w:sz w:val="21"/>
      <w:szCs w:val="24"/>
    </w:rPr>
  </w:style>
  <w:style w:type="character" w:customStyle="1" w:styleId="70">
    <w:name w:val="bd-open2"/>
    <w:qFormat/>
    <w:uiPriority w:val="0"/>
  </w:style>
  <w:style w:type="character" w:customStyle="1" w:styleId="71">
    <w:name w:val="first-child"/>
    <w:qFormat/>
    <w:uiPriority w:val="0"/>
  </w:style>
  <w:style w:type="character" w:customStyle="1" w:styleId="72">
    <w:name w:val="bd-close"/>
    <w:qFormat/>
    <w:uiPriority w:val="0"/>
    <w:rPr>
      <w:vanish/>
    </w:rPr>
  </w:style>
  <w:style w:type="character" w:customStyle="1" w:styleId="73">
    <w:name w:val="right"/>
    <w:qFormat/>
    <w:uiPriority w:val="0"/>
  </w:style>
  <w:style w:type="character" w:customStyle="1" w:styleId="74">
    <w:name w:val="批注文字 Char1"/>
    <w:qFormat/>
    <w:uiPriority w:val="0"/>
    <w:rPr>
      <w:kern w:val="2"/>
      <w:sz w:val="21"/>
    </w:rPr>
  </w:style>
  <w:style w:type="character" w:customStyle="1" w:styleId="75">
    <w:name w:val="Header Char"/>
    <w:qFormat/>
    <w:locked/>
    <w:uiPriority w:val="0"/>
    <w:rPr>
      <w:rFonts w:ascii="Calibri" w:hAnsi="Calibri" w:eastAsia="宋体"/>
      <w:sz w:val="18"/>
    </w:rPr>
  </w:style>
  <w:style w:type="character" w:customStyle="1" w:styleId="76">
    <w:name w:val="批注引用1"/>
    <w:qFormat/>
    <w:uiPriority w:val="0"/>
    <w:rPr>
      <w:sz w:val="21"/>
    </w:rPr>
  </w:style>
  <w:style w:type="character" w:customStyle="1" w:styleId="77">
    <w:name w:val="封面合同编号 Char"/>
    <w:link w:val="78"/>
    <w:qFormat/>
    <w:uiPriority w:val="0"/>
    <w:rPr>
      <w:rFonts w:ascii="Calibri" w:hAnsi="Calibri"/>
      <w:kern w:val="2"/>
      <w:sz w:val="21"/>
      <w:szCs w:val="22"/>
    </w:rPr>
  </w:style>
  <w:style w:type="paragraph" w:customStyle="1" w:styleId="78">
    <w:name w:val="封面合同编号"/>
    <w:basedOn w:val="1"/>
    <w:link w:val="77"/>
    <w:qFormat/>
    <w:uiPriority w:val="0"/>
    <w:pPr>
      <w:spacing w:line="276" w:lineRule="auto"/>
      <w:ind w:right="1701"/>
      <w:jc w:val="right"/>
    </w:pPr>
    <w:rPr>
      <w:rFonts w:ascii="Calibri" w:hAnsi="Calibri"/>
      <w:szCs w:val="22"/>
    </w:rPr>
  </w:style>
  <w:style w:type="character" w:customStyle="1" w:styleId="79">
    <w:name w:val="15"/>
    <w:qFormat/>
    <w:uiPriority w:val="0"/>
    <w:rPr>
      <w:rFonts w:hint="eastAsia" w:ascii="宋体" w:hAnsi="宋体" w:eastAsia="宋体"/>
      <w:sz w:val="24"/>
      <w:szCs w:val="24"/>
    </w:rPr>
  </w:style>
  <w:style w:type="character" w:customStyle="1" w:styleId="80">
    <w:name w:val="列出段落 字符"/>
    <w:qFormat/>
    <w:uiPriority w:val="34"/>
    <w:rPr>
      <w:kern w:val="2"/>
      <w:sz w:val="21"/>
      <w:szCs w:val="24"/>
    </w:rPr>
  </w:style>
  <w:style w:type="character" w:customStyle="1" w:styleId="81">
    <w:name w:val="日期 Char"/>
    <w:link w:val="82"/>
    <w:qFormat/>
    <w:locked/>
    <w:uiPriority w:val="0"/>
    <w:rPr>
      <w:rFonts w:ascii="Calibri" w:hAnsi="Calibri"/>
    </w:rPr>
  </w:style>
  <w:style w:type="paragraph" w:customStyle="1" w:styleId="82">
    <w:name w:val="日期1"/>
    <w:basedOn w:val="1"/>
    <w:next w:val="1"/>
    <w:link w:val="81"/>
    <w:qFormat/>
    <w:uiPriority w:val="0"/>
    <w:pPr>
      <w:ind w:left="100" w:leftChars="2500"/>
    </w:pPr>
    <w:rPr>
      <w:rFonts w:ascii="Calibri" w:hAnsi="Calibri"/>
      <w:kern w:val="0"/>
      <w:sz w:val="20"/>
      <w:szCs w:val="20"/>
    </w:rPr>
  </w:style>
  <w:style w:type="character" w:customStyle="1" w:styleId="83">
    <w:name w:val="Balloon Text Char"/>
    <w:qFormat/>
    <w:locked/>
    <w:uiPriority w:val="0"/>
    <w:rPr>
      <w:rFonts w:ascii="Calibri" w:hAnsi="Calibri" w:eastAsia="宋体"/>
      <w:sz w:val="18"/>
    </w:rPr>
  </w:style>
  <w:style w:type="character" w:customStyle="1" w:styleId="84">
    <w:name w:val="A表格文字左对齐 Char"/>
    <w:link w:val="85"/>
    <w:qFormat/>
    <w:uiPriority w:val="0"/>
    <w:rPr>
      <w:rFonts w:ascii="宋体" w:hAnsi="宋体"/>
      <w:kern w:val="2"/>
      <w:sz w:val="21"/>
    </w:rPr>
  </w:style>
  <w:style w:type="paragraph" w:customStyle="1" w:styleId="85">
    <w:name w:val="A表格文字左对齐"/>
    <w:basedOn w:val="1"/>
    <w:link w:val="84"/>
    <w:qFormat/>
    <w:uiPriority w:val="0"/>
    <w:pPr>
      <w:adjustRightInd w:val="0"/>
      <w:spacing w:before="40" w:after="4"/>
      <w:jc w:val="left"/>
    </w:pPr>
    <w:rPr>
      <w:rFonts w:ascii="宋体" w:hAnsi="宋体"/>
      <w:szCs w:val="20"/>
    </w:rPr>
  </w:style>
  <w:style w:type="character" w:customStyle="1" w:styleId="86">
    <w:name w:val="layui-layer-tabnow"/>
    <w:qFormat/>
    <w:uiPriority w:val="0"/>
    <w:rPr>
      <w:bdr w:val="single" w:color="CCCCCC" w:sz="6" w:space="0"/>
      <w:shd w:val="clear" w:color="auto" w:fill="FFFFFF"/>
    </w:rPr>
  </w:style>
  <w:style w:type="character" w:customStyle="1" w:styleId="87">
    <w:name w:val="中文正文、 Char Char"/>
    <w:link w:val="88"/>
    <w:qFormat/>
    <w:uiPriority w:val="0"/>
    <w:rPr>
      <w:kern w:val="2"/>
      <w:sz w:val="21"/>
      <w:szCs w:val="21"/>
    </w:rPr>
  </w:style>
  <w:style w:type="paragraph" w:customStyle="1" w:styleId="88">
    <w:name w:val="中文正文、"/>
    <w:basedOn w:val="1"/>
    <w:link w:val="87"/>
    <w:qFormat/>
    <w:uiPriority w:val="0"/>
    <w:pPr>
      <w:spacing w:line="360" w:lineRule="auto"/>
      <w:ind w:firstLine="420" w:firstLineChars="200"/>
    </w:pPr>
    <w:rPr>
      <w:szCs w:val="21"/>
    </w:rPr>
  </w:style>
  <w:style w:type="character" w:customStyle="1" w:styleId="89">
    <w:name w:val="纯文本 Char"/>
    <w:qFormat/>
    <w:locked/>
    <w:uiPriority w:val="0"/>
    <w:rPr>
      <w:rFonts w:ascii="Calibri" w:hAnsi="Calibri" w:cs="Calibri"/>
    </w:rPr>
  </w:style>
  <w:style w:type="character" w:customStyle="1" w:styleId="90">
    <w:name w:val="16"/>
    <w:qFormat/>
    <w:uiPriority w:val="0"/>
    <w:rPr>
      <w:rFonts w:hint="default" w:ascii="Times New Roman" w:hAnsi="Times New Roman" w:cs="Times New Roman"/>
    </w:rPr>
  </w:style>
  <w:style w:type="character" w:customStyle="1" w:styleId="91">
    <w:name w:val="Footer Char"/>
    <w:qFormat/>
    <w:locked/>
    <w:uiPriority w:val="0"/>
    <w:rPr>
      <w:rFonts w:ascii="Calibri" w:hAnsi="Calibri" w:eastAsia="宋体"/>
      <w:sz w:val="18"/>
    </w:rPr>
  </w:style>
  <w:style w:type="character" w:customStyle="1" w:styleId="92">
    <w:name w:val="edui-clickable2"/>
    <w:qFormat/>
    <w:uiPriority w:val="0"/>
    <w:rPr>
      <w:color w:val="0000FF"/>
      <w:u w:val="single"/>
    </w:rPr>
  </w:style>
  <w:style w:type="character" w:customStyle="1" w:styleId="93">
    <w:name w:val="left"/>
    <w:qFormat/>
    <w:uiPriority w:val="0"/>
    <w:rPr>
      <w:color w:val="FF4700"/>
    </w:rPr>
  </w:style>
  <w:style w:type="character" w:customStyle="1" w:styleId="94">
    <w:name w:val="tmpztreemove_arrow"/>
    <w:qFormat/>
    <w:uiPriority w:val="0"/>
  </w:style>
  <w:style w:type="character" w:customStyle="1" w:styleId="95">
    <w:name w:val="font51"/>
    <w:qFormat/>
    <w:uiPriority w:val="0"/>
    <w:rPr>
      <w:rFonts w:hint="eastAsia" w:ascii="仿宋" w:hAnsi="仿宋" w:eastAsia="仿宋" w:cs="仿宋"/>
      <w:b/>
      <w:bCs/>
      <w:color w:val="000000"/>
      <w:sz w:val="21"/>
      <w:szCs w:val="21"/>
      <w:u w:val="none"/>
    </w:rPr>
  </w:style>
  <w:style w:type="character" w:customStyle="1" w:styleId="96">
    <w:name w:val="bd-close2"/>
    <w:qFormat/>
    <w:uiPriority w:val="0"/>
    <w:rPr>
      <w:vanish/>
    </w:rPr>
  </w:style>
  <w:style w:type="character" w:customStyle="1" w:styleId="97">
    <w:name w:val="标题2 Char"/>
    <w:link w:val="98"/>
    <w:qFormat/>
    <w:uiPriority w:val="0"/>
    <w:rPr>
      <w:rFonts w:ascii="黑体" w:hAnsi="宋体" w:cs="黑体"/>
      <w:b/>
      <w:bCs/>
      <w:sz w:val="28"/>
      <w:szCs w:val="28"/>
    </w:rPr>
  </w:style>
  <w:style w:type="paragraph" w:customStyle="1" w:styleId="98">
    <w:name w:val="标题2"/>
    <w:basedOn w:val="7"/>
    <w:next w:val="1"/>
    <w:link w:val="97"/>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99">
    <w:name w:val="font21"/>
    <w:qFormat/>
    <w:uiPriority w:val="0"/>
    <w:rPr>
      <w:rFonts w:hint="default" w:ascii="仿宋_GB2312" w:hAnsi="宋体" w:eastAsia="仿宋_GB2312" w:cs="仿宋_GB2312"/>
      <w:color w:val="FF0000"/>
      <w:kern w:val="0"/>
      <w:sz w:val="24"/>
      <w:szCs w:val="24"/>
      <w:u w:val="none"/>
    </w:rPr>
  </w:style>
  <w:style w:type="character" w:customStyle="1" w:styleId="100">
    <w:name w:val="封面副标题 Char"/>
    <w:link w:val="101"/>
    <w:qFormat/>
    <w:uiPriority w:val="0"/>
    <w:rPr>
      <w:rFonts w:ascii="黑体" w:eastAsia="黑体"/>
      <w:sz w:val="28"/>
      <w:szCs w:val="28"/>
    </w:rPr>
  </w:style>
  <w:style w:type="paragraph" w:customStyle="1" w:styleId="101">
    <w:name w:val="封面副标题"/>
    <w:basedOn w:val="1"/>
    <w:link w:val="100"/>
    <w:qFormat/>
    <w:uiPriority w:val="0"/>
    <w:pPr>
      <w:spacing w:line="276" w:lineRule="auto"/>
      <w:ind w:firstLine="199" w:firstLineChars="71"/>
      <w:jc w:val="center"/>
    </w:pPr>
    <w:rPr>
      <w:rFonts w:ascii="黑体" w:eastAsia="黑体"/>
      <w:kern w:val="0"/>
      <w:sz w:val="28"/>
      <w:szCs w:val="28"/>
    </w:rPr>
  </w:style>
  <w:style w:type="character" w:customStyle="1" w:styleId="102">
    <w:name w:val="批注文字 Char2"/>
    <w:qFormat/>
    <w:uiPriority w:val="99"/>
    <w:rPr>
      <w:kern w:val="2"/>
      <w:sz w:val="21"/>
    </w:rPr>
  </w:style>
  <w:style w:type="character" w:customStyle="1" w:styleId="103">
    <w:name w:val="封面标题 Char"/>
    <w:link w:val="104"/>
    <w:qFormat/>
    <w:uiPriority w:val="0"/>
    <w:rPr>
      <w:rFonts w:ascii="黑体" w:eastAsia="黑体"/>
      <w:sz w:val="52"/>
      <w:szCs w:val="52"/>
    </w:rPr>
  </w:style>
  <w:style w:type="paragraph" w:customStyle="1" w:styleId="104">
    <w:name w:val="封面标题"/>
    <w:basedOn w:val="1"/>
    <w:link w:val="103"/>
    <w:qFormat/>
    <w:uiPriority w:val="0"/>
    <w:pPr>
      <w:spacing w:line="276" w:lineRule="auto"/>
      <w:jc w:val="center"/>
    </w:pPr>
    <w:rPr>
      <w:rFonts w:ascii="黑体" w:eastAsia="黑体"/>
      <w:kern w:val="0"/>
      <w:sz w:val="52"/>
      <w:szCs w:val="52"/>
    </w:rPr>
  </w:style>
  <w:style w:type="character" w:customStyle="1" w:styleId="105">
    <w:name w:val="left2"/>
    <w:qFormat/>
    <w:uiPriority w:val="0"/>
    <w:rPr>
      <w:color w:val="FF4700"/>
    </w:rPr>
  </w:style>
  <w:style w:type="character" w:customStyle="1" w:styleId="106">
    <w:name w:val="文档结构图 Char"/>
    <w:link w:val="107"/>
    <w:qFormat/>
    <w:locked/>
    <w:uiPriority w:val="0"/>
    <w:rPr>
      <w:rFonts w:ascii="宋体" w:hAnsi="Calibri"/>
      <w:sz w:val="18"/>
    </w:rPr>
  </w:style>
  <w:style w:type="paragraph" w:customStyle="1" w:styleId="107">
    <w:name w:val="文档结构图1"/>
    <w:basedOn w:val="1"/>
    <w:link w:val="106"/>
    <w:qFormat/>
    <w:uiPriority w:val="0"/>
    <w:rPr>
      <w:rFonts w:ascii="宋体" w:hAnsi="Calibri"/>
      <w:kern w:val="0"/>
      <w:sz w:val="18"/>
      <w:szCs w:val="20"/>
    </w:rPr>
  </w:style>
  <w:style w:type="character" w:customStyle="1" w:styleId="108">
    <w:name w:val="批注文字 字符"/>
    <w:qFormat/>
    <w:uiPriority w:val="99"/>
    <w:rPr>
      <w:kern w:val="2"/>
      <w:sz w:val="21"/>
    </w:rPr>
  </w:style>
  <w:style w:type="character" w:customStyle="1" w:styleId="109">
    <w:name w:val="列出段落 Char"/>
    <w:link w:val="110"/>
    <w:qFormat/>
    <w:locked/>
    <w:uiPriority w:val="34"/>
    <w:rPr>
      <w:rFonts w:cs="Calibri"/>
      <w:kern w:val="2"/>
      <w:sz w:val="21"/>
      <w:szCs w:val="24"/>
    </w:rPr>
  </w:style>
  <w:style w:type="paragraph" w:styleId="110">
    <w:name w:val="List Paragraph"/>
    <w:basedOn w:val="1"/>
    <w:link w:val="109"/>
    <w:qFormat/>
    <w:uiPriority w:val="34"/>
    <w:pPr>
      <w:ind w:firstLine="420" w:firstLineChars="200"/>
    </w:pPr>
    <w:rPr>
      <w:rFonts w:ascii="Calibri" w:hAnsi="Calibri" w:cs="Calibri"/>
    </w:rPr>
  </w:style>
  <w:style w:type="character" w:customStyle="1" w:styleId="111">
    <w:name w:val="Comment Text Char"/>
    <w:qFormat/>
    <w:locked/>
    <w:uiPriority w:val="0"/>
    <w:rPr>
      <w:rFonts w:ascii="Times New Roman" w:hAnsi="Times New Roman" w:eastAsia="宋体"/>
      <w:sz w:val="24"/>
    </w:rPr>
  </w:style>
  <w:style w:type="character" w:customStyle="1" w:styleId="112">
    <w:name w:val="edui-unclickable"/>
    <w:qFormat/>
    <w:uiPriority w:val="0"/>
    <w:rPr>
      <w:color w:val="808080"/>
    </w:rPr>
  </w:style>
  <w:style w:type="character" w:customStyle="1" w:styleId="113">
    <w:name w:val="font31"/>
    <w:qFormat/>
    <w:uiPriority w:val="0"/>
    <w:rPr>
      <w:rFonts w:hint="eastAsia" w:ascii="仿宋" w:hAnsi="仿宋" w:eastAsia="仿宋" w:cs="仿宋"/>
      <w:color w:val="000000"/>
      <w:kern w:val="0"/>
      <w:sz w:val="20"/>
      <w:szCs w:val="20"/>
      <w:u w:val="none"/>
    </w:rPr>
  </w:style>
  <w:style w:type="character" w:customStyle="1" w:styleId="114">
    <w:name w:val="bd-open"/>
    <w:qFormat/>
    <w:uiPriority w:val="0"/>
  </w:style>
  <w:style w:type="character" w:customStyle="1" w:styleId="115">
    <w:name w:val="Title Char"/>
    <w:qFormat/>
    <w:locked/>
    <w:uiPriority w:val="0"/>
    <w:rPr>
      <w:rFonts w:ascii="Cambria" w:hAnsi="Cambria" w:eastAsia="宋体"/>
      <w:b/>
      <w:sz w:val="32"/>
    </w:rPr>
  </w:style>
  <w:style w:type="character" w:customStyle="1" w:styleId="116">
    <w:name w:val="批注主题 Char"/>
    <w:link w:val="117"/>
    <w:qFormat/>
    <w:locked/>
    <w:uiPriority w:val="0"/>
    <w:rPr>
      <w:b/>
      <w:sz w:val="24"/>
    </w:rPr>
  </w:style>
  <w:style w:type="paragraph" w:customStyle="1" w:styleId="117">
    <w:name w:val="批注主题1"/>
    <w:basedOn w:val="17"/>
    <w:next w:val="17"/>
    <w:link w:val="116"/>
    <w:qFormat/>
    <w:uiPriority w:val="0"/>
    <w:pPr>
      <w:adjustRightInd/>
      <w:spacing w:line="240" w:lineRule="auto"/>
      <w:textAlignment w:val="auto"/>
    </w:pPr>
    <w:rPr>
      <w:b/>
    </w:rPr>
  </w:style>
  <w:style w:type="character" w:customStyle="1" w:styleId="118">
    <w:name w:val="button"/>
    <w:qFormat/>
    <w:uiPriority w:val="0"/>
  </w:style>
  <w:style w:type="character" w:customStyle="1" w:styleId="119">
    <w:name w:val="A表格文字 Char"/>
    <w:link w:val="120"/>
    <w:qFormat/>
    <w:uiPriority w:val="0"/>
    <w:rPr>
      <w:rFonts w:ascii="宋体" w:hAnsi="宋体"/>
      <w:kern w:val="21"/>
      <w:sz w:val="21"/>
    </w:rPr>
  </w:style>
  <w:style w:type="paragraph" w:customStyle="1" w:styleId="120">
    <w:name w:val="A表格文字"/>
    <w:basedOn w:val="1"/>
    <w:link w:val="119"/>
    <w:qFormat/>
    <w:uiPriority w:val="0"/>
    <w:pPr>
      <w:adjustRightInd w:val="0"/>
      <w:snapToGrid w:val="0"/>
      <w:spacing w:before="40" w:after="40"/>
      <w:jc w:val="left"/>
    </w:pPr>
    <w:rPr>
      <w:rFonts w:ascii="宋体" w:hAnsi="宋体"/>
      <w:kern w:val="21"/>
      <w:szCs w:val="20"/>
    </w:rPr>
  </w:style>
  <w:style w:type="character" w:customStyle="1" w:styleId="121">
    <w:name w:val="彩色列表 - 强调文字颜色 1 Char"/>
    <w:link w:val="122"/>
    <w:qFormat/>
    <w:uiPriority w:val="34"/>
    <w:rPr>
      <w:rFonts w:ascii="Calibri" w:hAnsi="Calibri"/>
      <w:kern w:val="2"/>
      <w:sz w:val="21"/>
      <w:szCs w:val="22"/>
    </w:rPr>
  </w:style>
  <w:style w:type="paragraph" w:customStyle="1" w:styleId="122">
    <w:name w:val="彩色列表 - 强调文字颜色 11"/>
    <w:basedOn w:val="1"/>
    <w:link w:val="121"/>
    <w:qFormat/>
    <w:uiPriority w:val="34"/>
    <w:pPr>
      <w:ind w:firstLine="420" w:firstLineChars="200"/>
    </w:pPr>
    <w:rPr>
      <w:rFonts w:ascii="Calibri" w:hAnsi="Calibri"/>
      <w:szCs w:val="22"/>
    </w:rPr>
  </w:style>
  <w:style w:type="character" w:customStyle="1" w:styleId="123">
    <w:name w:val="font11"/>
    <w:qFormat/>
    <w:uiPriority w:val="0"/>
    <w:rPr>
      <w:rFonts w:hint="eastAsia" w:ascii="仿宋" w:hAnsi="仿宋" w:eastAsia="仿宋" w:cs="仿宋"/>
      <w:color w:val="FF0000"/>
      <w:sz w:val="20"/>
      <w:szCs w:val="20"/>
      <w:u w:val="none"/>
      <w:lang w:val="en-US" w:eastAsia="zh-CN" w:bidi="ar-SA"/>
    </w:rPr>
  </w:style>
  <w:style w:type="paragraph" w:customStyle="1" w:styleId="124">
    <w:name w:val="无间隔1"/>
    <w:qFormat/>
    <w:uiPriority w:val="1"/>
    <w:rPr>
      <w:rFonts w:ascii="Times New Roman" w:hAnsi="Times New Roman" w:eastAsia="宋体" w:cs="Times New Roman"/>
      <w:sz w:val="22"/>
      <w:lang w:val="en-US" w:eastAsia="zh-CN" w:bidi="ar-SA"/>
    </w:rPr>
  </w:style>
  <w:style w:type="paragraph" w:customStyle="1" w:styleId="125">
    <w:name w:val="表格首行"/>
    <w:basedOn w:val="1"/>
    <w:qFormat/>
    <w:uiPriority w:val="0"/>
    <w:pPr>
      <w:widowControl/>
      <w:jc w:val="center"/>
    </w:pPr>
    <w:rPr>
      <w:rFonts w:hint="eastAsia" w:ascii="宋体" w:hAnsi="宋体"/>
      <w:sz w:val="24"/>
    </w:rPr>
  </w:style>
  <w:style w:type="paragraph" w:customStyle="1" w:styleId="126">
    <w:name w:val="表格正文"/>
    <w:basedOn w:val="1"/>
    <w:qFormat/>
    <w:uiPriority w:val="0"/>
    <w:pPr>
      <w:widowControl/>
      <w:snapToGrid w:val="0"/>
      <w:spacing w:line="300" w:lineRule="auto"/>
      <w:jc w:val="left"/>
    </w:pPr>
    <w:rPr>
      <w:rFonts w:ascii="Calibri" w:hAnsi="Calibri"/>
      <w:sz w:val="24"/>
    </w:rPr>
  </w:style>
  <w:style w:type="paragraph" w:customStyle="1" w:styleId="127">
    <w:name w:val="_Style 126"/>
    <w:basedOn w:val="1"/>
    <w:next w:val="1"/>
    <w:qFormat/>
    <w:uiPriority w:val="0"/>
    <w:pPr>
      <w:pBdr>
        <w:top w:val="single" w:color="auto" w:sz="6" w:space="1"/>
      </w:pBdr>
      <w:jc w:val="center"/>
    </w:pPr>
    <w:rPr>
      <w:rFonts w:ascii="Arial"/>
      <w:vanish/>
      <w:sz w:val="16"/>
    </w:rPr>
  </w:style>
  <w:style w:type="paragraph" w:customStyle="1" w:styleId="128">
    <w:name w:val="text-only"/>
    <w:basedOn w:val="1"/>
    <w:qFormat/>
    <w:uiPriority w:val="0"/>
    <w:pPr>
      <w:spacing w:after="300" w:line="420" w:lineRule="atLeast"/>
      <w:jc w:val="left"/>
    </w:pPr>
    <w:rPr>
      <w:kern w:val="0"/>
    </w:rPr>
  </w:style>
  <w:style w:type="paragraph" w:customStyle="1" w:styleId="129">
    <w:name w:val="Level 2"/>
    <w:basedOn w:val="1"/>
    <w:qFormat/>
    <w:uiPriority w:val="0"/>
    <w:rPr>
      <w:rFonts w:ascii="Calibri" w:hAnsi="Calibri"/>
      <w:szCs w:val="22"/>
    </w:rPr>
  </w:style>
  <w:style w:type="paragraph" w:customStyle="1" w:styleId="130">
    <w:name w:val="样式 标题 1卷标题H1章标题 1 1TITRE1L1 Heading 1h11st levelh111st...3"/>
    <w:basedOn w:val="4"/>
    <w:qFormat/>
    <w:uiPriority w:val="0"/>
    <w:pPr>
      <w:spacing w:before="120" w:after="120" w:line="360" w:lineRule="auto"/>
      <w:jc w:val="center"/>
    </w:pPr>
    <w:rPr>
      <w:rFonts w:ascii="宋体" w:hAnsi="宋体"/>
      <w:sz w:val="36"/>
      <w:szCs w:val="20"/>
    </w:rPr>
  </w:style>
  <w:style w:type="paragraph" w:customStyle="1" w:styleId="131">
    <w:name w:val="样式 样式 首行缩进:  2 字符1 + 首行缩进:  2 字符"/>
    <w:basedOn w:val="132"/>
    <w:qFormat/>
    <w:uiPriority w:val="0"/>
    <w:pPr>
      <w:ind w:firstLine="480"/>
    </w:pPr>
  </w:style>
  <w:style w:type="paragraph" w:customStyle="1" w:styleId="132">
    <w:name w:val="样式 首行缩进:  2 字符1"/>
    <w:basedOn w:val="1"/>
    <w:qFormat/>
    <w:uiPriority w:val="0"/>
    <w:pPr>
      <w:spacing w:line="360" w:lineRule="auto"/>
      <w:ind w:firstLine="200" w:firstLineChars="200"/>
    </w:pPr>
    <w:rPr>
      <w:kern w:val="0"/>
      <w:sz w:val="24"/>
      <w:szCs w:val="20"/>
    </w:rPr>
  </w:style>
  <w:style w:type="paragraph" w:customStyle="1" w:styleId="133">
    <w:name w:val="列出段落11"/>
    <w:basedOn w:val="1"/>
    <w:qFormat/>
    <w:uiPriority w:val="0"/>
    <w:pPr>
      <w:ind w:firstLine="420" w:firstLineChars="200"/>
    </w:pPr>
    <w:rPr>
      <w:rFonts w:ascii="Calibri" w:hAnsi="Calibri"/>
      <w:szCs w:val="22"/>
    </w:rPr>
  </w:style>
  <w:style w:type="paragraph" w:customStyle="1" w:styleId="134">
    <w:name w:val="正文文本 32"/>
    <w:basedOn w:val="1"/>
    <w:qFormat/>
    <w:uiPriority w:val="0"/>
    <w:pPr>
      <w:spacing w:line="312" w:lineRule="auto"/>
    </w:pPr>
    <w:rPr>
      <w:rFonts w:ascii="宋体"/>
      <w:sz w:val="24"/>
      <w:szCs w:val="20"/>
    </w:rPr>
  </w:style>
  <w:style w:type="paragraph" w:customStyle="1" w:styleId="135">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6">
    <w:name w:val="正文文本 31"/>
    <w:basedOn w:val="1"/>
    <w:qFormat/>
    <w:uiPriority w:val="0"/>
    <w:rPr>
      <w:rFonts w:ascii="宋体"/>
      <w:sz w:val="24"/>
    </w:rPr>
  </w:style>
  <w:style w:type="paragraph" w:customStyle="1" w:styleId="137">
    <w:name w:val="Level 4"/>
    <w:basedOn w:val="1"/>
    <w:qFormat/>
    <w:uiPriority w:val="0"/>
    <w:pPr>
      <w:tabs>
        <w:tab w:val="left" w:pos="2440"/>
      </w:tabs>
      <w:ind w:left="2041" w:hanging="765"/>
    </w:pPr>
    <w:rPr>
      <w:rFonts w:ascii="Calibri" w:hAnsi="Calibri"/>
      <w:szCs w:val="22"/>
    </w:rPr>
  </w:style>
  <w:style w:type="paragraph" w:customStyle="1" w:styleId="138">
    <w:name w:val="1"/>
    <w:basedOn w:val="1"/>
    <w:next w:val="25"/>
    <w:qFormat/>
    <w:uiPriority w:val="0"/>
    <w:pPr>
      <w:tabs>
        <w:tab w:val="left" w:pos="3060"/>
      </w:tabs>
      <w:spacing w:line="140" w:lineRule="atLeast"/>
      <w:ind w:firstLine="560" w:firstLineChars="200"/>
    </w:pPr>
    <w:rPr>
      <w:sz w:val="28"/>
    </w:rPr>
  </w:style>
  <w:style w:type="paragraph" w:customStyle="1" w:styleId="139">
    <w:name w:val="样式 左侧:  0.74 厘米1"/>
    <w:basedOn w:val="1"/>
    <w:qFormat/>
    <w:uiPriority w:val="0"/>
    <w:pPr>
      <w:ind w:left="620" w:hanging="200" w:hangingChars="200"/>
    </w:pPr>
    <w:rPr>
      <w:szCs w:val="20"/>
    </w:rPr>
  </w:style>
  <w:style w:type="paragraph" w:customStyle="1" w:styleId="140">
    <w:name w:val="Char Char Char Char"/>
    <w:basedOn w:val="1"/>
    <w:qFormat/>
    <w:uiPriority w:val="0"/>
    <w:pPr>
      <w:tabs>
        <w:tab w:val="left" w:pos="360"/>
      </w:tabs>
    </w:pPr>
    <w:rPr>
      <w:szCs w:val="20"/>
    </w:rPr>
  </w:style>
  <w:style w:type="paragraph" w:customStyle="1" w:styleId="141">
    <w:name w:val="样式 四号 首行缩进:  1厘米 行距: 1.5 倍行距"/>
    <w:basedOn w:val="1"/>
    <w:qFormat/>
    <w:uiPriority w:val="0"/>
    <w:pPr>
      <w:spacing w:line="360" w:lineRule="auto"/>
      <w:ind w:firstLine="570"/>
    </w:pPr>
    <w:rPr>
      <w:sz w:val="28"/>
      <w:szCs w:val="20"/>
    </w:rPr>
  </w:style>
  <w:style w:type="paragraph" w:customStyle="1" w:styleId="142">
    <w:name w:val="样式 标题 1 + (西文) Times New Roman (中文) 仿宋 小四 黑色 居中 左侧:  0 厘米 ..."/>
    <w:basedOn w:val="4"/>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3">
    <w:name w:val="样式1"/>
    <w:basedOn w:val="1"/>
    <w:qFormat/>
    <w:uiPriority w:val="0"/>
    <w:pPr>
      <w:numPr>
        <w:ilvl w:val="0"/>
        <w:numId w:val="3"/>
      </w:numPr>
      <w:spacing w:line="360" w:lineRule="auto"/>
      <w:ind w:left="1253" w:hanging="680"/>
    </w:pPr>
    <w:rPr>
      <w:sz w:val="28"/>
      <w:szCs w:val="28"/>
    </w:rPr>
  </w:style>
  <w:style w:type="paragraph" w:customStyle="1" w:styleId="144">
    <w:name w:val="p16"/>
    <w:basedOn w:val="1"/>
    <w:qFormat/>
    <w:uiPriority w:val="0"/>
    <w:pPr>
      <w:widowControl/>
    </w:pPr>
    <w:rPr>
      <w:rFonts w:ascii="宋体" w:hAnsi="宋体"/>
      <w:kern w:val="0"/>
      <w:sz w:val="24"/>
      <w:szCs w:val="20"/>
    </w:rPr>
  </w:style>
  <w:style w:type="paragraph" w:customStyle="1" w:styleId="145">
    <w:name w:val="Level 1"/>
    <w:basedOn w:val="1"/>
    <w:qFormat/>
    <w:uiPriority w:val="0"/>
    <w:rPr>
      <w:rFonts w:ascii="Calibri" w:hAnsi="Calibri"/>
      <w:szCs w:val="22"/>
    </w:rPr>
  </w:style>
  <w:style w:type="paragraph" w:customStyle="1" w:styleId="146">
    <w:name w:val="Level 6"/>
    <w:basedOn w:val="1"/>
    <w:qFormat/>
    <w:uiPriority w:val="0"/>
    <w:pPr>
      <w:tabs>
        <w:tab w:val="left" w:pos="3289"/>
      </w:tabs>
      <w:ind w:left="3289" w:hanging="681"/>
    </w:pPr>
    <w:rPr>
      <w:rFonts w:ascii="Calibri" w:hAnsi="Calibri"/>
      <w:szCs w:val="22"/>
    </w:rPr>
  </w:style>
  <w:style w:type="paragraph" w:customStyle="1" w:styleId="147">
    <w:name w:val="标题4"/>
    <w:basedOn w:val="1"/>
    <w:qFormat/>
    <w:uiPriority w:val="0"/>
    <w:pPr>
      <w:spacing w:before="156" w:beforeLines="50" w:after="156" w:afterLines="50"/>
      <w:jc w:val="left"/>
    </w:pPr>
    <w:rPr>
      <w:rFonts w:eastAsia="黑体"/>
      <w:b/>
      <w:kern w:val="0"/>
      <w:sz w:val="30"/>
    </w:rPr>
  </w:style>
  <w:style w:type="paragraph" w:customStyle="1" w:styleId="148">
    <w:name w:val="样式 标题 2 +"/>
    <w:basedOn w:val="5"/>
    <w:qFormat/>
    <w:uiPriority w:val="0"/>
    <w:pPr>
      <w:tabs>
        <w:tab w:val="left" w:pos="652"/>
      </w:tabs>
      <w:spacing w:before="260" w:after="260" w:line="416" w:lineRule="auto"/>
      <w:ind w:left="567" w:hanging="567"/>
      <w:jc w:val="both"/>
    </w:pPr>
    <w:rPr>
      <w:rFonts w:eastAsia="黑体"/>
      <w:color w:val="auto"/>
      <w:kern w:val="0"/>
      <w:sz w:val="24"/>
    </w:rPr>
  </w:style>
  <w:style w:type="paragraph" w:customStyle="1" w:styleId="149">
    <w:name w:val="Level 5"/>
    <w:basedOn w:val="1"/>
    <w:qFormat/>
    <w:uiPriority w:val="0"/>
    <w:pPr>
      <w:tabs>
        <w:tab w:val="left" w:pos="2552"/>
      </w:tabs>
      <w:ind w:left="2552" w:hanging="567"/>
    </w:pPr>
    <w:rPr>
      <w:rFonts w:ascii="Calibri" w:hAnsi="Calibri"/>
      <w:szCs w:val="22"/>
    </w:rPr>
  </w:style>
  <w:style w:type="paragraph" w:customStyle="1" w:styleId="150">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1">
    <w:name w:val="列出段落1"/>
    <w:basedOn w:val="1"/>
    <w:qFormat/>
    <w:uiPriority w:val="34"/>
    <w:pPr>
      <w:ind w:firstLine="420" w:firstLineChars="200"/>
    </w:pPr>
    <w:rPr>
      <w:rFonts w:ascii="Calibri" w:hAnsi="Calibri" w:cs="Calibri"/>
      <w:szCs w:val="21"/>
    </w:rPr>
  </w:style>
  <w:style w:type="paragraph" w:customStyle="1" w:styleId="152">
    <w:name w:val="p0"/>
    <w:basedOn w:val="1"/>
    <w:qFormat/>
    <w:uiPriority w:val="0"/>
    <w:pPr>
      <w:widowControl/>
    </w:pPr>
    <w:rPr>
      <w:kern w:val="0"/>
      <w:szCs w:val="21"/>
    </w:rPr>
  </w:style>
  <w:style w:type="paragraph" w:customStyle="1" w:styleId="153">
    <w:name w:val="_Style 152"/>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54">
    <w:name w:val="TOC 标题1"/>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5">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6">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57">
    <w:name w:val="Heading 2 + 宋体"/>
    <w:basedOn w:val="4"/>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58">
    <w:name w:val="Char Char Char"/>
    <w:basedOn w:val="1"/>
    <w:qFormat/>
    <w:uiPriority w:val="0"/>
  </w:style>
  <w:style w:type="paragraph" w:customStyle="1" w:styleId="159">
    <w:name w:val="_Style 246"/>
    <w:basedOn w:val="1"/>
    <w:next w:val="160"/>
    <w:qFormat/>
    <w:uiPriority w:val="34"/>
    <w:pPr>
      <w:ind w:firstLine="420" w:firstLineChars="200"/>
    </w:pPr>
    <w:rPr>
      <w:szCs w:val="20"/>
    </w:rPr>
  </w:style>
  <w:style w:type="paragraph" w:customStyle="1" w:styleId="160">
    <w:name w:val="List Paragraph1"/>
    <w:basedOn w:val="1"/>
    <w:qFormat/>
    <w:uiPriority w:val="34"/>
    <w:pPr>
      <w:ind w:firstLine="420" w:firstLineChars="200"/>
    </w:pPr>
  </w:style>
  <w:style w:type="paragraph" w:customStyle="1" w:styleId="161">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2">
    <w:name w:val="Level 3"/>
    <w:basedOn w:val="1"/>
    <w:qFormat/>
    <w:uiPriority w:val="0"/>
    <w:pPr>
      <w:tabs>
        <w:tab w:val="left" w:pos="2808"/>
      </w:tabs>
      <w:ind w:left="2808" w:hanging="681"/>
    </w:pPr>
    <w:rPr>
      <w:rFonts w:ascii="Calibri" w:hAnsi="Calibri"/>
      <w:szCs w:val="22"/>
    </w:rPr>
  </w:style>
  <w:style w:type="paragraph" w:customStyle="1" w:styleId="163">
    <w:name w:val="_Style 12"/>
    <w:basedOn w:val="1"/>
    <w:next w:val="3"/>
    <w:qFormat/>
    <w:uiPriority w:val="0"/>
    <w:pPr>
      <w:spacing w:line="360" w:lineRule="auto"/>
      <w:ind w:firstLine="540"/>
    </w:pPr>
    <w:rPr>
      <w:sz w:val="28"/>
      <w:szCs w:val="20"/>
    </w:rPr>
  </w:style>
  <w:style w:type="paragraph" w:customStyle="1" w:styleId="164">
    <w:name w:val="_Style 163"/>
    <w:basedOn w:val="1"/>
    <w:next w:val="1"/>
    <w:qFormat/>
    <w:uiPriority w:val="0"/>
    <w:pPr>
      <w:pBdr>
        <w:bottom w:val="single" w:color="auto" w:sz="6" w:space="1"/>
      </w:pBdr>
      <w:jc w:val="center"/>
    </w:pPr>
    <w:rPr>
      <w:rFonts w:ascii="Arial"/>
      <w:vanish/>
      <w:sz w:val="16"/>
    </w:rPr>
  </w:style>
  <w:style w:type="paragraph" w:customStyle="1" w:styleId="165">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6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7">
    <w:name w:val="列出段落2"/>
    <w:basedOn w:val="1"/>
    <w:qFormat/>
    <w:uiPriority w:val="0"/>
    <w:pPr>
      <w:ind w:firstLine="420" w:firstLineChars="200"/>
    </w:pPr>
    <w:rPr>
      <w:rFonts w:ascii="Calibri" w:hAnsi="Calibri"/>
      <w:szCs w:val="22"/>
    </w:r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1正文"/>
    <w:basedOn w:val="1"/>
    <w:qFormat/>
    <w:uiPriority w:val="0"/>
    <w:pPr>
      <w:spacing w:line="560" w:lineRule="exact"/>
      <w:ind w:firstLine="200" w:firstLineChars="200"/>
    </w:pPr>
    <w:rPr>
      <w:rFonts w:eastAsia="Cambria Math"/>
      <w:sz w:val="32"/>
    </w:rPr>
  </w:style>
  <w:style w:type="paragraph" w:customStyle="1" w:styleId="170">
    <w:name w:val="_Style 1"/>
    <w:basedOn w:val="1"/>
    <w:qFormat/>
    <w:uiPriority w:val="34"/>
    <w:pPr>
      <w:ind w:firstLine="420" w:firstLineChars="200"/>
    </w:pPr>
    <w:rPr>
      <w:szCs w:val="20"/>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正文文本 33"/>
    <w:basedOn w:val="1"/>
    <w:qFormat/>
    <w:uiPriority w:val="0"/>
    <w:rPr>
      <w:rFonts w:ascii="宋体"/>
      <w:sz w:val="24"/>
    </w:rPr>
  </w:style>
  <w:style w:type="paragraph" w:customStyle="1" w:styleId="173">
    <w:name w:val="WPSOffice手动目录 1"/>
    <w:qFormat/>
    <w:uiPriority w:val="0"/>
    <w:rPr>
      <w:rFonts w:ascii="Times New Roman" w:hAnsi="Times New Roman" w:eastAsia="宋体" w:cs="Times New Roman"/>
      <w:lang w:val="en-US" w:eastAsia="zh-CN" w:bidi="ar-SA"/>
    </w:rPr>
  </w:style>
  <w:style w:type="paragraph" w:customStyle="1" w:styleId="17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7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76">
    <w:name w:val="_Style 160"/>
    <w:basedOn w:val="1"/>
    <w:next w:val="110"/>
    <w:qFormat/>
    <w:uiPriority w:val="0"/>
    <w:pPr>
      <w:pBdr>
        <w:bottom w:val="single" w:color="auto" w:sz="6" w:space="1"/>
      </w:pBdr>
      <w:jc w:val="center"/>
    </w:pPr>
    <w:rPr>
      <w:rFonts w:ascii="Arial"/>
      <w:vanish/>
      <w:sz w:val="16"/>
    </w:rPr>
  </w:style>
  <w:style w:type="table" w:customStyle="1" w:styleId="177">
    <w:name w:val="Grid Table Light"/>
    <w:basedOn w:val="4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3878</Words>
  <Characters>22111</Characters>
  <Lines>184</Lines>
  <Paragraphs>51</Paragraphs>
  <TotalTime>18</TotalTime>
  <ScaleCrop>false</ScaleCrop>
  <LinksUpToDate>false</LinksUpToDate>
  <CharactersWithSpaces>25938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2025-11-28T10:35:00Z</dcterms:created>
  <dc:creator>ssz</dc:creator>
  <cp:lastModifiedBy>郭涛</cp:lastModifiedBy>
  <cp:lastPrinted>2018-07-16T11:27:00Z</cp:lastPrinted>
  <dcterms:modified xsi:type="dcterms:W3CDTF">2026-02-27T07:35:01Z</dcterms:modified>
  <dc:title>山西医科大学第一医院住院楼土建施工及安装工程招标文件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3EAE8B1A04EB4608A7FED3EFD4916AED</vt:lpwstr>
  </property>
</Properties>
</file>