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cs="仿宋"/>
          <w:color w:val="000000"/>
          <w:sz w:val="28"/>
          <w:szCs w:val="28"/>
          <w:highlight w:val="none"/>
        </w:rPr>
      </w:pPr>
    </w:p>
    <w:p>
      <w:pPr>
        <w:adjustRightInd w:val="0"/>
        <w:snapToGrid w:val="0"/>
        <w:spacing w:line="360" w:lineRule="auto"/>
        <w:jc w:val="center"/>
        <w:rPr>
          <w:rFonts w:hint="eastAsia" w:ascii="仿宋" w:hAnsi="仿宋" w:eastAsia="仿宋" w:cs="仿宋"/>
          <w:bCs/>
          <w:color w:val="000000"/>
          <w:sz w:val="28"/>
          <w:szCs w:val="28"/>
          <w:highlight w:val="none"/>
        </w:rPr>
      </w:pPr>
    </w:p>
    <w:p>
      <w:pPr>
        <w:adjustRightInd w:val="0"/>
        <w:snapToGrid w:val="0"/>
        <w:spacing w:line="360" w:lineRule="auto"/>
        <w:rPr>
          <w:rFonts w:hint="eastAsia" w:ascii="仿宋" w:hAnsi="仿宋" w:eastAsia="仿宋" w:cs="仿宋"/>
          <w:b/>
          <w:color w:val="000000"/>
          <w:sz w:val="44"/>
          <w:szCs w:val="44"/>
          <w:highlight w:val="none"/>
        </w:rPr>
      </w:pPr>
    </w:p>
    <w:p>
      <w:pPr>
        <w:spacing w:before="240"/>
        <w:jc w:val="center"/>
        <w:rPr>
          <w:rStyle w:val="51"/>
          <w:color w:val="auto"/>
          <w:highlight w:val="none"/>
        </w:rPr>
      </w:pPr>
      <w:r>
        <w:rPr>
          <w:rFonts w:hint="eastAsia" w:ascii="仿宋" w:hAnsi="仿宋" w:eastAsia="仿宋" w:cs="宋体"/>
          <w:b/>
          <w:color w:val="auto"/>
          <w:spacing w:val="40"/>
          <w:sz w:val="36"/>
          <w:szCs w:val="36"/>
          <w:highlight w:val="none"/>
        </w:rPr>
        <w:t>人保</w:t>
      </w:r>
      <w:r>
        <w:rPr>
          <w:rFonts w:hint="eastAsia" w:ascii="仿宋" w:hAnsi="仿宋" w:eastAsia="仿宋" w:cs="宋体"/>
          <w:b/>
          <w:color w:val="auto"/>
          <w:spacing w:val="40"/>
          <w:sz w:val="36"/>
          <w:szCs w:val="36"/>
          <w:highlight w:val="none"/>
          <w:lang w:val="en-US" w:eastAsia="zh-CN"/>
        </w:rPr>
        <w:t>财险吉林省分公司</w:t>
      </w:r>
      <w:r>
        <w:rPr>
          <w:rFonts w:hint="eastAsia" w:ascii="仿宋" w:hAnsi="仿宋" w:eastAsia="仿宋" w:cs="宋体"/>
          <w:b/>
          <w:color w:val="auto"/>
          <w:spacing w:val="40"/>
          <w:sz w:val="36"/>
          <w:szCs w:val="36"/>
          <w:highlight w:val="none"/>
        </w:rPr>
        <w:t>农险地块基础信息库建设</w:t>
      </w:r>
      <w:r>
        <w:rPr>
          <w:rFonts w:hint="eastAsia" w:ascii="仿宋" w:hAnsi="仿宋" w:eastAsia="仿宋" w:cs="宋体"/>
          <w:b/>
          <w:color w:val="auto"/>
          <w:spacing w:val="40"/>
          <w:sz w:val="36"/>
          <w:szCs w:val="36"/>
          <w:highlight w:val="none"/>
          <w:lang w:val="en-US" w:eastAsia="zh-CN"/>
        </w:rPr>
        <w:t>服务</w:t>
      </w:r>
      <w:r>
        <w:rPr>
          <w:rFonts w:hint="eastAsia" w:ascii="仿宋" w:hAnsi="仿宋" w:eastAsia="仿宋" w:cs="宋体"/>
          <w:b/>
          <w:color w:val="auto"/>
          <w:spacing w:val="40"/>
          <w:sz w:val="36"/>
          <w:szCs w:val="36"/>
          <w:highlight w:val="none"/>
        </w:rPr>
        <w:t>采购项目</w:t>
      </w:r>
    </w:p>
    <w:p>
      <w:pPr>
        <w:tabs>
          <w:tab w:val="left" w:pos="720"/>
          <w:tab w:val="left" w:pos="8295"/>
        </w:tabs>
        <w:spacing w:line="360" w:lineRule="auto"/>
        <w:jc w:val="center"/>
        <w:rPr>
          <w:rFonts w:hint="eastAsia" w:ascii="仿宋" w:hAnsi="仿宋" w:eastAsia="仿宋" w:cs="仿宋"/>
          <w:b/>
          <w:color w:val="auto"/>
          <w:sz w:val="28"/>
          <w:szCs w:val="28"/>
          <w:highlight w:val="none"/>
        </w:rPr>
      </w:pPr>
    </w:p>
    <w:p>
      <w:pPr>
        <w:pStyle w:val="2"/>
        <w:rPr>
          <w:rFonts w:hint="eastAsia"/>
          <w:color w:val="auto"/>
          <w:highlight w:val="none"/>
        </w:rPr>
      </w:pPr>
    </w:p>
    <w:p>
      <w:pPr>
        <w:rPr>
          <w:rFonts w:hint="eastAsia" w:ascii="仿宋" w:hAnsi="仿宋" w:eastAsia="仿宋" w:cs="仿宋"/>
          <w:color w:val="auto"/>
          <w:highlight w:val="none"/>
        </w:rPr>
      </w:pPr>
    </w:p>
    <w:p>
      <w:pPr>
        <w:tabs>
          <w:tab w:val="left" w:pos="720"/>
          <w:tab w:val="left" w:pos="8295"/>
        </w:tabs>
        <w:spacing w:line="360" w:lineRule="auto"/>
        <w:jc w:val="center"/>
        <w:rPr>
          <w:rFonts w:hint="eastAsia" w:ascii="仿宋" w:hAnsi="仿宋" w:eastAsia="仿宋" w:cs="仿宋"/>
          <w:b/>
          <w:color w:val="auto"/>
          <w:sz w:val="28"/>
          <w:szCs w:val="28"/>
          <w:highlight w:val="none"/>
        </w:rPr>
      </w:pPr>
    </w:p>
    <w:p>
      <w:pPr>
        <w:pStyle w:val="2"/>
        <w:rPr>
          <w:rFonts w:hint="eastAsia"/>
          <w:color w:val="auto"/>
          <w:highlight w:val="none"/>
        </w:rPr>
      </w:pPr>
    </w:p>
    <w:p>
      <w:pPr>
        <w:tabs>
          <w:tab w:val="left" w:pos="720"/>
          <w:tab w:val="left" w:pos="8295"/>
        </w:tabs>
        <w:spacing w:line="360" w:lineRule="auto"/>
        <w:jc w:val="center"/>
        <w:rPr>
          <w:rFonts w:hint="eastAsia"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t>竞争性磋商文件</w:t>
      </w:r>
    </w:p>
    <w:p>
      <w:pPr>
        <w:tabs>
          <w:tab w:val="left" w:pos="720"/>
          <w:tab w:val="left" w:pos="8295"/>
        </w:tabs>
        <w:spacing w:line="360" w:lineRule="auto"/>
        <w:jc w:val="center"/>
        <w:rPr>
          <w:rFonts w:hint="eastAsia" w:ascii="仿宋" w:hAnsi="仿宋" w:eastAsia="仿宋" w:cs="仿宋"/>
          <w:b/>
          <w:color w:val="auto"/>
          <w:sz w:val="28"/>
          <w:szCs w:val="28"/>
          <w:highlight w:val="none"/>
        </w:rPr>
      </w:pPr>
    </w:p>
    <w:p>
      <w:pPr>
        <w:tabs>
          <w:tab w:val="left" w:pos="720"/>
          <w:tab w:val="left" w:pos="8295"/>
        </w:tabs>
        <w:spacing w:line="360" w:lineRule="auto"/>
        <w:jc w:val="center"/>
        <w:rPr>
          <w:rFonts w:hint="eastAsia" w:ascii="仿宋" w:hAnsi="仿宋" w:eastAsia="仿宋" w:cs="仿宋"/>
          <w:b/>
          <w:color w:val="auto"/>
          <w:sz w:val="28"/>
          <w:szCs w:val="28"/>
          <w:highlight w:val="none"/>
        </w:rPr>
      </w:pPr>
    </w:p>
    <w:p>
      <w:pPr>
        <w:tabs>
          <w:tab w:val="left" w:pos="720"/>
          <w:tab w:val="left" w:pos="8295"/>
        </w:tabs>
        <w:spacing w:line="360" w:lineRule="auto"/>
        <w:jc w:val="center"/>
        <w:rPr>
          <w:rFonts w:hint="eastAsia" w:ascii="仿宋" w:hAnsi="仿宋" w:eastAsia="仿宋" w:cs="仿宋"/>
          <w:b/>
          <w:color w:val="auto"/>
          <w:sz w:val="28"/>
          <w:szCs w:val="28"/>
          <w:highlight w:val="none"/>
        </w:rPr>
      </w:pPr>
    </w:p>
    <w:p>
      <w:pPr>
        <w:tabs>
          <w:tab w:val="left" w:pos="720"/>
          <w:tab w:val="left" w:pos="8295"/>
        </w:tabs>
        <w:spacing w:line="360" w:lineRule="auto"/>
        <w:jc w:val="center"/>
        <w:rPr>
          <w:rFonts w:ascii="仿宋" w:hAnsi="仿宋" w:eastAsia="仿宋" w:cs="仿宋"/>
          <w:b/>
          <w:color w:val="auto"/>
          <w:sz w:val="36"/>
          <w:szCs w:val="36"/>
          <w:highlight w:val="none"/>
        </w:rPr>
      </w:pPr>
    </w:p>
    <w:p>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采购人：中国人民财产保险股份有限公司</w:t>
      </w:r>
      <w:r>
        <w:rPr>
          <w:rFonts w:hint="eastAsia" w:ascii="仿宋" w:hAnsi="仿宋" w:eastAsia="仿宋" w:cs="仿宋"/>
          <w:b/>
          <w:color w:val="auto"/>
          <w:kern w:val="0"/>
          <w:sz w:val="28"/>
          <w:szCs w:val="28"/>
          <w:highlight w:val="none"/>
          <w:lang w:val="en-US" w:eastAsia="zh-CN"/>
        </w:rPr>
        <w:t>吉林省</w:t>
      </w:r>
      <w:r>
        <w:rPr>
          <w:rFonts w:hint="eastAsia" w:ascii="仿宋" w:hAnsi="仿宋" w:eastAsia="仿宋" w:cs="仿宋"/>
          <w:b/>
          <w:color w:val="auto"/>
          <w:kern w:val="0"/>
          <w:sz w:val="28"/>
          <w:szCs w:val="28"/>
          <w:highlight w:val="none"/>
        </w:rPr>
        <w:t>分公司</w:t>
      </w:r>
    </w:p>
    <w:p>
      <w:pPr>
        <w:tabs>
          <w:tab w:val="left" w:pos="720"/>
          <w:tab w:val="left" w:pos="8295"/>
        </w:tabs>
        <w:spacing w:line="360" w:lineRule="auto"/>
        <w:jc w:val="center"/>
        <w:rPr>
          <w:rFonts w:hint="eastAsia" w:ascii="仿宋" w:hAnsi="仿宋" w:eastAsia="仿宋" w:cs="仿宋"/>
          <w:b/>
          <w:color w:val="auto"/>
          <w:sz w:val="36"/>
          <w:szCs w:val="36"/>
          <w:highlight w:val="none"/>
        </w:rPr>
      </w:pPr>
      <w:r>
        <w:rPr>
          <w:rFonts w:hint="eastAsia" w:ascii="仿宋" w:hAnsi="仿宋" w:eastAsia="仿宋" w:cs="仿宋"/>
          <w:b/>
          <w:color w:val="auto"/>
          <w:sz w:val="28"/>
          <w:szCs w:val="28"/>
          <w:highlight w:val="none"/>
        </w:rPr>
        <w:t>日期：20</w:t>
      </w:r>
      <w:r>
        <w:rPr>
          <w:rFonts w:hint="eastAsia" w:ascii="仿宋" w:hAnsi="仿宋" w:eastAsia="仿宋" w:cs="仿宋"/>
          <w:b/>
          <w:color w:val="auto"/>
          <w:sz w:val="28"/>
          <w:szCs w:val="28"/>
          <w:highlight w:val="none"/>
          <w:lang w:val="en-US" w:eastAsia="zh-CN"/>
        </w:rPr>
        <w:t>26</w:t>
      </w:r>
      <w:r>
        <w:rPr>
          <w:rFonts w:hint="eastAsia" w:ascii="仿宋" w:hAnsi="仿宋" w:eastAsia="仿宋" w:cs="仿宋"/>
          <w:b/>
          <w:color w:val="auto"/>
          <w:sz w:val="28"/>
          <w:szCs w:val="28"/>
          <w:highlight w:val="none"/>
        </w:rPr>
        <w:t>年</w:t>
      </w:r>
      <w:r>
        <w:rPr>
          <w:rFonts w:hint="eastAsia" w:ascii="仿宋" w:hAnsi="仿宋" w:eastAsia="仿宋" w:cs="仿宋"/>
          <w:b/>
          <w:color w:val="auto"/>
          <w:sz w:val="28"/>
          <w:szCs w:val="28"/>
          <w:highlight w:val="none"/>
          <w:lang w:val="en-US" w:eastAsia="zh-CN"/>
        </w:rPr>
        <w:t>3</w:t>
      </w:r>
      <w:r>
        <w:rPr>
          <w:rFonts w:hint="eastAsia" w:ascii="仿宋" w:hAnsi="仿宋" w:eastAsia="仿宋" w:cs="仿宋"/>
          <w:b/>
          <w:color w:val="auto"/>
          <w:sz w:val="28"/>
          <w:szCs w:val="28"/>
          <w:highlight w:val="none"/>
        </w:rPr>
        <w:t>月</w:t>
      </w:r>
    </w:p>
    <w:p>
      <w:pPr>
        <w:spacing w:line="360" w:lineRule="auto"/>
        <w:jc w:val="center"/>
        <w:rPr>
          <w:rFonts w:hint="eastAsia" w:ascii="仿宋" w:hAnsi="仿宋" w:eastAsia="仿宋" w:cs="仿宋"/>
          <w:color w:val="000000"/>
          <w:sz w:val="36"/>
          <w:highlight w:val="none"/>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docGrid w:linePitch="312" w:charSpace="0"/>
        </w:sectPr>
      </w:pPr>
    </w:p>
    <w:p>
      <w:pPr>
        <w:jc w:val="center"/>
        <w:rPr>
          <w:rFonts w:hint="eastAsia" w:ascii="仿宋" w:hAnsi="仿宋" w:eastAsia="仿宋" w:cs="仿宋"/>
          <w:b/>
          <w:bCs/>
          <w:color w:val="000000"/>
          <w:sz w:val="28"/>
          <w:szCs w:val="28"/>
          <w:highlight w:val="none"/>
        </w:rPr>
      </w:pPr>
      <w:bookmarkStart w:id="0" w:name="_Toc23584"/>
      <w:r>
        <w:rPr>
          <w:rFonts w:hint="eastAsia" w:ascii="仿宋" w:hAnsi="仿宋" w:eastAsia="仿宋" w:cs="仿宋"/>
          <w:b/>
          <w:bCs/>
          <w:color w:val="000000"/>
          <w:sz w:val="28"/>
          <w:szCs w:val="28"/>
          <w:highlight w:val="none"/>
          <w:lang w:val="zh-CN"/>
        </w:rPr>
        <w:t>目  录</w:t>
      </w:r>
      <w:bookmarkEnd w:id="0"/>
    </w:p>
    <w:p>
      <w:pPr>
        <w:pStyle w:val="28"/>
        <w:tabs>
          <w:tab w:val="right" w:leader="dot" w:pos="9638"/>
        </w:tabs>
      </w:pPr>
      <w:r>
        <w:rPr>
          <w:rFonts w:hint="eastAsia" w:ascii="仿宋" w:hAnsi="仿宋" w:eastAsia="仿宋" w:cs="仿宋"/>
          <w:b w:val="0"/>
          <w:bCs w:val="0"/>
          <w:caps w:val="0"/>
          <w:color w:val="000000"/>
          <w:sz w:val="24"/>
          <w:szCs w:val="24"/>
          <w:highlight w:val="none"/>
        </w:rPr>
        <w:fldChar w:fldCharType="begin"/>
      </w:r>
      <w:r>
        <w:rPr>
          <w:rFonts w:hint="eastAsia" w:ascii="仿宋" w:hAnsi="仿宋" w:eastAsia="仿宋" w:cs="仿宋"/>
          <w:b w:val="0"/>
          <w:bCs w:val="0"/>
          <w:caps w:val="0"/>
          <w:color w:val="000000"/>
          <w:sz w:val="24"/>
          <w:szCs w:val="24"/>
          <w:highlight w:val="none"/>
        </w:rPr>
        <w:instrText xml:space="preserve"> TOC \o "1-3" \h \z \u </w:instrText>
      </w:r>
      <w:r>
        <w:rPr>
          <w:rFonts w:hint="eastAsia" w:ascii="仿宋" w:hAnsi="仿宋" w:eastAsia="仿宋" w:cs="仿宋"/>
          <w:b w:val="0"/>
          <w:bCs w:val="0"/>
          <w:caps w:val="0"/>
          <w:color w:val="000000"/>
          <w:sz w:val="24"/>
          <w:szCs w:val="24"/>
          <w:highlight w:val="none"/>
        </w:rPr>
        <w:fldChar w:fldCharType="separate"/>
      </w:r>
      <w:r>
        <w:rPr>
          <w:rFonts w:hint="eastAsia" w:ascii="仿宋" w:hAnsi="仿宋" w:eastAsia="仿宋" w:cs="仿宋"/>
          <w:bCs w:val="0"/>
          <w:caps w:val="0"/>
          <w:color w:val="000000"/>
          <w:szCs w:val="24"/>
          <w:highlight w:val="none"/>
        </w:rPr>
        <w:fldChar w:fldCharType="begin"/>
      </w:r>
      <w:r>
        <w:rPr>
          <w:rFonts w:hint="eastAsia" w:ascii="仿宋" w:hAnsi="仿宋" w:eastAsia="仿宋" w:cs="仿宋"/>
          <w:bCs w:val="0"/>
          <w:caps w:val="0"/>
          <w:szCs w:val="24"/>
          <w:highlight w:val="none"/>
        </w:rPr>
        <w:instrText xml:space="preserve"> HYPERLINK \l _Toc23196 </w:instrText>
      </w:r>
      <w:r>
        <w:rPr>
          <w:rFonts w:hint="eastAsia" w:ascii="仿宋" w:hAnsi="仿宋" w:eastAsia="仿宋" w:cs="仿宋"/>
          <w:bCs w:val="0"/>
          <w:caps w:val="0"/>
          <w:szCs w:val="24"/>
          <w:highlight w:val="none"/>
        </w:rPr>
        <w:fldChar w:fldCharType="separate"/>
      </w:r>
      <w:r>
        <w:rPr>
          <w:rFonts w:hint="eastAsia" w:ascii="仿宋" w:hAnsi="仿宋" w:eastAsia="仿宋" w:cs="仿宋"/>
          <w:bCs w:val="0"/>
          <w:szCs w:val="28"/>
          <w:highlight w:val="none"/>
        </w:rPr>
        <w:t>第一章 竞争性磋商公告</w:t>
      </w:r>
      <w:r>
        <w:tab/>
      </w:r>
      <w:r>
        <w:fldChar w:fldCharType="begin"/>
      </w:r>
      <w:r>
        <w:instrText xml:space="preserve"> PAGEREF _Toc23196 \h </w:instrText>
      </w:r>
      <w:r>
        <w:fldChar w:fldCharType="separate"/>
      </w:r>
      <w:r>
        <w:t>3</w:t>
      </w:r>
      <w:r>
        <w:fldChar w:fldCharType="end"/>
      </w:r>
      <w:r>
        <w:rPr>
          <w:rFonts w:hint="eastAsia" w:ascii="仿宋" w:hAnsi="仿宋" w:eastAsia="仿宋" w:cs="仿宋"/>
          <w:bCs w:val="0"/>
          <w:caps w:val="0"/>
          <w:color w:val="000000"/>
          <w:szCs w:val="24"/>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_Toc21237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一、项目概况与采购范围</w:t>
      </w:r>
      <w:r>
        <w:tab/>
      </w:r>
      <w:r>
        <w:fldChar w:fldCharType="begin"/>
      </w:r>
      <w:r>
        <w:instrText xml:space="preserve"> PAGEREF _Toc21237 \h </w:instrText>
      </w:r>
      <w:r>
        <w:fldChar w:fldCharType="separate"/>
      </w:r>
      <w:r>
        <w:t>3</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_Toc17569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二、供应商资格要求</w:t>
      </w:r>
      <w:r>
        <w:tab/>
      </w:r>
      <w:r>
        <w:fldChar w:fldCharType="begin"/>
      </w:r>
      <w:r>
        <w:instrText xml:space="preserve"> PAGEREF _Toc17569 \h </w:instrText>
      </w:r>
      <w:r>
        <w:fldChar w:fldCharType="separate"/>
      </w:r>
      <w:r>
        <w:t>3</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_Toc28263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三、资格审查方法</w:t>
      </w:r>
      <w:r>
        <w:tab/>
      </w:r>
      <w:r>
        <w:fldChar w:fldCharType="begin"/>
      </w:r>
      <w:r>
        <w:instrText xml:space="preserve"> PAGEREF _Toc28263 \h </w:instrText>
      </w:r>
      <w:r>
        <w:fldChar w:fldCharType="separate"/>
      </w:r>
      <w:r>
        <w:t>4</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_Toc2019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四、磋商文件的获取</w:t>
      </w:r>
      <w:r>
        <w:tab/>
      </w:r>
      <w:r>
        <w:fldChar w:fldCharType="begin"/>
      </w:r>
      <w:r>
        <w:instrText xml:space="preserve"> PAGEREF _Toc2019 \h </w:instrText>
      </w:r>
      <w:r>
        <w:fldChar w:fldCharType="separate"/>
      </w:r>
      <w:r>
        <w:t>4</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_Toc32115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五、响应文件的递交</w:t>
      </w:r>
      <w:r>
        <w:tab/>
      </w:r>
      <w:r>
        <w:fldChar w:fldCharType="begin"/>
      </w:r>
      <w:r>
        <w:instrText xml:space="preserve"> PAGEREF _Toc32115 \h </w:instrText>
      </w:r>
      <w:r>
        <w:fldChar w:fldCharType="separate"/>
      </w:r>
      <w:r>
        <w:t>4</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_Toc874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六</w:t>
      </w:r>
      <w:r>
        <w:rPr>
          <w:rFonts w:hint="eastAsia" w:ascii="仿宋" w:hAnsi="仿宋" w:eastAsia="仿宋" w:cs="仿宋"/>
          <w:szCs w:val="24"/>
          <w:highlight w:val="none"/>
        </w:rPr>
        <w:t>、发布公告的媒介</w:t>
      </w:r>
      <w:r>
        <w:tab/>
      </w:r>
      <w:r>
        <w:fldChar w:fldCharType="begin"/>
      </w:r>
      <w:r>
        <w:instrText xml:space="preserve"> PAGEREF _Toc874 \h </w:instrText>
      </w:r>
      <w:r>
        <w:fldChar w:fldCharType="separate"/>
      </w:r>
      <w:r>
        <w:t>5</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_Toc30596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、联系方式</w:t>
      </w:r>
      <w:r>
        <w:tab/>
      </w:r>
      <w:r>
        <w:fldChar w:fldCharType="begin"/>
      </w:r>
      <w:r>
        <w:instrText xml:space="preserve"> PAGEREF _Toc30596 \h </w:instrText>
      </w:r>
      <w:r>
        <w:fldChar w:fldCharType="separate"/>
      </w:r>
      <w:r>
        <w:t>5</w:t>
      </w:r>
      <w:r>
        <w:fldChar w:fldCharType="end"/>
      </w:r>
      <w:r>
        <w:rPr>
          <w:rFonts w:hint="eastAsia" w:ascii="仿宋" w:hAnsi="仿宋" w:eastAsia="仿宋" w:cs="仿宋"/>
          <w:caps/>
          <w:color w:val="000000"/>
          <w:highlight w:val="none"/>
        </w:rPr>
        <w:fldChar w:fldCharType="end"/>
      </w:r>
    </w:p>
    <w:p>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_Toc7018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第二章 供应商须知</w:t>
      </w:r>
      <w:r>
        <w:tab/>
      </w:r>
      <w:r>
        <w:fldChar w:fldCharType="begin"/>
      </w:r>
      <w:r>
        <w:instrText xml:space="preserve"> PAGEREF _Toc7018 \h </w:instrText>
      </w:r>
      <w:r>
        <w:fldChar w:fldCharType="separate"/>
      </w:r>
      <w:r>
        <w:t>6</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_Toc14477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一、供应商须知前附表</w:t>
      </w:r>
      <w:r>
        <w:tab/>
      </w:r>
      <w:r>
        <w:fldChar w:fldCharType="begin"/>
      </w:r>
      <w:r>
        <w:instrText xml:space="preserve"> PAGEREF _Toc14477 \h </w:instrText>
      </w:r>
      <w:r>
        <w:fldChar w:fldCharType="separate"/>
      </w:r>
      <w:r>
        <w:t>6</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_Toc27220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二、供应商须知正文</w:t>
      </w:r>
      <w:r>
        <w:tab/>
      </w:r>
      <w:r>
        <w:fldChar w:fldCharType="begin"/>
      </w:r>
      <w:r>
        <w:instrText xml:space="preserve"> PAGEREF _Toc27220 \h </w:instrText>
      </w:r>
      <w:r>
        <w:fldChar w:fldCharType="separate"/>
      </w:r>
      <w:r>
        <w:t>11</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_Toc3678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（一）总 则</w:t>
      </w:r>
      <w:r>
        <w:tab/>
      </w:r>
      <w:r>
        <w:fldChar w:fldCharType="begin"/>
      </w:r>
      <w:r>
        <w:instrText xml:space="preserve"> PAGEREF _Toc3678 \h </w:instrText>
      </w:r>
      <w:r>
        <w:fldChar w:fldCharType="separate"/>
      </w:r>
      <w:r>
        <w:t>11</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_Toc14164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（二）磋商文件</w:t>
      </w:r>
      <w:r>
        <w:tab/>
      </w:r>
      <w:r>
        <w:fldChar w:fldCharType="begin"/>
      </w:r>
      <w:r>
        <w:instrText xml:space="preserve"> PAGEREF _Toc14164 \h </w:instrText>
      </w:r>
      <w:r>
        <w:fldChar w:fldCharType="separate"/>
      </w:r>
      <w:r>
        <w:t>11</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_Toc31141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（三）响应文件</w:t>
      </w:r>
      <w:r>
        <w:tab/>
      </w:r>
      <w:r>
        <w:fldChar w:fldCharType="begin"/>
      </w:r>
      <w:r>
        <w:instrText xml:space="preserve"> PAGEREF _Toc31141 \h </w:instrText>
      </w:r>
      <w:r>
        <w:fldChar w:fldCharType="separate"/>
      </w:r>
      <w:r>
        <w:t>12</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_Toc17865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（四）响应文件的递交</w:t>
      </w:r>
      <w:r>
        <w:tab/>
      </w:r>
      <w:r>
        <w:fldChar w:fldCharType="begin"/>
      </w:r>
      <w:r>
        <w:instrText xml:space="preserve"> PAGEREF _Toc17865 \h </w:instrText>
      </w:r>
      <w:r>
        <w:fldChar w:fldCharType="separate"/>
      </w:r>
      <w:r>
        <w:t>14</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_Toc2055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（五）竞争性磋商和评审</w:t>
      </w:r>
      <w:r>
        <w:tab/>
      </w:r>
      <w:r>
        <w:fldChar w:fldCharType="begin"/>
      </w:r>
      <w:r>
        <w:instrText xml:space="preserve"> PAGEREF _Toc2055 \h </w:instrText>
      </w:r>
      <w:r>
        <w:fldChar w:fldCharType="separate"/>
      </w:r>
      <w:r>
        <w:t>14</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_Toc28031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（六）授予合同</w:t>
      </w:r>
      <w:r>
        <w:tab/>
      </w:r>
      <w:r>
        <w:fldChar w:fldCharType="begin"/>
      </w:r>
      <w:r>
        <w:instrText xml:space="preserve"> PAGEREF _Toc28031 \h </w:instrText>
      </w:r>
      <w:r>
        <w:fldChar w:fldCharType="separate"/>
      </w:r>
      <w:r>
        <w:t>16</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_Toc6132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（七）其他</w:t>
      </w:r>
      <w:r>
        <w:tab/>
      </w:r>
      <w:r>
        <w:fldChar w:fldCharType="begin"/>
      </w:r>
      <w:r>
        <w:instrText xml:space="preserve"> PAGEREF _Toc6132 \h </w:instrText>
      </w:r>
      <w:r>
        <w:fldChar w:fldCharType="separate"/>
      </w:r>
      <w:r>
        <w:t>16</w:t>
      </w:r>
      <w:r>
        <w:fldChar w:fldCharType="end"/>
      </w:r>
      <w:r>
        <w:rPr>
          <w:rFonts w:hint="eastAsia" w:ascii="仿宋" w:hAnsi="仿宋" w:eastAsia="仿宋" w:cs="仿宋"/>
          <w:caps/>
          <w:color w:val="000000"/>
          <w:highlight w:val="none"/>
        </w:rPr>
        <w:fldChar w:fldCharType="end"/>
      </w:r>
    </w:p>
    <w:p>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_Toc10670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第三章 评审办法</w:t>
      </w:r>
      <w:r>
        <w:tab/>
      </w:r>
      <w:r>
        <w:fldChar w:fldCharType="begin"/>
      </w:r>
      <w:r>
        <w:instrText xml:space="preserve"> PAGEREF _Toc10670 \h </w:instrText>
      </w:r>
      <w:r>
        <w:fldChar w:fldCharType="separate"/>
      </w:r>
      <w:r>
        <w:t>18</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_Toc7201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一、评审程序</w:t>
      </w:r>
      <w:r>
        <w:tab/>
      </w:r>
      <w:r>
        <w:fldChar w:fldCharType="begin"/>
      </w:r>
      <w:r>
        <w:instrText xml:space="preserve"> PAGEREF _Toc7201 \h </w:instrText>
      </w:r>
      <w:r>
        <w:fldChar w:fldCharType="separate"/>
      </w:r>
      <w:r>
        <w:t>18</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_Toc32019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二、初步评审</w:t>
      </w:r>
      <w:r>
        <w:tab/>
      </w:r>
      <w:r>
        <w:fldChar w:fldCharType="begin"/>
      </w:r>
      <w:r>
        <w:instrText xml:space="preserve"> PAGEREF _Toc32019 \h </w:instrText>
      </w:r>
      <w:r>
        <w:fldChar w:fldCharType="separate"/>
      </w:r>
      <w:r>
        <w:t>19</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_Toc25550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三</w:t>
      </w:r>
      <w:r>
        <w:rPr>
          <w:rFonts w:hint="eastAsia" w:ascii="仿宋" w:hAnsi="仿宋" w:eastAsia="仿宋" w:cs="仿宋"/>
          <w:szCs w:val="24"/>
          <w:highlight w:val="none"/>
        </w:rPr>
        <w:t>、详细评审</w:t>
      </w:r>
      <w:r>
        <w:tab/>
      </w:r>
      <w:r>
        <w:fldChar w:fldCharType="begin"/>
      </w:r>
      <w:r>
        <w:instrText xml:space="preserve"> PAGEREF _Toc25550 \h </w:instrText>
      </w:r>
      <w:r>
        <w:fldChar w:fldCharType="separate"/>
      </w:r>
      <w:r>
        <w:t>20</w:t>
      </w:r>
      <w:r>
        <w:fldChar w:fldCharType="end"/>
      </w:r>
      <w:r>
        <w:rPr>
          <w:rFonts w:hint="eastAsia" w:ascii="仿宋" w:hAnsi="仿宋" w:eastAsia="仿宋" w:cs="仿宋"/>
          <w:caps/>
          <w:color w:val="000000"/>
          <w:highlight w:val="none"/>
        </w:rPr>
        <w:fldChar w:fldCharType="end"/>
      </w:r>
    </w:p>
    <w:p>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_Toc15254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第四章 合同条款</w:t>
      </w:r>
      <w:r>
        <w:tab/>
      </w:r>
      <w:r>
        <w:fldChar w:fldCharType="begin"/>
      </w:r>
      <w:r>
        <w:instrText xml:space="preserve"> PAGEREF _Toc15254 \h </w:instrText>
      </w:r>
      <w:r>
        <w:fldChar w:fldCharType="separate"/>
      </w:r>
      <w:r>
        <w:t>21</w:t>
      </w:r>
      <w:r>
        <w:fldChar w:fldCharType="end"/>
      </w:r>
      <w:r>
        <w:rPr>
          <w:rFonts w:hint="eastAsia" w:ascii="仿宋" w:hAnsi="仿宋" w:eastAsia="仿宋" w:cs="仿宋"/>
          <w:caps/>
          <w:color w:val="000000"/>
          <w:highlight w:val="none"/>
        </w:rPr>
        <w:fldChar w:fldCharType="end"/>
      </w:r>
    </w:p>
    <w:p>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_Toc22083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第五章 采购需求</w:t>
      </w:r>
      <w:r>
        <w:tab/>
      </w:r>
      <w:r>
        <w:fldChar w:fldCharType="begin"/>
      </w:r>
      <w:r>
        <w:instrText xml:space="preserve"> PAGEREF _Toc22083 \h </w:instrText>
      </w:r>
      <w:r>
        <w:fldChar w:fldCharType="separate"/>
      </w:r>
      <w:r>
        <w:t>22</w:t>
      </w:r>
      <w:r>
        <w:fldChar w:fldCharType="end"/>
      </w:r>
      <w:r>
        <w:rPr>
          <w:rFonts w:hint="eastAsia" w:ascii="仿宋" w:hAnsi="仿宋" w:eastAsia="仿宋" w:cs="仿宋"/>
          <w:caps/>
          <w:color w:val="000000"/>
          <w:highlight w:val="none"/>
        </w:rPr>
        <w:fldChar w:fldCharType="end"/>
      </w:r>
    </w:p>
    <w:p>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_Toc3675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第六章 响应文件格式</w:t>
      </w:r>
      <w:r>
        <w:tab/>
      </w:r>
      <w:r>
        <w:fldChar w:fldCharType="begin"/>
      </w:r>
      <w:r>
        <w:instrText xml:space="preserve"> PAGEREF _Toc3675 \h </w:instrText>
      </w:r>
      <w:r>
        <w:fldChar w:fldCharType="separate"/>
      </w:r>
      <w:r>
        <w:t>23</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_Toc17191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一、</w:t>
      </w:r>
      <w:r>
        <w:rPr>
          <w:rFonts w:hint="eastAsia" w:ascii="仿宋" w:hAnsi="仿宋" w:eastAsia="仿宋" w:cs="仿宋"/>
          <w:szCs w:val="24"/>
          <w:highlight w:val="none"/>
        </w:rPr>
        <w:t>商务文件</w:t>
      </w:r>
      <w:r>
        <w:tab/>
      </w:r>
      <w:r>
        <w:fldChar w:fldCharType="begin"/>
      </w:r>
      <w:r>
        <w:instrText xml:space="preserve"> PAGEREF _Toc17191 \h </w:instrText>
      </w:r>
      <w:r>
        <w:fldChar w:fldCharType="separate"/>
      </w:r>
      <w:r>
        <w:t>24</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_Toc27958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（一）响应函</w:t>
      </w:r>
      <w:r>
        <w:tab/>
      </w:r>
      <w:r>
        <w:fldChar w:fldCharType="begin"/>
      </w:r>
      <w:r>
        <w:instrText xml:space="preserve"> PAGEREF _Toc27958 \h </w:instrText>
      </w:r>
      <w:r>
        <w:fldChar w:fldCharType="separate"/>
      </w:r>
      <w:r>
        <w:t>26</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_Toc13983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（二）法定代表人（负责人）身份证明书</w:t>
      </w:r>
      <w:r>
        <w:tab/>
      </w:r>
      <w:r>
        <w:fldChar w:fldCharType="begin"/>
      </w:r>
      <w:r>
        <w:instrText xml:space="preserve"> PAGEREF _Toc13983 \h </w:instrText>
      </w:r>
      <w:r>
        <w:fldChar w:fldCharType="separate"/>
      </w:r>
      <w:r>
        <w:t>27</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_Toc24788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（三）法定代表人（负责人）授权委托书</w:t>
      </w:r>
      <w:r>
        <w:tab/>
      </w:r>
      <w:r>
        <w:fldChar w:fldCharType="begin"/>
      </w:r>
      <w:r>
        <w:instrText xml:space="preserve"> PAGEREF _Toc24788 \h </w:instrText>
      </w:r>
      <w:r>
        <w:fldChar w:fldCharType="separate"/>
      </w:r>
      <w:r>
        <w:t>28</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_Toc30551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（四）资格证明文件</w:t>
      </w:r>
      <w:r>
        <w:tab/>
      </w:r>
      <w:r>
        <w:fldChar w:fldCharType="begin"/>
      </w:r>
      <w:r>
        <w:instrText xml:space="preserve"> PAGEREF _Toc30551 \h </w:instrText>
      </w:r>
      <w:r>
        <w:fldChar w:fldCharType="separate"/>
      </w:r>
      <w:r>
        <w:t>29</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_Toc15130 </w:instrText>
      </w:r>
      <w:r>
        <w:rPr>
          <w:rFonts w:hint="eastAsia" w:ascii="仿宋" w:hAnsi="仿宋" w:eastAsia="仿宋" w:cs="仿宋"/>
          <w:caps/>
          <w:highlight w:val="none"/>
        </w:rPr>
        <w:fldChar w:fldCharType="separate"/>
      </w:r>
      <w:r>
        <w:rPr>
          <w:rFonts w:ascii="仿宋" w:hAnsi="仿宋" w:eastAsia="仿宋" w:cs="仿宋"/>
          <w:szCs w:val="24"/>
          <w:highlight w:val="none"/>
        </w:rPr>
        <w:t>（</w:t>
      </w:r>
      <w:r>
        <w:rPr>
          <w:rFonts w:hint="eastAsia" w:ascii="仿宋" w:hAnsi="仿宋" w:eastAsia="仿宋" w:cs="仿宋"/>
          <w:szCs w:val="24"/>
          <w:highlight w:val="none"/>
          <w:lang w:val="en-US" w:eastAsia="zh-CN"/>
        </w:rPr>
        <w:t>五</w:t>
      </w:r>
      <w:r>
        <w:rPr>
          <w:rFonts w:ascii="仿宋" w:hAnsi="仿宋" w:eastAsia="仿宋" w:cs="仿宋"/>
          <w:szCs w:val="24"/>
          <w:highlight w:val="none"/>
        </w:rPr>
        <w:t>）</w:t>
      </w:r>
      <w:r>
        <w:rPr>
          <w:rFonts w:hint="eastAsia" w:ascii="仿宋" w:hAnsi="仿宋" w:eastAsia="仿宋" w:cs="仿宋"/>
          <w:szCs w:val="24"/>
          <w:highlight w:val="none"/>
        </w:rPr>
        <w:t>供应商</w:t>
      </w:r>
      <w:r>
        <w:rPr>
          <w:rFonts w:ascii="仿宋" w:hAnsi="仿宋" w:eastAsia="仿宋" w:cs="仿宋"/>
          <w:szCs w:val="24"/>
          <w:highlight w:val="none"/>
        </w:rPr>
        <w:t>须知应答偏离表</w:t>
      </w:r>
      <w:r>
        <w:tab/>
      </w:r>
      <w:r>
        <w:fldChar w:fldCharType="begin"/>
      </w:r>
      <w:r>
        <w:instrText xml:space="preserve"> PAGEREF _Toc15130 \h </w:instrText>
      </w:r>
      <w:r>
        <w:fldChar w:fldCharType="separate"/>
      </w:r>
      <w:r>
        <w:t>38</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_Toc17890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）供应商行为准则承诺书</w:t>
      </w:r>
      <w:r>
        <w:tab/>
      </w:r>
      <w:r>
        <w:fldChar w:fldCharType="begin"/>
      </w:r>
      <w:r>
        <w:instrText xml:space="preserve"> PAGEREF _Toc17890 \h </w:instrText>
      </w:r>
      <w:r>
        <w:fldChar w:fldCharType="separate"/>
      </w:r>
      <w:r>
        <w:t>40</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_Toc8068 </w:instrText>
      </w:r>
      <w:r>
        <w:rPr>
          <w:rFonts w:hint="eastAsia" w:ascii="仿宋" w:hAnsi="仿宋" w:eastAsia="仿宋" w:cs="仿宋"/>
          <w:caps/>
          <w:highlight w:val="none"/>
        </w:rPr>
        <w:fldChar w:fldCharType="separate"/>
      </w:r>
      <w:r>
        <w:rPr>
          <w:rFonts w:hint="eastAsia" w:ascii="仿宋" w:hAnsi="仿宋" w:eastAsia="仿宋" w:cs="宋体"/>
          <w:bCs w:val="0"/>
          <w:szCs w:val="24"/>
          <w:highlight w:val="none"/>
        </w:rPr>
        <w:t>（</w:t>
      </w:r>
      <w:r>
        <w:rPr>
          <w:rFonts w:hint="eastAsia" w:ascii="仿宋" w:hAnsi="仿宋" w:eastAsia="仿宋" w:cs="宋体"/>
          <w:bCs w:val="0"/>
          <w:szCs w:val="24"/>
          <w:highlight w:val="none"/>
          <w:lang w:val="en-US" w:eastAsia="zh-CN"/>
        </w:rPr>
        <w:t>八</w:t>
      </w:r>
      <w:r>
        <w:rPr>
          <w:rFonts w:hint="eastAsia" w:ascii="仿宋" w:hAnsi="仿宋" w:eastAsia="仿宋" w:cs="宋体"/>
          <w:bCs w:val="0"/>
          <w:szCs w:val="24"/>
          <w:highlight w:val="none"/>
        </w:rPr>
        <w:t>）供应商廉洁诚信承诺书</w:t>
      </w:r>
      <w:r>
        <w:tab/>
      </w:r>
      <w:r>
        <w:fldChar w:fldCharType="begin"/>
      </w:r>
      <w:r>
        <w:instrText xml:space="preserve"> PAGEREF _Toc8068 \h </w:instrText>
      </w:r>
      <w:r>
        <w:fldChar w:fldCharType="separate"/>
      </w:r>
      <w:r>
        <w:t>42</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_Toc28698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二、技术文件</w:t>
      </w:r>
      <w:r>
        <w:tab/>
      </w:r>
      <w:r>
        <w:fldChar w:fldCharType="begin"/>
      </w:r>
      <w:r>
        <w:instrText xml:space="preserve"> PAGEREF _Toc28698 \h </w:instrText>
      </w:r>
      <w:r>
        <w:fldChar w:fldCharType="separate"/>
      </w:r>
      <w:r>
        <w:t>46</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_Toc17302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（一）采购需求应答偏离表</w:t>
      </w:r>
      <w:r>
        <w:tab/>
      </w:r>
      <w:r>
        <w:fldChar w:fldCharType="begin"/>
      </w:r>
      <w:r>
        <w:instrText xml:space="preserve"> PAGEREF _Toc17302 \h </w:instrText>
      </w:r>
      <w:r>
        <w:fldChar w:fldCharType="separate"/>
      </w:r>
      <w:r>
        <w:t>47</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_Toc8284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（二）技术方案</w:t>
      </w:r>
      <w:r>
        <w:tab/>
      </w:r>
      <w:r>
        <w:fldChar w:fldCharType="begin"/>
      </w:r>
      <w:r>
        <w:instrText xml:space="preserve"> PAGEREF _Toc8284 \h </w:instrText>
      </w:r>
      <w:r>
        <w:fldChar w:fldCharType="separate"/>
      </w:r>
      <w:r>
        <w:t>48</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_Toc20365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（三）其他材料</w:t>
      </w:r>
      <w:r>
        <w:tab/>
      </w:r>
      <w:r>
        <w:fldChar w:fldCharType="begin"/>
      </w:r>
      <w:r>
        <w:instrText xml:space="preserve"> PAGEREF _Toc20365 \h </w:instrText>
      </w:r>
      <w:r>
        <w:fldChar w:fldCharType="separate"/>
      </w:r>
      <w:r>
        <w:t>51</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_Toc20443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三、报价文件</w:t>
      </w:r>
      <w:r>
        <w:tab/>
      </w:r>
      <w:r>
        <w:fldChar w:fldCharType="begin"/>
      </w:r>
      <w:r>
        <w:instrText xml:space="preserve"> PAGEREF _Toc20443 \h </w:instrText>
      </w:r>
      <w:r>
        <w:fldChar w:fldCharType="separate"/>
      </w:r>
      <w:r>
        <w:t>52</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_Toc18942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（一）报价一览表</w:t>
      </w:r>
      <w:r>
        <w:tab/>
      </w:r>
      <w:r>
        <w:fldChar w:fldCharType="begin"/>
      </w:r>
      <w:r>
        <w:instrText xml:space="preserve"> PAGEREF _Toc18942 \h </w:instrText>
      </w:r>
      <w:r>
        <w:fldChar w:fldCharType="separate"/>
      </w:r>
      <w:r>
        <w:t>52</w:t>
      </w:r>
      <w:r>
        <w:fldChar w:fldCharType="end"/>
      </w:r>
      <w:r>
        <w:rPr>
          <w:rFonts w:hint="eastAsia" w:ascii="仿宋" w:hAnsi="仿宋" w:eastAsia="仿宋" w:cs="仿宋"/>
          <w:caps/>
          <w:color w:val="000000"/>
          <w:highlight w:val="none"/>
        </w:rPr>
        <w:fldChar w:fldCharType="end"/>
      </w:r>
    </w:p>
    <w:p>
      <w:pPr>
        <w:pStyle w:val="20"/>
        <w:tabs>
          <w:tab w:val="right" w:leader="dot" w:pos="9638"/>
        </w:tabs>
        <w:rPr>
          <w:rFonts w:hint="eastAsia" w:ascii="仿宋" w:hAnsi="仿宋" w:eastAsia="仿宋" w:cs="仿宋"/>
          <w:color w:val="000000"/>
          <w:sz w:val="24"/>
          <w:highlight w:val="none"/>
        </w:rPr>
        <w:sectPr>
          <w:headerReference r:id="rId8" w:type="default"/>
          <w:footerReference r:id="rId9" w:type="default"/>
          <w:pgSz w:w="11906" w:h="16838"/>
          <w:pgMar w:top="1417" w:right="1134" w:bottom="1134" w:left="1134" w:header="851" w:footer="992" w:gutter="0"/>
          <w:pgNumType w:start="1"/>
          <w:cols w:space="720" w:num="1"/>
          <w:docGrid w:type="lines" w:linePitch="312" w:charSpace="0"/>
        </w:sectPr>
      </w:pPr>
      <w:r>
        <w:rPr>
          <w:rFonts w:hint="eastAsia" w:ascii="仿宋" w:hAnsi="仿宋" w:eastAsia="仿宋" w:cs="仿宋"/>
          <w:caps/>
          <w:color w:val="000000"/>
          <w:highlight w:val="none"/>
        </w:rPr>
        <w:fldChar w:fldCharType="end"/>
      </w:r>
    </w:p>
    <w:p>
      <w:pPr>
        <w:pStyle w:val="3"/>
        <w:spacing w:before="0" w:after="0" w:line="360" w:lineRule="auto"/>
        <w:jc w:val="center"/>
        <w:rPr>
          <w:rFonts w:ascii="仿宋" w:hAnsi="仿宋" w:eastAsia="仿宋" w:cs="仿宋"/>
          <w:bCs w:val="0"/>
          <w:color w:val="000000"/>
          <w:sz w:val="28"/>
          <w:szCs w:val="28"/>
          <w:highlight w:val="none"/>
        </w:rPr>
      </w:pPr>
      <w:bookmarkStart w:id="1" w:name="_Toc23196"/>
      <w:bookmarkStart w:id="2" w:name="_Toc19709"/>
      <w:bookmarkStart w:id="3" w:name="_Toc517281813"/>
      <w:bookmarkStart w:id="4" w:name="_Toc444891333"/>
      <w:bookmarkStart w:id="5" w:name="_Toc287600115"/>
      <w:bookmarkStart w:id="6" w:name="_Toc11826"/>
      <w:bookmarkStart w:id="7" w:name="_Toc7300"/>
      <w:bookmarkStart w:id="8" w:name="_Toc11838"/>
      <w:r>
        <w:rPr>
          <w:rFonts w:hint="eastAsia" w:ascii="仿宋" w:hAnsi="仿宋" w:eastAsia="仿宋" w:cs="仿宋"/>
          <w:bCs w:val="0"/>
          <w:color w:val="000000"/>
          <w:sz w:val="28"/>
          <w:szCs w:val="28"/>
          <w:highlight w:val="none"/>
        </w:rPr>
        <w:t>第一章 竞争性磋商公告</w:t>
      </w:r>
      <w:bookmarkEnd w:id="1"/>
    </w:p>
    <w:p>
      <w:pPr>
        <w:wordWrap w:val="0"/>
        <w:spacing w:line="360" w:lineRule="auto"/>
        <w:ind w:firstLine="480" w:firstLineChars="200"/>
        <w:textAlignment w:val="baseline"/>
        <w:rPr>
          <w:rFonts w:hint="eastAsia" w:ascii="仿宋" w:hAnsi="仿宋" w:eastAsia="仿宋" w:cs="Cambria Math"/>
          <w:color w:val="auto"/>
          <w:sz w:val="24"/>
          <w:highlight w:val="none"/>
        </w:rPr>
      </w:pPr>
      <w:r>
        <w:rPr>
          <w:rFonts w:hint="eastAsia" w:ascii="仿宋" w:hAnsi="仿宋" w:eastAsia="仿宋" w:cs="仿宋"/>
          <w:color w:val="000000"/>
          <w:sz w:val="24"/>
          <w:highlight w:val="none"/>
        </w:rPr>
        <w:t>本项目人保财险吉林省分</w:t>
      </w:r>
      <w:r>
        <w:rPr>
          <w:rFonts w:hint="eastAsia" w:ascii="仿宋" w:hAnsi="仿宋" w:eastAsia="仿宋" w:cs="仿宋"/>
          <w:color w:val="auto"/>
          <w:sz w:val="24"/>
          <w:highlight w:val="none"/>
        </w:rPr>
        <w:t>公司农险地块基础信息库建设</w:t>
      </w:r>
      <w:r>
        <w:rPr>
          <w:rFonts w:hint="eastAsia" w:ascii="仿宋" w:hAnsi="仿宋" w:eastAsia="仿宋" w:cs="仿宋"/>
          <w:color w:val="auto"/>
          <w:sz w:val="24"/>
          <w:highlight w:val="none"/>
          <w:lang w:val="en-US" w:eastAsia="zh-CN"/>
        </w:rPr>
        <w:t>服务</w:t>
      </w:r>
      <w:r>
        <w:rPr>
          <w:rFonts w:hint="eastAsia" w:ascii="仿宋" w:hAnsi="仿宋" w:eastAsia="仿宋" w:cs="仿宋"/>
          <w:color w:val="auto"/>
          <w:sz w:val="24"/>
          <w:highlight w:val="none"/>
        </w:rPr>
        <w:t>采购项目由</w:t>
      </w:r>
      <w:r>
        <w:rPr>
          <w:rFonts w:hint="eastAsia" w:ascii="仿宋" w:hAnsi="仿宋" w:eastAsia="仿宋" w:cs="仿宋"/>
          <w:color w:val="auto"/>
          <w:sz w:val="24"/>
          <w:highlight w:val="none"/>
          <w:u w:val="single"/>
        </w:rPr>
        <w:t>中国人民财产保险股份有限公司</w:t>
      </w:r>
      <w:r>
        <w:rPr>
          <w:rFonts w:hint="eastAsia" w:ascii="仿宋" w:hAnsi="仿宋" w:eastAsia="仿宋" w:cs="仿宋"/>
          <w:color w:val="auto"/>
          <w:sz w:val="24"/>
          <w:highlight w:val="none"/>
          <w:u w:val="single"/>
          <w:lang w:val="en-US" w:eastAsia="zh-CN"/>
        </w:rPr>
        <w:t>吉林省</w:t>
      </w:r>
      <w:r>
        <w:rPr>
          <w:rFonts w:hint="eastAsia" w:ascii="仿宋" w:hAnsi="仿宋" w:eastAsia="仿宋" w:cs="仿宋"/>
          <w:color w:val="auto"/>
          <w:sz w:val="24"/>
          <w:highlight w:val="none"/>
          <w:u w:val="single"/>
        </w:rPr>
        <w:t>分公司</w:t>
      </w:r>
      <w:r>
        <w:rPr>
          <w:rFonts w:hint="eastAsia" w:ascii="仿宋" w:hAnsi="仿宋" w:eastAsia="仿宋" w:cs="仿宋"/>
          <w:color w:val="auto"/>
          <w:sz w:val="24"/>
          <w:highlight w:val="none"/>
        </w:rPr>
        <w:t>（以下简称“采购人”）</w:t>
      </w:r>
      <w:r>
        <w:rPr>
          <w:rFonts w:hint="eastAsia" w:ascii="仿宋" w:hAnsi="仿宋" w:eastAsia="仿宋" w:cs="Cambria Math"/>
          <w:color w:val="auto"/>
          <w:sz w:val="24"/>
          <w:highlight w:val="none"/>
        </w:rPr>
        <w:t>批准并落实资金，组织本项目的磋商工作</w:t>
      </w:r>
      <w:r>
        <w:rPr>
          <w:rFonts w:hint="eastAsia" w:ascii="仿宋" w:hAnsi="仿宋" w:eastAsia="仿宋" w:cs="仿宋"/>
          <w:color w:val="auto"/>
          <w:sz w:val="24"/>
          <w:highlight w:val="none"/>
        </w:rPr>
        <w:t>，采购合同由</w:t>
      </w:r>
      <w:r>
        <w:rPr>
          <w:rFonts w:hint="eastAsia" w:ascii="仿宋" w:hAnsi="仿宋" w:eastAsia="仿宋" w:cs="宋体"/>
          <w:color w:val="auto"/>
          <w:sz w:val="24"/>
          <w:highlight w:val="none"/>
          <w:u w:val="single"/>
        </w:rPr>
        <w:t>中国人民财产保险股份有限公司</w:t>
      </w:r>
      <w:r>
        <w:rPr>
          <w:rFonts w:hint="eastAsia" w:ascii="仿宋" w:hAnsi="仿宋" w:eastAsia="仿宋" w:cs="宋体"/>
          <w:color w:val="auto"/>
          <w:sz w:val="24"/>
          <w:highlight w:val="none"/>
          <w:u w:val="single"/>
          <w:lang w:val="en-US" w:eastAsia="zh-CN"/>
        </w:rPr>
        <w:t>吉林省</w:t>
      </w:r>
      <w:r>
        <w:rPr>
          <w:rFonts w:hint="eastAsia" w:ascii="仿宋" w:hAnsi="仿宋" w:eastAsia="仿宋" w:cs="宋体"/>
          <w:color w:val="auto"/>
          <w:sz w:val="24"/>
          <w:highlight w:val="none"/>
          <w:u w:val="single"/>
        </w:rPr>
        <w:t>分公司</w:t>
      </w:r>
      <w:r>
        <w:rPr>
          <w:rFonts w:hint="eastAsia" w:ascii="仿宋" w:hAnsi="仿宋" w:eastAsia="仿宋" w:cs="宋体"/>
          <w:color w:val="auto"/>
          <w:sz w:val="24"/>
          <w:highlight w:val="none"/>
        </w:rPr>
        <w:t>（以下简称“人保</w:t>
      </w:r>
      <w:r>
        <w:rPr>
          <w:rFonts w:hint="eastAsia" w:ascii="仿宋" w:hAnsi="仿宋" w:eastAsia="仿宋" w:cs="宋体"/>
          <w:color w:val="auto"/>
          <w:sz w:val="24"/>
          <w:highlight w:val="none"/>
          <w:lang w:val="en-US" w:eastAsia="zh-CN"/>
        </w:rPr>
        <w:t>财险吉林省分公司</w:t>
      </w:r>
      <w:r>
        <w:rPr>
          <w:rFonts w:hint="eastAsia" w:ascii="仿宋" w:hAnsi="仿宋" w:eastAsia="仿宋" w:cs="宋体"/>
          <w:color w:val="auto"/>
          <w:sz w:val="24"/>
          <w:highlight w:val="none"/>
        </w:rPr>
        <w:t>”）</w:t>
      </w:r>
      <w:r>
        <w:rPr>
          <w:rFonts w:hint="eastAsia" w:ascii="仿宋" w:hAnsi="仿宋" w:eastAsia="仿宋" w:cs="仿宋"/>
          <w:color w:val="auto"/>
          <w:sz w:val="24"/>
          <w:highlight w:val="none"/>
        </w:rPr>
        <w:t>根据成交结果与成交人签署。现进行公开竞争性磋商，</w:t>
      </w:r>
      <w:r>
        <w:rPr>
          <w:rFonts w:hint="eastAsia" w:ascii="仿宋" w:hAnsi="仿宋" w:eastAsia="仿宋" w:cs="Cambria Math"/>
          <w:color w:val="auto"/>
          <w:sz w:val="24"/>
          <w:highlight w:val="none"/>
        </w:rPr>
        <w:t xml:space="preserve">有意向且具有提供标的物能力的潜在供应商（以下简称“供应商”）可前来参与磋商响应。 </w:t>
      </w:r>
    </w:p>
    <w:p>
      <w:pPr>
        <w:pStyle w:val="4"/>
        <w:ind w:firstLine="0" w:firstLineChars="0"/>
        <w:jc w:val="left"/>
        <w:rPr>
          <w:rFonts w:hint="eastAsia" w:ascii="仿宋" w:hAnsi="仿宋" w:eastAsia="仿宋" w:cs="仿宋"/>
          <w:color w:val="000000"/>
          <w:sz w:val="24"/>
          <w:szCs w:val="24"/>
          <w:highlight w:val="none"/>
        </w:rPr>
      </w:pPr>
      <w:bookmarkStart w:id="9" w:name="_Toc21237"/>
      <w:r>
        <w:rPr>
          <w:rFonts w:hint="eastAsia" w:ascii="仿宋" w:hAnsi="仿宋" w:eastAsia="仿宋" w:cs="仿宋"/>
          <w:color w:val="000000"/>
          <w:sz w:val="24"/>
          <w:szCs w:val="24"/>
          <w:highlight w:val="none"/>
        </w:rPr>
        <w:t>一、项目概况与采购范围</w:t>
      </w:r>
      <w:bookmarkEnd w:id="9"/>
    </w:p>
    <w:p>
      <w:pPr>
        <w:adjustRightInd w:val="0"/>
        <w:snapToGrid w:val="0"/>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1.1 项目名称：人保财险吉林省分</w:t>
      </w:r>
      <w:r>
        <w:rPr>
          <w:rFonts w:hint="eastAsia" w:ascii="仿宋" w:hAnsi="仿宋" w:eastAsia="仿宋" w:cs="仿宋"/>
          <w:color w:val="auto"/>
          <w:sz w:val="24"/>
          <w:highlight w:val="none"/>
        </w:rPr>
        <w:t>公司农险地块基础信息库建设</w:t>
      </w:r>
      <w:r>
        <w:rPr>
          <w:rFonts w:hint="eastAsia" w:ascii="仿宋" w:hAnsi="仿宋" w:eastAsia="仿宋" w:cs="仿宋"/>
          <w:color w:val="auto"/>
          <w:sz w:val="24"/>
          <w:highlight w:val="none"/>
          <w:lang w:val="en-US" w:eastAsia="zh-CN"/>
        </w:rPr>
        <w:t>服务</w:t>
      </w:r>
      <w:r>
        <w:rPr>
          <w:rFonts w:hint="eastAsia" w:ascii="仿宋" w:hAnsi="仿宋" w:eastAsia="仿宋" w:cs="仿宋"/>
          <w:color w:val="auto"/>
          <w:sz w:val="24"/>
          <w:highlight w:val="none"/>
        </w:rPr>
        <w:t>采购项目</w:t>
      </w:r>
      <w:r>
        <w:rPr>
          <w:rFonts w:hint="eastAsia" w:ascii="仿宋" w:hAnsi="仿宋" w:eastAsia="仿宋" w:cs="仿宋"/>
          <w:color w:val="000000"/>
          <w:sz w:val="24"/>
          <w:highlight w:val="none"/>
        </w:rPr>
        <w:t>。</w:t>
      </w:r>
    </w:p>
    <w:p>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000000"/>
          <w:sz w:val="24"/>
          <w:highlight w:val="none"/>
        </w:rPr>
        <w:t>1.2 采购范围：</w:t>
      </w:r>
      <w:r>
        <w:rPr>
          <w:rFonts w:hint="eastAsia" w:ascii="仿宋" w:hAnsi="仿宋" w:eastAsia="仿宋" w:cs="仿宋"/>
          <w:color w:val="000000"/>
          <w:sz w:val="24"/>
          <w:highlight w:val="none"/>
          <w:lang w:val="en-US" w:eastAsia="zh-CN"/>
        </w:rPr>
        <w:t>本项目拟采购2</w:t>
      </w:r>
      <w:r>
        <w:rPr>
          <w:rFonts w:hint="eastAsia" w:ascii="仿宋" w:hAnsi="仿宋" w:eastAsia="仿宋" w:cs="仿宋"/>
          <w:color w:val="000000"/>
          <w:sz w:val="24"/>
          <w:highlight w:val="none"/>
        </w:rPr>
        <w:t>家供应商提供农险地块基础信息库建设服务，具体技术要求</w:t>
      </w:r>
      <w:r>
        <w:rPr>
          <w:rFonts w:hint="eastAsia" w:ascii="仿宋" w:hAnsi="仿宋" w:eastAsia="仿宋" w:cs="仿宋"/>
          <w:color w:val="auto"/>
          <w:sz w:val="24"/>
          <w:highlight w:val="none"/>
        </w:rPr>
        <w:t>详见第五章采购需求。</w:t>
      </w:r>
    </w:p>
    <w:p>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1.3 标包划分：</w:t>
      </w:r>
      <w:r>
        <w:rPr>
          <w:rFonts w:hint="eastAsia" w:ascii="仿宋" w:hAnsi="仿宋" w:eastAsia="仿宋" w:cs="宋体"/>
          <w:color w:val="auto"/>
          <w:sz w:val="24"/>
          <w:highlight w:val="none"/>
        </w:rPr>
        <w:t>本项目本项目划分为</w:t>
      </w:r>
      <w:r>
        <w:rPr>
          <w:rFonts w:hint="eastAsia" w:ascii="仿宋" w:hAnsi="仿宋" w:eastAsia="仿宋" w:cs="宋体"/>
          <w:color w:val="auto"/>
          <w:sz w:val="24"/>
          <w:highlight w:val="none"/>
          <w:lang w:val="en-US" w:eastAsia="zh-CN"/>
        </w:rPr>
        <w:t>2</w:t>
      </w:r>
      <w:r>
        <w:rPr>
          <w:rFonts w:hint="eastAsia" w:ascii="仿宋" w:hAnsi="仿宋" w:eastAsia="仿宋" w:cs="宋体"/>
          <w:color w:val="auto"/>
          <w:sz w:val="24"/>
          <w:highlight w:val="none"/>
        </w:rPr>
        <w:t>个标包，情况如下：</w:t>
      </w:r>
    </w:p>
    <w:tbl>
      <w:tblPr>
        <w:tblStyle w:val="40"/>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9"/>
        <w:gridCol w:w="3094"/>
        <w:gridCol w:w="2353"/>
        <w:gridCol w:w="1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8" w:type="pct"/>
            <w:noWrap w:val="0"/>
            <w:vAlign w:val="center"/>
          </w:tcPr>
          <w:p>
            <w:pPr>
              <w:widowControl/>
              <w:jc w:val="center"/>
              <w:rPr>
                <w:rFonts w:hint="eastAsia" w:ascii="仿宋" w:hAnsi="仿宋" w:eastAsia="仿宋" w:cs="宋体"/>
                <w:b/>
                <w:bCs/>
                <w:color w:val="auto"/>
                <w:kern w:val="0"/>
                <w:sz w:val="24"/>
                <w:highlight w:val="none"/>
              </w:rPr>
            </w:pPr>
            <w:r>
              <w:rPr>
                <w:rFonts w:hint="eastAsia" w:ascii="仿宋" w:hAnsi="仿宋" w:eastAsia="仿宋" w:cs="宋体"/>
                <w:b/>
                <w:bCs/>
                <w:color w:val="auto"/>
                <w:kern w:val="0"/>
                <w:sz w:val="24"/>
                <w:highlight w:val="none"/>
              </w:rPr>
              <w:t>标包号</w:t>
            </w:r>
          </w:p>
        </w:tc>
        <w:tc>
          <w:tcPr>
            <w:tcW w:w="1853" w:type="pct"/>
            <w:noWrap w:val="0"/>
            <w:vAlign w:val="center"/>
          </w:tcPr>
          <w:p>
            <w:pPr>
              <w:widowControl/>
              <w:jc w:val="center"/>
              <w:rPr>
                <w:rFonts w:hint="eastAsia" w:ascii="仿宋" w:hAnsi="仿宋" w:eastAsia="仿宋" w:cs="宋体"/>
                <w:b/>
                <w:bCs/>
                <w:color w:val="auto"/>
                <w:sz w:val="24"/>
                <w:highlight w:val="none"/>
              </w:rPr>
            </w:pPr>
            <w:r>
              <w:rPr>
                <w:rFonts w:hint="eastAsia" w:ascii="仿宋" w:hAnsi="仿宋" w:eastAsia="仿宋" w:cs="宋体"/>
                <w:b/>
                <w:bCs/>
                <w:color w:val="auto"/>
                <w:kern w:val="0"/>
                <w:sz w:val="24"/>
                <w:highlight w:val="none"/>
              </w:rPr>
              <w:t>标包名称</w:t>
            </w:r>
          </w:p>
        </w:tc>
        <w:tc>
          <w:tcPr>
            <w:tcW w:w="1409" w:type="pct"/>
            <w:noWrap w:val="0"/>
            <w:vAlign w:val="center"/>
          </w:tcPr>
          <w:p>
            <w:pPr>
              <w:widowControl/>
              <w:jc w:val="center"/>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采购内容</w:t>
            </w:r>
          </w:p>
        </w:tc>
        <w:tc>
          <w:tcPr>
            <w:tcW w:w="1018" w:type="pct"/>
            <w:noWrap w:val="0"/>
            <w:vAlign w:val="center"/>
          </w:tcPr>
          <w:p>
            <w:pPr>
              <w:widowControl/>
              <w:jc w:val="center"/>
              <w:rPr>
                <w:rFonts w:hint="eastAsia" w:ascii="仿宋" w:hAnsi="仿宋" w:eastAsia="仿宋" w:cs="宋体"/>
                <w:b/>
                <w:bCs/>
                <w:color w:val="auto"/>
                <w:kern w:val="0"/>
                <w:sz w:val="24"/>
                <w:highlight w:val="none"/>
              </w:rPr>
            </w:pPr>
            <w:r>
              <w:rPr>
                <w:rFonts w:hint="eastAsia" w:ascii="仿宋" w:hAnsi="仿宋" w:eastAsia="仿宋" w:cs="宋体"/>
                <w:b/>
                <w:bCs/>
                <w:color w:val="auto"/>
                <w:kern w:val="0"/>
                <w:sz w:val="24"/>
                <w:highlight w:val="none"/>
              </w:rPr>
              <w:t>中标人数量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8" w:type="pct"/>
            <w:noWrap w:val="0"/>
            <w:vAlign w:val="center"/>
          </w:tcPr>
          <w:p>
            <w:pPr>
              <w:widowControl/>
              <w:jc w:val="center"/>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标包1</w:t>
            </w:r>
          </w:p>
        </w:tc>
        <w:tc>
          <w:tcPr>
            <w:tcW w:w="1853" w:type="pct"/>
            <w:noWrap w:val="0"/>
            <w:vAlign w:val="center"/>
          </w:tcPr>
          <w:p>
            <w:pPr>
              <w:widowControl/>
              <w:jc w:val="center"/>
              <w:rPr>
                <w:rFonts w:hint="default" w:ascii="仿宋" w:hAnsi="仿宋" w:eastAsia="仿宋" w:cs="宋体"/>
                <w:color w:val="auto"/>
                <w:kern w:val="0"/>
                <w:sz w:val="24"/>
                <w:highlight w:val="none"/>
                <w:lang w:val="en-US"/>
              </w:rPr>
            </w:pPr>
            <w:r>
              <w:rPr>
                <w:rFonts w:hint="eastAsia" w:ascii="仿宋" w:hAnsi="仿宋" w:eastAsia="仿宋" w:cs="宋体"/>
                <w:color w:val="auto"/>
                <w:kern w:val="0"/>
                <w:sz w:val="24"/>
                <w:highlight w:val="none"/>
              </w:rPr>
              <w:t>长春市农安县洼中高农场、吉林市磐石市松山镇</w:t>
            </w:r>
            <w:r>
              <w:rPr>
                <w:rFonts w:hint="eastAsia" w:ascii="仿宋" w:hAnsi="仿宋" w:eastAsia="仿宋" w:cs="宋体"/>
                <w:color w:val="auto"/>
                <w:kern w:val="0"/>
                <w:sz w:val="24"/>
                <w:highlight w:val="none"/>
                <w:lang w:val="en-US" w:eastAsia="zh-CN"/>
              </w:rPr>
              <w:t>农险地块基础信息库建设服务采购项目</w:t>
            </w:r>
          </w:p>
        </w:tc>
        <w:tc>
          <w:tcPr>
            <w:tcW w:w="1409" w:type="pct"/>
            <w:noWrap w:val="0"/>
            <w:vAlign w:val="center"/>
          </w:tcPr>
          <w:p>
            <w:pPr>
              <w:widowControl/>
              <w:jc w:val="center"/>
              <w:rPr>
                <w:rFonts w:hint="default" w:ascii="仿宋" w:hAnsi="仿宋" w:eastAsia="仿宋" w:cs="宋体"/>
                <w:color w:val="auto"/>
                <w:kern w:val="0"/>
                <w:sz w:val="24"/>
                <w:highlight w:val="none"/>
                <w:lang w:val="en-US" w:eastAsia="zh-CN"/>
              </w:rPr>
            </w:pPr>
            <w:r>
              <w:rPr>
                <w:rFonts w:hint="eastAsia" w:ascii="仿宋" w:hAnsi="仿宋" w:eastAsia="仿宋" w:cs="宋体"/>
                <w:color w:val="auto"/>
                <w:kern w:val="0"/>
                <w:sz w:val="24"/>
                <w:highlight w:val="none"/>
              </w:rPr>
              <w:t>长春市农安县洼中高农场、吉林市磐石市松山镇</w:t>
            </w:r>
            <w:r>
              <w:rPr>
                <w:rFonts w:hint="eastAsia" w:ascii="仿宋" w:hAnsi="仿宋" w:eastAsia="仿宋" w:cs="宋体"/>
                <w:color w:val="auto"/>
                <w:kern w:val="0"/>
                <w:sz w:val="24"/>
                <w:highlight w:val="none"/>
                <w:lang w:val="en-US" w:eastAsia="zh-CN"/>
              </w:rPr>
              <w:t>农险地块基础信息库建设服务</w:t>
            </w:r>
          </w:p>
        </w:tc>
        <w:tc>
          <w:tcPr>
            <w:tcW w:w="1018" w:type="pct"/>
            <w:noWrap w:val="0"/>
            <w:vAlign w:val="center"/>
          </w:tcPr>
          <w:p>
            <w:pPr>
              <w:widowControl/>
              <w:jc w:val="center"/>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lang w:val="en-US" w:eastAsia="zh-CN"/>
              </w:rPr>
              <w:t>1</w:t>
            </w:r>
            <w:r>
              <w:rPr>
                <w:rFonts w:hint="eastAsia" w:ascii="仿宋" w:hAnsi="仿宋" w:eastAsia="仿宋" w:cs="宋体"/>
                <w:color w:val="auto"/>
                <w:kern w:val="0"/>
                <w:sz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8" w:type="pct"/>
            <w:noWrap w:val="0"/>
            <w:vAlign w:val="center"/>
          </w:tcPr>
          <w:p>
            <w:pPr>
              <w:widowControl/>
              <w:jc w:val="center"/>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标包2</w:t>
            </w:r>
          </w:p>
        </w:tc>
        <w:tc>
          <w:tcPr>
            <w:tcW w:w="1853" w:type="pct"/>
            <w:noWrap w:val="0"/>
            <w:vAlign w:val="center"/>
          </w:tcPr>
          <w:p>
            <w:pPr>
              <w:widowControl/>
              <w:jc w:val="center"/>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辽源市东辽县金州乡、白城市镇赉县到保农场</w:t>
            </w:r>
            <w:r>
              <w:rPr>
                <w:rFonts w:hint="eastAsia" w:ascii="仿宋" w:hAnsi="仿宋" w:eastAsia="仿宋" w:cs="宋体"/>
                <w:color w:val="auto"/>
                <w:kern w:val="0"/>
                <w:sz w:val="24"/>
                <w:highlight w:val="none"/>
                <w:lang w:val="en-US" w:eastAsia="zh-CN"/>
              </w:rPr>
              <w:t>农险地块基础信息库建设服务采购项目</w:t>
            </w:r>
          </w:p>
        </w:tc>
        <w:tc>
          <w:tcPr>
            <w:tcW w:w="1409" w:type="pct"/>
            <w:noWrap w:val="0"/>
            <w:vAlign w:val="center"/>
          </w:tcPr>
          <w:p>
            <w:pPr>
              <w:widowControl/>
              <w:jc w:val="center"/>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辽源市东辽县金州乡、白城市镇赉县到保农场</w:t>
            </w:r>
            <w:r>
              <w:rPr>
                <w:rFonts w:hint="eastAsia" w:ascii="仿宋" w:hAnsi="仿宋" w:eastAsia="仿宋" w:cs="宋体"/>
                <w:color w:val="auto"/>
                <w:kern w:val="0"/>
                <w:sz w:val="24"/>
                <w:highlight w:val="none"/>
                <w:lang w:val="en-US" w:eastAsia="zh-CN"/>
              </w:rPr>
              <w:t>农险地块基础信息库建设服务</w:t>
            </w:r>
          </w:p>
        </w:tc>
        <w:tc>
          <w:tcPr>
            <w:tcW w:w="1018" w:type="pct"/>
            <w:noWrap w:val="0"/>
            <w:vAlign w:val="center"/>
          </w:tcPr>
          <w:p>
            <w:pPr>
              <w:widowControl/>
              <w:jc w:val="center"/>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lang w:val="en-US" w:eastAsia="zh-CN"/>
              </w:rPr>
              <w:t>1</w:t>
            </w:r>
            <w:r>
              <w:rPr>
                <w:rFonts w:hint="eastAsia" w:ascii="仿宋" w:hAnsi="仿宋" w:eastAsia="仿宋" w:cs="宋体"/>
                <w:color w:val="auto"/>
                <w:kern w:val="0"/>
                <w:sz w:val="24"/>
                <w:highlight w:val="none"/>
              </w:rPr>
              <w:t>个</w:t>
            </w:r>
          </w:p>
        </w:tc>
      </w:tr>
    </w:tbl>
    <w:p>
      <w:pPr>
        <w:adjustRightInd w:val="0"/>
        <w:snapToGrid w:val="0"/>
        <w:spacing w:before="240"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本项目各标段间不限投但不允许兼中，按标段序号从小到大顺序依次推荐候选人，当投标人在前一标段被评</w:t>
      </w:r>
      <w:r>
        <w:rPr>
          <w:rFonts w:hint="eastAsia" w:ascii="仿宋" w:hAnsi="仿宋" w:eastAsia="仿宋" w:cs="仿宋"/>
          <w:color w:val="auto"/>
          <w:sz w:val="24"/>
          <w:highlight w:val="none"/>
          <w:lang w:val="en-US" w:eastAsia="zh-CN"/>
        </w:rPr>
        <w:t>审</w:t>
      </w:r>
      <w:r>
        <w:rPr>
          <w:rFonts w:hint="eastAsia" w:ascii="仿宋" w:hAnsi="仿宋" w:eastAsia="仿宋" w:cs="仿宋"/>
          <w:color w:val="auto"/>
          <w:sz w:val="24"/>
          <w:highlight w:val="none"/>
        </w:rPr>
        <w:t>委员会评选为</w:t>
      </w:r>
      <w:r>
        <w:rPr>
          <w:rFonts w:hint="eastAsia" w:ascii="仿宋" w:hAnsi="仿宋" w:eastAsia="仿宋" w:cs="仿宋"/>
          <w:color w:val="auto"/>
          <w:sz w:val="24"/>
          <w:highlight w:val="none"/>
          <w:lang w:val="en-US" w:eastAsia="zh-CN"/>
        </w:rPr>
        <w:t>拟</w:t>
      </w:r>
      <w:r>
        <w:rPr>
          <w:rFonts w:hint="eastAsia" w:ascii="仿宋" w:hAnsi="仿宋" w:eastAsia="仿宋" w:cs="仿宋"/>
          <w:color w:val="auto"/>
          <w:sz w:val="24"/>
          <w:highlight w:val="none"/>
        </w:rPr>
        <w:t>中</w:t>
      </w:r>
      <w:r>
        <w:rPr>
          <w:rFonts w:hint="eastAsia" w:ascii="仿宋" w:hAnsi="仿宋" w:eastAsia="仿宋" w:cs="仿宋"/>
          <w:color w:val="auto"/>
          <w:sz w:val="24"/>
          <w:highlight w:val="none"/>
          <w:lang w:val="en-US" w:eastAsia="zh-CN"/>
        </w:rPr>
        <w:t>选供应商</w:t>
      </w:r>
      <w:r>
        <w:rPr>
          <w:rFonts w:hint="eastAsia" w:ascii="仿宋" w:hAnsi="仿宋" w:eastAsia="仿宋" w:cs="仿宋"/>
          <w:color w:val="auto"/>
          <w:sz w:val="24"/>
          <w:highlight w:val="none"/>
        </w:rPr>
        <w:t>后，该投标人在本项目</w:t>
      </w:r>
      <w:r>
        <w:rPr>
          <w:rFonts w:hint="eastAsia" w:ascii="仿宋" w:hAnsi="仿宋" w:eastAsia="仿宋" w:cs="仿宋"/>
          <w:color w:val="auto"/>
          <w:sz w:val="24"/>
          <w:highlight w:val="none"/>
          <w:lang w:val="en-US" w:eastAsia="zh-CN"/>
        </w:rPr>
        <w:t>第二</w:t>
      </w:r>
      <w:r>
        <w:rPr>
          <w:rFonts w:hint="eastAsia" w:ascii="仿宋" w:hAnsi="仿宋" w:eastAsia="仿宋" w:cs="仿宋"/>
          <w:color w:val="auto"/>
          <w:sz w:val="24"/>
          <w:highlight w:val="none"/>
        </w:rPr>
        <w:t>标段可进入评</w:t>
      </w:r>
      <w:r>
        <w:rPr>
          <w:rFonts w:hint="eastAsia" w:ascii="仿宋" w:hAnsi="仿宋" w:eastAsia="仿宋" w:cs="仿宋"/>
          <w:color w:val="auto"/>
          <w:sz w:val="24"/>
          <w:highlight w:val="none"/>
          <w:lang w:val="en-US" w:eastAsia="zh-CN"/>
        </w:rPr>
        <w:t>审</w:t>
      </w:r>
      <w:r>
        <w:rPr>
          <w:rFonts w:hint="eastAsia" w:ascii="仿宋" w:hAnsi="仿宋" w:eastAsia="仿宋" w:cs="仿宋"/>
          <w:color w:val="auto"/>
          <w:sz w:val="24"/>
          <w:highlight w:val="none"/>
        </w:rPr>
        <w:t>程序但不</w:t>
      </w:r>
      <w:r>
        <w:rPr>
          <w:rFonts w:hint="eastAsia" w:ascii="仿宋" w:hAnsi="仿宋" w:eastAsia="仿宋" w:cs="仿宋"/>
          <w:color w:val="auto"/>
          <w:sz w:val="24"/>
          <w:highlight w:val="none"/>
          <w:lang w:val="en-US" w:eastAsia="zh-CN"/>
        </w:rPr>
        <w:t>可为拟中选供应商</w:t>
      </w:r>
      <w:r>
        <w:rPr>
          <w:rFonts w:hint="eastAsia" w:ascii="仿宋" w:hAnsi="仿宋" w:eastAsia="仿宋" w:cs="仿宋"/>
          <w:color w:val="auto"/>
          <w:sz w:val="24"/>
          <w:highlight w:val="none"/>
        </w:rPr>
        <w:t>。</w:t>
      </w:r>
    </w:p>
    <w:p>
      <w:pPr>
        <w:adjustRightInd w:val="0"/>
        <w:snapToGrid w:val="0"/>
        <w:spacing w:before="240" w:line="360" w:lineRule="auto"/>
        <w:ind w:firstLine="480" w:firstLineChars="200"/>
        <w:jc w:val="left"/>
        <w:rPr>
          <w:rFonts w:ascii="仿宋" w:hAnsi="仿宋" w:eastAsia="仿宋" w:cs="仿宋"/>
          <w:color w:val="auto"/>
          <w:sz w:val="24"/>
          <w:highlight w:val="none"/>
        </w:rPr>
      </w:pPr>
      <w:r>
        <w:rPr>
          <w:rFonts w:ascii="仿宋" w:hAnsi="仿宋" w:eastAsia="仿宋" w:cs="仿宋"/>
          <w:color w:val="auto"/>
          <w:sz w:val="24"/>
          <w:highlight w:val="none"/>
        </w:rPr>
        <w:t>1.4</w:t>
      </w:r>
      <w:r>
        <w:rPr>
          <w:rFonts w:ascii="仿宋" w:hAnsi="仿宋" w:cs="仿宋"/>
          <w:color w:val="auto"/>
          <w:sz w:val="24"/>
          <w:highlight w:val="none"/>
        </w:rPr>
        <w:t xml:space="preserve"> </w:t>
      </w:r>
      <w:r>
        <w:rPr>
          <w:rFonts w:hint="eastAsia" w:ascii="仿宋" w:hAnsi="仿宋" w:eastAsia="仿宋" w:cs="仿宋"/>
          <w:color w:val="auto"/>
          <w:sz w:val="24"/>
          <w:highlight w:val="none"/>
        </w:rPr>
        <w:t>项目性质：</w:t>
      </w:r>
      <w:r>
        <w:rPr>
          <w:rFonts w:hint="eastAsia" w:ascii="仿宋" w:hAnsi="仿宋" w:eastAsia="仿宋" w:cs="宋体"/>
          <w:color w:val="auto"/>
          <w:sz w:val="24"/>
          <w:highlight w:val="none"/>
        </w:rPr>
        <w:t>服务</w:t>
      </w:r>
      <w:r>
        <w:rPr>
          <w:rFonts w:hint="eastAsia" w:ascii="仿宋" w:hAnsi="仿宋" w:eastAsia="仿宋" w:cs="仿宋"/>
          <w:color w:val="auto"/>
          <w:sz w:val="24"/>
          <w:highlight w:val="none"/>
        </w:rPr>
        <w:t>。</w:t>
      </w:r>
    </w:p>
    <w:p>
      <w:pPr>
        <w:adjustRightInd w:val="0"/>
        <w:snapToGri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5</w:t>
      </w:r>
      <w:r>
        <w:rPr>
          <w:rFonts w:hint="eastAsia" w:ascii="仿宋" w:hAnsi="仿宋" w:eastAsia="仿宋" w:cs="仿宋"/>
          <w:color w:val="auto"/>
          <w:sz w:val="24"/>
          <w:highlight w:val="none"/>
        </w:rPr>
        <w:t>服务期限：</w:t>
      </w:r>
      <w:r>
        <w:rPr>
          <w:rFonts w:hint="eastAsia" w:ascii="仿宋" w:hAnsi="仿宋" w:eastAsia="仿宋" w:cs="宋体"/>
          <w:color w:val="auto"/>
          <w:sz w:val="24"/>
          <w:highlight w:val="none"/>
        </w:rPr>
        <w:t>自合同签订之日起</w:t>
      </w:r>
      <w:r>
        <w:rPr>
          <w:rFonts w:hint="eastAsia" w:ascii="仿宋" w:hAnsi="仿宋" w:eastAsia="仿宋" w:cs="宋体"/>
          <w:color w:val="auto"/>
          <w:sz w:val="24"/>
          <w:highlight w:val="none"/>
          <w:lang w:val="en-US" w:eastAsia="zh-CN"/>
        </w:rPr>
        <w:t>1</w:t>
      </w:r>
      <w:r>
        <w:rPr>
          <w:rFonts w:hint="eastAsia" w:ascii="仿宋" w:hAnsi="仿宋" w:eastAsia="仿宋" w:cs="宋体"/>
          <w:color w:val="auto"/>
          <w:sz w:val="24"/>
          <w:highlight w:val="none"/>
        </w:rPr>
        <w:t>年。</w:t>
      </w:r>
    </w:p>
    <w:p>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6</w:t>
      </w:r>
      <w:r>
        <w:rPr>
          <w:rFonts w:hint="eastAsia" w:ascii="仿宋" w:hAnsi="仿宋" w:eastAsia="仿宋" w:cs="宋体"/>
          <w:color w:val="auto"/>
          <w:sz w:val="24"/>
          <w:highlight w:val="none"/>
        </w:rPr>
        <w:t>服务地点：</w:t>
      </w:r>
      <w:r>
        <w:rPr>
          <w:rFonts w:hint="eastAsia" w:ascii="仿宋" w:hAnsi="仿宋" w:eastAsia="仿宋" w:cs="宋体"/>
          <w:color w:val="auto"/>
          <w:sz w:val="24"/>
          <w:highlight w:val="none"/>
          <w:lang w:val="en-US" w:eastAsia="zh-CN"/>
        </w:rPr>
        <w:t>吉林省</w:t>
      </w:r>
      <w:r>
        <w:rPr>
          <w:rFonts w:hint="eastAsia" w:ascii="仿宋" w:hAnsi="仿宋" w:eastAsia="仿宋" w:cs="宋体"/>
          <w:color w:val="auto"/>
          <w:sz w:val="24"/>
          <w:highlight w:val="none"/>
        </w:rPr>
        <w:t>。</w:t>
      </w:r>
    </w:p>
    <w:p>
      <w:pPr>
        <w:pStyle w:val="4"/>
        <w:ind w:firstLine="0" w:firstLineChars="0"/>
        <w:jc w:val="left"/>
        <w:rPr>
          <w:rFonts w:hint="eastAsia" w:ascii="仿宋" w:hAnsi="仿宋" w:eastAsia="仿宋" w:cs="仿宋"/>
          <w:color w:val="auto"/>
          <w:sz w:val="24"/>
          <w:szCs w:val="24"/>
          <w:highlight w:val="none"/>
        </w:rPr>
      </w:pPr>
      <w:bookmarkStart w:id="10" w:name="_Toc17569"/>
      <w:r>
        <w:rPr>
          <w:rFonts w:hint="eastAsia" w:ascii="仿宋" w:hAnsi="仿宋" w:eastAsia="仿宋" w:cs="仿宋"/>
          <w:color w:val="auto"/>
          <w:sz w:val="24"/>
          <w:szCs w:val="24"/>
          <w:highlight w:val="none"/>
        </w:rPr>
        <w:t>二、供应商资格要求</w:t>
      </w:r>
      <w:bookmarkEnd w:id="10"/>
    </w:p>
    <w:p>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2.1</w:t>
      </w:r>
      <w:r>
        <w:rPr>
          <w:rFonts w:hint="eastAsia" w:ascii="仿宋" w:hAnsi="仿宋" w:eastAsia="仿宋" w:cs="宋体"/>
          <w:b/>
          <w:bCs/>
          <w:color w:val="000000"/>
          <w:sz w:val="24"/>
          <w:highlight w:val="none"/>
        </w:rPr>
        <w:t>在中华人民共和国境内依法登记的法人或其他组织，具有独立承担民事责任的能力，</w:t>
      </w:r>
      <w:r>
        <w:rPr>
          <w:rFonts w:hint="eastAsia" w:ascii="仿宋" w:hAnsi="仿宋" w:eastAsia="仿宋" w:cs="宋体"/>
          <w:color w:val="000000"/>
          <w:sz w:val="24"/>
          <w:highlight w:val="none"/>
        </w:rPr>
        <w:t>供应商如为企业法人，须提供企业法人营业执照</w:t>
      </w:r>
      <w:r>
        <w:rPr>
          <w:rFonts w:hint="eastAsia" w:ascii="仿宋" w:hAnsi="仿宋" w:eastAsia="仿宋" w:cs="Monaco"/>
          <w:color w:val="000000"/>
          <w:sz w:val="24"/>
        </w:rPr>
        <w:t>（复印件）</w:t>
      </w:r>
      <w:r>
        <w:rPr>
          <w:rFonts w:hint="eastAsia" w:ascii="仿宋" w:hAnsi="仿宋" w:eastAsia="仿宋" w:cs="宋体"/>
          <w:color w:val="000000"/>
          <w:sz w:val="24"/>
          <w:highlight w:val="none"/>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2.2</w:t>
      </w:r>
      <w:r>
        <w:rPr>
          <w:rFonts w:hint="eastAsia" w:ascii="仿宋" w:hAnsi="仿宋" w:eastAsia="仿宋" w:cs="宋体"/>
          <w:b/>
          <w:bCs/>
          <w:color w:val="000000"/>
          <w:sz w:val="24"/>
          <w:highlight w:val="none"/>
        </w:rPr>
        <w:t>具有良好的商业信誉和健全的财务会计制度</w:t>
      </w:r>
      <w:r>
        <w:rPr>
          <w:rFonts w:hint="eastAsia" w:ascii="仿宋" w:hAnsi="仿宋" w:eastAsia="仿宋" w:cs="宋体"/>
          <w:color w:val="000000"/>
          <w:sz w:val="24"/>
          <w:highlight w:val="none"/>
        </w:rPr>
        <w:t>，需提供2024年度经会计师事务所或审计机构审计的财务审计报告及财务报表（至少包含会计师事务所或审计机构签章页、资产负债表、现金流量表、损益表/利润表）（复印件）或提供开标日前6个月内开具的银行资信证明（原件或复印件）。</w:t>
      </w:r>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000000"/>
          <w:sz w:val="24"/>
          <w:highlight w:val="none"/>
        </w:rPr>
        <w:t xml:space="preserve">2.3 </w:t>
      </w:r>
      <w:r>
        <w:rPr>
          <w:rFonts w:hint="eastAsia" w:ascii="仿宋" w:hAnsi="仿宋" w:eastAsia="仿宋" w:cs="宋体"/>
          <w:b/>
          <w:bCs/>
          <w:color w:val="000000"/>
          <w:sz w:val="24"/>
          <w:highlight w:val="none"/>
        </w:rPr>
        <w:t>供应商应具有履行合同所必需的设备和专业技术能力</w:t>
      </w:r>
      <w:r>
        <w:rPr>
          <w:rFonts w:hint="eastAsia" w:ascii="仿宋" w:hAnsi="仿宋" w:eastAsia="仿宋" w:cs="宋体"/>
          <w:color w:val="000000"/>
          <w:sz w:val="24"/>
          <w:highlight w:val="none"/>
        </w:rPr>
        <w:t>，</w:t>
      </w:r>
      <w:r>
        <w:rPr>
          <w:rFonts w:hint="eastAsia" w:ascii="仿宋" w:hAnsi="仿宋" w:eastAsia="仿宋" w:cs="宋体"/>
          <w:color w:val="auto"/>
          <w:sz w:val="24"/>
          <w:highlight w:val="none"/>
        </w:rPr>
        <w:t>近三年（20</w:t>
      </w:r>
      <w:r>
        <w:rPr>
          <w:rFonts w:hint="eastAsia" w:ascii="仿宋" w:hAnsi="仿宋" w:eastAsia="仿宋" w:cs="宋体"/>
          <w:color w:val="auto"/>
          <w:sz w:val="24"/>
          <w:highlight w:val="none"/>
          <w:lang w:val="en-US" w:eastAsia="zh-CN"/>
        </w:rPr>
        <w:t>23</w:t>
      </w:r>
      <w:r>
        <w:rPr>
          <w:rFonts w:hint="eastAsia" w:ascii="仿宋" w:hAnsi="仿宋" w:eastAsia="仿宋" w:cs="宋体"/>
          <w:color w:val="auto"/>
          <w:sz w:val="24"/>
          <w:highlight w:val="none"/>
        </w:rPr>
        <w:t>年1月1日至今）应具有</w:t>
      </w:r>
      <w:r>
        <w:rPr>
          <w:rFonts w:hint="eastAsia" w:ascii="仿宋" w:hAnsi="仿宋" w:eastAsia="仿宋" w:cs="宋体"/>
          <w:color w:val="auto"/>
          <w:sz w:val="24"/>
          <w:highlight w:val="none"/>
          <w:lang w:val="en-US" w:eastAsia="zh-CN"/>
        </w:rPr>
        <w:t>1</w:t>
      </w:r>
      <w:r>
        <w:rPr>
          <w:rFonts w:hint="eastAsia" w:ascii="仿宋" w:hAnsi="仿宋" w:eastAsia="仿宋" w:cs="宋体"/>
          <w:color w:val="auto"/>
          <w:sz w:val="24"/>
          <w:highlight w:val="none"/>
        </w:rPr>
        <w:t>个同类项目实施案例，并提供符合上述要求的合同关键页作为有效的业绩证明材料。合同关键页包含但不限于合同首页、合同标的页、签署日期页及盖章页等。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auto"/>
          <w:sz w:val="24"/>
          <w:highlight w:val="none"/>
        </w:rPr>
        <w:t>2.4</w:t>
      </w:r>
      <w:r>
        <w:rPr>
          <w:rFonts w:hint="eastAsia" w:ascii="仿宋" w:hAnsi="仿宋" w:eastAsia="仿宋" w:cs="宋体"/>
          <w:b/>
          <w:bCs/>
          <w:color w:val="auto"/>
          <w:sz w:val="24"/>
          <w:highlight w:val="none"/>
        </w:rPr>
        <w:t>具有依法缴纳税收和社会保障资金的良好记录</w:t>
      </w:r>
      <w:r>
        <w:rPr>
          <w:rFonts w:hint="eastAsia" w:ascii="仿宋" w:hAnsi="仿宋" w:eastAsia="仿宋" w:cs="宋体"/>
          <w:color w:val="auto"/>
          <w:sz w:val="24"/>
          <w:highlight w:val="none"/>
        </w:rPr>
        <w:t>，</w:t>
      </w:r>
      <w:r>
        <w:rPr>
          <w:rFonts w:hint="eastAsia" w:ascii="仿宋" w:hAnsi="仿宋" w:eastAsia="仿宋" w:cs="宋体"/>
          <w:color w:val="000000"/>
          <w:sz w:val="24"/>
          <w:highlight w:val="none"/>
        </w:rPr>
        <w:t>提供近6个月任意一个月的税收和社会保障资金缴纳凭证。</w:t>
      </w:r>
    </w:p>
    <w:p>
      <w:pPr>
        <w:spacing w:line="360" w:lineRule="auto"/>
        <w:ind w:firstLine="480" w:firstLineChars="200"/>
        <w:textAlignment w:val="baseline"/>
        <w:rPr>
          <w:rFonts w:hint="eastAsia" w:ascii="仿宋" w:hAnsi="仿宋" w:eastAsia="仿宋" w:cs="宋体"/>
          <w:b w:val="0"/>
          <w:bCs w:val="0"/>
          <w:color w:val="000000"/>
          <w:sz w:val="24"/>
          <w:highlight w:val="none"/>
        </w:rPr>
      </w:pPr>
      <w:r>
        <w:rPr>
          <w:rFonts w:hint="eastAsia" w:ascii="仿宋" w:hAnsi="仿宋" w:eastAsia="仿宋" w:cs="宋体"/>
          <w:color w:val="000000"/>
          <w:sz w:val="24"/>
          <w:highlight w:val="none"/>
        </w:rPr>
        <w:t>2.5</w:t>
      </w:r>
      <w:r>
        <w:rPr>
          <w:rFonts w:hint="eastAsia" w:ascii="仿宋" w:hAnsi="仿宋" w:eastAsia="仿宋" w:cs="宋体"/>
          <w:b/>
          <w:bCs/>
          <w:color w:val="000000"/>
          <w:sz w:val="24"/>
          <w:highlight w:val="none"/>
        </w:rPr>
        <w:t>供应商应经营状况良好，且近三年内（</w:t>
      </w:r>
      <w:r>
        <w:rPr>
          <w:rFonts w:hint="eastAsia" w:ascii="仿宋" w:hAnsi="仿宋" w:eastAsia="仿宋" w:cs="宋体"/>
          <w:b/>
          <w:bCs/>
          <w:color w:val="auto"/>
          <w:sz w:val="24"/>
          <w:highlight w:val="none"/>
        </w:rPr>
        <w:t>20</w:t>
      </w:r>
      <w:r>
        <w:rPr>
          <w:rFonts w:hint="eastAsia" w:ascii="仿宋" w:hAnsi="仿宋" w:eastAsia="仿宋" w:cs="宋体"/>
          <w:b/>
          <w:bCs/>
          <w:color w:val="auto"/>
          <w:sz w:val="24"/>
          <w:highlight w:val="none"/>
          <w:lang w:val="en-US" w:eastAsia="zh-CN"/>
        </w:rPr>
        <w:t>23</w:t>
      </w:r>
      <w:r>
        <w:rPr>
          <w:rFonts w:hint="eastAsia" w:ascii="仿宋" w:hAnsi="仿宋" w:eastAsia="仿宋" w:cs="宋体"/>
          <w:b/>
          <w:bCs/>
          <w:color w:val="000000"/>
          <w:sz w:val="24"/>
          <w:highlight w:val="none"/>
        </w:rPr>
        <w:t>年1月1日至今）无违法违规记录。</w:t>
      </w:r>
      <w:r>
        <w:rPr>
          <w:rFonts w:hint="eastAsia" w:ascii="仿宋" w:hAnsi="仿宋" w:eastAsia="仿宋" w:cs="宋体"/>
          <w:b w:val="0"/>
          <w:bCs w:val="0"/>
          <w:color w:val="000000"/>
          <w:sz w:val="24"/>
          <w:highlight w:val="none"/>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pPr>
        <w:spacing w:line="360" w:lineRule="auto"/>
        <w:ind w:firstLine="480" w:firstLineChars="200"/>
        <w:textAlignment w:val="baseline"/>
        <w:rPr>
          <w:rFonts w:hint="eastAsia" w:ascii="仿宋" w:hAnsi="仿宋" w:eastAsia="仿宋" w:cs="宋体"/>
          <w:b w:val="0"/>
          <w:bCs w:val="0"/>
          <w:color w:val="000000"/>
          <w:sz w:val="24"/>
          <w:highlight w:val="none"/>
        </w:rPr>
      </w:pPr>
      <w:r>
        <w:rPr>
          <w:rFonts w:hint="eastAsia" w:ascii="仿宋" w:hAnsi="仿宋" w:eastAsia="仿宋" w:cs="宋体"/>
          <w:b w:val="0"/>
          <w:bCs w:val="0"/>
          <w:color w:val="000000"/>
          <w:sz w:val="24"/>
          <w:highlight w:val="none"/>
        </w:rPr>
        <w:t>信用中国查询网址：https://www.creditchina.gov.cn/xinxigongshi/</w:t>
      </w:r>
    </w:p>
    <w:p>
      <w:pPr>
        <w:spacing w:line="360" w:lineRule="auto"/>
        <w:ind w:firstLine="480" w:firstLineChars="200"/>
        <w:textAlignment w:val="baseline"/>
        <w:rPr>
          <w:rFonts w:hint="eastAsia" w:ascii="仿宋" w:hAnsi="仿宋" w:eastAsia="仿宋" w:cs="宋体"/>
          <w:b w:val="0"/>
          <w:bCs w:val="0"/>
          <w:color w:val="000000"/>
          <w:sz w:val="24"/>
          <w:highlight w:val="none"/>
        </w:rPr>
      </w:pPr>
      <w:r>
        <w:rPr>
          <w:rFonts w:hint="eastAsia" w:ascii="仿宋" w:hAnsi="仿宋" w:eastAsia="仿宋" w:cs="宋体"/>
          <w:b w:val="0"/>
          <w:bCs w:val="0"/>
          <w:color w:val="000000"/>
          <w:sz w:val="24"/>
          <w:highlight w:val="none"/>
        </w:rPr>
        <w:t>政府采购严重违法失信行为记录名单查询网址：</w:t>
      </w:r>
    </w:p>
    <w:p>
      <w:pPr>
        <w:spacing w:line="360" w:lineRule="auto"/>
        <w:ind w:firstLine="480" w:firstLineChars="200"/>
        <w:textAlignment w:val="baseline"/>
        <w:rPr>
          <w:rFonts w:hint="eastAsia" w:ascii="仿宋" w:hAnsi="仿宋" w:eastAsia="仿宋" w:cs="宋体"/>
          <w:b w:val="0"/>
          <w:bCs w:val="0"/>
          <w:color w:val="000000"/>
          <w:sz w:val="24"/>
          <w:highlight w:val="none"/>
        </w:rPr>
      </w:pPr>
      <w:r>
        <w:rPr>
          <w:rFonts w:hint="eastAsia" w:ascii="仿宋" w:hAnsi="仿宋" w:eastAsia="仿宋" w:cs="宋体"/>
          <w:b w:val="0"/>
          <w:bCs w:val="0"/>
          <w:color w:val="000000"/>
          <w:sz w:val="24"/>
          <w:highlight w:val="none"/>
        </w:rPr>
        <w:t>https://www.creditchina.gov.cn/zhuanxiangchaxun/zhengfucaigouyanzhongweifashixinmingdan/</w:t>
      </w:r>
    </w:p>
    <w:p>
      <w:pPr>
        <w:spacing w:line="360" w:lineRule="auto"/>
        <w:ind w:firstLine="480" w:firstLineChars="200"/>
        <w:textAlignment w:val="baseline"/>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 xml:space="preserve">2.6 </w:t>
      </w:r>
      <w:r>
        <w:rPr>
          <w:rFonts w:hint="eastAsia" w:ascii="仿宋" w:hAnsi="仿宋" w:eastAsia="仿宋" w:cs="宋体"/>
          <w:b/>
          <w:bCs/>
          <w:color w:val="000000"/>
          <w:sz w:val="24"/>
          <w:highlight w:val="none"/>
        </w:rPr>
        <w:t>严禁列入</w:t>
      </w:r>
      <w:r>
        <w:rPr>
          <w:rFonts w:hint="eastAsia" w:ascii="仿宋" w:hAnsi="仿宋" w:eastAsia="仿宋" w:cs="宋体"/>
          <w:b/>
          <w:bCs/>
          <w:color w:val="000000"/>
          <w:sz w:val="24"/>
          <w:highlight w:val="none"/>
          <w:lang w:val="en-US" w:eastAsia="zh-CN"/>
        </w:rPr>
        <w:t>采购</w:t>
      </w:r>
      <w:r>
        <w:rPr>
          <w:rFonts w:hint="eastAsia" w:ascii="仿宋" w:hAnsi="仿宋" w:eastAsia="仿宋" w:cs="宋体"/>
          <w:b/>
          <w:bCs/>
          <w:color w:val="000000"/>
          <w:sz w:val="24"/>
          <w:highlight w:val="none"/>
        </w:rPr>
        <w:t>人及其所隶属的中国人民保险各级机构的供应商黑名单且在禁入期内的供应商参与采购活动。</w:t>
      </w:r>
    </w:p>
    <w:p>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2.7单位负责人为同一人或存在控股、管理关系的不同单位，不得参加同一标段/标包磋商响应或未划分标段/标包的同一采购项目的磋商响应，需填写《供应商控股及管理关系情况申报表》。</w:t>
      </w:r>
    </w:p>
    <w:p>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2.8本项目不接受联合体磋商响应。</w:t>
      </w:r>
    </w:p>
    <w:p>
      <w:pPr>
        <w:spacing w:line="360" w:lineRule="auto"/>
        <w:ind w:firstLine="482" w:firstLineChars="200"/>
        <w:textAlignment w:val="baseline"/>
        <w:rPr>
          <w:rFonts w:hint="eastAsia" w:ascii="仿宋" w:hAnsi="仿宋" w:eastAsia="仿宋" w:cs="宋体"/>
          <w:color w:val="000000"/>
          <w:sz w:val="24"/>
          <w:szCs w:val="24"/>
          <w:highlight w:val="none"/>
          <w:lang w:val="en-US" w:eastAsia="zh-CN"/>
        </w:rPr>
      </w:pPr>
      <w:r>
        <w:rPr>
          <w:rFonts w:hint="eastAsia" w:ascii="仿宋" w:hAnsi="仿宋" w:eastAsia="仿宋" w:cs="宋体"/>
          <w:b/>
          <w:bCs/>
          <w:color w:val="000000"/>
          <w:sz w:val="24"/>
          <w:highlight w:val="none"/>
        </w:rPr>
        <w:t>2.</w:t>
      </w:r>
      <w:r>
        <w:rPr>
          <w:rFonts w:hint="eastAsia" w:ascii="仿宋" w:hAnsi="仿宋" w:eastAsia="仿宋" w:cs="宋体"/>
          <w:b/>
          <w:bCs/>
          <w:color w:val="000000"/>
          <w:sz w:val="24"/>
          <w:highlight w:val="none"/>
          <w:lang w:val="en-US" w:eastAsia="zh-CN"/>
        </w:rPr>
        <w:t>9</w:t>
      </w:r>
      <w:r>
        <w:rPr>
          <w:rFonts w:hint="eastAsia" w:ascii="仿宋" w:hAnsi="仿宋" w:eastAsia="仿宋" w:cs="宋体"/>
          <w:b/>
          <w:bCs/>
          <w:color w:val="000000"/>
          <w:sz w:val="24"/>
          <w:szCs w:val="24"/>
          <w:highlight w:val="none"/>
          <w:lang w:val="en-US" w:eastAsia="zh-CN"/>
        </w:rPr>
        <w:t>其它资格要求：</w:t>
      </w:r>
    </w:p>
    <w:p>
      <w:pPr>
        <w:spacing w:line="360" w:lineRule="auto"/>
        <w:ind w:firstLine="480" w:firstLineChars="200"/>
        <w:jc w:val="both"/>
        <w:rPr>
          <w:rFonts w:hint="default" w:ascii="仿宋" w:hAnsi="仿宋" w:eastAsia="仿宋" w:cs="宋体"/>
          <w:b w:val="0"/>
          <w:bCs w:val="0"/>
          <w:color w:val="000000"/>
          <w:kern w:val="2"/>
          <w:sz w:val="24"/>
          <w:szCs w:val="24"/>
          <w:highlight w:val="none"/>
          <w:lang w:val="en-US" w:eastAsia="zh-CN" w:bidi="ar-SA"/>
        </w:rPr>
      </w:pPr>
      <w:r>
        <w:rPr>
          <w:rFonts w:hint="eastAsia" w:ascii="仿宋" w:hAnsi="仿宋" w:eastAsia="仿宋" w:cs="宋体"/>
          <w:b w:val="0"/>
          <w:bCs w:val="0"/>
          <w:color w:val="000000"/>
          <w:kern w:val="2"/>
          <w:sz w:val="24"/>
          <w:szCs w:val="24"/>
          <w:highlight w:val="none"/>
          <w:lang w:val="en-US" w:eastAsia="zh-CN" w:bidi="ar-SA"/>
        </w:rPr>
        <w:t>2.9.1企业成立时间须不少于3年（以营业执照注册日期为准）。</w:t>
      </w:r>
    </w:p>
    <w:p>
      <w:pPr>
        <w:spacing w:line="360" w:lineRule="auto"/>
        <w:ind w:firstLine="480" w:firstLineChars="200"/>
        <w:jc w:val="both"/>
        <w:rPr>
          <w:rFonts w:hint="eastAsia" w:ascii="仿宋" w:hAnsi="仿宋" w:eastAsia="仿宋" w:cs="宋体"/>
          <w:b w:val="0"/>
          <w:bCs w:val="0"/>
          <w:color w:val="000000"/>
          <w:kern w:val="2"/>
          <w:sz w:val="24"/>
          <w:szCs w:val="24"/>
          <w:highlight w:val="none"/>
          <w:lang w:val="en-US" w:eastAsia="zh-CN" w:bidi="ar-SA"/>
        </w:rPr>
      </w:pPr>
      <w:r>
        <w:rPr>
          <w:rFonts w:hint="eastAsia" w:ascii="仿宋" w:hAnsi="仿宋" w:eastAsia="仿宋" w:cs="宋体"/>
          <w:b w:val="0"/>
          <w:bCs w:val="0"/>
          <w:color w:val="000000"/>
          <w:kern w:val="2"/>
          <w:sz w:val="24"/>
          <w:szCs w:val="24"/>
          <w:highlight w:val="none"/>
          <w:lang w:val="en-US" w:eastAsia="zh-CN" w:bidi="ar-SA"/>
        </w:rPr>
        <w:t>2.9.2具备有效的测绘资质，提供有效期内的国家乙级及以上测绘资质证书原件扫描件（或复印件），扫描件/复印件须清晰显示资质等级、有效期、核定专业类别等关键信息；且资质证书载明专业类别至少包含“地理信息系统工程”或“摄影测量与遥感”或“界线与不动产测绘”其中一项。</w:t>
      </w:r>
    </w:p>
    <w:p>
      <w:pPr>
        <w:spacing w:line="360" w:lineRule="auto"/>
        <w:ind w:firstLine="480" w:firstLineChars="200"/>
        <w:jc w:val="both"/>
        <w:rPr>
          <w:rFonts w:hint="default"/>
          <w:lang w:val="en-US" w:eastAsia="zh-CN"/>
        </w:rPr>
      </w:pPr>
      <w:r>
        <w:rPr>
          <w:rFonts w:hint="eastAsia" w:ascii="仿宋" w:hAnsi="仿宋" w:eastAsia="仿宋" w:cs="宋体"/>
          <w:b w:val="0"/>
          <w:bCs w:val="0"/>
          <w:color w:val="000000"/>
          <w:kern w:val="2"/>
          <w:sz w:val="24"/>
          <w:szCs w:val="24"/>
          <w:highlight w:val="none"/>
          <w:lang w:val="en-US" w:eastAsia="zh-CN" w:bidi="ar-SA"/>
        </w:rPr>
        <w:t>2.9.3具备有效的数据安全相关资质/证明，提供以下任意一项有效期内的资质/证明文件原件扫描件（或复印件），扫描件/复印件须清晰显示资质等级、有效期、核发单位/认证范围/备案信息等关键内容：①省（市）级及以上国家保密局颁发的二级及以上保密资质证书；②ISO27001信息安全管理体系认证证书；③信息系统安全等级保护三级及以上备案证明。</w:t>
      </w:r>
    </w:p>
    <w:p>
      <w:pPr>
        <w:pStyle w:val="4"/>
        <w:ind w:firstLine="0" w:firstLineChars="0"/>
        <w:jc w:val="left"/>
        <w:rPr>
          <w:rFonts w:hint="eastAsia" w:ascii="仿宋" w:hAnsi="仿宋" w:eastAsia="仿宋" w:cs="仿宋"/>
          <w:color w:val="000000"/>
          <w:sz w:val="24"/>
          <w:szCs w:val="24"/>
          <w:highlight w:val="none"/>
        </w:rPr>
      </w:pPr>
      <w:bookmarkStart w:id="11" w:name="_Toc28263"/>
      <w:r>
        <w:rPr>
          <w:rFonts w:hint="eastAsia" w:ascii="仿宋" w:hAnsi="仿宋" w:eastAsia="仿宋" w:cs="仿宋"/>
          <w:color w:val="000000"/>
          <w:sz w:val="24"/>
          <w:szCs w:val="24"/>
          <w:highlight w:val="none"/>
        </w:rPr>
        <w:t>三、资格审查方法</w:t>
      </w:r>
      <w:bookmarkEnd w:id="11"/>
    </w:p>
    <w:p>
      <w:pPr>
        <w:spacing w:line="360" w:lineRule="auto"/>
        <w:ind w:firstLine="480" w:firstLineChars="200"/>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本项目将进行资格后审，资格审查方法为合格制，资格审查标准和内容见磋商文件第三章评审办法。未通过资格后审的供应商，响应文件将被否决，不进入磋商、详细评审等后续环节。</w:t>
      </w:r>
    </w:p>
    <w:p>
      <w:pPr>
        <w:pStyle w:val="4"/>
        <w:spacing w:after="240"/>
        <w:ind w:firstLine="0" w:firstLineChars="0"/>
        <w:jc w:val="left"/>
        <w:rPr>
          <w:rFonts w:hint="eastAsia" w:ascii="仿宋" w:hAnsi="仿宋" w:eastAsia="仿宋" w:cs="仿宋"/>
          <w:color w:val="000000"/>
          <w:sz w:val="24"/>
          <w:szCs w:val="24"/>
          <w:highlight w:val="none"/>
        </w:rPr>
      </w:pPr>
      <w:bookmarkStart w:id="12" w:name="_Toc2019"/>
      <w:r>
        <w:rPr>
          <w:rFonts w:hint="eastAsia" w:ascii="仿宋" w:hAnsi="仿宋" w:eastAsia="仿宋" w:cs="仿宋"/>
          <w:color w:val="000000"/>
          <w:sz w:val="24"/>
          <w:szCs w:val="24"/>
          <w:highlight w:val="none"/>
        </w:rPr>
        <w:t>四、磋商文件的获取</w:t>
      </w:r>
      <w:bookmarkEnd w:id="12"/>
    </w:p>
    <w:p>
      <w:pPr>
        <w:pStyle w:val="82"/>
        <w:adjustRightInd w:val="0"/>
        <w:snapToGrid w:val="0"/>
        <w:ind w:firstLineChars="175"/>
        <w:jc w:val="left"/>
        <w:rPr>
          <w:rFonts w:hint="eastAsia" w:ascii="仿宋" w:hAnsi="仿宋" w:eastAsia="仿宋" w:cs="仿宋"/>
          <w:color w:val="FF0000"/>
          <w:sz w:val="24"/>
          <w:szCs w:val="24"/>
          <w:highlight w:val="none"/>
        </w:rPr>
      </w:pPr>
      <w:r>
        <w:rPr>
          <w:rFonts w:ascii="仿宋" w:hAnsi="仿宋" w:eastAsia="仿宋" w:cs="仿宋"/>
          <w:color w:val="000000"/>
          <w:sz w:val="24"/>
          <w:szCs w:val="24"/>
          <w:highlight w:val="none"/>
        </w:rPr>
        <w:t>4</w:t>
      </w:r>
      <w:r>
        <w:rPr>
          <w:rFonts w:hint="eastAsia" w:ascii="仿宋" w:hAnsi="仿宋" w:eastAsia="仿宋" w:cs="仿宋"/>
          <w:color w:val="000000"/>
          <w:sz w:val="24"/>
          <w:szCs w:val="24"/>
          <w:highlight w:val="none"/>
        </w:rPr>
        <w:t>.1磋商文件</w:t>
      </w:r>
      <w:r>
        <w:rPr>
          <w:rFonts w:hint="eastAsia" w:ascii="仿宋" w:hAnsi="仿宋" w:eastAsia="仿宋" w:cs="宋体"/>
          <w:color w:val="000000"/>
          <w:sz w:val="24"/>
          <w:szCs w:val="24"/>
          <w:highlight w:val="none"/>
        </w:rPr>
        <w:t>获取</w:t>
      </w:r>
      <w:r>
        <w:rPr>
          <w:rFonts w:hint="eastAsia" w:ascii="仿宋" w:hAnsi="仿宋" w:eastAsia="仿宋" w:cs="仿宋"/>
          <w:color w:val="000000"/>
          <w:sz w:val="24"/>
          <w:szCs w:val="24"/>
          <w:highlight w:val="none"/>
        </w:rPr>
        <w:t>时间</w:t>
      </w:r>
      <w:r>
        <w:rPr>
          <w:rFonts w:hint="eastAsia" w:ascii="仿宋" w:hAnsi="仿宋" w:eastAsia="仿宋" w:cs="仿宋"/>
          <w:color w:val="auto"/>
          <w:sz w:val="24"/>
          <w:szCs w:val="24"/>
          <w:highlight w:val="none"/>
        </w:rPr>
        <w:t>：</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3</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13</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3</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16</w:t>
      </w:r>
      <w:r>
        <w:rPr>
          <w:rFonts w:hint="eastAsia" w:ascii="仿宋" w:hAnsi="仿宋" w:eastAsia="仿宋" w:cs="宋体"/>
          <w:b/>
          <w:color w:val="auto"/>
          <w:sz w:val="24"/>
          <w:szCs w:val="24"/>
          <w:highlight w:val="none"/>
          <w:u w:val="single"/>
        </w:rPr>
        <w:t>日，</w:t>
      </w:r>
      <w:r>
        <w:rPr>
          <w:rFonts w:hint="eastAsia" w:ascii="仿宋" w:hAnsi="仿宋" w:eastAsia="仿宋" w:cs="宋体"/>
          <w:color w:val="auto"/>
          <w:sz w:val="24"/>
          <w:szCs w:val="24"/>
          <w:highlight w:val="none"/>
        </w:rPr>
        <w:t>上午</w:t>
      </w:r>
      <w:r>
        <w:rPr>
          <w:rFonts w:hint="eastAsia" w:ascii="仿宋" w:hAnsi="仿宋" w:eastAsia="仿宋" w:cs="宋体"/>
          <w:color w:val="auto"/>
          <w:sz w:val="24"/>
          <w:szCs w:val="24"/>
          <w:highlight w:val="none"/>
          <w:lang w:val="en-US" w:eastAsia="zh-CN"/>
        </w:rPr>
        <w:t>8</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12</w:t>
      </w:r>
      <w:r>
        <w:rPr>
          <w:rFonts w:hint="eastAsia" w:ascii="仿宋" w:hAnsi="仿宋" w:eastAsia="仿宋" w:cs="宋体"/>
          <w:color w:val="auto"/>
          <w:sz w:val="24"/>
          <w:szCs w:val="24"/>
          <w:highlight w:val="none"/>
        </w:rPr>
        <w:t>时，下午</w:t>
      </w:r>
      <w:r>
        <w:rPr>
          <w:rFonts w:hint="eastAsia" w:ascii="仿宋" w:hAnsi="仿宋" w:eastAsia="仿宋" w:cs="宋体"/>
          <w:color w:val="auto"/>
          <w:sz w:val="24"/>
          <w:szCs w:val="24"/>
          <w:highlight w:val="none"/>
          <w:lang w:val="en-US" w:eastAsia="zh-CN"/>
        </w:rPr>
        <w:t>13</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17</w:t>
      </w:r>
      <w:r>
        <w:rPr>
          <w:rFonts w:hint="eastAsia" w:ascii="仿宋" w:hAnsi="仿宋" w:eastAsia="仿宋" w:cs="宋体"/>
          <w:color w:val="auto"/>
          <w:sz w:val="24"/>
          <w:szCs w:val="24"/>
          <w:highlight w:val="none"/>
        </w:rPr>
        <w:t>时（北京时间，下同）。</w:t>
      </w:r>
    </w:p>
    <w:p>
      <w:pPr>
        <w:pStyle w:val="13"/>
        <w:spacing w:line="360" w:lineRule="auto"/>
        <w:ind w:firstLine="480" w:firstLineChars="200"/>
        <w:rPr>
          <w:rFonts w:hint="eastAsia" w:ascii="仿宋" w:hAnsi="仿宋" w:eastAsia="仿宋" w:cs="仿宋_GB2312"/>
          <w:color w:val="auto"/>
          <w:sz w:val="24"/>
          <w:szCs w:val="24"/>
          <w:highlight w:val="none"/>
          <w:lang w:eastAsia="zh-CN"/>
        </w:rPr>
      </w:pPr>
      <w:r>
        <w:rPr>
          <w:rFonts w:ascii="仿宋" w:hAnsi="仿宋" w:eastAsia="仿宋" w:cs="宋体"/>
          <w:color w:val="auto"/>
          <w:sz w:val="24"/>
          <w:highlight w:val="none"/>
        </w:rPr>
        <w:t>4</w:t>
      </w:r>
      <w:r>
        <w:rPr>
          <w:rFonts w:hint="eastAsia" w:ascii="仿宋" w:hAnsi="仿宋" w:eastAsia="仿宋" w:cs="宋体"/>
          <w:color w:val="auto"/>
          <w:sz w:val="24"/>
          <w:highlight w:val="none"/>
        </w:rPr>
        <w:t>.2拟报名参加本项目的供应商，请</w:t>
      </w:r>
      <w:r>
        <w:rPr>
          <w:rFonts w:hint="eastAsia" w:ascii="仿宋" w:hAnsi="仿宋" w:eastAsia="仿宋" w:cs="宋体"/>
          <w:color w:val="auto"/>
          <w:sz w:val="24"/>
          <w:highlight w:val="none"/>
          <w:lang w:val="en-US" w:eastAsia="zh-CN"/>
        </w:rPr>
        <w:t>通过“人保e采”外网门户</w:t>
      </w:r>
      <w:r>
        <w:rPr>
          <w:rFonts w:hint="eastAsia" w:ascii="仿宋" w:hAnsi="仿宋" w:eastAsia="仿宋" w:cs="宋体"/>
          <w:color w:val="auto"/>
          <w:sz w:val="24"/>
          <w:highlight w:val="none"/>
        </w:rPr>
        <w:t>申请获取</w:t>
      </w:r>
      <w:r>
        <w:rPr>
          <w:rFonts w:hint="eastAsia" w:ascii="仿宋" w:hAnsi="仿宋" w:eastAsia="仿宋" w:cs="宋体"/>
          <w:color w:val="auto"/>
          <w:sz w:val="24"/>
          <w:highlight w:val="none"/>
          <w:lang w:val="en-US" w:eastAsia="zh-CN"/>
        </w:rPr>
        <w:t>磋商</w:t>
      </w:r>
      <w:r>
        <w:rPr>
          <w:rFonts w:hint="eastAsia" w:ascii="仿宋" w:hAnsi="仿宋" w:eastAsia="仿宋" w:cs="宋体"/>
          <w:color w:val="auto"/>
          <w:sz w:val="24"/>
          <w:highlight w:val="none"/>
        </w:rPr>
        <w:t>文件</w:t>
      </w:r>
      <w:r>
        <w:rPr>
          <w:rFonts w:hint="eastAsia" w:ascii="仿宋" w:hAnsi="仿宋" w:eastAsia="仿宋" w:cs="宋体"/>
          <w:color w:val="auto"/>
          <w:sz w:val="24"/>
          <w:highlight w:val="none"/>
          <w:lang w:eastAsia="zh-CN"/>
        </w:rPr>
        <w:t>。</w:t>
      </w:r>
    </w:p>
    <w:p>
      <w:pPr>
        <w:pStyle w:val="4"/>
        <w:ind w:firstLine="0" w:firstLineChars="0"/>
        <w:jc w:val="left"/>
        <w:rPr>
          <w:rFonts w:hint="eastAsia" w:ascii="仿宋" w:hAnsi="仿宋" w:eastAsia="仿宋" w:cs="仿宋"/>
          <w:color w:val="000000"/>
          <w:sz w:val="24"/>
          <w:szCs w:val="24"/>
          <w:highlight w:val="none"/>
        </w:rPr>
      </w:pPr>
      <w:bookmarkStart w:id="13" w:name="_Toc32115"/>
      <w:r>
        <w:rPr>
          <w:rFonts w:hint="eastAsia" w:ascii="仿宋" w:hAnsi="仿宋" w:eastAsia="仿宋" w:cs="仿宋"/>
          <w:color w:val="000000"/>
          <w:sz w:val="24"/>
          <w:szCs w:val="24"/>
          <w:highlight w:val="none"/>
        </w:rPr>
        <w:t>五、响应文件的递交</w:t>
      </w:r>
      <w:bookmarkEnd w:id="13"/>
    </w:p>
    <w:p>
      <w:pPr>
        <w:spacing w:line="360" w:lineRule="auto"/>
        <w:ind w:firstLine="480" w:firstLineChars="200"/>
        <w:textAlignment w:val="baseline"/>
        <w:rPr>
          <w:rFonts w:hint="eastAsia" w:ascii="仿宋" w:hAnsi="仿宋" w:eastAsia="仿宋" w:cs="宋体"/>
          <w:color w:val="auto"/>
          <w:sz w:val="24"/>
          <w:highlight w:val="none"/>
        </w:rPr>
      </w:pPr>
      <w:r>
        <w:rPr>
          <w:rFonts w:ascii="仿宋" w:hAnsi="仿宋" w:eastAsia="仿宋" w:cs="宋体"/>
          <w:color w:val="000000"/>
          <w:sz w:val="24"/>
          <w:highlight w:val="none"/>
        </w:rPr>
        <w:t>5</w:t>
      </w:r>
      <w:r>
        <w:rPr>
          <w:rFonts w:hint="eastAsia" w:ascii="仿宋" w:hAnsi="仿宋" w:eastAsia="仿宋" w:cs="宋体"/>
          <w:color w:val="000000"/>
          <w:sz w:val="24"/>
          <w:highlight w:val="none"/>
        </w:rPr>
        <w:t>.1响应文件递交截止时间：</w:t>
      </w:r>
      <w:r>
        <w:rPr>
          <w:rFonts w:hint="eastAsia" w:ascii="仿宋" w:hAnsi="仿宋" w:eastAsia="仿宋" w:cs="宋体"/>
          <w:color w:val="auto"/>
          <w:sz w:val="24"/>
          <w:highlight w:val="none"/>
          <w:u w:val="single"/>
        </w:rPr>
        <w:t>20</w:t>
      </w:r>
      <w:r>
        <w:rPr>
          <w:rFonts w:hint="eastAsia" w:ascii="仿宋" w:hAnsi="仿宋" w:eastAsia="仿宋" w:cs="宋体"/>
          <w:color w:val="auto"/>
          <w:sz w:val="24"/>
          <w:highlight w:val="none"/>
          <w:u w:val="single"/>
          <w:lang w:val="en-US" w:eastAsia="zh-CN"/>
        </w:rPr>
        <w:t>26</w:t>
      </w:r>
      <w:r>
        <w:rPr>
          <w:rFonts w:hint="eastAsia" w:ascii="仿宋" w:hAnsi="仿宋" w:eastAsia="仿宋" w:cs="宋体"/>
          <w:color w:val="auto"/>
          <w:sz w:val="24"/>
          <w:highlight w:val="none"/>
          <w:u w:val="single"/>
        </w:rPr>
        <w:t>年</w:t>
      </w:r>
      <w:r>
        <w:rPr>
          <w:rFonts w:hint="eastAsia" w:ascii="仿宋" w:hAnsi="仿宋" w:eastAsia="仿宋" w:cs="宋体"/>
          <w:color w:val="auto"/>
          <w:sz w:val="24"/>
          <w:highlight w:val="none"/>
          <w:u w:val="single"/>
          <w:lang w:val="en-US" w:eastAsia="zh-CN"/>
        </w:rPr>
        <w:t>3</w:t>
      </w:r>
      <w:r>
        <w:rPr>
          <w:rFonts w:hint="eastAsia" w:ascii="仿宋" w:hAnsi="仿宋" w:eastAsia="仿宋" w:cs="宋体"/>
          <w:color w:val="auto"/>
          <w:sz w:val="24"/>
          <w:highlight w:val="none"/>
          <w:u w:val="single"/>
        </w:rPr>
        <w:t>月</w:t>
      </w:r>
      <w:r>
        <w:rPr>
          <w:rFonts w:hint="eastAsia" w:ascii="仿宋" w:hAnsi="仿宋" w:eastAsia="仿宋" w:cs="宋体"/>
          <w:color w:val="auto"/>
          <w:sz w:val="24"/>
          <w:highlight w:val="none"/>
          <w:u w:val="single"/>
          <w:lang w:val="en-US" w:eastAsia="zh-CN"/>
        </w:rPr>
        <w:t>20</w:t>
      </w:r>
      <w:r>
        <w:rPr>
          <w:rFonts w:hint="eastAsia" w:ascii="仿宋" w:hAnsi="仿宋" w:eastAsia="仿宋" w:cs="宋体"/>
          <w:color w:val="auto"/>
          <w:sz w:val="24"/>
          <w:highlight w:val="none"/>
          <w:u w:val="single"/>
        </w:rPr>
        <w:t>日</w:t>
      </w:r>
      <w:r>
        <w:rPr>
          <w:rFonts w:hint="eastAsia" w:ascii="仿宋" w:hAnsi="仿宋" w:eastAsia="仿宋" w:cs="宋体"/>
          <w:color w:val="auto"/>
          <w:sz w:val="24"/>
          <w:highlight w:val="none"/>
          <w:u w:val="single"/>
          <w:lang w:val="en-US" w:eastAsia="zh-CN"/>
        </w:rPr>
        <w:t>10</w:t>
      </w:r>
      <w:r>
        <w:rPr>
          <w:rFonts w:hint="eastAsia" w:ascii="仿宋" w:hAnsi="仿宋" w:eastAsia="仿宋" w:cs="宋体"/>
          <w:color w:val="auto"/>
          <w:sz w:val="24"/>
          <w:highlight w:val="none"/>
          <w:u w:val="single"/>
        </w:rPr>
        <w:t>时</w:t>
      </w:r>
      <w:r>
        <w:rPr>
          <w:rFonts w:hint="eastAsia" w:ascii="仿宋" w:hAnsi="仿宋" w:eastAsia="仿宋" w:cs="宋体"/>
          <w:color w:val="auto"/>
          <w:sz w:val="24"/>
          <w:highlight w:val="none"/>
          <w:u w:val="single"/>
          <w:lang w:val="en-US" w:eastAsia="zh-CN"/>
        </w:rPr>
        <w:t>00</w:t>
      </w:r>
      <w:r>
        <w:rPr>
          <w:rFonts w:hint="eastAsia" w:ascii="仿宋" w:hAnsi="仿宋" w:eastAsia="仿宋" w:cs="宋体"/>
          <w:color w:val="auto"/>
          <w:sz w:val="24"/>
          <w:highlight w:val="none"/>
          <w:u w:val="single"/>
        </w:rPr>
        <w:t>分00秒</w:t>
      </w:r>
      <w:r>
        <w:rPr>
          <w:rFonts w:hint="eastAsia" w:ascii="仿宋" w:hAnsi="仿宋" w:eastAsia="仿宋" w:cs="宋体"/>
          <w:color w:val="auto"/>
          <w:sz w:val="24"/>
          <w:highlight w:val="none"/>
        </w:rPr>
        <w:t>。</w:t>
      </w:r>
    </w:p>
    <w:p>
      <w:pPr>
        <w:spacing w:line="360" w:lineRule="auto"/>
        <w:ind w:firstLine="480" w:firstLineChars="200"/>
        <w:jc w:val="left"/>
        <w:textAlignment w:val="baseline"/>
        <w:rPr>
          <w:rFonts w:hint="eastAsia"/>
          <w:highlight w:val="none"/>
        </w:rPr>
      </w:pPr>
      <w:r>
        <w:rPr>
          <w:rFonts w:hint="eastAsia" w:ascii="仿宋" w:hAnsi="仿宋" w:eastAsia="仿宋" w:cs="宋体"/>
          <w:color w:val="000000"/>
          <w:sz w:val="24"/>
          <w:highlight w:val="none"/>
        </w:rPr>
        <w:t>5.2响应文件的递交：</w:t>
      </w:r>
      <w:r>
        <w:rPr>
          <w:rFonts w:hint="eastAsia" w:ascii="仿宋" w:hAnsi="仿宋" w:eastAsia="仿宋" w:cs="宋体"/>
          <w:color w:val="auto"/>
          <w:sz w:val="24"/>
          <w:highlight w:val="none"/>
        </w:rPr>
        <w:t>须现场递交至</w:t>
      </w:r>
      <w:r>
        <w:rPr>
          <w:rFonts w:hint="eastAsia" w:ascii="仿宋" w:hAnsi="仿宋" w:eastAsia="仿宋" w:cs="宋体"/>
          <w:color w:val="auto"/>
          <w:sz w:val="24"/>
          <w:highlight w:val="none"/>
          <w:lang w:val="en-US" w:eastAsia="zh-CN"/>
        </w:rPr>
        <w:t>吉林省长春市西安大路402号人保财险吉林省分公司11楼会议室</w:t>
      </w:r>
      <w:r>
        <w:rPr>
          <w:rFonts w:hint="eastAsia" w:ascii="仿宋" w:hAnsi="仿宋" w:eastAsia="仿宋" w:cs="宋体"/>
          <w:color w:val="000000"/>
          <w:sz w:val="24"/>
          <w:highlight w:val="none"/>
        </w:rPr>
        <w:t>，</w:t>
      </w:r>
      <w:r>
        <w:rPr>
          <w:rFonts w:hint="eastAsia" w:ascii="仿宋" w:hAnsi="仿宋" w:eastAsia="仿宋" w:cs="宋体"/>
          <w:b/>
          <w:bCs/>
          <w:color w:val="000000"/>
          <w:sz w:val="24"/>
          <w:highlight w:val="none"/>
        </w:rPr>
        <w:t>逾期送达或者未送达指定地点或者未按照磋商文件要求封装的纸质响应文件不予接收。</w:t>
      </w:r>
    </w:p>
    <w:p>
      <w:pPr>
        <w:spacing w:line="360" w:lineRule="auto"/>
        <w:ind w:firstLine="480" w:firstLineChars="200"/>
        <w:textAlignment w:val="baseline"/>
        <w:rPr>
          <w:rFonts w:hint="eastAsia" w:ascii="仿宋" w:hAnsi="仿宋" w:eastAsia="仿宋" w:cs="宋体"/>
          <w:b w:val="0"/>
          <w:bCs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5.3</w:t>
      </w:r>
      <w:r>
        <w:rPr>
          <w:rFonts w:hint="eastAsia" w:ascii="仿宋" w:hAnsi="仿宋" w:eastAsia="仿宋" w:cs="宋体"/>
          <w:b w:val="0"/>
          <w:bCs w:val="0"/>
          <w:color w:val="000000"/>
          <w:kern w:val="2"/>
          <w:sz w:val="24"/>
          <w:szCs w:val="24"/>
          <w:highlight w:val="none"/>
          <w:lang w:val="en-US" w:eastAsia="zh-CN" w:bidi="ar-SA"/>
        </w:rPr>
        <w:t>本项目将于上述同一时间、地点进行磋商，</w:t>
      </w:r>
      <w:r>
        <w:rPr>
          <w:rFonts w:hint="eastAsia" w:ascii="仿宋" w:hAnsi="仿宋" w:eastAsia="仿宋" w:cs="宋体"/>
          <w:b w:val="0"/>
          <w:bCs w:val="0"/>
          <w:color w:val="auto"/>
          <w:kern w:val="2"/>
          <w:sz w:val="24"/>
          <w:szCs w:val="24"/>
          <w:highlight w:val="none"/>
          <w:lang w:val="en-US" w:eastAsia="zh-CN" w:bidi="ar-SA"/>
        </w:rPr>
        <w:t>采购人/采购代理机构邀</w:t>
      </w:r>
      <w:r>
        <w:rPr>
          <w:rFonts w:hint="eastAsia" w:ascii="仿宋" w:hAnsi="仿宋" w:eastAsia="仿宋" w:cs="宋体"/>
          <w:b w:val="0"/>
          <w:bCs w:val="0"/>
          <w:color w:val="000000"/>
          <w:kern w:val="2"/>
          <w:sz w:val="24"/>
          <w:szCs w:val="24"/>
          <w:highlight w:val="none"/>
          <w:lang w:val="en-US" w:eastAsia="zh-CN" w:bidi="ar-SA"/>
        </w:rPr>
        <w:t>请供应商代表准时参加。</w:t>
      </w:r>
    </w:p>
    <w:p>
      <w:pPr>
        <w:spacing w:line="360" w:lineRule="auto"/>
        <w:ind w:firstLine="480" w:firstLineChars="200"/>
        <w:textAlignment w:val="baseline"/>
        <w:rPr>
          <w:rFonts w:hint="eastAsia" w:ascii="仿宋" w:hAnsi="仿宋" w:eastAsia="仿宋" w:cs="宋体"/>
          <w:b/>
          <w:bCs/>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5.4</w:t>
      </w:r>
      <w:r>
        <w:rPr>
          <w:rFonts w:hint="eastAsia" w:ascii="仿宋" w:hAnsi="仿宋" w:eastAsia="仿宋" w:cs="宋体"/>
          <w:b/>
          <w:bCs/>
          <w:color w:val="000000"/>
          <w:kern w:val="2"/>
          <w:sz w:val="24"/>
          <w:szCs w:val="24"/>
          <w:highlight w:val="none"/>
          <w:lang w:val="en-US" w:eastAsia="zh-CN" w:bidi="ar-SA"/>
        </w:rPr>
        <w:t>出现以下情形之一时，采购人不予接收投标文件：</w:t>
      </w:r>
    </w:p>
    <w:p>
      <w:pPr>
        <w:spacing w:line="360" w:lineRule="auto"/>
        <w:ind w:firstLine="480" w:firstLineChars="200"/>
        <w:textAlignment w:val="baseline"/>
        <w:rPr>
          <w:rFonts w:hint="eastAsia"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5.4.1  逾期送达或者未送达指定地点的；</w:t>
      </w:r>
    </w:p>
    <w:p>
      <w:pPr>
        <w:spacing w:line="360" w:lineRule="auto"/>
        <w:ind w:firstLine="480" w:firstLineChars="200"/>
        <w:textAlignment w:val="baseline"/>
        <w:rPr>
          <w:rFonts w:hint="eastAsia"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5.4.2  未按照响应文件要求密封的；</w:t>
      </w:r>
    </w:p>
    <w:p>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b w:val="0"/>
          <w:color w:val="000000"/>
          <w:kern w:val="2"/>
          <w:sz w:val="24"/>
          <w:szCs w:val="24"/>
          <w:highlight w:val="none"/>
          <w:lang w:val="en-US" w:eastAsia="zh-CN" w:bidi="ar-SA"/>
        </w:rPr>
        <w:t>5.4.3  未按照磋商公告要求获取磋商文件的。</w:t>
      </w:r>
    </w:p>
    <w:p>
      <w:pPr>
        <w:pStyle w:val="4"/>
        <w:ind w:firstLine="0" w:firstLineChars="0"/>
        <w:jc w:val="left"/>
        <w:rPr>
          <w:rFonts w:hint="eastAsia" w:ascii="仿宋" w:hAnsi="仿宋" w:eastAsia="仿宋" w:cs="仿宋"/>
          <w:color w:val="000000"/>
          <w:sz w:val="24"/>
          <w:szCs w:val="24"/>
          <w:highlight w:val="none"/>
        </w:rPr>
      </w:pPr>
      <w:bookmarkStart w:id="14" w:name="_Toc874"/>
      <w:r>
        <w:rPr>
          <w:rFonts w:hint="eastAsia" w:ascii="仿宋" w:hAnsi="仿宋" w:eastAsia="仿宋" w:cs="仿宋"/>
          <w:color w:val="000000"/>
          <w:sz w:val="24"/>
          <w:szCs w:val="24"/>
          <w:highlight w:val="none"/>
          <w:lang w:val="en-US" w:eastAsia="zh-CN"/>
        </w:rPr>
        <w:t>六</w:t>
      </w:r>
      <w:r>
        <w:rPr>
          <w:rFonts w:hint="eastAsia" w:ascii="仿宋" w:hAnsi="仿宋" w:eastAsia="仿宋" w:cs="仿宋"/>
          <w:color w:val="000000"/>
          <w:sz w:val="24"/>
          <w:szCs w:val="24"/>
          <w:highlight w:val="none"/>
        </w:rPr>
        <w:t>、发布公告的媒介</w:t>
      </w:r>
      <w:bookmarkEnd w:id="14"/>
    </w:p>
    <w:p>
      <w:pPr>
        <w:spacing w:line="360" w:lineRule="auto"/>
        <w:ind w:firstLine="480" w:firstLineChars="200"/>
        <w:textAlignment w:val="baseline"/>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本项目磋商公告在</w:t>
      </w:r>
      <w:r>
        <w:rPr>
          <w:rFonts w:hint="eastAsia" w:ascii="仿宋" w:hAnsi="仿宋" w:eastAsia="仿宋" w:cs="宋体"/>
          <w:color w:val="auto"/>
          <w:sz w:val="24"/>
          <w:highlight w:val="none"/>
          <w:u w:val="single"/>
        </w:rPr>
        <w:t>“人保e采”外网门户（https://ec.picc.com/）</w:t>
      </w:r>
      <w:r>
        <w:rPr>
          <w:rFonts w:hint="eastAsia" w:ascii="仿宋" w:hAnsi="仿宋" w:eastAsia="仿宋" w:cs="仿宋"/>
          <w:color w:val="auto"/>
          <w:sz w:val="24"/>
          <w:highlight w:val="none"/>
        </w:rPr>
        <w:t>上发布，</w:t>
      </w:r>
      <w:r>
        <w:rPr>
          <w:rFonts w:hint="eastAsia" w:ascii="仿宋" w:hAnsi="仿宋" w:eastAsia="仿宋" w:cs="宋体"/>
          <w:color w:val="auto"/>
          <w:sz w:val="24"/>
          <w:highlight w:val="none"/>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sz w:val="24"/>
          <w:highlight w:val="none"/>
        </w:rPr>
        <w:t>。对于非法转载、篡改采购公告信息的组织或个人，采购人保留追究其法律责任的权利。</w:t>
      </w:r>
    </w:p>
    <w:p>
      <w:pPr>
        <w:pStyle w:val="4"/>
        <w:ind w:firstLine="0" w:firstLineChars="0"/>
        <w:jc w:val="left"/>
        <w:rPr>
          <w:rFonts w:hint="eastAsia" w:ascii="仿宋" w:hAnsi="仿宋" w:eastAsia="仿宋" w:cs="仿宋"/>
          <w:color w:val="auto"/>
          <w:sz w:val="24"/>
          <w:szCs w:val="24"/>
          <w:highlight w:val="none"/>
        </w:rPr>
      </w:pPr>
      <w:bookmarkStart w:id="15" w:name="_Toc30596"/>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、联系方式</w:t>
      </w:r>
      <w:bookmarkEnd w:id="15"/>
    </w:p>
    <w:p>
      <w:pPr>
        <w:tabs>
          <w:tab w:val="left" w:pos="-105"/>
          <w:tab w:val="left" w:pos="420"/>
          <w:tab w:val="left" w:pos="630"/>
          <w:tab w:val="left" w:pos="1155"/>
          <w:tab w:val="left" w:pos="1890"/>
          <w:tab w:val="left" w:pos="3150"/>
          <w:tab w:val="left" w:pos="3780"/>
        </w:tabs>
        <w:spacing w:line="360" w:lineRule="auto"/>
        <w:ind w:firstLine="422" w:firstLineChars="175"/>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采购人：中国人民财产保险股份有限公司</w:t>
      </w:r>
      <w:r>
        <w:rPr>
          <w:rFonts w:hint="eastAsia" w:ascii="仿宋" w:hAnsi="仿宋" w:eastAsia="仿宋" w:cs="仿宋"/>
          <w:b/>
          <w:bCs/>
          <w:color w:val="auto"/>
          <w:sz w:val="24"/>
          <w:highlight w:val="none"/>
          <w:lang w:val="en-US" w:eastAsia="zh-CN"/>
        </w:rPr>
        <w:t>吉林省</w:t>
      </w:r>
      <w:r>
        <w:rPr>
          <w:rFonts w:hint="eastAsia" w:ascii="仿宋" w:hAnsi="仿宋" w:eastAsia="仿宋" w:cs="仿宋"/>
          <w:b/>
          <w:bCs/>
          <w:color w:val="auto"/>
          <w:sz w:val="24"/>
          <w:highlight w:val="none"/>
        </w:rPr>
        <w:t>分公司</w:t>
      </w:r>
    </w:p>
    <w:p>
      <w:pPr>
        <w:spacing w:line="360" w:lineRule="auto"/>
        <w:ind w:firstLine="420" w:firstLineChars="175"/>
        <w:jc w:val="left"/>
        <w:rPr>
          <w:rFonts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val="en-US" w:eastAsia="zh-CN"/>
        </w:rPr>
        <w:t>长春市西安大路402号</w:t>
      </w:r>
      <w:r>
        <w:rPr>
          <w:rFonts w:ascii="仿宋" w:hAnsi="仿宋" w:eastAsia="仿宋" w:cs="宋体"/>
          <w:color w:val="auto"/>
          <w:sz w:val="24"/>
          <w:highlight w:val="none"/>
        </w:rPr>
        <w:t xml:space="preserve"> </w:t>
      </w:r>
    </w:p>
    <w:p>
      <w:pPr>
        <w:spacing w:line="360" w:lineRule="auto"/>
        <w:ind w:firstLine="420" w:firstLineChars="175"/>
        <w:jc w:val="left"/>
        <w:rPr>
          <w:rFonts w:hint="default" w:ascii="仿宋" w:hAnsi="仿宋" w:eastAsia="仿宋" w:cs="仿宋"/>
          <w:color w:val="auto"/>
          <w:sz w:val="24"/>
          <w:highlight w:val="none"/>
          <w:lang w:val="en-US" w:eastAsia="zh-CN"/>
        </w:rPr>
      </w:pPr>
      <w:r>
        <w:rPr>
          <w:rFonts w:hint="eastAsia" w:ascii="仿宋" w:hAnsi="仿宋" w:eastAsia="仿宋" w:cs="宋体"/>
          <w:color w:val="auto"/>
          <w:sz w:val="24"/>
          <w:highlight w:val="none"/>
        </w:rPr>
        <w:t>联系人：</w:t>
      </w:r>
      <w:r>
        <w:rPr>
          <w:rFonts w:hint="eastAsia" w:ascii="仿宋" w:hAnsi="仿宋" w:eastAsia="仿宋" w:cs="宋体"/>
          <w:color w:val="auto"/>
          <w:sz w:val="24"/>
          <w:highlight w:val="none"/>
          <w:lang w:val="en-US" w:eastAsia="zh-CN"/>
        </w:rPr>
        <w:t>韩老师</w:t>
      </w:r>
    </w:p>
    <w:p>
      <w:pPr>
        <w:spacing w:line="360" w:lineRule="auto"/>
        <w:ind w:firstLine="420" w:firstLineChars="175"/>
        <w:jc w:val="left"/>
        <w:rPr>
          <w:rFonts w:hint="default" w:ascii="仿宋" w:hAnsi="仿宋" w:eastAsia="仿宋" w:cs="仿宋"/>
          <w:color w:val="auto"/>
          <w:sz w:val="24"/>
          <w:highlight w:val="none"/>
          <w:lang w:val="en-US" w:eastAsia="zh-CN"/>
        </w:rPr>
      </w:pPr>
      <w:r>
        <w:rPr>
          <w:rFonts w:hint="eastAsia" w:ascii="仿宋" w:hAnsi="仿宋" w:eastAsia="仿宋" w:cs="宋体"/>
          <w:color w:val="auto"/>
          <w:sz w:val="24"/>
          <w:highlight w:val="none"/>
        </w:rPr>
        <w:t>电话：</w:t>
      </w:r>
      <w:r>
        <w:rPr>
          <w:rFonts w:hint="eastAsia" w:ascii="仿宋" w:hAnsi="仿宋" w:eastAsia="仿宋" w:cs="宋体"/>
          <w:color w:val="auto"/>
          <w:sz w:val="24"/>
          <w:highlight w:val="none"/>
          <w:lang w:val="en-US" w:eastAsia="zh-CN"/>
        </w:rPr>
        <w:t>0431-889010174</w:t>
      </w:r>
    </w:p>
    <w:p>
      <w:pPr>
        <w:spacing w:line="360" w:lineRule="auto"/>
        <w:ind w:firstLine="420" w:firstLineChars="175"/>
        <w:jc w:val="left"/>
        <w:rPr>
          <w:rFonts w:ascii="仿宋" w:hAnsi="仿宋" w:eastAsia="仿宋" w:cs="仿宋"/>
          <w:color w:val="auto"/>
          <w:sz w:val="24"/>
          <w:highlight w:val="none"/>
        </w:rPr>
      </w:pPr>
      <w:r>
        <w:rPr>
          <w:rFonts w:hint="eastAsia" w:ascii="仿宋" w:hAnsi="仿宋" w:eastAsia="仿宋" w:cs="宋体"/>
          <w:color w:val="auto"/>
          <w:sz w:val="24"/>
          <w:highlight w:val="none"/>
        </w:rPr>
        <w:t>电子邮件：</w:t>
      </w:r>
      <w:r>
        <w:rPr>
          <w:rFonts w:hint="eastAsia" w:ascii="仿宋" w:hAnsi="仿宋" w:eastAsia="仿宋" w:cs="宋体"/>
          <w:color w:val="auto"/>
          <w:sz w:val="24"/>
          <w:highlight w:val="none"/>
          <w:lang w:val="en-US" w:eastAsia="zh-CN"/>
        </w:rPr>
        <w:t>hanliang10</w:t>
      </w:r>
      <w:r>
        <w:rPr>
          <w:rFonts w:hint="eastAsia" w:ascii="仿宋" w:hAnsi="仿宋" w:eastAsia="仿宋" w:cs="宋体"/>
          <w:color w:val="auto"/>
          <w:sz w:val="24"/>
          <w:highlight w:val="none"/>
        </w:rPr>
        <w:t>@</w:t>
      </w:r>
      <w:r>
        <w:rPr>
          <w:rFonts w:hint="eastAsia" w:ascii="仿宋" w:hAnsi="仿宋" w:eastAsia="仿宋" w:cs="宋体"/>
          <w:color w:val="auto"/>
          <w:sz w:val="24"/>
          <w:highlight w:val="none"/>
          <w:lang w:val="en-US" w:eastAsia="zh-CN"/>
        </w:rPr>
        <w:t>jil.picc.com.cn</w:t>
      </w:r>
    </w:p>
    <w:p>
      <w:pPr>
        <w:spacing w:line="360" w:lineRule="auto"/>
        <w:ind w:firstLine="480" w:firstLineChars="200"/>
        <w:jc w:val="right"/>
        <w:textAlignment w:val="baseline"/>
        <w:rPr>
          <w:rFonts w:hint="eastAsia" w:ascii="仿宋" w:hAnsi="仿宋" w:eastAsia="仿宋" w:cs="宋体"/>
          <w:color w:val="auto"/>
          <w:sz w:val="24"/>
          <w:highlight w:val="none"/>
        </w:rPr>
      </w:pPr>
    </w:p>
    <w:p>
      <w:pPr>
        <w:spacing w:line="360" w:lineRule="auto"/>
        <w:ind w:firstLine="480" w:firstLineChars="200"/>
        <w:jc w:val="right"/>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采购人：中国人民财产保险股份有限公司</w:t>
      </w:r>
      <w:r>
        <w:rPr>
          <w:rFonts w:hint="eastAsia" w:ascii="仿宋" w:hAnsi="仿宋" w:eastAsia="仿宋" w:cs="宋体"/>
          <w:color w:val="auto"/>
          <w:sz w:val="24"/>
          <w:highlight w:val="none"/>
          <w:lang w:val="en-US" w:eastAsia="zh-CN"/>
        </w:rPr>
        <w:t>吉林省</w:t>
      </w:r>
      <w:r>
        <w:rPr>
          <w:rFonts w:hint="eastAsia" w:ascii="仿宋" w:hAnsi="仿宋" w:eastAsia="仿宋" w:cs="宋体"/>
          <w:color w:val="auto"/>
          <w:sz w:val="24"/>
          <w:highlight w:val="none"/>
        </w:rPr>
        <w:t>分公司</w:t>
      </w:r>
    </w:p>
    <w:p>
      <w:pPr>
        <w:spacing w:line="360" w:lineRule="auto"/>
        <w:ind w:firstLine="480" w:firstLineChars="200"/>
        <w:jc w:val="right"/>
        <w:textAlignment w:val="baseline"/>
        <w:rPr>
          <w:color w:val="auto"/>
          <w:highlight w:val="none"/>
        </w:rPr>
      </w:pPr>
      <w:r>
        <w:rPr>
          <w:rFonts w:hint="eastAsia" w:ascii="仿宋" w:hAnsi="仿宋" w:eastAsia="仿宋" w:cs="宋体"/>
          <w:color w:val="auto"/>
          <w:sz w:val="24"/>
          <w:highlight w:val="none"/>
        </w:rPr>
        <w:t>202</w:t>
      </w:r>
      <w:r>
        <w:rPr>
          <w:rFonts w:hint="eastAsia" w:ascii="仿宋" w:hAnsi="仿宋" w:eastAsia="仿宋" w:cs="宋体"/>
          <w:color w:val="auto"/>
          <w:sz w:val="24"/>
          <w:highlight w:val="none"/>
          <w:lang w:val="en-US" w:eastAsia="zh-CN"/>
        </w:rPr>
        <w:t>6</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lang w:val="en-US" w:eastAsia="zh-CN"/>
        </w:rPr>
        <w:t>3</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lang w:val="en-US" w:eastAsia="zh-CN"/>
        </w:rPr>
        <w:t>12</w:t>
      </w:r>
      <w:r>
        <w:rPr>
          <w:rFonts w:hint="eastAsia" w:ascii="仿宋" w:hAnsi="仿宋" w:eastAsia="仿宋" w:cs="宋体"/>
          <w:color w:val="auto"/>
          <w:sz w:val="24"/>
          <w:highlight w:val="none"/>
        </w:rPr>
        <w:t>日</w:t>
      </w:r>
    </w:p>
    <w:p>
      <w:pPr>
        <w:spacing w:line="360" w:lineRule="auto"/>
        <w:ind w:firstLine="420" w:firstLineChars="200"/>
        <w:jc w:val="right"/>
        <w:textAlignment w:val="baseline"/>
        <w:rPr>
          <w:color w:val="FF0000"/>
          <w:highlight w:val="none"/>
        </w:rPr>
      </w:pPr>
    </w:p>
    <w:bookmarkEnd w:id="2"/>
    <w:bookmarkEnd w:id="3"/>
    <w:bookmarkEnd w:id="4"/>
    <w:bookmarkEnd w:id="5"/>
    <w:bookmarkEnd w:id="6"/>
    <w:bookmarkEnd w:id="7"/>
    <w:bookmarkEnd w:id="8"/>
    <w:p>
      <w:pPr>
        <w:pStyle w:val="3"/>
        <w:spacing w:before="0" w:after="0" w:line="360" w:lineRule="auto"/>
        <w:jc w:val="center"/>
        <w:rPr>
          <w:rFonts w:hint="eastAsia" w:ascii="仿宋" w:hAnsi="仿宋" w:eastAsia="仿宋" w:cs="仿宋"/>
          <w:color w:val="000000"/>
          <w:sz w:val="28"/>
          <w:szCs w:val="28"/>
          <w:highlight w:val="none"/>
        </w:rPr>
      </w:pPr>
      <w:bookmarkStart w:id="16" w:name="_Toc2797"/>
      <w:bookmarkStart w:id="17" w:name="_Toc1895"/>
      <w:bookmarkStart w:id="18" w:name="_Toc517281814"/>
      <w:bookmarkStart w:id="19" w:name="_Toc444891334"/>
      <w:bookmarkStart w:id="20" w:name="_Toc287600116"/>
      <w:bookmarkStart w:id="21" w:name="_Toc23165"/>
      <w:bookmarkStart w:id="22" w:name="_Toc17103"/>
      <w:r>
        <w:rPr>
          <w:rFonts w:ascii="仿宋" w:hAnsi="仿宋" w:eastAsia="仿宋" w:cs="仿宋"/>
          <w:color w:val="000000"/>
          <w:sz w:val="28"/>
          <w:szCs w:val="28"/>
          <w:highlight w:val="none"/>
        </w:rPr>
        <w:br w:type="page"/>
      </w:r>
      <w:bookmarkStart w:id="23" w:name="_Toc7018"/>
      <w:r>
        <w:rPr>
          <w:rFonts w:hint="eastAsia" w:ascii="仿宋" w:hAnsi="仿宋" w:eastAsia="仿宋" w:cs="仿宋"/>
          <w:color w:val="000000"/>
          <w:sz w:val="28"/>
          <w:szCs w:val="28"/>
          <w:highlight w:val="none"/>
        </w:rPr>
        <w:t>第二章 供应商须知</w:t>
      </w:r>
      <w:bookmarkEnd w:id="16"/>
      <w:bookmarkEnd w:id="17"/>
      <w:bookmarkEnd w:id="18"/>
      <w:bookmarkEnd w:id="19"/>
      <w:bookmarkEnd w:id="20"/>
      <w:bookmarkEnd w:id="21"/>
      <w:bookmarkEnd w:id="22"/>
      <w:bookmarkEnd w:id="23"/>
    </w:p>
    <w:p>
      <w:pPr>
        <w:pStyle w:val="4"/>
        <w:ind w:firstLine="0" w:firstLineChars="0"/>
        <w:jc w:val="left"/>
        <w:rPr>
          <w:rFonts w:hint="eastAsia" w:ascii="仿宋" w:hAnsi="仿宋" w:eastAsia="仿宋" w:cs="仿宋"/>
          <w:color w:val="000000"/>
          <w:sz w:val="24"/>
          <w:szCs w:val="24"/>
          <w:highlight w:val="none"/>
        </w:rPr>
      </w:pPr>
      <w:bookmarkStart w:id="24" w:name="_Toc32464"/>
      <w:bookmarkStart w:id="25" w:name="_Toc517281815"/>
      <w:bookmarkStart w:id="26" w:name="_Toc14477"/>
      <w:bookmarkStart w:id="27" w:name="_Toc444891335"/>
      <w:bookmarkStart w:id="28" w:name="_Toc27353"/>
      <w:bookmarkStart w:id="29" w:name="_Toc17721"/>
      <w:bookmarkStart w:id="30" w:name="_Toc29571"/>
      <w:bookmarkStart w:id="31" w:name="_Toc19783312"/>
      <w:bookmarkStart w:id="32" w:name="_Toc287600117"/>
      <w:r>
        <w:rPr>
          <w:rFonts w:hint="eastAsia" w:ascii="仿宋" w:hAnsi="仿宋" w:eastAsia="仿宋" w:cs="仿宋"/>
          <w:color w:val="000000"/>
          <w:sz w:val="24"/>
          <w:szCs w:val="24"/>
          <w:highlight w:val="none"/>
        </w:rPr>
        <w:t>一、供应商须知前附表</w:t>
      </w:r>
      <w:bookmarkEnd w:id="24"/>
      <w:bookmarkEnd w:id="25"/>
      <w:bookmarkEnd w:id="26"/>
      <w:bookmarkEnd w:id="27"/>
      <w:bookmarkEnd w:id="28"/>
      <w:bookmarkEnd w:id="29"/>
      <w:bookmarkEnd w:id="30"/>
      <w:bookmarkEnd w:id="31"/>
      <w:bookmarkEnd w:id="32"/>
    </w:p>
    <w:p>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本须知前附表是对供应商须知正文的具体补充和修改，如有矛盾，以本前附表为准。</w:t>
      </w:r>
    </w:p>
    <w:tbl>
      <w:tblPr>
        <w:tblStyle w:val="40"/>
        <w:tblW w:w="49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949"/>
        <w:gridCol w:w="1822"/>
        <w:gridCol w:w="7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469" w:hRule="atLeast"/>
          <w:tblHeader/>
          <w:jc w:val="center"/>
        </w:trPr>
        <w:tc>
          <w:tcPr>
            <w:tcW w:w="483" w:type="pct"/>
            <w:noWrap w:val="0"/>
            <w:vAlign w:val="center"/>
          </w:tcPr>
          <w:p>
            <w:pPr>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条款号</w:t>
            </w:r>
          </w:p>
        </w:tc>
        <w:tc>
          <w:tcPr>
            <w:tcW w:w="927" w:type="pct"/>
            <w:noWrap w:val="0"/>
            <w:vAlign w:val="center"/>
          </w:tcPr>
          <w:p>
            <w:pPr>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条款名称</w:t>
            </w:r>
          </w:p>
        </w:tc>
        <w:tc>
          <w:tcPr>
            <w:tcW w:w="3588" w:type="pct"/>
            <w:noWrap w:val="0"/>
            <w:vAlign w:val="center"/>
          </w:tcPr>
          <w:p>
            <w:pPr>
              <w:tabs>
                <w:tab w:val="left" w:pos="1180"/>
              </w:tabs>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546" w:hRule="atLeast"/>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采购范围</w:t>
            </w:r>
          </w:p>
        </w:tc>
        <w:tc>
          <w:tcPr>
            <w:tcW w:w="3588" w:type="pct"/>
            <w:noWrap w:val="0"/>
            <w:vAlign w:val="center"/>
          </w:tcPr>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第一章 竞争性磋商公告“一、项目概况与采购范围”</w:t>
            </w:r>
            <w:r>
              <w:rPr>
                <w:rFonts w:hint="eastAsia" w:ascii="仿宋" w:hAnsi="仿宋" w:eastAsia="仿宋" w:cs="仿宋"/>
                <w:color w:val="00000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资格审查方式及供应商应具备的资格条件</w:t>
            </w:r>
          </w:p>
        </w:tc>
        <w:tc>
          <w:tcPr>
            <w:tcW w:w="3588" w:type="pct"/>
            <w:noWrap w:val="0"/>
            <w:vAlign w:val="center"/>
          </w:tcPr>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宋体"/>
                <w:color w:val="auto"/>
                <w:highlight w:val="none"/>
              </w:rPr>
              <w:t>资格后审，</w:t>
            </w:r>
            <w:r>
              <w:rPr>
                <w:rFonts w:hint="eastAsia" w:ascii="仿宋" w:hAnsi="仿宋" w:eastAsia="仿宋" w:cs="仿宋"/>
                <w:color w:val="auto"/>
                <w:highlight w:val="none"/>
              </w:rPr>
              <w:t>详见</w:t>
            </w:r>
            <w:r>
              <w:rPr>
                <w:rFonts w:hint="eastAsia" w:ascii="仿宋" w:hAnsi="仿宋" w:eastAsia="仿宋" w:cs="仿宋"/>
                <w:color w:val="auto"/>
                <w:highlight w:val="none"/>
                <w:u w:val="single"/>
              </w:rPr>
              <w:t>第一章 竞争性磋商公告“二、供应商资格要求”</w:t>
            </w:r>
            <w:r>
              <w:rPr>
                <w:rFonts w:hint="eastAsia" w:ascii="仿宋" w:hAnsi="仿宋" w:eastAsia="仿宋" w:cs="仿宋"/>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spacing w:before="62" w:beforeLines="20" w:after="62" w:afterLines="20"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★磋商文件实质性要求的标识</w:t>
            </w:r>
          </w:p>
        </w:tc>
        <w:tc>
          <w:tcPr>
            <w:tcW w:w="3588" w:type="pct"/>
            <w:noWrap w:val="0"/>
            <w:vAlign w:val="center"/>
          </w:tcPr>
          <w:p>
            <w:pPr>
              <w:pStyle w:val="139"/>
              <w:topLinePunct/>
              <w:spacing w:before="62" w:beforeLines="20" w:after="62" w:afterLines="20" w:line="360" w:lineRule="auto"/>
              <w:rPr>
                <w:rFonts w:hint="eastAsia" w:ascii="仿宋" w:hAnsi="仿宋" w:eastAsia="仿宋" w:cs="Cambria Math"/>
                <w:b/>
                <w:color w:val="000000"/>
                <w:sz w:val="21"/>
                <w:szCs w:val="21"/>
                <w:highlight w:val="none"/>
              </w:rPr>
            </w:pPr>
            <w:r>
              <w:rPr>
                <w:rFonts w:hint="eastAsia" w:ascii="仿宋" w:hAnsi="仿宋" w:eastAsia="仿宋" w:cs="Cambria Math"/>
                <w:color w:val="000000"/>
                <w:sz w:val="21"/>
                <w:szCs w:val="21"/>
                <w:highlight w:val="none"/>
                <w:u w:val="single"/>
              </w:rPr>
              <w:t>磋商文件中标识“★”条款、注明“磋商响应将被否决”、“对其响应做否决处理”</w:t>
            </w:r>
            <w:r>
              <w:rPr>
                <w:rFonts w:hint="eastAsia" w:ascii="仿宋" w:hAnsi="仿宋" w:eastAsia="仿宋" w:cs="宋体"/>
                <w:color w:val="000000"/>
                <w:sz w:val="21"/>
                <w:szCs w:val="21"/>
                <w:highlight w:val="none"/>
                <w:u w:val="single"/>
              </w:rPr>
              <w:t>等</w:t>
            </w:r>
            <w:r>
              <w:rPr>
                <w:rFonts w:hint="eastAsia" w:ascii="仿宋" w:hAnsi="仿宋" w:eastAsia="仿宋" w:cs="Cambria Math"/>
                <w:color w:val="000000"/>
                <w:sz w:val="21"/>
                <w:szCs w:val="21"/>
                <w:highlight w:val="none"/>
                <w:u w:val="single"/>
              </w:rPr>
              <w:t>的条款</w:t>
            </w:r>
            <w:r>
              <w:rPr>
                <w:rFonts w:hint="eastAsia" w:ascii="仿宋" w:hAnsi="仿宋" w:eastAsia="仿宋" w:cs="Cambria Math"/>
                <w:color w:val="000000"/>
                <w:sz w:val="21"/>
                <w:szCs w:val="21"/>
                <w:highlight w:val="none"/>
              </w:rPr>
              <w:t>，均为实质性条款，</w:t>
            </w:r>
            <w:r>
              <w:rPr>
                <w:rFonts w:hint="eastAsia" w:ascii="仿宋" w:hAnsi="仿宋" w:eastAsia="仿宋" w:cs="宋体"/>
                <w:b/>
                <w:color w:val="000000"/>
                <w:sz w:val="21"/>
                <w:szCs w:val="21"/>
                <w:highlight w:val="none"/>
              </w:rPr>
              <w:t>不满足任意一项</w:t>
            </w:r>
            <w:r>
              <w:rPr>
                <w:rFonts w:hint="eastAsia" w:ascii="仿宋" w:hAnsi="仿宋" w:eastAsia="仿宋" w:cs="Cambria Math"/>
                <w:b/>
                <w:color w:val="000000"/>
                <w:sz w:val="21"/>
                <w:szCs w:val="21"/>
                <w:highlight w:val="none"/>
              </w:rPr>
              <w:t>实质性条款的响应将被否决。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供应商提出澄清的截止时间和方式</w:t>
            </w:r>
          </w:p>
        </w:tc>
        <w:tc>
          <w:tcPr>
            <w:tcW w:w="3588" w:type="pct"/>
            <w:noWrap w:val="0"/>
            <w:vAlign w:val="center"/>
          </w:tcPr>
          <w:p>
            <w:pPr>
              <w:pStyle w:val="139"/>
              <w:topLinePunct/>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b/>
                <w:color w:val="auto"/>
                <w:sz w:val="21"/>
                <w:szCs w:val="21"/>
                <w:highlight w:val="none"/>
              </w:rPr>
              <w:t>截止时间：</w:t>
            </w:r>
            <w:r>
              <w:rPr>
                <w:rFonts w:hint="eastAsia" w:ascii="仿宋" w:hAnsi="仿宋" w:eastAsia="仿宋" w:cs="宋体"/>
                <w:b/>
                <w:color w:val="auto"/>
                <w:sz w:val="21"/>
                <w:szCs w:val="21"/>
                <w:highlight w:val="none"/>
                <w:u w:val="single"/>
              </w:rPr>
              <w:t>202</w:t>
            </w:r>
            <w:r>
              <w:rPr>
                <w:rFonts w:hint="eastAsia" w:ascii="仿宋" w:hAnsi="仿宋" w:eastAsia="仿宋" w:cs="宋体"/>
                <w:b/>
                <w:color w:val="auto"/>
                <w:sz w:val="21"/>
                <w:szCs w:val="21"/>
                <w:highlight w:val="none"/>
                <w:u w:val="single"/>
                <w:lang w:val="en-US" w:eastAsia="zh-CN"/>
              </w:rPr>
              <w:t>6</w:t>
            </w:r>
            <w:r>
              <w:rPr>
                <w:rFonts w:hint="eastAsia" w:ascii="仿宋" w:hAnsi="仿宋" w:eastAsia="仿宋" w:cs="宋体"/>
                <w:b/>
                <w:color w:val="auto"/>
                <w:sz w:val="21"/>
                <w:szCs w:val="21"/>
                <w:highlight w:val="none"/>
                <w:u w:val="single"/>
              </w:rPr>
              <w:t>年</w:t>
            </w:r>
            <w:r>
              <w:rPr>
                <w:rFonts w:hint="eastAsia" w:ascii="仿宋" w:hAnsi="仿宋" w:eastAsia="仿宋" w:cs="宋体"/>
                <w:b/>
                <w:color w:val="auto"/>
                <w:sz w:val="21"/>
                <w:szCs w:val="21"/>
                <w:highlight w:val="none"/>
                <w:u w:val="single"/>
                <w:lang w:val="en-US" w:eastAsia="zh-CN"/>
              </w:rPr>
              <w:t>3</w:t>
            </w:r>
            <w:r>
              <w:rPr>
                <w:rFonts w:hint="eastAsia" w:ascii="仿宋" w:hAnsi="仿宋" w:eastAsia="仿宋" w:cs="宋体"/>
                <w:b/>
                <w:color w:val="auto"/>
                <w:sz w:val="21"/>
                <w:szCs w:val="21"/>
                <w:highlight w:val="none"/>
                <w:u w:val="single"/>
              </w:rPr>
              <w:t>月</w:t>
            </w:r>
            <w:r>
              <w:rPr>
                <w:rFonts w:hint="eastAsia" w:ascii="仿宋" w:hAnsi="仿宋" w:eastAsia="仿宋" w:cs="宋体"/>
                <w:b/>
                <w:color w:val="auto"/>
                <w:sz w:val="21"/>
                <w:szCs w:val="21"/>
                <w:highlight w:val="none"/>
                <w:u w:val="single"/>
                <w:lang w:val="en-US" w:eastAsia="zh-CN"/>
              </w:rPr>
              <w:t>19</w:t>
            </w:r>
            <w:bookmarkStart w:id="232" w:name="_GoBack"/>
            <w:bookmarkEnd w:id="232"/>
            <w:r>
              <w:rPr>
                <w:rFonts w:hint="eastAsia" w:ascii="仿宋" w:hAnsi="仿宋" w:eastAsia="仿宋" w:cs="宋体"/>
                <w:b/>
                <w:color w:val="auto"/>
                <w:sz w:val="21"/>
                <w:szCs w:val="21"/>
                <w:highlight w:val="none"/>
                <w:u w:val="single"/>
              </w:rPr>
              <w:t xml:space="preserve">日 </w:t>
            </w:r>
            <w:r>
              <w:rPr>
                <w:rFonts w:hint="eastAsia" w:ascii="仿宋" w:hAnsi="仿宋" w:eastAsia="仿宋" w:cs="宋体"/>
                <w:b/>
                <w:color w:val="auto"/>
                <w:sz w:val="21"/>
                <w:szCs w:val="21"/>
                <w:highlight w:val="none"/>
                <w:u w:val="single"/>
                <w:lang w:val="en-US" w:eastAsia="zh-CN"/>
              </w:rPr>
              <w:t>17</w:t>
            </w:r>
            <w:r>
              <w:rPr>
                <w:rFonts w:hint="eastAsia" w:ascii="仿宋" w:hAnsi="仿宋" w:eastAsia="仿宋" w:cs="宋体"/>
                <w:b/>
                <w:color w:val="auto"/>
                <w:sz w:val="21"/>
                <w:szCs w:val="21"/>
                <w:highlight w:val="none"/>
                <w:u w:val="single"/>
              </w:rPr>
              <w:t xml:space="preserve">时 </w:t>
            </w:r>
            <w:r>
              <w:rPr>
                <w:rFonts w:hint="eastAsia" w:ascii="仿宋" w:hAnsi="仿宋" w:eastAsia="仿宋" w:cs="宋体"/>
                <w:b/>
                <w:color w:val="auto"/>
                <w:sz w:val="21"/>
                <w:szCs w:val="21"/>
                <w:highlight w:val="none"/>
                <w:u w:val="single"/>
                <w:lang w:val="en-US" w:eastAsia="zh-CN"/>
              </w:rPr>
              <w:t>00</w:t>
            </w:r>
            <w:r>
              <w:rPr>
                <w:rFonts w:hint="eastAsia" w:ascii="仿宋" w:hAnsi="仿宋" w:eastAsia="仿宋" w:cs="宋体"/>
                <w:b/>
                <w:color w:val="auto"/>
                <w:sz w:val="21"/>
                <w:szCs w:val="21"/>
                <w:highlight w:val="none"/>
                <w:u w:val="single"/>
              </w:rPr>
              <w:t>分</w:t>
            </w:r>
            <w:r>
              <w:rPr>
                <w:rFonts w:hint="eastAsia" w:ascii="仿宋" w:hAnsi="仿宋" w:eastAsia="仿宋" w:cs="宋体"/>
                <w:b/>
                <w:color w:val="auto"/>
                <w:sz w:val="21"/>
                <w:szCs w:val="21"/>
                <w:highlight w:val="none"/>
              </w:rPr>
              <w:t>（北京时间）。</w:t>
            </w:r>
          </w:p>
          <w:p>
            <w:pPr>
              <w:pStyle w:val="149"/>
              <w:spacing w:before="62" w:beforeLines="20" w:after="62" w:afterLines="20" w:line="360" w:lineRule="auto"/>
              <w:rPr>
                <w:rFonts w:hint="eastAsia" w:ascii="仿宋" w:hAnsi="仿宋" w:eastAsia="仿宋" w:cs="宋体"/>
                <w:color w:val="auto"/>
                <w:sz w:val="21"/>
                <w:szCs w:val="21"/>
                <w:highlight w:val="none"/>
                <w:lang w:val="en-US" w:eastAsia="zh-CN"/>
              </w:rPr>
            </w:pPr>
            <w:r>
              <w:rPr>
                <w:rFonts w:hint="eastAsia" w:ascii="仿宋" w:hAnsi="仿宋" w:eastAsia="仿宋" w:cs="宋体"/>
                <w:color w:val="auto"/>
                <w:sz w:val="21"/>
                <w:szCs w:val="21"/>
                <w:highlight w:val="none"/>
              </w:rPr>
              <w:t>提出澄清的方式：书面方式</w:t>
            </w:r>
            <w:r>
              <w:rPr>
                <w:rFonts w:hint="eastAsia" w:ascii="仿宋" w:hAnsi="仿宋" w:eastAsia="仿宋"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供应商确认收到澄清或修改的截止时间和方式</w:t>
            </w:r>
          </w:p>
        </w:tc>
        <w:tc>
          <w:tcPr>
            <w:tcW w:w="3588" w:type="pct"/>
            <w:noWrap w:val="0"/>
            <w:vAlign w:val="center"/>
          </w:tcPr>
          <w:p>
            <w:pPr>
              <w:spacing w:line="360" w:lineRule="auto"/>
              <w:rPr>
                <w:rFonts w:hint="eastAsia" w:ascii="仿宋" w:hAnsi="仿宋" w:eastAsia="仿宋" w:cs="宋体"/>
                <w:b w:val="0"/>
                <w:bCs/>
                <w:color w:val="auto"/>
                <w:szCs w:val="21"/>
                <w:highlight w:val="none"/>
              </w:rPr>
            </w:pPr>
            <w:r>
              <w:rPr>
                <w:rFonts w:hint="eastAsia" w:ascii="仿宋" w:hAnsi="仿宋" w:eastAsia="仿宋" w:cs="宋体"/>
                <w:b/>
                <w:color w:val="auto"/>
                <w:szCs w:val="21"/>
                <w:highlight w:val="none"/>
              </w:rPr>
              <w:t>确认收到澄清或修改的时间：</w:t>
            </w:r>
            <w:r>
              <w:rPr>
                <w:rFonts w:hint="eastAsia" w:ascii="仿宋" w:hAnsi="仿宋" w:eastAsia="仿宋" w:cs="宋体"/>
                <w:b w:val="0"/>
                <w:bCs/>
                <w:color w:val="auto"/>
                <w:szCs w:val="21"/>
                <w:highlight w:val="none"/>
                <w:u w:val="single"/>
              </w:rPr>
              <w:t>收到</w:t>
            </w:r>
            <w:r>
              <w:rPr>
                <w:rFonts w:hint="eastAsia" w:ascii="仿宋" w:hAnsi="仿宋" w:eastAsia="仿宋" w:cs="宋体"/>
                <w:b w:val="0"/>
                <w:bCs/>
                <w:color w:val="auto"/>
                <w:szCs w:val="21"/>
                <w:highlight w:val="none"/>
                <w:u w:val="single"/>
                <w:lang w:val="en-US" w:eastAsia="zh-CN"/>
              </w:rPr>
              <w:t>磋商</w:t>
            </w:r>
            <w:r>
              <w:rPr>
                <w:rFonts w:hint="eastAsia" w:ascii="仿宋" w:hAnsi="仿宋" w:eastAsia="仿宋" w:cs="宋体"/>
                <w:b w:val="0"/>
                <w:bCs/>
                <w:color w:val="auto"/>
                <w:szCs w:val="21"/>
                <w:highlight w:val="none"/>
                <w:u w:val="single"/>
              </w:rPr>
              <w:t>文件澄清或修改通知后</w:t>
            </w:r>
            <w:r>
              <w:rPr>
                <w:rFonts w:hint="eastAsia" w:ascii="仿宋" w:hAnsi="仿宋" w:eastAsia="仿宋" w:cs="宋体"/>
                <w:b w:val="0"/>
                <w:bCs/>
                <w:color w:val="auto"/>
                <w:szCs w:val="21"/>
                <w:highlight w:val="none"/>
                <w:u w:val="single"/>
                <w:lang w:val="en-US" w:eastAsia="zh-CN"/>
              </w:rPr>
              <w:t>3</w:t>
            </w:r>
            <w:r>
              <w:rPr>
                <w:rFonts w:hint="eastAsia" w:ascii="仿宋" w:hAnsi="仿宋" w:eastAsia="仿宋" w:cs="宋体"/>
                <w:b w:val="0"/>
                <w:bCs/>
                <w:color w:val="auto"/>
                <w:szCs w:val="21"/>
                <w:highlight w:val="none"/>
                <w:u w:val="single"/>
              </w:rPr>
              <w:t>个工作日内。</w:t>
            </w:r>
          </w:p>
          <w:p>
            <w:pPr>
              <w:spacing w:line="360" w:lineRule="auto"/>
              <w:rPr>
                <w:rFonts w:hint="eastAsia" w:ascii="仿宋" w:hAnsi="仿宋" w:eastAsia="仿宋" w:cs="宋体"/>
                <w:color w:val="auto"/>
                <w:szCs w:val="21"/>
                <w:highlight w:val="none"/>
              </w:rPr>
            </w:pPr>
            <w:r>
              <w:rPr>
                <w:rFonts w:hint="eastAsia" w:ascii="仿宋" w:hAnsi="仿宋" w:eastAsia="仿宋" w:cs="宋体"/>
                <w:color w:val="auto"/>
                <w:szCs w:val="21"/>
                <w:highlight w:val="none"/>
              </w:rPr>
              <w:t>确认收到澄清或修改文件的方式：</w:t>
            </w:r>
            <w:r>
              <w:rPr>
                <w:rFonts w:hint="eastAsia" w:ascii="仿宋" w:hAnsi="仿宋" w:eastAsia="仿宋" w:cs="宋体"/>
                <w:color w:val="auto"/>
                <w:sz w:val="21"/>
                <w:szCs w:val="21"/>
                <w:highlight w:val="none"/>
              </w:rPr>
              <w:t>书面方式</w:t>
            </w:r>
            <w:r>
              <w:rPr>
                <w:rFonts w:hint="eastAsia" w:ascii="仿宋" w:hAnsi="仿宋" w:eastAsia="仿宋"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响应文件的组成</w:t>
            </w:r>
          </w:p>
        </w:tc>
        <w:tc>
          <w:tcPr>
            <w:tcW w:w="3588" w:type="pct"/>
            <w:noWrap w:val="0"/>
            <w:vAlign w:val="center"/>
          </w:tcPr>
          <w:p>
            <w:pPr>
              <w:pStyle w:val="149"/>
              <w:spacing w:before="62" w:beforeLines="20" w:after="62" w:afterLines="20" w:line="276"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响应文件按照以下架构分成三册并顺序编制：</w:t>
            </w:r>
          </w:p>
          <w:p>
            <w:pPr>
              <w:pStyle w:val="156"/>
              <w:spacing w:before="62" w:beforeLines="20" w:after="62" w:afterLines="20" w:line="276" w:lineRule="auto"/>
              <w:rPr>
                <w:rFonts w:hint="eastAsia" w:ascii="仿宋" w:hAnsi="仿宋" w:eastAsia="仿宋" w:cs="仿宋"/>
                <w:b/>
                <w:color w:val="000000"/>
                <w:highlight w:val="none"/>
              </w:rPr>
            </w:pPr>
            <w:r>
              <w:rPr>
                <w:rFonts w:hint="eastAsia" w:ascii="仿宋" w:hAnsi="仿宋" w:eastAsia="仿宋" w:cs="仿宋"/>
                <w:b/>
                <w:color w:val="000000"/>
                <w:highlight w:val="none"/>
              </w:rPr>
              <w:t>一、商务文件</w:t>
            </w:r>
          </w:p>
          <w:p>
            <w:pPr>
              <w:autoSpaceDE w:val="0"/>
              <w:autoSpaceDN w:val="0"/>
              <w:spacing w:line="276"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初步评审索引表</w:t>
            </w:r>
          </w:p>
          <w:p>
            <w:pPr>
              <w:autoSpaceDE w:val="0"/>
              <w:autoSpaceDN w:val="0"/>
              <w:spacing w:line="276" w:lineRule="auto"/>
            </w:pPr>
            <w:r>
              <w:rPr>
                <w:rFonts w:hint="eastAsia" w:ascii="仿宋" w:hAnsi="仿宋" w:eastAsia="仿宋" w:cs="仿宋"/>
                <w:b/>
                <w:color w:val="000000"/>
                <w:szCs w:val="21"/>
                <w:highlight w:val="none"/>
              </w:rPr>
              <w:t>详细评审索引表</w:t>
            </w:r>
          </w:p>
          <w:p>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（一）响应函</w:t>
            </w:r>
          </w:p>
          <w:p>
            <w:pPr>
              <w:pStyle w:val="149"/>
              <w:spacing w:before="62" w:beforeLines="20" w:after="62" w:afterLines="2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（二）法定代表人（负责人）身份证明</w:t>
            </w:r>
          </w:p>
          <w:p>
            <w:pPr>
              <w:pStyle w:val="149"/>
              <w:spacing w:before="62" w:beforeLines="20" w:after="62" w:afterLines="2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（三）法定代表人（负责人）授权委托书</w:t>
            </w:r>
          </w:p>
          <w:p>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（四）资格证明文件</w:t>
            </w:r>
          </w:p>
          <w:p>
            <w:pPr>
              <w:pStyle w:val="149"/>
              <w:spacing w:before="62" w:beforeLines="20" w:after="62" w:afterLines="20"/>
              <w:rPr>
                <w:rFonts w:hint="eastAsia" w:ascii="仿宋" w:hAnsi="仿宋" w:eastAsia="仿宋" w:cs="仿宋"/>
                <w:color w:val="000000"/>
                <w:highlight w:val="none"/>
              </w:rPr>
            </w:pPr>
            <w:r>
              <w:rPr>
                <w:rFonts w:hint="eastAsia" w:ascii="仿宋" w:hAnsi="仿宋" w:eastAsia="仿宋" w:cs="宋体"/>
                <w:color w:val="000000"/>
                <w:sz w:val="21"/>
                <w:szCs w:val="21"/>
                <w:highlight w:val="none"/>
              </w:rPr>
              <w:t>（五）供应商须知应答偏离表</w:t>
            </w:r>
          </w:p>
          <w:p>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（六）合同条款应答偏离表</w:t>
            </w:r>
          </w:p>
          <w:p>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（七）供应商行为准则承诺书</w:t>
            </w:r>
          </w:p>
          <w:p>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宋体"/>
                <w:color w:val="000000"/>
                <w:highlight w:val="none"/>
              </w:rPr>
              <w:t>（八）供应商廉洁诚信承诺书</w:t>
            </w:r>
          </w:p>
          <w:p>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（九）其他材料</w:t>
            </w:r>
            <w:r>
              <w:rPr>
                <w:rFonts w:hint="eastAsia" w:ascii="仿宋" w:hAnsi="仿宋" w:eastAsia="仿宋" w:cs="宋体"/>
                <w:color w:val="000000"/>
                <w:sz w:val="21"/>
                <w:szCs w:val="21"/>
                <w:highlight w:val="none"/>
              </w:rPr>
              <w:t>（如有）</w:t>
            </w:r>
          </w:p>
          <w:p>
            <w:pPr>
              <w:autoSpaceDE w:val="0"/>
              <w:autoSpaceDN w:val="0"/>
              <w:spacing w:line="276"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二、技术文件</w:t>
            </w:r>
          </w:p>
          <w:p>
            <w:pPr>
              <w:autoSpaceDE w:val="0"/>
              <w:autoSpaceDN w:val="0"/>
              <w:spacing w:line="276" w:lineRule="auto"/>
              <w:rPr>
                <w:rFonts w:ascii="仿宋" w:hAnsi="仿宋" w:eastAsia="仿宋" w:cs="仿宋"/>
                <w:b/>
                <w:color w:val="000000"/>
                <w:szCs w:val="21"/>
                <w:highlight w:val="none"/>
              </w:rPr>
            </w:pPr>
            <w:r>
              <w:rPr>
                <w:rFonts w:hint="eastAsia" w:ascii="仿宋" w:hAnsi="仿宋" w:eastAsia="仿宋" w:cs="仿宋"/>
                <w:b/>
                <w:color w:val="000000"/>
                <w:szCs w:val="21"/>
                <w:highlight w:val="none"/>
              </w:rPr>
              <w:t>详细评审索引表</w:t>
            </w:r>
          </w:p>
          <w:p>
            <w:pPr>
              <w:autoSpaceDE w:val="0"/>
              <w:autoSpaceDN w:val="0"/>
              <w:spacing w:line="276"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（一）采购需求应答偏离表</w:t>
            </w:r>
          </w:p>
          <w:p>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（二）技术方案</w:t>
            </w:r>
          </w:p>
          <w:p>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（三）其他材料</w:t>
            </w:r>
            <w:r>
              <w:rPr>
                <w:rFonts w:hint="eastAsia" w:ascii="仿宋" w:hAnsi="仿宋" w:eastAsia="仿宋" w:cs="宋体"/>
                <w:color w:val="000000"/>
                <w:sz w:val="21"/>
                <w:szCs w:val="21"/>
                <w:highlight w:val="none"/>
              </w:rPr>
              <w:t>（如有）</w:t>
            </w:r>
          </w:p>
          <w:p>
            <w:pPr>
              <w:autoSpaceDE w:val="0"/>
              <w:autoSpaceDN w:val="0"/>
              <w:spacing w:line="276"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三、报价文件</w:t>
            </w:r>
          </w:p>
          <w:p>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（一）报价一览表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响应文件的递交</w:t>
            </w:r>
          </w:p>
        </w:tc>
        <w:tc>
          <w:tcPr>
            <w:tcW w:w="3588" w:type="pct"/>
            <w:noWrap w:val="0"/>
            <w:vAlign w:val="center"/>
          </w:tcPr>
          <w:p>
            <w:pPr>
              <w:autoSpaceDE w:val="0"/>
              <w:autoSpaceDN w:val="0"/>
              <w:spacing w:line="360" w:lineRule="auto"/>
              <w:rPr>
                <w:rFonts w:hint="eastAsia" w:ascii="仿宋" w:hAnsi="仿宋" w:eastAsia="仿宋" w:cs="宋体"/>
                <w:bCs/>
                <w:color w:val="000000"/>
                <w:szCs w:val="21"/>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第一章 竞争性磋商公告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w:t>
            </w:r>
            <w:r>
              <w:rPr>
                <w:rFonts w:hint="eastAsia" w:ascii="仿宋" w:hAnsi="仿宋" w:eastAsia="仿宋" w:cs="宋体"/>
                <w:color w:val="000000"/>
                <w:szCs w:val="21"/>
                <w:highlight w:val="none"/>
              </w:rPr>
              <w:t>响应文件的盖章或签字要求</w:t>
            </w:r>
          </w:p>
        </w:tc>
        <w:tc>
          <w:tcPr>
            <w:tcW w:w="3588" w:type="pct"/>
            <w:noWrap w:val="0"/>
            <w:vAlign w:val="center"/>
          </w:tcPr>
          <w:p>
            <w:pPr>
              <w:pStyle w:val="139"/>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（1）《法定代表人（负责人）身份证明》的落款处应加盖公章。</w:t>
            </w:r>
          </w:p>
          <w:p>
            <w:pPr>
              <w:pStyle w:val="139"/>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（2）《法定代表人（负责人）授权委托书》的落款处应加盖公章</w:t>
            </w:r>
            <w:r>
              <w:rPr>
                <w:rFonts w:hint="eastAsia" w:ascii="仿宋" w:hAnsi="仿宋" w:eastAsia="仿宋" w:cs="宋体"/>
                <w:b/>
                <w:color w:val="000000"/>
                <w:sz w:val="21"/>
                <w:szCs w:val="21"/>
                <w:highlight w:val="none"/>
              </w:rPr>
              <w:t>并由</w:t>
            </w:r>
            <w:r>
              <w:rPr>
                <w:rFonts w:hint="eastAsia" w:ascii="仿宋" w:hAnsi="仿宋" w:eastAsia="仿宋" w:cs="宋体"/>
                <w:color w:val="000000"/>
                <w:sz w:val="21"/>
                <w:szCs w:val="21"/>
                <w:highlight w:val="none"/>
              </w:rPr>
              <w:t>法定代表人（负责人）</w:t>
            </w:r>
            <w:r>
              <w:rPr>
                <w:rFonts w:hint="eastAsia" w:ascii="仿宋" w:hAnsi="仿宋" w:eastAsia="仿宋" w:cs="宋体"/>
                <w:b/>
                <w:color w:val="000000"/>
                <w:sz w:val="21"/>
                <w:szCs w:val="21"/>
                <w:highlight w:val="none"/>
              </w:rPr>
              <w:t>和</w:t>
            </w:r>
            <w:r>
              <w:rPr>
                <w:rFonts w:hint="eastAsia" w:ascii="仿宋" w:hAnsi="仿宋" w:eastAsia="仿宋" w:cs="宋体"/>
                <w:color w:val="000000"/>
                <w:sz w:val="21"/>
                <w:szCs w:val="21"/>
                <w:highlight w:val="none"/>
              </w:rPr>
              <w:t>其委托代理人</w:t>
            </w:r>
            <w:r>
              <w:rPr>
                <w:rFonts w:hint="eastAsia" w:ascii="仿宋" w:hAnsi="仿宋" w:eastAsia="仿宋" w:cs="宋体"/>
                <w:b/>
                <w:color w:val="000000"/>
                <w:sz w:val="21"/>
                <w:szCs w:val="21"/>
                <w:highlight w:val="none"/>
              </w:rPr>
              <w:t>双方</w:t>
            </w:r>
            <w:r>
              <w:rPr>
                <w:rFonts w:hint="eastAsia" w:ascii="仿宋" w:hAnsi="仿宋" w:eastAsia="仿宋" w:cs="宋体"/>
                <w:color w:val="000000"/>
                <w:sz w:val="21"/>
                <w:szCs w:val="21"/>
                <w:highlight w:val="none"/>
              </w:rPr>
              <w:t>签字。</w:t>
            </w:r>
          </w:p>
          <w:p>
            <w:pPr>
              <w:pStyle w:val="139"/>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（3）响应文件格式中其他有落款的文件，</w:t>
            </w:r>
            <w:r>
              <w:rPr>
                <w:rFonts w:hint="eastAsia" w:ascii="仿宋" w:hAnsi="仿宋" w:eastAsia="仿宋" w:cs="宋体"/>
                <w:b/>
                <w:color w:val="000000"/>
                <w:sz w:val="21"/>
                <w:szCs w:val="21"/>
                <w:highlight w:val="none"/>
              </w:rPr>
              <w:t>均需</w:t>
            </w:r>
            <w:r>
              <w:rPr>
                <w:rFonts w:hint="eastAsia" w:ascii="仿宋" w:hAnsi="仿宋" w:eastAsia="仿宋" w:cs="宋体"/>
                <w:color w:val="000000"/>
                <w:sz w:val="21"/>
                <w:szCs w:val="21"/>
                <w:highlight w:val="none"/>
              </w:rPr>
              <w:t>加盖公章。</w:t>
            </w:r>
          </w:p>
          <w:p>
            <w:pPr>
              <w:pStyle w:val="139"/>
              <w:topLinePunct/>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000000"/>
                <w:sz w:val="21"/>
                <w:szCs w:val="21"/>
                <w:highlight w:val="none"/>
              </w:rPr>
              <w:t>（4）响应文件的所有签字处均指手写签字</w:t>
            </w:r>
            <w:r>
              <w:rPr>
                <w:rFonts w:hint="eastAsia" w:ascii="仿宋" w:hAnsi="仿宋" w:eastAsia="仿宋" w:cs="宋体"/>
                <w:b/>
                <w:color w:val="000000"/>
                <w:sz w:val="21"/>
                <w:szCs w:val="21"/>
                <w:highlight w:val="none"/>
              </w:rPr>
              <w:t>或</w:t>
            </w:r>
            <w:r>
              <w:rPr>
                <w:rFonts w:hint="eastAsia" w:ascii="仿宋" w:hAnsi="仿宋" w:eastAsia="仿宋" w:cs="宋体"/>
                <w:color w:val="000000"/>
                <w:sz w:val="21"/>
                <w:szCs w:val="21"/>
                <w:highlight w:val="none"/>
              </w:rPr>
              <w:t>签名章/印章</w:t>
            </w:r>
            <w:r>
              <w:rPr>
                <w:rFonts w:hint="eastAsia" w:ascii="仿宋" w:hAnsi="仿宋" w:eastAsia="仿宋" w:cs="宋体"/>
                <w:b/>
                <w:bCs/>
                <w:color w:val="000000"/>
                <w:sz w:val="21"/>
                <w:szCs w:val="21"/>
                <w:highlight w:val="none"/>
              </w:rPr>
              <w:t>或</w:t>
            </w:r>
            <w:r>
              <w:rPr>
                <w:rFonts w:hint="eastAsia" w:ascii="仿宋" w:hAnsi="仿宋" w:eastAsia="仿宋" w:cs="宋体"/>
                <w:color w:val="000000"/>
                <w:sz w:val="21"/>
                <w:szCs w:val="21"/>
                <w:highlight w:val="none"/>
              </w:rPr>
              <w:t>CA签名章，</w:t>
            </w:r>
            <w:r>
              <w:rPr>
                <w:rFonts w:hint="eastAsia" w:ascii="仿宋" w:hAnsi="仿宋" w:eastAsia="仿宋" w:cs="宋体"/>
                <w:b/>
                <w:color w:val="000000"/>
                <w:sz w:val="21"/>
                <w:szCs w:val="21"/>
                <w:highlight w:val="none"/>
              </w:rPr>
              <w:t>不得</w:t>
            </w:r>
            <w:r>
              <w:rPr>
                <w:rFonts w:hint="eastAsia" w:ascii="仿宋" w:hAnsi="仿宋" w:eastAsia="仿宋" w:cs="宋体"/>
                <w:color w:val="000000"/>
                <w:sz w:val="21"/>
                <w:szCs w:val="21"/>
                <w:highlight w:val="none"/>
              </w:rPr>
              <w:t>以打印体代替。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磋商响应报价</w:t>
            </w:r>
          </w:p>
        </w:tc>
        <w:tc>
          <w:tcPr>
            <w:tcW w:w="3588" w:type="pct"/>
            <w:noWrap w:val="0"/>
            <w:vAlign w:val="center"/>
          </w:tcPr>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1）供应商应结合自身实力与经验、市场价格竞争及合同实施风险等因素进行综合考虑进行报价。</w:t>
            </w:r>
          </w:p>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2）磋商小组将视磋商情况决定是否进行多轮次报价，供应商</w:t>
            </w:r>
            <w:r>
              <w:rPr>
                <w:rFonts w:hint="eastAsia" w:ascii="仿宋" w:hAnsi="仿宋" w:eastAsia="仿宋" w:cs="仿宋"/>
                <w:color w:val="000000"/>
                <w:highlight w:val="none"/>
                <w:u w:val="single"/>
              </w:rPr>
              <w:t>最后一轮磋商提交的报价</w:t>
            </w:r>
            <w:r>
              <w:rPr>
                <w:rFonts w:hint="eastAsia" w:ascii="仿宋" w:hAnsi="仿宋" w:eastAsia="仿宋" w:cs="仿宋"/>
                <w:color w:val="000000"/>
                <w:highlight w:val="none"/>
              </w:rPr>
              <w:t>将作为该供应商的</w:t>
            </w:r>
            <w:r>
              <w:rPr>
                <w:rFonts w:hint="eastAsia" w:ascii="仿宋" w:hAnsi="仿宋" w:eastAsia="仿宋" w:cs="仿宋"/>
                <w:b/>
                <w:bCs/>
                <w:color w:val="000000"/>
                <w:highlight w:val="none"/>
              </w:rPr>
              <w:t>最终报价</w:t>
            </w:r>
            <w:r>
              <w:rPr>
                <w:rFonts w:hint="eastAsia" w:ascii="仿宋" w:hAnsi="仿宋" w:eastAsia="仿宋" w:cs="仿宋"/>
                <w:color w:val="000000"/>
                <w:highlight w:val="none"/>
              </w:rPr>
              <w:t>进行评审。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★磋商响应有效期</w:t>
            </w:r>
          </w:p>
        </w:tc>
        <w:tc>
          <w:tcPr>
            <w:tcW w:w="3588" w:type="pct"/>
            <w:noWrap w:val="0"/>
            <w:vAlign w:val="center"/>
          </w:tcPr>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000000"/>
                <w:highlight w:val="none"/>
              </w:rPr>
              <w:t>磋商响应有效期：</w:t>
            </w:r>
            <w:r>
              <w:rPr>
                <w:rFonts w:hint="eastAsia" w:ascii="仿宋" w:hAnsi="仿宋" w:eastAsia="仿宋" w:cs="宋体"/>
                <w:i w:val="0"/>
                <w:iCs w:val="0"/>
                <w:color w:val="000000"/>
                <w:highlight w:val="none"/>
                <w:u w:val="single"/>
                <w:lang w:val="en-US" w:eastAsia="zh-CN"/>
              </w:rPr>
              <w:t>20</w:t>
            </w:r>
            <w:r>
              <w:rPr>
                <w:rFonts w:hint="eastAsia" w:ascii="仿宋" w:hAnsi="仿宋" w:eastAsia="仿宋" w:cs="仿宋"/>
                <w:i w:val="0"/>
                <w:iCs w:val="0"/>
                <w:color w:val="auto"/>
                <w:highlight w:val="none"/>
                <w:u w:val="single"/>
              </w:rPr>
              <w:t>天</w:t>
            </w:r>
            <w:r>
              <w:rPr>
                <w:rFonts w:hint="eastAsia" w:ascii="仿宋" w:hAnsi="仿宋" w:eastAsia="仿宋" w:cs="仿宋"/>
                <w:i w:val="0"/>
                <w:iCs w:val="0"/>
                <w:highlight w:val="none"/>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default" w:ascii="仿宋" w:hAnsi="仿宋" w:eastAsia="仿宋" w:cs="仿宋"/>
                <w:color w:val="000000"/>
                <w:szCs w:val="21"/>
                <w:highlight w:val="none"/>
                <w:lang w:val="en-US" w:eastAsia="zh-CN"/>
              </w:rPr>
            </w:pPr>
            <w:r>
              <w:rPr>
                <w:rFonts w:hint="eastAsia" w:ascii="仿宋" w:hAnsi="仿宋" w:eastAsia="仿宋" w:cs="宋体"/>
                <w:color w:val="000000"/>
                <w:szCs w:val="21"/>
                <w:highlight w:val="none"/>
              </w:rPr>
              <w:t>★磋商保证金</w:t>
            </w:r>
            <w:r>
              <w:rPr>
                <w:rFonts w:hint="eastAsia" w:ascii="仿宋" w:hAnsi="仿宋" w:eastAsia="仿宋" w:cs="宋体"/>
                <w:color w:val="000000"/>
                <w:szCs w:val="21"/>
                <w:highlight w:val="none"/>
                <w:lang w:val="en-US" w:eastAsia="zh-CN"/>
              </w:rPr>
              <w:t>的金额</w:t>
            </w:r>
          </w:p>
        </w:tc>
        <w:tc>
          <w:tcPr>
            <w:tcW w:w="3588" w:type="pct"/>
            <w:noWrap w:val="0"/>
            <w:vAlign w:val="center"/>
          </w:tcPr>
          <w:p>
            <w:pPr>
              <w:pStyle w:val="156"/>
              <w:spacing w:before="62" w:beforeLines="20" w:after="62" w:afterLines="20" w:line="360" w:lineRule="auto"/>
              <w:rPr>
                <w:rFonts w:hint="eastAsia" w:ascii="仿宋" w:hAnsi="仿宋" w:eastAsia="仿宋" w:cs="仿宋"/>
                <w:color w:val="000000"/>
                <w:highlight w:val="none"/>
                <w:u w:val="single"/>
                <w:lang w:val="en-US" w:eastAsia="zh-CN"/>
              </w:rPr>
            </w:pPr>
            <w:r>
              <w:rPr>
                <w:rFonts w:hint="eastAsia" w:ascii="仿宋" w:hAnsi="仿宋" w:eastAsia="仿宋" w:cs="仿宋"/>
                <w:color w:val="000000"/>
                <w:highlight w:val="none"/>
              </w:rPr>
              <w:t>磋商保证金金额：</w:t>
            </w:r>
            <w:r>
              <w:rPr>
                <w:rFonts w:hint="eastAsia" w:ascii="仿宋" w:hAnsi="仿宋" w:eastAsia="仿宋" w:cs="仿宋"/>
                <w:color w:val="000000"/>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pStyle w:val="156"/>
              <w:spacing w:before="62" w:beforeLines="20" w:after="62" w:afterLines="20"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响应文件的份数</w:t>
            </w:r>
          </w:p>
        </w:tc>
        <w:tc>
          <w:tcPr>
            <w:tcW w:w="3588" w:type="pct"/>
            <w:noWrap w:val="0"/>
            <w:vAlign w:val="center"/>
          </w:tcPr>
          <w:p>
            <w:pPr>
              <w:pStyle w:val="16"/>
              <w:rPr>
                <w:rFonts w:hint="eastAsia" w:ascii="仿宋" w:hAnsi="仿宋" w:eastAsia="仿宋" w:cs="仿宋"/>
                <w:color w:val="000000"/>
                <w:highlight w:val="none"/>
              </w:rPr>
            </w:pPr>
            <w:r>
              <w:rPr>
                <w:rFonts w:hint="eastAsia" w:ascii="仿宋" w:hAnsi="仿宋" w:eastAsia="仿宋" w:cs="宋体"/>
                <w:color w:val="000000"/>
                <w:sz w:val="21"/>
                <w:szCs w:val="21"/>
                <w:highlight w:val="none"/>
              </w:rPr>
              <w:t>电子文件</w:t>
            </w:r>
            <w:r>
              <w:rPr>
                <w:rFonts w:hint="eastAsia" w:ascii="仿宋" w:hAnsi="仿宋" w:eastAsia="仿宋" w:cs="宋体"/>
                <w:color w:val="000000"/>
                <w:sz w:val="21"/>
                <w:szCs w:val="21"/>
                <w:highlight w:val="none"/>
                <w:u w:val="single"/>
              </w:rPr>
              <w:t>1</w:t>
            </w:r>
            <w:r>
              <w:rPr>
                <w:rFonts w:hint="eastAsia" w:ascii="仿宋" w:hAnsi="仿宋" w:eastAsia="仿宋" w:cs="宋体"/>
                <w:color w:val="000000"/>
                <w:sz w:val="21"/>
                <w:szCs w:val="21"/>
                <w:highlight w:val="none"/>
              </w:rPr>
              <w:t>份（</w:t>
            </w:r>
            <w:r>
              <w:rPr>
                <w:rFonts w:hint="eastAsia" w:ascii="仿宋" w:hAnsi="仿宋" w:eastAsia="仿宋" w:cs="宋体"/>
                <w:color w:val="000000"/>
                <w:sz w:val="21"/>
                <w:szCs w:val="21"/>
                <w:highlight w:val="none"/>
                <w:lang w:val="en-US" w:eastAsia="zh-CN"/>
              </w:rPr>
              <w:t>具体格式要求</w:t>
            </w:r>
            <w:r>
              <w:rPr>
                <w:rFonts w:hint="eastAsia" w:ascii="仿宋" w:hAnsi="仿宋" w:eastAsia="仿宋" w:cs="宋体"/>
                <w:color w:val="000000"/>
                <w:sz w:val="21"/>
                <w:szCs w:val="21"/>
                <w:highlight w:val="none"/>
              </w:rPr>
              <w:t>）；纸质文件正本</w:t>
            </w:r>
            <w:r>
              <w:rPr>
                <w:rFonts w:hint="eastAsia" w:ascii="仿宋" w:hAnsi="仿宋" w:eastAsia="仿宋" w:cs="宋体"/>
                <w:color w:val="000000"/>
                <w:sz w:val="21"/>
                <w:szCs w:val="21"/>
                <w:highlight w:val="none"/>
                <w:u w:val="single"/>
              </w:rPr>
              <w:t xml:space="preserve"> 1 </w:t>
            </w:r>
            <w:r>
              <w:rPr>
                <w:rFonts w:hint="eastAsia" w:ascii="仿宋" w:hAnsi="仿宋" w:eastAsia="仿宋" w:cs="宋体"/>
                <w:color w:val="000000"/>
                <w:sz w:val="21"/>
                <w:szCs w:val="21"/>
                <w:highlight w:val="none"/>
              </w:rPr>
              <w:t>份，副本</w:t>
            </w:r>
            <w:r>
              <w:rPr>
                <w:rFonts w:hint="default" w:ascii="仿宋" w:hAnsi="仿宋" w:eastAsia="仿宋" w:cs="宋体"/>
                <w:color w:val="000000"/>
                <w:sz w:val="21"/>
                <w:szCs w:val="21"/>
                <w:highlight w:val="none"/>
                <w:u w:val="single"/>
              </w:rPr>
              <w:t xml:space="preserve"> </w:t>
            </w:r>
            <w:r>
              <w:rPr>
                <w:rFonts w:hint="eastAsia" w:ascii="仿宋" w:hAnsi="仿宋" w:eastAsia="仿宋" w:cs="宋体"/>
                <w:color w:val="auto"/>
                <w:sz w:val="21"/>
                <w:szCs w:val="21"/>
                <w:highlight w:val="none"/>
                <w:u w:val="single"/>
                <w:lang w:val="en-US" w:eastAsia="zh-CN"/>
              </w:rPr>
              <w:t>1</w:t>
            </w:r>
            <w:r>
              <w:rPr>
                <w:rFonts w:hint="eastAsia" w:ascii="仿宋" w:hAnsi="仿宋" w:eastAsia="仿宋" w:cs="宋体"/>
                <w:color w:val="auto"/>
                <w:sz w:val="21"/>
                <w:szCs w:val="21"/>
                <w:highlight w:val="none"/>
                <w:u w:val="single"/>
              </w:rPr>
              <w:t xml:space="preserve"> </w:t>
            </w:r>
            <w:r>
              <w:rPr>
                <w:rFonts w:hint="eastAsia" w:ascii="仿宋" w:hAnsi="仿宋" w:eastAsia="仿宋" w:cs="宋体"/>
                <w:color w:val="000000"/>
                <w:sz w:val="21"/>
                <w:szCs w:val="21"/>
                <w:highlight w:val="none"/>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highlight w:val="none"/>
              </w:rPr>
            </w:pPr>
            <w:r>
              <w:rPr>
                <w:rFonts w:hint="eastAsia" w:ascii="仿宋" w:hAnsi="仿宋" w:eastAsia="仿宋" w:cs="宋体"/>
                <w:color w:val="000000"/>
                <w:szCs w:val="21"/>
                <w:highlight w:val="none"/>
              </w:rPr>
              <w:t>纸质</w:t>
            </w:r>
            <w:r>
              <w:rPr>
                <w:rFonts w:hint="eastAsia" w:ascii="仿宋" w:hAnsi="仿宋" w:eastAsia="仿宋" w:cs="仿宋"/>
                <w:color w:val="000000"/>
                <w:szCs w:val="21"/>
                <w:highlight w:val="none"/>
              </w:rPr>
              <w:t>响应文件的装订、密封和标记</w:t>
            </w:r>
          </w:p>
        </w:tc>
        <w:tc>
          <w:tcPr>
            <w:tcW w:w="3588" w:type="pct"/>
            <w:noWrap w:val="0"/>
            <w:vAlign w:val="center"/>
          </w:tcPr>
          <w:p>
            <w:pPr>
              <w:spacing w:line="360" w:lineRule="auto"/>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（1）采用A4纸胶装，双面打印，商务、技术、报价文件分别装订成册，密封粘接缝隙加盖供应商公章或由法定代表人（负责人）或其委托代理人签字。未按要求密封的</w:t>
            </w:r>
            <w:r>
              <w:rPr>
                <w:rFonts w:hint="eastAsia" w:ascii="仿宋" w:hAnsi="仿宋" w:eastAsia="仿宋" w:cs="Cambria Math"/>
                <w:color w:val="000000"/>
                <w:szCs w:val="21"/>
                <w:highlight w:val="none"/>
                <w:lang w:eastAsia="zh-Hans"/>
              </w:rPr>
              <w:t>纸质</w:t>
            </w:r>
            <w:r>
              <w:rPr>
                <w:rFonts w:hint="eastAsia" w:ascii="仿宋" w:hAnsi="仿宋" w:eastAsia="仿宋" w:cs="Cambria Math"/>
                <w:color w:val="000000"/>
                <w:szCs w:val="21"/>
                <w:highlight w:val="none"/>
              </w:rPr>
              <w:t>响应文件不予接收。</w:t>
            </w:r>
          </w:p>
          <w:p>
            <w:pPr>
              <w:rPr>
                <w:rFonts w:ascii="仿宋" w:hAnsi="仿宋" w:eastAsia="仿宋"/>
                <w:color w:val="000000"/>
                <w:highlight w:val="none"/>
              </w:rPr>
            </w:pPr>
            <w:r>
              <w:rPr>
                <w:rFonts w:hint="eastAsia" w:ascii="仿宋" w:hAnsi="仿宋" w:eastAsia="仿宋" w:cs="Cambria Math"/>
                <w:color w:val="000000"/>
                <w:szCs w:val="21"/>
                <w:highlight w:val="none"/>
              </w:rPr>
              <w:t>（2）外层包封具体样式如下：</w:t>
            </w:r>
          </w:p>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mc:AlternateContent>
                <mc:Choice Requires="wps">
                  <w:drawing>
                    <wp:inline distT="0" distB="0" distL="114300" distR="114300">
                      <wp:extent cx="4320540" cy="2775585"/>
                      <wp:effectExtent l="4445" t="4445" r="18415" b="20320"/>
                      <wp:docPr id="13"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DH03rpMQIAAIM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v:textbox>
                      <w10:wrap type="none"/>
                      <w10:anchorlock/>
                    </v:shap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highlight w:val="none"/>
              </w:rPr>
            </w:pPr>
          </w:p>
        </w:tc>
        <w:tc>
          <w:tcPr>
            <w:tcW w:w="927" w:type="pct"/>
            <w:noWrap w:val="0"/>
            <w:vAlign w:val="center"/>
          </w:tcPr>
          <w:p>
            <w:pPr>
              <w:pStyle w:val="156"/>
              <w:spacing w:before="62" w:beforeLines="20" w:after="62" w:afterLines="20"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响应文件的递交</w:t>
            </w:r>
          </w:p>
        </w:tc>
        <w:tc>
          <w:tcPr>
            <w:tcW w:w="3588" w:type="pct"/>
            <w:noWrap w:val="0"/>
            <w:vAlign w:val="center"/>
          </w:tcPr>
          <w:p>
            <w:pPr>
              <w:pStyle w:val="156"/>
              <w:spacing w:before="62" w:beforeLines="20" w:after="62" w:afterLines="20" w:line="360" w:lineRule="auto"/>
              <w:rPr>
                <w:rFonts w:hint="eastAsia" w:ascii="仿宋" w:hAnsi="仿宋" w:eastAsia="仿宋" w:cs="宋体"/>
                <w:color w:val="000000"/>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第一章 竞争性磋商公告“五、响应文件的递交”</w:t>
            </w:r>
            <w:r>
              <w:rPr>
                <w:rFonts w:hint="eastAsia" w:ascii="仿宋" w:hAnsi="仿宋" w:eastAsia="仿宋" w:cs="仿宋"/>
                <w:color w:val="00000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组建磋商小组</w:t>
            </w:r>
          </w:p>
        </w:tc>
        <w:tc>
          <w:tcPr>
            <w:tcW w:w="3588" w:type="pct"/>
            <w:noWrap w:val="0"/>
            <w:vAlign w:val="center"/>
          </w:tcPr>
          <w:p>
            <w:pPr>
              <w:pStyle w:val="156"/>
              <w:spacing w:before="62" w:beforeLines="20" w:after="62" w:afterLines="20" w:line="360" w:lineRule="auto"/>
              <w:rPr>
                <w:rFonts w:hint="eastAsia" w:ascii="仿宋" w:hAnsi="仿宋" w:eastAsia="仿宋" w:cs="Cambria Math"/>
                <w:b/>
                <w:color w:val="000000"/>
                <w:highlight w:val="none"/>
              </w:rPr>
            </w:pPr>
            <w:r>
              <w:rPr>
                <w:rFonts w:hint="eastAsia" w:ascii="仿宋" w:hAnsi="仿宋" w:eastAsia="仿宋" w:cs="仿宋"/>
                <w:color w:val="000000"/>
                <w:highlight w:val="none"/>
              </w:rPr>
              <w:t>本项目磋商小组成员人数为</w:t>
            </w:r>
            <w:r>
              <w:rPr>
                <w:rFonts w:hint="eastAsia" w:ascii="仿宋" w:hAnsi="仿宋" w:eastAsia="仿宋" w:cs="仿宋"/>
                <w:color w:val="auto"/>
                <w:highlight w:val="none"/>
                <w:u w:val="single"/>
                <w:lang w:val="en-US" w:eastAsia="zh-CN"/>
              </w:rPr>
              <w:t>5</w:t>
            </w:r>
            <w:r>
              <w:rPr>
                <w:rFonts w:hint="eastAsia" w:ascii="仿宋" w:hAnsi="仿宋" w:eastAsia="仿宋" w:cs="仿宋"/>
                <w:color w:val="000000"/>
                <w:highlight w:val="none"/>
                <w:u w:val="single"/>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highlight w:val="none"/>
              </w:rPr>
            </w:pPr>
            <w:r>
              <w:rPr>
                <w:rFonts w:hint="eastAsia" w:ascii="仿宋" w:hAnsi="仿宋" w:eastAsia="仿宋" w:cs="仿宋"/>
                <w:color w:val="000000"/>
                <w:kern w:val="0"/>
                <w:szCs w:val="21"/>
                <w:highlight w:val="none"/>
              </w:rPr>
              <w:t>磋商程序及方式</w:t>
            </w:r>
          </w:p>
        </w:tc>
        <w:tc>
          <w:tcPr>
            <w:tcW w:w="3588" w:type="pct"/>
            <w:noWrap w:val="0"/>
            <w:vAlign w:val="center"/>
          </w:tcPr>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（1）磋商小组将与通过初步评审的有效供应商按照</w:t>
            </w:r>
            <w:r>
              <w:rPr>
                <w:rFonts w:hint="eastAsia" w:ascii="仿宋" w:hAnsi="仿宋" w:eastAsia="仿宋" w:cs="仿宋"/>
                <w:color w:val="000000"/>
                <w:highlight w:val="none"/>
                <w:u w:val="single"/>
              </w:rPr>
              <w:t>供应商名称首字A</w:t>
            </w:r>
            <w:r>
              <w:rPr>
                <w:rFonts w:ascii="仿宋" w:hAnsi="仿宋" w:eastAsia="仿宋" w:cs="仿宋"/>
                <w:color w:val="000000"/>
                <w:highlight w:val="none"/>
                <w:u w:val="single"/>
              </w:rPr>
              <w:t>-Z</w:t>
            </w:r>
            <w:r>
              <w:rPr>
                <w:rFonts w:hint="eastAsia" w:ascii="仿宋" w:hAnsi="仿宋" w:eastAsia="仿宋" w:cs="仿宋"/>
                <w:color w:val="000000"/>
                <w:highlight w:val="none"/>
                <w:u w:val="single"/>
              </w:rPr>
              <w:t>顺序</w:t>
            </w:r>
            <w:r>
              <w:rPr>
                <w:rFonts w:hint="eastAsia" w:ascii="仿宋" w:hAnsi="仿宋" w:eastAsia="仿宋" w:cs="仿宋"/>
                <w:color w:val="000000"/>
                <w:highlight w:val="none"/>
              </w:rPr>
              <w:t>逐一进行磋商，供应商至少应派法定代表人或其授权委托人准时参会。</w:t>
            </w:r>
          </w:p>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2）磋商小组有权要求供应商对响应文件中含义不明确、同类问题表述不一致或者有明显文字和计算错误的内容等进行澄清、说明或更正。第一轮磋商结束后，供应商提交第一轮报价及磋商小组要求提供的其他文件，磋商小组将视具体情况决定是否进行多轮磋商及报价。最后一轮磋商结束后，供应商提交最终报价并签署相关承诺性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磋商内容</w:t>
            </w:r>
          </w:p>
        </w:tc>
        <w:tc>
          <w:tcPr>
            <w:tcW w:w="3588" w:type="pct"/>
            <w:noWrap w:val="0"/>
            <w:vAlign w:val="center"/>
          </w:tcPr>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rPr>
              <w:t>包含但不仅限于</w:t>
            </w:r>
            <w:r>
              <w:rPr>
                <w:rFonts w:hint="eastAsia" w:ascii="仿宋" w:hAnsi="仿宋" w:eastAsia="仿宋" w:cs="仿宋"/>
                <w:color w:val="000000"/>
                <w:u w:val="single"/>
              </w:rPr>
              <w:t>报价、对采购需求的理解、实施方案、人员配置、服务承诺、商务条款</w:t>
            </w:r>
            <w:r>
              <w:rPr>
                <w:rFonts w:hint="eastAsia" w:ascii="仿宋" w:hAnsi="仿宋" w:eastAsia="仿宋" w:cs="仿宋"/>
                <w:color w:val="000000"/>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kern w:val="0"/>
                <w:szCs w:val="21"/>
                <w:highlight w:val="none"/>
              </w:rPr>
            </w:pPr>
            <w:r>
              <w:rPr>
                <w:rFonts w:hint="eastAsia" w:ascii="仿宋" w:hAnsi="仿宋" w:eastAsia="仿宋" w:cs="仿宋"/>
                <w:color w:val="000000"/>
                <w:highlight w:val="none"/>
              </w:rPr>
              <w:t>成交候选人推荐原则</w:t>
            </w:r>
          </w:p>
        </w:tc>
        <w:tc>
          <w:tcPr>
            <w:tcW w:w="3588" w:type="pct"/>
            <w:noWrap w:val="0"/>
            <w:vAlign w:val="center"/>
          </w:tcPr>
          <w:p>
            <w:pPr>
              <w:pStyle w:val="156"/>
              <w:spacing w:before="62" w:beforeLines="20" w:after="62" w:afterLines="20" w:line="360" w:lineRule="auto"/>
              <w:rPr>
                <w:rFonts w:ascii="仿宋" w:hAnsi="仿宋" w:eastAsia="仿宋" w:cs="仿宋"/>
                <w:color w:val="000000"/>
                <w:highlight w:val="none"/>
              </w:rPr>
            </w:pPr>
            <w:r>
              <w:rPr>
                <w:rFonts w:hint="eastAsia" w:ascii="仿宋" w:hAnsi="仿宋" w:eastAsia="仿宋" w:cs="仿宋"/>
                <w:color w:val="000000"/>
                <w:highlight w:val="none"/>
              </w:rPr>
              <w:t>磋商小组根据有效供应商</w:t>
            </w:r>
            <w:r>
              <w:rPr>
                <w:rFonts w:hint="eastAsia" w:ascii="仿宋" w:hAnsi="仿宋" w:eastAsia="仿宋" w:cs="宋体"/>
                <w:color w:val="000000"/>
                <w:highlight w:val="none"/>
              </w:rPr>
              <w:t>综合得分由高至低排出的名次，顺序推荐</w:t>
            </w:r>
            <w:r>
              <w:rPr>
                <w:rFonts w:hint="eastAsia" w:ascii="仿宋" w:hAnsi="仿宋" w:eastAsia="仿宋" w:cs="宋体"/>
                <w:color w:val="000000"/>
                <w:highlight w:val="none"/>
                <w:u w:val="single"/>
              </w:rPr>
              <w:t>综合得分前</w:t>
            </w:r>
            <w:r>
              <w:rPr>
                <w:rFonts w:hint="eastAsia" w:ascii="仿宋" w:hAnsi="仿宋" w:eastAsia="仿宋" w:cs="宋体"/>
                <w:color w:val="000000"/>
                <w:highlight w:val="none"/>
                <w:u w:val="single"/>
                <w:lang w:val="en-US" w:eastAsia="zh-CN"/>
              </w:rPr>
              <w:t>1</w:t>
            </w:r>
            <w:r>
              <w:rPr>
                <w:rFonts w:hint="eastAsia" w:ascii="仿宋" w:hAnsi="仿宋" w:eastAsia="仿宋" w:cs="宋体"/>
                <w:color w:val="000000"/>
                <w:highlight w:val="none"/>
                <w:u w:val="single"/>
              </w:rPr>
              <w:t>名</w:t>
            </w:r>
            <w:r>
              <w:rPr>
                <w:rFonts w:hint="eastAsia" w:ascii="仿宋" w:hAnsi="仿宋" w:eastAsia="仿宋" w:cs="宋体"/>
                <w:color w:val="000000"/>
                <w:highlight w:val="none"/>
              </w:rPr>
              <w:t>为成交候选人。</w:t>
            </w:r>
            <w:r>
              <w:rPr>
                <w:rFonts w:hint="eastAsia" w:ascii="仿宋" w:hAnsi="仿宋" w:eastAsia="仿宋" w:cs="仿宋"/>
                <w:color w:val="000000"/>
                <w:highlight w:val="none"/>
              </w:rPr>
              <w:t>综合得分相同时，价格得分高者排名优先；价格得分也相同时，</w:t>
            </w:r>
            <w:r>
              <w:rPr>
                <w:rFonts w:hint="eastAsia" w:ascii="仿宋" w:hAnsi="仿宋" w:eastAsia="仿宋" w:cs="仿宋"/>
                <w:color w:val="000000"/>
                <w:highlight w:val="none"/>
                <w:u w:val="single"/>
              </w:rPr>
              <w:t>技术</w:t>
            </w:r>
            <w:r>
              <w:rPr>
                <w:rFonts w:hint="eastAsia" w:ascii="仿宋" w:hAnsi="仿宋" w:eastAsia="仿宋" w:cs="仿宋"/>
                <w:color w:val="000000"/>
                <w:highlight w:val="none"/>
              </w:rPr>
              <w:t>得分高者排名优先。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pStyle w:val="156"/>
              <w:spacing w:before="62" w:beforeLines="20" w:after="62" w:afterLines="20"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成交人数量</w:t>
            </w:r>
          </w:p>
        </w:tc>
        <w:tc>
          <w:tcPr>
            <w:tcW w:w="3588" w:type="pct"/>
            <w:noWrap w:val="0"/>
            <w:vAlign w:val="center"/>
          </w:tcPr>
          <w:p>
            <w:pPr>
              <w:pStyle w:val="156"/>
              <w:spacing w:before="62" w:beforeLines="20" w:after="62" w:afterLines="20"/>
              <w:rPr>
                <w:rFonts w:ascii="仿宋" w:hAnsi="仿宋" w:eastAsia="仿宋" w:cs="仿宋"/>
                <w:color w:val="auto"/>
                <w:highlight w:val="none"/>
                <w:u w:val="single"/>
              </w:rPr>
            </w:pPr>
            <w:r>
              <w:rPr>
                <w:rFonts w:hint="eastAsia" w:ascii="仿宋" w:hAnsi="仿宋" w:eastAsia="仿宋" w:cs="仿宋"/>
                <w:color w:val="000000"/>
                <w:highlight w:val="none"/>
              </w:rPr>
              <w:t>成</w:t>
            </w:r>
            <w:r>
              <w:rPr>
                <w:rFonts w:hint="eastAsia" w:ascii="仿宋" w:hAnsi="仿宋" w:eastAsia="仿宋" w:cs="仿宋"/>
                <w:color w:val="auto"/>
                <w:highlight w:val="none"/>
              </w:rPr>
              <w:t>交人数量：</w:t>
            </w:r>
            <w:r>
              <w:rPr>
                <w:rFonts w:hint="eastAsia" w:ascii="仿宋" w:hAnsi="仿宋" w:eastAsia="仿宋" w:cs="仿宋"/>
                <w:color w:val="auto"/>
                <w:highlight w:val="none"/>
                <w:u w:val="single"/>
              </w:rPr>
              <w:t>1家</w:t>
            </w:r>
          </w:p>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auto"/>
                <w:highlight w:val="none"/>
                <w:u w:val="single"/>
              </w:rPr>
              <w:t>综合排名第一</w:t>
            </w:r>
            <w:r>
              <w:rPr>
                <w:rFonts w:hint="eastAsia" w:ascii="仿宋" w:hAnsi="仿宋" w:eastAsia="仿宋" w:cs="仿宋"/>
                <w:color w:val="auto"/>
                <w:highlight w:val="none"/>
              </w:rPr>
              <w:t>成交候选人放弃成交、因不可抗力不能履行合同、存在重大经营或法律风险、被查</w:t>
            </w:r>
            <w:r>
              <w:rPr>
                <w:rFonts w:hint="eastAsia" w:ascii="仿宋" w:hAnsi="仿宋" w:eastAsia="仿宋" w:cs="仿宋"/>
                <w:highlight w:val="none"/>
              </w:rPr>
              <w:t>实存在影响采购结果的违法行为等情形，采购人按照磋商小组提出的成交候选人名单排序依次确定其他成交候选人为成交人，或者重新采购。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622" w:hRule="atLeast"/>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履约保证金</w:t>
            </w:r>
          </w:p>
        </w:tc>
        <w:tc>
          <w:tcPr>
            <w:tcW w:w="3588" w:type="pct"/>
            <w:noWrap w:val="0"/>
            <w:vAlign w:val="center"/>
          </w:tcPr>
          <w:p>
            <w:pPr>
              <w:pStyle w:val="156"/>
              <w:spacing w:before="62" w:beforeLines="20" w:after="62" w:afterLines="20" w:line="360" w:lineRule="auto"/>
              <w:rPr>
                <w:rFonts w:ascii="仿宋" w:hAnsi="仿宋" w:eastAsia="仿宋" w:cs="宋体"/>
                <w:color w:val="auto"/>
                <w:highlight w:val="none"/>
              </w:rPr>
            </w:pPr>
            <w:r>
              <w:rPr>
                <w:rFonts w:hint="eastAsia" w:ascii="仿宋" w:hAnsi="仿宋" w:eastAsia="仿宋" w:cs="宋体"/>
                <w:color w:val="auto"/>
                <w:highlight w:val="none"/>
              </w:rPr>
              <w:t>□收取，形式及比例：</w:t>
            </w:r>
          </w:p>
          <w:p>
            <w:pPr>
              <w:autoSpaceDE w:val="0"/>
              <w:autoSpaceDN w:val="0"/>
              <w:spacing w:line="360" w:lineRule="auto"/>
              <w:rPr>
                <w:rFonts w:hint="eastAsia" w:ascii="仿宋" w:hAnsi="仿宋" w:eastAsia="仿宋" w:cs="仿宋"/>
                <w:color w:val="auto"/>
                <w:highlight w:val="none"/>
              </w:rPr>
            </w:pPr>
            <w:r>
              <w:rPr>
                <w:rFonts w:hint="eastAsia" w:ascii="仿宋" w:hAnsi="仿宋" w:eastAsia="仿宋" w:cs="宋体"/>
                <w:color w:val="auto"/>
                <w:szCs w:val="21"/>
                <w:highlight w:val="none"/>
              </w:rPr>
              <w:sym w:font="Wingdings 2" w:char="0052"/>
            </w:r>
            <w:r>
              <w:rPr>
                <w:rFonts w:hint="eastAsia" w:ascii="仿宋" w:hAnsi="仿宋" w:eastAsia="仿宋" w:cs="宋体"/>
                <w:color w:val="auto"/>
                <w:szCs w:val="21"/>
                <w:highlight w:val="none"/>
              </w:rPr>
              <w:t>不收取</w:t>
            </w:r>
          </w:p>
        </w:tc>
      </w:tr>
    </w:tbl>
    <w:p>
      <w:pPr>
        <w:pStyle w:val="4"/>
        <w:ind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33" w:name="_Toc287600118"/>
      <w:bookmarkStart w:id="34" w:name="_Toc20514"/>
      <w:bookmarkStart w:id="35" w:name="_Toc517281816"/>
      <w:bookmarkStart w:id="36" w:name="_Toc444891336"/>
      <w:bookmarkStart w:id="37" w:name="_Toc6047"/>
      <w:bookmarkStart w:id="38" w:name="_Toc19783313"/>
      <w:bookmarkStart w:id="39" w:name="_Toc11071"/>
      <w:bookmarkStart w:id="40" w:name="_Toc27232"/>
      <w:bookmarkStart w:id="41" w:name="_Toc27220"/>
      <w:r>
        <w:rPr>
          <w:rFonts w:hint="eastAsia" w:ascii="仿宋" w:hAnsi="仿宋" w:eastAsia="仿宋" w:cs="仿宋"/>
          <w:color w:val="000000"/>
          <w:sz w:val="24"/>
          <w:szCs w:val="24"/>
          <w:highlight w:val="none"/>
        </w:rPr>
        <w:t>二、供应商须知</w:t>
      </w:r>
      <w:bookmarkEnd w:id="33"/>
      <w:bookmarkEnd w:id="34"/>
      <w:bookmarkEnd w:id="35"/>
      <w:bookmarkEnd w:id="36"/>
      <w:bookmarkEnd w:id="37"/>
      <w:bookmarkEnd w:id="38"/>
      <w:bookmarkEnd w:id="39"/>
      <w:bookmarkEnd w:id="40"/>
      <w:r>
        <w:rPr>
          <w:rFonts w:hint="eastAsia" w:ascii="仿宋" w:hAnsi="仿宋" w:eastAsia="仿宋" w:cs="仿宋"/>
          <w:color w:val="000000"/>
          <w:sz w:val="24"/>
          <w:szCs w:val="24"/>
          <w:highlight w:val="none"/>
        </w:rPr>
        <w:t>正文</w:t>
      </w:r>
      <w:bookmarkEnd w:id="41"/>
    </w:p>
    <w:p>
      <w:pPr>
        <w:pStyle w:val="5"/>
        <w:spacing w:before="0" w:after="0" w:line="360" w:lineRule="auto"/>
        <w:ind w:firstLine="482"/>
        <w:rPr>
          <w:rFonts w:hint="eastAsia" w:ascii="仿宋" w:hAnsi="仿宋" w:eastAsia="仿宋" w:cs="仿宋"/>
          <w:color w:val="000000"/>
          <w:sz w:val="24"/>
          <w:szCs w:val="24"/>
          <w:highlight w:val="none"/>
        </w:rPr>
      </w:pPr>
      <w:bookmarkStart w:id="42" w:name="_Toc517281817"/>
      <w:bookmarkStart w:id="43" w:name="_Toc11851"/>
      <w:bookmarkStart w:id="44" w:name="_Toc16441"/>
      <w:bookmarkStart w:id="45" w:name="_Toc3678"/>
      <w:bookmarkStart w:id="46" w:name="_Toc6681"/>
      <w:bookmarkStart w:id="47" w:name="_Toc22969"/>
      <w:bookmarkStart w:id="48" w:name="_Toc444891337"/>
      <w:bookmarkStart w:id="49" w:name="_Toc287600119"/>
      <w:bookmarkStart w:id="50" w:name="_Toc431"/>
      <w:bookmarkStart w:id="51" w:name="_Toc19783314"/>
      <w:r>
        <w:rPr>
          <w:rFonts w:hint="eastAsia" w:ascii="仿宋" w:hAnsi="仿宋" w:eastAsia="仿宋" w:cs="仿宋"/>
          <w:color w:val="000000"/>
          <w:sz w:val="24"/>
          <w:szCs w:val="24"/>
          <w:highlight w:val="none"/>
        </w:rPr>
        <w:t>（一）总 则</w:t>
      </w:r>
      <w:bookmarkEnd w:id="42"/>
      <w:bookmarkEnd w:id="43"/>
      <w:bookmarkEnd w:id="44"/>
      <w:bookmarkEnd w:id="45"/>
      <w:bookmarkEnd w:id="46"/>
      <w:bookmarkEnd w:id="47"/>
      <w:bookmarkEnd w:id="48"/>
      <w:bookmarkEnd w:id="49"/>
      <w:bookmarkEnd w:id="50"/>
      <w:bookmarkEnd w:id="51"/>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1.项目说明</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本项目按照中华人民共和国有关法律、行政法规和部门规章以及采购人的采购管理制度，通过竞争性磋商方式确定签约供应商。</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2.采购范围</w:t>
      </w:r>
    </w:p>
    <w:p>
      <w:pPr>
        <w:tabs>
          <w:tab w:val="left" w:pos="3150"/>
          <w:tab w:val="left" w:pos="3780"/>
        </w:tabs>
        <w:spacing w:line="360" w:lineRule="auto"/>
        <w:jc w:val="left"/>
        <w:rPr>
          <w:rFonts w:hint="eastAsia" w:ascii="仿宋" w:hAnsi="仿宋" w:eastAsia="仿宋" w:cs="仿宋"/>
          <w:bCs/>
          <w:color w:val="000000"/>
          <w:sz w:val="24"/>
          <w:highlight w:val="none"/>
        </w:rPr>
      </w:pPr>
      <w:r>
        <w:rPr>
          <w:rFonts w:hint="eastAsia" w:ascii="仿宋" w:hAnsi="仿宋" w:eastAsia="仿宋" w:cs="仿宋"/>
          <w:color w:val="000000"/>
          <w:sz w:val="24"/>
          <w:highlight w:val="none"/>
          <w:u w:val="single"/>
        </w:rPr>
        <w:t>详见本须知前附表</w:t>
      </w:r>
      <w:r>
        <w:rPr>
          <w:rFonts w:hint="eastAsia" w:ascii="仿宋" w:hAnsi="仿宋" w:eastAsia="仿宋" w:cs="仿宋"/>
          <w:color w:val="000000"/>
          <w:sz w:val="24"/>
          <w:highlight w:val="none"/>
        </w:rPr>
        <w:t>，</w:t>
      </w:r>
      <w:r>
        <w:rPr>
          <w:rFonts w:hint="eastAsia" w:ascii="仿宋" w:hAnsi="仿宋" w:eastAsia="仿宋" w:cs="仿宋"/>
          <w:bCs/>
          <w:color w:val="000000"/>
          <w:sz w:val="24"/>
          <w:highlight w:val="none"/>
        </w:rPr>
        <w:t>详细内容详见第五章采购需求。</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3.资金来源</w:t>
      </w:r>
    </w:p>
    <w:p>
      <w:pPr>
        <w:tabs>
          <w:tab w:val="left" w:pos="3150"/>
          <w:tab w:val="left" w:pos="3780"/>
        </w:tabs>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资金来源于采购人或其子公司（含分支机构）自筹（比例100%），且资金已落实。</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4.资格审查</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4.1</w:t>
      </w:r>
      <w:r>
        <w:rPr>
          <w:rFonts w:hint="eastAsia" w:ascii="仿宋" w:hAnsi="仿宋" w:eastAsia="仿宋" w:cs="宋体"/>
          <w:color w:val="000000"/>
          <w:kern w:val="0"/>
          <w:sz w:val="24"/>
          <w:highlight w:val="none"/>
        </w:rPr>
        <w:t>资格预审：是指在递交响应文件前对潜在供应商进行的资格审查。采用资格预审方式的，资格条件已经在磋商文件发出前的资格预审文件中作出规定。</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4</w:t>
      </w:r>
      <w:r>
        <w:rPr>
          <w:rFonts w:hint="eastAsia" w:ascii="仿宋" w:hAnsi="仿宋" w:eastAsia="仿宋" w:cs="宋体"/>
          <w:color w:val="000000"/>
          <w:kern w:val="0"/>
          <w:sz w:val="24"/>
          <w:highlight w:val="none"/>
        </w:rPr>
        <w:t>.2资格后审：是指在首次响应文件递交截止时间后由磋商小组根据磋商文件的规定对供应商进行的资格审查。采购人应当在磋商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kern w:val="0"/>
          <w:sz w:val="24"/>
          <w:highlight w:val="none"/>
          <w:u w:val="single"/>
        </w:rPr>
        <w:t>详见本须知前附表。</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5.磋商响应费用</w:t>
      </w:r>
    </w:p>
    <w:p>
      <w:pPr>
        <w:spacing w:line="360" w:lineRule="auto"/>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不论结果如何，</w:t>
      </w:r>
      <w:r>
        <w:rPr>
          <w:rFonts w:hint="eastAsia" w:ascii="仿宋" w:hAnsi="仿宋" w:eastAsia="仿宋" w:cs="仿宋"/>
          <w:color w:val="000000"/>
          <w:sz w:val="24"/>
          <w:highlight w:val="none"/>
        </w:rPr>
        <w:t>供应商</w:t>
      </w:r>
      <w:r>
        <w:rPr>
          <w:rFonts w:hint="eastAsia" w:ascii="仿宋" w:hAnsi="仿宋" w:eastAsia="仿宋" w:cs="宋体"/>
          <w:color w:val="000000"/>
          <w:sz w:val="24"/>
          <w:highlight w:val="none"/>
        </w:rPr>
        <w:t>自行承担所有准备和参与本次磋商响应的有关费用。</w:t>
      </w:r>
    </w:p>
    <w:p>
      <w:pPr>
        <w:pStyle w:val="5"/>
        <w:spacing w:after="0" w:line="360" w:lineRule="auto"/>
        <w:ind w:firstLine="482"/>
        <w:rPr>
          <w:rFonts w:hint="eastAsia" w:ascii="仿宋" w:hAnsi="仿宋" w:eastAsia="仿宋" w:cs="仿宋"/>
          <w:color w:val="000000"/>
          <w:sz w:val="24"/>
          <w:szCs w:val="24"/>
          <w:highlight w:val="none"/>
        </w:rPr>
      </w:pPr>
      <w:bookmarkStart w:id="52" w:name="_Toc444891338"/>
      <w:bookmarkStart w:id="53" w:name="_Toc14164"/>
      <w:bookmarkStart w:id="54" w:name="_Toc19783315"/>
      <w:bookmarkStart w:id="55" w:name="_Toc3016"/>
      <w:bookmarkStart w:id="56" w:name="_Toc25513"/>
      <w:bookmarkStart w:id="57" w:name="_Toc517281818"/>
      <w:bookmarkStart w:id="58" w:name="_Toc287600120"/>
      <w:bookmarkStart w:id="59" w:name="_Toc10975"/>
      <w:bookmarkStart w:id="60" w:name="_Toc5255"/>
      <w:bookmarkStart w:id="61" w:name="_Toc24246"/>
      <w:r>
        <w:rPr>
          <w:rFonts w:hint="eastAsia" w:ascii="仿宋" w:hAnsi="仿宋" w:eastAsia="仿宋" w:cs="仿宋"/>
          <w:color w:val="000000"/>
          <w:sz w:val="24"/>
          <w:szCs w:val="24"/>
          <w:highlight w:val="none"/>
        </w:rPr>
        <w:t>（二）磋商文件</w:t>
      </w:r>
      <w:bookmarkEnd w:id="52"/>
      <w:bookmarkEnd w:id="53"/>
      <w:bookmarkEnd w:id="54"/>
      <w:bookmarkEnd w:id="55"/>
      <w:bookmarkEnd w:id="56"/>
      <w:bookmarkEnd w:id="57"/>
      <w:bookmarkEnd w:id="58"/>
      <w:bookmarkEnd w:id="59"/>
      <w:bookmarkEnd w:id="60"/>
      <w:bookmarkEnd w:id="61"/>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6.磋商文件的组成</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6.1磋商文件包括下列内容：</w:t>
      </w:r>
    </w:p>
    <w:p>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第一章 竞争性磋商公告</w:t>
      </w:r>
    </w:p>
    <w:p>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第二章 供应商须知</w:t>
      </w:r>
    </w:p>
    <w:p>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第三章 评审办法</w:t>
      </w:r>
    </w:p>
    <w:p>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第四章 合同格式</w:t>
      </w:r>
    </w:p>
    <w:p>
      <w:pPr>
        <w:tabs>
          <w:tab w:val="left" w:pos="540"/>
          <w:tab w:val="left" w:pos="720"/>
        </w:tabs>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第五章 采购需求</w:t>
      </w:r>
    </w:p>
    <w:p>
      <w:pPr>
        <w:tabs>
          <w:tab w:val="left" w:pos="540"/>
          <w:tab w:val="left" w:pos="720"/>
        </w:tabs>
        <w:spacing w:line="360" w:lineRule="auto"/>
        <w:ind w:firstLine="480" w:firstLineChars="200"/>
        <w:jc w:val="left"/>
        <w:rPr>
          <w:rFonts w:ascii="仿宋" w:hAnsi="仿宋" w:eastAsia="仿宋" w:cs="仿宋"/>
          <w:color w:val="000000"/>
          <w:sz w:val="24"/>
          <w:highlight w:val="none"/>
        </w:rPr>
      </w:pPr>
      <w:r>
        <w:rPr>
          <w:rFonts w:hint="eastAsia" w:ascii="仿宋" w:hAnsi="仿宋" w:eastAsia="仿宋" w:cs="仿宋"/>
          <w:color w:val="000000"/>
          <w:sz w:val="24"/>
          <w:highlight w:val="none"/>
        </w:rPr>
        <w:t>第六章 响应文件格式</w:t>
      </w:r>
    </w:p>
    <w:p>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6.</w:t>
      </w:r>
      <w:r>
        <w:rPr>
          <w:rFonts w:ascii="仿宋" w:hAnsi="仿宋" w:eastAsia="仿宋" w:cs="仿宋"/>
          <w:color w:val="000000"/>
          <w:kern w:val="0"/>
          <w:sz w:val="24"/>
          <w:highlight w:val="none"/>
        </w:rPr>
        <w:t>2</w:t>
      </w:r>
      <w:r>
        <w:rPr>
          <w:rFonts w:hint="eastAsia" w:ascii="仿宋" w:hAnsi="仿宋" w:eastAsia="仿宋" w:cs="仿宋"/>
          <w:color w:val="000000"/>
          <w:kern w:val="0"/>
          <w:sz w:val="24"/>
          <w:highlight w:val="none"/>
        </w:rPr>
        <w:t>采购人在磋商文件中以显著的方式标明实质性要求、条件以及不满足实质性要求和条件的响应文件将被否决的提示。实质性标识方式和具体要求</w:t>
      </w:r>
      <w:r>
        <w:rPr>
          <w:rFonts w:hint="eastAsia" w:ascii="仿宋" w:hAnsi="仿宋" w:eastAsia="仿宋" w:cs="仿宋"/>
          <w:color w:val="000000"/>
          <w:kern w:val="0"/>
          <w:sz w:val="24"/>
          <w:highlight w:val="none"/>
          <w:u w:val="single"/>
        </w:rPr>
        <w:t>见本须知前附表</w:t>
      </w:r>
      <w:r>
        <w:rPr>
          <w:rFonts w:hint="eastAsia" w:ascii="仿宋" w:hAnsi="仿宋" w:eastAsia="仿宋" w:cs="仿宋"/>
          <w:color w:val="000000"/>
          <w:kern w:val="0"/>
          <w:sz w:val="24"/>
          <w:highlight w:val="none"/>
        </w:rPr>
        <w:t>。</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7.磋商文件的修改</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仿宋"/>
          <w:color w:val="000000"/>
          <w:sz w:val="24"/>
          <w:highlight w:val="none"/>
        </w:rPr>
        <w:t>7.1潜在</w:t>
      </w:r>
      <w:r>
        <w:rPr>
          <w:rFonts w:hint="eastAsia" w:ascii="仿宋" w:hAnsi="仿宋" w:eastAsia="仿宋" w:cs="宋体"/>
          <w:color w:val="000000"/>
          <w:kern w:val="0"/>
          <w:sz w:val="24"/>
          <w:highlight w:val="none"/>
        </w:rPr>
        <w:t>供应商对</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有疑问的，应当按照</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规定的时间和方式，要求采购人对</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进行澄清。</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7.2</w:t>
      </w:r>
      <w:r>
        <w:rPr>
          <w:rFonts w:hint="eastAsia" w:ascii="仿宋" w:hAnsi="仿宋" w:eastAsia="仿宋" w:cs="仿宋"/>
          <w:color w:val="000000"/>
          <w:sz w:val="24"/>
          <w:highlight w:val="none"/>
        </w:rPr>
        <w:t>采购人在响应文件递交截止时间前，可以书面形式发出的对磋商文件的澄清或修改内容，</w:t>
      </w:r>
      <w:r>
        <w:rPr>
          <w:rFonts w:hint="eastAsia" w:ascii="仿宋" w:hAnsi="仿宋" w:eastAsia="仿宋" w:cs="宋体"/>
          <w:color w:val="000000"/>
          <w:kern w:val="0"/>
          <w:sz w:val="24"/>
          <w:highlight w:val="none"/>
        </w:rPr>
        <w:t>如澄清或修改的内容可能影响响应文件编制的，原则上应当在响应文件递交截止之日3个工作日前，以书面形式通知所有获取</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的潜在供应商，不足3个工作日的，原则上应顺延响应文件递交截止时间。</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7.</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 xml:space="preserve">  供应商收到澄清或修改后，应当按照供应商须知前附表规定的时间和方式通知采购人，确认已收到该澄清或修改。</w:t>
      </w:r>
    </w:p>
    <w:p>
      <w:pPr>
        <w:spacing w:line="360" w:lineRule="auto"/>
        <w:jc w:val="left"/>
        <w:rPr>
          <w:rFonts w:ascii="仿宋" w:hAnsi="仿宋" w:eastAsia="仿宋" w:cs="仿宋"/>
          <w:color w:val="000000"/>
          <w:sz w:val="24"/>
          <w:highlight w:val="none"/>
        </w:rPr>
      </w:pPr>
      <w:r>
        <w:rPr>
          <w:rFonts w:hint="eastAsia" w:ascii="仿宋" w:hAnsi="仿宋" w:eastAsia="仿宋" w:cs="宋体"/>
          <w:color w:val="000000"/>
          <w:kern w:val="0"/>
          <w:sz w:val="24"/>
          <w:highlight w:val="none"/>
        </w:rPr>
        <w:t>7</w:t>
      </w:r>
      <w:r>
        <w:rPr>
          <w:rFonts w:ascii="仿宋" w:hAnsi="仿宋" w:eastAsia="仿宋" w:cs="宋体"/>
          <w:color w:val="000000"/>
          <w:kern w:val="0"/>
          <w:sz w:val="24"/>
          <w:highlight w:val="none"/>
        </w:rPr>
        <w:t>.</w:t>
      </w:r>
      <w:r>
        <w:rPr>
          <w:rFonts w:hint="eastAsia" w:ascii="仿宋" w:hAnsi="仿宋" w:eastAsia="仿宋" w:cs="宋体"/>
          <w:color w:val="000000"/>
          <w:kern w:val="0"/>
          <w:sz w:val="24"/>
          <w:highlight w:val="none"/>
        </w:rPr>
        <w:t>4</w:t>
      </w:r>
      <w:r>
        <w:rPr>
          <w:rFonts w:hint="eastAsia" w:ascii="仿宋" w:hAnsi="仿宋" w:eastAsia="仿宋" w:cs="仿宋"/>
          <w:color w:val="000000"/>
          <w:sz w:val="24"/>
          <w:highlight w:val="none"/>
        </w:rPr>
        <w:t xml:space="preserve"> </w:t>
      </w:r>
      <w:r>
        <w:rPr>
          <w:rFonts w:hint="eastAsia" w:ascii="仿宋" w:hAnsi="仿宋" w:eastAsia="仿宋" w:cs="宋体"/>
          <w:color w:val="000000"/>
          <w:kern w:val="0"/>
          <w:sz w:val="24"/>
          <w:highlight w:val="none"/>
        </w:rPr>
        <w:t>所有关于</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的澄清和修改均作为</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的补充部分。</w:t>
      </w:r>
      <w:r>
        <w:rPr>
          <w:rFonts w:hint="eastAsia" w:ascii="仿宋" w:hAnsi="仿宋" w:eastAsia="仿宋" w:cs="仿宋"/>
          <w:color w:val="000000"/>
          <w:sz w:val="24"/>
          <w:highlight w:val="none"/>
        </w:rPr>
        <w:t>当磋商文件、磋商文件的澄清或修改等在同一内容的表述上不一致时，以最后发出的书面文件为准。</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8.磋商响应预备会</w:t>
      </w:r>
    </w:p>
    <w:p>
      <w:pPr>
        <w:spacing w:line="360" w:lineRule="auto"/>
        <w:textAlignment w:val="baseline"/>
        <w:rPr>
          <w:rFonts w:hint="eastAsia" w:ascii="仿宋" w:hAnsi="仿宋" w:eastAsia="仿宋" w:cs="宋体"/>
          <w:color w:val="000000"/>
          <w:sz w:val="24"/>
          <w:highlight w:val="none"/>
          <w:u w:val="single"/>
          <w:lang w:eastAsia="zh-CN"/>
        </w:rPr>
      </w:pPr>
      <w:r>
        <w:rPr>
          <w:rFonts w:hint="eastAsia" w:ascii="仿宋" w:hAnsi="仿宋" w:eastAsia="仿宋" w:cs="宋体"/>
          <w:color w:val="000000"/>
          <w:sz w:val="24"/>
          <w:highlight w:val="none"/>
        </w:rPr>
        <w:t>采购人认为必要时，将召开磋商响应预备会(答疑会)，公开解答潜在供应商对磋商文件提出的疑问</w:t>
      </w:r>
      <w:r>
        <w:rPr>
          <w:rFonts w:hint="eastAsia" w:ascii="仿宋" w:hAnsi="仿宋" w:eastAsia="仿宋" w:cs="宋体"/>
          <w:color w:val="000000"/>
          <w:sz w:val="24"/>
          <w:highlight w:val="none"/>
          <w:lang w:eastAsia="zh-CN"/>
        </w:rPr>
        <w:t>。</w:t>
      </w:r>
    </w:p>
    <w:p>
      <w:pPr>
        <w:pStyle w:val="5"/>
        <w:numPr>
          <w:ilvl w:val="0"/>
          <w:numId w:val="0"/>
        </w:numPr>
        <w:spacing w:after="0" w:line="360" w:lineRule="auto"/>
        <w:jc w:val="center"/>
        <w:rPr>
          <w:rFonts w:hint="eastAsia" w:ascii="仿宋" w:hAnsi="仿宋" w:eastAsia="仿宋" w:cs="仿宋"/>
          <w:color w:val="000000"/>
          <w:sz w:val="24"/>
          <w:szCs w:val="24"/>
          <w:highlight w:val="none"/>
        </w:rPr>
      </w:pPr>
      <w:bookmarkStart w:id="62" w:name="_Toc287600121"/>
      <w:bookmarkStart w:id="63" w:name="_Toc13691"/>
      <w:bookmarkStart w:id="64" w:name="_Toc31141"/>
      <w:bookmarkStart w:id="65" w:name="_Toc19783316"/>
      <w:bookmarkStart w:id="66" w:name="_Toc14308"/>
      <w:bookmarkStart w:id="67" w:name="_Toc16985"/>
      <w:bookmarkStart w:id="68" w:name="_Toc444891339"/>
      <w:bookmarkStart w:id="69" w:name="_Toc517281819"/>
      <w:bookmarkStart w:id="70" w:name="_Toc27642"/>
      <w:bookmarkStart w:id="71" w:name="_Toc27563"/>
      <w:r>
        <w:rPr>
          <w:rFonts w:hint="eastAsia" w:ascii="仿宋" w:hAnsi="仿宋" w:eastAsia="仿宋" w:cs="仿宋"/>
          <w:color w:val="000000"/>
          <w:sz w:val="24"/>
          <w:szCs w:val="24"/>
          <w:highlight w:val="none"/>
        </w:rPr>
        <w:t>（三）响应文件</w:t>
      </w:r>
      <w:bookmarkEnd w:id="62"/>
      <w:bookmarkEnd w:id="63"/>
      <w:bookmarkEnd w:id="64"/>
      <w:bookmarkEnd w:id="65"/>
      <w:bookmarkEnd w:id="66"/>
      <w:bookmarkEnd w:id="67"/>
      <w:bookmarkEnd w:id="68"/>
      <w:bookmarkEnd w:id="69"/>
      <w:bookmarkEnd w:id="70"/>
      <w:bookmarkEnd w:id="71"/>
    </w:p>
    <w:p>
      <w:pPr>
        <w:pStyle w:val="6"/>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9</w:t>
      </w:r>
      <w:r>
        <w:rPr>
          <w:rFonts w:hint="eastAsia" w:ascii="仿宋" w:hAnsi="仿宋" w:eastAsia="仿宋" w:cs="仿宋"/>
          <w:color w:val="000000"/>
          <w:sz w:val="24"/>
          <w:szCs w:val="24"/>
          <w:highlight w:val="none"/>
        </w:rPr>
        <w:t>.响应文件的组成</w:t>
      </w:r>
    </w:p>
    <w:p>
      <w:pPr>
        <w:spacing w:line="360" w:lineRule="auto"/>
        <w:jc w:val="left"/>
        <w:rPr>
          <w:rFonts w:hint="eastAsia" w:ascii="仿宋" w:hAnsi="仿宋" w:eastAsia="仿宋" w:cs="仿宋"/>
          <w:color w:val="000000"/>
          <w:sz w:val="24"/>
          <w:highlight w:val="none"/>
        </w:rPr>
      </w:pPr>
      <w:r>
        <w:rPr>
          <w:rFonts w:hint="eastAsia" w:ascii="仿宋" w:hAnsi="仿宋" w:eastAsia="仿宋" w:cs="宋体"/>
          <w:color w:val="000000"/>
          <w:sz w:val="24"/>
          <w:highlight w:val="none"/>
        </w:rPr>
        <w:t>供应商应当按照供应商须知前附表的要求制作并提交响应文件，具体组成</w:t>
      </w:r>
      <w:r>
        <w:rPr>
          <w:rFonts w:hint="eastAsia" w:ascii="仿宋" w:hAnsi="仿宋" w:eastAsia="仿宋" w:cs="仿宋"/>
          <w:color w:val="000000"/>
          <w:sz w:val="24"/>
          <w:highlight w:val="none"/>
          <w:u w:val="single"/>
        </w:rPr>
        <w:t>见本须知前附表</w:t>
      </w:r>
      <w:r>
        <w:rPr>
          <w:rFonts w:hint="eastAsia" w:ascii="仿宋" w:hAnsi="仿宋" w:eastAsia="仿宋" w:cs="仿宋"/>
          <w:color w:val="000000"/>
          <w:sz w:val="24"/>
          <w:highlight w:val="none"/>
        </w:rPr>
        <w:t>。</w:t>
      </w:r>
    </w:p>
    <w:p>
      <w:pPr>
        <w:pStyle w:val="6"/>
        <w:spacing w:before="0" w:after="0" w:line="360" w:lineRule="auto"/>
        <w:jc w:val="left"/>
        <w:rPr>
          <w:rFonts w:ascii="仿宋" w:hAnsi="仿宋" w:eastAsia="仿宋" w:cs="仿宋"/>
          <w:color w:val="000000"/>
          <w:sz w:val="24"/>
          <w:szCs w:val="24"/>
          <w:highlight w:val="none"/>
        </w:rPr>
      </w:pPr>
      <w:r>
        <w:rPr>
          <w:rFonts w:ascii="仿宋" w:hAnsi="仿宋" w:eastAsia="仿宋" w:cs="仿宋"/>
          <w:color w:val="000000"/>
          <w:sz w:val="24"/>
          <w:szCs w:val="24"/>
          <w:highlight w:val="none"/>
        </w:rPr>
        <w:t>10</w:t>
      </w:r>
      <w:r>
        <w:rPr>
          <w:rFonts w:hint="eastAsia" w:ascii="仿宋" w:hAnsi="仿宋" w:eastAsia="仿宋" w:cs="仿宋"/>
          <w:color w:val="000000"/>
          <w:sz w:val="24"/>
          <w:szCs w:val="24"/>
          <w:highlight w:val="none"/>
        </w:rPr>
        <w:t>.响应文件的编制</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 xml:space="preserve">.1 供应商应当按照磋商文件的要求编制响应文件，并对其提交的响应文件的真实性、合法性承担法律责任。响应文件应当对磋商文件提出的实质性要求和条件作出响应。 </w:t>
      </w:r>
    </w:p>
    <w:p>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 xml:space="preserve">.2 供应商应认真阅读磋商文件中所有的事项、格式、条款和技术规范等。供应商没有按照磋商文件要求递交全部资料，或者供应商没有对磋商文件在各方面都作出实质性响应是供应商的风险，并可能导致其磋商响应被否决。 </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 xml:space="preserve">0.3 </w:t>
      </w:r>
      <w:r>
        <w:rPr>
          <w:rFonts w:hint="eastAsia" w:ascii="仿宋" w:hAnsi="仿宋" w:eastAsia="仿宋" w:cs="宋体"/>
          <w:color w:val="000000"/>
          <w:kern w:val="0"/>
          <w:sz w:val="24"/>
          <w:highlight w:val="none"/>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磋商文件中要求进行解释或提出建议的除外）。</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 xml:space="preserve">0.4 </w:t>
      </w:r>
      <w:r>
        <w:rPr>
          <w:rFonts w:hint="eastAsia" w:ascii="仿宋" w:hAnsi="仿宋" w:eastAsia="仿宋" w:cs="宋体"/>
          <w:color w:val="000000"/>
          <w:kern w:val="0"/>
          <w:sz w:val="24"/>
          <w:highlight w:val="none"/>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磋商文件中要求进行解释或提出建议的除外）。</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5</w:t>
      </w:r>
      <w:r>
        <w:rPr>
          <w:rFonts w:hint="eastAsia" w:ascii="仿宋" w:hAnsi="仿宋" w:eastAsia="仿宋" w:cs="宋体"/>
          <w:color w:val="000000"/>
          <w:kern w:val="0"/>
          <w:sz w:val="24"/>
          <w:highlight w:val="none"/>
        </w:rPr>
        <w:t xml:space="preserve"> 供应商提交的响应文件以及供应商与采购人就有关磋商的所有往来函电均应使用中文。供应商提交的证明文件和印刷的文献可以使用另一种语言，但相应内容应当译成中文，在解释响应文件时以中文译本为准。</w:t>
      </w:r>
    </w:p>
    <w:p>
      <w:pPr>
        <w:widowControl/>
        <w:topLinePunct/>
        <w:spacing w:line="360" w:lineRule="auto"/>
        <w:rPr>
          <w:rFonts w:hint="eastAsia" w:ascii="仿宋" w:hAnsi="仿宋" w:eastAsia="仿宋" w:cs="宋体"/>
          <w:color w:val="000000"/>
          <w:kern w:val="0"/>
          <w:sz w:val="24"/>
          <w:highlight w:val="none"/>
          <w:u w:val="singl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6</w:t>
      </w:r>
      <w:r>
        <w:rPr>
          <w:rFonts w:hint="eastAsia" w:ascii="仿宋" w:hAnsi="仿宋" w:eastAsia="仿宋" w:cs="宋体"/>
          <w:color w:val="000000"/>
          <w:kern w:val="0"/>
          <w:sz w:val="24"/>
          <w:highlight w:val="none"/>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72" w:name="_Hlk173250545"/>
      <w:r>
        <w:rPr>
          <w:rFonts w:hint="eastAsia" w:ascii="仿宋" w:hAnsi="仿宋" w:eastAsia="仿宋" w:cs="宋体"/>
          <w:color w:val="000000"/>
          <w:kern w:val="0"/>
          <w:sz w:val="24"/>
          <w:highlight w:val="none"/>
        </w:rPr>
        <w:t>盖章或者签字另有要求的，</w:t>
      </w:r>
      <w:r>
        <w:rPr>
          <w:rFonts w:hint="eastAsia" w:ascii="仿宋" w:hAnsi="仿宋" w:eastAsia="仿宋" w:cs="宋体"/>
          <w:color w:val="000000"/>
          <w:kern w:val="0"/>
          <w:sz w:val="24"/>
          <w:highlight w:val="none"/>
          <w:u w:val="single"/>
        </w:rPr>
        <w:t>见本须知前附表。</w:t>
      </w:r>
    </w:p>
    <w:bookmarkEnd w:id="72"/>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ascii="仿宋" w:hAnsi="仿宋" w:eastAsia="仿宋" w:cs="仿宋"/>
          <w:color w:val="000000"/>
          <w:sz w:val="24"/>
          <w:highlight w:val="none"/>
        </w:rPr>
        <w:t>0.7</w:t>
      </w:r>
      <w:r>
        <w:rPr>
          <w:rFonts w:hint="eastAsia" w:ascii="仿宋" w:hAnsi="仿宋" w:eastAsia="仿宋" w:cs="仿宋"/>
          <w:color w:val="000000"/>
          <w:sz w:val="24"/>
          <w:highlight w:val="none"/>
        </w:rPr>
        <w:t>除工程规范另有规定外，响应文件使用的度量衡单位，均采用中华人民共和国法定计量单位。</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11.磋商响应报价</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供应商应当根据磋商文件要求进行报价，供应商应当报出符合磋商文件要求的拟提供货物或服务的单价、总价、费率、税率等内容，采购人不接受供应商的任何低于成本报价的不正当竞争方式，其他报价要求</w:t>
      </w:r>
      <w:r>
        <w:rPr>
          <w:rFonts w:hint="eastAsia" w:ascii="仿宋" w:hAnsi="仿宋" w:eastAsia="仿宋" w:cs="仿宋"/>
          <w:color w:val="000000"/>
          <w:sz w:val="24"/>
          <w:highlight w:val="none"/>
        </w:rPr>
        <w:t>见</w:t>
      </w:r>
      <w:r>
        <w:rPr>
          <w:rFonts w:hint="eastAsia" w:ascii="仿宋" w:hAnsi="仿宋" w:eastAsia="仿宋" w:cs="仿宋"/>
          <w:color w:val="000000"/>
          <w:sz w:val="24"/>
          <w:highlight w:val="none"/>
          <w:u w:val="single"/>
        </w:rPr>
        <w:t>供应商须知前附表</w:t>
      </w:r>
      <w:r>
        <w:rPr>
          <w:rFonts w:hint="eastAsia" w:ascii="仿宋" w:hAnsi="仿宋" w:eastAsia="仿宋" w:cs="仿宋"/>
          <w:color w:val="000000"/>
          <w:sz w:val="24"/>
          <w:highlight w:val="none"/>
        </w:rPr>
        <w:t>。</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2</w:t>
      </w:r>
      <w:r>
        <w:rPr>
          <w:rFonts w:hint="eastAsia" w:ascii="仿宋" w:hAnsi="仿宋" w:eastAsia="仿宋" w:cs="仿宋"/>
          <w:color w:val="000000"/>
          <w:sz w:val="24"/>
          <w:szCs w:val="24"/>
          <w:highlight w:val="none"/>
        </w:rPr>
        <w:t>.磋商响应有效期</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12</w:t>
      </w:r>
      <w:r>
        <w:rPr>
          <w:rFonts w:hint="eastAsia" w:ascii="仿宋" w:hAnsi="仿宋" w:eastAsia="仿宋" w:cs="宋体"/>
          <w:color w:val="000000"/>
          <w:kern w:val="0"/>
          <w:sz w:val="24"/>
          <w:highlight w:val="none"/>
        </w:rPr>
        <w:t>.1 磋商响应有效期从响应文件递交截止之日起算，具体时间</w:t>
      </w:r>
      <w:r>
        <w:rPr>
          <w:rFonts w:hint="eastAsia" w:ascii="仿宋" w:hAnsi="仿宋" w:eastAsia="仿宋" w:cs="宋体"/>
          <w:color w:val="000000"/>
          <w:kern w:val="0"/>
          <w:sz w:val="24"/>
          <w:highlight w:val="none"/>
          <w:u w:val="single"/>
        </w:rPr>
        <w:t>见本须知前附表</w:t>
      </w:r>
      <w:r>
        <w:rPr>
          <w:rFonts w:hint="eastAsia" w:ascii="仿宋" w:hAnsi="仿宋" w:eastAsia="仿宋" w:cs="宋体"/>
          <w:color w:val="000000"/>
          <w:kern w:val="0"/>
          <w:sz w:val="24"/>
          <w:highlight w:val="none"/>
        </w:rPr>
        <w:t>，在此期间，供应商不得要求撤销或修改其响应文件。供应商承诺的磋商响应有效期必须不短于磋商文件规定的磋商响应有效期，否则将构成对磋商文件的非实质性响应，磋商响应将被否决。</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12</w:t>
      </w:r>
      <w:r>
        <w:rPr>
          <w:rFonts w:hint="eastAsia" w:ascii="仿宋" w:hAnsi="仿宋" w:eastAsia="仿宋" w:cs="宋体"/>
          <w:color w:val="000000"/>
          <w:kern w:val="0"/>
          <w:sz w:val="24"/>
          <w:highlight w:val="none"/>
        </w:rPr>
        <w:t>.2 在原磋商响应有效期结束前，出现特殊情况的，采购人可以书面形式要求所有供应商延长磋商响应有效期。供应商同意延长的，不得要求或被允许修改其响应文件的实质性内容</w:t>
      </w:r>
      <w:r>
        <w:rPr>
          <w:rFonts w:hint="eastAsia" w:ascii="仿宋" w:hAnsi="仿宋" w:eastAsia="仿宋" w:cs="宋体"/>
          <w:color w:val="000000"/>
          <w:kern w:val="0"/>
          <w:sz w:val="24"/>
          <w:highlight w:val="none"/>
          <w:lang w:eastAsia="zh-CN"/>
        </w:rPr>
        <w:t>。</w:t>
      </w:r>
      <w:r>
        <w:rPr>
          <w:rFonts w:hint="eastAsia" w:ascii="仿宋" w:hAnsi="仿宋" w:eastAsia="仿宋" w:cs="宋体"/>
          <w:color w:val="000000"/>
          <w:kern w:val="0"/>
          <w:sz w:val="24"/>
          <w:highlight w:val="none"/>
        </w:rPr>
        <w:t>供应商拒绝延长的，其磋商响应失效。</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3</w:t>
      </w:r>
      <w:r>
        <w:rPr>
          <w:rFonts w:hint="eastAsia" w:ascii="仿宋" w:hAnsi="仿宋" w:eastAsia="仿宋" w:cs="仿宋"/>
          <w:color w:val="000000"/>
          <w:sz w:val="24"/>
          <w:szCs w:val="24"/>
          <w:highlight w:val="none"/>
        </w:rPr>
        <w:t>.磋商保证金</w:t>
      </w:r>
    </w:p>
    <w:p>
      <w:pPr>
        <w:spacing w:line="360" w:lineRule="auto"/>
        <w:jc w:val="left"/>
        <w:rPr>
          <w:rFonts w:ascii="仿宋" w:hAnsi="仿宋" w:eastAsia="仿宋" w:cs="仿宋"/>
          <w:color w:val="000000"/>
          <w:sz w:val="24"/>
          <w:highlight w:val="none"/>
        </w:rPr>
      </w:pPr>
      <w:r>
        <w:rPr>
          <w:rFonts w:hint="eastAsia" w:ascii="仿宋" w:hAnsi="仿宋" w:eastAsia="仿宋" w:cs="仿宋"/>
          <w:color w:val="000000"/>
          <w:sz w:val="24"/>
          <w:highlight w:val="none"/>
        </w:rPr>
        <w:t>1</w:t>
      </w:r>
      <w:r>
        <w:rPr>
          <w:rFonts w:ascii="仿宋" w:hAnsi="仿宋" w:eastAsia="仿宋" w:cs="仿宋"/>
          <w:color w:val="000000"/>
          <w:sz w:val="24"/>
          <w:highlight w:val="none"/>
        </w:rPr>
        <w:t>3</w:t>
      </w:r>
      <w:r>
        <w:rPr>
          <w:rFonts w:hint="eastAsia" w:ascii="仿宋" w:hAnsi="仿宋" w:eastAsia="仿宋" w:cs="仿宋"/>
          <w:color w:val="000000"/>
          <w:sz w:val="24"/>
          <w:highlight w:val="none"/>
        </w:rPr>
        <w:t>.1</w:t>
      </w:r>
      <w:r>
        <w:rPr>
          <w:rFonts w:hint="eastAsia" w:ascii="仿宋" w:hAnsi="仿宋" w:eastAsia="仿宋" w:cs="宋体"/>
          <w:color w:val="000000"/>
          <w:kern w:val="0"/>
          <w:sz w:val="24"/>
          <w:highlight w:val="none"/>
        </w:rPr>
        <w:t>采购人要求</w:t>
      </w:r>
      <w:r>
        <w:rPr>
          <w:rFonts w:hint="eastAsia" w:ascii="仿宋" w:hAnsi="仿宋" w:eastAsia="仿宋" w:cs="仿宋"/>
          <w:color w:val="000000"/>
          <w:sz w:val="24"/>
          <w:highlight w:val="none"/>
        </w:rPr>
        <w:t>供应商</w:t>
      </w:r>
      <w:r>
        <w:rPr>
          <w:rFonts w:hint="eastAsia" w:ascii="仿宋" w:hAnsi="仿宋" w:eastAsia="仿宋" w:cs="宋体"/>
          <w:color w:val="000000"/>
          <w:kern w:val="0"/>
          <w:sz w:val="24"/>
          <w:highlight w:val="none"/>
        </w:rPr>
        <w:t>提交磋商保证金的，磋商</w:t>
      </w:r>
      <w:r>
        <w:rPr>
          <w:rFonts w:hint="eastAsia" w:ascii="仿宋" w:hAnsi="仿宋" w:eastAsia="仿宋" w:cs="仿宋"/>
          <w:color w:val="000000"/>
          <w:sz w:val="24"/>
          <w:highlight w:val="none"/>
        </w:rPr>
        <w:t>保证金数额应当不超过采购项目预算的2%，磋商保证金有效期与磋商响应有效期一致，本项目磋商保证金金额、形式见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pPr>
        <w:widowControl/>
        <w:topLinePunct/>
        <w:spacing w:line="360" w:lineRule="auto"/>
        <w:rPr>
          <w:rFonts w:ascii="仿宋" w:hAnsi="仿宋" w:eastAsia="仿宋" w:cs="仿宋"/>
          <w:kern w:val="0"/>
          <w:sz w:val="24"/>
          <w:highlight w:val="none"/>
          <w:lang w:bidi="ar"/>
        </w:rPr>
      </w:pPr>
      <w:r>
        <w:rPr>
          <w:rFonts w:ascii="仿宋" w:hAnsi="仿宋" w:eastAsia="仿宋" w:cs="仿宋"/>
          <w:color w:val="000000"/>
          <w:sz w:val="24"/>
          <w:highlight w:val="none"/>
        </w:rPr>
        <w:t>13.2</w:t>
      </w:r>
      <w:r>
        <w:rPr>
          <w:rFonts w:hint="eastAsia" w:ascii="仿宋" w:hAnsi="仿宋" w:eastAsia="仿宋" w:cs="仿宋"/>
          <w:kern w:val="0"/>
          <w:sz w:val="24"/>
          <w:highlight w:val="none"/>
          <w:lang w:bidi="ar"/>
        </w:rPr>
        <w:t>供应商或成交供应商出现下列行为之一，</w:t>
      </w:r>
      <w:r>
        <w:rPr>
          <w:rFonts w:hint="eastAsia" w:ascii="仿宋" w:hAnsi="仿宋" w:eastAsia="仿宋" w:cs="宋体"/>
          <w:sz w:val="24"/>
          <w:highlight w:val="none"/>
        </w:rPr>
        <w:t>磋商</w:t>
      </w:r>
      <w:r>
        <w:rPr>
          <w:rFonts w:hint="eastAsia" w:ascii="仿宋" w:hAnsi="仿宋" w:eastAsia="仿宋" w:cs="仿宋"/>
          <w:kern w:val="0"/>
          <w:sz w:val="24"/>
          <w:highlight w:val="none"/>
          <w:lang w:bidi="ar"/>
        </w:rPr>
        <w:t>保证金不予退还：</w:t>
      </w:r>
    </w:p>
    <w:p>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（1）供应商在磋商截止后至磋商有效期期满前,要求撤回已递交的响应文件；</w:t>
      </w:r>
    </w:p>
    <w:p>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（2）成交后放弃成交的；</w:t>
      </w:r>
    </w:p>
    <w:p>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（3）成交后无正当理由不与采购人订立合同的；</w:t>
      </w:r>
    </w:p>
    <w:p>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（4）成交供应商在签订合同时向采购人提出附加条件或要求变更实质性合同条款的；</w:t>
      </w:r>
    </w:p>
    <w:p>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（5）成交供应商不按照磋商文件要求提交履约保证金的；</w:t>
      </w:r>
    </w:p>
    <w:p>
      <w:pPr>
        <w:pStyle w:val="2"/>
        <w:spacing w:line="360" w:lineRule="auto"/>
        <w:jc w:val="left"/>
        <w:rPr>
          <w:rStyle w:val="89"/>
          <w:rFonts w:hint="default"/>
          <w:highlight w:val="none"/>
        </w:rPr>
      </w:pPr>
      <w:r>
        <w:rPr>
          <w:rFonts w:hint="eastAsia" w:ascii="仿宋" w:hAnsi="仿宋" w:eastAsia="仿宋" w:cs="仿宋"/>
          <w:kern w:val="0"/>
          <w:sz w:val="24"/>
          <w:highlight w:val="none"/>
          <w:lang w:bidi="ar"/>
        </w:rPr>
        <w:t>（6）供应商有恶意欺诈、弄虚作假、围标串标、哄抬标价、徇私行贿等法律法规中所列违规行为的</w:t>
      </w:r>
      <w:r>
        <w:rPr>
          <w:rStyle w:val="89"/>
          <w:rFonts w:hint="default"/>
          <w:highlight w:val="none"/>
        </w:rPr>
        <w:t>。</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4</w:t>
      </w:r>
      <w:r>
        <w:rPr>
          <w:rFonts w:hint="eastAsia" w:ascii="仿宋" w:hAnsi="仿宋" w:eastAsia="仿宋" w:cs="仿宋"/>
          <w:color w:val="000000"/>
          <w:sz w:val="24"/>
          <w:szCs w:val="24"/>
          <w:highlight w:val="none"/>
        </w:rPr>
        <w:t>.响应文件的式样、密封和标记</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14</w:t>
      </w:r>
      <w:r>
        <w:rPr>
          <w:rFonts w:hint="eastAsia" w:ascii="仿宋" w:hAnsi="仿宋" w:eastAsia="仿宋" w:cs="宋体"/>
          <w:color w:val="000000"/>
          <w:kern w:val="0"/>
          <w:sz w:val="24"/>
          <w:highlight w:val="none"/>
        </w:rPr>
        <w:t>.1 供应商应当编制一份响应文件“正本”和</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所述份数的“副本”和“电子版”，副本为正本复印件。纸质版文件与电子版文件不一致时，以</w:t>
      </w:r>
      <w:r>
        <w:rPr>
          <w:rFonts w:hint="eastAsia" w:ascii="仿宋" w:hAnsi="仿宋" w:eastAsia="仿宋" w:cs="宋体"/>
          <w:b/>
          <w:bCs/>
          <w:kern w:val="0"/>
          <w:sz w:val="24"/>
          <w:highlight w:val="none"/>
          <w:lang w:eastAsia="zh-Hans"/>
        </w:rPr>
        <w:t>电子版</w:t>
      </w:r>
      <w:r>
        <w:rPr>
          <w:rFonts w:hint="eastAsia" w:ascii="仿宋" w:hAnsi="仿宋" w:eastAsia="仿宋" w:cs="宋体"/>
          <w:color w:val="000000"/>
          <w:kern w:val="0"/>
          <w:sz w:val="24"/>
          <w:highlight w:val="none"/>
        </w:rPr>
        <w:t>文件为准;响应文件正本与副本不一致时，以正本为准</w:t>
      </w:r>
      <w:r>
        <w:rPr>
          <w:rFonts w:hint="eastAsia" w:ascii="仿宋" w:hAnsi="仿宋" w:eastAsia="仿宋" w:cs="宋体"/>
          <w:color w:val="000000"/>
          <w:kern w:val="0"/>
          <w:sz w:val="24"/>
          <w:highlight w:val="none"/>
          <w:lang w:eastAsia="zh-CN"/>
        </w:rPr>
        <w:t>。</w:t>
      </w:r>
      <w:r>
        <w:rPr>
          <w:rFonts w:hint="eastAsia" w:ascii="仿宋" w:hAnsi="仿宋" w:eastAsia="仿宋" w:cs="宋体"/>
          <w:color w:val="000000"/>
          <w:kern w:val="0"/>
          <w:sz w:val="24"/>
          <w:highlight w:val="none"/>
        </w:rPr>
        <w:t xml:space="preserve"> </w:t>
      </w:r>
    </w:p>
    <w:p>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14</w:t>
      </w:r>
      <w:r>
        <w:rPr>
          <w:rFonts w:hint="eastAsia" w:ascii="仿宋" w:hAnsi="仿宋" w:eastAsia="仿宋" w:cs="宋体"/>
          <w:color w:val="000000"/>
          <w:kern w:val="0"/>
          <w:sz w:val="24"/>
          <w:highlight w:val="none"/>
        </w:rPr>
        <w:t>.2 每份纸质文件响应文件的正本、副本应当分别装订，并于封面上明确标明“正本”“副本”字样。具体要求</w:t>
      </w:r>
      <w:r>
        <w:rPr>
          <w:rFonts w:hint="eastAsia" w:ascii="仿宋" w:hAnsi="仿宋" w:eastAsia="仿宋" w:cs="宋体"/>
          <w:color w:val="000000"/>
          <w:kern w:val="0"/>
          <w:sz w:val="24"/>
          <w:highlight w:val="none"/>
          <w:u w:val="single"/>
        </w:rPr>
        <w:t>见本须知前附表</w:t>
      </w:r>
      <w:r>
        <w:rPr>
          <w:rFonts w:hint="eastAsia" w:ascii="仿宋" w:hAnsi="仿宋" w:eastAsia="仿宋" w:cs="宋体"/>
          <w:color w:val="000000"/>
          <w:kern w:val="0"/>
          <w:sz w:val="24"/>
          <w:highlight w:val="none"/>
        </w:rPr>
        <w:t>。</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14</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 xml:space="preserve"> 对于磋商文件中提及的原件或复印件要求，照片件、扫描件、影印件、截图件等与其具有同等效力（磋商文件有特殊要求的除外）。</w:t>
      </w:r>
    </w:p>
    <w:p>
      <w:pPr>
        <w:pStyle w:val="5"/>
        <w:spacing w:after="0" w:line="360" w:lineRule="auto"/>
        <w:ind w:firstLine="482"/>
        <w:rPr>
          <w:rFonts w:hint="eastAsia" w:ascii="仿宋" w:hAnsi="仿宋" w:eastAsia="仿宋" w:cs="仿宋"/>
          <w:color w:val="000000"/>
          <w:sz w:val="24"/>
          <w:szCs w:val="24"/>
          <w:highlight w:val="none"/>
        </w:rPr>
      </w:pPr>
      <w:bookmarkStart w:id="73" w:name="_Toc444891340"/>
      <w:bookmarkStart w:id="74" w:name="_Toc21600"/>
      <w:bookmarkStart w:id="75" w:name="_Toc14726"/>
      <w:bookmarkStart w:id="76" w:name="_Toc4155"/>
      <w:bookmarkStart w:id="77" w:name="_Toc287600122"/>
      <w:bookmarkStart w:id="78" w:name="_Toc18673"/>
      <w:bookmarkStart w:id="79" w:name="_Toc7129"/>
      <w:bookmarkStart w:id="80" w:name="_Toc517281820"/>
      <w:bookmarkStart w:id="81" w:name="_Toc19783317"/>
      <w:bookmarkStart w:id="82" w:name="_Toc17865"/>
      <w:r>
        <w:rPr>
          <w:rFonts w:hint="eastAsia" w:ascii="仿宋" w:hAnsi="仿宋" w:eastAsia="仿宋" w:cs="仿宋"/>
          <w:color w:val="000000"/>
          <w:sz w:val="24"/>
          <w:szCs w:val="24"/>
          <w:highlight w:val="none"/>
        </w:rPr>
        <w:t>（四）响应文件的</w:t>
      </w:r>
      <w:bookmarkEnd w:id="73"/>
      <w:bookmarkEnd w:id="74"/>
      <w:bookmarkEnd w:id="75"/>
      <w:bookmarkEnd w:id="76"/>
      <w:bookmarkEnd w:id="77"/>
      <w:bookmarkEnd w:id="78"/>
      <w:bookmarkEnd w:id="79"/>
      <w:bookmarkEnd w:id="80"/>
      <w:bookmarkEnd w:id="81"/>
      <w:r>
        <w:rPr>
          <w:rFonts w:hint="eastAsia" w:ascii="仿宋" w:hAnsi="仿宋" w:eastAsia="仿宋" w:cs="仿宋"/>
          <w:color w:val="000000"/>
          <w:sz w:val="24"/>
          <w:szCs w:val="24"/>
          <w:highlight w:val="none"/>
        </w:rPr>
        <w:t>递交</w:t>
      </w:r>
      <w:bookmarkEnd w:id="82"/>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5</w:t>
      </w:r>
      <w:r>
        <w:rPr>
          <w:rFonts w:hint="eastAsia" w:ascii="仿宋" w:hAnsi="仿宋" w:eastAsia="仿宋" w:cs="仿宋"/>
          <w:color w:val="000000"/>
          <w:sz w:val="24"/>
          <w:szCs w:val="24"/>
          <w:highlight w:val="none"/>
        </w:rPr>
        <w:t>.响应文件的递交</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ascii="仿宋" w:hAnsi="仿宋" w:eastAsia="仿宋" w:cs="仿宋"/>
          <w:color w:val="000000"/>
          <w:sz w:val="24"/>
          <w:highlight w:val="none"/>
        </w:rPr>
        <w:t>5</w:t>
      </w:r>
      <w:r>
        <w:rPr>
          <w:rFonts w:hint="eastAsia" w:ascii="仿宋" w:hAnsi="仿宋" w:eastAsia="仿宋" w:cs="仿宋"/>
          <w:color w:val="000000"/>
          <w:sz w:val="24"/>
          <w:highlight w:val="none"/>
        </w:rPr>
        <w:t>.1供应商应按</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规定的时间、方式递交响应文件。</w:t>
      </w:r>
    </w:p>
    <w:p>
      <w:pPr>
        <w:spacing w:line="360" w:lineRule="auto"/>
        <w:jc w:val="left"/>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15.2出现下列情形之一时，</w:t>
      </w:r>
      <w:r>
        <w:rPr>
          <w:rFonts w:hint="eastAsia" w:ascii="仿宋" w:hAnsi="仿宋" w:eastAsia="仿宋" w:cs="宋体"/>
          <w:b/>
          <w:bCs/>
          <w:color w:val="000000"/>
          <w:sz w:val="24"/>
          <w:highlight w:val="none"/>
        </w:rPr>
        <w:t>响应文件不予接收或已经递交的响应文件无效；</w:t>
      </w:r>
    </w:p>
    <w:p>
      <w:pPr>
        <w:spacing w:line="360" w:lineRule="auto"/>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（1）电子响应文件逾期递交的；</w:t>
      </w:r>
    </w:p>
    <w:p>
      <w:pPr>
        <w:spacing w:line="360" w:lineRule="auto"/>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（2）纸质响应文件逾期递交或者未送达指定地点或者未按照磋商文件要求封装的；</w:t>
      </w:r>
    </w:p>
    <w:p>
      <w:pPr>
        <w:spacing w:line="360" w:lineRule="auto"/>
        <w:jc w:val="left"/>
        <w:rPr>
          <w:rFonts w:hint="eastAsia" w:ascii="仿宋" w:hAnsi="仿宋" w:eastAsia="仿宋" w:cs="宋体"/>
          <w:sz w:val="24"/>
          <w:highlight w:val="none"/>
        </w:rPr>
      </w:pPr>
      <w:r>
        <w:rPr>
          <w:rFonts w:hint="eastAsia" w:ascii="仿宋" w:hAnsi="仿宋" w:eastAsia="仿宋" w:cs="宋体"/>
          <w:color w:val="000000"/>
          <w:sz w:val="24"/>
          <w:highlight w:val="none"/>
        </w:rPr>
        <w:t>（3）未通过资格预审的申请供应商递交的；</w:t>
      </w:r>
      <w:r>
        <w:rPr>
          <w:rFonts w:hint="eastAsia" w:ascii="仿宋" w:hAnsi="仿宋" w:eastAsia="仿宋" w:cs="宋体"/>
          <w:i/>
          <w:sz w:val="24"/>
          <w:highlight w:val="none"/>
        </w:rPr>
        <w:t>（资格预审项目适用）</w:t>
      </w:r>
    </w:p>
    <w:p>
      <w:pPr>
        <w:spacing w:line="360" w:lineRule="auto"/>
        <w:jc w:val="left"/>
        <w:rPr>
          <w:rFonts w:ascii="仿宋" w:hAnsi="仿宋" w:eastAsia="仿宋" w:cs="宋体"/>
          <w:color w:val="000000"/>
          <w:sz w:val="24"/>
          <w:highlight w:val="none"/>
        </w:rPr>
      </w:pPr>
      <w:r>
        <w:rPr>
          <w:rFonts w:hint="eastAsia" w:ascii="仿宋" w:hAnsi="仿宋" w:eastAsia="仿宋" w:cs="宋体"/>
          <w:color w:val="000000"/>
          <w:sz w:val="24"/>
          <w:highlight w:val="none"/>
        </w:rPr>
        <w:t>（4）未按磋商公告或者响应公告书要求获得本项目磋商文件的。</w:t>
      </w:r>
    </w:p>
    <w:p>
      <w:pPr>
        <w:pStyle w:val="6"/>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16</w:t>
      </w:r>
      <w:r>
        <w:rPr>
          <w:rFonts w:hint="eastAsia" w:ascii="仿宋" w:hAnsi="仿宋" w:eastAsia="仿宋" w:cs="仿宋"/>
          <w:color w:val="000000"/>
          <w:sz w:val="24"/>
          <w:szCs w:val="24"/>
          <w:highlight w:val="none"/>
        </w:rPr>
        <w:t>.响应文件的修改、撤回和撤销</w:t>
      </w:r>
    </w:p>
    <w:p>
      <w:pPr>
        <w:spacing w:line="360" w:lineRule="auto"/>
        <w:jc w:val="left"/>
        <w:rPr>
          <w:rFonts w:hint="eastAsia" w:ascii="仿宋" w:hAnsi="仿宋" w:eastAsia="仿宋" w:cs="仿宋"/>
          <w:color w:val="000000"/>
          <w:sz w:val="24"/>
          <w:highlight w:val="none"/>
        </w:rPr>
      </w:pPr>
      <w:r>
        <w:rPr>
          <w:rFonts w:ascii="仿宋" w:hAnsi="仿宋" w:eastAsia="仿宋" w:cs="仿宋"/>
          <w:color w:val="000000"/>
          <w:sz w:val="24"/>
          <w:highlight w:val="none"/>
        </w:rPr>
        <w:t>16</w:t>
      </w:r>
      <w:r>
        <w:rPr>
          <w:rFonts w:hint="eastAsia" w:ascii="仿宋" w:hAnsi="仿宋" w:eastAsia="仿宋" w:cs="仿宋"/>
          <w:color w:val="000000"/>
          <w:sz w:val="24"/>
          <w:highlight w:val="none"/>
        </w:rPr>
        <w:t>.1</w:t>
      </w:r>
      <w:r>
        <w:rPr>
          <w:rFonts w:hint="eastAsia" w:ascii="仿宋" w:hAnsi="仿宋" w:eastAsia="仿宋" w:cs="宋体"/>
          <w:color w:val="000000"/>
          <w:spacing w:val="-4"/>
          <w:kern w:val="0"/>
          <w:sz w:val="24"/>
          <w:highlight w:val="none"/>
        </w:rPr>
        <w:t>在</w:t>
      </w:r>
      <w:r>
        <w:rPr>
          <w:rFonts w:hint="eastAsia" w:ascii="仿宋" w:hAnsi="仿宋" w:eastAsia="仿宋" w:cs="宋体"/>
          <w:color w:val="000000"/>
          <w:kern w:val="0"/>
          <w:sz w:val="24"/>
          <w:highlight w:val="none"/>
        </w:rPr>
        <w:t>磋商文件</w:t>
      </w:r>
      <w:r>
        <w:rPr>
          <w:rFonts w:hint="eastAsia" w:ascii="仿宋" w:hAnsi="仿宋" w:eastAsia="仿宋" w:cs="宋体"/>
          <w:color w:val="000000"/>
          <w:spacing w:val="-4"/>
          <w:kern w:val="0"/>
          <w:sz w:val="24"/>
          <w:highlight w:val="none"/>
        </w:rPr>
        <w:t>规定的</w:t>
      </w:r>
      <w:r>
        <w:rPr>
          <w:rFonts w:hint="eastAsia" w:ascii="仿宋" w:hAnsi="仿宋" w:eastAsia="仿宋" w:cs="仿宋"/>
          <w:color w:val="000000"/>
          <w:sz w:val="24"/>
          <w:highlight w:val="none"/>
        </w:rPr>
        <w:t>响应文件</w:t>
      </w:r>
      <w:r>
        <w:rPr>
          <w:rFonts w:hint="eastAsia" w:ascii="仿宋" w:hAnsi="仿宋" w:eastAsia="仿宋" w:cs="宋体"/>
          <w:color w:val="000000"/>
          <w:spacing w:val="-4"/>
          <w:kern w:val="0"/>
          <w:sz w:val="24"/>
          <w:highlight w:val="none"/>
        </w:rPr>
        <w:t>递交截止时间前，</w:t>
      </w:r>
      <w:r>
        <w:rPr>
          <w:rFonts w:hint="eastAsia" w:ascii="仿宋" w:hAnsi="仿宋" w:eastAsia="仿宋" w:cs="宋体"/>
          <w:color w:val="000000"/>
          <w:kern w:val="0"/>
          <w:sz w:val="24"/>
          <w:highlight w:val="none"/>
        </w:rPr>
        <w:t>可以补充、修改或撤回已提交的响应文件。</w:t>
      </w:r>
      <w:r>
        <w:rPr>
          <w:rFonts w:ascii="仿宋" w:hAnsi="仿宋" w:eastAsia="仿宋" w:cs="宋体"/>
          <w:color w:val="000000"/>
          <w:kern w:val="0"/>
          <w:sz w:val="24"/>
          <w:highlight w:val="none"/>
        </w:rPr>
        <w:t>补充、修改的内容为</w:t>
      </w:r>
      <w:r>
        <w:rPr>
          <w:rFonts w:hint="eastAsia" w:ascii="仿宋" w:hAnsi="仿宋" w:eastAsia="仿宋" w:cs="宋体"/>
          <w:color w:val="000000"/>
          <w:kern w:val="0"/>
          <w:sz w:val="24"/>
          <w:highlight w:val="none"/>
        </w:rPr>
        <w:t>响应</w:t>
      </w:r>
      <w:r>
        <w:rPr>
          <w:rFonts w:ascii="仿宋" w:hAnsi="仿宋" w:eastAsia="仿宋" w:cs="宋体"/>
          <w:color w:val="000000"/>
          <w:kern w:val="0"/>
          <w:sz w:val="24"/>
          <w:highlight w:val="none"/>
        </w:rPr>
        <w:t>文件的组成部分</w:t>
      </w:r>
      <w:r>
        <w:rPr>
          <w:rFonts w:hint="eastAsia" w:ascii="仿宋" w:hAnsi="仿宋" w:eastAsia="仿宋" w:cs="宋体"/>
          <w:color w:val="000000"/>
          <w:kern w:val="0"/>
          <w:sz w:val="24"/>
          <w:highlight w:val="none"/>
        </w:rPr>
        <w:t>，应当在响应文件递交截止时间前按照磋商文件的规定进行递交。</w:t>
      </w:r>
    </w:p>
    <w:p>
      <w:pPr>
        <w:pStyle w:val="2"/>
        <w:spacing w:line="360" w:lineRule="auto"/>
        <w:jc w:val="left"/>
        <w:rPr>
          <w:rFonts w:hint="eastAsia"/>
          <w:highlight w:val="none"/>
        </w:rPr>
      </w:pPr>
      <w:bookmarkStart w:id="83" w:name="_Toc332188194"/>
      <w:bookmarkStart w:id="84" w:name="_Toc152045558"/>
      <w:bookmarkStart w:id="85" w:name="_Toc326223561"/>
      <w:bookmarkStart w:id="86" w:name="_Toc152042334"/>
      <w:bookmarkStart w:id="87" w:name="_Toc247085716"/>
      <w:bookmarkStart w:id="88" w:name="_Toc246996202"/>
      <w:bookmarkStart w:id="89" w:name="_Toc179632576"/>
      <w:bookmarkStart w:id="90" w:name="_Toc246996945"/>
      <w:bookmarkStart w:id="91" w:name="_Toc334766948"/>
      <w:bookmarkStart w:id="92" w:name="_Toc144974526"/>
      <w:r>
        <w:rPr>
          <w:rFonts w:ascii="仿宋" w:hAnsi="仿宋" w:eastAsia="仿宋" w:cs="仿宋"/>
          <w:color w:val="000000"/>
          <w:sz w:val="24"/>
          <w:highlight w:val="none"/>
        </w:rPr>
        <w:t>16.2</w:t>
      </w:r>
      <w:bookmarkEnd w:id="83"/>
      <w:bookmarkEnd w:id="84"/>
      <w:bookmarkEnd w:id="85"/>
      <w:bookmarkEnd w:id="86"/>
      <w:bookmarkEnd w:id="87"/>
      <w:bookmarkEnd w:id="88"/>
      <w:bookmarkEnd w:id="89"/>
      <w:bookmarkEnd w:id="90"/>
      <w:bookmarkEnd w:id="91"/>
      <w:bookmarkEnd w:id="92"/>
      <w:r>
        <w:rPr>
          <w:rFonts w:hint="eastAsia" w:ascii="仿宋" w:hAnsi="仿宋" w:eastAsia="仿宋" w:cs="仿宋"/>
          <w:color w:val="000000"/>
          <w:sz w:val="24"/>
          <w:highlight w:val="none"/>
          <w:lang w:val="en-US" w:eastAsia="zh-CN"/>
        </w:rPr>
        <w:t xml:space="preserve"> </w:t>
      </w:r>
      <w:r>
        <w:rPr>
          <w:rFonts w:hint="eastAsia" w:ascii="仿宋" w:hAnsi="仿宋" w:eastAsia="仿宋" w:cs="宋体"/>
          <w:color w:val="000000"/>
          <w:kern w:val="0"/>
          <w:sz w:val="24"/>
          <w:highlight w:val="none"/>
        </w:rPr>
        <w:t>响应文件递交截止时间后，供应商在响应有效期内撤销其响应文件，磋商保证金不予退还。</w:t>
      </w:r>
    </w:p>
    <w:p>
      <w:pPr>
        <w:pStyle w:val="5"/>
        <w:spacing w:before="0" w:after="0" w:line="360" w:lineRule="auto"/>
        <w:ind w:firstLine="482"/>
        <w:rPr>
          <w:rFonts w:hint="eastAsia" w:ascii="仿宋" w:hAnsi="仿宋" w:eastAsia="仿宋" w:cs="仿宋"/>
          <w:color w:val="000000"/>
          <w:sz w:val="24"/>
          <w:szCs w:val="24"/>
          <w:highlight w:val="none"/>
        </w:rPr>
      </w:pPr>
      <w:bookmarkStart w:id="93" w:name="_Toc20741"/>
      <w:bookmarkStart w:id="94" w:name="_Toc2636"/>
      <w:bookmarkStart w:id="95" w:name="_Toc11361"/>
      <w:bookmarkStart w:id="96" w:name="_Toc2055"/>
      <w:bookmarkStart w:id="97" w:name="_Toc30466"/>
      <w:bookmarkStart w:id="98" w:name="_Toc444891341"/>
      <w:bookmarkStart w:id="99" w:name="_Toc517281821"/>
      <w:bookmarkStart w:id="100" w:name="_Toc12797"/>
      <w:bookmarkStart w:id="101" w:name="_Toc287600123"/>
      <w:r>
        <w:rPr>
          <w:rFonts w:hint="eastAsia" w:ascii="仿宋" w:hAnsi="仿宋" w:eastAsia="仿宋" w:cs="仿宋"/>
          <w:color w:val="000000"/>
          <w:sz w:val="24"/>
          <w:szCs w:val="24"/>
          <w:highlight w:val="none"/>
        </w:rPr>
        <w:t>（五）竞争性磋商和评审</w:t>
      </w:r>
      <w:bookmarkEnd w:id="93"/>
      <w:bookmarkEnd w:id="94"/>
      <w:bookmarkEnd w:id="95"/>
      <w:bookmarkEnd w:id="96"/>
      <w:bookmarkEnd w:id="97"/>
      <w:bookmarkEnd w:id="98"/>
      <w:bookmarkEnd w:id="99"/>
      <w:bookmarkEnd w:id="100"/>
      <w:bookmarkEnd w:id="101"/>
    </w:p>
    <w:p>
      <w:pPr>
        <w:pStyle w:val="6"/>
        <w:spacing w:before="0" w:after="0" w:line="360" w:lineRule="auto"/>
        <w:jc w:val="left"/>
        <w:rPr>
          <w:rFonts w:hint="eastAsia" w:ascii="仿宋" w:hAnsi="仿宋" w:eastAsia="仿宋" w:cs="仿宋"/>
          <w:color w:val="000000"/>
          <w:sz w:val="24"/>
          <w:szCs w:val="24"/>
          <w:highlight w:val="none"/>
        </w:rPr>
      </w:pPr>
      <w:bookmarkStart w:id="102" w:name="_Toc234223229"/>
      <w:bookmarkStart w:id="103" w:name="_Toc234223227"/>
      <w:r>
        <w:rPr>
          <w:rFonts w:ascii="仿宋" w:hAnsi="仿宋" w:eastAsia="仿宋" w:cs="仿宋"/>
          <w:color w:val="000000"/>
          <w:sz w:val="24"/>
          <w:szCs w:val="24"/>
          <w:highlight w:val="none"/>
        </w:rPr>
        <w:t>17</w:t>
      </w:r>
      <w:r>
        <w:rPr>
          <w:rFonts w:hint="eastAsia" w:ascii="仿宋" w:hAnsi="仿宋" w:eastAsia="仿宋" w:cs="仿宋"/>
          <w:color w:val="000000"/>
          <w:sz w:val="24"/>
          <w:szCs w:val="24"/>
          <w:highlight w:val="none"/>
        </w:rPr>
        <w:t>.组建</w:t>
      </w:r>
      <w:bookmarkEnd w:id="102"/>
      <w:r>
        <w:rPr>
          <w:rFonts w:hint="eastAsia" w:ascii="仿宋" w:hAnsi="仿宋" w:eastAsia="仿宋" w:cs="仿宋"/>
          <w:color w:val="000000"/>
          <w:sz w:val="24"/>
          <w:szCs w:val="24"/>
          <w:highlight w:val="none"/>
        </w:rPr>
        <w:t>磋商小组</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7.1</w:t>
      </w:r>
      <w:r>
        <w:rPr>
          <w:rFonts w:hint="eastAsia" w:ascii="仿宋" w:hAnsi="仿宋" w:eastAsia="仿宋" w:cs="宋体"/>
          <w:color w:val="000000"/>
          <w:kern w:val="0"/>
          <w:sz w:val="24"/>
          <w:highlight w:val="none"/>
        </w:rPr>
        <w:t>采购人依照企业采购管理制度的相关规定组建</w:t>
      </w:r>
      <w:r>
        <w:rPr>
          <w:rFonts w:hint="eastAsia" w:ascii="仿宋" w:hAnsi="仿宋" w:eastAsia="仿宋" w:cs="宋体"/>
          <w:color w:val="000000"/>
          <w:kern w:val="0"/>
          <w:sz w:val="24"/>
          <w:highlight w:val="none"/>
          <w:lang w:val="en-US" w:eastAsia="zh-CN"/>
        </w:rPr>
        <w:t>X</w:t>
      </w:r>
      <w:r>
        <w:rPr>
          <w:rFonts w:hint="eastAsia" w:ascii="仿宋" w:hAnsi="仿宋" w:eastAsia="仿宋" w:cs="宋体"/>
          <w:color w:val="000000"/>
          <w:kern w:val="0"/>
          <w:sz w:val="24"/>
          <w:highlight w:val="none"/>
        </w:rPr>
        <w:t>人及以上单数的磋商小组，具体人数</w:t>
      </w:r>
      <w:r>
        <w:rPr>
          <w:rFonts w:hint="eastAsia" w:ascii="仿宋" w:hAnsi="仿宋" w:eastAsia="仿宋" w:cs="仿宋"/>
          <w:color w:val="000000"/>
          <w:sz w:val="24"/>
          <w:highlight w:val="none"/>
        </w:rPr>
        <w:t>见</w:t>
      </w:r>
      <w:r>
        <w:rPr>
          <w:rFonts w:hint="eastAsia" w:ascii="仿宋" w:hAnsi="仿宋" w:eastAsia="仿宋" w:cs="仿宋"/>
          <w:color w:val="000000"/>
          <w:sz w:val="24"/>
          <w:highlight w:val="none"/>
          <w:u w:val="single"/>
        </w:rPr>
        <w:t>本须知前附表</w:t>
      </w:r>
      <w:r>
        <w:rPr>
          <w:rFonts w:hint="eastAsia" w:ascii="仿宋" w:hAnsi="仿宋" w:eastAsia="仿宋" w:cs="宋体"/>
          <w:color w:val="000000"/>
          <w:kern w:val="0"/>
          <w:sz w:val="24"/>
          <w:highlight w:val="none"/>
        </w:rPr>
        <w:t>，磋商小组成员名单在成交结果确定前保密。</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7.2</w:t>
      </w:r>
      <w:r>
        <w:rPr>
          <w:rFonts w:hint="eastAsia" w:ascii="仿宋" w:hAnsi="仿宋" w:eastAsia="仿宋" w:cs="宋体"/>
          <w:color w:val="000000"/>
          <w:kern w:val="0"/>
          <w:sz w:val="24"/>
          <w:highlight w:val="none"/>
        </w:rPr>
        <w:t>磋商小组成员应当按照客观、公正、审慎的原则，根据磋商文件规定的评审程序、评审方法和评审标准进行独立评审。</w:t>
      </w:r>
    </w:p>
    <w:p>
      <w:pPr>
        <w:pStyle w:val="6"/>
        <w:spacing w:before="0" w:after="0" w:line="360" w:lineRule="auto"/>
        <w:jc w:val="left"/>
        <w:rPr>
          <w:rFonts w:ascii="仿宋" w:hAnsi="仿宋" w:eastAsia="仿宋" w:cs="仿宋"/>
          <w:color w:val="000000"/>
          <w:sz w:val="24"/>
          <w:szCs w:val="24"/>
          <w:highlight w:val="none"/>
        </w:rPr>
      </w:pPr>
      <w:bookmarkStart w:id="104" w:name="_Toc234223228"/>
      <w:r>
        <w:rPr>
          <w:rFonts w:ascii="仿宋" w:hAnsi="仿宋" w:eastAsia="仿宋" w:cs="仿宋"/>
          <w:color w:val="000000"/>
          <w:sz w:val="24"/>
          <w:szCs w:val="24"/>
          <w:highlight w:val="none"/>
        </w:rPr>
        <w:t>18</w:t>
      </w:r>
      <w:r>
        <w:rPr>
          <w:rFonts w:hint="eastAsia" w:ascii="仿宋" w:hAnsi="仿宋" w:eastAsia="仿宋" w:cs="仿宋"/>
          <w:color w:val="000000"/>
          <w:sz w:val="24"/>
          <w:szCs w:val="24"/>
          <w:highlight w:val="none"/>
        </w:rPr>
        <w:t>.初步评审</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8.1</w:t>
      </w:r>
      <w:r>
        <w:rPr>
          <w:rFonts w:hint="eastAsia" w:ascii="仿宋" w:hAnsi="仿宋" w:eastAsia="仿宋" w:cs="宋体"/>
          <w:color w:val="000000"/>
          <w:kern w:val="0"/>
          <w:sz w:val="24"/>
          <w:highlight w:val="none"/>
        </w:rPr>
        <w:t>磋商小组按照第三章</w:t>
      </w:r>
      <w:r>
        <w:rPr>
          <w:rFonts w:hint="eastAsia" w:ascii="仿宋" w:hAnsi="仿宋" w:eastAsia="仿宋" w:cs="宋体"/>
          <w:color w:val="000000"/>
          <w:kern w:val="0"/>
          <w:sz w:val="24"/>
        </w:rPr>
        <w:t>评审办法中初步评审的内容及要求</w:t>
      </w:r>
      <w:r>
        <w:rPr>
          <w:rFonts w:hint="eastAsia" w:ascii="仿宋" w:hAnsi="仿宋" w:eastAsia="仿宋" w:cs="宋体"/>
          <w:color w:val="000000"/>
          <w:kern w:val="0"/>
          <w:sz w:val="24"/>
          <w:highlight w:val="none"/>
        </w:rPr>
        <w:t>，对响应文件进行初步评审。通过初步评审的供应商进入磋商环节，未通过初步评审的供应商，其磋商响应将被否决，不进入磋商、详细评审等后续环节。</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8.2</w:t>
      </w:r>
      <w:r>
        <w:rPr>
          <w:rFonts w:hint="eastAsia" w:ascii="仿宋" w:hAnsi="仿宋" w:eastAsia="仿宋" w:cs="宋体"/>
          <w:color w:val="000000"/>
          <w:kern w:val="0"/>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widowControl/>
        <w:topLinePunct/>
        <w:spacing w:line="360" w:lineRule="auto"/>
        <w:rPr>
          <w:rFonts w:ascii="仿宋" w:hAnsi="仿宋" w:eastAsia="仿宋" w:cs="仿宋"/>
          <w:b/>
          <w:bCs/>
          <w:sz w:val="24"/>
          <w:highlight w:val="none"/>
        </w:rPr>
      </w:pPr>
      <w:r>
        <w:rPr>
          <w:rFonts w:hint="eastAsia" w:ascii="仿宋" w:hAnsi="仿宋" w:eastAsia="仿宋" w:cs="宋体"/>
          <w:color w:val="000000"/>
          <w:kern w:val="0"/>
          <w:sz w:val="24"/>
          <w:highlight w:val="none"/>
        </w:rPr>
        <w:t>18</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磋商小组对供应商递交的澄清、说明或补正有疑问的，可以要求供应商进一步澄清、说明或者补正，直至满足磋商小组的要求。拒不按要求进行澄清、说明或者补正的供应商</w:t>
      </w:r>
      <w:r>
        <w:rPr>
          <w:rFonts w:hint="eastAsia" w:ascii="仿宋" w:hAnsi="仿宋" w:eastAsia="仿宋" w:cs="仿宋"/>
          <w:b/>
          <w:bCs/>
          <w:sz w:val="24"/>
          <w:highlight w:val="none"/>
        </w:rPr>
        <w:t>，磋商小组有权对其响应做否决处理。</w:t>
      </w:r>
    </w:p>
    <w:p>
      <w:pPr>
        <w:widowControl/>
        <w:topLinePunct/>
        <w:spacing w:line="360" w:lineRule="auto"/>
        <w:rPr>
          <w:rFonts w:hint="eastAsia"/>
          <w:highlight w:val="none"/>
        </w:rPr>
      </w:pPr>
      <w:r>
        <w:rPr>
          <w:rFonts w:hint="eastAsia" w:ascii="仿宋" w:hAnsi="仿宋" w:eastAsia="仿宋" w:cs="宋体"/>
          <w:color w:val="000000"/>
          <w:kern w:val="0"/>
          <w:sz w:val="24"/>
          <w:highlight w:val="none"/>
        </w:rPr>
        <w:t>18</w:t>
      </w:r>
      <w:r>
        <w:rPr>
          <w:rFonts w:ascii="仿宋" w:hAnsi="仿宋" w:eastAsia="仿宋" w:cs="宋体"/>
          <w:color w:val="000000"/>
          <w:kern w:val="0"/>
          <w:sz w:val="24"/>
          <w:highlight w:val="none"/>
        </w:rPr>
        <w:t>.4</w:t>
      </w:r>
      <w:r>
        <w:rPr>
          <w:rFonts w:hint="eastAsia" w:ascii="仿宋" w:hAnsi="仿宋" w:eastAsia="仿宋" w:cs="宋体"/>
          <w:color w:val="000000"/>
          <w:kern w:val="0"/>
          <w:sz w:val="24"/>
          <w:highlight w:val="none"/>
        </w:rPr>
        <w:t>磋商小组必要时可以要求供应商提交有关证明和证件的原件，以便核验。拒不按要求提供原件的供应商，</w:t>
      </w:r>
      <w:r>
        <w:rPr>
          <w:rFonts w:hint="eastAsia" w:ascii="仿宋" w:hAnsi="仿宋" w:eastAsia="仿宋" w:cs="仿宋"/>
          <w:b/>
          <w:bCs/>
          <w:sz w:val="24"/>
          <w:highlight w:val="none"/>
        </w:rPr>
        <w:t>磋商小组有权对其响应做否决处理。</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9.</w:t>
      </w:r>
      <w:r>
        <w:rPr>
          <w:rFonts w:hint="eastAsia" w:ascii="仿宋" w:hAnsi="仿宋" w:eastAsia="仿宋" w:cs="仿宋"/>
          <w:color w:val="000000"/>
          <w:sz w:val="24"/>
          <w:szCs w:val="24"/>
          <w:highlight w:val="none"/>
        </w:rPr>
        <w:t>磋商程序</w:t>
      </w:r>
    </w:p>
    <w:p>
      <w:pPr>
        <w:spacing w:line="360" w:lineRule="auto"/>
        <w:jc w:val="left"/>
        <w:rPr>
          <w:rFonts w:ascii="仿宋" w:hAnsi="仿宋" w:eastAsia="仿宋" w:cs="仿宋"/>
          <w:color w:val="000000"/>
          <w:sz w:val="24"/>
          <w:highlight w:val="none"/>
          <w:u w:val="single"/>
        </w:rPr>
      </w:pPr>
      <w:r>
        <w:rPr>
          <w:rFonts w:ascii="仿宋" w:hAnsi="仿宋" w:eastAsia="仿宋" w:cs="仿宋"/>
          <w:color w:val="000000"/>
          <w:sz w:val="24"/>
          <w:highlight w:val="none"/>
        </w:rPr>
        <w:t>19</w:t>
      </w:r>
      <w:r>
        <w:rPr>
          <w:rFonts w:hint="eastAsia" w:ascii="仿宋" w:hAnsi="仿宋" w:eastAsia="仿宋" w:cs="仿宋"/>
          <w:color w:val="000000"/>
          <w:sz w:val="24"/>
          <w:highlight w:val="none"/>
        </w:rPr>
        <w:t>.1磋商小组所有成员应当集中与通过初步评审的单一供应商分别进行磋商，并给予所有参加磋商的供应商平等的磋商机会。供应商磋商顺序、磋商形式以及其他要求等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color w:val="000000"/>
          <w:sz w:val="24"/>
          <w:highlight w:val="none"/>
          <w:u w:val="single"/>
        </w:rPr>
        <w:t>详见本须知前附表。</w:t>
      </w:r>
    </w:p>
    <w:p>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19.2</w:t>
      </w:r>
      <w:r>
        <w:rPr>
          <w:rFonts w:hint="eastAsia" w:ascii="仿宋" w:hAnsi="仿宋" w:eastAsia="仿宋" w:cs="仿宋"/>
          <w:color w:val="000000"/>
          <w:sz w:val="24"/>
          <w:highlight w:val="none"/>
        </w:rPr>
        <w:t>磋商小组与供应商就磋商文件中的价格、商务内容、技术内容或有待供应商进一步明确的内容等进行一对一磋商，并要求实质性响应的供应商提交最终报价。具体磋商内容详见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19.3</w:t>
      </w:r>
      <w:r>
        <w:rPr>
          <w:rFonts w:hint="eastAsia" w:ascii="仿宋" w:hAnsi="仿宋" w:eastAsia="仿宋" w:cs="仿宋"/>
          <w:color w:val="000000"/>
          <w:sz w:val="24"/>
          <w:highlight w:val="none"/>
        </w:rPr>
        <w:t>磋商小组可视情况要求供应商进行多轮磋商及报价。磋商中，任何一方不得向第三方透露与磋商有关的任何信息。</w:t>
      </w:r>
    </w:p>
    <w:bookmarkEnd w:id="104"/>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19.4各轮报价有算术错误的，磋商小组按照以下原则对报价进行修正，修正的价格经供应商书面确认后具有约束力。供应商不接受或不确认修正后价格的，磋商小组</w:t>
      </w:r>
      <w:r>
        <w:rPr>
          <w:rFonts w:hint="eastAsia" w:ascii="仿宋" w:hAnsi="仿宋" w:eastAsia="仿宋" w:cs="仿宋"/>
          <w:b/>
          <w:bCs/>
          <w:color w:val="000000"/>
          <w:sz w:val="24"/>
          <w:highlight w:val="none"/>
        </w:rPr>
        <w:t>应当否决其响应</w:t>
      </w:r>
      <w:r>
        <w:rPr>
          <w:rFonts w:hint="eastAsia" w:ascii="仿宋" w:hAnsi="仿宋" w:eastAsia="仿宋" w:cs="仿宋"/>
          <w:color w:val="000000"/>
          <w:sz w:val="24"/>
          <w:highlight w:val="none"/>
        </w:rPr>
        <w:t>。</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（1）大写金额与小写金额不一致的，以大写金额为准；</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（2）总价金额与根据单价计算出的结果不一致的，以单价金额为准修正总价，但单价金额小数点有明显错误的除外。</w:t>
      </w:r>
    </w:p>
    <w:bookmarkEnd w:id="103"/>
    <w:p>
      <w:pPr>
        <w:pStyle w:val="6"/>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20</w:t>
      </w:r>
      <w:r>
        <w:rPr>
          <w:rFonts w:hint="eastAsia" w:ascii="仿宋" w:hAnsi="仿宋" w:eastAsia="仿宋" w:cs="仿宋"/>
          <w:color w:val="000000"/>
          <w:sz w:val="24"/>
          <w:szCs w:val="24"/>
          <w:highlight w:val="none"/>
        </w:rPr>
        <w:t>.详细评审</w:t>
      </w:r>
    </w:p>
    <w:p>
      <w:pPr>
        <w:spacing w:line="360" w:lineRule="auto"/>
        <w:jc w:val="left"/>
        <w:rPr>
          <w:rFonts w:hint="eastAsia" w:ascii="仿宋" w:hAnsi="仿宋" w:eastAsia="仿宋" w:cs="仿宋"/>
          <w:color w:val="000000"/>
          <w:sz w:val="24"/>
          <w:highlight w:val="none"/>
        </w:rPr>
      </w:pPr>
      <w:r>
        <w:rPr>
          <w:rFonts w:ascii="仿宋" w:hAnsi="仿宋" w:eastAsia="仿宋" w:cs="仿宋"/>
          <w:color w:val="000000"/>
          <w:sz w:val="24"/>
          <w:highlight w:val="none"/>
        </w:rPr>
        <w:t>20</w:t>
      </w:r>
      <w:r>
        <w:rPr>
          <w:rFonts w:hint="eastAsia" w:ascii="仿宋" w:hAnsi="仿宋" w:eastAsia="仿宋" w:cs="仿宋"/>
          <w:color w:val="000000"/>
          <w:sz w:val="24"/>
          <w:highlight w:val="none"/>
        </w:rPr>
        <w:t>.1磋商小组采用综合评分法对提交最终报价的供应商的响应文件及其最终报价进行综合评分。综合评分法，是指响应文件满足磋商文件全部实质性要求且按评审因素的量化指标评审得分最高的供应商为成交候选人的评审方法。磋商文件中没有规定的评审标准不得作为评审依据。</w:t>
      </w:r>
    </w:p>
    <w:p>
      <w:pPr>
        <w:spacing w:line="360" w:lineRule="auto"/>
        <w:jc w:val="left"/>
        <w:rPr>
          <w:rFonts w:hint="eastAsia" w:ascii="仿宋" w:hAnsi="仿宋" w:eastAsia="仿宋" w:cs="仿宋"/>
          <w:color w:val="000000"/>
          <w:sz w:val="24"/>
          <w:highlight w:val="none"/>
        </w:rPr>
      </w:pPr>
      <w:r>
        <w:rPr>
          <w:rFonts w:ascii="仿宋" w:hAnsi="仿宋" w:eastAsia="仿宋" w:cs="仿宋"/>
          <w:color w:val="000000"/>
          <w:sz w:val="24"/>
          <w:highlight w:val="none"/>
        </w:rPr>
        <w:t>20</w:t>
      </w:r>
      <w:r>
        <w:rPr>
          <w:rFonts w:hint="eastAsia" w:ascii="仿宋" w:hAnsi="仿宋" w:eastAsia="仿宋" w:cs="仿宋"/>
          <w:color w:val="000000"/>
          <w:sz w:val="24"/>
          <w:highlight w:val="none"/>
        </w:rPr>
        <w:t>.2发生以下情形之一的，原则上做终止采购处理：</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（1）出现影响采购公正的违法、违规行为的；</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（2）成交候选人报价超过预算金额，采购需求方无法解决的；</w:t>
      </w:r>
    </w:p>
    <w:p>
      <w:pPr>
        <w:spacing w:line="360" w:lineRule="auto"/>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（3）成交人为N家（1≤N≤3）的项目，有效供应商少于2N家（不含本数）；成交人为N家（N＞3）的项目，有效供应商少于1.5N家（不含本数）。 </w:t>
      </w:r>
    </w:p>
    <w:p>
      <w:pPr>
        <w:widowControl/>
        <w:topLinePunct/>
        <w:spacing w:line="360" w:lineRule="auto"/>
        <w:rPr>
          <w:rFonts w:hint="eastAsia" w:ascii="仿宋" w:hAnsi="仿宋" w:eastAsia="仿宋" w:cs="仿宋"/>
          <w:color w:val="000000"/>
          <w:sz w:val="24"/>
          <w:highlight w:val="none"/>
        </w:rPr>
      </w:pPr>
      <w:r>
        <w:rPr>
          <w:rFonts w:ascii="仿宋" w:hAnsi="仿宋" w:eastAsia="仿宋" w:cs="仿宋"/>
          <w:color w:val="000000"/>
          <w:sz w:val="24"/>
          <w:highlight w:val="none"/>
        </w:rPr>
        <w:t>20</w:t>
      </w:r>
      <w:r>
        <w:rPr>
          <w:rFonts w:hint="eastAsia" w:ascii="仿宋" w:hAnsi="仿宋" w:eastAsia="仿宋" w:cs="仿宋"/>
          <w:color w:val="000000"/>
          <w:sz w:val="24"/>
          <w:highlight w:val="none"/>
        </w:rPr>
        <w:t>.</w:t>
      </w:r>
      <w:r>
        <w:rPr>
          <w:rFonts w:ascii="仿宋" w:hAnsi="仿宋" w:eastAsia="仿宋" w:cs="仿宋"/>
          <w:color w:val="000000"/>
          <w:sz w:val="24"/>
          <w:highlight w:val="none"/>
        </w:rPr>
        <w:t>3</w:t>
      </w:r>
      <w:r>
        <w:rPr>
          <w:rFonts w:hint="eastAsia" w:ascii="仿宋" w:hAnsi="仿宋" w:eastAsia="仿宋" w:cs="仿宋"/>
          <w:color w:val="000000"/>
          <w:sz w:val="24"/>
          <w:highlight w:val="none"/>
        </w:rPr>
        <w:t>成交候选人推荐原则</w:t>
      </w:r>
      <w:r>
        <w:rPr>
          <w:rFonts w:hint="eastAsia" w:ascii="仿宋" w:hAnsi="仿宋" w:eastAsia="仿宋" w:cs="仿宋"/>
          <w:color w:val="000000"/>
          <w:sz w:val="24"/>
          <w:highlight w:val="none"/>
          <w:u w:val="single"/>
        </w:rPr>
        <w:t>详见本须知前附表</w:t>
      </w:r>
      <w:r>
        <w:rPr>
          <w:rFonts w:hint="eastAsia" w:ascii="仿宋" w:hAnsi="仿宋" w:eastAsia="仿宋" w:cs="仿宋"/>
          <w:color w:val="000000"/>
          <w:sz w:val="24"/>
          <w:highlight w:val="none"/>
        </w:rPr>
        <w:t>。</w:t>
      </w:r>
      <w:r>
        <w:rPr>
          <w:rFonts w:hint="eastAsia" w:ascii="仿宋" w:hAnsi="仿宋" w:eastAsia="仿宋" w:cs="宋体"/>
          <w:color w:val="000000"/>
          <w:kern w:val="0"/>
          <w:sz w:val="24"/>
          <w:highlight w:val="none"/>
        </w:rPr>
        <w:t>成交候选人的经营、财务状况发生较大变化或者存在违法行为，采购人认为可能影响其履约能力的，应当在发出成交通知书前由原磋商小组会按照磋商文件规定的标准和方法审查确认。</w:t>
      </w:r>
    </w:p>
    <w:p>
      <w:pPr>
        <w:pStyle w:val="5"/>
        <w:spacing w:before="0" w:after="0" w:line="360" w:lineRule="auto"/>
        <w:ind w:firstLine="482"/>
        <w:rPr>
          <w:rFonts w:hint="eastAsia" w:ascii="仿宋" w:hAnsi="仿宋" w:eastAsia="仿宋" w:cs="仿宋"/>
          <w:color w:val="000000"/>
          <w:sz w:val="24"/>
          <w:szCs w:val="24"/>
          <w:highlight w:val="none"/>
        </w:rPr>
      </w:pPr>
      <w:bookmarkStart w:id="105" w:name="_Toc234223231"/>
      <w:bookmarkStart w:id="106" w:name="_Toc9911"/>
      <w:bookmarkStart w:id="107" w:name="_Toc16781"/>
      <w:bookmarkStart w:id="108" w:name="_Toc19451"/>
      <w:bookmarkStart w:id="109" w:name="_Toc444891342"/>
      <w:bookmarkStart w:id="110" w:name="_Toc287600124"/>
      <w:bookmarkStart w:id="111" w:name="_Toc2322"/>
      <w:bookmarkStart w:id="112" w:name="_Toc28031"/>
      <w:bookmarkStart w:id="113" w:name="_Toc13936"/>
      <w:bookmarkStart w:id="114" w:name="_Toc517281822"/>
      <w:r>
        <w:rPr>
          <w:rFonts w:hint="eastAsia" w:ascii="仿宋" w:hAnsi="仿宋" w:eastAsia="仿宋" w:cs="仿宋"/>
          <w:color w:val="000000"/>
          <w:sz w:val="24"/>
          <w:szCs w:val="24"/>
          <w:highlight w:val="none"/>
        </w:rPr>
        <w:t>（六）授予合同</w:t>
      </w:r>
      <w:bookmarkEnd w:id="105"/>
      <w:bookmarkEnd w:id="106"/>
      <w:bookmarkEnd w:id="107"/>
      <w:bookmarkEnd w:id="108"/>
      <w:bookmarkEnd w:id="109"/>
      <w:bookmarkEnd w:id="110"/>
      <w:bookmarkEnd w:id="111"/>
      <w:bookmarkEnd w:id="112"/>
      <w:bookmarkEnd w:id="113"/>
      <w:bookmarkEnd w:id="114"/>
    </w:p>
    <w:p>
      <w:pPr>
        <w:pStyle w:val="6"/>
        <w:spacing w:before="0" w:after="0" w:line="360" w:lineRule="auto"/>
        <w:jc w:val="left"/>
        <w:rPr>
          <w:rFonts w:hint="eastAsia" w:ascii="仿宋" w:hAnsi="仿宋" w:eastAsia="仿宋" w:cs="仿宋"/>
          <w:color w:val="000000"/>
          <w:sz w:val="24"/>
          <w:szCs w:val="24"/>
          <w:highlight w:val="none"/>
        </w:rPr>
      </w:pPr>
      <w:bookmarkStart w:id="115" w:name="_Toc234223232"/>
      <w:r>
        <w:rPr>
          <w:rFonts w:hint="eastAsia" w:ascii="仿宋" w:hAnsi="仿宋" w:eastAsia="仿宋" w:cs="仿宋"/>
          <w:color w:val="000000"/>
          <w:sz w:val="24"/>
          <w:szCs w:val="24"/>
          <w:highlight w:val="none"/>
        </w:rPr>
        <w:t>2</w:t>
      </w:r>
      <w:r>
        <w:rPr>
          <w:rFonts w:ascii="仿宋" w:hAnsi="仿宋" w:eastAsia="仿宋" w:cs="仿宋"/>
          <w:color w:val="000000"/>
          <w:sz w:val="24"/>
          <w:szCs w:val="24"/>
          <w:highlight w:val="none"/>
        </w:rPr>
        <w:t>1</w:t>
      </w:r>
      <w:r>
        <w:rPr>
          <w:rFonts w:hint="eastAsia" w:ascii="仿宋" w:hAnsi="仿宋" w:eastAsia="仿宋" w:cs="仿宋"/>
          <w:color w:val="000000"/>
          <w:sz w:val="24"/>
          <w:szCs w:val="24"/>
          <w:highlight w:val="none"/>
        </w:rPr>
        <w:t>.确定</w:t>
      </w:r>
      <w:bookmarkEnd w:id="115"/>
      <w:r>
        <w:rPr>
          <w:rFonts w:hint="eastAsia" w:ascii="仿宋" w:hAnsi="仿宋" w:eastAsia="仿宋" w:cs="仿宋"/>
          <w:color w:val="000000"/>
          <w:sz w:val="24"/>
          <w:szCs w:val="24"/>
          <w:highlight w:val="none"/>
        </w:rPr>
        <w:t>成交人</w:t>
      </w:r>
    </w:p>
    <w:p>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21.1</w:t>
      </w:r>
      <w:r>
        <w:rPr>
          <w:rFonts w:hint="eastAsia" w:ascii="仿宋" w:hAnsi="仿宋" w:eastAsia="仿宋" w:cs="仿宋"/>
          <w:color w:val="000000"/>
          <w:sz w:val="24"/>
          <w:highlight w:val="none"/>
        </w:rPr>
        <w:t>采购人依据磋商小组推荐的成交候选人名单确定成交人，成交人数量</w:t>
      </w:r>
      <w:r>
        <w:rPr>
          <w:rFonts w:hint="eastAsia" w:ascii="仿宋" w:hAnsi="仿宋" w:eastAsia="仿宋" w:cs="仿宋"/>
          <w:color w:val="000000"/>
          <w:sz w:val="24"/>
          <w:highlight w:val="none"/>
          <w:u w:val="single"/>
        </w:rPr>
        <w:t>见本须知前附表</w:t>
      </w:r>
      <w:r>
        <w:rPr>
          <w:rFonts w:hint="eastAsia" w:ascii="仿宋" w:hAnsi="仿宋" w:eastAsia="仿宋" w:cs="仿宋"/>
          <w:color w:val="000000"/>
          <w:sz w:val="24"/>
          <w:highlight w:val="none"/>
        </w:rPr>
        <w:t>。</w:t>
      </w:r>
    </w:p>
    <w:p>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21.</w:t>
      </w:r>
      <w:r>
        <w:rPr>
          <w:rFonts w:hint="eastAsia" w:ascii="仿宋" w:hAnsi="仿宋" w:eastAsia="仿宋" w:cs="宋体"/>
          <w:color w:val="000000"/>
          <w:kern w:val="0"/>
          <w:sz w:val="24"/>
          <w:highlight w:val="none"/>
          <w:lang w:val="en-US" w:eastAsia="zh-CN"/>
        </w:rPr>
        <w:t>2</w:t>
      </w:r>
      <w:r>
        <w:rPr>
          <w:rFonts w:hint="eastAsia" w:ascii="仿宋" w:hAnsi="仿宋" w:eastAsia="仿宋" w:cs="宋体"/>
          <w:color w:val="000000"/>
          <w:kern w:val="0"/>
          <w:sz w:val="24"/>
          <w:highlight w:val="none"/>
        </w:rPr>
        <w:t>成交人确定后，采购人应当向成交人发出成交通知书，同时将成交结果通知所有未成交的供应商。成交通知书对采购人和成交人</w:t>
      </w:r>
      <w:r>
        <w:rPr>
          <w:rFonts w:hint="eastAsia" w:ascii="仿宋" w:hAnsi="仿宋" w:eastAsia="仿宋" w:cs="宋体"/>
          <w:color w:val="000000"/>
          <w:kern w:val="0"/>
          <w:sz w:val="24"/>
          <w:highlight w:val="none"/>
          <w:lang w:val="en-US" w:eastAsia="zh-CN"/>
        </w:rPr>
        <w:t>均</w:t>
      </w:r>
      <w:r>
        <w:rPr>
          <w:rFonts w:hint="eastAsia" w:ascii="仿宋" w:hAnsi="仿宋" w:eastAsia="仿宋" w:cs="宋体"/>
          <w:color w:val="000000"/>
          <w:kern w:val="0"/>
          <w:sz w:val="24"/>
          <w:highlight w:val="none"/>
        </w:rPr>
        <w:t>具有法律效力。成交人收到成交通知书后放弃成交的，应当承担法律责任。</w:t>
      </w:r>
    </w:p>
    <w:p>
      <w:pPr>
        <w:pStyle w:val="6"/>
        <w:spacing w:before="0" w:after="0" w:line="360" w:lineRule="auto"/>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ascii="仿宋" w:hAnsi="仿宋" w:eastAsia="仿宋" w:cs="仿宋"/>
          <w:color w:val="000000"/>
          <w:sz w:val="24"/>
          <w:szCs w:val="24"/>
          <w:highlight w:val="none"/>
        </w:rPr>
        <w:t>2.</w:t>
      </w:r>
      <w:r>
        <w:rPr>
          <w:rFonts w:hint="eastAsia" w:ascii="仿宋" w:hAnsi="仿宋" w:eastAsia="仿宋" w:cs="仿宋"/>
          <w:color w:val="000000"/>
          <w:sz w:val="24"/>
          <w:szCs w:val="24"/>
          <w:highlight w:val="none"/>
        </w:rPr>
        <w:t>签订合同</w:t>
      </w:r>
    </w:p>
    <w:p>
      <w:pPr>
        <w:widowControl/>
        <w:topLinePunc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2</w:t>
      </w:r>
      <w:r>
        <w:rPr>
          <w:rFonts w:ascii="仿宋" w:hAnsi="仿宋" w:eastAsia="仿宋" w:cs="仿宋"/>
          <w:color w:val="000000"/>
          <w:sz w:val="24"/>
          <w:highlight w:val="none"/>
        </w:rPr>
        <w:t>2.1</w:t>
      </w:r>
      <w:r>
        <w:rPr>
          <w:rFonts w:hint="eastAsia" w:ascii="仿宋" w:hAnsi="仿宋" w:eastAsia="仿宋" w:cs="仿宋"/>
          <w:color w:val="000000"/>
          <w:sz w:val="24"/>
          <w:highlight w:val="none"/>
        </w:rPr>
        <w:t>采购人与成交人按照磋商文件和成交人的响应文件</w:t>
      </w:r>
      <w:r>
        <w:rPr>
          <w:rFonts w:hint="eastAsia" w:ascii="仿宋" w:hAnsi="仿宋" w:eastAsia="仿宋" w:cs="宋体"/>
          <w:color w:val="000000"/>
          <w:kern w:val="0"/>
          <w:sz w:val="24"/>
          <w:highlight w:val="none"/>
        </w:rPr>
        <w:t>订立书面合同。合同的标的、价款、质量、履行期限等主要条款应当与</w:t>
      </w:r>
      <w:r>
        <w:rPr>
          <w:rFonts w:hint="eastAsia" w:ascii="仿宋" w:hAnsi="仿宋" w:eastAsia="仿宋" w:cs="仿宋"/>
          <w:color w:val="000000"/>
          <w:sz w:val="24"/>
          <w:highlight w:val="none"/>
        </w:rPr>
        <w:t>磋商</w:t>
      </w:r>
      <w:r>
        <w:rPr>
          <w:rFonts w:hint="eastAsia" w:ascii="仿宋" w:hAnsi="仿宋" w:eastAsia="仿宋" w:cs="宋体"/>
          <w:color w:val="000000"/>
          <w:kern w:val="0"/>
          <w:sz w:val="24"/>
          <w:highlight w:val="none"/>
        </w:rPr>
        <w:t>文件和</w:t>
      </w:r>
      <w:r>
        <w:rPr>
          <w:rFonts w:hint="eastAsia" w:ascii="仿宋" w:hAnsi="仿宋" w:eastAsia="仿宋" w:cs="仿宋"/>
          <w:color w:val="000000"/>
          <w:sz w:val="24"/>
          <w:highlight w:val="none"/>
        </w:rPr>
        <w:t>成交</w:t>
      </w:r>
      <w:r>
        <w:rPr>
          <w:rFonts w:hint="eastAsia" w:ascii="仿宋" w:hAnsi="仿宋" w:eastAsia="仿宋" w:cs="宋体"/>
          <w:color w:val="000000"/>
          <w:kern w:val="0"/>
          <w:sz w:val="24"/>
          <w:highlight w:val="none"/>
        </w:rPr>
        <w:t>人的</w:t>
      </w:r>
      <w:r>
        <w:rPr>
          <w:rFonts w:hint="eastAsia" w:ascii="仿宋" w:hAnsi="仿宋" w:eastAsia="仿宋" w:cs="仿宋"/>
          <w:color w:val="000000"/>
          <w:sz w:val="24"/>
          <w:highlight w:val="none"/>
        </w:rPr>
        <w:t>响应</w:t>
      </w:r>
      <w:r>
        <w:rPr>
          <w:rFonts w:hint="eastAsia" w:ascii="仿宋" w:hAnsi="仿宋" w:eastAsia="仿宋" w:cs="宋体"/>
          <w:color w:val="000000"/>
          <w:kern w:val="0"/>
          <w:sz w:val="24"/>
          <w:highlight w:val="none"/>
        </w:rPr>
        <w:t>文件的内容一致。</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仿宋"/>
          <w:color w:val="000000"/>
          <w:sz w:val="24"/>
          <w:highlight w:val="none"/>
        </w:rPr>
        <w:t>2</w:t>
      </w:r>
      <w:r>
        <w:rPr>
          <w:rFonts w:ascii="仿宋" w:hAnsi="仿宋" w:eastAsia="仿宋" w:cs="仿宋"/>
          <w:color w:val="000000"/>
          <w:sz w:val="24"/>
          <w:highlight w:val="none"/>
        </w:rPr>
        <w:t>2.2</w:t>
      </w:r>
      <w:r>
        <w:rPr>
          <w:rFonts w:hint="eastAsia" w:ascii="仿宋" w:hAnsi="仿宋" w:eastAsia="仿宋" w:cs="仿宋"/>
          <w:color w:val="000000"/>
          <w:sz w:val="24"/>
          <w:highlight w:val="none"/>
        </w:rPr>
        <w:t xml:space="preserve"> </w:t>
      </w:r>
      <w:r>
        <w:rPr>
          <w:rFonts w:hint="eastAsia" w:ascii="仿宋" w:hAnsi="仿宋" w:eastAsia="仿宋" w:cs="宋体"/>
          <w:color w:val="000000"/>
          <w:kern w:val="0"/>
          <w:sz w:val="24"/>
          <w:highlight w:val="none"/>
        </w:rPr>
        <w:t>成交人无正当理由不与采购人订立合同，在签订合同时向采购人提出附加条件，将取消其成交资格。给采购人造成损失的，成交人应当予以赔偿。</w:t>
      </w:r>
    </w:p>
    <w:p>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22.3</w:t>
      </w:r>
      <w:r>
        <w:rPr>
          <w:rFonts w:hint="eastAsia" w:ascii="仿宋" w:hAnsi="仿宋" w:eastAsia="仿宋" w:cs="宋体"/>
          <w:color w:val="000000"/>
          <w:kern w:val="0"/>
          <w:sz w:val="24"/>
          <w:highlight w:val="none"/>
        </w:rPr>
        <w:t>磋商文件要求成交人提交履约保证金的，成交人应当按照</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要求的金额和方式递交。成交人如不按要求提交履约保证金，将取消其成交资格，磋商保证金不予退还。</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22.4成交供应商</w:t>
      </w:r>
      <w:r>
        <w:rPr>
          <w:rFonts w:ascii="仿宋" w:hAnsi="仿宋" w:eastAsia="仿宋" w:cs="宋体"/>
          <w:color w:val="000000"/>
          <w:kern w:val="0"/>
          <w:sz w:val="24"/>
          <w:highlight w:val="none"/>
        </w:rPr>
        <w:t>不履行与</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人订立的合同的，</w:t>
      </w:r>
      <w:r>
        <w:rPr>
          <w:rFonts w:hint="eastAsia" w:ascii="仿宋" w:hAnsi="仿宋" w:eastAsia="仿宋" w:cs="宋体"/>
          <w:color w:val="000000"/>
          <w:kern w:val="0"/>
          <w:sz w:val="24"/>
          <w:highlight w:val="none"/>
        </w:rPr>
        <w:t>履约</w:t>
      </w:r>
      <w:r>
        <w:rPr>
          <w:rFonts w:ascii="仿宋" w:hAnsi="仿宋" w:eastAsia="仿宋" w:cs="宋体"/>
          <w:color w:val="000000"/>
          <w:kern w:val="0"/>
          <w:sz w:val="24"/>
          <w:highlight w:val="none"/>
        </w:rPr>
        <w:t>保证金不予退还，给</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人造成的损失超过履约保证金数额的，还应当对超过部分予以赔偿；没有提交履约保证金的，应当对</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人的损失承担赔偿责任。</w:t>
      </w:r>
    </w:p>
    <w:p>
      <w:pPr>
        <w:pStyle w:val="5"/>
        <w:spacing w:before="0" w:after="0" w:line="360" w:lineRule="auto"/>
        <w:ind w:firstLine="482"/>
        <w:jc w:val="both"/>
        <w:rPr>
          <w:rFonts w:hint="eastAsia" w:ascii="仿宋" w:hAnsi="仿宋" w:eastAsia="仿宋" w:cs="仿宋"/>
          <w:color w:val="000000"/>
          <w:sz w:val="24"/>
          <w:szCs w:val="24"/>
          <w:highlight w:val="none"/>
        </w:rPr>
      </w:pPr>
      <w:bookmarkStart w:id="116" w:name="_Toc14533"/>
      <w:bookmarkStart w:id="117" w:name="_Toc6132"/>
      <w:bookmarkStart w:id="118" w:name="_Toc234223235"/>
      <w:r>
        <w:rPr>
          <w:rFonts w:hint="eastAsia" w:ascii="仿宋" w:hAnsi="仿宋" w:eastAsia="仿宋" w:cs="仿宋"/>
          <w:color w:val="000000"/>
          <w:sz w:val="24"/>
          <w:szCs w:val="24"/>
          <w:highlight w:val="none"/>
        </w:rPr>
        <w:t>（七）其他</w:t>
      </w:r>
      <w:bookmarkEnd w:id="116"/>
      <w:bookmarkEnd w:id="117"/>
    </w:p>
    <w:bookmarkEnd w:id="118"/>
    <w:p>
      <w:pPr>
        <w:pStyle w:val="6"/>
        <w:spacing w:before="0" w:after="0" w:line="360" w:lineRule="auto"/>
        <w:jc w:val="left"/>
        <w:rPr>
          <w:rFonts w:hint="eastAsia" w:ascii="仿宋" w:hAnsi="仿宋" w:eastAsia="仿宋" w:cs="仿宋"/>
          <w:bCs w:val="0"/>
          <w:color w:val="000000"/>
          <w:sz w:val="24"/>
          <w:szCs w:val="24"/>
          <w:highlight w:val="none"/>
        </w:rPr>
      </w:pPr>
      <w:r>
        <w:rPr>
          <w:rFonts w:hint="eastAsia" w:ascii="仿宋" w:hAnsi="仿宋" w:eastAsia="仿宋" w:cs="仿宋"/>
          <w:bCs w:val="0"/>
          <w:color w:val="000000"/>
          <w:sz w:val="24"/>
          <w:szCs w:val="24"/>
          <w:highlight w:val="none"/>
        </w:rPr>
        <w:t>2</w:t>
      </w:r>
      <w:r>
        <w:rPr>
          <w:rFonts w:hint="eastAsia" w:ascii="仿宋" w:hAnsi="仿宋" w:eastAsia="仿宋" w:cs="仿宋"/>
          <w:bCs w:val="0"/>
          <w:color w:val="000000"/>
          <w:sz w:val="24"/>
          <w:szCs w:val="24"/>
          <w:highlight w:val="none"/>
          <w:lang w:val="en-US" w:eastAsia="zh-CN"/>
        </w:rPr>
        <w:t>3</w:t>
      </w:r>
      <w:r>
        <w:rPr>
          <w:rFonts w:ascii="仿宋" w:hAnsi="仿宋" w:eastAsia="仿宋" w:cs="仿宋"/>
          <w:bCs w:val="0"/>
          <w:color w:val="000000"/>
          <w:sz w:val="24"/>
          <w:szCs w:val="24"/>
          <w:highlight w:val="none"/>
        </w:rPr>
        <w:t>.</w:t>
      </w:r>
      <w:r>
        <w:rPr>
          <w:rFonts w:hint="eastAsia" w:ascii="仿宋" w:hAnsi="仿宋" w:eastAsia="仿宋" w:cs="仿宋"/>
          <w:bCs w:val="0"/>
          <w:color w:val="000000"/>
          <w:sz w:val="24"/>
          <w:szCs w:val="24"/>
          <w:highlight w:val="none"/>
        </w:rPr>
        <w:t>其他情况</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pPr>
        <w:rPr>
          <w:color w:val="000000"/>
          <w:highlight w:val="none"/>
        </w:rPr>
        <w:sectPr>
          <w:footerReference r:id="rId10" w:type="default"/>
          <w:pgSz w:w="11906" w:h="16838"/>
          <w:pgMar w:top="1417" w:right="1134" w:bottom="1134" w:left="1134" w:header="851" w:footer="992" w:gutter="0"/>
          <w:cols w:space="720" w:num="1"/>
          <w:docGrid w:type="lines" w:linePitch="312" w:charSpace="0"/>
        </w:sectPr>
      </w:pPr>
    </w:p>
    <w:p>
      <w:pPr>
        <w:pStyle w:val="3"/>
        <w:spacing w:before="0" w:after="0" w:line="360" w:lineRule="auto"/>
        <w:jc w:val="center"/>
        <w:rPr>
          <w:rFonts w:hint="eastAsia" w:ascii="仿宋" w:hAnsi="仿宋" w:eastAsia="仿宋" w:cs="仿宋"/>
          <w:color w:val="000000"/>
          <w:sz w:val="28"/>
          <w:szCs w:val="28"/>
          <w:highlight w:val="none"/>
        </w:rPr>
      </w:pPr>
      <w:bookmarkStart w:id="119" w:name="_Toc10670"/>
      <w:bookmarkStart w:id="120" w:name="_Toc517281824"/>
      <w:bookmarkStart w:id="121" w:name="_Toc444891343"/>
      <w:r>
        <w:rPr>
          <w:rFonts w:hint="eastAsia" w:ascii="仿宋" w:hAnsi="仿宋" w:eastAsia="仿宋" w:cs="仿宋"/>
          <w:color w:val="000000"/>
          <w:sz w:val="28"/>
          <w:szCs w:val="28"/>
          <w:highlight w:val="none"/>
        </w:rPr>
        <w:t>第三章 评审办法</w:t>
      </w:r>
      <w:bookmarkEnd w:id="119"/>
    </w:p>
    <w:p>
      <w:pPr>
        <w:pStyle w:val="4"/>
        <w:ind w:firstLine="0" w:firstLineChars="0"/>
        <w:jc w:val="left"/>
        <w:rPr>
          <w:rFonts w:hint="eastAsia" w:ascii="仿宋" w:hAnsi="仿宋" w:eastAsia="仿宋" w:cs="仿宋"/>
          <w:color w:val="000000"/>
          <w:sz w:val="24"/>
          <w:szCs w:val="24"/>
          <w:highlight w:val="none"/>
        </w:rPr>
      </w:pPr>
      <w:bookmarkStart w:id="122" w:name="_Toc444891344"/>
      <w:bookmarkStart w:id="123" w:name="_Toc517281825"/>
      <w:bookmarkStart w:id="124" w:name="_Toc7201"/>
      <w:bookmarkStart w:id="125" w:name="_Toc226969358"/>
      <w:bookmarkStart w:id="126" w:name="_Toc227057964"/>
      <w:r>
        <w:rPr>
          <w:rFonts w:hint="eastAsia" w:ascii="仿宋" w:hAnsi="仿宋" w:eastAsia="仿宋" w:cs="仿宋"/>
          <w:color w:val="000000"/>
          <w:sz w:val="24"/>
          <w:szCs w:val="24"/>
          <w:highlight w:val="none"/>
        </w:rPr>
        <w:t>一、评审程序</w:t>
      </w:r>
      <w:bookmarkEnd w:id="122"/>
      <w:bookmarkEnd w:id="123"/>
      <w:bookmarkEnd w:id="124"/>
    </w:p>
    <w:p>
      <w:pPr>
        <w:spacing w:line="360" w:lineRule="auto"/>
        <w:ind w:firstLine="480" w:firstLineChars="200"/>
        <w:jc w:val="left"/>
        <w:rPr>
          <w:rFonts w:hint="eastAsia" w:ascii="仿宋" w:hAnsi="仿宋" w:eastAsia="仿宋" w:cs="仿宋"/>
          <w:color w:val="000000"/>
          <w:kern w:val="0"/>
          <w:sz w:val="24"/>
          <w:highlight w:val="none"/>
        </w:rPr>
      </w:pPr>
      <w:r>
        <w:rPr>
          <w:rFonts w:hint="eastAsia" w:ascii="仿宋" w:hAnsi="仿宋" w:eastAsia="仿宋" w:cs="仿宋"/>
          <w:color w:val="000000"/>
          <w:sz w:val="24"/>
          <w:highlight w:val="none"/>
        </w:rPr>
        <w:t>磋商小组</w:t>
      </w:r>
      <w:r>
        <w:rPr>
          <w:rFonts w:hint="eastAsia" w:ascii="仿宋" w:hAnsi="仿宋" w:eastAsia="仿宋" w:cs="仿宋"/>
          <w:color w:val="000000"/>
          <w:kern w:val="0"/>
          <w:sz w:val="24"/>
          <w:highlight w:val="none"/>
        </w:rPr>
        <w:t>对响应文件中的相关内容进行评审。评审按照以下程序进行：</w:t>
      </w:r>
    </w:p>
    <w:p>
      <w:pPr>
        <w:spacing w:line="360" w:lineRule="auto"/>
        <w:ind w:firstLine="420" w:firstLineChars="175"/>
        <w:jc w:val="left"/>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1.</w:t>
      </w:r>
      <w:r>
        <w:rPr>
          <w:rFonts w:hint="eastAsia" w:ascii="仿宋" w:hAnsi="仿宋" w:eastAsia="仿宋" w:cs="仿宋"/>
          <w:color w:val="000000"/>
          <w:kern w:val="0"/>
          <w:sz w:val="24"/>
          <w:highlight w:val="none"/>
        </w:rPr>
        <w:t>熟悉磋商文件；</w:t>
      </w:r>
    </w:p>
    <w:p>
      <w:pPr>
        <w:spacing w:line="360" w:lineRule="auto"/>
        <w:ind w:firstLine="420" w:firstLineChars="175"/>
        <w:jc w:val="left"/>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2.</w:t>
      </w:r>
      <w:r>
        <w:rPr>
          <w:rFonts w:hint="eastAsia" w:ascii="仿宋" w:hAnsi="仿宋" w:eastAsia="仿宋" w:cs="仿宋"/>
          <w:color w:val="000000"/>
          <w:kern w:val="0"/>
          <w:sz w:val="24"/>
          <w:highlight w:val="none"/>
        </w:rPr>
        <w:t>对响应文件进行初步评审，检查响应文件是否满足磋商文件的初审要求；初步评审中不符合评审标准的，将做否决磋商响应处理；</w:t>
      </w:r>
    </w:p>
    <w:p>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3.</w:t>
      </w:r>
      <w:r>
        <w:rPr>
          <w:rFonts w:hint="eastAsia" w:ascii="仿宋" w:hAnsi="仿宋" w:eastAsia="仿宋" w:cs="仿宋"/>
          <w:color w:val="000000"/>
          <w:kern w:val="0"/>
          <w:sz w:val="24"/>
          <w:highlight w:val="none"/>
        </w:rPr>
        <w:t>供应商有以下情形之一的，磋商小组应当否决其磋商响应：</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（1）按照</w:t>
      </w:r>
      <w:r>
        <w:rPr>
          <w:rFonts w:hint="eastAsia" w:ascii="仿宋" w:hAnsi="仿宋" w:eastAsia="仿宋" w:cs="仿宋"/>
          <w:kern w:val="0"/>
          <w:sz w:val="24"/>
          <w:highlight w:val="none"/>
          <w:lang w:val="en-US" w:eastAsia="zh-CN"/>
        </w:rPr>
        <w:t>磋商</w:t>
      </w:r>
      <w:r>
        <w:rPr>
          <w:rFonts w:hint="eastAsia" w:ascii="仿宋" w:hAnsi="仿宋" w:eastAsia="仿宋" w:cs="仿宋"/>
          <w:kern w:val="0"/>
          <w:sz w:val="24"/>
          <w:highlight w:val="none"/>
        </w:rPr>
        <w:t>公告要求已经递交电子</w:t>
      </w:r>
      <w:r>
        <w:rPr>
          <w:rFonts w:hint="eastAsia" w:ascii="仿宋" w:hAnsi="仿宋" w:eastAsia="仿宋" w:cs="仿宋"/>
          <w:kern w:val="0"/>
          <w:sz w:val="24"/>
          <w:highlight w:val="none"/>
          <w:lang w:val="en-US" w:eastAsia="zh-CN"/>
        </w:rPr>
        <w:t>响应</w:t>
      </w:r>
      <w:r>
        <w:rPr>
          <w:rFonts w:hint="eastAsia" w:ascii="仿宋" w:hAnsi="仿宋" w:eastAsia="仿宋" w:cs="仿宋"/>
          <w:kern w:val="0"/>
          <w:sz w:val="24"/>
          <w:highlight w:val="none"/>
        </w:rPr>
        <w:t>文件，</w:t>
      </w:r>
      <w:r>
        <w:rPr>
          <w:rFonts w:hint="eastAsia" w:ascii="仿宋" w:hAnsi="仿宋" w:eastAsia="仿宋" w:cs="仿宋"/>
          <w:kern w:val="0"/>
          <w:sz w:val="24"/>
          <w:highlight w:val="none"/>
          <w:lang w:val="en-US" w:eastAsia="zh-CN"/>
        </w:rPr>
        <w:t>但</w:t>
      </w:r>
      <w:r>
        <w:rPr>
          <w:rFonts w:hint="eastAsia" w:ascii="仿宋" w:hAnsi="仿宋" w:eastAsia="仿宋" w:cs="仿宋"/>
          <w:kern w:val="0"/>
          <w:sz w:val="24"/>
          <w:highlight w:val="none"/>
        </w:rPr>
        <w:t>未按要求递交纸质响应文件；</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（2）响应文件未经供应商盖章和单位负责人签字；</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（3）允许联合体响应的，联合体没有递交共同响应协议；</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（4）不符合国家或者磋商文件规定的资格条件；</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（5）同一供应商提交两个以上不同的响应文件或者响应报价，但磋商文件要求提交备选文件的除外；</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lang w:eastAsia="zh-CN"/>
        </w:rPr>
        <w:t>）</w:t>
      </w:r>
      <w:r>
        <w:rPr>
          <w:rFonts w:hint="eastAsia" w:ascii="仿宋" w:hAnsi="仿宋" w:eastAsia="仿宋" w:cs="宋体"/>
          <w:color w:val="000000"/>
          <w:kern w:val="0"/>
          <w:sz w:val="24"/>
          <w:szCs w:val="24"/>
          <w:highlight w:val="none"/>
          <w:lang w:val="en-US" w:eastAsia="zh-CN"/>
        </w:rPr>
        <w:t>最终</w:t>
      </w:r>
      <w:r>
        <w:rPr>
          <w:rFonts w:hint="eastAsia" w:ascii="仿宋" w:hAnsi="仿宋" w:eastAsia="仿宋" w:cs="宋体"/>
          <w:color w:val="000000"/>
          <w:kern w:val="0"/>
          <w:sz w:val="24"/>
          <w:szCs w:val="24"/>
          <w:highlight w:val="none"/>
        </w:rPr>
        <w:t>报价低于成本或者高于</w:t>
      </w:r>
      <w:r>
        <w:rPr>
          <w:rFonts w:hint="eastAsia" w:ascii="仿宋" w:hAnsi="仿宋" w:eastAsia="仿宋" w:cs="宋体"/>
          <w:color w:val="000000"/>
          <w:kern w:val="0"/>
          <w:sz w:val="24"/>
          <w:szCs w:val="24"/>
          <w:highlight w:val="none"/>
          <w:lang w:val="en-US" w:eastAsia="zh-CN"/>
        </w:rPr>
        <w:t>磋商</w:t>
      </w:r>
      <w:r>
        <w:rPr>
          <w:rFonts w:hint="eastAsia" w:ascii="仿宋" w:hAnsi="仿宋" w:eastAsia="仿宋" w:cs="宋体"/>
          <w:color w:val="000000"/>
          <w:kern w:val="0"/>
          <w:sz w:val="24"/>
          <w:szCs w:val="24"/>
          <w:highlight w:val="none"/>
        </w:rPr>
        <w:t>文件设定的最高投标限价；</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（7）</w:t>
      </w:r>
      <w:r>
        <w:rPr>
          <w:rFonts w:hint="eastAsia" w:ascii="仿宋" w:hAnsi="仿宋" w:eastAsia="仿宋" w:cs="宋体"/>
          <w:color w:val="000000"/>
          <w:kern w:val="0"/>
          <w:sz w:val="24"/>
          <w:szCs w:val="24"/>
          <w:highlight w:val="none"/>
          <w:lang w:val="en-US" w:eastAsia="zh-CN"/>
        </w:rPr>
        <w:t>响应</w:t>
      </w:r>
      <w:r>
        <w:rPr>
          <w:rFonts w:hint="eastAsia" w:ascii="仿宋" w:hAnsi="仿宋" w:eastAsia="仿宋" w:cs="宋体"/>
          <w:color w:val="000000"/>
          <w:kern w:val="0"/>
          <w:sz w:val="24"/>
          <w:szCs w:val="24"/>
          <w:highlight w:val="none"/>
        </w:rPr>
        <w:t>文件未对</w:t>
      </w:r>
      <w:r>
        <w:rPr>
          <w:rFonts w:hint="eastAsia" w:ascii="仿宋" w:hAnsi="仿宋" w:eastAsia="仿宋" w:cs="宋体"/>
          <w:color w:val="000000"/>
          <w:kern w:val="0"/>
          <w:sz w:val="24"/>
          <w:szCs w:val="24"/>
          <w:highlight w:val="none"/>
          <w:lang w:val="en-US" w:eastAsia="zh-CN"/>
        </w:rPr>
        <w:t>磋商</w:t>
      </w:r>
      <w:r>
        <w:rPr>
          <w:rFonts w:hint="eastAsia" w:ascii="仿宋" w:hAnsi="仿宋" w:eastAsia="仿宋" w:cs="宋体"/>
          <w:color w:val="000000"/>
          <w:kern w:val="0"/>
          <w:sz w:val="24"/>
          <w:szCs w:val="24"/>
          <w:highlight w:val="none"/>
        </w:rPr>
        <w:t xml:space="preserve">文件的实质性要求和条件作出响应； </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（8）</w:t>
      </w:r>
      <w:r>
        <w:rPr>
          <w:rFonts w:hint="eastAsia" w:ascii="仿宋" w:hAnsi="仿宋" w:eastAsia="仿宋" w:cs="宋体"/>
          <w:color w:val="000000"/>
          <w:kern w:val="0"/>
          <w:sz w:val="24"/>
          <w:szCs w:val="24"/>
          <w:highlight w:val="none"/>
          <w:lang w:val="en-US" w:eastAsia="zh-CN"/>
        </w:rPr>
        <w:t>供应商</w:t>
      </w:r>
      <w:r>
        <w:rPr>
          <w:rFonts w:hint="eastAsia" w:ascii="仿宋" w:hAnsi="仿宋" w:eastAsia="仿宋" w:cs="宋体"/>
          <w:color w:val="000000"/>
          <w:kern w:val="0"/>
          <w:sz w:val="24"/>
          <w:szCs w:val="24"/>
          <w:highlight w:val="none"/>
        </w:rPr>
        <w:t>有串通投标、弄虚作假、行贿等违法行为；</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（9）不接受或不确认因算术性错误进行的价格修正；</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（10）</w:t>
      </w:r>
      <w:r>
        <w:rPr>
          <w:rFonts w:hint="eastAsia" w:ascii="仿宋" w:hAnsi="仿宋" w:eastAsia="仿宋" w:cs="宋体"/>
          <w:color w:val="000000"/>
          <w:kern w:val="0"/>
          <w:sz w:val="24"/>
          <w:szCs w:val="24"/>
          <w:highlight w:val="none"/>
          <w:lang w:val="en-US" w:eastAsia="zh-CN"/>
        </w:rPr>
        <w:t>响应</w:t>
      </w:r>
      <w:r>
        <w:rPr>
          <w:rFonts w:hint="eastAsia" w:ascii="仿宋" w:hAnsi="仿宋" w:eastAsia="仿宋" w:cs="宋体"/>
          <w:color w:val="000000"/>
          <w:kern w:val="0"/>
          <w:sz w:val="24"/>
          <w:szCs w:val="24"/>
          <w:highlight w:val="none"/>
        </w:rPr>
        <w:t>文件附有</w:t>
      </w:r>
      <w:r>
        <w:rPr>
          <w:rFonts w:hint="eastAsia" w:ascii="仿宋" w:hAnsi="仿宋" w:eastAsia="仿宋" w:cs="宋体"/>
          <w:color w:val="000000"/>
          <w:kern w:val="0"/>
          <w:sz w:val="24"/>
          <w:szCs w:val="24"/>
          <w:highlight w:val="none"/>
          <w:lang w:val="en-US" w:eastAsia="zh-CN"/>
        </w:rPr>
        <w:t>采购</w:t>
      </w:r>
      <w:r>
        <w:rPr>
          <w:rFonts w:hint="eastAsia" w:ascii="仿宋" w:hAnsi="仿宋" w:eastAsia="仿宋" w:cs="宋体"/>
          <w:color w:val="000000"/>
          <w:kern w:val="0"/>
          <w:sz w:val="24"/>
          <w:szCs w:val="24"/>
          <w:highlight w:val="none"/>
        </w:rPr>
        <w:t>人不能接受的条件；</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（11）不符合</w:t>
      </w:r>
      <w:r>
        <w:rPr>
          <w:rFonts w:hint="eastAsia" w:ascii="仿宋" w:hAnsi="仿宋" w:eastAsia="仿宋" w:cs="宋体"/>
          <w:color w:val="000000"/>
          <w:kern w:val="0"/>
          <w:sz w:val="24"/>
          <w:szCs w:val="24"/>
          <w:highlight w:val="none"/>
          <w:lang w:val="en-US" w:eastAsia="zh-CN"/>
        </w:rPr>
        <w:t>磋商</w:t>
      </w:r>
      <w:r>
        <w:rPr>
          <w:rFonts w:hint="eastAsia" w:ascii="仿宋" w:hAnsi="仿宋" w:eastAsia="仿宋" w:cs="宋体"/>
          <w:color w:val="000000"/>
          <w:kern w:val="0"/>
          <w:sz w:val="24"/>
          <w:szCs w:val="24"/>
          <w:highlight w:val="none"/>
        </w:rPr>
        <w:t>文件中规定的其他实质性要求。</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color w:val="000000"/>
          <w:kern w:val="0"/>
          <w:sz w:val="24"/>
          <w:highlight w:val="none"/>
          <w:lang w:val="en-US" w:eastAsia="zh-CN"/>
        </w:rPr>
        <w:t>4.初步评审</w:t>
      </w:r>
      <w:r>
        <w:rPr>
          <w:rFonts w:hint="eastAsia" w:ascii="仿宋" w:hAnsi="仿宋" w:eastAsia="仿宋" w:cs="仿宋"/>
          <w:color w:val="000000"/>
          <w:kern w:val="0"/>
          <w:sz w:val="24"/>
          <w:highlight w:val="none"/>
          <w:lang w:val="zh-CN" w:eastAsia="zh-CN"/>
        </w:rPr>
        <w:t>内容允许在磋商过程中按磋商小组规定的时间内补充，若未在规定时间内补充则将导致响应无效。</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通过初步评审的供应商分别进行磋商；</w:t>
      </w:r>
    </w:p>
    <w:p>
      <w:pPr>
        <w:spacing w:line="360" w:lineRule="auto"/>
        <w:ind w:firstLine="420" w:firstLineChars="175"/>
        <w:jc w:val="left"/>
        <w:rPr>
          <w:rFonts w:ascii="仿宋" w:hAnsi="仿宋" w:eastAsia="仿宋" w:cs="仿宋"/>
          <w:kern w:val="0"/>
          <w:sz w:val="24"/>
          <w:highlight w:val="none"/>
        </w:rPr>
      </w:pP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rPr>
        <w:t>通过初步评审的供应商进行最终报价；</w:t>
      </w:r>
    </w:p>
    <w:p>
      <w:pPr>
        <w:spacing w:line="360" w:lineRule="auto"/>
        <w:ind w:firstLine="420" w:firstLineChars="175"/>
        <w:jc w:val="left"/>
        <w:rPr>
          <w:rFonts w:ascii="仿宋" w:hAnsi="仿宋" w:eastAsia="仿宋" w:cs="仿宋"/>
          <w:kern w:val="0"/>
          <w:sz w:val="24"/>
          <w:highlight w:val="none"/>
        </w:rPr>
      </w:pPr>
      <w:r>
        <w:rPr>
          <w:rFonts w:hint="eastAsia" w:ascii="仿宋" w:hAnsi="仿宋" w:eastAsia="仿宋" w:cs="仿宋"/>
          <w:kern w:val="0"/>
          <w:sz w:val="24"/>
          <w:highlight w:val="none"/>
          <w:lang w:val="en-US" w:eastAsia="zh-CN"/>
        </w:rPr>
        <w:t>7.</w:t>
      </w:r>
      <w:r>
        <w:rPr>
          <w:rFonts w:hint="eastAsia" w:ascii="仿宋" w:hAnsi="仿宋" w:eastAsia="仿宋" w:cs="仿宋"/>
          <w:kern w:val="0"/>
          <w:sz w:val="24"/>
          <w:highlight w:val="none"/>
        </w:rPr>
        <w:t>通过初步评审的响应文件进行详细评审及打分；</w:t>
      </w:r>
    </w:p>
    <w:p>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kern w:val="0"/>
          <w:sz w:val="24"/>
          <w:highlight w:val="none"/>
          <w:lang w:val="en-US" w:eastAsia="zh-CN"/>
        </w:rPr>
        <w:t>8.</w:t>
      </w:r>
      <w:r>
        <w:rPr>
          <w:rFonts w:hint="eastAsia" w:ascii="仿宋" w:hAnsi="仿宋" w:eastAsia="仿宋" w:cs="仿宋"/>
          <w:kern w:val="0"/>
          <w:sz w:val="24"/>
          <w:highlight w:val="none"/>
        </w:rPr>
        <w:t>按照综合评分由高到低的次序推荐成交候选人，提交评审报告，评审报告应</w:t>
      </w:r>
      <w:r>
        <w:rPr>
          <w:rFonts w:hint="eastAsia" w:ascii="仿宋" w:hAnsi="仿宋" w:eastAsia="仿宋" w:cs="仿宋"/>
          <w:color w:val="000000"/>
          <w:kern w:val="0"/>
          <w:sz w:val="24"/>
          <w:highlight w:val="none"/>
        </w:rPr>
        <w:t>包含评审情况说明、排名次序、推荐成交候选人名单及其他说明事项。</w:t>
      </w:r>
    </w:p>
    <w:p>
      <w:pPr>
        <w:pStyle w:val="4"/>
        <w:ind w:firstLine="0" w:firstLineChars="0"/>
        <w:jc w:val="left"/>
        <w:rPr>
          <w:rFonts w:hint="eastAsia" w:ascii="仿宋" w:hAnsi="仿宋" w:eastAsia="仿宋" w:cs="仿宋"/>
          <w:color w:val="000000"/>
          <w:sz w:val="24"/>
          <w:szCs w:val="24"/>
          <w:highlight w:val="none"/>
        </w:rPr>
      </w:pPr>
      <w:bookmarkStart w:id="127" w:name="_Toc444891345"/>
      <w:bookmarkStart w:id="128" w:name="_Toc517281826"/>
      <w:r>
        <w:rPr>
          <w:rFonts w:hint="eastAsia" w:ascii="仿宋" w:hAnsi="仿宋" w:eastAsia="仿宋" w:cs="仿宋"/>
          <w:color w:val="000000"/>
          <w:sz w:val="24"/>
          <w:szCs w:val="24"/>
          <w:highlight w:val="none"/>
        </w:rPr>
        <w:br w:type="page"/>
      </w:r>
      <w:bookmarkStart w:id="129" w:name="_Toc32019"/>
      <w:r>
        <w:rPr>
          <w:rFonts w:hint="eastAsia" w:ascii="仿宋" w:hAnsi="仿宋" w:eastAsia="仿宋" w:cs="仿宋"/>
          <w:color w:val="000000"/>
          <w:sz w:val="24"/>
          <w:szCs w:val="24"/>
          <w:highlight w:val="none"/>
        </w:rPr>
        <w:t>二、初步评审</w:t>
      </w:r>
      <w:bookmarkEnd w:id="127"/>
      <w:bookmarkEnd w:id="128"/>
      <w:bookmarkEnd w:id="129"/>
    </w:p>
    <w:bookmarkEnd w:id="125"/>
    <w:bookmarkEnd w:id="126"/>
    <w:tbl>
      <w:tblPr>
        <w:tblStyle w:val="40"/>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59"/>
        <w:gridCol w:w="1167"/>
        <w:gridCol w:w="1952"/>
        <w:gridCol w:w="607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4" w:type="pct"/>
            <w:noWrap w:val="0"/>
            <w:vAlign w:val="center"/>
          </w:tcPr>
          <w:p>
            <w:pPr>
              <w:widowControl/>
              <w:spacing w:line="360" w:lineRule="auto"/>
              <w:jc w:val="center"/>
              <w:rPr>
                <w:rFonts w:hint="eastAsia" w:ascii="仿宋" w:hAnsi="仿宋" w:eastAsia="仿宋" w:cs="仿宋"/>
                <w:b/>
                <w:color w:val="000000"/>
                <w:kern w:val="0"/>
                <w:szCs w:val="21"/>
                <w:highlight w:val="none"/>
              </w:rPr>
            </w:pPr>
            <w:bookmarkStart w:id="130" w:name="_Toc426620345"/>
            <w:bookmarkStart w:id="131" w:name="_Toc13468"/>
            <w:bookmarkStart w:id="132" w:name="_Toc444891346"/>
            <w:bookmarkStart w:id="133" w:name="_Toc517281827"/>
            <w:bookmarkStart w:id="134" w:name="_Toc9003"/>
            <w:bookmarkStart w:id="135" w:name="_Toc4633"/>
            <w:r>
              <w:rPr>
                <w:rFonts w:hint="eastAsia" w:ascii="仿宋" w:hAnsi="仿宋" w:eastAsia="仿宋" w:cs="仿宋"/>
                <w:b/>
                <w:color w:val="000000"/>
                <w:kern w:val="0"/>
                <w:szCs w:val="21"/>
                <w:highlight w:val="none"/>
              </w:rPr>
              <w:t>序号</w:t>
            </w:r>
          </w:p>
        </w:tc>
        <w:tc>
          <w:tcPr>
            <w:tcW w:w="592" w:type="pct"/>
            <w:noWrap w:val="0"/>
            <w:vAlign w:val="top"/>
          </w:tcPr>
          <w:p>
            <w:pPr>
              <w:widowControl/>
              <w:spacing w:before="24" w:after="24"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评审环节</w:t>
            </w:r>
          </w:p>
        </w:tc>
        <w:tc>
          <w:tcPr>
            <w:tcW w:w="990" w:type="pct"/>
            <w:noWrap w:val="0"/>
            <w:vAlign w:val="center"/>
          </w:tcPr>
          <w:p>
            <w:pPr>
              <w:widowControl/>
              <w:spacing w:before="24" w:after="24"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评审因素</w:t>
            </w:r>
          </w:p>
        </w:tc>
        <w:tc>
          <w:tcPr>
            <w:tcW w:w="3082" w:type="pct"/>
            <w:noWrap w:val="0"/>
            <w:vAlign w:val="center"/>
          </w:tcPr>
          <w:p>
            <w:pPr>
              <w:widowControl/>
              <w:spacing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4" w:type="pct"/>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w:t>
            </w:r>
          </w:p>
        </w:tc>
        <w:tc>
          <w:tcPr>
            <w:tcW w:w="592" w:type="pct"/>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990" w:type="pct"/>
            <w:noWrap w:val="0"/>
            <w:vAlign w:val="center"/>
          </w:tcPr>
          <w:p>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供应商名称</w:t>
            </w:r>
          </w:p>
        </w:tc>
        <w:tc>
          <w:tcPr>
            <w:tcW w:w="3082" w:type="pct"/>
            <w:noWrap w:val="0"/>
            <w:vAlign w:val="center"/>
          </w:tcPr>
          <w:p>
            <w:pPr>
              <w:spacing w:before="24" w:after="24" w:line="276" w:lineRule="auto"/>
              <w:jc w:val="left"/>
              <w:rPr>
                <w:rFonts w:hint="eastAsia" w:ascii="仿宋" w:hAnsi="仿宋" w:eastAsia="仿宋" w:cs="仿宋"/>
                <w:color w:val="000000"/>
                <w:kern w:val="0"/>
                <w:szCs w:val="21"/>
                <w:highlight w:val="none"/>
              </w:rPr>
            </w:pPr>
            <w:r>
              <w:rPr>
                <w:rFonts w:hint="eastAsia" w:ascii="仿宋" w:hAnsi="仿宋" w:eastAsia="仿宋" w:cs="Cambria Math"/>
                <w:color w:val="000000"/>
                <w:szCs w:val="21"/>
                <w:highlight w:val="none"/>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4"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spacing w:before="24" w:after="24" w:line="276" w:lineRule="auto"/>
              <w:jc w:val="center"/>
              <w:rPr>
                <w:rFonts w:hint="eastAsia" w:ascii="仿宋" w:hAnsi="仿宋" w:eastAsia="仿宋" w:cs="仿宋"/>
                <w:color w:val="000000"/>
                <w:spacing w:val="-4"/>
                <w:kern w:val="0"/>
                <w:szCs w:val="21"/>
                <w:highlight w:val="none"/>
              </w:rPr>
            </w:pPr>
            <w:r>
              <w:rPr>
                <w:rFonts w:hint="eastAsia" w:ascii="仿宋" w:hAnsi="仿宋" w:eastAsia="仿宋" w:cs="仿宋"/>
                <w:color w:val="000000"/>
                <w:szCs w:val="21"/>
                <w:highlight w:val="none"/>
              </w:rPr>
              <w:t>法定代表人（负责人）身份证明</w:t>
            </w:r>
          </w:p>
        </w:tc>
        <w:tc>
          <w:tcPr>
            <w:tcW w:w="3082" w:type="pct"/>
            <w:noWrap w:val="0"/>
            <w:vAlign w:val="center"/>
          </w:tcPr>
          <w:p>
            <w:pPr>
              <w:pStyle w:val="174"/>
              <w:topLinePunct/>
              <w:jc w:val="left"/>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1、提供法定代表人（负责人）身份证复印件。</w:t>
            </w:r>
          </w:p>
          <w:p>
            <w:pPr>
              <w:pStyle w:val="137"/>
              <w:tabs>
                <w:tab w:val="left" w:pos="630"/>
              </w:tabs>
              <w:topLinePunct/>
              <w:spacing w:before="62" w:beforeLines="20" w:after="62" w:afterLines="20"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2"/>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4"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法定代表人（负责人）授权委托书</w:t>
            </w:r>
          </w:p>
        </w:tc>
        <w:tc>
          <w:tcPr>
            <w:tcW w:w="3082" w:type="pct"/>
            <w:noWrap w:val="0"/>
            <w:vAlign w:val="center"/>
          </w:tcPr>
          <w:p>
            <w:pPr>
              <w:pStyle w:val="174"/>
              <w:topLinePunc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1、提供委托代理人身份证复印件。</w:t>
            </w:r>
          </w:p>
          <w:p>
            <w:pPr>
              <w:pStyle w:val="174"/>
              <w:topLinePunct/>
              <w:spacing w:line="276" w:lineRule="auto"/>
              <w:rPr>
                <w:rFonts w:hint="eastAsia" w:ascii="仿宋" w:hAnsi="仿宋" w:eastAsia="仿宋" w:cs="Cambria Math"/>
                <w:color w:val="000000"/>
                <w:sz w:val="21"/>
                <w:szCs w:val="21"/>
                <w:highlight w:val="none"/>
              </w:rPr>
            </w:pPr>
            <w:r>
              <w:rPr>
                <w:rFonts w:hint="eastAsia" w:ascii="仿宋" w:hAnsi="仿宋" w:eastAsia="仿宋" w:cs="仿宋"/>
                <w:color w:val="000000"/>
                <w:sz w:val="22"/>
                <w:highlight w:val="none"/>
              </w:rPr>
              <w:t>2、落款</w:t>
            </w:r>
            <w:r>
              <w:rPr>
                <w:rFonts w:hint="eastAsia" w:ascii="仿宋" w:hAnsi="仿宋" w:eastAsia="仿宋" w:cs="仿宋"/>
                <w:bCs/>
                <w:color w:val="000000"/>
                <w:sz w:val="22"/>
                <w:highlight w:val="none"/>
              </w:rPr>
              <w:t>加盖公章</w:t>
            </w:r>
            <w:r>
              <w:rPr>
                <w:rFonts w:hint="eastAsia" w:ascii="仿宋" w:hAnsi="仿宋" w:eastAsia="仿宋" w:cs="仿宋"/>
                <w:b/>
                <w:bCs/>
                <w:color w:val="000000"/>
                <w:sz w:val="22"/>
                <w:highlight w:val="none"/>
              </w:rPr>
              <w:t>并由</w:t>
            </w:r>
            <w:r>
              <w:rPr>
                <w:rFonts w:hint="eastAsia" w:ascii="仿宋" w:hAnsi="仿宋" w:eastAsia="仿宋" w:cs="仿宋"/>
                <w:color w:val="000000"/>
                <w:sz w:val="22"/>
                <w:highlight w:val="none"/>
              </w:rPr>
              <w:t>法定代表人（负责人）签字</w:t>
            </w:r>
            <w:r>
              <w:rPr>
                <w:rFonts w:hint="eastAsia" w:ascii="仿宋" w:hAnsi="仿宋" w:eastAsia="仿宋" w:cs="仿宋"/>
                <w:b/>
                <w:bCs/>
                <w:color w:val="000000"/>
                <w:sz w:val="22"/>
                <w:highlight w:val="none"/>
              </w:rPr>
              <w:t>和</w:t>
            </w:r>
            <w:r>
              <w:rPr>
                <w:rFonts w:hint="eastAsia" w:ascii="仿宋" w:hAnsi="仿宋" w:eastAsia="仿宋" w:cs="仿宋"/>
                <w:color w:val="000000"/>
                <w:sz w:val="22"/>
                <w:highlight w:val="none"/>
              </w:rPr>
              <w:t>其委托代理人</w:t>
            </w:r>
            <w:r>
              <w:rPr>
                <w:rFonts w:hint="eastAsia" w:ascii="仿宋" w:hAnsi="仿宋" w:eastAsia="仿宋" w:cs="仿宋"/>
                <w:b/>
                <w:bCs/>
                <w:color w:val="000000"/>
                <w:sz w:val="22"/>
                <w:highlight w:val="none"/>
              </w:rPr>
              <w:t>双方</w:t>
            </w:r>
            <w:r>
              <w:rPr>
                <w:rFonts w:hint="eastAsia" w:ascii="仿宋" w:hAnsi="仿宋" w:eastAsia="仿宋" w:cs="仿宋"/>
                <w:bCs/>
                <w:color w:val="000000"/>
                <w:sz w:val="22"/>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4"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响应文件签字或盖章</w:t>
            </w:r>
          </w:p>
        </w:tc>
        <w:tc>
          <w:tcPr>
            <w:tcW w:w="3082" w:type="pct"/>
            <w:noWrap w:val="0"/>
            <w:vAlign w:val="center"/>
          </w:tcPr>
          <w:p>
            <w:pPr>
              <w:spacing w:before="24" w:after="24"/>
              <w:jc w:val="left"/>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1、上述两款以外的响应文件格式中有落款的文件，</w:t>
            </w:r>
            <w:r>
              <w:rPr>
                <w:rFonts w:hint="eastAsia" w:ascii="仿宋" w:hAnsi="仿宋" w:eastAsia="仿宋" w:cs="宋体"/>
                <w:b/>
                <w:color w:val="000000"/>
                <w:szCs w:val="21"/>
                <w:highlight w:val="none"/>
              </w:rPr>
              <w:t>均需</w:t>
            </w:r>
            <w:r>
              <w:rPr>
                <w:rFonts w:hint="eastAsia" w:ascii="仿宋" w:hAnsi="仿宋" w:eastAsia="仿宋" w:cs="宋体"/>
                <w:color w:val="000000"/>
                <w:szCs w:val="21"/>
                <w:highlight w:val="none"/>
              </w:rPr>
              <w:t>加盖公章</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由法定代表人（负责人）签字</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其委托代理人签字。</w:t>
            </w:r>
          </w:p>
          <w:p>
            <w:pPr>
              <w:pStyle w:val="156"/>
              <w:spacing w:before="62" w:beforeLines="20" w:after="62" w:afterLines="20" w:line="276" w:lineRule="auto"/>
              <w:rPr>
                <w:rFonts w:hint="eastAsia" w:ascii="仿宋" w:hAnsi="仿宋" w:eastAsia="仿宋" w:cs="宋体"/>
                <w:color w:val="000000"/>
                <w:highlight w:val="none"/>
              </w:rPr>
            </w:pPr>
            <w:r>
              <w:rPr>
                <w:rFonts w:hint="eastAsia" w:ascii="仿宋" w:hAnsi="仿宋" w:eastAsia="仿宋" w:cs="宋体"/>
                <w:color w:val="000000"/>
                <w:highlight w:val="none"/>
              </w:rPr>
              <w:t>2、响应文件的所有签字处均指手写签字</w:t>
            </w:r>
            <w:r>
              <w:rPr>
                <w:rFonts w:hint="eastAsia" w:ascii="仿宋" w:hAnsi="仿宋" w:eastAsia="仿宋" w:cs="宋体"/>
                <w:b/>
                <w:color w:val="000000"/>
                <w:highlight w:val="none"/>
              </w:rPr>
              <w:t>或</w:t>
            </w:r>
            <w:r>
              <w:rPr>
                <w:rFonts w:hint="eastAsia" w:ascii="仿宋" w:hAnsi="仿宋" w:eastAsia="仿宋" w:cs="宋体"/>
                <w:color w:val="000000"/>
                <w:highlight w:val="none"/>
              </w:rPr>
              <w:t>签名章/印章</w:t>
            </w:r>
            <w:r>
              <w:rPr>
                <w:rFonts w:hint="eastAsia" w:ascii="仿宋" w:hAnsi="仿宋" w:eastAsia="仿宋" w:cs="宋体"/>
                <w:b/>
                <w:bCs/>
                <w:color w:val="000000"/>
                <w:highlight w:val="none"/>
              </w:rPr>
              <w:t>或</w:t>
            </w:r>
            <w:r>
              <w:rPr>
                <w:rFonts w:hint="eastAsia" w:ascii="仿宋" w:hAnsi="仿宋" w:eastAsia="仿宋" w:cs="宋体"/>
                <w:color w:val="000000"/>
                <w:highlight w:val="none"/>
              </w:rPr>
              <w:t>CA签名章，</w:t>
            </w:r>
            <w:r>
              <w:rPr>
                <w:rFonts w:hint="eastAsia" w:ascii="仿宋" w:hAnsi="仿宋" w:eastAsia="仿宋" w:cs="宋体"/>
                <w:b/>
                <w:color w:val="000000"/>
                <w:highlight w:val="none"/>
              </w:rPr>
              <w:t>不得</w:t>
            </w:r>
            <w:r>
              <w:rPr>
                <w:rFonts w:hint="eastAsia" w:ascii="仿宋" w:hAnsi="仿宋" w:eastAsia="仿宋" w:cs="宋体"/>
                <w:color w:val="000000"/>
                <w:highlight w:val="none"/>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4" w:type="pct"/>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w:t>
            </w:r>
          </w:p>
        </w:tc>
        <w:tc>
          <w:tcPr>
            <w:tcW w:w="592" w:type="pct"/>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资格评审标准</w:t>
            </w:r>
          </w:p>
        </w:tc>
        <w:tc>
          <w:tcPr>
            <w:tcW w:w="1952" w:type="dxa"/>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szCs w:val="21"/>
              </w:rPr>
              <w:t>具有独立承担民事责任的能力</w:t>
            </w:r>
          </w:p>
        </w:tc>
        <w:tc>
          <w:tcPr>
            <w:tcW w:w="3082"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4"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szCs w:val="21"/>
                <w:highlight w:val="none"/>
              </w:rPr>
            </w:pPr>
          </w:p>
        </w:tc>
        <w:tc>
          <w:tcPr>
            <w:tcW w:w="1952" w:type="dxa"/>
            <w:noWrap w:val="0"/>
            <w:vAlign w:val="center"/>
          </w:tcPr>
          <w:p>
            <w:pPr>
              <w:spacing w:before="24" w:after="24" w:line="276" w:lineRule="auto"/>
              <w:jc w:val="center"/>
              <w:rPr>
                <w:rFonts w:hint="default" w:ascii="仿宋" w:hAnsi="仿宋" w:eastAsia="仿宋" w:cs="仿宋"/>
                <w:szCs w:val="21"/>
                <w:lang w:val="en-US" w:eastAsia="zh-CN"/>
              </w:rPr>
            </w:pPr>
            <w:r>
              <w:rPr>
                <w:rFonts w:hint="eastAsia" w:ascii="仿宋" w:hAnsi="仿宋" w:eastAsia="仿宋" w:cs="仿宋"/>
                <w:szCs w:val="21"/>
                <w:lang w:val="en-US" w:eastAsia="zh-CN"/>
              </w:rPr>
              <w:t>企业成立时间不少于3年</w:t>
            </w:r>
          </w:p>
        </w:tc>
        <w:tc>
          <w:tcPr>
            <w:tcW w:w="3082"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4"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szCs w:val="21"/>
                <w:highlight w:val="none"/>
              </w:rPr>
            </w:pPr>
          </w:p>
        </w:tc>
        <w:tc>
          <w:tcPr>
            <w:tcW w:w="1952" w:type="dxa"/>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szCs w:val="21"/>
              </w:rPr>
              <w:t>具有良好的商业信誉和健全的财务会计制度</w:t>
            </w:r>
          </w:p>
        </w:tc>
        <w:tc>
          <w:tcPr>
            <w:tcW w:w="3082"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4"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szCs w:val="21"/>
                <w:highlight w:val="none"/>
              </w:rPr>
            </w:pPr>
          </w:p>
        </w:tc>
        <w:tc>
          <w:tcPr>
            <w:tcW w:w="1952" w:type="dxa"/>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szCs w:val="21"/>
              </w:rPr>
              <w:t>供应商应具有履行合同所必需的设备和专业技术能力</w:t>
            </w:r>
          </w:p>
        </w:tc>
        <w:tc>
          <w:tcPr>
            <w:tcW w:w="3082"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4"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1952" w:type="dxa"/>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szCs w:val="21"/>
              </w:rPr>
              <w:t>具有依法缴纳税收和社会保障资金的良好记录</w:t>
            </w:r>
          </w:p>
        </w:tc>
        <w:tc>
          <w:tcPr>
            <w:tcW w:w="3082"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4"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1952" w:type="dxa"/>
            <w:noWrap w:val="0"/>
            <w:vAlign w:val="center"/>
          </w:tcPr>
          <w:p>
            <w:pPr>
              <w:spacing w:before="24" w:after="24" w:line="276" w:lineRule="auto"/>
              <w:jc w:val="center"/>
              <w:rPr>
                <w:rFonts w:hint="default" w:ascii="仿宋" w:hAnsi="仿宋" w:eastAsia="仿宋" w:cs="仿宋"/>
                <w:color w:val="auto"/>
                <w:kern w:val="0"/>
                <w:szCs w:val="21"/>
                <w:highlight w:val="none"/>
                <w:lang w:val="en-US" w:eastAsia="zh-CN"/>
              </w:rPr>
            </w:pPr>
            <w:r>
              <w:rPr>
                <w:rFonts w:hint="eastAsia" w:ascii="仿宋" w:hAnsi="仿宋" w:eastAsia="仿宋" w:cs="仿宋"/>
                <w:szCs w:val="21"/>
              </w:rPr>
              <w:t>近三年内无违法违规记录</w:t>
            </w:r>
          </w:p>
        </w:tc>
        <w:tc>
          <w:tcPr>
            <w:tcW w:w="3082"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4"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1952" w:type="dxa"/>
            <w:noWrap w:val="0"/>
            <w:vAlign w:val="center"/>
          </w:tcPr>
          <w:p>
            <w:pPr>
              <w:spacing w:before="24" w:after="24" w:line="276" w:lineRule="auto"/>
              <w:jc w:val="center"/>
              <w:rPr>
                <w:rFonts w:hint="default" w:ascii="仿宋" w:hAnsi="仿宋" w:eastAsia="仿宋" w:cs="仿宋"/>
                <w:color w:val="auto"/>
                <w:kern w:val="0"/>
                <w:szCs w:val="21"/>
                <w:highlight w:val="none"/>
                <w:lang w:val="en-US" w:eastAsia="zh-CN"/>
              </w:rPr>
            </w:pPr>
            <w:r>
              <w:rPr>
                <w:rFonts w:hint="eastAsia" w:ascii="仿宋" w:hAnsi="仿宋" w:eastAsia="仿宋" w:cs="仿宋"/>
                <w:szCs w:val="21"/>
              </w:rPr>
              <w:t>未被纳入采购人及其所隶属的中国人民保险各级机构的供应商黑名单</w:t>
            </w:r>
          </w:p>
        </w:tc>
        <w:tc>
          <w:tcPr>
            <w:tcW w:w="3082"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4"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1952" w:type="dxa"/>
            <w:noWrap w:val="0"/>
            <w:vAlign w:val="center"/>
          </w:tcPr>
          <w:p>
            <w:pPr>
              <w:spacing w:before="24" w:after="24" w:line="276" w:lineRule="auto"/>
              <w:jc w:val="center"/>
              <w:rPr>
                <w:rFonts w:hint="default" w:ascii="仿宋" w:hAnsi="仿宋" w:eastAsia="仿宋" w:cs="仿宋"/>
                <w:color w:val="auto"/>
                <w:kern w:val="0"/>
                <w:szCs w:val="21"/>
                <w:highlight w:val="none"/>
                <w:lang w:val="en-US" w:eastAsia="zh-CN"/>
              </w:rPr>
            </w:pPr>
            <w:r>
              <w:rPr>
                <w:rFonts w:hint="eastAsia" w:ascii="仿宋" w:hAnsi="仿宋" w:eastAsia="仿宋" w:cs="仿宋"/>
                <w:szCs w:val="21"/>
              </w:rPr>
              <w:t>控股管理关系</w:t>
            </w:r>
          </w:p>
        </w:tc>
        <w:tc>
          <w:tcPr>
            <w:tcW w:w="3082" w:type="pct"/>
            <w:noWrap w:val="0"/>
            <w:vAlign w:val="center"/>
          </w:tcPr>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4"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1952" w:type="dxa"/>
            <w:noWrap w:val="0"/>
            <w:vAlign w:val="center"/>
          </w:tcPr>
          <w:p>
            <w:pPr>
              <w:spacing w:before="24" w:after="24" w:line="276" w:lineRule="auto"/>
              <w:jc w:val="center"/>
              <w:rPr>
                <w:rFonts w:hint="default" w:ascii="仿宋" w:hAnsi="仿宋" w:eastAsia="仿宋" w:cs="仿宋"/>
                <w:color w:val="auto"/>
                <w:szCs w:val="21"/>
                <w:highlight w:val="none"/>
                <w:lang w:val="en-US" w:eastAsia="zh-CN"/>
              </w:rPr>
            </w:pPr>
            <w:r>
              <w:rPr>
                <w:rFonts w:hint="eastAsia" w:ascii="仿宋" w:hAnsi="仿宋" w:eastAsia="仿宋" w:cs="仿宋"/>
                <w:szCs w:val="21"/>
              </w:rPr>
              <w:t>非联合体磋商</w:t>
            </w:r>
          </w:p>
        </w:tc>
        <w:tc>
          <w:tcPr>
            <w:tcW w:w="3082"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4"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1952" w:type="dxa"/>
            <w:noWrap w:val="0"/>
            <w:vAlign w:val="center"/>
          </w:tcPr>
          <w:p>
            <w:pPr>
              <w:spacing w:before="24" w:after="24" w:line="276" w:lineRule="auto"/>
              <w:jc w:val="center"/>
              <w:rPr>
                <w:rFonts w:hint="default" w:ascii="仿宋" w:hAnsi="仿宋" w:eastAsia="仿宋" w:cs="仿宋"/>
                <w:color w:val="auto"/>
                <w:szCs w:val="21"/>
                <w:highlight w:val="none"/>
                <w:lang w:val="en-US" w:eastAsia="zh-CN"/>
              </w:rPr>
            </w:pPr>
            <w:r>
              <w:rPr>
                <w:rFonts w:hint="eastAsia" w:ascii="仿宋" w:hAnsi="仿宋" w:eastAsia="仿宋" w:cs="仿宋"/>
                <w:szCs w:val="21"/>
              </w:rPr>
              <w:t>具有独立承担民事责任的能力</w:t>
            </w:r>
          </w:p>
        </w:tc>
        <w:tc>
          <w:tcPr>
            <w:tcW w:w="3082"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4"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1952" w:type="dxa"/>
            <w:noWrap w:val="0"/>
            <w:vAlign w:val="center"/>
          </w:tcPr>
          <w:p>
            <w:pPr>
              <w:spacing w:before="24" w:after="24" w:line="276" w:lineRule="auto"/>
              <w:jc w:val="center"/>
              <w:rPr>
                <w:rFonts w:hint="default" w:ascii="仿宋" w:hAnsi="仿宋" w:eastAsia="仿宋" w:cs="仿宋"/>
                <w:color w:val="auto"/>
                <w:szCs w:val="21"/>
                <w:highlight w:val="none"/>
                <w:lang w:val="en-US" w:eastAsia="zh-CN"/>
              </w:rPr>
            </w:pPr>
            <w:r>
              <w:rPr>
                <w:rFonts w:hint="eastAsia" w:ascii="仿宋" w:hAnsi="仿宋" w:eastAsia="仿宋" w:cs="仿宋"/>
                <w:szCs w:val="21"/>
              </w:rPr>
              <w:t>具有良好的商业信誉和健全的财务会计制度</w:t>
            </w:r>
          </w:p>
        </w:tc>
        <w:tc>
          <w:tcPr>
            <w:tcW w:w="3082"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4" w:type="pct"/>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ascii="仿宋" w:hAnsi="仿宋" w:eastAsia="仿宋" w:cs="仿宋"/>
                <w:color w:val="000000"/>
                <w:kern w:val="0"/>
                <w:szCs w:val="21"/>
                <w:highlight w:val="none"/>
              </w:rPr>
              <w:t>3</w:t>
            </w:r>
          </w:p>
        </w:tc>
        <w:tc>
          <w:tcPr>
            <w:tcW w:w="592" w:type="pct"/>
            <w:vMerge w:val="restart"/>
            <w:noWrap w:val="0"/>
            <w:vAlign w:val="center"/>
          </w:tcPr>
          <w:p>
            <w:pPr>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响应性评审标准</w:t>
            </w:r>
          </w:p>
        </w:tc>
        <w:tc>
          <w:tcPr>
            <w:tcW w:w="990" w:type="pct"/>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响应函</w:t>
            </w:r>
          </w:p>
        </w:tc>
        <w:tc>
          <w:tcPr>
            <w:tcW w:w="3082"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olor w:val="000000"/>
                <w:szCs w:val="21"/>
                <w:highlight w:val="none"/>
              </w:rPr>
              <w:t>除填写双方名称、项目名称外，未修改原文内容</w:t>
            </w:r>
            <w:r>
              <w:rPr>
                <w:rFonts w:hint="eastAsia" w:ascii="仿宋" w:hAnsi="仿宋" w:eastAsia="仿宋" w:cs="Cambria Math"/>
                <w:color w:val="000000"/>
                <w:szCs w:val="21"/>
                <w:highlight w:val="none"/>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4"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spacing w:before="24" w:after="24" w:line="276" w:lineRule="auto"/>
              <w:jc w:val="center"/>
              <w:rPr>
                <w:rFonts w:hint="eastAsia" w:ascii="仿宋" w:hAnsi="仿宋" w:eastAsia="仿宋" w:cs="仿宋"/>
                <w:color w:val="000000"/>
                <w:kern w:val="0"/>
                <w:szCs w:val="21"/>
                <w:highlight w:val="none"/>
                <w:lang w:val="en-US" w:eastAsia="zh-CN"/>
              </w:rPr>
            </w:pPr>
            <w:r>
              <w:rPr>
                <w:rFonts w:hint="eastAsia" w:ascii="仿宋" w:hAnsi="仿宋" w:eastAsia="仿宋" w:cs="宋体"/>
                <w:color w:val="000000"/>
                <w:szCs w:val="21"/>
                <w:highlight w:val="none"/>
              </w:rPr>
              <w:t>供应商行为准则承诺书</w:t>
            </w:r>
          </w:p>
        </w:tc>
        <w:tc>
          <w:tcPr>
            <w:tcW w:w="3082"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4"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供应商廉洁诚信承诺书</w:t>
            </w:r>
          </w:p>
        </w:tc>
        <w:tc>
          <w:tcPr>
            <w:tcW w:w="3082" w:type="pct"/>
            <w:noWrap w:val="0"/>
            <w:vAlign w:val="center"/>
          </w:tcPr>
          <w:p>
            <w:pPr>
              <w:spacing w:before="24" w:after="24" w:line="276" w:lineRule="auto"/>
              <w:jc w:val="left"/>
              <w:rPr>
                <w:rFonts w:hint="eastAsia" w:ascii="仿宋" w:hAnsi="仿宋" w:eastAsia="仿宋" w:cs="Cambria Math"/>
                <w:color w:val="000000"/>
                <w:szCs w:val="21"/>
                <w:highlight w:val="none"/>
              </w:rPr>
            </w:pPr>
            <w:r>
              <w:rPr>
                <w:rFonts w:hint="eastAsia" w:ascii="仿宋" w:hAnsi="仿宋" w:eastAsia="仿宋" w:cs="仿宋"/>
                <w:color w:val="000000"/>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4"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spacing w:before="24" w:after="24" w:line="276" w:lineRule="auto"/>
              <w:jc w:val="center"/>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供应商偏离应答</w:t>
            </w:r>
          </w:p>
        </w:tc>
        <w:tc>
          <w:tcPr>
            <w:tcW w:w="3082" w:type="pct"/>
            <w:noWrap w:val="0"/>
            <w:vAlign w:val="center"/>
          </w:tcPr>
          <w:p>
            <w:pPr>
              <w:spacing w:before="24" w:after="24" w:line="276" w:lineRule="auto"/>
              <w:jc w:val="left"/>
              <w:rPr>
                <w:rFonts w:hint="eastAsia" w:ascii="仿宋" w:hAnsi="仿宋" w:eastAsia="仿宋" w:cs="Cambria Math"/>
                <w:color w:val="auto"/>
                <w:szCs w:val="21"/>
                <w:highlight w:val="none"/>
              </w:rPr>
            </w:pPr>
            <w:r>
              <w:rPr>
                <w:rFonts w:hint="eastAsia" w:ascii="仿宋" w:hAnsi="仿宋" w:eastAsia="仿宋" w:cs="仿宋"/>
                <w:color w:val="auto"/>
                <w:szCs w:val="21"/>
                <w:highlight w:val="none"/>
              </w:rPr>
              <w:t>《供应商须知应答偏离表》、《合同条款应答偏离表》、《采购需求应答偏离表》》进行了符合第二章“供应商须知”的应答</w:t>
            </w:r>
          </w:p>
        </w:tc>
      </w:tr>
    </w:tbl>
    <w:p>
      <w:pPr>
        <w:pStyle w:val="4"/>
        <w:ind w:firstLine="420" w:firstLineChars="200"/>
        <w:jc w:val="left"/>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1"/>
          <w:szCs w:val="21"/>
          <w:highlight w:val="none"/>
        </w:rPr>
        <w:br w:type="page"/>
      </w:r>
      <w:bookmarkStart w:id="136" w:name="_Toc25550"/>
      <w:r>
        <w:rPr>
          <w:rFonts w:hint="eastAsia" w:ascii="仿宋" w:hAnsi="仿宋" w:eastAsia="仿宋" w:cs="仿宋"/>
          <w:color w:val="000000"/>
          <w:sz w:val="24"/>
          <w:szCs w:val="24"/>
          <w:highlight w:val="none"/>
          <w:lang w:val="en-US" w:eastAsia="zh-CN"/>
        </w:rPr>
        <w:t>三</w:t>
      </w:r>
      <w:r>
        <w:rPr>
          <w:rFonts w:hint="eastAsia" w:ascii="仿宋" w:hAnsi="仿宋" w:eastAsia="仿宋" w:cs="仿宋"/>
          <w:color w:val="000000"/>
          <w:sz w:val="24"/>
          <w:szCs w:val="24"/>
          <w:highlight w:val="none"/>
        </w:rPr>
        <w:t>、</w:t>
      </w:r>
      <w:bookmarkEnd w:id="130"/>
      <w:bookmarkEnd w:id="131"/>
      <w:bookmarkEnd w:id="132"/>
      <w:bookmarkEnd w:id="133"/>
      <w:bookmarkEnd w:id="134"/>
      <w:bookmarkEnd w:id="135"/>
      <w:r>
        <w:rPr>
          <w:rFonts w:hint="eastAsia" w:ascii="仿宋" w:hAnsi="仿宋" w:eastAsia="仿宋" w:cs="仿宋"/>
          <w:color w:val="000000"/>
          <w:sz w:val="24"/>
          <w:szCs w:val="24"/>
          <w:highlight w:val="none"/>
        </w:rPr>
        <w:t>详细评审</w:t>
      </w:r>
      <w:bookmarkEnd w:id="136"/>
    </w:p>
    <w:p>
      <w:pPr>
        <w:pStyle w:val="2"/>
        <w:snapToGrid w:val="0"/>
        <w:spacing w:after="0" w:line="360" w:lineRule="auto"/>
        <w:ind w:right="223" w:firstLine="480" w:firstLineChars="200"/>
        <w:jc w:val="both"/>
        <w:rPr>
          <w:rFonts w:hint="eastAsia" w:ascii="仿宋" w:hAnsi="仿宋" w:eastAsia="仿宋" w:cs="宋体"/>
          <w:color w:val="000000"/>
          <w:kern w:val="0"/>
          <w:sz w:val="24"/>
          <w:szCs w:val="24"/>
          <w:highlight w:val="none"/>
          <w:lang w:val="en-US" w:eastAsia="zh-CN" w:bidi="ar-SA"/>
        </w:rPr>
      </w:pPr>
      <w:r>
        <w:rPr>
          <w:rFonts w:hint="eastAsia" w:ascii="仿宋" w:hAnsi="仿宋" w:eastAsia="仿宋" w:cs="宋体"/>
          <w:color w:val="000000"/>
          <w:kern w:val="0"/>
          <w:sz w:val="24"/>
          <w:szCs w:val="24"/>
          <w:highlight w:val="none"/>
          <w:lang w:val="en-US" w:eastAsia="zh-CN" w:bidi="ar-SA"/>
        </w:rPr>
        <w:t>3.1本项目采用综合评分法</w:t>
      </w:r>
    </w:p>
    <w:p>
      <w:pPr>
        <w:pStyle w:val="2"/>
        <w:snapToGrid w:val="0"/>
        <w:spacing w:after="0" w:line="360" w:lineRule="auto"/>
        <w:ind w:right="228" w:firstLine="480" w:firstLineChars="200"/>
        <w:jc w:val="both"/>
        <w:rPr>
          <w:rFonts w:hint="eastAsia" w:ascii="仿宋" w:hAnsi="仿宋" w:eastAsia="仿宋" w:cs="宋体"/>
          <w:color w:val="000000"/>
          <w:kern w:val="0"/>
          <w:sz w:val="24"/>
          <w:szCs w:val="24"/>
          <w:highlight w:val="none"/>
          <w:lang w:val="en-US" w:eastAsia="zh-CN" w:bidi="ar-SA"/>
        </w:rPr>
      </w:pPr>
      <w:r>
        <w:rPr>
          <w:rFonts w:hint="eastAsia" w:ascii="仿宋" w:hAnsi="仿宋" w:eastAsia="仿宋" w:cs="宋体"/>
          <w:color w:val="000000"/>
          <w:kern w:val="0"/>
          <w:sz w:val="24"/>
          <w:szCs w:val="24"/>
          <w:highlight w:val="none"/>
          <w:lang w:val="en-US" w:eastAsia="zh-CN" w:bidi="ar-SA"/>
        </w:rPr>
        <w:t>3.2 评分明细：</w:t>
      </w:r>
    </w:p>
    <w:p>
      <w:pPr>
        <w:pStyle w:val="2"/>
        <w:snapToGrid w:val="0"/>
        <w:spacing w:after="0" w:line="360" w:lineRule="auto"/>
        <w:ind w:right="228" w:firstLine="480" w:firstLineChars="200"/>
        <w:jc w:val="both"/>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000000"/>
          <w:kern w:val="0"/>
          <w:sz w:val="24"/>
          <w:szCs w:val="24"/>
          <w:highlight w:val="none"/>
          <w:lang w:val="en-US" w:eastAsia="zh-CN" w:bidi="ar-SA"/>
        </w:rPr>
        <w:t>采购评审标准由价格评审、技术和服务评审和商务评审三项标准构成，评审专家将依据磋商邀请文件要求，结合项目最终报价表、技术方案、服务方案等情况进行评分。各有效供应</w:t>
      </w:r>
      <w:r>
        <w:rPr>
          <w:rFonts w:hint="eastAsia" w:ascii="仿宋" w:hAnsi="仿宋" w:eastAsia="仿宋" w:cs="宋体"/>
          <w:color w:val="auto"/>
          <w:kern w:val="0"/>
          <w:sz w:val="24"/>
          <w:szCs w:val="24"/>
          <w:highlight w:val="none"/>
          <w:lang w:val="en-US" w:eastAsia="zh-CN" w:bidi="ar-SA"/>
        </w:rPr>
        <w:t>商的综合得分为各评审专家所评分值的算术平均值，若总得分相同，以价格得分高者排序在先。将把合同授予被确定为实质上响应磋商文件要求且评标得分最高的供应商。</w:t>
      </w:r>
    </w:p>
    <w:p>
      <w:pPr>
        <w:pStyle w:val="2"/>
        <w:snapToGrid w:val="0"/>
        <w:spacing w:after="0" w:line="360" w:lineRule="auto"/>
        <w:ind w:left="141" w:right="223" w:firstLine="480"/>
        <w:jc w:val="both"/>
        <w:rPr>
          <w:rFonts w:ascii="仿宋_GB2312" w:eastAsia="仿宋_GB2312"/>
          <w:color w:val="auto"/>
          <w:highlight w:val="none"/>
        </w:rPr>
      </w:pPr>
      <w:r>
        <w:rPr>
          <w:rFonts w:hint="eastAsia" w:ascii="仿宋" w:hAnsi="仿宋" w:eastAsia="仿宋" w:cs="宋体"/>
          <w:color w:val="auto"/>
          <w:kern w:val="0"/>
          <w:sz w:val="24"/>
          <w:szCs w:val="24"/>
          <w:highlight w:val="none"/>
          <w:lang w:val="en-US" w:eastAsia="zh-CN" w:bidi="ar-SA"/>
        </w:rPr>
        <w:t>评审标准如下：</w:t>
      </w:r>
    </w:p>
    <w:tbl>
      <w:tblPr>
        <w:tblStyle w:val="40"/>
        <w:tblW w:w="10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1340"/>
        <w:gridCol w:w="6537"/>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1340" w:type="dxa"/>
            <w:vAlign w:val="center"/>
          </w:tcPr>
          <w:p>
            <w:pPr>
              <w:spacing w:before="24" w:after="24" w:line="276" w:lineRule="auto"/>
              <w:jc w:val="center"/>
              <w:rPr>
                <w:rFonts w:hint="eastAsia" w:ascii="仿宋" w:hAnsi="仿宋" w:eastAsia="仿宋" w:cs="仿宋"/>
                <w:color w:val="auto"/>
                <w:szCs w:val="21"/>
                <w:highlight w:val="none"/>
              </w:rPr>
            </w:pPr>
          </w:p>
        </w:tc>
        <w:tc>
          <w:tcPr>
            <w:tcW w:w="1340" w:type="dxa"/>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 目</w:t>
            </w:r>
          </w:p>
        </w:tc>
        <w:tc>
          <w:tcPr>
            <w:tcW w:w="6537" w:type="dxa"/>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评分内容</w:t>
            </w:r>
          </w:p>
        </w:tc>
        <w:tc>
          <w:tcPr>
            <w:tcW w:w="1005" w:type="dxa"/>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价格评审</w:t>
            </w:r>
          </w:p>
        </w:tc>
        <w:tc>
          <w:tcPr>
            <w:tcW w:w="1340" w:type="dxa"/>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价格得分（</w:t>
            </w:r>
            <w:r>
              <w:rPr>
                <w:rFonts w:hint="eastAsia" w:ascii="仿宋" w:hAnsi="仿宋" w:eastAsia="仿宋" w:cs="仿宋"/>
                <w:color w:val="auto"/>
                <w:szCs w:val="21"/>
                <w:highlight w:val="none"/>
                <w:lang w:val="en-US" w:eastAsia="zh-CN"/>
              </w:rPr>
              <w:t>60</w:t>
            </w:r>
            <w:r>
              <w:rPr>
                <w:rFonts w:hint="eastAsia" w:ascii="仿宋" w:hAnsi="仿宋" w:eastAsia="仿宋" w:cs="仿宋"/>
                <w:color w:val="auto"/>
                <w:szCs w:val="21"/>
                <w:highlight w:val="none"/>
              </w:rPr>
              <w:t>分）</w:t>
            </w:r>
          </w:p>
        </w:tc>
        <w:tc>
          <w:tcPr>
            <w:tcW w:w="6537" w:type="dxa"/>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评分法中的价格分采用低价优先法计算，即满足磋商文件要求且最低的评审价格为评标基准价，等于评标基准价得</w:t>
            </w:r>
            <w:r>
              <w:rPr>
                <w:rFonts w:hint="eastAsia" w:ascii="仿宋" w:hAnsi="仿宋" w:eastAsia="仿宋" w:cs="仿宋"/>
                <w:color w:val="auto"/>
                <w:szCs w:val="21"/>
                <w:highlight w:val="none"/>
                <w:lang w:val="en-US" w:eastAsia="zh-CN"/>
              </w:rPr>
              <w:t>60</w:t>
            </w:r>
            <w:r>
              <w:rPr>
                <w:rFonts w:hint="eastAsia" w:ascii="仿宋" w:hAnsi="仿宋" w:eastAsia="仿宋" w:cs="仿宋"/>
                <w:color w:val="auto"/>
                <w:szCs w:val="21"/>
                <w:highlight w:val="none"/>
              </w:rPr>
              <w:t>分。其他供应商的价格分统一按照下列公式计算，精确到小数点后两位：</w:t>
            </w:r>
          </w:p>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供应商报价得分＝（评标基准价/评审价格）×</w:t>
            </w:r>
            <w:r>
              <w:rPr>
                <w:rFonts w:hint="eastAsia" w:ascii="仿宋" w:hAnsi="仿宋" w:eastAsia="仿宋" w:cs="仿宋"/>
                <w:color w:val="auto"/>
                <w:szCs w:val="21"/>
                <w:highlight w:val="none"/>
                <w:lang w:val="en-US" w:eastAsia="zh-CN"/>
              </w:rPr>
              <w:t>60</w:t>
            </w:r>
            <w:r>
              <w:rPr>
                <w:rFonts w:hint="eastAsia" w:ascii="仿宋" w:hAnsi="仿宋" w:eastAsia="仿宋" w:cs="仿宋"/>
                <w:color w:val="auto"/>
                <w:szCs w:val="21"/>
                <w:highlight w:val="none"/>
              </w:rPr>
              <w:t>；</w:t>
            </w:r>
          </w:p>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评审价格</w:t>
            </w:r>
            <w:r>
              <w:rPr>
                <w:rFonts w:hint="eastAsia" w:ascii="仿宋" w:hAnsi="仿宋" w:eastAsia="仿宋" w:cs="仿宋"/>
                <w:color w:val="auto"/>
                <w:szCs w:val="21"/>
                <w:highlight w:val="none"/>
                <w:lang w:val="en-US" w:eastAsia="zh-CN"/>
              </w:rPr>
              <w:t>为</w:t>
            </w:r>
            <w:r>
              <w:rPr>
                <w:rFonts w:hint="eastAsia" w:ascii="仿宋" w:hAnsi="仿宋" w:eastAsia="仿宋" w:cs="仿宋"/>
                <w:color w:val="auto"/>
                <w:szCs w:val="21"/>
                <w:highlight w:val="none"/>
              </w:rPr>
              <w:t>有效投标人的</w:t>
            </w:r>
            <w:r>
              <w:rPr>
                <w:rFonts w:hint="eastAsia" w:ascii="仿宋" w:hAnsi="仿宋" w:eastAsia="仿宋" w:cs="仿宋"/>
                <w:color w:val="auto"/>
                <w:szCs w:val="21"/>
                <w:highlight w:val="none"/>
                <w:lang w:val="en-US" w:eastAsia="zh-CN"/>
              </w:rPr>
              <w:t>耕地数据服务-</w:t>
            </w:r>
            <w:r>
              <w:rPr>
                <w:rFonts w:hint="eastAsia" w:ascii="仿宋" w:hAnsi="仿宋" w:eastAsia="仿宋" w:cs="宋体"/>
                <w:color w:val="auto"/>
                <w:kern w:val="0"/>
                <w:szCs w:val="21"/>
                <w:highlight w:val="none"/>
                <w:lang w:val="en-US" w:eastAsia="zh-CN"/>
              </w:rPr>
              <w:t>含“承保业务数据关联”服务及林地数据服务</w:t>
            </w:r>
            <w:r>
              <w:rPr>
                <w:rFonts w:hint="eastAsia" w:ascii="仿宋" w:hAnsi="仿宋" w:eastAsia="仿宋" w:cs="仿宋"/>
                <w:color w:val="auto"/>
                <w:szCs w:val="21"/>
                <w:highlight w:val="none"/>
              </w:rPr>
              <w:t>最终含税</w:t>
            </w:r>
            <w:r>
              <w:rPr>
                <w:rFonts w:hint="eastAsia" w:ascii="仿宋" w:hAnsi="仿宋" w:eastAsia="仿宋" w:cs="仿宋"/>
                <w:color w:val="auto"/>
                <w:szCs w:val="21"/>
                <w:highlight w:val="none"/>
                <w:lang w:val="en-US" w:eastAsia="zh-CN"/>
              </w:rPr>
              <w:t>单</w:t>
            </w:r>
            <w:r>
              <w:rPr>
                <w:rFonts w:hint="eastAsia" w:ascii="仿宋" w:hAnsi="仿宋" w:eastAsia="仿宋" w:cs="仿宋"/>
                <w:color w:val="auto"/>
                <w:szCs w:val="21"/>
                <w:highlight w:val="none"/>
              </w:rPr>
              <w:t>价</w:t>
            </w:r>
            <w:r>
              <w:rPr>
                <w:rFonts w:hint="eastAsia" w:ascii="仿宋" w:hAnsi="仿宋" w:eastAsia="仿宋" w:cs="仿宋"/>
                <w:color w:val="auto"/>
                <w:szCs w:val="21"/>
                <w:highlight w:val="none"/>
                <w:lang w:val="en-US" w:eastAsia="zh-CN"/>
              </w:rPr>
              <w:t>合计</w:t>
            </w:r>
            <w:r>
              <w:rPr>
                <w:rFonts w:hint="eastAsia" w:ascii="仿宋" w:hAnsi="仿宋" w:eastAsia="仿宋" w:cs="仿宋"/>
                <w:color w:val="auto"/>
                <w:szCs w:val="21"/>
                <w:highlight w:val="none"/>
              </w:rPr>
              <w:t>报价。</w:t>
            </w:r>
          </w:p>
        </w:tc>
        <w:tc>
          <w:tcPr>
            <w:tcW w:w="1005" w:type="dxa"/>
            <w:vAlign w:val="center"/>
          </w:tcPr>
          <w:p>
            <w:pPr>
              <w:spacing w:before="24" w:after="24" w:line="276"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restart"/>
            <w:shd w:val="clear" w:color="auto" w:fill="auto"/>
            <w:vAlign w:val="center"/>
          </w:tcPr>
          <w:p>
            <w:pPr>
              <w:spacing w:before="24" w:after="24" w:line="276" w:lineRule="auto"/>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技术和服务评审</w:t>
            </w:r>
          </w:p>
        </w:tc>
        <w:tc>
          <w:tcPr>
            <w:tcW w:w="1340" w:type="dxa"/>
            <w:shd w:val="clear" w:color="auto" w:fill="auto"/>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技术方案得分（</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w:t>
            </w:r>
          </w:p>
        </w:tc>
        <w:tc>
          <w:tcPr>
            <w:tcW w:w="6537" w:type="dxa"/>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供应商应针对本项目编制技术方案（包括但不限于：①项目需求分析；②数据对接能力；③数据质检措施；④数据安全保障措施；⑤成果质量管控措施等），根据技术方案的针对性、科学性、可行性进行评审。</w:t>
            </w:r>
          </w:p>
          <w:p>
            <w:pPr>
              <w:spacing w:before="24" w:after="24" w:line="276" w:lineRule="auto"/>
              <w:jc w:val="left"/>
              <w:rPr>
                <w:rFonts w:hint="eastAsia" w:ascii="仿宋" w:hAnsi="仿宋" w:eastAsia="仿宋" w:cs="仿宋"/>
                <w:color w:val="auto"/>
                <w:szCs w:val="21"/>
                <w:highlight w:val="none"/>
              </w:rPr>
            </w:pPr>
            <w:r>
              <w:rPr>
                <w:rFonts w:hint="default" w:ascii="仿宋" w:hAnsi="仿宋" w:eastAsia="仿宋" w:cs="仿宋"/>
                <w:color w:val="auto"/>
                <w:szCs w:val="21"/>
                <w:highlight w:val="none"/>
              </w:rPr>
              <w:t>优得</w:t>
            </w:r>
            <w:r>
              <w:rPr>
                <w:rFonts w:hint="eastAsia" w:ascii="仿宋" w:hAnsi="仿宋" w:eastAsia="仿宋" w:cs="仿宋"/>
                <w:color w:val="auto"/>
                <w:szCs w:val="21"/>
                <w:highlight w:val="none"/>
                <w:lang w:val="en-US" w:eastAsia="zh-CN"/>
              </w:rPr>
              <w:t>6-8</w:t>
            </w:r>
            <w:r>
              <w:rPr>
                <w:rFonts w:hint="default" w:ascii="仿宋" w:hAnsi="仿宋" w:eastAsia="仿宋" w:cs="仿宋"/>
                <w:color w:val="auto"/>
                <w:szCs w:val="21"/>
                <w:highlight w:val="none"/>
              </w:rPr>
              <w:t>分，一般得</w:t>
            </w:r>
            <w:r>
              <w:rPr>
                <w:rFonts w:hint="eastAsia" w:ascii="仿宋" w:hAnsi="仿宋" w:eastAsia="仿宋" w:cs="仿宋"/>
                <w:color w:val="auto"/>
                <w:szCs w:val="21"/>
                <w:highlight w:val="none"/>
                <w:lang w:val="en-US" w:eastAsia="zh-CN"/>
              </w:rPr>
              <w:t>3-5</w:t>
            </w:r>
            <w:r>
              <w:rPr>
                <w:rFonts w:hint="default" w:ascii="仿宋" w:hAnsi="仿宋" w:eastAsia="仿宋" w:cs="仿宋"/>
                <w:color w:val="auto"/>
                <w:szCs w:val="21"/>
                <w:highlight w:val="none"/>
              </w:rPr>
              <w:t>分，差得0-</w:t>
            </w:r>
            <w:r>
              <w:rPr>
                <w:rFonts w:hint="eastAsia" w:ascii="仿宋" w:hAnsi="仿宋" w:eastAsia="仿宋" w:cs="仿宋"/>
                <w:color w:val="auto"/>
                <w:szCs w:val="21"/>
                <w:highlight w:val="none"/>
                <w:lang w:val="en-US" w:eastAsia="zh-CN"/>
              </w:rPr>
              <w:t>2</w:t>
            </w:r>
            <w:r>
              <w:rPr>
                <w:rFonts w:hint="default" w:ascii="仿宋" w:hAnsi="仿宋" w:eastAsia="仿宋" w:cs="仿宋"/>
                <w:color w:val="auto"/>
                <w:szCs w:val="21"/>
                <w:highlight w:val="none"/>
              </w:rPr>
              <w:t>分。</w:t>
            </w:r>
          </w:p>
        </w:tc>
        <w:tc>
          <w:tcPr>
            <w:tcW w:w="1005" w:type="dxa"/>
            <w:vAlign w:val="center"/>
          </w:tcPr>
          <w:p>
            <w:pPr>
              <w:spacing w:before="24" w:after="24" w:line="276"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1340" w:type="dxa"/>
            <w:vMerge w:val="continue"/>
            <w:shd w:val="clear" w:color="auto" w:fill="auto"/>
            <w:vAlign w:val="center"/>
          </w:tcPr>
          <w:p>
            <w:pPr>
              <w:spacing w:before="24" w:after="24" w:line="276" w:lineRule="auto"/>
              <w:jc w:val="center"/>
              <w:rPr>
                <w:rFonts w:hint="eastAsia" w:ascii="仿宋" w:hAnsi="仿宋" w:eastAsia="仿宋" w:cs="仿宋"/>
                <w:color w:val="auto"/>
                <w:szCs w:val="21"/>
                <w:highlight w:val="none"/>
              </w:rPr>
            </w:pPr>
          </w:p>
        </w:tc>
        <w:tc>
          <w:tcPr>
            <w:tcW w:w="1340" w:type="dxa"/>
            <w:shd w:val="clear" w:color="auto" w:fill="auto"/>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采集工具（</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分）</w:t>
            </w:r>
          </w:p>
        </w:tc>
        <w:tc>
          <w:tcPr>
            <w:tcW w:w="6537" w:type="dxa"/>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供应商应针对本项目信息采集的工具（如通过自研APP等完成采集信息记录、汇总等）进行说明，根据供应商提供工具情况进行综合评估赋分。</w:t>
            </w:r>
          </w:p>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优得</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分，</w:t>
            </w:r>
            <w:r>
              <w:rPr>
                <w:rFonts w:hint="eastAsia" w:ascii="仿宋" w:hAnsi="仿宋" w:eastAsia="仿宋" w:cs="仿宋"/>
                <w:color w:val="auto"/>
                <w:szCs w:val="21"/>
                <w:highlight w:val="none"/>
                <w:lang w:val="en-US" w:eastAsia="zh-CN"/>
              </w:rPr>
              <w:t>一般</w:t>
            </w:r>
            <w:r>
              <w:rPr>
                <w:rFonts w:hint="eastAsia" w:ascii="仿宋" w:hAnsi="仿宋" w:eastAsia="仿宋" w:cs="仿宋"/>
                <w:color w:val="auto"/>
                <w:szCs w:val="21"/>
                <w:highlight w:val="none"/>
              </w:rPr>
              <w:t>得2分，</w:t>
            </w:r>
            <w:r>
              <w:rPr>
                <w:rFonts w:hint="eastAsia" w:ascii="仿宋" w:hAnsi="仿宋" w:eastAsia="仿宋" w:cs="仿宋"/>
                <w:color w:val="auto"/>
                <w:szCs w:val="21"/>
                <w:highlight w:val="none"/>
                <w:lang w:val="en-US" w:eastAsia="zh-CN"/>
              </w:rPr>
              <w:t>差</w:t>
            </w:r>
            <w:r>
              <w:rPr>
                <w:rFonts w:hint="eastAsia" w:ascii="仿宋" w:hAnsi="仿宋" w:eastAsia="仿宋" w:cs="仿宋"/>
                <w:color w:val="auto"/>
                <w:szCs w:val="21"/>
                <w:highlight w:val="none"/>
              </w:rPr>
              <w:t>得0-1分。</w:t>
            </w:r>
          </w:p>
        </w:tc>
        <w:tc>
          <w:tcPr>
            <w:tcW w:w="1005" w:type="dxa"/>
            <w:vAlign w:val="center"/>
          </w:tcPr>
          <w:p>
            <w:pPr>
              <w:spacing w:before="24" w:after="24" w:line="276" w:lineRule="auto"/>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continue"/>
            <w:shd w:val="clear" w:color="auto" w:fill="auto"/>
            <w:vAlign w:val="center"/>
          </w:tcPr>
          <w:p>
            <w:pPr>
              <w:spacing w:before="24" w:after="24" w:line="276" w:lineRule="auto"/>
              <w:jc w:val="center"/>
              <w:rPr>
                <w:rFonts w:hint="eastAsia" w:ascii="仿宋" w:hAnsi="仿宋" w:eastAsia="仿宋" w:cs="仿宋"/>
                <w:color w:val="auto"/>
                <w:szCs w:val="21"/>
                <w:highlight w:val="none"/>
              </w:rPr>
            </w:pPr>
          </w:p>
        </w:tc>
        <w:tc>
          <w:tcPr>
            <w:tcW w:w="1340" w:type="dxa"/>
            <w:shd w:val="clear" w:color="auto" w:fill="auto"/>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服务方案得分（</w:t>
            </w:r>
            <w:r>
              <w:rPr>
                <w:rFonts w:hint="eastAsia" w:ascii="仿宋" w:hAnsi="仿宋" w:eastAsia="仿宋" w:cs="仿宋"/>
                <w:color w:val="auto"/>
                <w:szCs w:val="21"/>
                <w:highlight w:val="none"/>
                <w:lang w:val="en-US" w:eastAsia="zh-CN"/>
              </w:rPr>
              <w:t>7</w:t>
            </w:r>
            <w:r>
              <w:rPr>
                <w:rFonts w:hint="eastAsia" w:ascii="仿宋" w:hAnsi="仿宋" w:eastAsia="仿宋" w:cs="仿宋"/>
                <w:color w:val="auto"/>
                <w:szCs w:val="21"/>
                <w:highlight w:val="none"/>
              </w:rPr>
              <w:t>分）</w:t>
            </w:r>
          </w:p>
        </w:tc>
        <w:tc>
          <w:tcPr>
            <w:tcW w:w="6537" w:type="dxa"/>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供应商应针对本项目编制服务方案（包括但不限于：①服务流程；②服务承诺；③</w:t>
            </w:r>
            <w:r>
              <w:rPr>
                <w:rFonts w:hint="eastAsia" w:ascii="仿宋" w:hAnsi="仿宋" w:eastAsia="仿宋" w:cs="仿宋"/>
                <w:color w:val="auto"/>
                <w:szCs w:val="21"/>
                <w:highlight w:val="none"/>
                <w:lang w:val="en-US" w:eastAsia="zh-CN"/>
              </w:rPr>
              <w:t>本地化服务能力；</w:t>
            </w:r>
            <w:r>
              <w:rPr>
                <w:rFonts w:hint="eastAsia" w:ascii="仿宋" w:hAnsi="仿宋" w:eastAsia="仿宋" w:cs="仿宋"/>
                <w:color w:val="auto"/>
                <w:szCs w:val="21"/>
                <w:highlight w:val="none"/>
              </w:rPr>
              <w:t>④应急处理方案；</w:t>
            </w:r>
            <w:r>
              <w:rPr>
                <w:rFonts w:hint="eastAsia" w:ascii="仿宋" w:hAnsi="仿宋" w:eastAsia="仿宋" w:cs="仿宋"/>
                <w:color w:val="auto"/>
                <w:szCs w:val="21"/>
                <w:highlight w:val="none"/>
                <w:lang w:val="en-US" w:eastAsia="zh-CN"/>
              </w:rPr>
              <w:t>⑤</w:t>
            </w:r>
            <w:r>
              <w:rPr>
                <w:rFonts w:hint="eastAsia" w:ascii="仿宋" w:hAnsi="仿宋" w:eastAsia="仿宋" w:cs="仿宋"/>
                <w:color w:val="auto"/>
                <w:szCs w:val="21"/>
                <w:highlight w:val="none"/>
              </w:rPr>
              <w:t>后续服务保障措施等），根据服务方案的针对性、科学性、可行性进行评审。</w:t>
            </w:r>
          </w:p>
          <w:p>
            <w:pPr>
              <w:spacing w:before="24" w:after="24" w:line="276" w:lineRule="auto"/>
              <w:jc w:val="left"/>
              <w:rPr>
                <w:rFonts w:hint="eastAsia" w:ascii="仿宋" w:hAnsi="仿宋" w:eastAsia="仿宋" w:cs="仿宋"/>
                <w:color w:val="auto"/>
                <w:szCs w:val="21"/>
                <w:highlight w:val="none"/>
              </w:rPr>
            </w:pPr>
            <w:r>
              <w:rPr>
                <w:rFonts w:hint="default" w:ascii="仿宋" w:hAnsi="仿宋" w:eastAsia="仿宋" w:cs="仿宋"/>
                <w:color w:val="auto"/>
                <w:szCs w:val="21"/>
                <w:highlight w:val="none"/>
              </w:rPr>
              <w:t>优得</w:t>
            </w:r>
            <w:r>
              <w:rPr>
                <w:rFonts w:hint="eastAsia" w:ascii="仿宋" w:hAnsi="仿宋" w:eastAsia="仿宋" w:cs="仿宋"/>
                <w:color w:val="auto"/>
                <w:szCs w:val="21"/>
                <w:highlight w:val="none"/>
                <w:lang w:val="en-US" w:eastAsia="zh-CN"/>
              </w:rPr>
              <w:t>5-7</w:t>
            </w:r>
            <w:r>
              <w:rPr>
                <w:rFonts w:hint="default" w:ascii="仿宋" w:hAnsi="仿宋" w:eastAsia="仿宋" w:cs="仿宋"/>
                <w:color w:val="auto"/>
                <w:szCs w:val="21"/>
                <w:highlight w:val="none"/>
              </w:rPr>
              <w:t>分，一般得</w:t>
            </w:r>
            <w:r>
              <w:rPr>
                <w:rFonts w:hint="eastAsia" w:ascii="仿宋" w:hAnsi="仿宋" w:eastAsia="仿宋" w:cs="仿宋"/>
                <w:color w:val="auto"/>
                <w:szCs w:val="21"/>
                <w:highlight w:val="none"/>
                <w:lang w:val="en-US" w:eastAsia="zh-CN"/>
              </w:rPr>
              <w:t>2-4</w:t>
            </w:r>
            <w:r>
              <w:rPr>
                <w:rFonts w:hint="default" w:ascii="仿宋" w:hAnsi="仿宋" w:eastAsia="仿宋" w:cs="仿宋"/>
                <w:color w:val="auto"/>
                <w:szCs w:val="21"/>
                <w:highlight w:val="none"/>
              </w:rPr>
              <w:t>分，差得0-</w:t>
            </w:r>
            <w:r>
              <w:rPr>
                <w:rFonts w:hint="eastAsia" w:ascii="仿宋" w:hAnsi="仿宋" w:eastAsia="仿宋" w:cs="仿宋"/>
                <w:color w:val="auto"/>
                <w:szCs w:val="21"/>
                <w:highlight w:val="none"/>
                <w:lang w:val="en-US" w:eastAsia="zh-CN"/>
              </w:rPr>
              <w:t>1</w:t>
            </w:r>
            <w:r>
              <w:rPr>
                <w:rFonts w:hint="default" w:ascii="仿宋" w:hAnsi="仿宋" w:eastAsia="仿宋" w:cs="仿宋"/>
                <w:color w:val="auto"/>
                <w:szCs w:val="21"/>
                <w:highlight w:val="none"/>
              </w:rPr>
              <w:t>分。</w:t>
            </w:r>
          </w:p>
        </w:tc>
        <w:tc>
          <w:tcPr>
            <w:tcW w:w="1005" w:type="dxa"/>
            <w:vAlign w:val="center"/>
          </w:tcPr>
          <w:p>
            <w:pPr>
              <w:spacing w:before="24" w:after="24" w:line="276" w:lineRule="auto"/>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continue"/>
            <w:shd w:val="clear" w:color="auto" w:fill="auto"/>
            <w:vAlign w:val="center"/>
          </w:tcPr>
          <w:p>
            <w:pPr>
              <w:spacing w:before="24" w:after="24" w:line="276" w:lineRule="auto"/>
              <w:jc w:val="center"/>
              <w:rPr>
                <w:rFonts w:hint="eastAsia" w:ascii="仿宋" w:hAnsi="仿宋" w:eastAsia="仿宋" w:cs="仿宋"/>
                <w:color w:val="auto"/>
                <w:szCs w:val="21"/>
                <w:highlight w:val="none"/>
              </w:rPr>
            </w:pPr>
          </w:p>
        </w:tc>
        <w:tc>
          <w:tcPr>
            <w:tcW w:w="1340" w:type="dxa"/>
            <w:shd w:val="clear" w:color="auto" w:fill="auto"/>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履约计划得分（</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分）</w:t>
            </w:r>
          </w:p>
        </w:tc>
        <w:tc>
          <w:tcPr>
            <w:tcW w:w="6537" w:type="dxa"/>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供应商应针对本项目编制履约计划，根据计划的工期符合情况、节点拆解情况、整体协同安排情况、特殊情况应急预案等进行评审。</w:t>
            </w:r>
          </w:p>
          <w:p>
            <w:pPr>
              <w:spacing w:before="24" w:after="24" w:line="276" w:lineRule="auto"/>
              <w:jc w:val="left"/>
              <w:rPr>
                <w:rFonts w:hint="eastAsia" w:ascii="仿宋" w:hAnsi="仿宋" w:eastAsia="仿宋" w:cs="仿宋"/>
                <w:color w:val="auto"/>
                <w:szCs w:val="21"/>
                <w:highlight w:val="none"/>
              </w:rPr>
            </w:pPr>
            <w:r>
              <w:rPr>
                <w:rFonts w:hint="default" w:ascii="仿宋" w:hAnsi="仿宋" w:eastAsia="仿宋" w:cs="仿宋"/>
                <w:color w:val="auto"/>
                <w:szCs w:val="21"/>
                <w:highlight w:val="none"/>
              </w:rPr>
              <w:t>优得</w:t>
            </w:r>
            <w:r>
              <w:rPr>
                <w:rFonts w:hint="eastAsia" w:ascii="仿宋" w:hAnsi="仿宋" w:eastAsia="仿宋" w:cs="仿宋"/>
                <w:color w:val="auto"/>
                <w:szCs w:val="21"/>
                <w:highlight w:val="none"/>
                <w:lang w:val="en-US" w:eastAsia="zh-CN"/>
              </w:rPr>
              <w:t>4-5</w:t>
            </w:r>
            <w:r>
              <w:rPr>
                <w:rFonts w:hint="default" w:ascii="仿宋" w:hAnsi="仿宋" w:eastAsia="仿宋" w:cs="仿宋"/>
                <w:color w:val="auto"/>
                <w:szCs w:val="21"/>
                <w:highlight w:val="none"/>
              </w:rPr>
              <w:t>分，一般得</w:t>
            </w:r>
            <w:r>
              <w:rPr>
                <w:rFonts w:hint="eastAsia" w:ascii="仿宋" w:hAnsi="仿宋" w:eastAsia="仿宋" w:cs="仿宋"/>
                <w:color w:val="auto"/>
                <w:szCs w:val="21"/>
                <w:highlight w:val="none"/>
                <w:lang w:val="en-US" w:eastAsia="zh-CN"/>
              </w:rPr>
              <w:t>2-3</w:t>
            </w:r>
            <w:r>
              <w:rPr>
                <w:rFonts w:hint="default" w:ascii="仿宋" w:hAnsi="仿宋" w:eastAsia="仿宋" w:cs="仿宋"/>
                <w:color w:val="auto"/>
                <w:szCs w:val="21"/>
                <w:highlight w:val="none"/>
              </w:rPr>
              <w:t>分，差得0-</w:t>
            </w:r>
            <w:r>
              <w:rPr>
                <w:rFonts w:hint="eastAsia" w:ascii="仿宋" w:hAnsi="仿宋" w:eastAsia="仿宋" w:cs="仿宋"/>
                <w:color w:val="auto"/>
                <w:szCs w:val="21"/>
                <w:highlight w:val="none"/>
                <w:lang w:val="en-US" w:eastAsia="zh-CN"/>
              </w:rPr>
              <w:t>1</w:t>
            </w:r>
            <w:r>
              <w:rPr>
                <w:rFonts w:hint="default" w:ascii="仿宋" w:hAnsi="仿宋" w:eastAsia="仿宋" w:cs="仿宋"/>
                <w:color w:val="auto"/>
                <w:szCs w:val="21"/>
                <w:highlight w:val="none"/>
              </w:rPr>
              <w:t>分。</w:t>
            </w:r>
          </w:p>
        </w:tc>
        <w:tc>
          <w:tcPr>
            <w:tcW w:w="1005" w:type="dxa"/>
            <w:vAlign w:val="center"/>
          </w:tcPr>
          <w:p>
            <w:pPr>
              <w:spacing w:before="24" w:after="24" w:line="276" w:lineRule="auto"/>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continue"/>
            <w:shd w:val="clear" w:color="auto" w:fill="auto"/>
            <w:vAlign w:val="center"/>
          </w:tcPr>
          <w:p>
            <w:pPr>
              <w:spacing w:before="24" w:after="24" w:line="276" w:lineRule="auto"/>
              <w:jc w:val="center"/>
              <w:rPr>
                <w:rFonts w:hint="eastAsia" w:ascii="仿宋" w:hAnsi="仿宋" w:eastAsia="仿宋" w:cs="仿宋"/>
                <w:color w:val="auto"/>
                <w:szCs w:val="21"/>
                <w:highlight w:val="none"/>
              </w:rPr>
            </w:pPr>
          </w:p>
        </w:tc>
        <w:tc>
          <w:tcPr>
            <w:tcW w:w="1340" w:type="dxa"/>
            <w:shd w:val="clear" w:color="auto" w:fill="auto"/>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团队配备得分（10）</w:t>
            </w:r>
          </w:p>
        </w:tc>
        <w:tc>
          <w:tcPr>
            <w:tcW w:w="6537" w:type="dxa"/>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1.投标人为本项目配置的团队人员不低于5人，每增加2人得1分，最高得3分。需提供团队人员的身份证、与投标人签订的劳动合同</w:t>
            </w:r>
            <w:r>
              <w:rPr>
                <w:rFonts w:hint="eastAsia" w:ascii="仿宋" w:hAnsi="仿宋" w:eastAsia="仿宋" w:cs="仿宋"/>
                <w:color w:val="auto"/>
                <w:szCs w:val="21"/>
                <w:highlight w:val="none"/>
                <w:lang w:val="en-US" w:eastAsia="zh-CN"/>
              </w:rPr>
              <w:t>等</w:t>
            </w:r>
            <w:r>
              <w:rPr>
                <w:rFonts w:hint="eastAsia" w:ascii="仿宋" w:hAnsi="仿宋" w:eastAsia="仿宋" w:cs="仿宋"/>
                <w:color w:val="auto"/>
                <w:szCs w:val="21"/>
                <w:highlight w:val="none"/>
              </w:rPr>
              <w:t>证明。</w:t>
            </w:r>
          </w:p>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 项目成员具备测绘中级工程师及以上职称</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每提供1人</w:t>
            </w:r>
            <w:r>
              <w:rPr>
                <w:rFonts w:hint="eastAsia" w:ascii="仿宋" w:hAnsi="仿宋" w:eastAsia="仿宋" w:cs="仿宋"/>
                <w:color w:val="auto"/>
                <w:szCs w:val="21"/>
                <w:highlight w:val="none"/>
              </w:rPr>
              <w:t>得1分，最多得3分。（需提供身份证复印件，投标人与其签订的劳动合同、职称证书复印件）。</w:t>
            </w:r>
          </w:p>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 项目成员每具备一名取得民用无人机驾驶员证书的得1分，最多得3分。（需提供身份证复印件，投标人与其签订的劳动合同</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无人机驾驶员合格证书复印件）</w:t>
            </w:r>
          </w:p>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4.具备农业及农业相关专业人员的可获得相应加分，每具备一名得1分，最多得1分。</w:t>
            </w:r>
          </w:p>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（农业及农业相关专业包括农学、农艺与种植、资源利用与植物保护、园艺技术等，且需提供身份证复印件，投标人与其签订的劳动合同毕业证或专业职称证书复印件）。</w:t>
            </w:r>
          </w:p>
        </w:tc>
        <w:tc>
          <w:tcPr>
            <w:tcW w:w="1005" w:type="dxa"/>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continue"/>
            <w:shd w:val="clear" w:color="auto" w:fill="auto"/>
            <w:vAlign w:val="center"/>
          </w:tcPr>
          <w:p>
            <w:pPr>
              <w:spacing w:before="24" w:after="24" w:line="276" w:lineRule="auto"/>
              <w:jc w:val="center"/>
              <w:rPr>
                <w:rFonts w:hint="eastAsia" w:ascii="仿宋" w:hAnsi="仿宋" w:eastAsia="仿宋" w:cs="仿宋"/>
                <w:color w:val="auto"/>
                <w:szCs w:val="21"/>
                <w:highlight w:val="none"/>
              </w:rPr>
            </w:pPr>
          </w:p>
        </w:tc>
        <w:tc>
          <w:tcPr>
            <w:tcW w:w="1340" w:type="dxa"/>
            <w:shd w:val="clear" w:color="auto" w:fill="auto"/>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服务设备设施（</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分）</w:t>
            </w:r>
          </w:p>
        </w:tc>
        <w:tc>
          <w:tcPr>
            <w:tcW w:w="6537" w:type="dxa"/>
            <w:vAlign w:val="center"/>
          </w:tcPr>
          <w:p>
            <w:pPr>
              <w:spacing w:before="24" w:after="24" w:line="276" w:lineRule="auto"/>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提供至少1台无人机设备，且在进行无人机航测时能有效保证航测活动符合相关法律法规。</w:t>
            </w:r>
            <w:r>
              <w:rPr>
                <w:rFonts w:hint="eastAsia" w:ascii="仿宋" w:hAnsi="仿宋" w:eastAsia="仿宋" w:cs="仿宋"/>
                <w:color w:val="auto"/>
                <w:szCs w:val="21"/>
                <w:highlight w:val="none"/>
                <w:lang w:val="en-US" w:eastAsia="zh-CN"/>
              </w:rPr>
              <w:t>每增加1台得1分，</w:t>
            </w:r>
            <w:r>
              <w:rPr>
                <w:rFonts w:hint="eastAsia" w:ascii="仿宋" w:hAnsi="仿宋" w:eastAsia="仿宋" w:cs="仿宋"/>
                <w:color w:val="auto"/>
                <w:szCs w:val="21"/>
                <w:highlight w:val="none"/>
              </w:rPr>
              <w:t>最多得</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分。</w:t>
            </w:r>
            <w:r>
              <w:rPr>
                <w:rFonts w:hint="eastAsia" w:ascii="仿宋" w:hAnsi="仿宋" w:eastAsia="仿宋" w:cs="仿宋"/>
                <w:color w:val="auto"/>
                <w:szCs w:val="21"/>
                <w:highlight w:val="none"/>
                <w:lang w:eastAsia="zh-CN"/>
              </w:rPr>
              <w:t>（上述设备需提供购置发票复印件</w:t>
            </w:r>
            <w:r>
              <w:rPr>
                <w:rFonts w:hint="eastAsia" w:ascii="仿宋" w:hAnsi="仿宋" w:eastAsia="仿宋" w:cs="仿宋"/>
                <w:color w:val="auto"/>
                <w:szCs w:val="21"/>
                <w:highlight w:val="none"/>
                <w:lang w:val="en-US" w:eastAsia="zh-CN"/>
              </w:rPr>
              <w:t>及设备实物照片</w:t>
            </w:r>
            <w:r>
              <w:rPr>
                <w:rFonts w:hint="eastAsia" w:ascii="仿宋" w:hAnsi="仿宋" w:eastAsia="仿宋" w:cs="仿宋"/>
                <w:color w:val="auto"/>
                <w:szCs w:val="21"/>
                <w:highlight w:val="none"/>
                <w:lang w:eastAsia="zh-CN"/>
              </w:rPr>
              <w:t>，原件备查。）</w:t>
            </w:r>
          </w:p>
        </w:tc>
        <w:tc>
          <w:tcPr>
            <w:tcW w:w="1005" w:type="dxa"/>
            <w:vAlign w:val="center"/>
          </w:tcPr>
          <w:p>
            <w:pPr>
              <w:spacing w:before="24" w:after="24" w:line="276"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shd w:val="clear" w:color="auto" w:fill="auto"/>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商务评审</w:t>
            </w:r>
          </w:p>
        </w:tc>
        <w:tc>
          <w:tcPr>
            <w:tcW w:w="1340" w:type="dxa"/>
            <w:shd w:val="clear" w:color="auto" w:fill="auto"/>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同类业绩评分（</w:t>
            </w:r>
            <w:r>
              <w:rPr>
                <w:rFonts w:hint="eastAsia" w:ascii="仿宋" w:hAnsi="仿宋" w:eastAsia="仿宋" w:cs="仿宋"/>
                <w:color w:val="auto"/>
                <w:szCs w:val="21"/>
                <w:highlight w:val="none"/>
                <w:lang w:val="en-US" w:eastAsia="zh-CN"/>
              </w:rPr>
              <w:t>4分</w:t>
            </w:r>
            <w:r>
              <w:rPr>
                <w:rFonts w:hint="eastAsia" w:ascii="仿宋" w:hAnsi="仿宋" w:eastAsia="仿宋" w:cs="仿宋"/>
                <w:color w:val="auto"/>
                <w:szCs w:val="21"/>
                <w:highlight w:val="none"/>
              </w:rPr>
              <w:t>）</w:t>
            </w:r>
          </w:p>
        </w:tc>
        <w:tc>
          <w:tcPr>
            <w:tcW w:w="6537" w:type="dxa"/>
            <w:vAlign w:val="bottom"/>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供应商近3年（2023年1月1日至开标日）具有同类项目</w:t>
            </w:r>
            <w:r>
              <w:rPr>
                <w:rFonts w:hint="eastAsia" w:ascii="仿宋" w:hAnsi="仿宋" w:eastAsia="仿宋" w:cs="仿宋"/>
                <w:color w:val="auto"/>
                <w:szCs w:val="21"/>
                <w:highlight w:val="none"/>
                <w:lang w:val="en-US" w:eastAsia="zh-CN"/>
              </w:rPr>
              <w:t>业绩，如：农业保险、测绘测量等。每提供1个业绩得2分，最多得4分。须提供业绩证明材料（包括但不限于项目合同、对应发票等），时间以业绩证明材料为准。未提供不得分。</w:t>
            </w:r>
          </w:p>
        </w:tc>
        <w:tc>
          <w:tcPr>
            <w:tcW w:w="1005" w:type="dxa"/>
            <w:vAlign w:val="center"/>
          </w:tcPr>
          <w:p>
            <w:pPr>
              <w:spacing w:before="24" w:after="24" w:line="276"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1340" w:type="dxa"/>
            <w:vAlign w:val="center"/>
          </w:tcPr>
          <w:p>
            <w:pPr>
              <w:spacing w:before="24" w:after="24" w:line="276" w:lineRule="auto"/>
              <w:jc w:val="center"/>
              <w:rPr>
                <w:rFonts w:hint="eastAsia" w:ascii="仿宋" w:hAnsi="仿宋" w:eastAsia="仿宋" w:cs="仿宋"/>
                <w:color w:val="auto"/>
                <w:szCs w:val="21"/>
                <w:highlight w:val="none"/>
              </w:rPr>
            </w:pPr>
          </w:p>
        </w:tc>
        <w:tc>
          <w:tcPr>
            <w:tcW w:w="7877" w:type="dxa"/>
            <w:gridSpan w:val="2"/>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合计</w:t>
            </w:r>
          </w:p>
        </w:tc>
        <w:tc>
          <w:tcPr>
            <w:tcW w:w="1005" w:type="dxa"/>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100</w:t>
            </w:r>
          </w:p>
        </w:tc>
      </w:tr>
    </w:tbl>
    <w:p>
      <w:pPr>
        <w:pStyle w:val="111"/>
        <w:tabs>
          <w:tab w:val="left" w:pos="0"/>
        </w:tabs>
        <w:adjustRightInd w:val="0"/>
        <w:snapToGrid w:val="0"/>
        <w:spacing w:line="360" w:lineRule="auto"/>
        <w:ind w:firstLine="480"/>
        <w:rPr>
          <w:rFonts w:ascii="仿宋" w:hAnsi="仿宋" w:eastAsia="仿宋" w:cs="仿宋"/>
          <w:color w:val="auto"/>
          <w:sz w:val="24"/>
          <w:szCs w:val="24"/>
          <w:highlight w:val="none"/>
        </w:rPr>
      </w:pPr>
    </w:p>
    <w:p>
      <w:pPr>
        <w:pStyle w:val="111"/>
        <w:tabs>
          <w:tab w:val="left" w:pos="0"/>
        </w:tabs>
        <w:adjustRightInd w:val="0"/>
        <w:snapToGrid w:val="0"/>
        <w:spacing w:line="360" w:lineRule="auto"/>
        <w:ind w:firstLine="480"/>
        <w:rPr>
          <w:rFonts w:ascii="仿宋" w:hAnsi="仿宋" w:eastAsia="仿宋" w:cs="仿宋"/>
          <w:color w:val="auto"/>
          <w:sz w:val="24"/>
          <w:szCs w:val="24"/>
          <w:highlight w:val="none"/>
        </w:rPr>
      </w:pPr>
    </w:p>
    <w:p>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1"/>
        <w:tabs>
          <w:tab w:val="left" w:pos="0"/>
        </w:tabs>
        <w:adjustRightInd w:val="0"/>
        <w:snapToGrid w:val="0"/>
        <w:spacing w:line="360" w:lineRule="auto"/>
        <w:ind w:left="0" w:leftChars="0" w:firstLine="0" w:firstLineChars="0"/>
        <w:rPr>
          <w:rFonts w:ascii="仿宋" w:hAnsi="仿宋" w:eastAsia="仿宋" w:cs="仿宋"/>
          <w:color w:val="000000"/>
          <w:sz w:val="24"/>
          <w:szCs w:val="24"/>
          <w:highlight w:val="none"/>
        </w:rPr>
      </w:pPr>
    </w:p>
    <w:p>
      <w:pPr>
        <w:pStyle w:val="3"/>
        <w:numPr>
          <w:ilvl w:val="0"/>
          <w:numId w:val="4"/>
        </w:numPr>
        <w:tabs>
          <w:tab w:val="left" w:pos="6462"/>
        </w:tabs>
        <w:spacing w:before="0" w:after="0" w:line="360" w:lineRule="auto"/>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000000"/>
          <w:sz w:val="28"/>
          <w:szCs w:val="28"/>
          <w:highlight w:val="none"/>
        </w:rPr>
        <w:br w:type="page"/>
      </w:r>
      <w:bookmarkStart w:id="137" w:name="_Toc15254"/>
      <w:r>
        <w:rPr>
          <w:rFonts w:hint="eastAsia" w:ascii="仿宋" w:hAnsi="仿宋" w:eastAsia="仿宋" w:cs="仿宋"/>
          <w:color w:val="auto"/>
          <w:sz w:val="28"/>
          <w:szCs w:val="28"/>
          <w:highlight w:val="none"/>
        </w:rPr>
        <w:t>合同条款</w:t>
      </w:r>
      <w:bookmarkEnd w:id="137"/>
    </w:p>
    <w:p>
      <w:pPr>
        <w:widowControl w:val="0"/>
        <w:numPr>
          <w:ilvl w:val="0"/>
          <w:numId w:val="0"/>
        </w:numPr>
        <w:jc w:val="both"/>
        <w:rPr>
          <w:rFonts w:hint="eastAsia"/>
        </w:rPr>
      </w:pPr>
    </w:p>
    <w:p>
      <w:pPr>
        <w:pStyle w:val="2"/>
        <w:rPr>
          <w:rFonts w:hint="default" w:eastAsia="宋体"/>
          <w:sz w:val="24"/>
          <w:szCs w:val="13"/>
          <w:lang w:val="en-US" w:eastAsia="zh-CN"/>
        </w:rPr>
        <w:sectPr>
          <w:footerReference r:id="rId11" w:type="default"/>
          <w:pgSz w:w="11906" w:h="16838"/>
          <w:pgMar w:top="1417" w:right="1134" w:bottom="1134" w:left="1134" w:header="851" w:footer="992" w:gutter="0"/>
          <w:cols w:space="720" w:num="1"/>
          <w:titlePg/>
          <w:docGrid w:type="lines" w:linePitch="312" w:charSpace="0"/>
        </w:sectPr>
      </w:pPr>
      <w:r>
        <w:rPr>
          <w:rFonts w:hint="eastAsia"/>
          <w:sz w:val="24"/>
          <w:szCs w:val="13"/>
          <w:lang w:eastAsia="zh-CN"/>
        </w:rPr>
        <w:t>（</w:t>
      </w:r>
      <w:r>
        <w:rPr>
          <w:rFonts w:hint="eastAsia"/>
          <w:sz w:val="24"/>
          <w:szCs w:val="13"/>
          <w:lang w:val="en-US" w:eastAsia="zh-CN"/>
        </w:rPr>
        <w:t>具体以签订的合同为准）</w:t>
      </w:r>
    </w:p>
    <w:bookmarkEnd w:id="120"/>
    <w:bookmarkEnd w:id="121"/>
    <w:p>
      <w:pPr>
        <w:pStyle w:val="3"/>
        <w:spacing w:before="0" w:after="0" w:line="360" w:lineRule="auto"/>
        <w:jc w:val="center"/>
        <w:rPr>
          <w:rFonts w:hint="eastAsia" w:ascii="仿宋" w:hAnsi="仿宋" w:eastAsia="仿宋" w:cs="仿宋"/>
          <w:color w:val="auto"/>
          <w:highlight w:val="none"/>
        </w:rPr>
      </w:pPr>
      <w:bookmarkStart w:id="138" w:name="_Toc24143"/>
      <w:bookmarkStart w:id="139" w:name="_Toc24217"/>
      <w:bookmarkStart w:id="140" w:name="_Toc444891347"/>
      <w:bookmarkStart w:id="141" w:name="_Toc16424"/>
      <w:bookmarkStart w:id="142" w:name="_Toc28349"/>
      <w:bookmarkStart w:id="143" w:name="_Toc22083"/>
      <w:bookmarkStart w:id="144" w:name="_Toc517281828"/>
      <w:r>
        <w:rPr>
          <w:rFonts w:hint="eastAsia" w:ascii="仿宋" w:hAnsi="仿宋" w:eastAsia="仿宋" w:cs="仿宋"/>
          <w:color w:val="auto"/>
          <w:sz w:val="28"/>
          <w:szCs w:val="28"/>
          <w:highlight w:val="none"/>
        </w:rPr>
        <w:t xml:space="preserve">第五章 </w:t>
      </w:r>
      <w:bookmarkEnd w:id="138"/>
      <w:bookmarkEnd w:id="139"/>
      <w:bookmarkEnd w:id="140"/>
      <w:bookmarkEnd w:id="141"/>
      <w:bookmarkEnd w:id="142"/>
      <w:r>
        <w:rPr>
          <w:rFonts w:hint="eastAsia" w:ascii="仿宋" w:hAnsi="仿宋" w:eastAsia="仿宋" w:cs="仿宋"/>
          <w:color w:val="auto"/>
          <w:sz w:val="28"/>
          <w:szCs w:val="28"/>
          <w:highlight w:val="none"/>
        </w:rPr>
        <w:t>采购需求</w:t>
      </w:r>
      <w:bookmarkEnd w:id="143"/>
      <w:bookmarkEnd w:id="144"/>
    </w:p>
    <w:p>
      <w:pPr>
        <w:keepNext w:val="0"/>
        <w:keepLines w:val="0"/>
        <w:pageBreakBefore w:val="0"/>
        <w:widowControl w:val="0"/>
        <w:kinsoku/>
        <w:wordWrap/>
        <w:overflowPunct/>
        <w:topLinePunct w:val="0"/>
        <w:autoSpaceDE/>
        <w:autoSpaceDN/>
        <w:bidi w:val="0"/>
        <w:adjustRightInd/>
        <w:snapToGrid w:val="0"/>
        <w:spacing w:line="560" w:lineRule="exact"/>
        <w:ind w:firstLine="480" w:firstLineChars="200"/>
        <w:textAlignment w:val="auto"/>
        <w:rPr>
          <w:rFonts w:hint="eastAsia" w:ascii="仿宋" w:hAnsi="仿宋" w:eastAsia="仿宋" w:cs="宋体"/>
          <w:color w:val="auto"/>
          <w:kern w:val="0"/>
          <w:sz w:val="24"/>
          <w:szCs w:val="24"/>
          <w:highlight w:val="none"/>
          <w:lang w:val="en-US" w:eastAsia="zh-CN" w:bidi="ar-SA"/>
        </w:rPr>
      </w:pPr>
      <w:bookmarkStart w:id="145" w:name="_Toc444891352"/>
      <w:bookmarkStart w:id="146" w:name="_Toc10693"/>
      <w:bookmarkStart w:id="147" w:name="_Toc287600128"/>
      <w:bookmarkStart w:id="148" w:name="_Toc11206"/>
      <w:bookmarkStart w:id="149" w:name="_Toc517281835"/>
      <w:bookmarkStart w:id="150" w:name="_Toc17141"/>
      <w:bookmarkStart w:id="151" w:name="_Toc21125"/>
      <w:r>
        <w:rPr>
          <w:rFonts w:hint="eastAsia" w:ascii="仿宋" w:hAnsi="仿宋" w:eastAsia="仿宋" w:cs="宋体"/>
          <w:color w:val="auto"/>
          <w:kern w:val="0"/>
          <w:sz w:val="24"/>
          <w:szCs w:val="24"/>
          <w:highlight w:val="none"/>
          <w:lang w:val="en-US" w:eastAsia="zh-CN" w:bidi="ar-SA"/>
        </w:rPr>
        <w:t>一、采购背景</w:t>
      </w:r>
    </w:p>
    <w:p>
      <w:pPr>
        <w:keepNext w:val="0"/>
        <w:keepLines w:val="0"/>
        <w:pageBreakBefore w:val="0"/>
        <w:widowControl w:val="0"/>
        <w:kinsoku/>
        <w:wordWrap/>
        <w:overflowPunct/>
        <w:topLinePunct w:val="0"/>
        <w:autoSpaceDE/>
        <w:autoSpaceDN/>
        <w:bidi w:val="0"/>
        <w:adjustRightInd/>
        <w:snapToGrid w:val="0"/>
        <w:spacing w:line="560" w:lineRule="exact"/>
        <w:ind w:firstLine="480" w:firstLineChars="200"/>
        <w:textAlignment w:val="auto"/>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bidi="ar-SA"/>
        </w:rPr>
        <w:t>为落实国家金融监督管理总局《全国农业保险地块基础信息库建设试点工作方案》要求，稳妥有序推进地块信息建设工作，确保试点区域地块信息数据完整性、真实性，不断提升农业保险承保数据质量，改进农业保险承保服务质效，吉林省分公司现开展试点区域农险地块基础信息库建设工作，试点地址为长春市农安县洼中高农场、吉林市磐石市松山镇、辽源市东辽县金州乡、白城市镇赉县到保农场。</w:t>
      </w:r>
    </w:p>
    <w:p>
      <w:pPr>
        <w:keepNext w:val="0"/>
        <w:keepLines w:val="0"/>
        <w:pageBreakBefore w:val="0"/>
        <w:widowControl w:val="0"/>
        <w:kinsoku/>
        <w:wordWrap/>
        <w:overflowPunct/>
        <w:topLinePunct w:val="0"/>
        <w:autoSpaceDE/>
        <w:autoSpaceDN/>
        <w:bidi w:val="0"/>
        <w:adjustRightInd/>
        <w:snapToGrid w:val="0"/>
        <w:spacing w:line="560" w:lineRule="exact"/>
        <w:ind w:firstLine="480" w:firstLineChars="200"/>
        <w:textAlignment w:val="auto"/>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bidi="ar-SA"/>
        </w:rPr>
        <w:t>二、采购内容</w:t>
      </w:r>
    </w:p>
    <w:p>
      <w:pPr>
        <w:keepNext w:val="0"/>
        <w:keepLines w:val="0"/>
        <w:pageBreakBefore w:val="0"/>
        <w:widowControl w:val="0"/>
        <w:kinsoku/>
        <w:wordWrap/>
        <w:overflowPunct/>
        <w:topLinePunct w:val="0"/>
        <w:autoSpaceDE/>
        <w:autoSpaceDN/>
        <w:bidi w:val="0"/>
        <w:adjustRightInd/>
        <w:snapToGrid w:val="0"/>
        <w:spacing w:line="560" w:lineRule="exact"/>
        <w:ind w:firstLine="480" w:firstLineChars="200"/>
        <w:textAlignment w:val="auto"/>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bidi="ar-SA"/>
        </w:rPr>
        <w:t>此项目拟分为2个标包，每个标包选择1家供应商提供农险地块基础信息库建设服务。供应商原则上应于4月10日前完成数据采集、核验、公示等全部工作，并将相应结果交付我公司。</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bidi="ar-SA"/>
        </w:rPr>
        <w:t>三、采购数量（该数量为预估，仅作为供应商报价依据，不作为采购方承诺，最终据实结算）</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bidi="ar-SA"/>
        </w:rPr>
        <w:t>按照四个乡镇农业资源面积情况，第一标包预计耕地面积13.33万亩、林地面积26.49万亩，第二标包预计耕地面积18.62万亩、林地面积7.14万亩。</w:t>
      </w:r>
    </w:p>
    <w:p>
      <w:pPr>
        <w:pStyle w:val="2"/>
        <w:keepNext w:val="0"/>
        <w:keepLines w:val="0"/>
        <w:pageBreakBefore w:val="0"/>
        <w:widowControl w:val="0"/>
        <w:numPr>
          <w:ilvl w:val="0"/>
          <w:numId w:val="0"/>
        </w:numPr>
        <w:kinsoku/>
        <w:wordWrap/>
        <w:overflowPunct/>
        <w:topLinePunct w:val="0"/>
        <w:autoSpaceDE/>
        <w:autoSpaceDN/>
        <w:bidi w:val="0"/>
        <w:adjustRightInd/>
        <w:spacing w:line="560" w:lineRule="exact"/>
        <w:ind w:firstLine="480" w:firstLineChars="200"/>
        <w:jc w:val="both"/>
        <w:textAlignment w:val="auto"/>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bidi="ar-SA"/>
        </w:rPr>
        <w:t>四、报价要求</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480" w:firstLineChars="200"/>
        <w:textAlignment w:val="auto"/>
        <w:rPr>
          <w:rFonts w:hint="default"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bidi="ar-SA"/>
        </w:rPr>
        <w:t>第一标包总预算35万元，第二标包总预算不超40万元，耕地报价不超2元/亩（其中：不含承保业务数据关联不高于1.8元/亩）、林地报价不超0.3元/亩。</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bidi="ar-SA"/>
        </w:rPr>
        <w:t>五、技术要求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color w:val="auto"/>
          <w:highlight w:val="none"/>
          <w:lang w:val="en-US" w:eastAsia="zh-CN"/>
        </w:rPr>
      </w:pPr>
      <w:r>
        <w:rPr>
          <w:rFonts w:hint="eastAsia" w:ascii="仿宋" w:hAnsi="仿宋" w:eastAsia="仿宋" w:cs="宋体"/>
          <w:color w:val="auto"/>
          <w:kern w:val="0"/>
          <w:sz w:val="24"/>
          <w:szCs w:val="24"/>
          <w:highlight w:val="none"/>
          <w:lang w:val="en-US" w:eastAsia="zh-CN" w:bidi="ar-SA"/>
        </w:rPr>
        <w:t>符合中银保信项目质量要求，以《全国农业保险地块基础信息库数据规范（试行）》《全国农业保险地块基础信息库数据汇交及质检方案（试行）》文件要求为准。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textAlignment w:val="auto"/>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bidi="ar-SA"/>
        </w:rPr>
        <w:t>六、服务要求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bidi="ar-SA"/>
        </w:rPr>
        <w:t>供应商需按照《全国农业保险地块基础信息库建设试点工作方案》要求，开展项目实施。主要服务内容：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bidi="ar-SA"/>
        </w:rPr>
        <w:t>（1）试点地区地块矢量数据采集，即供应商需以行政村为单位，通过无人机等技术手段识别采集村域内全量可保地块矢量数据（包括种植、养殖、林业地块，涵盖确权、非确权地块及其他农业生产用地地块），最终编制村级基础地块底图。</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bidi="ar-SA"/>
        </w:rPr>
        <w:t>（2）人地权属采集匹配，基于村级基础地块底图，逐地块采集匹配唯一权利人，收集配套证明材料。即以地块底图为基础，对应农业农村部门的权属信息，开展最小地块的权属确认，其中确权数据需供应商自行通过对接农业农村部门获取，作为本次试点基础数据，并收集配套权属证明材料（包括不限于土地承包经营权证一致等）；</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bidi="ar-SA"/>
        </w:rPr>
        <w:t>（3）承保业务数据关联，根据地块底图及确认的权属信息，结合保险公司提供承保数据信息，对相应地块数据逐一关联承保业务信息，以保单为单位制作承保业务信息表；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bidi="ar-SA"/>
        </w:rPr>
        <w:t>（4）数据质检，采用银保信质检工具等方式对采集数据进行质检，确保数据完整、真实、准确，满足汇交要求。一是地块图形唯一、不重叠，权利人、地块编码唯一，坐标位置与地块编码一一对应，确保地块坐标位置唯一；二是遵循绘制规范，精确绘制边界，明确地类属性，数据格式规范，地块信息应覆盖承办区域内全部可保农业生产地块，包括已确权耕地、未确权耕地及其他农业生产用地；三是地块信息应覆盖承办区域内全部可保农业生产地块，包括已确权耕地、未确权耕地及其他农业生产用地；四是已确权耕地地块的有关信息需优先与承包经营权证一致，如实际信息发生变化应以实际为准，并经农户签字确认，管理部门或组织出具证明材料；未确权耕地及其他农业生产用地地块的有关信息需以实际为准，经农户签字确认，并由村委审核备案。</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480" w:firstLineChars="200"/>
        <w:textAlignment w:val="auto"/>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bidi="ar-SA"/>
        </w:rPr>
        <w:t>（5）数据公示、成果编制与汇交，供应商需对采集的数据，在村委公示区域进行不少于7个自然日的公示，公示无异议的，以乡镇为单位按照汇交要求进行成果编制，汇总后交总部，总部进行二次质检后汇交中银保信，汇交材料需按照银保信要求进行提交。</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bidi="ar-SA"/>
        </w:rPr>
        <w:t>（6）供应商在上述成果编制成交后，需继续配合银保信、金监局等检查工作，如在检查过程中发现需要核验问题，供应商需无条件进行配合。</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default" w:ascii="仿宋" w:hAnsi="仿宋" w:eastAsia="仿宋" w:cs="宋体"/>
          <w:color w:val="auto"/>
          <w:kern w:val="0"/>
          <w:sz w:val="24"/>
          <w:szCs w:val="24"/>
          <w:highlight w:val="none"/>
          <w:lang w:val="en-US" w:eastAsia="zh-CN" w:bidi="ar-SA"/>
        </w:rPr>
      </w:pPr>
      <w:r>
        <w:rPr>
          <w:rFonts w:hint="default" w:ascii="仿宋" w:hAnsi="仿宋" w:eastAsia="仿宋" w:cs="宋体"/>
          <w:color w:val="auto"/>
          <w:kern w:val="0"/>
          <w:sz w:val="24"/>
          <w:szCs w:val="24"/>
          <w:highlight w:val="none"/>
          <w:lang w:val="en-US" w:eastAsia="zh-CN" w:bidi="ar-SA"/>
        </w:rPr>
        <w:t>以上需求中，除“</w:t>
      </w:r>
      <w:r>
        <w:rPr>
          <w:rFonts w:hint="eastAsia" w:ascii="仿宋" w:hAnsi="仿宋" w:eastAsia="仿宋" w:cs="宋体"/>
          <w:color w:val="auto"/>
          <w:kern w:val="0"/>
          <w:sz w:val="24"/>
          <w:szCs w:val="24"/>
          <w:highlight w:val="none"/>
          <w:lang w:val="en-US" w:eastAsia="zh-CN" w:bidi="ar-SA"/>
        </w:rPr>
        <w:t>承保业务数据关联</w:t>
      </w:r>
      <w:r>
        <w:rPr>
          <w:rFonts w:hint="default" w:ascii="仿宋" w:hAnsi="仿宋" w:eastAsia="仿宋" w:cs="宋体"/>
          <w:color w:val="auto"/>
          <w:kern w:val="0"/>
          <w:sz w:val="24"/>
          <w:szCs w:val="24"/>
          <w:highlight w:val="none"/>
          <w:lang w:val="en-US" w:eastAsia="zh-CN" w:bidi="ar-SA"/>
        </w:rPr>
        <w:t>”外，为必要需求。“</w:t>
      </w:r>
      <w:r>
        <w:rPr>
          <w:rFonts w:hint="eastAsia" w:ascii="仿宋" w:hAnsi="仿宋" w:eastAsia="仿宋" w:cs="宋体"/>
          <w:color w:val="auto"/>
          <w:kern w:val="0"/>
          <w:sz w:val="24"/>
          <w:szCs w:val="24"/>
          <w:highlight w:val="none"/>
          <w:lang w:val="en-US" w:eastAsia="zh-CN" w:bidi="ar-SA"/>
        </w:rPr>
        <w:t>承保业务数据关联</w:t>
      </w:r>
      <w:r>
        <w:rPr>
          <w:rFonts w:hint="default" w:ascii="仿宋" w:hAnsi="仿宋" w:eastAsia="仿宋" w:cs="宋体"/>
          <w:color w:val="auto"/>
          <w:kern w:val="0"/>
          <w:sz w:val="24"/>
          <w:szCs w:val="24"/>
          <w:highlight w:val="none"/>
          <w:lang w:val="en-US" w:eastAsia="zh-CN" w:bidi="ar-SA"/>
        </w:rPr>
        <w:t>”为非必要需求，供应商需对必要需求和非必要需求分别报价。后续根据项目推进情况及时间进度，再确定是否使用供应商开展“</w:t>
      </w:r>
      <w:r>
        <w:rPr>
          <w:rFonts w:hint="eastAsia" w:ascii="仿宋" w:hAnsi="仿宋" w:eastAsia="仿宋" w:cs="宋体"/>
          <w:color w:val="auto"/>
          <w:kern w:val="0"/>
          <w:sz w:val="24"/>
          <w:szCs w:val="24"/>
          <w:highlight w:val="none"/>
          <w:lang w:val="en-US" w:eastAsia="zh-CN" w:bidi="ar-SA"/>
        </w:rPr>
        <w:t>承保业务数据关联</w:t>
      </w:r>
      <w:r>
        <w:rPr>
          <w:rFonts w:hint="default" w:ascii="仿宋" w:hAnsi="仿宋" w:eastAsia="仿宋" w:cs="宋体"/>
          <w:color w:val="auto"/>
          <w:kern w:val="0"/>
          <w:sz w:val="24"/>
          <w:szCs w:val="24"/>
          <w:highlight w:val="none"/>
          <w:lang w:val="en-US" w:eastAsia="zh-CN" w:bidi="ar-SA"/>
        </w:rPr>
        <w:t>”工作。</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宋体"/>
          <w:color w:val="auto"/>
          <w:kern w:val="0"/>
          <w:sz w:val="24"/>
          <w:szCs w:val="24"/>
          <w:highlight w:val="none"/>
          <w:lang w:val="en-US" w:eastAsia="zh-CN" w:bidi="ar-SA"/>
        </w:rPr>
      </w:pPr>
      <w:r>
        <w:rPr>
          <w:rFonts w:hint="eastAsia" w:ascii="仿宋" w:hAnsi="仿宋" w:eastAsia="仿宋" w:cs="宋体"/>
          <w:color w:val="auto"/>
          <w:kern w:val="0"/>
          <w:sz w:val="24"/>
          <w:szCs w:val="24"/>
          <w:highlight w:val="none"/>
          <w:lang w:val="en-US" w:eastAsia="zh-CN" w:bidi="ar-SA"/>
        </w:rPr>
        <w:t>七、其他要求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宋体"/>
          <w:color w:val="auto"/>
          <w:kern w:val="0"/>
          <w:sz w:val="24"/>
          <w:szCs w:val="24"/>
          <w:highlight w:val="yellow"/>
          <w:lang w:val="en-US" w:eastAsia="zh-CN" w:bidi="ar-SA"/>
        </w:rPr>
      </w:pPr>
      <w:r>
        <w:rPr>
          <w:rFonts w:hint="eastAsia" w:ascii="仿宋" w:hAnsi="仿宋" w:eastAsia="仿宋" w:cs="宋体"/>
          <w:color w:val="auto"/>
          <w:kern w:val="0"/>
          <w:sz w:val="24"/>
          <w:szCs w:val="24"/>
          <w:highlight w:val="none"/>
          <w:lang w:val="en-US" w:eastAsia="zh-CN" w:bidi="ar-SA"/>
        </w:rPr>
        <w:t>在项目实施过程中，如涉及供应商需向外获取数据的（如农业局获取土地确权矢量数据），应确保相应数据准确性及数据来源的依法合规性，采购人不对供应商数据来源问题承担任何责任，因此给采购人造成损失的，采购人将追究供应商责任。</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宋体"/>
          <w:color w:val="000000"/>
          <w:kern w:val="0"/>
          <w:sz w:val="24"/>
          <w:szCs w:val="24"/>
          <w:highlight w:val="none"/>
          <w:lang w:val="en-US" w:eastAsia="zh-CN" w:bidi="ar-SA"/>
        </w:rPr>
      </w:pPr>
    </w:p>
    <w:p>
      <w:pPr>
        <w:pStyle w:val="2"/>
        <w:numPr>
          <w:ilvl w:val="0"/>
          <w:numId w:val="0"/>
        </w:numPr>
        <w:jc w:val="both"/>
        <w:rPr>
          <w:rFonts w:hint="default"/>
          <w:lang w:val="en-US" w:eastAsia="zh-CN"/>
        </w:rPr>
      </w:pPr>
    </w:p>
    <w:p>
      <w:pPr>
        <w:pStyle w:val="2"/>
        <w:jc w:val="both"/>
        <w:rPr>
          <w:rFonts w:hint="eastAsia" w:ascii="仿宋" w:hAnsi="仿宋" w:eastAsia="仿宋" w:cs="宋体"/>
          <w:color w:val="000000"/>
          <w:kern w:val="0"/>
          <w:sz w:val="24"/>
          <w:szCs w:val="24"/>
          <w:highlight w:val="none"/>
          <w:lang w:val="en-US" w:eastAsia="zh-CN" w:bidi="ar-SA"/>
        </w:rPr>
      </w:pPr>
    </w:p>
    <w:p>
      <w:pPr>
        <w:pStyle w:val="2"/>
        <w:rPr>
          <w:rFonts w:hint="eastAsia"/>
          <w:lang w:val="en-US" w:eastAsia="zh-CN"/>
        </w:rPr>
      </w:pPr>
    </w:p>
    <w:p>
      <w:pPr>
        <w:pStyle w:val="3"/>
        <w:spacing w:before="0" w:after="0" w:line="360" w:lineRule="auto"/>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r>
      <w:bookmarkStart w:id="152" w:name="_Toc3675"/>
      <w:r>
        <w:rPr>
          <w:rFonts w:hint="eastAsia" w:ascii="仿宋" w:hAnsi="仿宋" w:eastAsia="仿宋" w:cs="仿宋"/>
          <w:color w:val="000000"/>
          <w:sz w:val="28"/>
          <w:szCs w:val="28"/>
          <w:highlight w:val="none"/>
        </w:rPr>
        <w:t>第六章 响应文件格式</w:t>
      </w:r>
      <w:bookmarkEnd w:id="145"/>
      <w:bookmarkEnd w:id="146"/>
      <w:bookmarkEnd w:id="147"/>
      <w:bookmarkEnd w:id="148"/>
      <w:bookmarkEnd w:id="149"/>
      <w:bookmarkEnd w:id="150"/>
      <w:bookmarkEnd w:id="151"/>
      <w:bookmarkEnd w:id="152"/>
    </w:p>
    <w:p>
      <w:pPr>
        <w:spacing w:line="360" w:lineRule="auto"/>
        <w:rPr>
          <w:rFonts w:hint="eastAsia" w:ascii="仿宋" w:hAnsi="仿宋" w:eastAsia="仿宋" w:cs="仿宋"/>
          <w:b/>
          <w:color w:val="000000"/>
          <w:highlight w:val="none"/>
        </w:rPr>
      </w:pPr>
      <w:r>
        <w:rPr>
          <w:rFonts w:hint="eastAsia" w:ascii="仿宋" w:hAnsi="仿宋" w:eastAsia="仿宋" w:cs="宋体"/>
          <w:b/>
          <w:color w:val="000000"/>
          <w:sz w:val="24"/>
          <w:highlight w:val="none"/>
        </w:rPr>
        <w:t>封面格式</w:t>
      </w:r>
    </w:p>
    <w:tbl>
      <w:tblPr>
        <w:tblStyle w:val="40"/>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vAlign w:val="top"/>
          </w:tcPr>
          <w:p>
            <w:pPr>
              <w:pStyle w:val="156"/>
              <w:spacing w:before="156" w:after="312"/>
              <w:ind w:right="508"/>
              <w:jc w:val="right"/>
              <w:rPr>
                <w:rFonts w:hint="eastAsia" w:ascii="仿宋" w:hAnsi="仿宋" w:eastAsia="仿宋" w:cs="仿宋"/>
                <w:color w:val="000000"/>
                <w:sz w:val="32"/>
                <w:highlight w:val="none"/>
              </w:rPr>
            </w:pPr>
            <w:r>
              <w:rPr>
                <w:rFonts w:hint="eastAsia" w:ascii="仿宋" w:hAnsi="仿宋" w:eastAsia="仿宋" w:cs="仿宋"/>
                <w:color w:val="000000"/>
                <w:sz w:val="32"/>
                <w:highlight w:val="none"/>
              </w:rPr>
              <w:t>正本/副本</w:t>
            </w:r>
          </w:p>
          <w:p>
            <w:pPr>
              <w:pStyle w:val="156"/>
              <w:spacing w:before="156" w:after="312"/>
              <w:ind w:right="-284"/>
              <w:jc w:val="center"/>
              <w:rPr>
                <w:rFonts w:hint="eastAsia" w:ascii="仿宋" w:hAnsi="仿宋" w:eastAsia="仿宋" w:cs="仿宋"/>
                <w:color w:val="000000"/>
                <w:sz w:val="32"/>
                <w:highlight w:val="none"/>
              </w:rPr>
            </w:pPr>
            <w:r>
              <w:rPr>
                <w:rFonts w:hint="eastAsia" w:ascii="仿宋" w:hAnsi="仿宋" w:eastAsia="仿宋" w:cs="仿宋"/>
                <w:color w:val="000000"/>
                <w:sz w:val="32"/>
                <w:highlight w:val="none"/>
              </w:rPr>
              <w:t>（项目名称）项目</w:t>
            </w:r>
          </w:p>
          <w:p>
            <w:pPr>
              <w:pStyle w:val="156"/>
              <w:ind w:right="-284" w:firstLine="2240"/>
              <w:rPr>
                <w:rFonts w:hint="eastAsia" w:ascii="仿宋" w:hAnsi="仿宋" w:eastAsia="仿宋" w:cs="仿宋"/>
                <w:color w:val="000000"/>
                <w:sz w:val="28"/>
                <w:highlight w:val="none"/>
                <w:u w:val="single"/>
              </w:rPr>
            </w:pPr>
          </w:p>
          <w:p>
            <w:pPr>
              <w:pStyle w:val="156"/>
              <w:spacing w:before="624" w:after="156" w:line="160" w:lineRule="atLeast"/>
              <w:ind w:right="-284"/>
              <w:jc w:val="center"/>
              <w:rPr>
                <w:rFonts w:hint="eastAsia" w:ascii="仿宋" w:hAnsi="仿宋" w:eastAsia="仿宋" w:cs="仿宋"/>
                <w:color w:val="000000"/>
                <w:sz w:val="52"/>
                <w:highlight w:val="none"/>
              </w:rPr>
            </w:pPr>
            <w:r>
              <w:rPr>
                <w:rFonts w:hint="eastAsia" w:ascii="仿宋" w:hAnsi="仿宋" w:eastAsia="仿宋" w:cs="仿宋"/>
                <w:color w:val="000000"/>
                <w:sz w:val="52"/>
                <w:highlight w:val="none"/>
              </w:rPr>
              <w:t>磋商响应文件</w:t>
            </w:r>
          </w:p>
          <w:p>
            <w:pPr>
              <w:pStyle w:val="156"/>
              <w:spacing w:before="624" w:after="156" w:line="160" w:lineRule="atLeast"/>
              <w:ind w:right="-284"/>
              <w:jc w:val="center"/>
              <w:rPr>
                <w:rFonts w:hint="eastAsia" w:ascii="仿宋" w:hAnsi="仿宋" w:eastAsia="仿宋" w:cs="仿宋"/>
                <w:color w:val="000000"/>
                <w:sz w:val="52"/>
                <w:highlight w:val="none"/>
              </w:rPr>
            </w:pPr>
          </w:p>
          <w:p>
            <w:pPr>
              <w:pStyle w:val="156"/>
              <w:spacing w:before="624" w:after="156" w:line="240" w:lineRule="atLeast"/>
              <w:jc w:val="center"/>
              <w:rPr>
                <w:rFonts w:hint="eastAsia" w:ascii="仿宋" w:hAnsi="仿宋" w:eastAsia="仿宋" w:cs="仿宋"/>
                <w:color w:val="000000"/>
                <w:sz w:val="40"/>
                <w:highlight w:val="none"/>
              </w:rPr>
            </w:pPr>
            <w:r>
              <w:rPr>
                <w:rFonts w:hint="eastAsia" w:ascii="仿宋" w:hAnsi="仿宋" w:eastAsia="仿宋" w:cs="仿宋"/>
                <w:color w:val="000000"/>
                <w:sz w:val="40"/>
                <w:highlight w:val="none"/>
              </w:rPr>
              <w:t>（商务文件/技术文件/报价文件）</w:t>
            </w:r>
          </w:p>
          <w:p>
            <w:pPr>
              <w:pStyle w:val="156"/>
              <w:spacing w:before="1560" w:line="400" w:lineRule="atLeast"/>
              <w:ind w:right="-284" w:firstLine="2520" w:firstLineChars="1050"/>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w:t>
            </w:r>
            <w:r>
              <w:rPr>
                <w:rFonts w:hint="eastAsia" w:ascii="仿宋" w:hAnsi="仿宋" w:eastAsia="仿宋" w:cs="仿宋"/>
                <w:color w:val="000000"/>
                <w:sz w:val="24"/>
                <w:highlight w:val="none"/>
                <w:u w:val="single"/>
              </w:rPr>
              <w:t>（盖章）</w:t>
            </w:r>
          </w:p>
          <w:p>
            <w:pPr>
              <w:pStyle w:val="156"/>
              <w:spacing w:after="156" w:line="400" w:lineRule="atLeast"/>
              <w:ind w:right="-284"/>
              <w:jc w:val="cente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法定代表人或其委托的代理人：（签字或盖章）</w:t>
            </w:r>
          </w:p>
          <w:p>
            <w:pPr>
              <w:pStyle w:val="156"/>
              <w:spacing w:after="624"/>
              <w:ind w:right="-284"/>
              <w:jc w:val="center"/>
              <w:rPr>
                <w:rFonts w:hint="eastAsia" w:ascii="仿宋" w:hAnsi="仿宋" w:eastAsia="仿宋" w:cs="仿宋"/>
                <w:color w:val="000000"/>
                <w:sz w:val="24"/>
                <w:highlight w:val="none"/>
              </w:rPr>
            </w:pPr>
          </w:p>
          <w:p>
            <w:pPr>
              <w:pStyle w:val="156"/>
              <w:spacing w:after="624"/>
              <w:ind w:right="-284"/>
              <w:jc w:val="center"/>
              <w:rPr>
                <w:rFonts w:hint="eastAsia" w:ascii="仿宋" w:hAnsi="仿宋" w:eastAsia="仿宋" w:cs="仿宋"/>
                <w:color w:val="000000"/>
                <w:highlight w:val="none"/>
              </w:rPr>
            </w:pPr>
            <w:r>
              <w:rPr>
                <w:rFonts w:hint="eastAsia" w:ascii="仿宋" w:hAnsi="仿宋" w:eastAsia="仿宋" w:cs="仿宋"/>
                <w:color w:val="000000"/>
                <w:sz w:val="24"/>
                <w:highlight w:val="none"/>
              </w:rPr>
              <w:t>年     月      日</w:t>
            </w:r>
          </w:p>
        </w:tc>
      </w:tr>
    </w:tbl>
    <w:p>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格式：封口</w:t>
      </w:r>
    </w:p>
    <w:tbl>
      <w:tblPr>
        <w:tblStyle w:val="40"/>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pPr>
              <w:pStyle w:val="156"/>
              <w:ind w:right="-284"/>
              <w:jc w:val="center"/>
              <w:rPr>
                <w:rFonts w:hint="eastAsia" w:ascii="仿宋" w:hAnsi="仿宋" w:eastAsia="仿宋" w:cs="仿宋"/>
                <w:b/>
                <w:color w:val="000000"/>
                <w:highlight w:val="none"/>
              </w:rPr>
            </w:pPr>
            <w:r>
              <w:rPr>
                <w:rFonts w:hint="eastAsia" w:ascii="仿宋" w:hAnsi="仿宋" w:eastAsia="仿宋" w:cs="仿宋"/>
                <w:b/>
                <w:color w:val="000000"/>
                <w:highlight w:val="none"/>
              </w:rPr>
              <w:t>-------------于年月日时分之前不准启封（公章）------------</w:t>
            </w:r>
          </w:p>
        </w:tc>
      </w:tr>
    </w:tbl>
    <w:p>
      <w:pPr>
        <w:rPr>
          <w:rFonts w:hint="eastAsia" w:ascii="仿宋" w:hAnsi="仿宋" w:eastAsia="仿宋" w:cs="仿宋"/>
          <w:color w:val="000000"/>
          <w:kern w:val="0"/>
          <w:szCs w:val="21"/>
          <w:highlight w:val="none"/>
        </w:rPr>
      </w:pPr>
    </w:p>
    <w:p>
      <w:pPr>
        <w:pStyle w:val="4"/>
        <w:numPr>
          <w:ilvl w:val="0"/>
          <w:numId w:val="0"/>
        </w:numPr>
        <w:ind w:leftChars="0"/>
        <w:jc w:val="both"/>
        <w:rPr>
          <w:rFonts w:ascii="仿宋" w:hAnsi="仿宋" w:eastAsia="仿宋" w:cs="仿宋"/>
          <w:color w:val="000000"/>
          <w:sz w:val="24"/>
          <w:szCs w:val="24"/>
          <w:highlight w:val="none"/>
        </w:rPr>
      </w:pPr>
      <w:bookmarkStart w:id="153" w:name="_Toc3936"/>
      <w:bookmarkStart w:id="154" w:name="_Toc287600131"/>
      <w:bookmarkStart w:id="155" w:name="_Toc19783362"/>
      <w:bookmarkStart w:id="156" w:name="_Toc25957"/>
      <w:bookmarkStart w:id="157" w:name="_Toc11783"/>
      <w:bookmarkStart w:id="158" w:name="_Toc517281836"/>
      <w:bookmarkStart w:id="159" w:name="_Toc19910"/>
      <w:bookmarkStart w:id="160" w:name="_Toc21280"/>
      <w:bookmarkStart w:id="161" w:name="_Toc444891353"/>
      <w:bookmarkStart w:id="162" w:name="_Toc287600129"/>
      <w:bookmarkStart w:id="163" w:name="_Toc19783360"/>
      <w:r>
        <w:rPr>
          <w:rFonts w:ascii="仿宋" w:hAnsi="仿宋" w:eastAsia="仿宋" w:cs="仿宋"/>
          <w:color w:val="000000"/>
          <w:sz w:val="24"/>
          <w:szCs w:val="24"/>
          <w:highlight w:val="none"/>
        </w:rPr>
        <w:br w:type="page"/>
      </w:r>
      <w:bookmarkStart w:id="164" w:name="_Toc17191"/>
      <w:r>
        <w:rPr>
          <w:rFonts w:hint="eastAsia" w:ascii="仿宋" w:hAnsi="仿宋" w:eastAsia="仿宋" w:cs="仿宋"/>
          <w:color w:val="000000"/>
          <w:sz w:val="24"/>
          <w:szCs w:val="24"/>
          <w:highlight w:val="none"/>
          <w:lang w:val="en-US" w:eastAsia="zh-CN"/>
        </w:rPr>
        <w:t>一、</w:t>
      </w:r>
      <w:r>
        <w:rPr>
          <w:rFonts w:hint="eastAsia" w:ascii="仿宋" w:hAnsi="仿宋" w:eastAsia="仿宋" w:cs="仿宋"/>
          <w:color w:val="000000"/>
          <w:sz w:val="24"/>
          <w:szCs w:val="24"/>
          <w:highlight w:val="none"/>
        </w:rPr>
        <w:t>商务文件</w:t>
      </w:r>
      <w:bookmarkEnd w:id="153"/>
      <w:bookmarkEnd w:id="164"/>
    </w:p>
    <w:p>
      <w:pPr>
        <w:bidi w:val="0"/>
        <w:jc w:val="center"/>
        <w:rPr>
          <w:rFonts w:hint="eastAsia"/>
        </w:rPr>
      </w:pPr>
      <w:bookmarkStart w:id="165" w:name="_Toc26744"/>
      <w:r>
        <w:rPr>
          <w:rFonts w:hint="eastAsia" w:ascii="仿宋" w:hAnsi="仿宋" w:eastAsia="仿宋" w:cs="仿宋"/>
          <w:b/>
          <w:bCs/>
          <w:sz w:val="24"/>
          <w:szCs w:val="24"/>
        </w:rPr>
        <w:t>初步评审索引表</w:t>
      </w:r>
      <w:bookmarkEnd w:id="165"/>
    </w:p>
    <w:tbl>
      <w:tblPr>
        <w:tblStyle w:val="40"/>
        <w:tblW w:w="5089"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8"/>
        <w:gridCol w:w="4215"/>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序号</w:t>
            </w:r>
          </w:p>
        </w:tc>
        <w:tc>
          <w:tcPr>
            <w:tcW w:w="1701" w:type="dxa"/>
            <w:noWrap w:val="0"/>
            <w:vAlign w:val="top"/>
          </w:tcPr>
          <w:p>
            <w:pPr>
              <w:widowControl/>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b/>
                <w:color w:val="000000"/>
                <w:kern w:val="0"/>
                <w:szCs w:val="21"/>
                <w:highlight w:val="none"/>
              </w:rPr>
              <w:t>评审环节</w:t>
            </w:r>
          </w:p>
        </w:tc>
        <w:tc>
          <w:tcPr>
            <w:tcW w:w="3299" w:type="dxa"/>
            <w:noWrap w:val="0"/>
            <w:vAlign w:val="center"/>
          </w:tcPr>
          <w:p>
            <w:pPr>
              <w:widowControl/>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评审因素</w:t>
            </w:r>
          </w:p>
        </w:tc>
        <w:tc>
          <w:tcPr>
            <w:tcW w:w="4216" w:type="dxa"/>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w:t>
            </w:r>
          </w:p>
        </w:tc>
        <w:tc>
          <w:tcPr>
            <w:tcW w:w="1701" w:type="dxa"/>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3299" w:type="dxa"/>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供应商名称</w:t>
            </w:r>
          </w:p>
        </w:tc>
        <w:tc>
          <w:tcPr>
            <w:tcW w:w="4216" w:type="dxa"/>
            <w:noWrap w:val="0"/>
            <w:vAlign w:val="center"/>
          </w:tcPr>
          <w:p>
            <w:pPr>
              <w:spacing w:before="24" w:after="24" w:line="276" w:lineRule="auto"/>
              <w:jc w:val="left"/>
              <w:rPr>
                <w:rFonts w:ascii="仿宋" w:hAnsi="仿宋" w:eastAsia="仿宋" w:cs="仿宋"/>
                <w:color w:val="000000"/>
                <w:szCs w:val="21"/>
                <w:highlight w:val="none"/>
              </w:rPr>
            </w:pPr>
            <w:r>
              <w:rPr>
                <w:rFonts w:hint="eastAsia" w:ascii="仿宋" w:hAnsi="仿宋" w:eastAsia="仿宋" w:cs="仿宋"/>
                <w:color w:val="000000"/>
                <w:szCs w:val="21"/>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3299" w:type="dxa"/>
            <w:noWrap w:val="0"/>
            <w:vAlign w:val="center"/>
          </w:tcPr>
          <w:p>
            <w:pPr>
              <w:spacing w:before="24" w:after="24" w:line="276" w:lineRule="auto"/>
              <w:jc w:val="center"/>
              <w:rPr>
                <w:rFonts w:hint="eastAsia" w:ascii="仿宋" w:hAnsi="仿宋" w:eastAsia="仿宋" w:cs="宋体"/>
                <w:color w:val="000000"/>
                <w:kern w:val="0"/>
                <w:szCs w:val="21"/>
                <w:highlight w:val="none"/>
              </w:rPr>
            </w:pPr>
            <w:r>
              <w:rPr>
                <w:rFonts w:hint="eastAsia" w:ascii="仿宋" w:hAnsi="仿宋" w:eastAsia="仿宋" w:cs="仿宋"/>
                <w:color w:val="000000"/>
                <w:szCs w:val="21"/>
                <w:highlight w:val="none"/>
              </w:rPr>
              <w:t>法定代表人（负责人）身份证明</w:t>
            </w:r>
          </w:p>
        </w:tc>
        <w:tc>
          <w:tcPr>
            <w:tcW w:w="4216" w:type="dxa"/>
            <w:noWrap w:val="0"/>
            <w:vAlign w:val="center"/>
          </w:tcPr>
          <w:p>
            <w:pPr>
              <w:pStyle w:val="137"/>
              <w:tabs>
                <w:tab w:val="left" w:pos="630"/>
              </w:tabs>
              <w:topLinePunct/>
              <w:spacing w:before="48" w:beforeLines="20" w:after="48" w:afterLines="20" w:line="276" w:lineRule="auto"/>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3299" w:type="dxa"/>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法定代表人（负责人）授权委托书</w:t>
            </w:r>
          </w:p>
        </w:tc>
        <w:tc>
          <w:tcPr>
            <w:tcW w:w="4216" w:type="dxa"/>
            <w:noWrap w:val="0"/>
            <w:vAlign w:val="center"/>
          </w:tcPr>
          <w:p>
            <w:pPr>
              <w:pStyle w:val="137"/>
              <w:tabs>
                <w:tab w:val="left" w:pos="630"/>
              </w:tabs>
              <w:topLinePunct/>
              <w:spacing w:before="48" w:beforeLines="20" w:after="48" w:afterLines="20" w:line="276" w:lineRule="auto"/>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3299" w:type="dxa"/>
            <w:noWrap w:val="0"/>
            <w:vAlign w:val="center"/>
          </w:tcPr>
          <w:p>
            <w:pPr>
              <w:spacing w:before="24" w:after="24" w:line="276" w:lineRule="auto"/>
              <w:jc w:val="center"/>
              <w:rPr>
                <w:rFonts w:hint="eastAsia" w:ascii="仿宋" w:hAnsi="仿宋" w:eastAsia="仿宋" w:cs="宋体"/>
                <w:color w:val="000000"/>
                <w:spacing w:val="-4"/>
                <w:kern w:val="0"/>
                <w:szCs w:val="21"/>
                <w:highlight w:val="none"/>
              </w:rPr>
            </w:pPr>
            <w:r>
              <w:rPr>
                <w:rFonts w:hint="eastAsia" w:ascii="仿宋" w:hAnsi="仿宋" w:eastAsia="仿宋" w:cs="仿宋"/>
                <w:color w:val="000000"/>
                <w:szCs w:val="21"/>
                <w:highlight w:val="none"/>
              </w:rPr>
              <w:t>响应文件签字或盖章</w:t>
            </w:r>
          </w:p>
        </w:tc>
        <w:tc>
          <w:tcPr>
            <w:tcW w:w="4216" w:type="dxa"/>
            <w:noWrap w:val="0"/>
            <w:vAlign w:val="center"/>
          </w:tcPr>
          <w:p>
            <w:pPr>
              <w:pStyle w:val="156"/>
              <w:spacing w:before="48" w:beforeLines="20" w:after="48" w:afterLines="20" w:line="276" w:lineRule="auto"/>
              <w:rPr>
                <w:rFonts w:hint="eastAsia" w:ascii="仿宋" w:hAnsi="仿宋" w:eastAsia="仿宋" w:cs="仿宋"/>
                <w:color w:val="000000"/>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w:t>
            </w:r>
          </w:p>
        </w:tc>
        <w:tc>
          <w:tcPr>
            <w:tcW w:w="1701" w:type="dxa"/>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资格评审标准</w:t>
            </w:r>
          </w:p>
        </w:tc>
        <w:tc>
          <w:tcPr>
            <w:tcW w:w="3299" w:type="dxa"/>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szCs w:val="21"/>
              </w:rPr>
              <w:t>具有独立承担民事责任的能力</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szCs w:val="21"/>
                <w:highlight w:val="none"/>
              </w:rPr>
            </w:pPr>
          </w:p>
        </w:tc>
        <w:tc>
          <w:tcPr>
            <w:tcW w:w="3299" w:type="dxa"/>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szCs w:val="21"/>
              </w:rPr>
              <w:t>具有良好的商业信誉和健全的财务会计制度</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3299" w:type="dxa"/>
            <w:noWrap w:val="0"/>
            <w:vAlign w:val="center"/>
          </w:tcPr>
          <w:p>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szCs w:val="21"/>
              </w:rPr>
              <w:t>供应商应具有履行合同所必需的设备和专业技术能力</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3299" w:type="dxa"/>
            <w:noWrap w:val="0"/>
            <w:vAlign w:val="center"/>
          </w:tcPr>
          <w:p>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szCs w:val="21"/>
              </w:rPr>
              <w:t>具有依法缴纳税收和社会保障资金的良好记录</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3299" w:type="dxa"/>
            <w:noWrap w:val="0"/>
            <w:vAlign w:val="center"/>
          </w:tcPr>
          <w:p>
            <w:pPr>
              <w:spacing w:before="24" w:after="24" w:line="276" w:lineRule="auto"/>
              <w:jc w:val="center"/>
              <w:rPr>
                <w:rFonts w:hint="eastAsia" w:ascii="仿宋" w:hAnsi="仿宋" w:eastAsia="仿宋" w:cs="仿宋"/>
                <w:color w:val="FF0000"/>
                <w:kern w:val="0"/>
                <w:szCs w:val="21"/>
                <w:highlight w:val="none"/>
              </w:rPr>
            </w:pPr>
            <w:r>
              <w:rPr>
                <w:rFonts w:hint="eastAsia" w:ascii="仿宋" w:hAnsi="仿宋" w:eastAsia="仿宋" w:cs="仿宋"/>
                <w:szCs w:val="21"/>
              </w:rPr>
              <w:t>近三年内无违法违规记录</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3299" w:type="dxa"/>
            <w:noWrap w:val="0"/>
            <w:vAlign w:val="center"/>
          </w:tcPr>
          <w:p>
            <w:pPr>
              <w:spacing w:before="24" w:after="24" w:line="276" w:lineRule="auto"/>
              <w:jc w:val="center"/>
              <w:rPr>
                <w:rFonts w:ascii="仿宋" w:hAnsi="仿宋" w:eastAsia="仿宋" w:cs="仿宋"/>
                <w:color w:val="FF0000"/>
                <w:kern w:val="0"/>
                <w:szCs w:val="21"/>
                <w:highlight w:val="none"/>
              </w:rPr>
            </w:pPr>
            <w:r>
              <w:rPr>
                <w:rFonts w:hint="eastAsia" w:ascii="仿宋" w:hAnsi="仿宋" w:eastAsia="仿宋" w:cs="仿宋"/>
                <w:szCs w:val="21"/>
              </w:rPr>
              <w:t>未被纳入采购人及其所隶属的中国人民保险各级机构的供应商黑名单</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3299" w:type="dxa"/>
            <w:noWrap w:val="0"/>
            <w:vAlign w:val="center"/>
          </w:tcPr>
          <w:p>
            <w:pPr>
              <w:spacing w:before="24" w:after="24" w:line="276" w:lineRule="auto"/>
              <w:jc w:val="center"/>
              <w:rPr>
                <w:rFonts w:ascii="仿宋" w:hAnsi="仿宋" w:eastAsia="仿宋" w:cs="仿宋"/>
                <w:color w:val="FF0000"/>
                <w:szCs w:val="21"/>
                <w:highlight w:val="none"/>
              </w:rPr>
            </w:pPr>
            <w:r>
              <w:rPr>
                <w:rFonts w:hint="eastAsia" w:ascii="仿宋" w:hAnsi="仿宋" w:eastAsia="仿宋" w:cs="仿宋"/>
                <w:szCs w:val="21"/>
              </w:rPr>
              <w:t>控股管理关系</w:t>
            </w:r>
          </w:p>
        </w:tc>
        <w:tc>
          <w:tcPr>
            <w:tcW w:w="4216" w:type="dxa"/>
            <w:noWrap w:val="0"/>
            <w:vAlign w:val="center"/>
          </w:tcPr>
          <w:p>
            <w:pPr>
              <w:spacing w:before="24" w:after="24" w:line="276" w:lineRule="auto"/>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3299" w:type="dxa"/>
            <w:noWrap w:val="0"/>
            <w:vAlign w:val="center"/>
          </w:tcPr>
          <w:p>
            <w:pPr>
              <w:spacing w:before="24" w:after="24" w:line="276" w:lineRule="auto"/>
              <w:jc w:val="center"/>
              <w:rPr>
                <w:rFonts w:ascii="仿宋" w:hAnsi="仿宋" w:eastAsia="仿宋" w:cs="仿宋"/>
                <w:color w:val="FF0000"/>
                <w:kern w:val="0"/>
                <w:szCs w:val="21"/>
                <w:highlight w:val="none"/>
              </w:rPr>
            </w:pPr>
            <w:r>
              <w:rPr>
                <w:rFonts w:hint="eastAsia" w:ascii="仿宋" w:hAnsi="仿宋" w:eastAsia="仿宋" w:cs="仿宋"/>
                <w:szCs w:val="21"/>
              </w:rPr>
              <w:t>非联合体磋商</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ascii="仿宋" w:hAnsi="仿宋" w:eastAsia="仿宋" w:cs="仿宋"/>
                <w:color w:val="000000"/>
                <w:kern w:val="0"/>
                <w:szCs w:val="21"/>
                <w:highlight w:val="none"/>
              </w:rPr>
              <w:t>3</w:t>
            </w:r>
          </w:p>
        </w:tc>
        <w:tc>
          <w:tcPr>
            <w:tcW w:w="1701" w:type="dxa"/>
            <w:vMerge w:val="restart"/>
            <w:noWrap w:val="0"/>
            <w:vAlign w:val="center"/>
          </w:tcPr>
          <w:p>
            <w:pPr>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响应性评审标准</w:t>
            </w:r>
          </w:p>
        </w:tc>
        <w:tc>
          <w:tcPr>
            <w:tcW w:w="3299" w:type="dxa"/>
            <w:noWrap w:val="0"/>
            <w:vAlign w:val="center"/>
          </w:tcPr>
          <w:p>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响应函</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3299" w:type="dxa"/>
            <w:noWrap w:val="0"/>
            <w:vAlign w:val="center"/>
          </w:tcPr>
          <w:p>
            <w:pPr>
              <w:spacing w:before="24" w:after="24" w:line="276" w:lineRule="auto"/>
              <w:jc w:val="center"/>
              <w:rPr>
                <w:rFonts w:hint="eastAsia" w:ascii="仿宋" w:hAnsi="仿宋" w:eastAsia="仿宋" w:cs="仿宋"/>
                <w:color w:val="000000"/>
                <w:kern w:val="0"/>
                <w:szCs w:val="21"/>
                <w:highlight w:val="none"/>
                <w:lang w:eastAsia="zh-CN"/>
              </w:rPr>
            </w:pPr>
            <w:r>
              <w:rPr>
                <w:rFonts w:hint="eastAsia" w:ascii="仿宋" w:hAnsi="仿宋" w:eastAsia="仿宋" w:cs="宋体"/>
                <w:color w:val="000000"/>
                <w:szCs w:val="21"/>
                <w:highlight w:val="none"/>
              </w:rPr>
              <w:t>供应商行为准则承诺书</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3299" w:type="dxa"/>
            <w:noWrap w:val="0"/>
            <w:vAlign w:val="center"/>
          </w:tcPr>
          <w:p>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供应商廉洁诚信承诺书</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3299" w:type="dxa"/>
            <w:noWrap w:val="0"/>
            <w:vAlign w:val="center"/>
          </w:tcPr>
          <w:p>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Cambria Math"/>
                <w:color w:val="auto"/>
                <w:szCs w:val="21"/>
                <w:highlight w:val="none"/>
              </w:rPr>
              <w:t>供应商偏离应答</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bl>
    <w:p>
      <w:pPr>
        <w:rPr>
          <w:rFonts w:hint="eastAsia" w:ascii="宋体" w:hAnsi="宋体"/>
          <w:kern w:val="0"/>
          <w:szCs w:val="21"/>
          <w:highlight w:val="none"/>
        </w:rPr>
        <w:sectPr>
          <w:footerReference r:id="rId12" w:type="default"/>
          <w:pgSz w:w="11906" w:h="16838"/>
          <w:pgMar w:top="1417" w:right="1134" w:bottom="1134" w:left="1134" w:header="964" w:footer="964" w:gutter="0"/>
          <w:cols w:space="720" w:num="1"/>
          <w:docGrid w:linePitch="312" w:charSpace="0"/>
        </w:sectPr>
      </w:pPr>
    </w:p>
    <w:bookmarkEnd w:id="154"/>
    <w:bookmarkEnd w:id="155"/>
    <w:bookmarkEnd w:id="156"/>
    <w:bookmarkEnd w:id="157"/>
    <w:bookmarkEnd w:id="158"/>
    <w:bookmarkEnd w:id="159"/>
    <w:bookmarkEnd w:id="160"/>
    <w:bookmarkEnd w:id="161"/>
    <w:p>
      <w:pPr>
        <w:bidi w:val="0"/>
        <w:jc w:val="center"/>
        <w:rPr>
          <w:rFonts w:hint="eastAsia" w:ascii="仿宋" w:hAnsi="仿宋" w:eastAsia="仿宋" w:cs="仿宋"/>
          <w:b/>
          <w:bCs/>
          <w:sz w:val="24"/>
          <w:szCs w:val="24"/>
        </w:rPr>
      </w:pPr>
      <w:bookmarkStart w:id="166" w:name="_Toc517281837"/>
      <w:bookmarkStart w:id="167" w:name="_Toc7202"/>
      <w:bookmarkStart w:id="168" w:name="_Toc444891354"/>
      <w:bookmarkStart w:id="169" w:name="_Toc12140"/>
      <w:bookmarkStart w:id="170" w:name="_Toc27799"/>
      <w:bookmarkStart w:id="171" w:name="_Toc25121"/>
      <w:r>
        <w:rPr>
          <w:rFonts w:hint="eastAsia" w:ascii="仿宋" w:hAnsi="仿宋" w:eastAsia="仿宋" w:cs="仿宋"/>
          <w:b/>
          <w:bCs/>
          <w:sz w:val="24"/>
          <w:szCs w:val="24"/>
        </w:rPr>
        <w:t>详细评审索引表</w:t>
      </w:r>
    </w:p>
    <w:tbl>
      <w:tblPr>
        <w:tblStyle w:val="4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b/>
                <w:color w:val="000000"/>
                <w:szCs w:val="21"/>
                <w:highlight w:val="none"/>
              </w:rPr>
            </w:pPr>
            <w:r>
              <w:rPr>
                <w:rFonts w:hint="eastAsia" w:ascii="仿宋" w:hAnsi="仿宋" w:eastAsia="仿宋" w:cs="宋体"/>
                <w:b/>
                <w:color w:val="000000"/>
                <w:kern w:val="0"/>
                <w:szCs w:val="21"/>
                <w:highlight w:val="none"/>
                <w:lang w:bidi="ar"/>
              </w:rPr>
              <w:t>序号</w:t>
            </w:r>
          </w:p>
        </w:tc>
        <w:tc>
          <w:tcPr>
            <w:tcW w:w="1696" w:type="dxa"/>
            <w:noWrap w:val="0"/>
            <w:tcMar>
              <w:top w:w="15" w:type="dxa"/>
              <w:left w:w="15" w:type="dxa"/>
              <w:right w:w="15" w:type="dxa"/>
            </w:tcMar>
            <w:vAlign w:val="center"/>
          </w:tcPr>
          <w:p>
            <w:pPr>
              <w:jc w:val="center"/>
              <w:rPr>
                <w:rFonts w:hint="eastAsia" w:ascii="仿宋" w:hAnsi="仿宋" w:eastAsia="仿宋" w:cs="宋体"/>
                <w:b/>
                <w:color w:val="000000"/>
                <w:kern w:val="0"/>
                <w:szCs w:val="21"/>
                <w:highlight w:val="none"/>
                <w:lang w:bidi="ar"/>
              </w:rPr>
            </w:pPr>
            <w:r>
              <w:rPr>
                <w:rFonts w:hint="eastAsia" w:ascii="仿宋" w:hAnsi="仿宋" w:eastAsia="仿宋" w:cs="宋体"/>
                <w:b/>
                <w:bCs/>
                <w:color w:val="000000"/>
                <w:szCs w:val="21"/>
                <w:highlight w:val="none"/>
              </w:rPr>
              <w:t>评审项</w:t>
            </w:r>
          </w:p>
        </w:tc>
        <w:tc>
          <w:tcPr>
            <w:tcW w:w="2268" w:type="dxa"/>
            <w:noWrap w:val="0"/>
            <w:vAlign w:val="top"/>
          </w:tcPr>
          <w:p>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lang w:bidi="ar"/>
              </w:rPr>
              <w:t>评审因素</w:t>
            </w:r>
          </w:p>
        </w:tc>
        <w:tc>
          <w:tcPr>
            <w:tcW w:w="4820" w:type="dxa"/>
            <w:noWrap w:val="0"/>
            <w:tcMar>
              <w:top w:w="15" w:type="dxa"/>
              <w:left w:w="15" w:type="dxa"/>
              <w:right w:w="15" w:type="dxa"/>
            </w:tcMar>
            <w:vAlign w:val="center"/>
          </w:tcPr>
          <w:p>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1</w:t>
            </w:r>
          </w:p>
        </w:tc>
        <w:tc>
          <w:tcPr>
            <w:tcW w:w="1696" w:type="dxa"/>
            <w:vMerge w:val="restart"/>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商务得分</w:t>
            </w:r>
          </w:p>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（XX分）</w:t>
            </w:r>
          </w:p>
        </w:tc>
        <w:tc>
          <w:tcPr>
            <w:tcW w:w="2268" w:type="dxa"/>
            <w:noWrap w:val="0"/>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综合实力</w:t>
            </w:r>
          </w:p>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（XX分）</w:t>
            </w:r>
          </w:p>
        </w:tc>
        <w:tc>
          <w:tcPr>
            <w:tcW w:w="4820" w:type="dxa"/>
            <w:noWrap w:val="0"/>
            <w:tcMar>
              <w:top w:w="15" w:type="dxa"/>
              <w:left w:w="15" w:type="dxa"/>
              <w:right w:w="15" w:type="dxa"/>
            </w:tcMar>
            <w:vAlign w:val="center"/>
          </w:tcPr>
          <w:p>
            <w:pPr>
              <w:widowControl/>
              <w:adjustRightInd w:val="0"/>
              <w:snapToGrid w:val="0"/>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说明：XX</w:t>
            </w:r>
          </w:p>
          <w:p>
            <w:pPr>
              <w:rPr>
                <w:rStyle w:val="117"/>
                <w:rFonts w:hint="default" w:cs="宋体"/>
                <w:color w:val="000000"/>
                <w:highlight w:val="none"/>
                <w:lang w:bidi="ar"/>
              </w:rPr>
            </w:pPr>
            <w:r>
              <w:rPr>
                <w:rFonts w:hint="eastAsia" w:ascii="仿宋" w:hAnsi="仿宋" w:eastAsia="仿宋" w:cs="宋体"/>
                <w:color w:val="000000"/>
                <w:kern w:val="0"/>
                <w:szCs w:val="21"/>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2</w:t>
            </w:r>
          </w:p>
        </w:tc>
        <w:tc>
          <w:tcPr>
            <w:tcW w:w="1696" w:type="dxa"/>
            <w:vMerge w:val="continue"/>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p>
        </w:tc>
        <w:tc>
          <w:tcPr>
            <w:tcW w:w="2268" w:type="dxa"/>
            <w:noWrap w:val="0"/>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同类业绩</w:t>
            </w:r>
          </w:p>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（XX分）</w:t>
            </w:r>
          </w:p>
        </w:tc>
        <w:tc>
          <w:tcPr>
            <w:tcW w:w="4820" w:type="dxa"/>
            <w:noWrap w:val="0"/>
            <w:tcMar>
              <w:top w:w="15" w:type="dxa"/>
              <w:left w:w="15" w:type="dxa"/>
              <w:right w:w="15" w:type="dxa"/>
            </w:tcMar>
            <w:vAlign w:val="center"/>
          </w:tcPr>
          <w:p>
            <w:pPr>
              <w:rPr>
                <w:rStyle w:val="117"/>
                <w:rFonts w:hint="default" w:cs="宋体"/>
                <w:color w:val="000000"/>
                <w:highlight w:val="none"/>
                <w:lang w:bidi="ar"/>
              </w:rPr>
            </w:pP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r>
    </w:p>
    <w:p>
      <w:pPr>
        <w:pStyle w:val="5"/>
        <w:numPr>
          <w:ilvl w:val="0"/>
          <w:numId w:val="0"/>
        </w:numPr>
        <w:spacing w:before="0" w:line="440" w:lineRule="exact"/>
        <w:rPr>
          <w:rFonts w:hint="eastAsia" w:ascii="仿宋" w:hAnsi="仿宋" w:eastAsia="仿宋" w:cs="仿宋"/>
          <w:color w:val="000000"/>
          <w:sz w:val="24"/>
          <w:szCs w:val="24"/>
          <w:highlight w:val="none"/>
        </w:rPr>
      </w:pPr>
      <w:bookmarkStart w:id="172" w:name="_Toc27958"/>
      <w:r>
        <w:rPr>
          <w:rFonts w:hint="eastAsia" w:ascii="仿宋" w:hAnsi="仿宋" w:eastAsia="仿宋" w:cs="仿宋"/>
          <w:color w:val="000000"/>
          <w:sz w:val="24"/>
          <w:szCs w:val="24"/>
          <w:highlight w:val="none"/>
        </w:rPr>
        <w:t>（一）响应函</w:t>
      </w:r>
      <w:bookmarkEnd w:id="172"/>
    </w:p>
    <w:p>
      <w:pPr>
        <w:pStyle w:val="156"/>
        <w:spacing w:line="440" w:lineRule="exact"/>
        <w:rPr>
          <w:rFonts w:hint="eastAsia" w:ascii="仿宋" w:hAnsi="仿宋" w:eastAsia="仿宋" w:cs="Cambria Math"/>
          <w:color w:val="000000"/>
          <w:sz w:val="24"/>
          <w:szCs w:val="24"/>
          <w:highlight w:val="none"/>
          <w:u w:val="single"/>
        </w:rPr>
      </w:pPr>
      <w:r>
        <w:rPr>
          <w:rFonts w:hint="eastAsia" w:ascii="仿宋" w:hAnsi="仿宋" w:eastAsia="仿宋" w:cs="Cambria Math"/>
          <w:color w:val="000000"/>
          <w:sz w:val="24"/>
          <w:szCs w:val="24"/>
          <w:highlight w:val="none"/>
          <w:u w:val="single"/>
        </w:rPr>
        <w:t>致：</w:t>
      </w:r>
      <w:r>
        <w:rPr>
          <w:rFonts w:hint="eastAsia" w:ascii="仿宋" w:hAnsi="仿宋" w:eastAsia="仿宋" w:cs="Cambria Math"/>
          <w:color w:val="000000"/>
          <w:sz w:val="24"/>
          <w:szCs w:val="24"/>
          <w:highlight w:val="none"/>
          <w:u w:val="single"/>
          <w:lang w:eastAsia="zh-CN"/>
        </w:rPr>
        <w:t>（</w:t>
      </w:r>
      <w:r>
        <w:rPr>
          <w:rFonts w:hint="eastAsia" w:ascii="仿宋" w:hAnsi="仿宋" w:eastAsia="仿宋" w:cs="Cambria Math"/>
          <w:color w:val="000000"/>
          <w:sz w:val="24"/>
          <w:szCs w:val="24"/>
          <w:highlight w:val="none"/>
          <w:u w:val="single"/>
          <w:lang w:val="en-US" w:eastAsia="zh-CN"/>
        </w:rPr>
        <w:t>采购人名称</w:t>
      </w:r>
      <w:r>
        <w:rPr>
          <w:rFonts w:hint="eastAsia" w:ascii="仿宋" w:hAnsi="仿宋" w:eastAsia="仿宋" w:cs="Cambria Math"/>
          <w:color w:val="000000"/>
          <w:sz w:val="24"/>
          <w:szCs w:val="24"/>
          <w:highlight w:val="none"/>
          <w:u w:val="single"/>
          <w:lang w:eastAsia="zh-CN"/>
        </w:rPr>
        <w:t>）</w:t>
      </w:r>
      <w:r>
        <w:rPr>
          <w:rFonts w:hint="eastAsia" w:ascii="仿宋" w:hAnsi="仿宋" w:eastAsia="仿宋" w:cs="Cambria Math"/>
          <w:color w:val="000000"/>
          <w:sz w:val="24"/>
          <w:szCs w:val="24"/>
          <w:highlight w:val="none"/>
          <w:u w:val="single"/>
        </w:rPr>
        <w:t xml:space="preserve">     </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u w:val="single"/>
        </w:rPr>
        <w:t xml:space="preserve">   （供应商名称）   </w:t>
      </w:r>
      <w:r>
        <w:rPr>
          <w:rFonts w:hint="eastAsia" w:ascii="仿宋" w:hAnsi="仿宋" w:eastAsia="仿宋" w:cs="Cambria Math"/>
          <w:color w:val="000000"/>
          <w:kern w:val="0"/>
          <w:sz w:val="24"/>
          <w:highlight w:val="none"/>
        </w:rPr>
        <w:t>（以下称“我方”）已仔细研究了</w:t>
      </w:r>
      <w:r>
        <w:rPr>
          <w:rFonts w:hint="eastAsia" w:ascii="仿宋" w:hAnsi="仿宋" w:eastAsia="仿宋" w:cs="Cambria Math"/>
          <w:color w:val="000000"/>
          <w:kern w:val="0"/>
          <w:sz w:val="24"/>
          <w:highlight w:val="none"/>
          <w:u w:val="single"/>
        </w:rPr>
        <w:t xml:space="preserve"> </w:t>
      </w:r>
      <w:r>
        <w:rPr>
          <w:rFonts w:ascii="仿宋" w:hAnsi="仿宋" w:eastAsia="仿宋" w:cs="Cambria Math"/>
          <w:color w:val="000000"/>
          <w:kern w:val="0"/>
          <w:sz w:val="24"/>
          <w:highlight w:val="none"/>
          <w:u w:val="single"/>
        </w:rPr>
        <w:t xml:space="preserve"> </w:t>
      </w:r>
      <w:r>
        <w:rPr>
          <w:rFonts w:hint="eastAsia" w:ascii="仿宋" w:hAnsi="仿宋" w:eastAsia="仿宋" w:cs="Cambria Math"/>
          <w:color w:val="000000"/>
          <w:kern w:val="0"/>
          <w:sz w:val="24"/>
          <w:highlight w:val="none"/>
          <w:u w:val="single"/>
        </w:rPr>
        <w:t xml:space="preserve">（项目名称）    </w:t>
      </w:r>
      <w:r>
        <w:rPr>
          <w:rFonts w:hint="eastAsia" w:ascii="仿宋" w:hAnsi="仿宋" w:eastAsia="仿宋" w:cs="Cambria Math"/>
          <w:color w:val="000000"/>
          <w:kern w:val="0"/>
          <w:sz w:val="24"/>
          <w:highlight w:val="none"/>
        </w:rPr>
        <w:t>竞争性磋商文件的全部内容，包括澄清或者修改文件以及有关附件，我方将严格按照竞争性磋商文件要求递交符合要求的全部磋商响应文件。</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现我方承诺如下内容：</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1. 本响应函及磋商响应文件自磋商响应文件提交截止日起有效期为</w:t>
      </w:r>
      <w:r>
        <w:rPr>
          <w:rFonts w:hint="eastAsia" w:ascii="仿宋" w:hAnsi="仿宋" w:eastAsia="仿宋" w:cs="Cambria Math"/>
          <w:color w:val="000000"/>
          <w:kern w:val="0"/>
          <w:sz w:val="24"/>
          <w:highlight w:val="none"/>
          <w:u w:val="single"/>
          <w:lang w:val="en-US" w:eastAsia="zh-CN"/>
        </w:rPr>
        <w:t>XX</w:t>
      </w:r>
      <w:r>
        <w:rPr>
          <w:rFonts w:hint="eastAsia" w:ascii="仿宋" w:hAnsi="仿宋" w:eastAsia="仿宋" w:cs="Cambria Math"/>
          <w:color w:val="000000"/>
          <w:kern w:val="0"/>
          <w:sz w:val="24"/>
          <w:highlight w:val="none"/>
          <w:u w:val="single"/>
        </w:rPr>
        <w:t>天</w:t>
      </w:r>
      <w:r>
        <w:rPr>
          <w:rFonts w:hint="eastAsia" w:ascii="仿宋" w:hAnsi="仿宋" w:eastAsia="仿宋" w:cs="Cambria Math"/>
          <w:color w:val="000000"/>
          <w:kern w:val="0"/>
          <w:sz w:val="24"/>
          <w:highlight w:val="none"/>
        </w:rPr>
        <w:t>，我方承诺在响应有效期内不修改、撤销磋商响应文件。</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2</w:t>
      </w:r>
      <w:r>
        <w:rPr>
          <w:rFonts w:hint="eastAsia" w:ascii="仿宋" w:hAnsi="仿宋" w:eastAsia="仿宋" w:cs="Cambria Math"/>
          <w:color w:val="000000"/>
          <w:kern w:val="0"/>
          <w:sz w:val="24"/>
          <w:highlight w:val="none"/>
        </w:rPr>
        <w:t>. 我方承诺提供磋商过程中可能要求的澄清、说明、补正或者算术性错误修正确认，并同意我方提供的以上材料构成我方响应文件的组成部分。</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3</w:t>
      </w:r>
      <w:r>
        <w:rPr>
          <w:rFonts w:hint="eastAsia" w:ascii="仿宋" w:hAnsi="仿宋" w:eastAsia="仿宋" w:cs="Cambria Math"/>
          <w:color w:val="000000"/>
          <w:kern w:val="0"/>
          <w:sz w:val="24"/>
          <w:highlight w:val="none"/>
        </w:rPr>
        <w:t>. 我方同意提供贵方可能要求的与我方响应文件有关的一切数据、资料、证明原件、证件原件，并完全理解贵方不一定接受最低价的响应。</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4</w:t>
      </w:r>
      <w:r>
        <w:rPr>
          <w:rFonts w:hint="eastAsia" w:ascii="仿宋" w:hAnsi="仿宋" w:eastAsia="仿宋" w:cs="Cambria Math"/>
          <w:color w:val="000000"/>
          <w:kern w:val="0"/>
          <w:sz w:val="24"/>
          <w:highlight w:val="none"/>
        </w:rPr>
        <w:t>．我方承诺对在本次采购活动过程中所获知贵方一切商业秘密保密，不会向任何第三方泄露，不会用于本次采购活动之外的任何其他目的。</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宋体"/>
          <w:color w:val="000000"/>
          <w:kern w:val="0"/>
          <w:sz w:val="24"/>
          <w:highlight w:val="none"/>
          <w:lang w:val="en-US" w:eastAsia="zh-CN"/>
        </w:rPr>
        <w:t>5</w:t>
      </w:r>
      <w:r>
        <w:rPr>
          <w:rFonts w:hint="eastAsia" w:ascii="仿宋" w:hAnsi="仿宋" w:eastAsia="仿宋" w:cs="宋体"/>
          <w:color w:val="000000"/>
          <w:kern w:val="0"/>
          <w:sz w:val="24"/>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6</w:t>
      </w:r>
      <w:r>
        <w:rPr>
          <w:rFonts w:hint="eastAsia" w:ascii="仿宋" w:hAnsi="仿宋" w:eastAsia="仿宋" w:cs="Cambria Math"/>
          <w:color w:val="000000"/>
          <w:kern w:val="0"/>
          <w:sz w:val="24"/>
          <w:highlight w:val="none"/>
        </w:rPr>
        <w:t>. 如我方成交：</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（1）我方承诺在收到成交通知书后，在成交通知书规定的期限内与贵方签订合同。</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（2）我方承诺按照竞争性磋商文件规定递交履约保证金、支付采购代理服务费。</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（3）我方承诺按照竞争性磋商文件的规定及合同约定履行相关责任和义务。</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（4）我方在此承诺，双方合作后可开具增值税专用发票。</w:t>
      </w:r>
    </w:p>
    <w:p>
      <w:pPr>
        <w:spacing w:line="440" w:lineRule="exact"/>
        <w:ind w:firstLine="4080" w:firstLineChars="1700"/>
        <w:jc w:val="right"/>
        <w:rPr>
          <w:rFonts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pPr>
        <w:spacing w:line="440" w:lineRule="exact"/>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pStyle w:val="5"/>
        <w:numPr>
          <w:ilvl w:val="0"/>
          <w:numId w:val="0"/>
        </w:numPr>
        <w:spacing w:before="0" w:after="0" w:line="360" w:lineRule="auto"/>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br w:type="page"/>
      </w:r>
      <w:bookmarkEnd w:id="162"/>
      <w:bookmarkEnd w:id="163"/>
      <w:bookmarkEnd w:id="166"/>
      <w:bookmarkEnd w:id="167"/>
      <w:bookmarkEnd w:id="168"/>
      <w:bookmarkEnd w:id="169"/>
      <w:bookmarkEnd w:id="170"/>
      <w:bookmarkEnd w:id="171"/>
      <w:bookmarkStart w:id="173" w:name="_Toc13983"/>
      <w:r>
        <w:rPr>
          <w:rFonts w:hint="eastAsia" w:ascii="仿宋" w:hAnsi="仿宋" w:eastAsia="仿宋" w:cs="仿宋"/>
          <w:color w:val="000000"/>
          <w:sz w:val="24"/>
          <w:szCs w:val="24"/>
          <w:highlight w:val="none"/>
        </w:rPr>
        <w:t>（二）法定代表人（负责人）身份证明书</w:t>
      </w:r>
      <w:bookmarkEnd w:id="173"/>
      <w:r>
        <w:rPr>
          <w:rFonts w:hint="eastAsia" w:ascii="仿宋" w:hAnsi="仿宋" w:eastAsia="仿宋" w:cs="仿宋"/>
          <w:color w:val="000000"/>
          <w:sz w:val="24"/>
          <w:szCs w:val="24"/>
          <w:highlight w:val="none"/>
        </w:rPr>
        <w:tab/>
      </w:r>
    </w:p>
    <w:p>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法定代表人（负责人）身份证明书</w:t>
      </w:r>
      <w:r>
        <w:rPr>
          <w:rFonts w:hint="eastAsia" w:ascii="仿宋" w:hAnsi="仿宋" w:eastAsia="仿宋" w:cs="仿宋"/>
          <w:b/>
          <w:color w:val="000000"/>
          <w:sz w:val="24"/>
          <w:highlight w:val="none"/>
        </w:rPr>
        <w:tab/>
      </w:r>
    </w:p>
    <w:p>
      <w:pPr>
        <w:spacing w:line="360" w:lineRule="auto"/>
        <w:rPr>
          <w:rFonts w:hint="eastAsia" w:ascii="仿宋" w:hAnsi="仿宋" w:eastAsia="仿宋" w:cs="仿宋"/>
          <w:b/>
          <w:color w:val="000000"/>
          <w:sz w:val="24"/>
          <w:highlight w:val="none"/>
        </w:rPr>
      </w:pPr>
    </w:p>
    <w:p>
      <w:pPr>
        <w:widowControl/>
        <w:topLinePunct/>
        <w:spacing w:line="360" w:lineRule="auto"/>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rPr>
        <w:t>供应商名称：</w:t>
      </w:r>
      <w:r>
        <w:rPr>
          <w:rFonts w:hint="eastAsia" w:ascii="仿宋" w:hAnsi="仿宋" w:eastAsia="仿宋" w:cs="仿宋"/>
          <w:color w:val="000000"/>
          <w:kern w:val="0"/>
          <w:sz w:val="24"/>
          <w:highlight w:val="none"/>
          <w:u w:val="single"/>
        </w:rPr>
        <w:t xml:space="preserve">                         </w:t>
      </w:r>
    </w:p>
    <w:p>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成立时间：</w:t>
      </w:r>
      <w:r>
        <w:rPr>
          <w:rFonts w:hint="eastAsia" w:ascii="仿宋" w:hAnsi="仿宋" w:eastAsia="仿宋" w:cs="仿宋"/>
          <w:color w:val="000000"/>
          <w:kern w:val="0"/>
          <w:sz w:val="24"/>
          <w:highlight w:val="none"/>
          <w:u w:val="single"/>
        </w:rPr>
        <w:t xml:space="preserve"> </w:t>
      </w:r>
      <w:r>
        <w:rPr>
          <w:rFonts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年</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月</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日</w:t>
      </w:r>
    </w:p>
    <w:p>
      <w:pPr>
        <w:widowControl/>
        <w:topLinePunct/>
        <w:spacing w:line="360" w:lineRule="auto"/>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rPr>
        <w:t>姓名：</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性别：</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年龄：</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职务：</w:t>
      </w:r>
      <w:r>
        <w:rPr>
          <w:rFonts w:hint="eastAsia" w:ascii="仿宋" w:hAnsi="仿宋" w:eastAsia="仿宋" w:cs="仿宋"/>
          <w:color w:val="000000"/>
          <w:kern w:val="0"/>
          <w:sz w:val="24"/>
          <w:highlight w:val="none"/>
          <w:u w:val="single"/>
        </w:rPr>
        <w:t xml:space="preserve">         </w:t>
      </w:r>
    </w:p>
    <w:p>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系</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（供应商名称）的法定代表人</w:t>
      </w:r>
      <w:r>
        <w:rPr>
          <w:rFonts w:hint="eastAsia" w:ascii="仿宋" w:hAnsi="仿宋" w:eastAsia="仿宋" w:cs="仿宋"/>
          <w:color w:val="000000"/>
          <w:sz w:val="24"/>
          <w:highlight w:val="none"/>
        </w:rPr>
        <w:t>（负责人）</w:t>
      </w:r>
      <w:r>
        <w:rPr>
          <w:rFonts w:hint="eastAsia" w:ascii="仿宋" w:hAnsi="仿宋" w:eastAsia="仿宋" w:cs="仿宋"/>
          <w:color w:val="000000"/>
          <w:kern w:val="0"/>
          <w:sz w:val="24"/>
          <w:highlight w:val="none"/>
        </w:rPr>
        <w:t>。</w:t>
      </w:r>
    </w:p>
    <w:p>
      <w:pPr>
        <w:widowControl/>
        <w:topLinePunct/>
        <w:spacing w:line="360" w:lineRule="auto"/>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特此证明。</w:t>
      </w:r>
    </w:p>
    <w:p>
      <w:pPr>
        <w:widowControl/>
        <w:topLinePunct/>
        <w:spacing w:line="360" w:lineRule="auto"/>
        <w:rPr>
          <w:rFonts w:ascii="仿宋" w:hAnsi="仿宋" w:eastAsia="仿宋" w:cs="仿宋"/>
          <w:color w:val="000000"/>
          <w:kern w:val="0"/>
          <w:sz w:val="24"/>
          <w:highlight w:val="none"/>
        </w:rPr>
      </w:pPr>
    </w:p>
    <w:p>
      <w:pPr>
        <w:widowControl/>
        <w:spacing w:line="360" w:lineRule="auto"/>
        <w:rPr>
          <w:rFonts w:hint="eastAsia" w:ascii="仿宋" w:hAnsi="仿宋" w:eastAsia="仿宋" w:cs="仿宋"/>
          <w:b/>
          <w:bCs/>
          <w:color w:val="000000"/>
          <w:kern w:val="0"/>
          <w:sz w:val="24"/>
          <w:highlight w:val="none"/>
        </w:rPr>
      </w:pPr>
      <w:r>
        <w:rPr>
          <w:rFonts w:hint="eastAsia" w:ascii="仿宋" w:hAnsi="仿宋" w:eastAsia="仿宋" w:cs="仿宋"/>
          <w:b/>
          <w:bCs/>
          <w:color w:val="000000"/>
          <w:kern w:val="0"/>
          <w:sz w:val="24"/>
          <w:highlight w:val="none"/>
        </w:rPr>
        <w:t>附：法定代表人（负责人）身份证复印件（需同时提供正面及背面）。</w:t>
      </w:r>
    </w:p>
    <w:p>
      <w:pPr>
        <w:widowControl/>
        <w:spacing w:line="360" w:lineRule="auto"/>
        <w:rPr>
          <w:rFonts w:hint="eastAsia" w:ascii="仿宋" w:hAnsi="仿宋" w:eastAsia="仿宋" w:cs="仿宋"/>
          <w:color w:val="000000"/>
          <w:kern w:val="0"/>
          <w:highlight w:val="none"/>
        </w:rPr>
      </w:pPr>
      <w:r>
        <w:rPr>
          <w:rFonts w:hint="eastAsia" w:ascii="仿宋" w:hAnsi="仿宋" w:eastAsia="仿宋" w:cs="仿宋"/>
          <w:color w:val="000000"/>
          <w:kern w:val="0"/>
          <w:highlight w:val="none"/>
        </w:rPr>
        <mc:AlternateContent>
          <mc:Choice Requires="wps">
            <w:drawing>
              <wp:anchor distT="0" distB="0" distL="114300" distR="114300" simplePos="0" relativeHeight="251661312"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1312;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2336;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156"/>
        <w:spacing w:line="440" w:lineRule="atLeast"/>
        <w:ind w:firstLine="480"/>
        <w:jc w:val="left"/>
        <w:rPr>
          <w:rFonts w:hint="eastAsia" w:ascii="仿宋" w:hAnsi="仿宋" w:eastAsia="仿宋" w:cs="仿宋"/>
          <w:color w:val="000000"/>
          <w:highlight w:val="none"/>
        </w:rPr>
      </w:pPr>
    </w:p>
    <w:p>
      <w:pPr>
        <w:pStyle w:val="156"/>
        <w:spacing w:line="440" w:lineRule="atLeast"/>
        <w:ind w:firstLine="480"/>
        <w:jc w:val="left"/>
        <w:rPr>
          <w:rFonts w:hint="eastAsia" w:ascii="仿宋" w:hAnsi="仿宋" w:eastAsia="仿宋" w:cs="仿宋"/>
          <w:color w:val="000000"/>
          <w:highlight w:val="none"/>
        </w:rPr>
      </w:pPr>
    </w:p>
    <w:p>
      <w:pPr>
        <w:pStyle w:val="156"/>
        <w:spacing w:line="440" w:lineRule="atLeast"/>
        <w:ind w:firstLine="480"/>
        <w:jc w:val="left"/>
        <w:rPr>
          <w:rFonts w:hint="eastAsia" w:ascii="仿宋" w:hAnsi="仿宋" w:eastAsia="仿宋" w:cs="仿宋"/>
          <w:color w:val="000000"/>
          <w:highlight w:val="none"/>
        </w:rPr>
      </w:pPr>
    </w:p>
    <w:p>
      <w:pPr>
        <w:spacing w:line="360" w:lineRule="auto"/>
        <w:ind w:firstLine="610"/>
        <w:rPr>
          <w:rFonts w:hint="eastAsia" w:ascii="仿宋" w:hAnsi="仿宋" w:eastAsia="仿宋" w:cs="仿宋"/>
          <w:color w:val="000000"/>
          <w:sz w:val="24"/>
          <w:highlight w:val="none"/>
        </w:rPr>
      </w:pPr>
    </w:p>
    <w:p>
      <w:pPr>
        <w:tabs>
          <w:tab w:val="left" w:pos="720"/>
          <w:tab w:val="left" w:pos="900"/>
        </w:tabs>
        <w:spacing w:line="360" w:lineRule="auto"/>
        <w:rPr>
          <w:rFonts w:hint="eastAsia"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p>
    <w:p>
      <w:pPr>
        <w:wordWrap w:val="0"/>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t xml:space="preserve">  </w:t>
      </w:r>
    </w:p>
    <w:p>
      <w:pPr>
        <w:spacing w:line="440" w:lineRule="exact"/>
        <w:ind w:firstLine="4080" w:firstLineChars="1700"/>
        <w:jc w:val="right"/>
        <w:rPr>
          <w:rFonts w:ascii="仿宋" w:hAnsi="仿宋" w:eastAsia="仿宋" w:cs="仿宋"/>
          <w:color w:val="000000"/>
          <w:sz w:val="24"/>
          <w:highlight w:val="none"/>
        </w:rPr>
      </w:pPr>
      <w:r>
        <w:rPr>
          <w:rFonts w:ascii="仿宋" w:hAnsi="仿宋" w:eastAsia="仿宋" w:cs="仿宋"/>
          <w:color w:val="000000"/>
          <w:sz w:val="24"/>
          <w:highlight w:val="none"/>
        </w:rPr>
        <w:t xml:space="preserve">    </w:t>
      </w:r>
    </w:p>
    <w:p>
      <w:pPr>
        <w:spacing w:line="440" w:lineRule="exact"/>
        <w:ind w:firstLine="4080" w:firstLineChars="1700"/>
        <w:jc w:val="right"/>
        <w:rPr>
          <w:rFonts w:ascii="仿宋" w:hAnsi="仿宋" w:eastAsia="仿宋" w:cs="仿宋"/>
          <w:color w:val="000000"/>
          <w:sz w:val="24"/>
          <w:highlight w:val="none"/>
        </w:rPr>
      </w:pPr>
      <w:r>
        <w:rPr>
          <w:rFonts w:ascii="仿宋" w:hAnsi="仿宋" w:eastAsia="仿宋" w:cs="仿宋"/>
          <w:color w:val="000000"/>
          <w:sz w:val="24"/>
          <w:highlight w:val="none"/>
        </w:rPr>
        <w:t xml:space="preserve"> </w:t>
      </w: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t xml:space="preserve">   </w:t>
      </w:r>
    </w:p>
    <w:p>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pPr>
        <w:spacing w:line="440" w:lineRule="exact"/>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tabs>
          <w:tab w:val="left" w:pos="720"/>
          <w:tab w:val="left" w:pos="900"/>
        </w:tabs>
        <w:spacing w:line="360" w:lineRule="auto"/>
        <w:ind w:left="1078"/>
        <w:rPr>
          <w:rFonts w:hint="eastAsia" w:ascii="仿宋" w:hAnsi="仿宋" w:eastAsia="仿宋" w:cs="仿宋"/>
          <w:color w:val="000000"/>
          <w:sz w:val="24"/>
          <w:highlight w:val="none"/>
        </w:rPr>
      </w:pPr>
    </w:p>
    <w:p>
      <w:pPr>
        <w:tabs>
          <w:tab w:val="left" w:pos="720"/>
          <w:tab w:val="left" w:pos="900"/>
        </w:tabs>
        <w:spacing w:line="360" w:lineRule="auto"/>
        <w:ind w:left="1078"/>
        <w:rPr>
          <w:rFonts w:hint="eastAsia" w:ascii="仿宋" w:hAnsi="仿宋" w:eastAsia="仿宋" w:cs="仿宋"/>
          <w:color w:val="000000"/>
          <w:sz w:val="24"/>
          <w:highlight w:val="none"/>
        </w:rPr>
      </w:pPr>
    </w:p>
    <w:p>
      <w:pPr>
        <w:pStyle w:val="5"/>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174" w:name="_Toc5582"/>
      <w:bookmarkStart w:id="175" w:name="_Toc444891355"/>
      <w:bookmarkStart w:id="176" w:name="_Toc26267"/>
      <w:bookmarkStart w:id="177" w:name="_Toc287600130"/>
      <w:bookmarkStart w:id="178" w:name="_Toc24788"/>
      <w:bookmarkStart w:id="179" w:name="_Toc517281838"/>
      <w:bookmarkStart w:id="180" w:name="_Toc20707"/>
      <w:bookmarkStart w:id="181" w:name="_Toc19783361"/>
      <w:bookmarkStart w:id="182" w:name="_Toc4426"/>
      <w:r>
        <w:rPr>
          <w:rFonts w:hint="eastAsia" w:ascii="仿宋" w:hAnsi="仿宋" w:eastAsia="仿宋" w:cs="仿宋"/>
          <w:color w:val="000000"/>
          <w:sz w:val="24"/>
          <w:szCs w:val="24"/>
          <w:highlight w:val="none"/>
        </w:rPr>
        <w:t>（三）法定代表人（负责人）授权委托书</w:t>
      </w:r>
      <w:bookmarkEnd w:id="174"/>
      <w:bookmarkEnd w:id="175"/>
      <w:bookmarkEnd w:id="176"/>
      <w:bookmarkEnd w:id="177"/>
      <w:bookmarkEnd w:id="178"/>
      <w:bookmarkEnd w:id="179"/>
      <w:bookmarkEnd w:id="180"/>
      <w:bookmarkEnd w:id="181"/>
      <w:bookmarkEnd w:id="182"/>
    </w:p>
    <w:p>
      <w:pPr>
        <w:pStyle w:val="156"/>
        <w:spacing w:before="240" w:after="240" w:line="360" w:lineRule="auto"/>
        <w:jc w:val="center"/>
        <w:rPr>
          <w:rFonts w:hint="eastAsia" w:ascii="仿宋" w:hAnsi="仿宋" w:eastAsia="仿宋" w:cs="Cambria Math"/>
          <w:b/>
          <w:color w:val="000000"/>
          <w:sz w:val="24"/>
          <w:szCs w:val="24"/>
          <w:highlight w:val="none"/>
        </w:rPr>
      </w:pPr>
      <w:r>
        <w:rPr>
          <w:rFonts w:hint="eastAsia" w:ascii="仿宋" w:hAnsi="仿宋" w:eastAsia="仿宋" w:cs="Cambria Math"/>
          <w:b/>
          <w:color w:val="000000"/>
          <w:sz w:val="24"/>
          <w:szCs w:val="24"/>
          <w:highlight w:val="none"/>
        </w:rPr>
        <w:t>法定代表人（负责人）授权委托书</w:t>
      </w:r>
    </w:p>
    <w:p>
      <w:pPr>
        <w:pStyle w:val="156"/>
        <w:topLinePunct/>
        <w:spacing w:line="360" w:lineRule="auto"/>
        <w:ind w:firstLine="480" w:firstLineChars="200"/>
        <w:rPr>
          <w:rFonts w:hint="eastAsia" w:ascii="仿宋" w:hAnsi="仿宋" w:eastAsia="仿宋" w:cs="Cambria Math"/>
          <w:color w:val="000000"/>
          <w:sz w:val="24"/>
          <w:szCs w:val="24"/>
          <w:highlight w:val="none"/>
        </w:rPr>
      </w:pPr>
      <w:r>
        <w:rPr>
          <w:rFonts w:hint="eastAsia" w:ascii="仿宋" w:hAnsi="仿宋" w:eastAsia="仿宋" w:cs="仿宋"/>
          <w:color w:val="000000"/>
          <w:sz w:val="24"/>
          <w:highlight w:val="none"/>
        </w:rPr>
        <w:t>本人</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系</w:t>
      </w:r>
      <w:r>
        <w:rPr>
          <w:rFonts w:hint="eastAsia" w:ascii="仿宋" w:hAnsi="仿宋" w:eastAsia="仿宋" w:cs="仿宋"/>
          <w:color w:val="000000"/>
          <w:sz w:val="24"/>
          <w:highlight w:val="none"/>
          <w:u w:val="single"/>
        </w:rPr>
        <w:t>（供应商名称）</w:t>
      </w:r>
      <w:r>
        <w:rPr>
          <w:rFonts w:hint="eastAsia" w:ascii="仿宋" w:hAnsi="仿宋" w:eastAsia="仿宋" w:cs="仿宋"/>
          <w:color w:val="000000"/>
          <w:sz w:val="24"/>
          <w:highlight w:val="none"/>
        </w:rPr>
        <w:t>的法定代表人</w:t>
      </w:r>
      <w:r>
        <w:rPr>
          <w:rFonts w:hint="eastAsia" w:ascii="仿宋" w:hAnsi="仿宋" w:eastAsia="仿宋" w:cs="仿宋"/>
          <w:color w:val="000000"/>
          <w:sz w:val="24"/>
          <w:szCs w:val="24"/>
          <w:highlight w:val="none"/>
        </w:rPr>
        <w:t>（负责人）</w:t>
      </w:r>
      <w:r>
        <w:rPr>
          <w:rFonts w:hint="eastAsia" w:ascii="仿宋" w:hAnsi="仿宋" w:eastAsia="仿宋" w:cs="仿宋"/>
          <w:color w:val="000000"/>
          <w:sz w:val="24"/>
          <w:highlight w:val="none"/>
        </w:rPr>
        <w:t>，现授权委托</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为我方代理人。</w:t>
      </w:r>
      <w:r>
        <w:rPr>
          <w:rFonts w:hint="eastAsia" w:ascii="仿宋" w:hAnsi="仿宋" w:eastAsia="仿宋" w:cs="Cambria Math"/>
          <w:color w:val="000000"/>
          <w:sz w:val="24"/>
          <w:szCs w:val="24"/>
          <w:highlight w:val="none"/>
        </w:rPr>
        <w:t>代理人根据授权，以我方名义签署、澄清、说明、补正、递交、撤回、修改</w:t>
      </w:r>
      <w:r>
        <w:rPr>
          <w:rFonts w:hint="eastAsia" w:ascii="仿宋" w:hAnsi="仿宋" w:eastAsia="仿宋" w:cs="Cambria Math"/>
          <w:color w:val="000000"/>
          <w:sz w:val="24"/>
          <w:szCs w:val="24"/>
          <w:highlight w:val="none"/>
          <w:u w:val="single"/>
        </w:rPr>
        <w:t>（项目名称）</w:t>
      </w:r>
      <w:r>
        <w:rPr>
          <w:rFonts w:hint="eastAsia" w:ascii="仿宋" w:hAnsi="仿宋" w:eastAsia="仿宋" w:cs="Cambria Math"/>
          <w:color w:val="000000"/>
          <w:sz w:val="24"/>
          <w:szCs w:val="24"/>
          <w:highlight w:val="none"/>
        </w:rPr>
        <w:t>磋商响应文件、签订合同和处理有关事宜，其法律后果由我方承担。</w:t>
      </w:r>
    </w:p>
    <w:p>
      <w:pPr>
        <w:widowControl/>
        <w:spacing w:line="360" w:lineRule="auto"/>
        <w:ind w:firstLine="480" w:firstLineChars="200"/>
        <w:jc w:val="left"/>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委托期限：</w:t>
      </w:r>
      <w:r>
        <w:rPr>
          <w:rFonts w:hint="eastAsia" w:ascii="仿宋" w:hAnsi="仿宋" w:eastAsia="仿宋" w:cs="Cambria Math"/>
          <w:color w:val="000000"/>
          <w:kern w:val="0"/>
          <w:sz w:val="24"/>
          <w:highlight w:val="none"/>
          <w:u w:val="single"/>
        </w:rPr>
        <w:t xml:space="preserve"> 自</w:t>
      </w:r>
      <w:r>
        <w:rPr>
          <w:rFonts w:hint="eastAsia" w:ascii="仿宋" w:hAnsi="仿宋" w:eastAsia="仿宋" w:cs="微软雅黑"/>
          <w:color w:val="000000"/>
          <w:kern w:val="0"/>
          <w:sz w:val="24"/>
          <w:highlight w:val="none"/>
          <w:u w:val="single"/>
        </w:rPr>
        <w:t>本委托书签字盖章生效</w:t>
      </w:r>
      <w:r>
        <w:rPr>
          <w:rFonts w:hint="eastAsia" w:ascii="仿宋" w:hAnsi="仿宋" w:eastAsia="仿宋" w:cs="Cambria Math"/>
          <w:color w:val="000000"/>
          <w:kern w:val="0"/>
          <w:sz w:val="24"/>
          <w:highlight w:val="none"/>
          <w:u w:val="single"/>
        </w:rPr>
        <w:t xml:space="preserve">之日起至磋商响应有效期到期之日为止 </w:t>
      </w:r>
      <w:r>
        <w:rPr>
          <w:rFonts w:hint="eastAsia" w:ascii="仿宋" w:hAnsi="仿宋" w:eastAsia="仿宋" w:cs="Cambria Math"/>
          <w:color w:val="000000"/>
          <w:kern w:val="0"/>
          <w:sz w:val="24"/>
          <w:highlight w:val="none"/>
        </w:rPr>
        <w:t>。</w:t>
      </w:r>
    </w:p>
    <w:p>
      <w:pPr>
        <w:pStyle w:val="156"/>
        <w:spacing w:line="360" w:lineRule="auto"/>
        <w:ind w:firstLine="480" w:firstLineChars="20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代理人无转委托权。</w:t>
      </w:r>
    </w:p>
    <w:p>
      <w:pPr>
        <w:pStyle w:val="156"/>
        <w:spacing w:line="360" w:lineRule="auto"/>
        <w:ind w:firstLine="482" w:firstLineChars="200"/>
        <w:rPr>
          <w:rFonts w:ascii="仿宋" w:hAnsi="仿宋" w:eastAsia="仿宋" w:cs="Cambria Math"/>
          <w:b/>
          <w:bCs/>
          <w:color w:val="000000"/>
          <w:sz w:val="24"/>
          <w:szCs w:val="24"/>
          <w:highlight w:val="none"/>
        </w:rPr>
      </w:pPr>
    </w:p>
    <w:p>
      <w:pPr>
        <w:pStyle w:val="156"/>
        <w:spacing w:line="360" w:lineRule="auto"/>
        <w:ind w:firstLine="482" w:firstLineChars="200"/>
        <w:rPr>
          <w:rFonts w:ascii="仿宋" w:hAnsi="仿宋" w:eastAsia="仿宋" w:cs="Cambria Math"/>
          <w:color w:val="000000"/>
          <w:sz w:val="24"/>
          <w:szCs w:val="24"/>
          <w:highlight w:val="none"/>
        </w:rPr>
      </w:pPr>
      <w:r>
        <w:rPr>
          <w:rFonts w:hint="eastAsia" w:ascii="仿宋" w:hAnsi="仿宋" w:eastAsia="仿宋" w:cs="Cambria Math"/>
          <w:b/>
          <w:bCs/>
          <w:color w:val="000000"/>
          <w:sz w:val="24"/>
          <w:szCs w:val="24"/>
          <w:highlight w:val="none"/>
        </w:rPr>
        <w:t>附：委托代理人身份证复印件（需同时提供正面及背面）</w:t>
      </w:r>
      <w:r>
        <w:rPr>
          <w:rFonts w:hint="eastAsia" w:ascii="仿宋" w:hAnsi="仿宋" w:eastAsia="仿宋" w:cs="Cambria Math"/>
          <w:color w:val="000000"/>
          <w:sz w:val="24"/>
          <w:szCs w:val="24"/>
          <w:highlight w:val="none"/>
        </w:rPr>
        <w:t>。</w:t>
      </w:r>
    </w:p>
    <w:p>
      <w:pPr>
        <w:pStyle w:val="156"/>
        <w:spacing w:line="440" w:lineRule="atLeast"/>
        <w:ind w:firstLine="480"/>
        <w:jc w:val="left"/>
        <w:rPr>
          <w:rFonts w:hint="eastAsia" w:ascii="仿宋" w:hAnsi="仿宋" w:eastAsia="仿宋" w:cs="仿宋"/>
          <w:color w:val="000000"/>
          <w:highlight w:val="none"/>
        </w:rPr>
      </w:pPr>
      <w:r>
        <w:rPr>
          <w:rFonts w:hint="eastAsia" w:ascii="仿宋" w:hAnsi="仿宋" w:eastAsia="仿宋" w:cs="仿宋"/>
          <w:color w:val="000000"/>
          <w:highlight w:val="none"/>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3360;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4384;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156"/>
        <w:spacing w:line="440" w:lineRule="atLeast"/>
        <w:ind w:firstLine="480"/>
        <w:jc w:val="left"/>
        <w:rPr>
          <w:rFonts w:hint="eastAsia" w:ascii="仿宋" w:hAnsi="仿宋" w:eastAsia="仿宋" w:cs="仿宋"/>
          <w:color w:val="000000"/>
          <w:highlight w:val="none"/>
        </w:rPr>
      </w:pPr>
    </w:p>
    <w:p>
      <w:pPr>
        <w:spacing w:line="360" w:lineRule="auto"/>
        <w:ind w:left="720"/>
        <w:rPr>
          <w:rFonts w:hint="eastAsia" w:ascii="仿宋" w:hAnsi="仿宋" w:eastAsia="仿宋" w:cs="仿宋"/>
          <w:b/>
          <w:color w:val="000000"/>
          <w:sz w:val="24"/>
          <w:highlight w:val="none"/>
        </w:rPr>
      </w:pPr>
    </w:p>
    <w:p>
      <w:pPr>
        <w:tabs>
          <w:tab w:val="left" w:pos="540"/>
        </w:tabs>
        <w:rPr>
          <w:rFonts w:ascii="仿宋" w:hAnsi="仿宋" w:eastAsia="仿宋" w:cs="仿宋"/>
          <w:color w:val="000000"/>
          <w:kern w:val="0"/>
          <w:szCs w:val="21"/>
          <w:highlight w:val="none"/>
        </w:rPr>
      </w:pPr>
      <w:r>
        <w:rPr>
          <w:rFonts w:hint="eastAsia" w:ascii="仿宋" w:hAnsi="仿宋" w:eastAsia="仿宋" w:cs="仿宋"/>
          <w:color w:val="000000"/>
          <w:kern w:val="0"/>
          <w:szCs w:val="21"/>
          <w:highlight w:val="none"/>
        </w:rPr>
        <w:tab/>
      </w:r>
    </w:p>
    <w:p>
      <w:pPr>
        <w:pStyle w:val="2"/>
        <w:rPr>
          <w:rFonts w:ascii="宋体" w:hAnsi="宋体"/>
          <w:kern w:val="0"/>
          <w:szCs w:val="21"/>
          <w:highlight w:val="none"/>
        </w:rPr>
      </w:pPr>
    </w:p>
    <w:p>
      <w:pPr>
        <w:pStyle w:val="2"/>
        <w:rPr>
          <w:rFonts w:ascii="宋体" w:hAnsi="宋体"/>
          <w:kern w:val="0"/>
          <w:szCs w:val="21"/>
          <w:highlight w:val="none"/>
        </w:rPr>
      </w:pPr>
    </w:p>
    <w:p>
      <w:pPr>
        <w:pStyle w:val="2"/>
        <w:rPr>
          <w:rFonts w:ascii="宋体" w:hAnsi="宋体"/>
          <w:kern w:val="0"/>
          <w:szCs w:val="21"/>
          <w:highlight w:val="none"/>
        </w:rPr>
      </w:pPr>
    </w:p>
    <w:p>
      <w:pPr>
        <w:spacing w:line="360" w:lineRule="auto"/>
        <w:ind w:right="420" w:firstLine="4200" w:firstLineChars="175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ind w:right="420" w:firstLine="3120" w:firstLineChars="130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法定代表人（负责人）：</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（签字或盖章）</w:t>
      </w:r>
    </w:p>
    <w:p>
      <w:pPr>
        <w:pStyle w:val="156"/>
        <w:wordWrap w:val="0"/>
        <w:spacing w:line="360" w:lineRule="auto"/>
        <w:ind w:right="105" w:firstLine="4200" w:firstLineChars="175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委托代理人：</w:t>
      </w:r>
      <w:r>
        <w:rPr>
          <w:rFonts w:hint="eastAsia" w:ascii="仿宋" w:hAnsi="仿宋" w:eastAsia="仿宋" w:cs="Cambria Math"/>
          <w:color w:val="000000"/>
          <w:sz w:val="24"/>
          <w:szCs w:val="24"/>
          <w:highlight w:val="none"/>
          <w:u w:val="single"/>
        </w:rPr>
        <w:t xml:space="preserve">               </w:t>
      </w:r>
      <w:r>
        <w:rPr>
          <w:rFonts w:hint="eastAsia" w:ascii="仿宋" w:hAnsi="仿宋" w:eastAsia="仿宋" w:cs="Cambria Math"/>
          <w:color w:val="000000"/>
          <w:sz w:val="24"/>
          <w:szCs w:val="24"/>
          <w:highlight w:val="none"/>
        </w:rPr>
        <w:t>（签字</w:t>
      </w:r>
      <w:r>
        <w:rPr>
          <w:rFonts w:hint="eastAsia" w:ascii="仿宋" w:hAnsi="仿宋" w:eastAsia="仿宋" w:cs="Cambria Math"/>
          <w:color w:val="000000"/>
          <w:sz w:val="24"/>
          <w:highlight w:val="none"/>
        </w:rPr>
        <w:t>或盖章</w:t>
      </w:r>
      <w:r>
        <w:rPr>
          <w:rFonts w:hint="eastAsia" w:ascii="仿宋" w:hAnsi="仿宋" w:eastAsia="仿宋" w:cs="Cambria Math"/>
          <w:color w:val="000000"/>
          <w:sz w:val="24"/>
          <w:szCs w:val="24"/>
          <w:highlight w:val="none"/>
        </w:rPr>
        <w:t xml:space="preserve">） </w:t>
      </w:r>
    </w:p>
    <w:p>
      <w:pPr>
        <w:wordWrap w:val="0"/>
        <w:spacing w:line="360" w:lineRule="auto"/>
        <w:ind w:firstLine="4200" w:firstLineChars="1750"/>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tabs>
          <w:tab w:val="left" w:pos="540"/>
        </w:tabs>
        <w:rPr>
          <w:rFonts w:hint="eastAsia" w:ascii="仿宋" w:hAnsi="仿宋" w:eastAsia="仿宋" w:cs="仿宋"/>
          <w:color w:val="000000"/>
          <w:kern w:val="0"/>
          <w:szCs w:val="21"/>
          <w:highlight w:val="none"/>
        </w:rPr>
        <w:sectPr>
          <w:pgSz w:w="11906" w:h="16838"/>
          <w:pgMar w:top="1417" w:right="1134" w:bottom="1134" w:left="1134" w:header="851" w:footer="992" w:gutter="0"/>
          <w:cols w:space="720" w:num="1"/>
          <w:titlePg/>
          <w:docGrid w:type="lines" w:linePitch="312" w:charSpace="0"/>
        </w:sectPr>
      </w:pPr>
    </w:p>
    <w:p>
      <w:pPr>
        <w:pStyle w:val="5"/>
        <w:numPr>
          <w:ilvl w:val="0"/>
          <w:numId w:val="0"/>
        </w:numPr>
        <w:spacing w:before="0" w:after="0" w:line="360" w:lineRule="auto"/>
        <w:rPr>
          <w:rFonts w:hint="eastAsia" w:ascii="仿宋" w:hAnsi="仿宋" w:eastAsia="仿宋" w:cs="仿宋"/>
          <w:color w:val="000000"/>
          <w:sz w:val="24"/>
          <w:szCs w:val="24"/>
          <w:highlight w:val="none"/>
        </w:rPr>
      </w:pPr>
      <w:bookmarkStart w:id="183" w:name="_Toc30551"/>
      <w:bookmarkStart w:id="184" w:name="_Toc517281841"/>
      <w:bookmarkStart w:id="185" w:name="_Toc287600132"/>
      <w:bookmarkStart w:id="186" w:name="_Toc16561"/>
      <w:bookmarkStart w:id="187" w:name="_Toc27026"/>
      <w:bookmarkStart w:id="188" w:name="_Toc11396"/>
      <w:bookmarkStart w:id="189" w:name="_Toc444891357"/>
      <w:bookmarkStart w:id="190" w:name="_Toc5406"/>
      <w:bookmarkStart w:id="191" w:name="_Toc34779170"/>
      <w:bookmarkStart w:id="192" w:name="_Toc35957216"/>
      <w:bookmarkStart w:id="193" w:name="_Toc34779120"/>
      <w:bookmarkStart w:id="194" w:name="_Toc34779216"/>
      <w:bookmarkStart w:id="195" w:name="_Toc34822258"/>
      <w:bookmarkStart w:id="196" w:name="_Toc287600135"/>
      <w:r>
        <w:rPr>
          <w:rFonts w:hint="eastAsia" w:ascii="仿宋" w:hAnsi="仿宋" w:eastAsia="仿宋" w:cs="仿宋"/>
          <w:color w:val="000000"/>
          <w:sz w:val="24"/>
          <w:szCs w:val="24"/>
          <w:highlight w:val="none"/>
        </w:rPr>
        <w:t>（四）资格证明文件</w:t>
      </w:r>
      <w:bookmarkEnd w:id="183"/>
    </w:p>
    <w:p>
      <w:pPr>
        <w:pStyle w:val="6"/>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1、供应商基本情况信息表</w:t>
      </w:r>
    </w:p>
    <w:p>
      <w:pPr>
        <w:pStyle w:val="156"/>
        <w:spacing w:line="360" w:lineRule="auto"/>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供应商基本情况信息表</w:t>
      </w:r>
    </w:p>
    <w:tbl>
      <w:tblPr>
        <w:tblStyle w:val="4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注册地址</w:t>
            </w:r>
          </w:p>
        </w:tc>
        <w:tc>
          <w:tcPr>
            <w:tcW w:w="3588" w:type="dxa"/>
            <w:gridSpan w:val="5"/>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789" w:type="dxa"/>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公司办公场所面职</w:t>
            </w:r>
          </w:p>
        </w:tc>
        <w:tc>
          <w:tcPr>
            <w:tcW w:w="3588" w:type="dxa"/>
            <w:gridSpan w:val="5"/>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平米</w:t>
            </w:r>
          </w:p>
        </w:tc>
        <w:tc>
          <w:tcPr>
            <w:tcW w:w="1789"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办事处地址</w:t>
            </w:r>
          </w:p>
        </w:tc>
        <w:tc>
          <w:tcPr>
            <w:tcW w:w="2232"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联系方式</w:t>
            </w:r>
          </w:p>
        </w:tc>
        <w:tc>
          <w:tcPr>
            <w:tcW w:w="1141"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联系人</w:t>
            </w:r>
          </w:p>
        </w:tc>
        <w:tc>
          <w:tcPr>
            <w:tcW w:w="2447"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789"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1141"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传真</w:t>
            </w:r>
          </w:p>
        </w:tc>
        <w:tc>
          <w:tcPr>
            <w:tcW w:w="2447"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789"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网址</w:t>
            </w:r>
          </w:p>
        </w:tc>
        <w:tc>
          <w:tcPr>
            <w:tcW w:w="2232"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组织结构</w:t>
            </w:r>
          </w:p>
        </w:tc>
        <w:tc>
          <w:tcPr>
            <w:tcW w:w="7609" w:type="dxa"/>
            <w:gridSpan w:val="9"/>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法定代表人</w:t>
            </w:r>
          </w:p>
        </w:tc>
        <w:tc>
          <w:tcPr>
            <w:tcW w:w="77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468"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985" w:type="dxa"/>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技术负责人</w:t>
            </w:r>
          </w:p>
        </w:tc>
        <w:tc>
          <w:tcPr>
            <w:tcW w:w="77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468"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98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成立时间</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5489" w:type="dxa"/>
            <w:gridSpan w:val="6"/>
            <w:tcBorders>
              <w:top w:val="nil"/>
              <w:left w:val="nil"/>
              <w:bottom w:val="single" w:color="000000" w:sz="4" w:space="0"/>
              <w:right w:val="single" w:color="000000" w:sz="4" w:space="0"/>
            </w:tcBorders>
            <w:noWrap w:val="0"/>
            <w:vAlign w:val="center"/>
          </w:tcPr>
          <w:p>
            <w:pPr>
              <w:pStyle w:val="156"/>
              <w:topLinePunct/>
              <w:ind w:firstLine="105"/>
              <w:jc w:val="center"/>
              <w:rPr>
                <w:rFonts w:hint="eastAsia" w:ascii="仿宋" w:hAnsi="仿宋" w:eastAsia="仿宋" w:cs="仿宋"/>
                <w:color w:val="000000"/>
                <w:highlight w:val="none"/>
              </w:rPr>
            </w:pPr>
            <w:r>
              <w:rPr>
                <w:rFonts w:hint="eastAsia" w:ascii="仿宋" w:hAnsi="仿宋" w:eastAsia="仿宋" w:cs="仿宋"/>
                <w:color w:val="000000"/>
                <w:highlight w:val="none"/>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企业资质等级</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restart"/>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营业执照号</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高级职称人员</w:t>
            </w:r>
          </w:p>
        </w:tc>
        <w:tc>
          <w:tcPr>
            <w:tcW w:w="2130"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注册资金</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中级职称人员</w:t>
            </w:r>
          </w:p>
        </w:tc>
        <w:tc>
          <w:tcPr>
            <w:tcW w:w="2130"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开户银行</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vMerge w:val="restart"/>
            <w:tcBorders>
              <w:top w:val="nil"/>
              <w:left w:val="nil"/>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初级职称人员</w:t>
            </w:r>
          </w:p>
        </w:tc>
        <w:tc>
          <w:tcPr>
            <w:tcW w:w="2130" w:type="dxa"/>
            <w:gridSpan w:val="2"/>
            <w:vMerge w:val="restart"/>
            <w:tcBorders>
              <w:top w:val="nil"/>
              <w:left w:val="nil"/>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账号</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vMerge w:val="continue"/>
            <w:tcBorders>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2130" w:type="dxa"/>
            <w:gridSpan w:val="2"/>
            <w:vMerge w:val="continue"/>
            <w:tcBorders>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ind w:firstLine="210"/>
              <w:jc w:val="center"/>
              <w:rPr>
                <w:rFonts w:hint="eastAsia" w:ascii="仿宋" w:hAnsi="仿宋" w:eastAsia="仿宋" w:cs="仿宋"/>
                <w:color w:val="000000"/>
                <w:highlight w:val="none"/>
              </w:rPr>
            </w:pPr>
            <w:r>
              <w:rPr>
                <w:rFonts w:hint="eastAsia" w:ascii="仿宋" w:hAnsi="仿宋" w:eastAsia="仿宋" w:cs="仿宋"/>
                <w:color w:val="000000"/>
                <w:highlight w:val="none"/>
              </w:rPr>
              <w:t>经营范围</w:t>
            </w:r>
          </w:p>
        </w:tc>
        <w:tc>
          <w:tcPr>
            <w:tcW w:w="7609" w:type="dxa"/>
            <w:gridSpan w:val="9"/>
            <w:tcBorders>
              <w:top w:val="nil"/>
              <w:left w:val="nil"/>
              <w:bottom w:val="single" w:color="000000" w:sz="4" w:space="0"/>
              <w:right w:val="single" w:color="000000" w:sz="4" w:space="0"/>
            </w:tcBorders>
            <w:noWrap w:val="0"/>
            <w:vAlign w:val="center"/>
          </w:tcPr>
          <w:p>
            <w:pPr>
              <w:pStyle w:val="156"/>
              <w:topLinePunct/>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备注</w:t>
            </w:r>
          </w:p>
        </w:tc>
        <w:tc>
          <w:tcPr>
            <w:tcW w:w="7609" w:type="dxa"/>
            <w:gridSpan w:val="9"/>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bl>
    <w:p>
      <w:pPr>
        <w:pStyle w:val="156"/>
        <w:jc w:val="left"/>
        <w:rPr>
          <w:rFonts w:hint="eastAsia" w:ascii="仿宋" w:hAnsi="仿宋" w:eastAsia="仿宋" w:cs="仿宋"/>
          <w:b/>
          <w:color w:val="000000"/>
          <w:sz w:val="24"/>
          <w:szCs w:val="24"/>
          <w:highlight w:val="none"/>
        </w:rPr>
      </w:pPr>
      <w:r>
        <w:rPr>
          <w:rFonts w:hint="eastAsia" w:ascii="仿宋" w:hAnsi="仿宋" w:eastAsia="仿宋" w:cs="宋体"/>
          <w:b/>
          <w:color w:val="000000"/>
          <w:sz w:val="24"/>
          <w:szCs w:val="24"/>
          <w:highlight w:val="none"/>
        </w:rPr>
        <w:t>注：</w:t>
      </w:r>
      <w:r>
        <w:rPr>
          <w:rFonts w:hint="eastAsia" w:ascii="仿宋" w:hAnsi="仿宋" w:eastAsia="仿宋" w:cs="宋体"/>
          <w:b/>
          <w:color w:val="000000"/>
          <w:sz w:val="24"/>
          <w:szCs w:val="24"/>
        </w:rPr>
        <w:t>提供由工商部门核发的最新营业执照（正副本皆可）。</w:t>
      </w:r>
    </w:p>
    <w:p>
      <w:pPr>
        <w:pStyle w:val="156"/>
        <w:jc w:val="left"/>
        <w:rPr>
          <w:rFonts w:hint="eastAsia" w:ascii="仿宋" w:hAnsi="仿宋" w:eastAsia="仿宋" w:cs="仿宋"/>
          <w:b/>
          <w:color w:val="000000"/>
          <w:highlight w:val="none"/>
        </w:rPr>
      </w:pPr>
    </w:p>
    <w:p>
      <w:pPr>
        <w:pStyle w:val="156"/>
        <w:jc w:val="left"/>
        <w:rPr>
          <w:rFonts w:hint="eastAsia" w:ascii="仿宋" w:hAnsi="仿宋" w:eastAsia="仿宋" w:cs="仿宋"/>
          <w:b/>
          <w:color w:val="000000"/>
          <w:highlight w:val="none"/>
          <w:lang w:eastAsia="zh-CN"/>
        </w:rPr>
      </w:pPr>
    </w:p>
    <w:p>
      <w:pPr>
        <w:pStyle w:val="156"/>
        <w:jc w:val="left"/>
        <w:rPr>
          <w:rFonts w:hint="eastAsia" w:ascii="仿宋" w:hAnsi="仿宋" w:eastAsia="仿宋" w:cs="仿宋"/>
          <w:b/>
          <w:color w:val="000000"/>
          <w:highlight w:val="none"/>
          <w:lang w:eastAsia="zh-CN"/>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供应商</w:t>
      </w:r>
      <w:r>
        <w:rPr>
          <w:rFonts w:hint="eastAsia" w:ascii="仿宋" w:hAnsi="仿宋" w:eastAsia="仿宋" w:cs="Cambria Math"/>
          <w:color w:val="000000"/>
          <w:sz w:val="24"/>
          <w:highlight w:val="none"/>
        </w:rPr>
        <w:t>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pStyle w:val="6"/>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cs="仿宋"/>
          <w:color w:val="000000"/>
          <w:highlight w:val="none"/>
        </w:rPr>
        <w:br w:type="page"/>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财务审计报告或银行资信证明</w:t>
      </w:r>
    </w:p>
    <w:p>
      <w:pPr>
        <w:spacing w:line="360" w:lineRule="auto"/>
        <w:ind w:firstLine="480" w:firstLineChars="200"/>
        <w:textAlignment w:val="baseline"/>
        <w:rPr>
          <w:rFonts w:ascii="仿宋" w:hAnsi="仿宋" w:eastAsia="仿宋" w:cs="仿宋"/>
          <w:color w:val="000000"/>
          <w:sz w:val="24"/>
          <w:highlight w:val="none"/>
        </w:rPr>
      </w:pPr>
      <w:r>
        <w:rPr>
          <w:rFonts w:hint="eastAsia" w:ascii="仿宋" w:hAnsi="仿宋" w:eastAsia="仿宋" w:cs="仿宋"/>
          <w:color w:val="000000"/>
          <w:sz w:val="24"/>
          <w:highlight w:val="none"/>
        </w:rPr>
        <w:t>提供</w:t>
      </w:r>
      <w:r>
        <w:rPr>
          <w:rFonts w:hint="eastAsia" w:ascii="仿宋" w:hAnsi="仿宋" w:eastAsia="仿宋" w:cs="仿宋"/>
          <w:color w:val="auto"/>
          <w:sz w:val="24"/>
          <w:highlight w:val="none"/>
          <w:lang w:val="en-US" w:eastAsia="zh-CN"/>
        </w:rPr>
        <w:t>2024</w:t>
      </w:r>
      <w:r>
        <w:rPr>
          <w:rFonts w:hint="eastAsia" w:ascii="仿宋" w:hAnsi="仿宋" w:eastAsia="仿宋" w:cs="仿宋"/>
          <w:color w:val="000000"/>
          <w:sz w:val="24"/>
          <w:highlight w:val="none"/>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sz w:val="24"/>
          <w:highlight w:val="none"/>
        </w:rPr>
        <w:t>响应文件递交截止日前</w:t>
      </w:r>
      <w:r>
        <w:rPr>
          <w:rFonts w:ascii="仿宋" w:hAnsi="仿宋" w:eastAsia="仿宋" w:cs="仿宋"/>
          <w:color w:val="000000"/>
          <w:sz w:val="24"/>
          <w:highlight w:val="none"/>
        </w:rPr>
        <w:t>6</w:t>
      </w:r>
      <w:r>
        <w:rPr>
          <w:rFonts w:hint="eastAsia" w:ascii="仿宋" w:hAnsi="仿宋" w:eastAsia="仿宋" w:cs="仿宋"/>
          <w:color w:val="000000"/>
          <w:sz w:val="24"/>
          <w:highlight w:val="none"/>
        </w:rPr>
        <w:t>个月内开具的银行资信证明。</w:t>
      </w:r>
      <w:r>
        <w:rPr>
          <w:rFonts w:ascii="仿宋" w:hAnsi="仿宋" w:eastAsia="仿宋" w:cs="仿宋"/>
          <w:color w:val="000000"/>
          <w:sz w:val="24"/>
          <w:highlight w:val="none"/>
        </w:rPr>
        <w:br w:type="page"/>
      </w:r>
    </w:p>
    <w:p>
      <w:pPr>
        <w:pStyle w:val="6"/>
        <w:numPr>
          <w:ilvl w:val="0"/>
          <w:numId w:val="0"/>
        </w:numPr>
        <w:spacing w:before="0" w:after="0" w:line="360" w:lineRule="auto"/>
        <w:rPr>
          <w:rFonts w:hint="eastAsia" w:ascii="仿宋" w:hAnsi="仿宋" w:eastAsia="仿宋" w:cs="仿宋"/>
          <w:b w:val="0"/>
          <w:bCs w:val="0"/>
          <w:color w:val="000000"/>
          <w:sz w:val="24"/>
          <w:szCs w:val="24"/>
          <w:highlight w:val="none"/>
        </w:rPr>
      </w:pP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同类项目实施经验</w:t>
      </w:r>
      <w:r>
        <w:rPr>
          <w:rFonts w:hint="eastAsia" w:ascii="仿宋" w:hAnsi="仿宋" w:eastAsia="仿宋" w:cs="仿宋"/>
          <w:b w:val="0"/>
          <w:bCs w:val="0"/>
          <w:color w:val="000000"/>
          <w:sz w:val="24"/>
          <w:szCs w:val="24"/>
          <w:highlight w:val="none"/>
        </w:rPr>
        <w:t xml:space="preserve"> </w:t>
      </w:r>
    </w:p>
    <w:tbl>
      <w:tblPr>
        <w:tblStyle w:val="4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序号</w:t>
            </w:r>
          </w:p>
        </w:tc>
        <w:tc>
          <w:tcPr>
            <w:tcW w:w="471"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合同名称</w:t>
            </w:r>
          </w:p>
        </w:tc>
        <w:tc>
          <w:tcPr>
            <w:tcW w:w="678"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合同签订时间</w:t>
            </w:r>
          </w:p>
        </w:tc>
        <w:tc>
          <w:tcPr>
            <w:tcW w:w="645"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采购内容</w:t>
            </w:r>
          </w:p>
        </w:tc>
        <w:tc>
          <w:tcPr>
            <w:tcW w:w="641"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合同金额（万元）</w:t>
            </w:r>
          </w:p>
        </w:tc>
        <w:tc>
          <w:tcPr>
            <w:tcW w:w="565"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合同甲方</w:t>
            </w:r>
          </w:p>
        </w:tc>
        <w:tc>
          <w:tcPr>
            <w:tcW w:w="821"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合同甲方联系人及电话</w:t>
            </w:r>
          </w:p>
        </w:tc>
        <w:tc>
          <w:tcPr>
            <w:tcW w:w="709"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bl>
    <w:p>
      <w:pPr>
        <w:spacing w:line="360" w:lineRule="auto"/>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备注：</w:t>
      </w:r>
    </w:p>
    <w:p>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2）按照磋商公告的资格要求提供有效的实施经验证明材料，作为资格后审的评审依据。</w:t>
      </w:r>
    </w:p>
    <w:p>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3）本业绩表及证明材料也作为详细评审中对供应商同类项目实施经验的评审及打分依据，供应商需根据详细评审标准的要求，提供符合要求的业绩证明材料。</w:t>
      </w:r>
    </w:p>
    <w:p>
      <w:pPr>
        <w:spacing w:line="360" w:lineRule="auto"/>
        <w:jc w:val="left"/>
        <w:rPr>
          <w:rFonts w:hint="eastAsia" w:ascii="仿宋" w:hAnsi="仿宋" w:eastAsia="仿宋" w:cs="仿宋"/>
          <w:color w:val="000000"/>
          <w:sz w:val="24"/>
          <w:highlight w:val="none"/>
        </w:rPr>
      </w:pPr>
    </w:p>
    <w:p>
      <w:pPr>
        <w:spacing w:line="360" w:lineRule="auto"/>
        <w:ind w:firstLine="480" w:firstLineChars="200"/>
        <w:jc w:val="left"/>
        <w:rPr>
          <w:rFonts w:hint="eastAsia" w:ascii="仿宋" w:hAnsi="仿宋" w:eastAsia="仿宋" w:cs="仿宋"/>
          <w:bCs/>
          <w:color w:val="000000"/>
          <w:sz w:val="24"/>
          <w:highlight w:val="none"/>
        </w:rPr>
      </w:pPr>
    </w:p>
    <w:p>
      <w:pPr>
        <w:pStyle w:val="107"/>
        <w:topLinePunct/>
        <w:adjustRightInd w:val="0"/>
        <w:snapToGrid w:val="0"/>
        <w:spacing w:line="360" w:lineRule="auto"/>
        <w:ind w:left="1575" w:firstLine="0" w:firstLineChars="0"/>
        <w:rPr>
          <w:rFonts w:hint="eastAsia" w:ascii="仿宋" w:hAnsi="仿宋" w:eastAsia="仿宋" w:cs="仿宋"/>
          <w:bCs/>
          <w:color w:val="000000"/>
          <w:sz w:val="24"/>
          <w:highlight w:val="none"/>
        </w:rPr>
      </w:pPr>
    </w:p>
    <w:p>
      <w:pPr>
        <w:pStyle w:val="107"/>
        <w:topLinePunct/>
        <w:adjustRightInd w:val="0"/>
        <w:snapToGrid w:val="0"/>
        <w:spacing w:line="360" w:lineRule="auto"/>
        <w:ind w:left="1575" w:firstLine="0" w:firstLineChars="0"/>
        <w:rPr>
          <w:rFonts w:hint="eastAsia" w:ascii="仿宋" w:hAnsi="仿宋" w:eastAsia="仿宋" w:cs="仿宋"/>
          <w:bCs/>
          <w:color w:val="000000"/>
          <w:sz w:val="24"/>
          <w:highlight w:val="none"/>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供应商</w:t>
      </w:r>
      <w:r>
        <w:rPr>
          <w:rFonts w:hint="eastAsia" w:ascii="仿宋" w:hAnsi="仿宋" w:eastAsia="仿宋" w:cs="Cambria Math"/>
          <w:color w:val="000000"/>
          <w:sz w:val="24"/>
          <w:highlight w:val="none"/>
        </w:rPr>
        <w:t>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pStyle w:val="6"/>
        <w:numPr>
          <w:ilvl w:val="0"/>
          <w:numId w:val="0"/>
        </w:numPr>
        <w:spacing w:before="0" w:after="0" w:line="360" w:lineRule="auto"/>
        <w:rPr>
          <w:rFonts w:hint="eastAsia" w:ascii="仿宋" w:hAnsi="仿宋" w:eastAsia="仿宋" w:cs="仿宋"/>
          <w:color w:val="000000"/>
          <w:sz w:val="24"/>
          <w:szCs w:val="24"/>
          <w:highlight w:val="none"/>
        </w:rPr>
      </w:pPr>
      <w:r>
        <w:rPr>
          <w:highlight w:val="none"/>
        </w:rPr>
        <w:br w:type="page"/>
      </w:r>
      <w:r>
        <w:rPr>
          <w:rFonts w:hint="eastAsia" w:ascii="仿宋" w:hAnsi="仿宋" w:eastAsia="仿宋" w:cs="仿宋"/>
          <w:sz w:val="24"/>
          <w:szCs w:val="24"/>
          <w:highlight w:val="none"/>
          <w:lang w:val="en-US" w:eastAsia="zh-CN"/>
        </w:rPr>
        <w:t>4、</w:t>
      </w:r>
      <w:r>
        <w:rPr>
          <w:rFonts w:hint="eastAsia" w:ascii="仿宋" w:hAnsi="仿宋" w:eastAsia="仿宋" w:cs="仿宋"/>
          <w:color w:val="000000"/>
          <w:sz w:val="24"/>
          <w:szCs w:val="24"/>
          <w:highlight w:val="none"/>
        </w:rPr>
        <w:t>税收和社保证明材料</w:t>
      </w:r>
    </w:p>
    <w:p>
      <w:pPr>
        <w:spacing w:line="360" w:lineRule="auto"/>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提供6个月任意一个月的企业税收和社会保障资金缴纳凭证。</w:t>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p>
    <w:p>
      <w:pPr>
        <w:pStyle w:val="6"/>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5、无违法违规记录查询截图</w:t>
      </w:r>
    </w:p>
    <w:p>
      <w:pPr>
        <w:spacing w:line="360" w:lineRule="auto"/>
        <w:textAlignment w:val="baseline"/>
        <w:rPr>
          <w:rFonts w:hint="eastAsia" w:ascii="仿宋" w:hAnsi="仿宋" w:eastAsia="仿宋" w:cs="Cambria Math"/>
          <w:sz w:val="24"/>
          <w:highlight w:val="none"/>
        </w:rPr>
      </w:pPr>
      <w:r>
        <w:rPr>
          <w:rFonts w:hint="eastAsia" w:ascii="仿宋" w:hAnsi="仿宋" w:eastAsia="仿宋" w:cs="Cambria Math"/>
          <w:sz w:val="24"/>
          <w:highlight w:val="none"/>
        </w:rPr>
        <w:t>信用中国查询网址：https://www.creditchina.gov.cn/xinxigongshi/</w:t>
      </w:r>
    </w:p>
    <w:p>
      <w:pPr>
        <w:spacing w:line="360" w:lineRule="auto"/>
        <w:textAlignment w:val="baseline"/>
        <w:rPr>
          <w:rFonts w:hint="eastAsia" w:ascii="仿宋" w:hAnsi="仿宋" w:eastAsia="仿宋" w:cs="Cambria Math"/>
          <w:sz w:val="24"/>
          <w:highlight w:val="none"/>
        </w:rPr>
      </w:pPr>
      <w:r>
        <w:rPr>
          <w:rFonts w:hint="eastAsia" w:ascii="仿宋" w:hAnsi="仿宋" w:eastAsia="仿宋" w:cs="Cambria Math"/>
          <w:sz w:val="24"/>
          <w:highlight w:val="none"/>
        </w:rPr>
        <w:t>政府采购严重违法失信行为记录名单查询网址：</w:t>
      </w:r>
    </w:p>
    <w:p>
      <w:pPr>
        <w:spacing w:line="360" w:lineRule="auto"/>
        <w:textAlignment w:val="baseline"/>
        <w:rPr>
          <w:rFonts w:hint="eastAsia" w:ascii="仿宋" w:hAnsi="仿宋" w:eastAsia="仿宋" w:cs="Cambria Math"/>
          <w:sz w:val="24"/>
          <w:highlight w:val="none"/>
        </w:rPr>
      </w:pPr>
      <w:r>
        <w:rPr>
          <w:rFonts w:hint="eastAsia" w:ascii="仿宋" w:hAnsi="仿宋" w:eastAsia="仿宋" w:cs="Cambria Math"/>
          <w:sz w:val="24"/>
          <w:highlight w:val="none"/>
        </w:rPr>
        <w:fldChar w:fldCharType="begin"/>
      </w:r>
      <w:r>
        <w:rPr>
          <w:rFonts w:hint="eastAsia" w:ascii="仿宋" w:hAnsi="仿宋" w:eastAsia="仿宋" w:cs="Cambria Math"/>
          <w:sz w:val="24"/>
          <w:highlight w:val="none"/>
        </w:rPr>
        <w:instrText xml:space="preserve"> HYPERLINK "https://www.creditchina.gov.cn/zhuanxiangchaxun/zhengfucaigouyanzhongweifashixinmingdan/" </w:instrText>
      </w:r>
      <w:r>
        <w:rPr>
          <w:rFonts w:hint="eastAsia" w:ascii="仿宋" w:hAnsi="仿宋" w:eastAsia="仿宋" w:cs="Cambria Math"/>
          <w:sz w:val="24"/>
          <w:highlight w:val="none"/>
        </w:rPr>
        <w:fldChar w:fldCharType="separate"/>
      </w:r>
      <w:r>
        <w:rPr>
          <w:rStyle w:val="49"/>
          <w:rFonts w:hint="eastAsia" w:ascii="仿宋" w:hAnsi="仿宋" w:eastAsia="仿宋" w:cs="Cambria Math"/>
          <w:sz w:val="24"/>
          <w:highlight w:val="none"/>
        </w:rPr>
        <w:t>https://www.creditchina.gov.cn/zhuanxiangchaxun/zhengfucaigouyanzhongweifashixinmingdan/</w:t>
      </w:r>
      <w:r>
        <w:rPr>
          <w:rFonts w:hint="eastAsia" w:ascii="仿宋" w:hAnsi="仿宋" w:eastAsia="仿宋" w:cs="Cambria Math"/>
          <w:sz w:val="24"/>
          <w:highlight w:val="none"/>
        </w:rPr>
        <w:fldChar w:fldCharType="end"/>
      </w:r>
    </w:p>
    <w:p>
      <w:pPr>
        <w:spacing w:line="360" w:lineRule="auto"/>
        <w:textAlignment w:val="baseline"/>
        <w:rPr>
          <w:color w:val="333333"/>
          <w:highlight w:val="none"/>
        </w:rPr>
      </w:pPr>
      <w:r>
        <w:rPr>
          <w:rFonts w:hint="eastAsia" w:ascii="仿宋" w:hAnsi="仿宋" w:eastAsia="仿宋" w:cs="Cambria Math"/>
          <w:sz w:val="24"/>
          <w:highlight w:val="none"/>
        </w:rPr>
        <w:t>（1）失信被执行人查询截图范例：</w:t>
      </w:r>
    </w:p>
    <w:p>
      <w:pPr>
        <w:ind w:firstLine="210" w:firstLineChars="100"/>
        <w:rPr>
          <w:highlight w:val="none"/>
        </w:rPr>
      </w:pPr>
      <w:r>
        <w:rPr>
          <w:highlight w:val="none"/>
        </w:rPr>
        <w:drawing>
          <wp:inline distT="0" distB="0" distL="114300" distR="114300">
            <wp:extent cx="5909310" cy="3769360"/>
            <wp:effectExtent l="0" t="0" r="8890" b="2540"/>
            <wp:docPr id="6"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ca28b419ce15d5afdeea5a744e8556"/>
                    <pic:cNvPicPr>
                      <a:picLocks noChangeAspect="1"/>
                    </pic:cNvPicPr>
                  </pic:nvPicPr>
                  <pic:blipFill>
                    <a:blip r:embed="rId14"/>
                    <a:srcRect b="11951"/>
                    <a:stretch>
                      <a:fillRect/>
                    </a:stretch>
                  </pic:blipFill>
                  <pic:spPr>
                    <a:xfrm>
                      <a:off x="0" y="0"/>
                      <a:ext cx="5909310" cy="3769360"/>
                    </a:xfrm>
                    <a:prstGeom prst="rect">
                      <a:avLst/>
                    </a:prstGeom>
                    <a:noFill/>
                    <a:ln>
                      <a:noFill/>
                    </a:ln>
                  </pic:spPr>
                </pic:pic>
              </a:graphicData>
            </a:graphic>
          </wp:inline>
        </w:drawing>
      </w:r>
    </w:p>
    <w:p>
      <w:pPr>
        <w:rPr>
          <w:rFonts w:hint="eastAsia" w:ascii="仿宋" w:hAnsi="仿宋" w:eastAsia="仿宋"/>
          <w:color w:val="000000"/>
          <w:szCs w:val="21"/>
          <w:highlight w:val="none"/>
        </w:rPr>
      </w:pPr>
      <w:r>
        <w:rPr>
          <w:rFonts w:hint="eastAsia" w:ascii="仿宋" w:hAnsi="仿宋" w:eastAsia="仿宋" w:cs="Cambria Math"/>
          <w:sz w:val="24"/>
          <w:highlight w:val="none"/>
        </w:rPr>
        <w:t>（2）</w:t>
      </w:r>
      <w:r>
        <w:rPr>
          <w:rFonts w:hint="eastAsia" w:ascii="仿宋" w:hAnsi="仿宋" w:eastAsia="仿宋" w:cs="微软雅黑"/>
          <w:color w:val="000000"/>
          <w:sz w:val="24"/>
          <w:highlight w:val="none"/>
        </w:rPr>
        <w:t>重大</w:t>
      </w:r>
      <w:r>
        <w:rPr>
          <w:rFonts w:hint="eastAsia" w:ascii="仿宋" w:hAnsi="仿宋" w:eastAsia="仿宋" w:cs="仿宋"/>
          <w:color w:val="000000"/>
          <w:sz w:val="24"/>
          <w:highlight w:val="none"/>
        </w:rPr>
        <w:t>税收违法失信主体</w:t>
      </w:r>
      <w:r>
        <w:rPr>
          <w:rFonts w:hint="eastAsia" w:ascii="仿宋" w:hAnsi="仿宋" w:eastAsia="仿宋" w:cs="微软雅黑"/>
          <w:color w:val="000000"/>
          <w:sz w:val="24"/>
          <w:highlight w:val="none"/>
        </w:rPr>
        <w:t>查询截图范例：</w:t>
      </w:r>
    </w:p>
    <w:p>
      <w:pPr>
        <w:rPr>
          <w:rFonts w:hint="eastAsia" w:ascii="仿宋" w:hAnsi="仿宋" w:eastAsia="仿宋" w:cs="Cambria Math"/>
          <w:sz w:val="24"/>
          <w:highlight w:val="none"/>
        </w:rPr>
      </w:pPr>
      <w:r>
        <w:rPr>
          <w:rFonts w:ascii="仿宋" w:hAnsi="仿宋" w:eastAsia="仿宋"/>
          <w:color w:val="000000"/>
          <w:szCs w:val="21"/>
          <w:highlight w:val="none"/>
        </w:rPr>
        <w:drawing>
          <wp:inline distT="0" distB="0" distL="114300" distR="114300">
            <wp:extent cx="6119495" cy="3312795"/>
            <wp:effectExtent l="0" t="0" r="1905" b="1905"/>
            <wp:docPr id="7"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微信图片_20220713154746"/>
                    <pic:cNvPicPr>
                      <a:picLocks noChangeAspect="1"/>
                    </pic:cNvPicPr>
                  </pic:nvPicPr>
                  <pic:blipFill>
                    <a:blip r:embed="rId15"/>
                    <a:stretch>
                      <a:fillRect/>
                    </a:stretch>
                  </pic:blipFill>
                  <pic:spPr>
                    <a:xfrm>
                      <a:off x="0" y="0"/>
                      <a:ext cx="6119495" cy="3312795"/>
                    </a:xfrm>
                    <a:prstGeom prst="rect">
                      <a:avLst/>
                    </a:prstGeom>
                    <a:noFill/>
                    <a:ln>
                      <a:noFill/>
                    </a:ln>
                  </pic:spPr>
                </pic:pic>
              </a:graphicData>
            </a:graphic>
          </wp:inline>
        </w:drawing>
      </w:r>
    </w:p>
    <w:p>
      <w:pPr>
        <w:ind w:firstLine="240" w:firstLineChars="100"/>
        <w:rPr>
          <w:rFonts w:ascii="仿宋" w:hAnsi="仿宋" w:eastAsia="仿宋" w:cs="Cambria Math"/>
          <w:sz w:val="24"/>
          <w:highlight w:val="none"/>
        </w:rPr>
      </w:pPr>
      <w:r>
        <w:rPr>
          <w:rFonts w:hint="eastAsia" w:ascii="仿宋" w:hAnsi="仿宋" w:eastAsia="仿宋" w:cs="Cambria Math"/>
          <w:sz w:val="24"/>
          <w:highlight w:val="none"/>
        </w:rPr>
        <w:t>（3）政府采购严重违法失信行为记录名单查询截图范例：</w:t>
      </w:r>
    </w:p>
    <w:p>
      <w:pPr>
        <w:ind w:firstLine="210" w:firstLineChars="100"/>
        <w:rPr>
          <w:highlight w:val="none"/>
        </w:rPr>
      </w:pPr>
      <w:r>
        <w:rPr>
          <w:highlight w:val="none"/>
        </w:rPr>
        <w:drawing>
          <wp:inline distT="0" distB="0" distL="114300" distR="114300">
            <wp:extent cx="5976620" cy="3242310"/>
            <wp:effectExtent l="0" t="0" r="5080" b="889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6"/>
                    <a:stretch>
                      <a:fillRect/>
                    </a:stretch>
                  </pic:blipFill>
                  <pic:spPr>
                    <a:xfrm>
                      <a:off x="0" y="0"/>
                      <a:ext cx="5976620" cy="3242310"/>
                    </a:xfrm>
                    <a:prstGeom prst="rect">
                      <a:avLst/>
                    </a:prstGeom>
                    <a:noFill/>
                    <a:ln>
                      <a:noFill/>
                    </a:ln>
                  </pic:spPr>
                </pic:pic>
              </a:graphicData>
            </a:graphic>
          </wp:inline>
        </w:drawing>
      </w:r>
    </w:p>
    <w:p>
      <w:pPr>
        <w:pStyle w:val="6"/>
        <w:spacing w:before="0" w:after="0" w:line="360" w:lineRule="auto"/>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br w:type="page"/>
      </w:r>
      <w:r>
        <w:rPr>
          <w:rFonts w:ascii="仿宋" w:hAnsi="仿宋" w:eastAsia="仿宋" w:cs="仿宋"/>
          <w:color w:val="000000"/>
          <w:sz w:val="24"/>
          <w:szCs w:val="24"/>
          <w:highlight w:val="none"/>
        </w:rPr>
        <w:t>6</w:t>
      </w:r>
      <w:r>
        <w:rPr>
          <w:rFonts w:hint="eastAsia" w:ascii="仿宋" w:hAnsi="仿宋" w:eastAsia="仿宋" w:cs="仿宋"/>
          <w:color w:val="000000"/>
          <w:sz w:val="24"/>
          <w:szCs w:val="24"/>
          <w:highlight w:val="none"/>
        </w:rPr>
        <w:t>、未列入供应商黑名单且未在禁入期承诺函</w:t>
      </w:r>
    </w:p>
    <w:p>
      <w:pPr>
        <w:pStyle w:val="2"/>
        <w:spacing w:before="24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u w:val="single"/>
          <w:lang w:val="en-US" w:eastAsia="zh-CN"/>
        </w:rPr>
        <w:t>采购人名称</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rPr>
        <w:t>：</w:t>
      </w:r>
    </w:p>
    <w:p>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承诺截至本项目响应文件递交截止时间，我方未被列入</w:t>
      </w:r>
      <w:r>
        <w:rPr>
          <w:rFonts w:hint="eastAsia" w:ascii="仿宋" w:hAnsi="仿宋" w:eastAsia="仿宋" w:cs="Cambria Math"/>
          <w:color w:val="000000"/>
          <w:sz w:val="24"/>
          <w:highlight w:val="none"/>
          <w:lang w:val="en-US" w:eastAsia="zh-CN"/>
        </w:rPr>
        <w:t>采购</w:t>
      </w:r>
      <w:r>
        <w:rPr>
          <w:rFonts w:hint="eastAsia" w:ascii="仿宋" w:hAnsi="仿宋" w:eastAsia="仿宋" w:cs="Cambria Math"/>
          <w:color w:val="000000"/>
          <w:sz w:val="24"/>
          <w:highlight w:val="none"/>
        </w:rPr>
        <w:t>人及其所隶属的中国人民保险各级机构的供应商黑名单且未在禁入期内。</w:t>
      </w:r>
    </w:p>
    <w:p>
      <w:pPr>
        <w:pStyle w:val="2"/>
        <w:ind w:firstLine="480" w:firstLineChars="200"/>
        <w:jc w:val="both"/>
        <w:rPr>
          <w:rFonts w:ascii="仿宋" w:hAnsi="仿宋" w:eastAsia="仿宋" w:cs="Cambria Math"/>
          <w:color w:val="000000"/>
          <w:sz w:val="24"/>
          <w:highlight w:val="none"/>
        </w:rPr>
      </w:pPr>
    </w:p>
    <w:p>
      <w:pPr>
        <w:pStyle w:val="2"/>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特此承诺。</w:t>
      </w:r>
    </w:p>
    <w:p>
      <w:pPr>
        <w:pStyle w:val="126"/>
        <w:ind w:firstLine="640"/>
        <w:rPr>
          <w:rFonts w:ascii="仿宋" w:hAnsi="仿宋" w:eastAsia="仿宋"/>
          <w:highlight w:val="none"/>
        </w:rPr>
      </w:pPr>
    </w:p>
    <w:p>
      <w:pPr>
        <w:pStyle w:val="126"/>
        <w:ind w:firstLine="640"/>
        <w:rPr>
          <w:rFonts w:ascii="仿宋" w:hAnsi="仿宋" w:eastAsia="仿宋"/>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pStyle w:val="149"/>
        <w:spacing w:line="360" w:lineRule="auto"/>
        <w:rPr>
          <w:rFonts w:hint="eastAsia" w:ascii="仿宋" w:hAnsi="仿宋" w:eastAsia="仿宋" w:cs="仿宋"/>
          <w:color w:val="000000"/>
          <w:highlight w:val="none"/>
        </w:rPr>
      </w:pPr>
      <w:r>
        <w:rPr>
          <w:rFonts w:hint="eastAsia" w:ascii="仿宋" w:hAnsi="仿宋" w:eastAsia="仿宋" w:cs="仿宋"/>
          <w:color w:val="000000"/>
          <w:szCs w:val="24"/>
          <w:highlight w:val="none"/>
        </w:rPr>
        <w:br w:type="page"/>
      </w:r>
    </w:p>
    <w:p>
      <w:pPr>
        <w:pStyle w:val="6"/>
        <w:spacing w:before="0" w:after="0" w:line="360" w:lineRule="auto"/>
        <w:rPr>
          <w:rFonts w:hint="eastAsia" w:ascii="仿宋" w:hAnsi="仿宋" w:eastAsia="仿宋" w:cs="仿宋"/>
          <w:color w:val="000000"/>
          <w:sz w:val="24"/>
          <w:szCs w:val="24"/>
          <w:highlight w:val="none"/>
        </w:rPr>
      </w:pPr>
      <w:bookmarkStart w:id="197" w:name="_Hlk69983040"/>
      <w:r>
        <w:rPr>
          <w:rFonts w:ascii="仿宋" w:hAnsi="仿宋" w:eastAsia="仿宋" w:cs="仿宋"/>
          <w:color w:val="000000"/>
          <w:sz w:val="24"/>
          <w:szCs w:val="24"/>
          <w:highlight w:val="none"/>
        </w:rPr>
        <w:t>7</w:t>
      </w:r>
      <w:r>
        <w:rPr>
          <w:rFonts w:hint="eastAsia" w:ascii="仿宋" w:hAnsi="仿宋" w:eastAsia="仿宋" w:cs="仿宋"/>
          <w:color w:val="000000"/>
          <w:sz w:val="24"/>
          <w:szCs w:val="24"/>
          <w:highlight w:val="none"/>
        </w:rPr>
        <w:t>、供应商控股及管理关系情况申报表</w:t>
      </w:r>
    </w:p>
    <w:p>
      <w:pPr>
        <w:pStyle w:val="107"/>
        <w:spacing w:before="240" w:after="240" w:line="360" w:lineRule="auto"/>
        <w:ind w:firstLine="0" w:firstLineChars="0"/>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供应商控股及管理关系情况申报表</w:t>
      </w:r>
    </w:p>
    <w:p>
      <w:pPr>
        <w:adjustRightInd w:val="0"/>
        <w:snapToGrid w:val="0"/>
        <w:spacing w:line="360" w:lineRule="auto"/>
        <w:ind w:left="0" w:leftChars="-295" w:hanging="619" w:hangingChars="258"/>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致：</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u w:val="single"/>
          <w:lang w:val="en-US" w:eastAsia="zh-CN"/>
        </w:rPr>
        <w:t>采购</w:t>
      </w:r>
      <w:r>
        <w:rPr>
          <w:rFonts w:hint="eastAsia" w:ascii="仿宋" w:hAnsi="仿宋" w:eastAsia="仿宋" w:cs="宋体"/>
          <w:color w:val="000000"/>
          <w:sz w:val="24"/>
          <w:szCs w:val="24"/>
          <w:highlight w:val="none"/>
          <w:u w:val="single"/>
        </w:rPr>
        <w:t xml:space="preserve">人名称）  </w:t>
      </w:r>
      <w:r>
        <w:rPr>
          <w:rFonts w:hint="eastAsia" w:ascii="仿宋" w:hAnsi="仿宋" w:eastAsia="仿宋" w:cs="宋体"/>
          <w:color w:val="000000"/>
          <w:sz w:val="24"/>
          <w:szCs w:val="24"/>
          <w:highlight w:val="none"/>
        </w:rPr>
        <w:t>：</w:t>
      </w:r>
    </w:p>
    <w:p>
      <w:pPr>
        <w:adjustRightInd w:val="0"/>
        <w:snapToGrid w:val="0"/>
        <w:spacing w:line="360" w:lineRule="auto"/>
        <w:ind w:left="-617" w:leftChars="-294" w:right="-512" w:rightChars="-244" w:firstLine="616" w:firstLineChars="257"/>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我方参加</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（项目名称）的</w:t>
      </w:r>
      <w:r>
        <w:rPr>
          <w:rFonts w:hint="eastAsia" w:ascii="仿宋" w:hAnsi="仿宋" w:eastAsia="仿宋" w:cs="宋体"/>
          <w:color w:val="000000"/>
          <w:sz w:val="24"/>
          <w:szCs w:val="24"/>
          <w:highlight w:val="none"/>
          <w:lang w:val="en-US" w:eastAsia="zh-CN"/>
        </w:rPr>
        <w:t>磋商</w:t>
      </w:r>
      <w:r>
        <w:rPr>
          <w:rFonts w:hint="eastAsia" w:ascii="仿宋" w:hAnsi="仿宋" w:eastAsia="仿宋" w:cs="宋体"/>
          <w:color w:val="000000"/>
          <w:sz w:val="24"/>
          <w:szCs w:val="24"/>
          <w:highlight w:val="none"/>
        </w:rPr>
        <w:t>，根据法律法规维护投标公正性的相关规定，</w:t>
      </w:r>
      <w:r>
        <w:rPr>
          <w:rFonts w:hint="eastAsia" w:ascii="仿宋" w:hAnsi="仿宋" w:eastAsia="仿宋" w:cs="宋体"/>
          <w:color w:val="000000"/>
          <w:sz w:val="24"/>
          <w:szCs w:val="24"/>
          <w:highlight w:val="none"/>
          <w:lang w:val="en-US" w:eastAsia="zh-CN"/>
        </w:rPr>
        <w:t>我方与采购人之间</w:t>
      </w:r>
      <w:r>
        <w:rPr>
          <w:rFonts w:hint="eastAsia" w:ascii="仿宋" w:hAnsi="仿宋" w:eastAsia="仿宋" w:cs="宋体"/>
          <w:color w:val="auto"/>
          <w:sz w:val="24"/>
          <w:szCs w:val="24"/>
          <w:highlight w:val="none"/>
          <w:lang w:val="en-US" w:eastAsia="zh-CN"/>
        </w:rPr>
        <w:t>不存在利害关系可</w:t>
      </w:r>
      <w:r>
        <w:rPr>
          <w:rFonts w:hint="eastAsia" w:ascii="仿宋" w:hAnsi="仿宋" w:eastAsia="仿宋" w:cs="宋体"/>
          <w:color w:val="000000"/>
          <w:sz w:val="24"/>
          <w:szCs w:val="24"/>
          <w:highlight w:val="none"/>
          <w:lang w:val="en-US" w:eastAsia="zh-CN"/>
        </w:rPr>
        <w:t>能影响采购公正性的法人、其他组织或者个人，</w:t>
      </w:r>
      <w:r>
        <w:rPr>
          <w:rFonts w:hint="eastAsia" w:ascii="仿宋" w:hAnsi="仿宋" w:eastAsia="仿宋" w:cs="宋体"/>
          <w:color w:val="000000"/>
          <w:sz w:val="24"/>
          <w:szCs w:val="24"/>
          <w:highlight w:val="none"/>
        </w:rPr>
        <w:t>特就本单位控股及管理关系情况申报如下</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rPr>
        <w:t>并承担申报不实的责任</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lang w:val="en-US" w:eastAsia="zh-CN"/>
        </w:rPr>
        <w:t>如我方中选该项目并签署合同后，一旦发现我方申报不实，采购人可无条件终止合同</w:t>
      </w:r>
      <w:r>
        <w:rPr>
          <w:rFonts w:hint="eastAsia" w:ascii="仿宋" w:hAnsi="仿宋" w:eastAsia="仿宋" w:cs="宋体"/>
          <w:color w:val="000000"/>
          <w:sz w:val="24"/>
          <w:szCs w:val="24"/>
          <w:highlight w:val="none"/>
        </w:rPr>
        <w:t>。</w:t>
      </w:r>
    </w:p>
    <w:tbl>
      <w:tblPr>
        <w:tblStyle w:val="40"/>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申报人名称</w:t>
            </w:r>
          </w:p>
        </w:tc>
        <w:tc>
          <w:tcPr>
            <w:tcW w:w="7926" w:type="dxa"/>
            <w:gridSpan w:val="2"/>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法定代表人/单位负责人</w:t>
            </w: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姓    名</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000000"/>
                <w:highlight w:val="none"/>
              </w:rPr>
            </w:pP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身份证号</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pPr>
              <w:adjustRightInd w:val="0"/>
              <w:snapToGrid w:val="0"/>
              <w:spacing w:line="440" w:lineRule="exact"/>
              <w:rPr>
                <w:rFonts w:hint="default" w:ascii="仿宋" w:hAnsi="仿宋" w:eastAsia="仿宋" w:cs="宋体"/>
                <w:color w:val="000000"/>
                <w:highlight w:val="none"/>
                <w:lang w:val="en-US" w:eastAsia="zh-CN"/>
              </w:rPr>
            </w:pPr>
            <w:r>
              <w:rPr>
                <w:rFonts w:hint="eastAsia" w:ascii="仿宋" w:hAnsi="仿宋" w:eastAsia="仿宋" w:cs="宋体"/>
                <w:color w:val="000000"/>
                <w:highlight w:val="none"/>
                <w:lang w:val="en-US" w:eastAsia="zh-CN"/>
              </w:rPr>
              <w:t>单位负责人为同一人单位名称</w:t>
            </w:r>
          </w:p>
        </w:tc>
        <w:tc>
          <w:tcPr>
            <w:tcW w:w="7926" w:type="dxa"/>
            <w:gridSpan w:val="2"/>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000000"/>
                <w:highlight w:val="none"/>
                <w:lang w:eastAsia="zh-CN"/>
              </w:rPr>
            </w:pP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关系</w:t>
            </w: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控股股东/投资人名称及出资比例</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000000"/>
                <w:highlight w:val="none"/>
              </w:rPr>
            </w:pP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投资</w:t>
            </w:r>
            <w:r>
              <w:rPr>
                <w:rFonts w:hint="eastAsia" w:ascii="仿宋" w:hAnsi="仿宋" w:eastAsia="仿宋" w:cs="宋体"/>
                <w:color w:val="000000"/>
                <w:highlight w:val="none"/>
                <w:lang w:val="en-US" w:eastAsia="zh-CN"/>
              </w:rPr>
              <w:t>单位</w:t>
            </w:r>
            <w:r>
              <w:rPr>
                <w:rFonts w:hint="eastAsia" w:ascii="仿宋" w:hAnsi="仿宋" w:eastAsia="仿宋" w:cs="宋体"/>
                <w:color w:val="000000"/>
                <w:highlight w:val="none"/>
              </w:rPr>
              <w:t>名称及出资比例</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管理关系</w:t>
            </w:r>
          </w:p>
        </w:tc>
        <w:tc>
          <w:tcPr>
            <w:tcW w:w="2356" w:type="dxa"/>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管理关系单位名称</w:t>
            </w:r>
          </w:p>
        </w:tc>
        <w:tc>
          <w:tcPr>
            <w:tcW w:w="5570" w:type="dxa"/>
            <w:noWrap w:val="0"/>
            <w:vAlign w:val="center"/>
          </w:tcPr>
          <w:p>
            <w:pPr>
              <w:adjustRightInd w:val="0"/>
              <w:snapToGrid w:val="0"/>
              <w:spacing w:line="440" w:lineRule="exact"/>
              <w:rPr>
                <w:rFonts w:hint="eastAsia"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9"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000000"/>
              </w:rPr>
            </w:pPr>
          </w:p>
        </w:tc>
        <w:tc>
          <w:tcPr>
            <w:tcW w:w="2356" w:type="dxa"/>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被管理关系单位名称</w:t>
            </w:r>
          </w:p>
        </w:tc>
        <w:tc>
          <w:tcPr>
            <w:tcW w:w="5570" w:type="dxa"/>
            <w:noWrap w:val="0"/>
            <w:vAlign w:val="center"/>
          </w:tcPr>
          <w:p>
            <w:pPr>
              <w:adjustRightInd w:val="0"/>
              <w:snapToGrid w:val="0"/>
              <w:spacing w:line="440" w:lineRule="exact"/>
              <w:rPr>
                <w:rFonts w:hint="eastAsia"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ind w:left="0" w:leftChars="0" w:firstLine="0" w:firstLineChars="0"/>
        <w:rPr>
          <w:rFonts w:hint="eastAsia" w:ascii="仿宋" w:hAnsi="仿宋" w:eastAsia="仿宋" w:cs="宋体"/>
          <w:color w:val="000000"/>
          <w:sz w:val="24"/>
          <w:szCs w:val="24"/>
        </w:rPr>
      </w:pPr>
      <w:r>
        <w:rPr>
          <w:rFonts w:hint="eastAsia" w:ascii="仿宋" w:hAnsi="仿宋" w:eastAsia="仿宋" w:cs="宋体"/>
          <w:color w:val="000000"/>
          <w:sz w:val="24"/>
          <w:szCs w:val="24"/>
        </w:rPr>
        <w:t>注：</w:t>
      </w:r>
    </w:p>
    <w:p>
      <w:pPr>
        <w:adjustRightInd w:val="0"/>
        <w:snapToGrid w:val="0"/>
        <w:spacing w:line="360" w:lineRule="auto"/>
        <w:ind w:left="0" w:leftChars="0" w:firstLine="0" w:firstLineChars="0"/>
        <w:rPr>
          <w:rFonts w:hint="eastAsia" w:ascii="仿宋" w:hAnsi="仿宋" w:eastAsia="仿宋" w:cs="宋体"/>
          <w:color w:val="000000"/>
          <w:sz w:val="24"/>
        </w:rPr>
      </w:pPr>
      <w:r>
        <w:rPr>
          <w:rFonts w:hint="eastAsia" w:ascii="仿宋" w:hAnsi="仿宋" w:eastAsia="仿宋" w:cs="宋体"/>
          <w:color w:val="000000"/>
          <w:sz w:val="24"/>
          <w:szCs w:val="24"/>
          <w:lang w:val="en-US" w:eastAsia="zh-CN"/>
        </w:rPr>
        <w:t>1.</w:t>
      </w:r>
      <w:r>
        <w:rPr>
          <w:rFonts w:hint="eastAsia" w:ascii="仿宋" w:hAnsi="仿宋" w:eastAsia="仿宋" w:cs="宋体"/>
          <w:color w:val="000000"/>
          <w:sz w:val="24"/>
        </w:rPr>
        <w:t>控股股东/投资人是指出资比例在50%以上，或者出资比例不足50%，但享有公司股东会/董事会控制权的投资方（含单位或者个人）</w:t>
      </w:r>
    </w:p>
    <w:p>
      <w:pPr>
        <w:numPr>
          <w:ilvl w:val="0"/>
          <w:numId w:val="0"/>
        </w:numPr>
        <w:adjustRightInd w:val="0"/>
        <w:snapToGrid w:val="0"/>
        <w:spacing w:line="360" w:lineRule="auto"/>
        <w:ind w:leftChars="5"/>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pPr>
        <w:numPr>
          <w:ilvl w:val="0"/>
          <w:numId w:val="0"/>
        </w:numPr>
        <w:adjustRightInd w:val="0"/>
        <w:snapToGrid w:val="0"/>
        <w:spacing w:line="360" w:lineRule="auto"/>
        <w:rPr>
          <w:rFonts w:hint="eastAsia" w:ascii="仿宋" w:hAnsi="仿宋" w:eastAsia="仿宋" w:cs="宋体"/>
          <w:color w:val="000000"/>
          <w:sz w:val="24"/>
        </w:rPr>
      </w:pPr>
      <w:r>
        <w:rPr>
          <w:rFonts w:hint="eastAsia" w:ascii="仿宋" w:hAnsi="仿宋" w:eastAsia="仿宋" w:cs="宋体"/>
          <w:color w:val="000000"/>
          <w:sz w:val="24"/>
        </w:rPr>
        <w:t>3.如未有相关情况，请在相应栏填写“无”。</w:t>
      </w:r>
    </w:p>
    <w:p>
      <w:pPr>
        <w:pStyle w:val="161"/>
        <w:numPr>
          <w:ilvl w:val="0"/>
          <w:numId w:val="0"/>
        </w:numPr>
        <w:adjustRightInd w:val="0"/>
        <w:snapToGrid w:val="0"/>
        <w:spacing w:line="360" w:lineRule="auto"/>
        <w:ind w:leftChars="0"/>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pPr>
        <w:pStyle w:val="161"/>
        <w:numPr>
          <w:ilvl w:val="0"/>
          <w:numId w:val="0"/>
        </w:numPr>
        <w:adjustRightInd w:val="0"/>
        <w:snapToGrid w:val="0"/>
        <w:spacing w:line="360" w:lineRule="auto"/>
        <w:ind w:leftChars="0"/>
        <w:rPr>
          <w:rFonts w:hint="eastAsia" w:ascii="仿宋" w:hAnsi="仿宋" w:eastAsia="仿宋" w:cs="宋体"/>
          <w:color w:val="000000"/>
          <w:sz w:val="24"/>
        </w:rPr>
      </w:pPr>
      <w:r>
        <w:rPr>
          <w:rFonts w:hint="eastAsia" w:ascii="仿宋" w:hAnsi="仿宋" w:eastAsia="仿宋" w:cs="宋体"/>
          <w:color w:val="000000"/>
          <w:sz w:val="24"/>
          <w:lang w:val="en-US" w:eastAsia="zh-CN"/>
        </w:rPr>
        <w:t>3.</w:t>
      </w:r>
      <w:r>
        <w:rPr>
          <w:rFonts w:hint="eastAsia" w:ascii="仿宋" w:hAnsi="仿宋" w:eastAsia="仿宋" w:cs="宋体"/>
          <w:color w:val="000000"/>
          <w:sz w:val="24"/>
        </w:rPr>
        <w:t>如未有相关情况，请在相应栏填写“无”。</w:t>
      </w:r>
    </w:p>
    <w:p>
      <w:pPr>
        <w:spacing w:line="360" w:lineRule="auto"/>
        <w:ind w:left="480" w:hanging="480" w:hangingChars="200"/>
        <w:rPr>
          <w:rFonts w:hint="eastAsia" w:ascii="仿宋" w:hAnsi="仿宋" w:eastAsia="仿宋" w:cs="宋体"/>
          <w:color w:val="000000"/>
          <w:sz w:val="24"/>
          <w:szCs w:val="24"/>
        </w:rPr>
      </w:pPr>
    </w:p>
    <w:p>
      <w:pPr>
        <w:spacing w:line="360" w:lineRule="auto"/>
        <w:ind w:firstLine="4080" w:firstLineChars="1700"/>
        <w:jc w:val="right"/>
        <w:rPr>
          <w:rFonts w:hint="eastAsia" w:ascii="仿宋" w:hAnsi="仿宋" w:eastAsia="仿宋" w:cs="宋体"/>
          <w:color w:val="000000"/>
          <w:sz w:val="24"/>
          <w:szCs w:val="24"/>
        </w:rPr>
      </w:pPr>
      <w:r>
        <w:rPr>
          <w:rFonts w:hint="eastAsia" w:ascii="仿宋" w:hAnsi="仿宋" w:eastAsia="仿宋" w:cs="宋体"/>
          <w:color w:val="000000"/>
          <w:sz w:val="24"/>
          <w:szCs w:val="24"/>
          <w:lang w:val="en-US" w:eastAsia="zh-CN"/>
        </w:rPr>
        <w:t>供应商</w:t>
      </w:r>
      <w:r>
        <w:rPr>
          <w:rFonts w:hint="eastAsia" w:ascii="仿宋" w:hAnsi="仿宋" w:eastAsia="仿宋" w:cs="宋体"/>
          <w:color w:val="000000"/>
          <w:sz w:val="24"/>
          <w:szCs w:val="24"/>
        </w:rPr>
        <w:t>名称：</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宋体"/>
          <w:color w:val="000000"/>
          <w:sz w:val="24"/>
          <w:szCs w:val="24"/>
        </w:rPr>
        <w:t>日期：</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年</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月</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日</w:t>
      </w:r>
    </w:p>
    <w:p>
      <w:pPr>
        <w:pStyle w:val="6"/>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r>
        <w:rPr>
          <w:rFonts w:hint="eastAsia" w:ascii="仿宋" w:hAnsi="仿宋" w:eastAsia="仿宋" w:cs="仿宋"/>
          <w:color w:val="000000"/>
          <w:sz w:val="24"/>
          <w:szCs w:val="24"/>
          <w:highlight w:val="none"/>
          <w:lang w:val="en-US" w:eastAsia="zh-CN"/>
        </w:rPr>
        <w:t>8、</w:t>
      </w:r>
      <w:r>
        <w:rPr>
          <w:rFonts w:hint="eastAsia" w:ascii="仿宋" w:hAnsi="仿宋" w:eastAsia="仿宋" w:cs="仿宋"/>
          <w:color w:val="000000"/>
          <w:sz w:val="24"/>
          <w:szCs w:val="24"/>
          <w:highlight w:val="none"/>
        </w:rPr>
        <w:t>非联合体磋商响应声明</w:t>
      </w:r>
    </w:p>
    <w:bookmarkEnd w:id="184"/>
    <w:bookmarkEnd w:id="197"/>
    <w:p>
      <w:pPr>
        <w:pStyle w:val="2"/>
        <w:spacing w:before="240"/>
        <w:rPr>
          <w:rFonts w:hint="eastAsia" w:ascii="仿宋" w:hAnsi="仿宋" w:eastAsia="仿宋" w:cs="Cambria Math"/>
          <w:b/>
          <w:bCs/>
          <w:color w:val="000000"/>
          <w:sz w:val="24"/>
          <w:highlight w:val="none"/>
        </w:rPr>
      </w:pPr>
      <w:bookmarkStart w:id="198" w:name="_Toc71192048"/>
      <w:bookmarkStart w:id="199" w:name="_Toc20195"/>
      <w:bookmarkStart w:id="200" w:name="_Toc517281859"/>
      <w:bookmarkStart w:id="201" w:name="_Toc432420841"/>
      <w:r>
        <w:rPr>
          <w:rFonts w:hint="eastAsia" w:ascii="仿宋" w:hAnsi="仿宋" w:eastAsia="仿宋" w:cs="Cambria Math"/>
          <w:b/>
          <w:bCs/>
          <w:color w:val="000000"/>
          <w:sz w:val="24"/>
          <w:highlight w:val="none"/>
        </w:rPr>
        <w:t>体磋商响应声明</w:t>
      </w:r>
    </w:p>
    <w:p>
      <w:pPr>
        <w:adjustRightInd w:val="0"/>
        <w:snapToGrid w:val="0"/>
        <w:spacing w:before="240" w:line="360" w:lineRule="auto"/>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lang w:eastAsia="zh-CN"/>
        </w:rPr>
        <w:t>（</w:t>
      </w:r>
      <w:r>
        <w:rPr>
          <w:rFonts w:hint="eastAsia" w:ascii="仿宋" w:hAnsi="仿宋" w:eastAsia="仿宋" w:cs="Cambria Math"/>
          <w:color w:val="000000"/>
          <w:sz w:val="24"/>
          <w:highlight w:val="none"/>
          <w:lang w:val="en-US" w:eastAsia="zh-CN"/>
        </w:rPr>
        <w:t>采购人</w:t>
      </w:r>
      <w:r>
        <w:rPr>
          <w:rFonts w:hint="eastAsia" w:ascii="仿宋" w:hAnsi="仿宋" w:eastAsia="仿宋" w:cs="Cambria Math"/>
          <w:color w:val="000000"/>
          <w:sz w:val="24"/>
          <w:highlight w:val="none"/>
          <w:lang w:eastAsia="zh-CN"/>
        </w:rPr>
        <w:t>）</w:t>
      </w:r>
      <w:r>
        <w:rPr>
          <w:rFonts w:hint="eastAsia" w:ascii="仿宋" w:hAnsi="仿宋" w:eastAsia="仿宋" w:cs="Cambria Math"/>
          <w:color w:val="000000"/>
          <w:sz w:val="24"/>
          <w:highlight w:val="none"/>
        </w:rPr>
        <w:t>：</w:t>
      </w:r>
    </w:p>
    <w:p>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独立参与</w:t>
      </w:r>
      <w:r>
        <w:rPr>
          <w:rFonts w:hint="eastAsia" w:ascii="仿宋" w:hAnsi="仿宋" w:eastAsia="仿宋" w:cs="Cambria Math"/>
          <w:color w:val="000000"/>
          <w:sz w:val="24"/>
          <w:highlight w:val="none"/>
          <w:u w:val="single"/>
        </w:rPr>
        <w:t xml:space="preserve">    （项目名称）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磋商响应，非联合体参与磋商响应。</w:t>
      </w:r>
      <w:r>
        <w:rPr>
          <w:rFonts w:ascii="仿宋" w:hAnsi="仿宋" w:eastAsia="仿宋" w:cs="Cambria Math"/>
          <w:color w:val="000000"/>
          <w:sz w:val="24"/>
          <w:highlight w:val="none"/>
        </w:rPr>
        <w:t xml:space="preserve"> </w:t>
      </w:r>
    </w:p>
    <w:p>
      <w:pPr>
        <w:pStyle w:val="2"/>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特此声明。</w:t>
      </w: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hint="eastAsia" w:ascii="仿宋" w:hAnsi="仿宋" w:eastAsia="仿宋"/>
          <w:highlight w:val="none"/>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rPr>
          <w:rFonts w:ascii="仿宋" w:hAnsi="仿宋" w:eastAsia="仿宋" w:cs="仿宋"/>
          <w:color w:val="000000"/>
          <w:sz w:val="24"/>
          <w:szCs w:val="24"/>
          <w:highlight w:val="none"/>
        </w:rPr>
      </w:pPr>
      <w:r>
        <w:rPr>
          <w:rFonts w:ascii="仿宋" w:hAnsi="仿宋" w:eastAsia="仿宋" w:cs="仿宋"/>
          <w:color w:val="000000"/>
          <w:sz w:val="24"/>
          <w:szCs w:val="24"/>
          <w:highlight w:val="none"/>
        </w:rPr>
        <w:br w:type="page"/>
      </w:r>
    </w:p>
    <w:p>
      <w:pPr>
        <w:pStyle w:val="6"/>
        <w:spacing w:before="0" w:after="0" w:line="360" w:lineRule="auto"/>
        <w:rPr>
          <w:rFonts w:hint="eastAsia" w:ascii="仿宋" w:hAnsi="仿宋" w:eastAsia="仿宋" w:cs="仿宋"/>
          <w:color w:val="000000"/>
          <w:sz w:val="24"/>
          <w:szCs w:val="24"/>
          <w:highlight w:val="none"/>
          <w:lang w:val="en-US" w:eastAsia="zh-CN"/>
        </w:rPr>
      </w:pPr>
      <w:bookmarkStart w:id="202" w:name="_Toc18208"/>
      <w:bookmarkStart w:id="203" w:name="_Toc112068411"/>
      <w:bookmarkStart w:id="204" w:name="_Toc65683009"/>
      <w:bookmarkStart w:id="205" w:name="_Toc144139212"/>
      <w:bookmarkStart w:id="206" w:name="_Toc15130"/>
      <w:r>
        <w:rPr>
          <w:rFonts w:hint="eastAsia" w:ascii="仿宋" w:hAnsi="仿宋" w:eastAsia="仿宋" w:cs="仿宋"/>
          <w:color w:val="000000"/>
          <w:sz w:val="24"/>
          <w:szCs w:val="24"/>
          <w:highlight w:val="none"/>
          <w:lang w:val="en-US" w:eastAsia="zh-CN"/>
        </w:rPr>
        <w:t>9、具备有效的测绘资质</w:t>
      </w:r>
    </w:p>
    <w:p>
      <w:pPr>
        <w:adjustRightInd w:val="0"/>
        <w:snapToGrid w:val="0"/>
        <w:spacing w:line="360" w:lineRule="auto"/>
        <w:ind w:left="-617" w:leftChars="-294" w:right="-512" w:rightChars="-244" w:firstLine="616" w:firstLineChars="257"/>
        <w:rPr>
          <w:rFonts w:hint="eastAsia" w:ascii="仿宋" w:hAnsi="仿宋" w:eastAsia="仿宋" w:cs="宋体"/>
          <w:color w:val="auto"/>
          <w:sz w:val="24"/>
          <w:szCs w:val="24"/>
          <w:highlight w:val="none"/>
          <w:lang w:val="en-US" w:eastAsia="zh-CN"/>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auto"/>
          <w:sz w:val="24"/>
          <w:szCs w:val="24"/>
          <w:highlight w:val="none"/>
          <w:lang w:val="en-US" w:eastAsia="zh-CN"/>
        </w:rPr>
        <w:t>提供有效期内的国家乙级及以上测绘资质证书原件扫描件（或复印件），扫描件/复印件须清晰显示资质等级、有效期、核定专业类别等关键信息；且资质证书载明专业类别至少包含“地理信息系统工程”或“摄影测量与遥感”或“界线与不动产测绘”其中一项。</w:t>
      </w:r>
    </w:p>
    <w:p>
      <w:pPr>
        <w:pStyle w:val="6"/>
        <w:spacing w:before="0" w:after="0"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10、具备有效的数据安全相关资质/证明</w:t>
      </w:r>
    </w:p>
    <w:p>
      <w:pPr>
        <w:adjustRightInd w:val="0"/>
        <w:snapToGrid w:val="0"/>
        <w:spacing w:line="360" w:lineRule="auto"/>
        <w:ind w:left="-617" w:leftChars="-294" w:right="-512" w:rightChars="-244" w:firstLine="616" w:firstLineChars="257"/>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提供以下任意一项有效期内的资质/证明文件原件扫描件（或复印件），扫描件/复印件须清晰显示资质等级、有效期、核发单位/认证范围/备案信息等关键内容：①省（市）级及以上国家保密局颁发的二级及以上保密资质证书；②ISO27001信息安全管理体系认证证书；③信息系统安全等级保护三级及以上备案证明。</w:t>
      </w: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hint="eastAsia" w:ascii="仿宋" w:hAnsi="仿宋" w:eastAsia="仿宋" w:cs="宋体"/>
          <w:color w:val="000000"/>
          <w:sz w:val="24"/>
        </w:rPr>
      </w:pPr>
    </w:p>
    <w:p>
      <w:pPr>
        <w:pStyle w:val="5"/>
        <w:numPr>
          <w:ilvl w:val="0"/>
          <w:numId w:val="0"/>
        </w:numPr>
        <w:tabs>
          <w:tab w:val="clear" w:pos="1440"/>
        </w:tabs>
        <w:spacing w:before="0" w:after="0" w:line="360" w:lineRule="auto"/>
        <w:rPr>
          <w:rFonts w:ascii="仿宋" w:hAnsi="仿宋" w:cs="宋体"/>
          <w:color w:val="000000"/>
          <w:szCs w:val="24"/>
          <w:highlight w:val="none"/>
        </w:rPr>
      </w:pPr>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五</w:t>
      </w:r>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rPr>
        <w:t>供应商</w:t>
      </w:r>
      <w:r>
        <w:rPr>
          <w:rFonts w:ascii="仿宋" w:hAnsi="仿宋" w:eastAsia="仿宋" w:cs="仿宋"/>
          <w:color w:val="000000"/>
          <w:sz w:val="24"/>
          <w:szCs w:val="24"/>
          <w:highlight w:val="none"/>
        </w:rPr>
        <w:t>须知应答偏离表</w:t>
      </w:r>
      <w:bookmarkEnd w:id="202"/>
      <w:bookmarkEnd w:id="203"/>
      <w:bookmarkEnd w:id="204"/>
      <w:bookmarkEnd w:id="205"/>
      <w:bookmarkEnd w:id="206"/>
    </w:p>
    <w:p>
      <w:pPr>
        <w:spacing w:line="360" w:lineRule="auto"/>
        <w:jc w:val="center"/>
        <w:rPr>
          <w:rFonts w:hint="eastAsia" w:ascii="仿宋" w:hAnsi="仿宋" w:eastAsia="仿宋" w:cs="宋体"/>
          <w:b/>
          <w:bCs/>
          <w:color w:val="000000"/>
          <w:sz w:val="24"/>
          <w:highlight w:val="none"/>
        </w:rPr>
      </w:pPr>
      <w:r>
        <w:rPr>
          <w:rFonts w:hint="eastAsia" w:ascii="仿宋" w:hAnsi="仿宋" w:eastAsia="仿宋" w:cs="宋体"/>
          <w:b/>
          <w:bCs/>
          <w:color w:val="000000"/>
          <w:sz w:val="24"/>
          <w:highlight w:val="none"/>
        </w:rPr>
        <w:t>供应商须知应答偏离表</w:t>
      </w:r>
    </w:p>
    <w:p>
      <w:pPr>
        <w:spacing w:line="360" w:lineRule="auto"/>
        <w:rPr>
          <w:rFonts w:hint="eastAsia" w:ascii="仿宋" w:hAnsi="仿宋" w:eastAsia="仿宋" w:cs="宋体"/>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r>
        <w:rPr>
          <w:rFonts w:ascii="仿宋" w:hAnsi="仿宋" w:eastAsia="仿宋" w:cs="宋体"/>
          <w:color w:val="000000"/>
          <w:sz w:val="24"/>
          <w:highlight w:val="none"/>
        </w:rPr>
        <w:t xml:space="preserve">        </w:t>
      </w:r>
      <w:r>
        <w:rPr>
          <w:rFonts w:hint="eastAsia" w:ascii="仿宋" w:hAnsi="仿宋" w:eastAsia="仿宋" w:cs="宋体"/>
          <w:color w:val="000000"/>
          <w:sz w:val="24"/>
          <w:highlight w:val="non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序号</w:t>
            </w:r>
          </w:p>
        </w:tc>
        <w:tc>
          <w:tcPr>
            <w:tcW w:w="2285"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条目号</w:t>
            </w:r>
          </w:p>
        </w:tc>
        <w:tc>
          <w:tcPr>
            <w:tcW w:w="2495"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原文内容</w:t>
            </w:r>
          </w:p>
        </w:tc>
        <w:tc>
          <w:tcPr>
            <w:tcW w:w="2704"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应答</w:t>
            </w:r>
          </w:p>
        </w:tc>
        <w:tc>
          <w:tcPr>
            <w:tcW w:w="1408"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bl>
    <w:p>
      <w:pPr>
        <w:spacing w:line="360" w:lineRule="auto"/>
        <w:ind w:left="480" w:hanging="480" w:hangingChars="200"/>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注：所有偏离须在本表中列出，未在本偏离表中列出偏离，将视为供应商已完全接受磋商文件要求</w:t>
      </w:r>
      <w:r>
        <w:rPr>
          <w:rFonts w:hint="eastAsia" w:ascii="仿宋" w:hAnsi="仿宋" w:eastAsia="仿宋" w:cs="宋体"/>
          <w:b/>
          <w:bCs/>
          <w:color w:val="000000"/>
          <w:sz w:val="24"/>
          <w:highlight w:val="none"/>
        </w:rPr>
        <w:t>。如全部满足，在偏离表中应答“全部满足”即可。</w:t>
      </w:r>
    </w:p>
    <w:p>
      <w:pPr>
        <w:spacing w:line="360" w:lineRule="auto"/>
        <w:ind w:firstLine="4080" w:firstLineChars="1700"/>
        <w:jc w:val="right"/>
        <w:rPr>
          <w:rFonts w:ascii="仿宋" w:hAnsi="仿宋" w:eastAsia="仿宋" w:cs="宋体"/>
          <w:color w:val="000000"/>
          <w:sz w:val="24"/>
          <w:highlight w:val="none"/>
        </w:rPr>
      </w:pPr>
    </w:p>
    <w:p>
      <w:pPr>
        <w:spacing w:line="360" w:lineRule="auto"/>
        <w:ind w:firstLine="4080" w:firstLineChars="1700"/>
        <w:jc w:val="right"/>
        <w:rPr>
          <w:rFonts w:ascii="仿宋" w:hAnsi="仿宋" w:eastAsia="仿宋" w:cs="宋体"/>
          <w:color w:val="000000"/>
          <w:sz w:val="24"/>
          <w:highlight w:val="none"/>
        </w:rPr>
      </w:pPr>
    </w:p>
    <w:p>
      <w:pPr>
        <w:spacing w:line="360" w:lineRule="auto"/>
        <w:ind w:firstLine="4080" w:firstLineChars="1700"/>
        <w:jc w:val="right"/>
        <w:rPr>
          <w:rFonts w:ascii="仿宋" w:hAnsi="仿宋" w:eastAsia="仿宋" w:cs="宋体"/>
          <w:color w:val="000000"/>
          <w:sz w:val="24"/>
          <w:highlight w:val="none"/>
        </w:rPr>
      </w:pPr>
    </w:p>
    <w:p>
      <w:pPr>
        <w:spacing w:line="360" w:lineRule="auto"/>
        <w:ind w:firstLine="4080" w:firstLineChars="1700"/>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（盖章）</w:t>
      </w:r>
    </w:p>
    <w:p>
      <w:pPr>
        <w:spacing w:line="360" w:lineRule="auto"/>
        <w:jc w:val="right"/>
        <w:rPr>
          <w:rFonts w:hint="eastAsia" w:ascii="仿宋" w:hAnsi="仿宋" w:eastAsia="仿宋" w:cs="宋体"/>
          <w:color w:val="000000"/>
          <w:sz w:val="24"/>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sz w:val="24"/>
          <w:highlight w:val="none"/>
        </w:rPr>
        <w:t>日期：</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年</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月</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日</w:t>
      </w:r>
    </w:p>
    <w:p>
      <w:pPr>
        <w:numPr>
          <w:ilvl w:val="0"/>
          <w:numId w:val="0"/>
        </w:numPr>
        <w:spacing w:line="360" w:lineRule="auto"/>
        <w:jc w:val="both"/>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lang w:val="en-US" w:eastAsia="zh-CN"/>
        </w:rPr>
        <w:t>六</w:t>
      </w: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rPr>
        <w:t>合同条款应答偏</w:t>
      </w:r>
      <w:r>
        <w:rPr>
          <w:rFonts w:ascii="仿宋" w:hAnsi="仿宋" w:eastAsia="仿宋" w:cs="仿宋"/>
          <w:b/>
          <w:bCs/>
          <w:color w:val="000000"/>
          <w:sz w:val="24"/>
          <w:szCs w:val="24"/>
          <w:highlight w:val="none"/>
        </w:rPr>
        <w:t>离表</w:t>
      </w:r>
    </w:p>
    <w:p>
      <w:pPr>
        <w:numPr>
          <w:ilvl w:val="0"/>
          <w:numId w:val="0"/>
        </w:numPr>
        <w:spacing w:line="360"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合同条款应答偏离表</w:t>
      </w:r>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序号</w:t>
            </w:r>
          </w:p>
        </w:tc>
        <w:tc>
          <w:tcPr>
            <w:tcW w:w="2285"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条目号</w:t>
            </w:r>
          </w:p>
        </w:tc>
        <w:tc>
          <w:tcPr>
            <w:tcW w:w="2495"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原文内容</w:t>
            </w:r>
          </w:p>
        </w:tc>
        <w:tc>
          <w:tcPr>
            <w:tcW w:w="2704"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应答</w:t>
            </w:r>
          </w:p>
        </w:tc>
        <w:tc>
          <w:tcPr>
            <w:tcW w:w="1408"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9"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bl>
    <w:p>
      <w:pPr>
        <w:spacing w:before="240" w:line="360" w:lineRule="auto"/>
        <w:ind w:left="480" w:hanging="480" w:hangingChars="20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注：所有偏离必须在本表中列出，未在本偏离表中列出偏离，将视为供应商已完全接受竞争性磋商文件要求；</w:t>
      </w:r>
      <w:r>
        <w:rPr>
          <w:rFonts w:hint="eastAsia" w:ascii="仿宋" w:hAnsi="仿宋" w:eastAsia="仿宋" w:cs="Cambria Math"/>
          <w:b/>
          <w:bCs/>
          <w:color w:val="000000"/>
          <w:sz w:val="24"/>
          <w:highlight w:val="none"/>
        </w:rPr>
        <w:t>如全部满足，在偏离表中应答“全部满足”即可</w:t>
      </w:r>
      <w:r>
        <w:rPr>
          <w:rFonts w:hint="eastAsia" w:ascii="仿宋" w:hAnsi="仿宋" w:eastAsia="仿宋" w:cs="Cambria Math"/>
          <w:color w:val="000000"/>
          <w:sz w:val="24"/>
          <w:highlight w:val="none"/>
        </w:rPr>
        <w:t>。</w:t>
      </w:r>
    </w:p>
    <w:p>
      <w:pPr>
        <w:spacing w:line="600" w:lineRule="exact"/>
        <w:rPr>
          <w:rFonts w:hint="eastAsia" w:ascii="仿宋" w:hAnsi="仿宋" w:eastAsia="仿宋" w:cs="仿宋"/>
          <w:color w:val="000000"/>
          <w:szCs w:val="21"/>
          <w:highlight w:val="none"/>
        </w:rPr>
      </w:pPr>
    </w:p>
    <w:p>
      <w:pPr>
        <w:spacing w:line="360" w:lineRule="auto"/>
        <w:ind w:firstLine="420"/>
        <w:jc w:val="right"/>
        <w:rPr>
          <w:rFonts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pPr>
        <w:spacing w:line="440" w:lineRule="exact"/>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spacing w:line="360" w:lineRule="auto"/>
        <w:rPr>
          <w:rFonts w:hint="eastAsia" w:ascii="仿宋" w:hAnsi="仿宋" w:eastAsia="仿宋" w:cs="仿宋"/>
          <w:color w:val="000000"/>
          <w:highlight w:val="none"/>
          <w:u w:val="single"/>
        </w:rPr>
      </w:pPr>
    </w:p>
    <w:p>
      <w:pPr>
        <w:pStyle w:val="5"/>
        <w:numPr>
          <w:ilvl w:val="0"/>
          <w:numId w:val="0"/>
        </w:numPr>
        <w:spacing w:before="0" w:after="0" w:line="360" w:lineRule="auto"/>
        <w:rPr>
          <w:rFonts w:hint="eastAsia" w:ascii="仿宋" w:hAnsi="仿宋" w:eastAsia="仿宋" w:cs="宋体"/>
          <w:color w:val="000000"/>
          <w:sz w:val="24"/>
          <w:highlight w:val="none"/>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sz w:val="24"/>
          <w:szCs w:val="24"/>
          <w:highlight w:val="none"/>
        </w:rPr>
        <w:br w:type="page"/>
      </w:r>
    </w:p>
    <w:p>
      <w:pPr>
        <w:pStyle w:val="5"/>
        <w:numPr>
          <w:ilvl w:val="0"/>
          <w:numId w:val="0"/>
        </w:numPr>
        <w:spacing w:before="0" w:after="0" w:line="360" w:lineRule="auto"/>
        <w:rPr>
          <w:rFonts w:hint="eastAsia" w:ascii="仿宋" w:hAnsi="仿宋" w:eastAsia="仿宋" w:cs="仿宋"/>
          <w:color w:val="000000"/>
          <w:sz w:val="24"/>
          <w:szCs w:val="24"/>
          <w:highlight w:val="none"/>
        </w:rPr>
      </w:pPr>
      <w:bookmarkStart w:id="207" w:name="_Toc17890"/>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七</w:t>
      </w:r>
      <w:r>
        <w:rPr>
          <w:rFonts w:hint="eastAsia" w:ascii="仿宋" w:hAnsi="仿宋" w:eastAsia="仿宋" w:cs="仿宋"/>
          <w:color w:val="000000"/>
          <w:sz w:val="24"/>
          <w:szCs w:val="24"/>
          <w:highlight w:val="none"/>
        </w:rPr>
        <w:t>）供应商行为准则承诺书</w:t>
      </w:r>
      <w:bookmarkEnd w:id="207"/>
    </w:p>
    <w:p>
      <w:pPr>
        <w:spacing w:line="240" w:lineRule="auto"/>
        <w:jc w:val="center"/>
        <w:rPr>
          <w:rFonts w:ascii="仿宋" w:hAnsi="仿宋" w:eastAsia="仿宋" w:cs="宋体"/>
          <w:b/>
          <w:bCs/>
          <w:color w:val="000000"/>
          <w:sz w:val="28"/>
          <w:szCs w:val="28"/>
          <w:highlight w:val="none"/>
        </w:rPr>
      </w:pPr>
      <w:bookmarkStart w:id="208" w:name="_Toc15599"/>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141"/>
        <w:spacing w:line="360" w:lineRule="auto"/>
        <w:ind w:firstLine="480"/>
        <w:jc w:val="both"/>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法定代表人（负责人）或授权代表签字：______________</w:t>
      </w:r>
    </w:p>
    <w:p>
      <w:pPr>
        <w:pStyle w:val="5"/>
        <w:numPr>
          <w:ilvl w:val="0"/>
          <w:numId w:val="0"/>
        </w:numPr>
        <w:spacing w:before="0" w:after="0" w:line="360" w:lineRule="auto"/>
        <w:rPr>
          <w:rFonts w:ascii="仿宋" w:hAnsi="仿宋" w:cs="宋体"/>
          <w:color w:val="000000"/>
          <w:szCs w:val="24"/>
          <w:highlight w:val="none"/>
        </w:rPr>
      </w:pPr>
      <w:r>
        <w:rPr>
          <w:rFonts w:hint="eastAsia" w:ascii="仿宋" w:hAnsi="仿宋" w:eastAsia="仿宋" w:cs="仿宋"/>
          <w:color w:val="000000"/>
        </w:rPr>
        <w:br w:type="page"/>
      </w:r>
      <w:bookmarkStart w:id="209" w:name="_Toc8068"/>
      <w:r>
        <w:rPr>
          <w:rFonts w:hint="eastAsia" w:ascii="仿宋" w:hAnsi="仿宋" w:eastAsia="仿宋" w:cs="宋体"/>
          <w:bCs w:val="0"/>
          <w:color w:val="000000"/>
          <w:sz w:val="24"/>
          <w:szCs w:val="24"/>
          <w:highlight w:val="none"/>
        </w:rPr>
        <w:t>（</w:t>
      </w:r>
      <w:r>
        <w:rPr>
          <w:rFonts w:hint="eastAsia" w:ascii="仿宋" w:hAnsi="仿宋" w:eastAsia="仿宋" w:cs="宋体"/>
          <w:bCs w:val="0"/>
          <w:color w:val="000000"/>
          <w:sz w:val="24"/>
          <w:szCs w:val="24"/>
          <w:highlight w:val="none"/>
          <w:lang w:val="en-US" w:eastAsia="zh-CN"/>
        </w:rPr>
        <w:t>八</w:t>
      </w:r>
      <w:r>
        <w:rPr>
          <w:rFonts w:hint="eastAsia" w:ascii="仿宋" w:hAnsi="仿宋" w:eastAsia="仿宋" w:cs="宋体"/>
          <w:bCs w:val="0"/>
          <w:color w:val="000000"/>
          <w:sz w:val="24"/>
          <w:szCs w:val="24"/>
          <w:highlight w:val="none"/>
        </w:rPr>
        <w:t>）供应商廉洁诚信承诺书</w:t>
      </w:r>
      <w:bookmarkEnd w:id="208"/>
      <w:bookmarkEnd w:id="209"/>
    </w:p>
    <w:p>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hint="eastAsia" w:ascii="仿宋" w:hAnsi="仿宋" w:eastAsia="仿宋" w:cs="仿宋"/>
          <w:color w:val="000000"/>
          <w:sz w:val="24"/>
          <w:szCs w:val="24"/>
          <w:highlight w:val="none"/>
        </w:rPr>
      </w:pPr>
      <w:r>
        <w:rPr>
          <w:rFonts w:hint="eastAsia" w:ascii="仿宋" w:hAnsi="仿宋" w:eastAsia="仿宋" w:cs="仿宋"/>
          <w:b w:val="0"/>
          <w:bCs w:val="0"/>
          <w:color w:val="000000"/>
          <w:kern w:val="2"/>
          <w:sz w:val="24"/>
          <w:szCs w:val="24"/>
          <w:lang w:val="en-US" w:eastAsia="zh-CN" w:bidi="ar-SA"/>
        </w:rPr>
        <w:t>日期：__________________________________</w:t>
      </w:r>
      <w:r>
        <w:rPr>
          <w:rFonts w:hint="eastAsia" w:ascii="仿宋" w:hAnsi="仿宋" w:eastAsia="仿宋" w:cs="仿宋"/>
          <w:color w:val="000000"/>
          <w:highlight w:val="none"/>
        </w:rPr>
        <w:br w:type="page"/>
      </w:r>
      <w:bookmarkEnd w:id="198"/>
      <w:bookmarkStart w:id="210" w:name="_Toc28698"/>
    </w:p>
    <w:p>
      <w:pPr>
        <w:pStyle w:val="5"/>
        <w:numPr>
          <w:ilvl w:val="5"/>
          <w:numId w:val="0"/>
        </w:numPr>
        <w:spacing w:before="0" w:after="0" w:line="360" w:lineRule="auto"/>
        <w:ind w:leftChars="0"/>
        <w:rPr>
          <w:rFonts w:ascii="仿宋" w:hAnsi="仿宋" w:cs="宋体"/>
          <w:szCs w:val="24"/>
        </w:rPr>
      </w:pPr>
      <w:bookmarkStart w:id="211" w:name="_Toc186737821"/>
      <w:bookmarkStart w:id="212" w:name="_Toc186737822"/>
      <w:r>
        <w:rPr>
          <w:rFonts w:hint="eastAsia" w:ascii="仿宋" w:hAnsi="仿宋" w:eastAsia="仿宋" w:cs="宋体"/>
          <w:bCs w:val="0"/>
          <w:sz w:val="24"/>
          <w:szCs w:val="24"/>
        </w:rPr>
        <w:t>（九）信息安全采购要求承诺函</w:t>
      </w:r>
      <w:bookmarkEnd w:id="211"/>
    </w:p>
    <w:p>
      <w:pPr>
        <w:jc w:val="center"/>
        <w:rPr>
          <w:b/>
        </w:rPr>
      </w:pPr>
    </w:p>
    <w:p>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信息安全采购要求承诺函</w:t>
      </w:r>
    </w:p>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致：中国人民财产保险股份有限公司XX分公司</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2.根据实际情况，投标人在A\B两项之间择一承诺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A投标人向招标人提供的产品或服务，不需要任何外国实体提供技术支持。</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3.根据实际情况，投标人在A\B两项之间择一承诺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A投标人向招标人提供的产品或服务，不涉及任何外国实体拥有或者控制的知识产权，包括但不限于专利权、软件著作权以及其他知识产权。</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6.投标人向招标人提供的产品或服务具有运行维护以及二次开发的中文版技术资料，投标人同意向招标人提供上述技术资料。</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如投标人出现任一违反上述承诺的情况，招标人有权向投标人收取合同金额3倍的违约金，如该违约金不足以弥补招标人的损失，招标人有权要求投标人继续赔偿。</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p>
    <w:p>
      <w:pPr>
        <w:spacing w:line="360" w:lineRule="auto"/>
        <w:rPr>
          <w:rFonts w:hint="eastAsia" w:ascii="仿宋" w:hAnsi="仿宋" w:eastAsia="仿宋" w:cs="宋体"/>
          <w:color w:val="000000"/>
          <w:sz w:val="24"/>
        </w:rPr>
      </w:pPr>
      <w:r>
        <w:rPr>
          <w:rFonts w:hint="eastAsia" w:ascii="仿宋" w:hAnsi="仿宋" w:eastAsia="仿宋" w:cs="宋体"/>
          <w:color w:val="000000"/>
          <w:sz w:val="24"/>
          <w:lang w:val="en-US" w:eastAsia="zh-CN"/>
        </w:rPr>
        <w:t>公司</w:t>
      </w:r>
      <w:r>
        <w:rPr>
          <w:rFonts w:hint="eastAsia" w:ascii="仿宋" w:hAnsi="仿宋" w:eastAsia="仿宋" w:cs="宋体"/>
          <w:color w:val="000000"/>
          <w:sz w:val="24"/>
        </w:rPr>
        <w:t xml:space="preserve">名称（盖章）：                       </w:t>
      </w:r>
    </w:p>
    <w:p>
      <w:pPr>
        <w:spacing w:line="360" w:lineRule="auto"/>
        <w:rPr>
          <w:rFonts w:hint="eastAsia" w:ascii="仿宋" w:hAnsi="仿宋" w:eastAsia="仿宋" w:cs="宋体"/>
          <w:color w:val="000000"/>
          <w:sz w:val="24"/>
        </w:rPr>
      </w:pPr>
      <w:r>
        <w:rPr>
          <w:rFonts w:hint="eastAsia" w:ascii="仿宋" w:hAnsi="仿宋" w:eastAsia="仿宋" w:cs="宋体"/>
          <w:color w:val="000000"/>
          <w:sz w:val="24"/>
          <w:lang w:val="en-US" w:eastAsia="zh-CN"/>
        </w:rPr>
        <w:t>法定代表人或</w:t>
      </w:r>
      <w:r>
        <w:rPr>
          <w:rFonts w:hint="eastAsia" w:ascii="仿宋" w:hAnsi="仿宋" w:eastAsia="仿宋" w:cs="宋体"/>
          <w:color w:val="000000"/>
          <w:sz w:val="24"/>
        </w:rPr>
        <w:t>授权代表(签字):</w:t>
      </w:r>
      <w:r>
        <w:rPr>
          <w:rFonts w:hint="eastAsia" w:ascii="仿宋" w:hAnsi="仿宋" w:eastAsia="仿宋" w:cs="宋体"/>
          <w:color w:val="000000"/>
          <w:sz w:val="24"/>
        </w:rPr>
        <w:tab/>
      </w:r>
    </w:p>
    <w:p>
      <w:pPr>
        <w:spacing w:line="360" w:lineRule="auto"/>
        <w:rPr>
          <w:rFonts w:hint="eastAsia" w:ascii="仿宋" w:hAnsi="仿宋" w:eastAsia="仿宋" w:cs="宋体"/>
          <w:color w:val="000000"/>
          <w:sz w:val="24"/>
        </w:rPr>
      </w:pPr>
      <w:r>
        <w:rPr>
          <w:rFonts w:hint="eastAsia" w:ascii="仿宋" w:hAnsi="仿宋" w:eastAsia="仿宋" w:cs="宋体"/>
          <w:color w:val="000000"/>
          <w:sz w:val="24"/>
        </w:rPr>
        <w:t>日期：</w:t>
      </w:r>
    </w:p>
    <w:p>
      <w:pPr>
        <w:pStyle w:val="5"/>
        <w:numPr>
          <w:ilvl w:val="0"/>
          <w:numId w:val="0"/>
        </w:numPr>
        <w:spacing w:before="0" w:after="0" w:line="360" w:lineRule="auto"/>
        <w:rPr>
          <w:rFonts w:hint="eastAsia" w:ascii="仿宋" w:hAnsi="仿宋" w:eastAsia="仿宋" w:cs="宋体"/>
          <w:bCs w:val="0"/>
          <w:color w:val="000000"/>
          <w:sz w:val="24"/>
          <w:szCs w:val="24"/>
          <w:highlight w:val="none"/>
        </w:rPr>
      </w:pPr>
    </w:p>
    <w:p>
      <w:pPr>
        <w:pStyle w:val="5"/>
        <w:numPr>
          <w:ilvl w:val="0"/>
          <w:numId w:val="0"/>
        </w:numPr>
        <w:spacing w:before="0" w:after="0" w:line="360" w:lineRule="auto"/>
        <w:rPr>
          <w:rFonts w:hint="eastAsia" w:ascii="仿宋" w:hAnsi="仿宋" w:eastAsia="仿宋" w:cs="宋体"/>
          <w:bCs w:val="0"/>
          <w:color w:val="000000"/>
          <w:sz w:val="24"/>
          <w:szCs w:val="24"/>
          <w:highlight w:val="none"/>
        </w:rPr>
      </w:pPr>
    </w:p>
    <w:p>
      <w:pPr>
        <w:pStyle w:val="5"/>
        <w:numPr>
          <w:ilvl w:val="0"/>
          <w:numId w:val="0"/>
        </w:numPr>
        <w:spacing w:before="0" w:after="0" w:line="360" w:lineRule="auto"/>
        <w:rPr>
          <w:rFonts w:hint="eastAsia" w:ascii="仿宋" w:hAnsi="仿宋" w:eastAsia="仿宋" w:cs="宋体"/>
          <w:bCs w:val="0"/>
          <w:color w:val="000000"/>
          <w:sz w:val="24"/>
          <w:szCs w:val="24"/>
          <w:highlight w:val="none"/>
        </w:rPr>
      </w:pPr>
    </w:p>
    <w:p>
      <w:pPr>
        <w:pStyle w:val="5"/>
        <w:numPr>
          <w:ilvl w:val="0"/>
          <w:numId w:val="0"/>
        </w:numPr>
        <w:spacing w:before="0" w:after="0" w:line="360" w:lineRule="auto"/>
        <w:rPr>
          <w:rFonts w:hint="eastAsia" w:ascii="仿宋" w:hAnsi="仿宋" w:eastAsia="仿宋" w:cs="宋体"/>
          <w:bCs w:val="0"/>
          <w:color w:val="000000"/>
          <w:sz w:val="24"/>
          <w:szCs w:val="24"/>
          <w:highlight w:val="none"/>
        </w:rPr>
      </w:pPr>
    </w:p>
    <w:p>
      <w:pPr>
        <w:pStyle w:val="5"/>
        <w:numPr>
          <w:ilvl w:val="0"/>
          <w:numId w:val="0"/>
        </w:numPr>
        <w:spacing w:before="0" w:after="0" w:line="360" w:lineRule="auto"/>
        <w:rPr>
          <w:rFonts w:hint="eastAsia" w:ascii="仿宋" w:hAnsi="仿宋" w:eastAsia="仿宋" w:cs="宋体"/>
          <w:bCs w:val="0"/>
          <w:color w:val="000000"/>
          <w:sz w:val="24"/>
          <w:szCs w:val="24"/>
          <w:highlight w:val="none"/>
        </w:rPr>
      </w:pPr>
    </w:p>
    <w:p>
      <w:pPr>
        <w:pStyle w:val="5"/>
        <w:numPr>
          <w:ilvl w:val="0"/>
          <w:numId w:val="0"/>
        </w:numPr>
        <w:spacing w:before="0" w:after="0" w:line="360" w:lineRule="auto"/>
        <w:rPr>
          <w:rFonts w:hint="eastAsia" w:ascii="仿宋" w:hAnsi="仿宋" w:eastAsia="仿宋" w:cs="宋体"/>
          <w:bCs w:val="0"/>
          <w:color w:val="000000"/>
          <w:sz w:val="24"/>
          <w:szCs w:val="24"/>
          <w:highlight w:val="none"/>
        </w:rPr>
      </w:pPr>
    </w:p>
    <w:p>
      <w:pPr>
        <w:pStyle w:val="5"/>
        <w:numPr>
          <w:ilvl w:val="0"/>
          <w:numId w:val="0"/>
        </w:numPr>
        <w:spacing w:before="0" w:after="0" w:line="360" w:lineRule="auto"/>
        <w:rPr>
          <w:rFonts w:hint="eastAsia" w:ascii="仿宋" w:hAnsi="仿宋" w:eastAsia="仿宋" w:cs="宋体"/>
          <w:bCs w:val="0"/>
          <w:color w:val="000000"/>
          <w:sz w:val="24"/>
          <w:szCs w:val="24"/>
          <w:highlight w:val="none"/>
        </w:rPr>
      </w:pPr>
    </w:p>
    <w:p>
      <w:pPr>
        <w:pStyle w:val="5"/>
        <w:numPr>
          <w:ilvl w:val="0"/>
          <w:numId w:val="0"/>
        </w:numPr>
        <w:spacing w:before="0" w:after="0" w:line="360" w:lineRule="auto"/>
        <w:rPr>
          <w:rFonts w:hint="eastAsia" w:ascii="仿宋" w:hAnsi="仿宋" w:eastAsia="仿宋" w:cs="宋体"/>
          <w:bCs w:val="0"/>
          <w:color w:val="000000"/>
          <w:sz w:val="24"/>
          <w:szCs w:val="24"/>
          <w:highlight w:val="none"/>
        </w:rPr>
      </w:pPr>
    </w:p>
    <w:p>
      <w:pPr>
        <w:pStyle w:val="5"/>
        <w:numPr>
          <w:ilvl w:val="0"/>
          <w:numId w:val="0"/>
        </w:numPr>
        <w:spacing w:before="0" w:after="0" w:line="360" w:lineRule="auto"/>
        <w:rPr>
          <w:rFonts w:hint="eastAsia" w:ascii="仿宋" w:hAnsi="仿宋" w:eastAsia="仿宋" w:cs="宋体"/>
          <w:bCs w:val="0"/>
          <w:color w:val="000000"/>
          <w:sz w:val="24"/>
          <w:szCs w:val="24"/>
          <w:highlight w:val="none"/>
        </w:rPr>
      </w:pPr>
    </w:p>
    <w:p>
      <w:pPr>
        <w:pStyle w:val="5"/>
        <w:numPr>
          <w:ilvl w:val="0"/>
          <w:numId w:val="0"/>
        </w:numPr>
        <w:spacing w:before="0" w:after="0" w:line="360" w:lineRule="auto"/>
        <w:rPr>
          <w:rFonts w:hint="eastAsia" w:ascii="仿宋" w:hAnsi="仿宋" w:eastAsia="仿宋" w:cs="宋体"/>
          <w:bCs w:val="0"/>
          <w:color w:val="000000"/>
          <w:sz w:val="24"/>
          <w:szCs w:val="24"/>
          <w:highlight w:val="none"/>
        </w:rPr>
      </w:pPr>
    </w:p>
    <w:p>
      <w:pPr>
        <w:pStyle w:val="5"/>
        <w:numPr>
          <w:ilvl w:val="0"/>
          <w:numId w:val="0"/>
        </w:numPr>
        <w:spacing w:before="0" w:after="0" w:line="360" w:lineRule="auto"/>
        <w:rPr>
          <w:rFonts w:hint="eastAsia" w:ascii="仿宋" w:hAnsi="仿宋" w:eastAsia="仿宋" w:cs="宋体"/>
          <w:bCs w:val="0"/>
          <w:color w:val="000000"/>
          <w:sz w:val="24"/>
          <w:szCs w:val="24"/>
          <w:highlight w:val="none"/>
        </w:rPr>
      </w:pPr>
    </w:p>
    <w:p>
      <w:pPr>
        <w:pStyle w:val="5"/>
        <w:numPr>
          <w:ilvl w:val="0"/>
          <w:numId w:val="0"/>
        </w:numPr>
        <w:spacing w:before="0" w:after="0" w:line="360" w:lineRule="auto"/>
        <w:rPr>
          <w:rFonts w:hint="eastAsia" w:ascii="仿宋" w:hAnsi="仿宋" w:eastAsia="仿宋" w:cs="宋体"/>
          <w:bCs w:val="0"/>
          <w:color w:val="000000"/>
          <w:sz w:val="24"/>
          <w:szCs w:val="24"/>
          <w:highlight w:val="none"/>
        </w:rPr>
      </w:pPr>
    </w:p>
    <w:p>
      <w:pPr>
        <w:pStyle w:val="5"/>
        <w:numPr>
          <w:ilvl w:val="0"/>
          <w:numId w:val="0"/>
        </w:numPr>
        <w:spacing w:before="0" w:after="0" w:line="360" w:lineRule="auto"/>
        <w:rPr>
          <w:rFonts w:hint="eastAsia" w:ascii="仿宋" w:hAnsi="仿宋" w:eastAsia="仿宋" w:cs="宋体"/>
          <w:bCs w:val="0"/>
          <w:color w:val="000000"/>
          <w:sz w:val="24"/>
          <w:szCs w:val="24"/>
          <w:highlight w:val="none"/>
        </w:rPr>
      </w:pPr>
    </w:p>
    <w:p>
      <w:pPr>
        <w:pStyle w:val="5"/>
        <w:numPr>
          <w:ilvl w:val="0"/>
          <w:numId w:val="0"/>
        </w:numPr>
        <w:spacing w:before="0" w:after="0" w:line="360" w:lineRule="auto"/>
        <w:rPr>
          <w:rFonts w:hint="eastAsia" w:ascii="仿宋" w:hAnsi="仿宋" w:eastAsia="仿宋" w:cs="宋体"/>
          <w:bCs w:val="0"/>
          <w:color w:val="000000"/>
          <w:sz w:val="24"/>
          <w:szCs w:val="24"/>
          <w:highlight w:val="none"/>
        </w:rPr>
      </w:pPr>
    </w:p>
    <w:p>
      <w:pPr>
        <w:pStyle w:val="5"/>
        <w:numPr>
          <w:ilvl w:val="0"/>
          <w:numId w:val="0"/>
        </w:numPr>
        <w:spacing w:before="0" w:after="0" w:line="360" w:lineRule="auto"/>
        <w:rPr>
          <w:rFonts w:hint="eastAsia" w:ascii="仿宋" w:hAnsi="仿宋" w:eastAsia="仿宋" w:cs="宋体"/>
          <w:bCs w:val="0"/>
          <w:color w:val="000000"/>
          <w:sz w:val="24"/>
          <w:szCs w:val="24"/>
          <w:highlight w:val="none"/>
        </w:rPr>
      </w:pPr>
    </w:p>
    <w:p>
      <w:pPr>
        <w:pStyle w:val="5"/>
        <w:numPr>
          <w:ilvl w:val="0"/>
          <w:numId w:val="0"/>
        </w:numPr>
        <w:spacing w:before="0" w:after="0" w:line="360" w:lineRule="auto"/>
        <w:rPr>
          <w:rFonts w:hint="eastAsia" w:ascii="仿宋" w:hAnsi="仿宋" w:eastAsia="仿宋" w:cs="宋体"/>
          <w:bCs w:val="0"/>
          <w:color w:val="000000"/>
          <w:sz w:val="24"/>
          <w:szCs w:val="24"/>
          <w:highlight w:val="none"/>
        </w:rPr>
      </w:pPr>
    </w:p>
    <w:p>
      <w:pPr>
        <w:pStyle w:val="5"/>
        <w:numPr>
          <w:ilvl w:val="0"/>
          <w:numId w:val="0"/>
        </w:numPr>
        <w:spacing w:before="0" w:after="0" w:line="360" w:lineRule="auto"/>
        <w:rPr>
          <w:rFonts w:hint="eastAsia" w:ascii="仿宋" w:hAnsi="仿宋" w:eastAsia="仿宋" w:cs="宋体"/>
          <w:bCs w:val="0"/>
          <w:color w:val="000000"/>
          <w:sz w:val="24"/>
          <w:szCs w:val="24"/>
          <w:highlight w:val="none"/>
        </w:rPr>
      </w:pPr>
    </w:p>
    <w:p>
      <w:pPr>
        <w:pStyle w:val="5"/>
        <w:numPr>
          <w:ilvl w:val="0"/>
          <w:numId w:val="0"/>
        </w:numPr>
        <w:spacing w:before="0" w:after="0" w:line="360" w:lineRule="auto"/>
        <w:rPr>
          <w:rFonts w:hint="eastAsia" w:ascii="仿宋" w:hAnsi="仿宋" w:eastAsia="仿宋" w:cs="宋体"/>
          <w:bCs w:val="0"/>
          <w:color w:val="000000"/>
          <w:sz w:val="24"/>
          <w:szCs w:val="24"/>
          <w:highlight w:val="none"/>
        </w:rPr>
      </w:pPr>
    </w:p>
    <w:p>
      <w:pPr>
        <w:pStyle w:val="5"/>
        <w:numPr>
          <w:ilvl w:val="0"/>
          <w:numId w:val="0"/>
        </w:numPr>
        <w:spacing w:before="0" w:after="0" w:line="360" w:lineRule="auto"/>
        <w:rPr>
          <w:rFonts w:hint="eastAsia" w:ascii="仿宋" w:hAnsi="仿宋" w:eastAsia="仿宋" w:cs="宋体"/>
          <w:bCs w:val="0"/>
          <w:color w:val="000000"/>
          <w:sz w:val="24"/>
          <w:szCs w:val="24"/>
          <w:highlight w:val="none"/>
        </w:rPr>
      </w:pPr>
    </w:p>
    <w:p>
      <w:pPr>
        <w:pStyle w:val="5"/>
        <w:numPr>
          <w:ilvl w:val="0"/>
          <w:numId w:val="0"/>
        </w:numPr>
        <w:spacing w:before="0" w:after="0" w:line="360" w:lineRule="auto"/>
        <w:rPr>
          <w:rFonts w:hint="eastAsia" w:ascii="仿宋" w:hAnsi="仿宋" w:eastAsia="仿宋" w:cs="宋体"/>
          <w:bCs w:val="0"/>
          <w:color w:val="000000"/>
          <w:sz w:val="24"/>
          <w:szCs w:val="24"/>
          <w:highlight w:val="none"/>
        </w:rPr>
      </w:pPr>
    </w:p>
    <w:p>
      <w:pPr>
        <w:pStyle w:val="5"/>
        <w:numPr>
          <w:ilvl w:val="0"/>
          <w:numId w:val="0"/>
        </w:numPr>
        <w:spacing w:before="0" w:after="0" w:line="360" w:lineRule="auto"/>
        <w:rPr>
          <w:rFonts w:hint="eastAsia" w:ascii="仿宋" w:hAnsi="仿宋" w:eastAsia="仿宋" w:cs="宋体"/>
          <w:bCs w:val="0"/>
          <w:color w:val="000000"/>
          <w:sz w:val="24"/>
          <w:szCs w:val="24"/>
          <w:highlight w:val="none"/>
        </w:rPr>
      </w:pPr>
    </w:p>
    <w:p>
      <w:pPr>
        <w:pStyle w:val="5"/>
        <w:numPr>
          <w:ilvl w:val="0"/>
          <w:numId w:val="0"/>
        </w:numPr>
        <w:spacing w:before="0" w:after="0" w:line="360" w:lineRule="auto"/>
        <w:rPr>
          <w:rFonts w:hint="eastAsia" w:ascii="仿宋" w:hAnsi="仿宋" w:eastAsia="仿宋" w:cs="宋体"/>
          <w:bCs w:val="0"/>
          <w:color w:val="000000"/>
          <w:sz w:val="24"/>
          <w:szCs w:val="24"/>
          <w:highlight w:val="none"/>
        </w:rPr>
      </w:pPr>
    </w:p>
    <w:p>
      <w:pPr>
        <w:pStyle w:val="5"/>
        <w:numPr>
          <w:ilvl w:val="0"/>
          <w:numId w:val="0"/>
        </w:numPr>
        <w:spacing w:before="0" w:after="0" w:line="360" w:lineRule="auto"/>
        <w:rPr>
          <w:rFonts w:hint="eastAsia" w:ascii="仿宋" w:hAnsi="仿宋" w:eastAsia="仿宋" w:cs="宋体"/>
          <w:bCs w:val="0"/>
          <w:color w:val="000000"/>
          <w:sz w:val="24"/>
          <w:szCs w:val="24"/>
          <w:highlight w:val="none"/>
        </w:rPr>
      </w:pPr>
    </w:p>
    <w:p>
      <w:pPr>
        <w:pStyle w:val="5"/>
        <w:numPr>
          <w:ilvl w:val="0"/>
          <w:numId w:val="0"/>
        </w:numPr>
        <w:spacing w:before="0" w:after="0" w:line="360" w:lineRule="auto"/>
        <w:rPr>
          <w:rFonts w:hint="eastAsia" w:ascii="仿宋" w:hAnsi="仿宋" w:eastAsia="仿宋" w:cs="宋体"/>
          <w:bCs w:val="0"/>
          <w:color w:val="000000"/>
          <w:sz w:val="24"/>
          <w:szCs w:val="24"/>
          <w:highlight w:val="none"/>
        </w:rPr>
      </w:pPr>
      <w:r>
        <w:rPr>
          <w:rFonts w:hint="eastAsia" w:ascii="仿宋" w:hAnsi="仿宋" w:eastAsia="仿宋" w:cs="宋体"/>
          <w:bCs w:val="0"/>
          <w:color w:val="000000"/>
          <w:sz w:val="24"/>
          <w:szCs w:val="24"/>
          <w:highlight w:val="none"/>
        </w:rPr>
        <w:t>（</w:t>
      </w:r>
      <w:r>
        <w:rPr>
          <w:rFonts w:hint="eastAsia" w:ascii="仿宋" w:hAnsi="仿宋" w:eastAsia="仿宋" w:cs="宋体"/>
          <w:bCs w:val="0"/>
          <w:color w:val="000000"/>
          <w:sz w:val="24"/>
          <w:szCs w:val="24"/>
          <w:highlight w:val="none"/>
          <w:lang w:val="en-US" w:eastAsia="zh-CN"/>
        </w:rPr>
        <w:t>十</w:t>
      </w:r>
      <w:r>
        <w:rPr>
          <w:rFonts w:hint="eastAsia" w:ascii="仿宋" w:hAnsi="仿宋" w:eastAsia="仿宋" w:cs="宋体"/>
          <w:bCs w:val="0"/>
          <w:color w:val="000000"/>
          <w:sz w:val="24"/>
          <w:szCs w:val="24"/>
          <w:highlight w:val="none"/>
        </w:rPr>
        <w:t>）其他材料</w:t>
      </w:r>
      <w:bookmarkEnd w:id="212"/>
    </w:p>
    <w:p>
      <w:pPr>
        <w:spacing w:line="360" w:lineRule="auto"/>
        <w:ind w:firstLine="480" w:firstLineChars="200"/>
        <w:rPr>
          <w:rFonts w:hint="default" w:ascii="仿宋" w:hAnsi="仿宋" w:eastAsia="仿宋" w:cs="宋体"/>
          <w:color w:val="000000"/>
          <w:sz w:val="24"/>
          <w:lang w:val="en-US" w:eastAsia="zh-CN"/>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sz w:val="24"/>
        </w:rPr>
        <w:t>供应商认为需提供的其</w:t>
      </w:r>
      <w:r>
        <w:rPr>
          <w:rFonts w:hint="eastAsia" w:ascii="仿宋" w:hAnsi="仿宋" w:eastAsia="仿宋" w:cs="宋体"/>
          <w:color w:val="000000"/>
          <w:sz w:val="24"/>
          <w:lang w:val="en-US" w:eastAsia="zh-CN"/>
        </w:rPr>
        <w:t>他材料。</w:t>
      </w:r>
    </w:p>
    <w:p>
      <w:pPr>
        <w:pStyle w:val="4"/>
        <w:ind w:firstLine="0" w:firstLineChars="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二、技术文件</w:t>
      </w:r>
      <w:bookmarkEnd w:id="199"/>
      <w:bookmarkEnd w:id="210"/>
    </w:p>
    <w:bookmarkEnd w:id="200"/>
    <w:bookmarkEnd w:id="201"/>
    <w:p>
      <w:pPr>
        <w:bidi w:val="0"/>
        <w:jc w:val="center"/>
        <w:rPr>
          <w:rFonts w:hint="eastAsia" w:ascii="仿宋" w:hAnsi="仿宋" w:eastAsia="仿宋" w:cs="仿宋"/>
          <w:b/>
          <w:bCs/>
          <w:sz w:val="24"/>
          <w:szCs w:val="24"/>
        </w:rPr>
      </w:pPr>
      <w:bookmarkStart w:id="213" w:name="_Toc30870"/>
      <w:bookmarkStart w:id="214" w:name="_Toc23108"/>
      <w:r>
        <w:rPr>
          <w:rFonts w:hint="eastAsia" w:ascii="仿宋" w:hAnsi="仿宋" w:eastAsia="仿宋" w:cs="仿宋"/>
          <w:b/>
          <w:bCs/>
          <w:sz w:val="24"/>
          <w:szCs w:val="24"/>
        </w:rPr>
        <w:t>详细评审索引表</w:t>
      </w:r>
      <w:bookmarkEnd w:id="213"/>
    </w:p>
    <w:tbl>
      <w:tblPr>
        <w:tblStyle w:val="4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b/>
                <w:color w:val="000000"/>
                <w:szCs w:val="21"/>
                <w:highlight w:val="none"/>
              </w:rPr>
            </w:pPr>
            <w:r>
              <w:rPr>
                <w:rFonts w:hint="eastAsia" w:ascii="仿宋" w:hAnsi="仿宋" w:eastAsia="仿宋" w:cs="宋体"/>
                <w:b/>
                <w:color w:val="000000"/>
                <w:kern w:val="0"/>
                <w:szCs w:val="21"/>
                <w:highlight w:val="none"/>
                <w:lang w:bidi="ar"/>
              </w:rPr>
              <w:t>序号</w:t>
            </w:r>
          </w:p>
        </w:tc>
        <w:tc>
          <w:tcPr>
            <w:tcW w:w="1696" w:type="dxa"/>
            <w:noWrap w:val="0"/>
            <w:tcMar>
              <w:top w:w="15" w:type="dxa"/>
              <w:left w:w="15" w:type="dxa"/>
              <w:right w:w="15" w:type="dxa"/>
            </w:tcMar>
            <w:vAlign w:val="center"/>
          </w:tcPr>
          <w:p>
            <w:pPr>
              <w:jc w:val="center"/>
              <w:rPr>
                <w:rFonts w:hint="eastAsia" w:ascii="仿宋" w:hAnsi="仿宋" w:eastAsia="仿宋" w:cs="宋体"/>
                <w:b/>
                <w:color w:val="000000"/>
                <w:kern w:val="0"/>
                <w:szCs w:val="21"/>
                <w:highlight w:val="none"/>
                <w:lang w:bidi="ar"/>
              </w:rPr>
            </w:pPr>
            <w:r>
              <w:rPr>
                <w:rFonts w:hint="eastAsia" w:ascii="仿宋" w:hAnsi="仿宋" w:eastAsia="仿宋" w:cs="宋体"/>
                <w:b/>
                <w:bCs/>
                <w:color w:val="000000"/>
                <w:szCs w:val="21"/>
                <w:highlight w:val="none"/>
              </w:rPr>
              <w:t>评审项</w:t>
            </w:r>
          </w:p>
        </w:tc>
        <w:tc>
          <w:tcPr>
            <w:tcW w:w="2268" w:type="dxa"/>
            <w:noWrap w:val="0"/>
            <w:vAlign w:val="top"/>
          </w:tcPr>
          <w:p>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lang w:bidi="ar"/>
              </w:rPr>
              <w:t>评审因素</w:t>
            </w:r>
          </w:p>
        </w:tc>
        <w:tc>
          <w:tcPr>
            <w:tcW w:w="4820" w:type="dxa"/>
            <w:noWrap w:val="0"/>
            <w:tcMar>
              <w:top w:w="15" w:type="dxa"/>
              <w:left w:w="15" w:type="dxa"/>
              <w:right w:w="15" w:type="dxa"/>
            </w:tcMar>
            <w:vAlign w:val="center"/>
          </w:tcPr>
          <w:p>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3</w:t>
            </w:r>
          </w:p>
        </w:tc>
        <w:tc>
          <w:tcPr>
            <w:tcW w:w="1696" w:type="dxa"/>
            <w:vMerge w:val="restart"/>
            <w:noWrap w:val="0"/>
            <w:tcMar>
              <w:top w:w="15" w:type="dxa"/>
              <w:left w:w="15" w:type="dxa"/>
              <w:right w:w="15" w:type="dxa"/>
            </w:tcMar>
            <w:vAlign w:val="center"/>
          </w:tcPr>
          <w:p>
            <w:pPr>
              <w:widowControl/>
              <w:jc w:val="center"/>
              <w:textAlignment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技术得分</w:t>
            </w:r>
          </w:p>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szCs w:val="21"/>
                <w:highlight w:val="none"/>
              </w:rPr>
              <w:t>（XX分）</w:t>
            </w:r>
          </w:p>
        </w:tc>
        <w:tc>
          <w:tcPr>
            <w:tcW w:w="2268" w:type="dxa"/>
            <w:noWrap w:val="0"/>
            <w:vAlign w:val="center"/>
          </w:tcPr>
          <w:p>
            <w:pPr>
              <w:jc w:val="center"/>
              <w:rPr>
                <w:rFonts w:hint="eastAsia" w:ascii="仿宋" w:hAnsi="仿宋" w:eastAsia="仿宋" w:cs="宋体"/>
                <w:color w:val="000000"/>
                <w:szCs w:val="21"/>
                <w:highlight w:val="none"/>
              </w:rPr>
            </w:pPr>
          </w:p>
        </w:tc>
        <w:tc>
          <w:tcPr>
            <w:tcW w:w="4820" w:type="dxa"/>
            <w:noWrap w:val="0"/>
            <w:tcMar>
              <w:top w:w="15" w:type="dxa"/>
              <w:left w:w="15" w:type="dxa"/>
              <w:right w:w="15" w:type="dxa"/>
            </w:tcMar>
            <w:vAlign w:val="center"/>
          </w:tcPr>
          <w:p>
            <w:pPr>
              <w:rPr>
                <w:rStyle w:val="117"/>
                <w:rFonts w:hint="default" w:cs="宋体"/>
                <w:color w:val="000000"/>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4</w:t>
            </w:r>
          </w:p>
        </w:tc>
        <w:tc>
          <w:tcPr>
            <w:tcW w:w="1696" w:type="dxa"/>
            <w:vMerge w:val="continue"/>
            <w:noWrap w:val="0"/>
            <w:tcMar>
              <w:top w:w="15" w:type="dxa"/>
              <w:left w:w="15" w:type="dxa"/>
              <w:right w:w="15" w:type="dxa"/>
            </w:tcMar>
            <w:vAlign w:val="center"/>
          </w:tcPr>
          <w:p>
            <w:pPr>
              <w:widowControl/>
              <w:jc w:val="center"/>
              <w:textAlignment w:val="center"/>
              <w:rPr>
                <w:rFonts w:hint="eastAsia" w:ascii="仿宋" w:hAnsi="仿宋" w:eastAsia="仿宋" w:cs="宋体"/>
                <w:color w:val="000000"/>
                <w:szCs w:val="21"/>
                <w:highlight w:val="none"/>
              </w:rPr>
            </w:pPr>
          </w:p>
        </w:tc>
        <w:tc>
          <w:tcPr>
            <w:tcW w:w="2268" w:type="dxa"/>
            <w:noWrap w:val="0"/>
            <w:vAlign w:val="center"/>
          </w:tcPr>
          <w:p>
            <w:pPr>
              <w:widowControl/>
              <w:jc w:val="center"/>
              <w:textAlignment w:val="center"/>
              <w:rPr>
                <w:rFonts w:hint="eastAsia" w:ascii="仿宋" w:hAnsi="仿宋" w:eastAsia="仿宋" w:cs="宋体"/>
                <w:color w:val="000000"/>
                <w:szCs w:val="21"/>
                <w:highlight w:val="none"/>
              </w:rPr>
            </w:pPr>
          </w:p>
        </w:tc>
        <w:tc>
          <w:tcPr>
            <w:tcW w:w="4820" w:type="dxa"/>
            <w:noWrap w:val="0"/>
            <w:tcMar>
              <w:top w:w="15" w:type="dxa"/>
              <w:left w:w="15" w:type="dxa"/>
              <w:right w:w="15" w:type="dxa"/>
            </w:tcMar>
            <w:vAlign w:val="center"/>
          </w:tcPr>
          <w:p>
            <w:pPr>
              <w:rPr>
                <w:rStyle w:val="117"/>
                <w:rFonts w:hint="default" w:cs="宋体"/>
                <w:color w:val="000000"/>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5</w:t>
            </w:r>
          </w:p>
        </w:tc>
        <w:tc>
          <w:tcPr>
            <w:tcW w:w="1696" w:type="dxa"/>
            <w:vMerge w:val="continue"/>
            <w:noWrap w:val="0"/>
            <w:tcMar>
              <w:top w:w="15" w:type="dxa"/>
              <w:left w:w="15" w:type="dxa"/>
              <w:right w:w="15" w:type="dxa"/>
            </w:tcMar>
            <w:vAlign w:val="center"/>
          </w:tcPr>
          <w:p>
            <w:pPr>
              <w:widowControl/>
              <w:jc w:val="center"/>
              <w:textAlignment w:val="center"/>
              <w:rPr>
                <w:rFonts w:hint="eastAsia" w:ascii="仿宋" w:hAnsi="仿宋" w:eastAsia="仿宋" w:cs="宋体"/>
                <w:color w:val="000000"/>
                <w:szCs w:val="21"/>
                <w:highlight w:val="none"/>
              </w:rPr>
            </w:pPr>
          </w:p>
        </w:tc>
        <w:tc>
          <w:tcPr>
            <w:tcW w:w="2268" w:type="dxa"/>
            <w:noWrap w:val="0"/>
            <w:vAlign w:val="center"/>
          </w:tcPr>
          <w:p>
            <w:pPr>
              <w:widowControl/>
              <w:jc w:val="center"/>
              <w:textAlignment w:val="center"/>
              <w:rPr>
                <w:rFonts w:hint="eastAsia" w:ascii="仿宋" w:hAnsi="仿宋" w:eastAsia="仿宋" w:cs="宋体"/>
                <w:color w:val="000000"/>
                <w:szCs w:val="21"/>
                <w:highlight w:val="none"/>
              </w:rPr>
            </w:pPr>
          </w:p>
        </w:tc>
        <w:tc>
          <w:tcPr>
            <w:tcW w:w="4820" w:type="dxa"/>
            <w:noWrap w:val="0"/>
            <w:tcMar>
              <w:top w:w="15" w:type="dxa"/>
              <w:left w:w="15" w:type="dxa"/>
              <w:right w:w="15" w:type="dxa"/>
            </w:tcMar>
            <w:vAlign w:val="center"/>
          </w:tcPr>
          <w:p>
            <w:pPr>
              <w:rPr>
                <w:rStyle w:val="117"/>
                <w:rFonts w:hint="default" w:cs="宋体"/>
                <w:color w:val="000000"/>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6</w:t>
            </w:r>
          </w:p>
        </w:tc>
        <w:tc>
          <w:tcPr>
            <w:tcW w:w="1696" w:type="dxa"/>
            <w:vMerge w:val="continue"/>
            <w:noWrap w:val="0"/>
            <w:tcMar>
              <w:top w:w="15" w:type="dxa"/>
              <w:left w:w="15" w:type="dxa"/>
              <w:right w:w="15" w:type="dxa"/>
            </w:tcMar>
            <w:vAlign w:val="center"/>
          </w:tcPr>
          <w:p>
            <w:pPr>
              <w:widowControl/>
              <w:jc w:val="center"/>
              <w:textAlignment w:val="center"/>
              <w:rPr>
                <w:rFonts w:hint="eastAsia" w:ascii="仿宋" w:hAnsi="仿宋" w:eastAsia="仿宋" w:cs="宋体"/>
                <w:color w:val="000000"/>
                <w:szCs w:val="21"/>
                <w:highlight w:val="none"/>
              </w:rPr>
            </w:pPr>
          </w:p>
        </w:tc>
        <w:tc>
          <w:tcPr>
            <w:tcW w:w="2268" w:type="dxa"/>
            <w:noWrap w:val="0"/>
            <w:vAlign w:val="center"/>
          </w:tcPr>
          <w:p>
            <w:pPr>
              <w:widowControl/>
              <w:jc w:val="center"/>
              <w:textAlignment w:val="center"/>
              <w:rPr>
                <w:rFonts w:hint="eastAsia" w:ascii="仿宋" w:hAnsi="仿宋" w:eastAsia="仿宋" w:cs="宋体"/>
                <w:color w:val="000000"/>
                <w:szCs w:val="21"/>
                <w:highlight w:val="none"/>
              </w:rPr>
            </w:pPr>
          </w:p>
        </w:tc>
        <w:tc>
          <w:tcPr>
            <w:tcW w:w="4820" w:type="dxa"/>
            <w:noWrap w:val="0"/>
            <w:tcMar>
              <w:top w:w="15" w:type="dxa"/>
              <w:left w:w="15" w:type="dxa"/>
              <w:right w:w="15" w:type="dxa"/>
            </w:tcMar>
            <w:vAlign w:val="center"/>
          </w:tcPr>
          <w:p>
            <w:pPr>
              <w:rPr>
                <w:rStyle w:val="117"/>
                <w:rFonts w:hint="default" w:cs="宋体"/>
                <w:color w:val="000000"/>
                <w:highlight w:val="none"/>
                <w:lang w:bidi="ar"/>
              </w:rPr>
            </w:pPr>
          </w:p>
        </w:tc>
      </w:tr>
    </w:tbl>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p>
    <w:p>
      <w:pPr>
        <w:pStyle w:val="5"/>
        <w:numPr>
          <w:ilvl w:val="0"/>
          <w:numId w:val="0"/>
        </w:numPr>
        <w:spacing w:before="0" w:after="0" w:line="360" w:lineRule="auto"/>
        <w:rPr>
          <w:rFonts w:hint="eastAsia" w:ascii="仿宋" w:hAnsi="仿宋" w:eastAsia="仿宋" w:cs="仿宋"/>
          <w:color w:val="000000"/>
          <w:sz w:val="24"/>
          <w:szCs w:val="24"/>
          <w:highlight w:val="none"/>
        </w:rPr>
      </w:pPr>
      <w:bookmarkStart w:id="215" w:name="_Toc17302"/>
      <w:r>
        <w:rPr>
          <w:rFonts w:hint="eastAsia" w:ascii="仿宋" w:hAnsi="仿宋" w:eastAsia="仿宋" w:cs="仿宋"/>
          <w:color w:val="000000"/>
          <w:sz w:val="24"/>
          <w:szCs w:val="24"/>
          <w:highlight w:val="none"/>
        </w:rPr>
        <w:t>（一）采购需求应答偏离表</w:t>
      </w:r>
      <w:bookmarkEnd w:id="214"/>
      <w:bookmarkEnd w:id="215"/>
    </w:p>
    <w:p>
      <w:pPr>
        <w:spacing w:line="360" w:lineRule="auto"/>
        <w:jc w:val="center"/>
        <w:rPr>
          <w:rFonts w:hint="eastAsia" w:ascii="仿宋" w:hAnsi="仿宋" w:eastAsia="仿宋" w:cs="仿宋"/>
          <w:b/>
          <w:bCs/>
          <w:color w:val="000000"/>
          <w:sz w:val="24"/>
          <w:highlight w:val="none"/>
        </w:rPr>
      </w:pPr>
      <w:bookmarkStart w:id="216" w:name="_Toc293297544"/>
      <w:bookmarkStart w:id="217" w:name="_Toc125771198"/>
      <w:bookmarkStart w:id="218" w:name="_Toc125561188"/>
      <w:r>
        <w:rPr>
          <w:rFonts w:hint="eastAsia" w:ascii="仿宋" w:hAnsi="仿宋" w:eastAsia="仿宋" w:cs="仿宋"/>
          <w:b/>
          <w:bCs/>
          <w:color w:val="000000"/>
          <w:sz w:val="24"/>
          <w:highlight w:val="none"/>
        </w:rPr>
        <w:t>采购需求应答偏离表</w:t>
      </w:r>
      <w:bookmarkEnd w:id="216"/>
      <w:bookmarkEnd w:id="217"/>
      <w:bookmarkEnd w:id="218"/>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p>
    <w:tbl>
      <w:tblPr>
        <w:tblStyle w:val="40"/>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序号</w:t>
            </w:r>
          </w:p>
        </w:tc>
        <w:tc>
          <w:tcPr>
            <w:tcW w:w="1154" w:type="pct"/>
            <w:tcBorders>
              <w:top w:val="double" w:color="auto" w:sz="4" w:space="0"/>
              <w:left w:val="single" w:color="auto" w:sz="4" w:space="0"/>
              <w:bottom w:val="single" w:color="auto" w:sz="4" w:space="0"/>
              <w:right w:val="single" w:color="auto" w:sz="4" w:space="0"/>
            </w:tcBorders>
            <w:noWrap w:val="0"/>
            <w:vAlign w:val="center"/>
          </w:tcPr>
          <w:p>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技术偏离类型(正负偏离)</w:t>
            </w:r>
          </w:p>
        </w:tc>
        <w:tc>
          <w:tcPr>
            <w:tcW w:w="1254" w:type="pct"/>
            <w:tcBorders>
              <w:top w:val="double" w:color="auto" w:sz="4" w:space="0"/>
              <w:left w:val="single" w:color="auto" w:sz="4" w:space="0"/>
              <w:bottom w:val="single" w:color="auto" w:sz="4" w:space="0"/>
              <w:right w:val="single" w:color="auto" w:sz="4" w:space="0"/>
            </w:tcBorders>
            <w:noWrap w:val="0"/>
            <w:vAlign w:val="center"/>
          </w:tcPr>
          <w:p>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noWrap w:val="0"/>
            <w:vAlign w:val="center"/>
          </w:tcPr>
          <w:p>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技术偏离的主要内容说明</w:t>
            </w:r>
          </w:p>
        </w:tc>
        <w:tc>
          <w:tcPr>
            <w:tcW w:w="728" w:type="pct"/>
            <w:tcBorders>
              <w:top w:val="double" w:color="auto" w:sz="4" w:space="0"/>
              <w:left w:val="single" w:color="auto" w:sz="4" w:space="0"/>
              <w:bottom w:val="single" w:color="auto" w:sz="4" w:space="0"/>
              <w:right w:val="double" w:color="auto" w:sz="4" w:space="0"/>
            </w:tcBorders>
            <w:noWrap w:val="0"/>
            <w:vAlign w:val="center"/>
          </w:tcPr>
          <w:p>
            <w:pPr>
              <w:spacing w:line="360" w:lineRule="auto"/>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负偏离(不满足)</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正偏离(优于)</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doub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bl>
    <w:p>
      <w:pPr>
        <w:spacing w:before="240" w:line="360" w:lineRule="auto"/>
        <w:rPr>
          <w:rFonts w:hint="eastAsia" w:ascii="仿宋" w:hAnsi="仿宋" w:eastAsia="仿宋" w:cs="Cambria Math"/>
          <w:color w:val="000000"/>
          <w:sz w:val="24"/>
          <w:highlight w:val="none"/>
        </w:rPr>
      </w:pPr>
      <w:r>
        <w:rPr>
          <w:rFonts w:hint="eastAsia" w:ascii="仿宋" w:hAnsi="仿宋" w:eastAsia="仿宋" w:cs="仿宋"/>
          <w:color w:val="000000"/>
          <w:sz w:val="24"/>
          <w:highlight w:val="none"/>
        </w:rPr>
        <w:t>注：</w:t>
      </w:r>
      <w:r>
        <w:rPr>
          <w:rFonts w:hint="eastAsia" w:ascii="仿宋" w:hAnsi="仿宋" w:eastAsia="仿宋" w:cs="Cambria Math"/>
          <w:color w:val="000000"/>
          <w:sz w:val="24"/>
          <w:highlight w:val="none"/>
        </w:rPr>
        <w:t>对于未列出的偏离内容视同供应商已完全接受竞争性磋商文件的要求，</w:t>
      </w:r>
      <w:r>
        <w:rPr>
          <w:rFonts w:hint="eastAsia" w:ascii="仿宋" w:hAnsi="仿宋" w:eastAsia="仿宋" w:cs="Cambria Math"/>
          <w:b/>
          <w:bCs/>
          <w:color w:val="000000"/>
          <w:sz w:val="24"/>
          <w:highlight w:val="none"/>
        </w:rPr>
        <w:t>如全部满足，在偏离表中应答“全部满足”即可</w:t>
      </w:r>
      <w:r>
        <w:rPr>
          <w:rFonts w:hint="eastAsia" w:ascii="仿宋" w:hAnsi="仿宋" w:eastAsia="仿宋" w:cs="Cambria Math"/>
          <w:color w:val="000000"/>
          <w:sz w:val="24"/>
          <w:highlight w:val="none"/>
        </w:rPr>
        <w:t>。</w:t>
      </w:r>
    </w:p>
    <w:p>
      <w:pPr>
        <w:spacing w:line="360" w:lineRule="auto"/>
        <w:ind w:left="480" w:hanging="480" w:hangingChars="200"/>
        <w:rPr>
          <w:rFonts w:hint="eastAsia"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pPr>
        <w:spacing w:line="440" w:lineRule="exact"/>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spacing w:line="360" w:lineRule="auto"/>
        <w:rPr>
          <w:rFonts w:hint="eastAsia" w:ascii="仿宋" w:hAnsi="仿宋" w:eastAsia="仿宋" w:cs="仿宋"/>
          <w:color w:val="000000"/>
          <w:sz w:val="24"/>
          <w:highlight w:val="none"/>
        </w:rPr>
      </w:pPr>
    </w:p>
    <w:p>
      <w:pPr>
        <w:pStyle w:val="5"/>
        <w:numPr>
          <w:ilvl w:val="0"/>
          <w:numId w:val="0"/>
        </w:numPr>
        <w:spacing w:before="0" w:after="0" w:line="360" w:lineRule="auto"/>
        <w:ind w:left="1152" w:hanging="1152"/>
        <w:rPr>
          <w:rFonts w:hint="eastAsia" w:ascii="仿宋" w:hAnsi="仿宋" w:eastAsia="仿宋" w:cs="仿宋"/>
          <w:b w:val="0"/>
          <w:bCs w:val="0"/>
          <w:color w:val="FF0000"/>
          <w:sz w:val="24"/>
          <w:szCs w:val="24"/>
          <w:highlight w:val="none"/>
        </w:rPr>
      </w:pPr>
      <w:r>
        <w:rPr>
          <w:rFonts w:hint="eastAsia" w:ascii="仿宋" w:hAnsi="仿宋" w:eastAsia="仿宋" w:cs="仿宋"/>
          <w:color w:val="000000"/>
          <w:highlight w:val="none"/>
        </w:rPr>
        <w:br w:type="page"/>
      </w:r>
      <w:bookmarkStart w:id="219" w:name="_Toc8284"/>
      <w:r>
        <w:rPr>
          <w:rFonts w:hint="eastAsia" w:ascii="仿宋" w:hAnsi="仿宋" w:eastAsia="仿宋" w:cs="仿宋"/>
          <w:color w:val="000000"/>
          <w:sz w:val="24"/>
          <w:szCs w:val="24"/>
          <w:highlight w:val="none"/>
        </w:rPr>
        <w:t>（二）技术方案</w:t>
      </w:r>
      <w:bookmarkEnd w:id="219"/>
    </w:p>
    <w:p>
      <w:pPr>
        <w:spacing w:line="360" w:lineRule="auto"/>
        <w:ind w:firstLine="480" w:firstLineChars="20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供应商应根据采购需求的要求，提供相应的文件内容以及证明材料。 </w:t>
      </w:r>
      <w:bookmarkEnd w:id="185"/>
      <w:bookmarkEnd w:id="186"/>
      <w:bookmarkEnd w:id="187"/>
      <w:bookmarkEnd w:id="188"/>
      <w:bookmarkEnd w:id="189"/>
      <w:bookmarkEnd w:id="190"/>
      <w:bookmarkStart w:id="220" w:name="_Toc517281860"/>
      <w:bookmarkStart w:id="221" w:name="_Toc444891358"/>
      <w:r>
        <w:rPr>
          <w:rFonts w:hint="eastAsia" w:ascii="仿宋" w:hAnsi="仿宋" w:eastAsia="仿宋" w:cs="仿宋"/>
          <w:color w:val="000000"/>
          <w:sz w:val="24"/>
          <w:highlight w:val="none"/>
        </w:rPr>
        <w:br w:type="page"/>
      </w:r>
    </w:p>
    <w:p>
      <w:pPr>
        <w:pStyle w:val="6"/>
        <w:numPr>
          <w:ilvl w:val="0"/>
          <w:numId w:val="0"/>
        </w:numPr>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lang w:val="en-US" w:eastAsia="zh-CN"/>
        </w:rPr>
        <w:t>1、</w:t>
      </w:r>
      <w:r>
        <w:rPr>
          <w:rFonts w:hint="eastAsia" w:ascii="仿宋" w:hAnsi="仿宋" w:eastAsia="仿宋" w:cs="Cambria Math"/>
          <w:color w:val="000000"/>
          <w:sz w:val="24"/>
          <w:szCs w:val="24"/>
          <w:highlight w:val="none"/>
        </w:rPr>
        <w:t>拟派服务团队成员汇总表</w:t>
      </w:r>
    </w:p>
    <w:tbl>
      <w:tblPr>
        <w:tblStyle w:val="40"/>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序号</w:t>
            </w:r>
          </w:p>
        </w:tc>
        <w:tc>
          <w:tcPr>
            <w:tcW w:w="1260"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姓名</w:t>
            </w:r>
          </w:p>
        </w:tc>
        <w:tc>
          <w:tcPr>
            <w:tcW w:w="851"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学历</w:t>
            </w:r>
          </w:p>
        </w:tc>
        <w:tc>
          <w:tcPr>
            <w:tcW w:w="980"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专业资质</w:t>
            </w:r>
          </w:p>
        </w:tc>
        <w:tc>
          <w:tcPr>
            <w:tcW w:w="992"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工作年限</w:t>
            </w:r>
          </w:p>
        </w:tc>
        <w:tc>
          <w:tcPr>
            <w:tcW w:w="1276"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本项目职务</w:t>
            </w:r>
          </w:p>
        </w:tc>
        <w:tc>
          <w:tcPr>
            <w:tcW w:w="1134"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服务内容</w:t>
            </w:r>
          </w:p>
        </w:tc>
        <w:tc>
          <w:tcPr>
            <w:tcW w:w="1695"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p>
        </w:tc>
        <w:tc>
          <w:tcPr>
            <w:tcW w:w="126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p>
        </w:tc>
        <w:tc>
          <w:tcPr>
            <w:tcW w:w="126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w:t>
            </w:r>
          </w:p>
        </w:tc>
        <w:tc>
          <w:tcPr>
            <w:tcW w:w="126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4</w:t>
            </w:r>
          </w:p>
        </w:tc>
        <w:tc>
          <w:tcPr>
            <w:tcW w:w="126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6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6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000000"/>
                <w:szCs w:val="21"/>
                <w:highlight w:val="none"/>
              </w:rPr>
            </w:pPr>
          </w:p>
        </w:tc>
      </w:tr>
    </w:tbl>
    <w:p>
      <w:pPr>
        <w:adjustRightInd w:val="0"/>
        <w:snapToGrid w:val="0"/>
        <w:spacing w:before="240" w:line="360" w:lineRule="auto"/>
        <w:ind w:firstLine="482" w:firstLineChars="200"/>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注：需按照采购需求中的相关要求，列明本项目服务团队所有人员信息及职责分工。</w:t>
      </w:r>
    </w:p>
    <w:p>
      <w:pPr>
        <w:rPr>
          <w:rFonts w:hint="eastAsia" w:ascii="仿宋" w:hAnsi="仿宋" w:eastAsia="仿宋" w:cs="仿宋"/>
          <w:color w:val="000000"/>
          <w:highlight w:val="none"/>
        </w:rPr>
      </w:pPr>
      <w:r>
        <w:rPr>
          <w:rFonts w:hint="eastAsia" w:ascii="仿宋" w:hAnsi="仿宋" w:eastAsia="仿宋" w:cs="仿宋"/>
          <w:color w:val="000000"/>
          <w:highlight w:val="none"/>
        </w:rPr>
        <w:br w:type="page"/>
      </w:r>
    </w:p>
    <w:p>
      <w:pPr>
        <w:pStyle w:val="6"/>
        <w:spacing w:before="0" w:after="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lang w:val="en-US" w:eastAsia="zh-CN"/>
        </w:rPr>
        <w:t>2、</w:t>
      </w:r>
      <w:r>
        <w:rPr>
          <w:rFonts w:hint="eastAsia" w:ascii="仿宋" w:hAnsi="仿宋" w:eastAsia="仿宋" w:cs="Cambria Math"/>
          <w:color w:val="000000"/>
          <w:sz w:val="24"/>
          <w:szCs w:val="24"/>
          <w:highlight w:val="none"/>
        </w:rPr>
        <w:t>拟派团队成员简历表</w:t>
      </w:r>
    </w:p>
    <w:tbl>
      <w:tblPr>
        <w:tblStyle w:val="4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姓  名</w:t>
            </w:r>
          </w:p>
        </w:tc>
        <w:tc>
          <w:tcPr>
            <w:tcW w:w="1680" w:type="dxa"/>
            <w:gridSpan w:val="3"/>
            <w:noWrap w:val="0"/>
            <w:vAlign w:val="center"/>
          </w:tcPr>
          <w:p>
            <w:pPr>
              <w:jc w:val="center"/>
              <w:rPr>
                <w:rFonts w:hint="eastAsia" w:ascii="仿宋" w:hAnsi="仿宋" w:eastAsia="仿宋" w:cs="仿宋"/>
                <w:color w:val="000000"/>
                <w:sz w:val="24"/>
                <w:highlight w:val="none"/>
              </w:rPr>
            </w:pPr>
          </w:p>
        </w:tc>
        <w:tc>
          <w:tcPr>
            <w:tcW w:w="945" w:type="dxa"/>
            <w:gridSpan w:val="2"/>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性 别</w:t>
            </w:r>
          </w:p>
        </w:tc>
        <w:tc>
          <w:tcPr>
            <w:tcW w:w="945" w:type="dxa"/>
            <w:noWrap w:val="0"/>
            <w:vAlign w:val="center"/>
          </w:tcPr>
          <w:p>
            <w:pPr>
              <w:rPr>
                <w:rFonts w:hint="eastAsia" w:ascii="仿宋" w:hAnsi="仿宋" w:eastAsia="仿宋" w:cs="仿宋"/>
                <w:color w:val="000000"/>
                <w:sz w:val="24"/>
                <w:highlight w:val="none"/>
              </w:rPr>
            </w:pPr>
          </w:p>
        </w:tc>
        <w:tc>
          <w:tcPr>
            <w:tcW w:w="1854" w:type="dxa"/>
            <w:gridSpan w:val="2"/>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出 生 日 期</w:t>
            </w:r>
          </w:p>
        </w:tc>
        <w:tc>
          <w:tcPr>
            <w:tcW w:w="2694" w:type="dxa"/>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毕业院校及专业</w:t>
            </w:r>
          </w:p>
        </w:tc>
        <w:tc>
          <w:tcPr>
            <w:tcW w:w="3570" w:type="dxa"/>
            <w:gridSpan w:val="6"/>
            <w:noWrap w:val="0"/>
            <w:vAlign w:val="center"/>
          </w:tcPr>
          <w:p>
            <w:pPr>
              <w:rPr>
                <w:rFonts w:hint="eastAsia" w:ascii="仿宋" w:hAnsi="仿宋" w:eastAsia="仿宋" w:cs="仿宋"/>
                <w:color w:val="000000"/>
                <w:sz w:val="24"/>
                <w:highlight w:val="none"/>
              </w:rPr>
            </w:pPr>
          </w:p>
        </w:tc>
        <w:tc>
          <w:tcPr>
            <w:tcW w:w="1854" w:type="dxa"/>
            <w:gridSpan w:val="2"/>
            <w:noWrap w:val="0"/>
            <w:vAlign w:val="center"/>
          </w:tcPr>
          <w:p>
            <w:pPr>
              <w:ind w:left="-1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学历</w:t>
            </w:r>
          </w:p>
        </w:tc>
        <w:tc>
          <w:tcPr>
            <w:tcW w:w="2694" w:type="dxa"/>
            <w:noWrap w:val="0"/>
            <w:vAlign w:val="center"/>
          </w:tcPr>
          <w:p>
            <w:pPr>
              <w:ind w:left="45"/>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工作年限</w:t>
            </w:r>
          </w:p>
        </w:tc>
        <w:tc>
          <w:tcPr>
            <w:tcW w:w="1974" w:type="dxa"/>
            <w:gridSpan w:val="2"/>
            <w:noWrap w:val="0"/>
            <w:vAlign w:val="center"/>
          </w:tcPr>
          <w:p>
            <w:pPr>
              <w:rPr>
                <w:rFonts w:hint="eastAsia" w:ascii="仿宋" w:hAnsi="仿宋" w:eastAsia="仿宋" w:cs="仿宋"/>
                <w:color w:val="000000"/>
                <w:sz w:val="24"/>
                <w:highlight w:val="none"/>
              </w:rPr>
            </w:pPr>
          </w:p>
        </w:tc>
        <w:tc>
          <w:tcPr>
            <w:tcW w:w="2835" w:type="dxa"/>
            <w:gridSpan w:val="4"/>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为供应商服务时间</w:t>
            </w:r>
          </w:p>
        </w:tc>
        <w:tc>
          <w:tcPr>
            <w:tcW w:w="2694" w:type="dxa"/>
            <w:noWrap w:val="0"/>
            <w:vAlign w:val="center"/>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专业资质</w:t>
            </w:r>
          </w:p>
        </w:tc>
        <w:tc>
          <w:tcPr>
            <w:tcW w:w="1974" w:type="dxa"/>
            <w:gridSpan w:val="2"/>
            <w:noWrap w:val="0"/>
            <w:vAlign w:val="center"/>
          </w:tcPr>
          <w:p>
            <w:pPr>
              <w:rPr>
                <w:rFonts w:hint="eastAsia" w:ascii="仿宋" w:hAnsi="仿宋" w:eastAsia="仿宋" w:cs="仿宋"/>
                <w:color w:val="000000"/>
                <w:sz w:val="24"/>
                <w:highlight w:val="none"/>
              </w:rPr>
            </w:pPr>
          </w:p>
        </w:tc>
        <w:tc>
          <w:tcPr>
            <w:tcW w:w="2835" w:type="dxa"/>
            <w:gridSpan w:val="4"/>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在本项目中的职务</w:t>
            </w:r>
          </w:p>
        </w:tc>
        <w:tc>
          <w:tcPr>
            <w:tcW w:w="2694" w:type="dxa"/>
            <w:noWrap w:val="0"/>
            <w:vAlign w:val="center"/>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6" w:hRule="atLeast"/>
        </w:trPr>
        <w:tc>
          <w:tcPr>
            <w:tcW w:w="9498" w:type="dxa"/>
            <w:gridSpan w:val="10"/>
            <w:noWrap w:val="0"/>
            <w:vAlign w:val="center"/>
          </w:tcPr>
          <w:p>
            <w:pPr>
              <w:ind w:firstLine="3360" w:firstLineChars="1400"/>
              <w:rPr>
                <w:rFonts w:hint="eastAsia" w:ascii="仿宋" w:hAnsi="仿宋" w:eastAsia="仿宋" w:cs="仿宋"/>
                <w:color w:val="000000"/>
                <w:sz w:val="24"/>
                <w:highlight w:val="none"/>
              </w:rPr>
            </w:pPr>
            <w:r>
              <w:rPr>
                <w:rFonts w:hint="eastAsia" w:ascii="仿宋" w:hAnsi="仿宋" w:eastAsia="仿宋" w:cs="仿宋"/>
                <w:color w:val="000000"/>
                <w:sz w:val="24"/>
                <w:highlight w:val="none"/>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528" w:hRule="atLeast"/>
        </w:trPr>
        <w:tc>
          <w:tcPr>
            <w:tcW w:w="9498" w:type="dxa"/>
            <w:gridSpan w:val="10"/>
            <w:noWrap w:val="0"/>
            <w:vAlign w:val="center"/>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00" w:hRule="atLeast"/>
        </w:trPr>
        <w:tc>
          <w:tcPr>
            <w:tcW w:w="9498" w:type="dxa"/>
            <w:gridSpan w:val="10"/>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时   间</w:t>
            </w:r>
          </w:p>
        </w:tc>
        <w:tc>
          <w:tcPr>
            <w:tcW w:w="4536" w:type="dxa"/>
            <w:gridSpan w:val="6"/>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同类项目名称及简要描述</w:t>
            </w:r>
          </w:p>
        </w:tc>
        <w:tc>
          <w:tcPr>
            <w:tcW w:w="3261" w:type="dxa"/>
            <w:gridSpan w:val="2"/>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noWrap w:val="0"/>
            <w:vAlign w:val="top"/>
          </w:tcPr>
          <w:p>
            <w:pPr>
              <w:rPr>
                <w:rFonts w:hint="eastAsia" w:ascii="仿宋" w:hAnsi="仿宋" w:eastAsia="仿宋" w:cs="仿宋"/>
                <w:color w:val="000000"/>
                <w:sz w:val="24"/>
                <w:highlight w:val="none"/>
              </w:rPr>
            </w:pPr>
          </w:p>
        </w:tc>
        <w:tc>
          <w:tcPr>
            <w:tcW w:w="4536" w:type="dxa"/>
            <w:gridSpan w:val="6"/>
            <w:noWrap w:val="0"/>
            <w:vAlign w:val="top"/>
          </w:tcPr>
          <w:p>
            <w:pPr>
              <w:rPr>
                <w:rFonts w:hint="eastAsia" w:ascii="仿宋" w:hAnsi="仿宋" w:eastAsia="仿宋" w:cs="仿宋"/>
                <w:color w:val="000000"/>
                <w:sz w:val="24"/>
                <w:highlight w:val="none"/>
              </w:rPr>
            </w:pPr>
          </w:p>
        </w:tc>
        <w:tc>
          <w:tcPr>
            <w:tcW w:w="3261" w:type="dxa"/>
            <w:gridSpan w:val="2"/>
            <w:noWrap w:val="0"/>
            <w:vAlign w:val="top"/>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noWrap w:val="0"/>
            <w:vAlign w:val="top"/>
          </w:tcPr>
          <w:p>
            <w:pPr>
              <w:rPr>
                <w:rFonts w:hint="eastAsia" w:ascii="仿宋" w:hAnsi="仿宋" w:eastAsia="仿宋" w:cs="仿宋"/>
                <w:color w:val="000000"/>
                <w:sz w:val="24"/>
                <w:highlight w:val="none"/>
              </w:rPr>
            </w:pPr>
          </w:p>
        </w:tc>
        <w:tc>
          <w:tcPr>
            <w:tcW w:w="4536" w:type="dxa"/>
            <w:gridSpan w:val="6"/>
            <w:noWrap w:val="0"/>
            <w:vAlign w:val="top"/>
          </w:tcPr>
          <w:p>
            <w:pPr>
              <w:rPr>
                <w:rFonts w:hint="eastAsia" w:ascii="仿宋" w:hAnsi="仿宋" w:eastAsia="仿宋" w:cs="仿宋"/>
                <w:color w:val="000000"/>
                <w:sz w:val="24"/>
                <w:highlight w:val="none"/>
              </w:rPr>
            </w:pPr>
          </w:p>
        </w:tc>
        <w:tc>
          <w:tcPr>
            <w:tcW w:w="3261" w:type="dxa"/>
            <w:gridSpan w:val="2"/>
            <w:noWrap w:val="0"/>
            <w:vAlign w:val="top"/>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noWrap w:val="0"/>
            <w:vAlign w:val="top"/>
          </w:tcPr>
          <w:p>
            <w:pPr>
              <w:rPr>
                <w:rFonts w:hint="eastAsia" w:ascii="仿宋" w:hAnsi="仿宋" w:eastAsia="仿宋" w:cs="仿宋"/>
                <w:color w:val="000000"/>
                <w:sz w:val="24"/>
                <w:highlight w:val="none"/>
              </w:rPr>
            </w:pPr>
          </w:p>
        </w:tc>
        <w:tc>
          <w:tcPr>
            <w:tcW w:w="4536" w:type="dxa"/>
            <w:gridSpan w:val="6"/>
            <w:noWrap w:val="0"/>
            <w:vAlign w:val="top"/>
          </w:tcPr>
          <w:p>
            <w:pPr>
              <w:rPr>
                <w:rFonts w:hint="eastAsia" w:ascii="仿宋" w:hAnsi="仿宋" w:eastAsia="仿宋" w:cs="仿宋"/>
                <w:color w:val="000000"/>
                <w:sz w:val="24"/>
                <w:highlight w:val="none"/>
              </w:rPr>
            </w:pPr>
          </w:p>
        </w:tc>
        <w:tc>
          <w:tcPr>
            <w:tcW w:w="3261" w:type="dxa"/>
            <w:gridSpan w:val="2"/>
            <w:noWrap w:val="0"/>
            <w:vAlign w:val="top"/>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noWrap w:val="0"/>
            <w:vAlign w:val="top"/>
          </w:tcPr>
          <w:p>
            <w:pPr>
              <w:rPr>
                <w:rFonts w:hint="eastAsia" w:ascii="仿宋" w:hAnsi="仿宋" w:eastAsia="仿宋" w:cs="仿宋"/>
                <w:color w:val="000000"/>
                <w:sz w:val="24"/>
                <w:highlight w:val="none"/>
              </w:rPr>
            </w:pPr>
          </w:p>
        </w:tc>
        <w:tc>
          <w:tcPr>
            <w:tcW w:w="4536" w:type="dxa"/>
            <w:gridSpan w:val="6"/>
            <w:noWrap w:val="0"/>
            <w:vAlign w:val="top"/>
          </w:tcPr>
          <w:p>
            <w:pPr>
              <w:rPr>
                <w:rFonts w:hint="eastAsia" w:ascii="仿宋" w:hAnsi="仿宋" w:eastAsia="仿宋" w:cs="仿宋"/>
                <w:color w:val="000000"/>
                <w:sz w:val="24"/>
                <w:highlight w:val="none"/>
              </w:rPr>
            </w:pPr>
          </w:p>
        </w:tc>
        <w:tc>
          <w:tcPr>
            <w:tcW w:w="3261" w:type="dxa"/>
            <w:gridSpan w:val="2"/>
            <w:noWrap w:val="0"/>
            <w:vAlign w:val="top"/>
          </w:tcPr>
          <w:p>
            <w:pPr>
              <w:rPr>
                <w:rFonts w:hint="eastAsia" w:ascii="仿宋" w:hAnsi="仿宋" w:eastAsia="仿宋" w:cs="仿宋"/>
                <w:color w:val="000000"/>
                <w:sz w:val="24"/>
                <w:highlight w:val="none"/>
              </w:rPr>
            </w:pPr>
          </w:p>
        </w:tc>
      </w:tr>
    </w:tbl>
    <w:p>
      <w:pPr>
        <w:spacing w:before="240"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注：</w:t>
      </w:r>
    </w:p>
    <w:p>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1、需随此表附上团队成员的身份证、毕业证、专业资质证书、同类项目实施经验证明等材料。</w:t>
      </w:r>
    </w:p>
    <w:p>
      <w:pPr>
        <w:spacing w:line="360" w:lineRule="auto"/>
        <w:jc w:val="lef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2、“先附简历、再附材料”为一个人员的完整材料，人员简历排放顺序需与人员汇总表一致。</w:t>
      </w:r>
    </w:p>
    <w:p>
      <w:pPr>
        <w:spacing w:line="360" w:lineRule="auto"/>
        <w:rPr>
          <w:rFonts w:hint="eastAsia" w:ascii="仿宋" w:hAnsi="仿宋" w:eastAsia="仿宋" w:cs="仿宋"/>
          <w:color w:val="000000"/>
          <w:highlight w:val="none"/>
        </w:rPr>
      </w:pPr>
    </w:p>
    <w:p>
      <w:pPr>
        <w:rPr>
          <w:rFonts w:hint="eastAsia" w:ascii="仿宋" w:hAnsi="仿宋" w:eastAsia="仿宋" w:cs="仿宋"/>
          <w:color w:val="000000"/>
          <w:highlight w:val="none"/>
        </w:rPr>
      </w:pPr>
    </w:p>
    <w:p>
      <w:pPr>
        <w:rPr>
          <w:rFonts w:hint="eastAsia" w:ascii="仿宋" w:hAnsi="仿宋" w:eastAsia="仿宋" w:cs="仿宋"/>
          <w:color w:val="000000"/>
          <w:highlight w:val="none"/>
        </w:rPr>
      </w:pPr>
      <w:r>
        <w:rPr>
          <w:rFonts w:hint="eastAsia" w:ascii="仿宋" w:hAnsi="仿宋" w:eastAsia="仿宋" w:cs="仿宋"/>
          <w:color w:val="000000"/>
          <w:highlight w:val="none"/>
        </w:rPr>
        <w:br w:type="page"/>
      </w:r>
    </w:p>
    <w:p>
      <w:pPr>
        <w:pStyle w:val="5"/>
        <w:numPr>
          <w:ilvl w:val="0"/>
          <w:numId w:val="0"/>
        </w:numPr>
        <w:spacing w:before="0" w:after="0" w:line="360" w:lineRule="auto"/>
        <w:rPr>
          <w:rFonts w:hint="eastAsia" w:ascii="仿宋" w:hAnsi="仿宋" w:eastAsia="仿宋" w:cs="仿宋"/>
          <w:color w:val="000000"/>
          <w:sz w:val="24"/>
          <w:szCs w:val="24"/>
          <w:highlight w:val="none"/>
        </w:rPr>
      </w:pPr>
      <w:bookmarkStart w:id="222" w:name="_Toc20365"/>
      <w:r>
        <w:rPr>
          <w:rFonts w:hint="eastAsia" w:ascii="仿宋" w:hAnsi="仿宋" w:eastAsia="仿宋" w:cs="仿宋"/>
          <w:color w:val="000000"/>
          <w:sz w:val="24"/>
          <w:szCs w:val="24"/>
          <w:highlight w:val="none"/>
        </w:rPr>
        <w:t>（三）</w:t>
      </w:r>
      <w:bookmarkEnd w:id="191"/>
      <w:bookmarkEnd w:id="192"/>
      <w:bookmarkEnd w:id="193"/>
      <w:bookmarkEnd w:id="194"/>
      <w:bookmarkEnd w:id="195"/>
      <w:bookmarkEnd w:id="196"/>
      <w:bookmarkEnd w:id="220"/>
      <w:bookmarkEnd w:id="221"/>
      <w:r>
        <w:rPr>
          <w:rFonts w:hint="eastAsia" w:ascii="仿宋" w:hAnsi="仿宋" w:eastAsia="仿宋" w:cs="仿宋"/>
          <w:color w:val="000000"/>
          <w:sz w:val="24"/>
          <w:szCs w:val="24"/>
          <w:highlight w:val="none"/>
        </w:rPr>
        <w:t>其他材料</w:t>
      </w:r>
      <w:bookmarkEnd w:id="222"/>
    </w:p>
    <w:p>
      <w:pPr>
        <w:spacing w:line="360" w:lineRule="auto"/>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w:t>
      </w:r>
      <w:r>
        <w:rPr>
          <w:rFonts w:ascii="仿宋" w:hAnsi="仿宋" w:eastAsia="仿宋" w:cs="Cambria Math"/>
          <w:color w:val="000000"/>
          <w:sz w:val="24"/>
          <w:highlight w:val="none"/>
        </w:rPr>
        <w:t>认为需提供的其他材料</w:t>
      </w:r>
      <w:r>
        <w:rPr>
          <w:rFonts w:hint="eastAsia" w:ascii="仿宋" w:hAnsi="仿宋" w:eastAsia="仿宋" w:cs="Cambria Math"/>
          <w:color w:val="000000"/>
          <w:sz w:val="24"/>
          <w:highlight w:val="none"/>
        </w:rPr>
        <w:t>。</w:t>
      </w:r>
    </w:p>
    <w:p>
      <w:pPr>
        <w:spacing w:line="360" w:lineRule="auto"/>
        <w:rPr>
          <w:rFonts w:hint="eastAsia" w:ascii="仿宋" w:hAnsi="仿宋" w:eastAsia="仿宋" w:cs="仿宋"/>
          <w:color w:val="000000"/>
          <w:sz w:val="24"/>
          <w:highlight w:val="none"/>
        </w:rPr>
        <w:sectPr>
          <w:pgSz w:w="11906" w:h="16838"/>
          <w:pgMar w:top="1417" w:right="1134" w:bottom="1134" w:left="1134" w:header="964" w:footer="964" w:gutter="0"/>
          <w:cols w:space="720" w:num="1"/>
          <w:docGrid w:linePitch="312" w:charSpace="0"/>
        </w:sectPr>
      </w:pPr>
    </w:p>
    <w:p>
      <w:pPr>
        <w:pStyle w:val="4"/>
        <w:ind w:firstLine="0" w:firstLineChars="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bookmarkStart w:id="223" w:name="_Toc20443"/>
      <w:r>
        <w:rPr>
          <w:rFonts w:hint="eastAsia" w:ascii="仿宋" w:hAnsi="仿宋" w:eastAsia="仿宋" w:cs="仿宋"/>
          <w:color w:val="000000"/>
          <w:sz w:val="24"/>
          <w:szCs w:val="24"/>
          <w:highlight w:val="none"/>
        </w:rPr>
        <w:t>三、报价文件</w:t>
      </w:r>
      <w:bookmarkEnd w:id="223"/>
    </w:p>
    <w:p>
      <w:pPr>
        <w:pStyle w:val="5"/>
        <w:spacing w:before="0" w:after="0" w:line="360" w:lineRule="auto"/>
        <w:ind w:firstLine="482"/>
        <w:rPr>
          <w:rFonts w:hint="eastAsia" w:ascii="仿宋" w:hAnsi="仿宋" w:eastAsia="仿宋" w:cs="仿宋"/>
          <w:color w:val="000000"/>
          <w:sz w:val="24"/>
          <w:szCs w:val="24"/>
          <w:highlight w:val="none"/>
        </w:rPr>
      </w:pPr>
      <w:bookmarkStart w:id="224" w:name="_Toc511726864"/>
      <w:bookmarkStart w:id="225" w:name="_Toc18942"/>
      <w:r>
        <w:rPr>
          <w:rFonts w:hint="eastAsia" w:ascii="仿宋" w:hAnsi="仿宋" w:eastAsia="仿宋" w:cs="仿宋"/>
          <w:color w:val="000000"/>
          <w:sz w:val="24"/>
          <w:szCs w:val="24"/>
          <w:highlight w:val="none"/>
        </w:rPr>
        <w:t>（一）报价</w:t>
      </w:r>
      <w:bookmarkEnd w:id="224"/>
      <w:r>
        <w:rPr>
          <w:rFonts w:hint="eastAsia" w:ascii="仿宋" w:hAnsi="仿宋" w:eastAsia="仿宋" w:cs="仿宋"/>
          <w:color w:val="000000"/>
          <w:sz w:val="24"/>
          <w:szCs w:val="24"/>
          <w:highlight w:val="none"/>
        </w:rPr>
        <w:t>一览表</w:t>
      </w:r>
      <w:bookmarkEnd w:id="225"/>
    </w:p>
    <w:p>
      <w:pPr>
        <w:pStyle w:val="13"/>
        <w:spacing w:line="360" w:lineRule="auto"/>
        <w:ind w:hanging="142"/>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p>
    <w:p>
      <w:pPr>
        <w:pStyle w:val="13"/>
        <w:spacing w:line="360" w:lineRule="auto"/>
        <w:ind w:hanging="14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货币单位：</w:t>
      </w:r>
      <w:r>
        <w:rPr>
          <w:rFonts w:hint="eastAsia" w:ascii="仿宋" w:hAnsi="仿宋" w:eastAsia="仿宋" w:cs="仿宋"/>
          <w:color w:val="000000"/>
          <w:sz w:val="24"/>
          <w:szCs w:val="24"/>
          <w:highlight w:val="none"/>
          <w:u w:val="single"/>
        </w:rPr>
        <w:t xml:space="preserve"> 人民币元    </w:t>
      </w:r>
    </w:p>
    <w:p>
      <w:pPr>
        <w:widowControl/>
        <w:jc w:val="center"/>
        <w:textAlignment w:val="center"/>
        <w:rPr>
          <w:rFonts w:hint="eastAsia" w:ascii="仿宋" w:hAnsi="仿宋" w:eastAsia="仿宋" w:cs="仿宋"/>
          <w:color w:val="000000"/>
          <w:kern w:val="0"/>
          <w:szCs w:val="21"/>
          <w:highlight w:val="none"/>
          <w:lang w:bidi="ar"/>
        </w:rPr>
      </w:pPr>
    </w:p>
    <w:tbl>
      <w:tblPr>
        <w:tblStyle w:val="40"/>
        <w:tblW w:w="4991" w:type="pct"/>
        <w:jc w:val="center"/>
        <w:tblLayout w:type="autofit"/>
        <w:tblCellMar>
          <w:top w:w="0" w:type="dxa"/>
          <w:left w:w="108" w:type="dxa"/>
          <w:bottom w:w="0" w:type="dxa"/>
          <w:right w:w="108" w:type="dxa"/>
        </w:tblCellMar>
      </w:tblPr>
      <w:tblGrid>
        <w:gridCol w:w="645"/>
        <w:gridCol w:w="1427"/>
        <w:gridCol w:w="2043"/>
        <w:gridCol w:w="2037"/>
        <w:gridCol w:w="1626"/>
        <w:gridCol w:w="1141"/>
        <w:gridCol w:w="917"/>
      </w:tblGrid>
      <w:tr>
        <w:tblPrEx>
          <w:tblCellMar>
            <w:top w:w="0" w:type="dxa"/>
            <w:left w:w="108" w:type="dxa"/>
            <w:bottom w:w="0" w:type="dxa"/>
            <w:right w:w="108" w:type="dxa"/>
          </w:tblCellMar>
        </w:tblPrEx>
        <w:trPr>
          <w:trHeight w:val="927" w:hRule="atLeast"/>
          <w:jc w:val="center"/>
        </w:trPr>
        <w:tc>
          <w:tcPr>
            <w:tcW w:w="328"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序号</w:t>
            </w:r>
          </w:p>
        </w:tc>
        <w:tc>
          <w:tcPr>
            <w:tcW w:w="1763" w:type="pct"/>
            <w:gridSpan w:val="2"/>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报价内容</w:t>
            </w:r>
          </w:p>
        </w:tc>
        <w:tc>
          <w:tcPr>
            <w:tcW w:w="1035" w:type="pct"/>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含税</w:t>
            </w:r>
            <w:r>
              <w:rPr>
                <w:rFonts w:hint="eastAsia" w:ascii="仿宋" w:hAnsi="仿宋" w:eastAsia="仿宋" w:cs="宋体"/>
                <w:b/>
                <w:bCs/>
                <w:color w:val="000000"/>
                <w:kern w:val="0"/>
                <w:szCs w:val="21"/>
                <w:highlight w:val="none"/>
                <w:lang w:val="en-US" w:eastAsia="zh-CN"/>
              </w:rPr>
              <w:t>单</w:t>
            </w:r>
            <w:r>
              <w:rPr>
                <w:rFonts w:hint="eastAsia" w:ascii="仿宋" w:hAnsi="仿宋" w:eastAsia="仿宋" w:cs="宋体"/>
                <w:b/>
                <w:bCs/>
                <w:color w:val="000000"/>
                <w:kern w:val="0"/>
                <w:szCs w:val="21"/>
                <w:highlight w:val="none"/>
              </w:rPr>
              <w:t>价</w:t>
            </w:r>
            <w:r>
              <w:rPr>
                <w:rFonts w:hint="eastAsia" w:ascii="仿宋" w:hAnsi="仿宋" w:eastAsia="仿宋" w:cs="宋体"/>
                <w:b/>
                <w:color w:val="000000"/>
                <w:szCs w:val="21"/>
                <w:highlight w:val="none"/>
              </w:rPr>
              <w:t>（元</w:t>
            </w:r>
            <w:r>
              <w:rPr>
                <w:rFonts w:hint="eastAsia" w:ascii="仿宋" w:hAnsi="仿宋" w:eastAsia="仿宋" w:cs="宋体"/>
                <w:b/>
                <w:color w:val="000000"/>
                <w:szCs w:val="21"/>
                <w:highlight w:val="none"/>
                <w:lang w:val="en-US" w:eastAsia="zh-CN"/>
              </w:rPr>
              <w:t>/亩</w:t>
            </w:r>
            <w:r>
              <w:rPr>
                <w:rFonts w:hint="eastAsia" w:ascii="仿宋" w:hAnsi="仿宋" w:eastAsia="仿宋" w:cs="宋体"/>
                <w:b/>
                <w:color w:val="000000"/>
                <w:szCs w:val="21"/>
                <w:highlight w:val="none"/>
              </w:rPr>
              <w:t>）</w:t>
            </w:r>
          </w:p>
        </w:tc>
        <w:tc>
          <w:tcPr>
            <w:tcW w:w="826"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不含税</w:t>
            </w:r>
            <w:r>
              <w:rPr>
                <w:rFonts w:hint="eastAsia" w:ascii="仿宋" w:hAnsi="仿宋" w:eastAsia="仿宋" w:cs="宋体"/>
                <w:b/>
                <w:bCs/>
                <w:color w:val="000000"/>
                <w:kern w:val="0"/>
                <w:szCs w:val="21"/>
                <w:highlight w:val="none"/>
                <w:lang w:val="en-US" w:eastAsia="zh-CN"/>
              </w:rPr>
              <w:t>单</w:t>
            </w:r>
            <w:r>
              <w:rPr>
                <w:rFonts w:hint="eastAsia" w:ascii="仿宋" w:hAnsi="仿宋" w:eastAsia="仿宋" w:cs="宋体"/>
                <w:b/>
                <w:bCs/>
                <w:color w:val="000000"/>
                <w:kern w:val="0"/>
                <w:szCs w:val="21"/>
                <w:highlight w:val="none"/>
              </w:rPr>
              <w:t>价</w:t>
            </w:r>
            <w:r>
              <w:rPr>
                <w:rFonts w:hint="eastAsia" w:ascii="仿宋" w:hAnsi="仿宋" w:eastAsia="仿宋" w:cs="宋体"/>
                <w:b/>
                <w:color w:val="000000"/>
                <w:szCs w:val="21"/>
                <w:highlight w:val="none"/>
              </w:rPr>
              <w:t>（元</w:t>
            </w:r>
            <w:r>
              <w:rPr>
                <w:rFonts w:hint="eastAsia" w:ascii="仿宋" w:hAnsi="仿宋" w:eastAsia="仿宋" w:cs="宋体"/>
                <w:b/>
                <w:color w:val="000000"/>
                <w:szCs w:val="21"/>
                <w:highlight w:val="none"/>
                <w:lang w:val="en-US" w:eastAsia="zh-CN"/>
              </w:rPr>
              <w:t>/亩</w:t>
            </w:r>
            <w:r>
              <w:rPr>
                <w:rFonts w:hint="eastAsia" w:ascii="仿宋" w:hAnsi="仿宋" w:eastAsia="仿宋" w:cs="宋体"/>
                <w:b/>
                <w:color w:val="000000"/>
                <w:szCs w:val="21"/>
                <w:highlight w:val="none"/>
              </w:rPr>
              <w:t>）</w:t>
            </w:r>
          </w:p>
        </w:tc>
        <w:tc>
          <w:tcPr>
            <w:tcW w:w="5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税率</w:t>
            </w:r>
          </w:p>
          <w:p>
            <w:pPr>
              <w:widowControl/>
              <w:jc w:val="center"/>
              <w:rPr>
                <w:rFonts w:hint="eastAsia" w:ascii="仿宋" w:hAnsi="仿宋" w:eastAsia="仿宋" w:cs="宋体"/>
                <w:color w:val="000000"/>
                <w:szCs w:val="21"/>
                <w:highlight w:val="none"/>
              </w:rPr>
            </w:pPr>
            <w:r>
              <w:rPr>
                <w:rFonts w:hint="eastAsia" w:ascii="仿宋" w:hAnsi="仿宋" w:eastAsia="仿宋" w:cs="宋体"/>
                <w:b/>
                <w:bCs/>
                <w:color w:val="000000"/>
                <w:kern w:val="0"/>
                <w:szCs w:val="21"/>
                <w:highlight w:val="none"/>
              </w:rPr>
              <w:t>（%）</w:t>
            </w:r>
          </w:p>
        </w:tc>
        <w:tc>
          <w:tcPr>
            <w:tcW w:w="466"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备注</w:t>
            </w:r>
          </w:p>
        </w:tc>
      </w:tr>
      <w:tr>
        <w:tblPrEx>
          <w:tblCellMar>
            <w:top w:w="0" w:type="dxa"/>
            <w:left w:w="108" w:type="dxa"/>
            <w:bottom w:w="0" w:type="dxa"/>
            <w:right w:w="108" w:type="dxa"/>
          </w:tblCellMar>
        </w:tblPrEx>
        <w:trPr>
          <w:trHeight w:val="1089" w:hRule="atLeast"/>
          <w:jc w:val="center"/>
        </w:trPr>
        <w:tc>
          <w:tcPr>
            <w:tcW w:w="328" w:type="pct"/>
            <w:vMerge w:val="restart"/>
            <w:tcBorders>
              <w:top w:val="single" w:color="auto" w:sz="4" w:space="0"/>
              <w:left w:val="single" w:color="auto" w:sz="4" w:space="0"/>
              <w:right w:val="single" w:color="auto" w:sz="4" w:space="0"/>
            </w:tcBorders>
            <w:noWrap w:val="0"/>
            <w:vAlign w:val="center"/>
          </w:tcPr>
          <w:p>
            <w:pPr>
              <w:widowControl/>
              <w:jc w:val="center"/>
              <w:rPr>
                <w:rFonts w:hint="eastAsia" w:ascii="仿宋" w:hAnsi="仿宋" w:eastAsia="仿宋" w:cs="宋体"/>
                <w:bCs/>
                <w:color w:val="000000"/>
                <w:kern w:val="0"/>
                <w:szCs w:val="21"/>
                <w:highlight w:val="none"/>
              </w:rPr>
            </w:pPr>
            <w:r>
              <w:rPr>
                <w:rFonts w:hint="eastAsia" w:ascii="仿宋" w:hAnsi="仿宋" w:eastAsia="仿宋" w:cs="宋体"/>
                <w:bCs/>
                <w:color w:val="000000"/>
                <w:kern w:val="0"/>
                <w:szCs w:val="21"/>
                <w:highlight w:val="none"/>
              </w:rPr>
              <w:t>1</w:t>
            </w:r>
          </w:p>
        </w:tc>
        <w:tc>
          <w:tcPr>
            <w:tcW w:w="725" w:type="pct"/>
            <w:vMerge w:val="restart"/>
            <w:tcBorders>
              <w:top w:val="single" w:color="auto" w:sz="4" w:space="0"/>
              <w:left w:val="single" w:color="auto" w:sz="4" w:space="0"/>
              <w:right w:val="single" w:color="auto" w:sz="4" w:space="0"/>
            </w:tcBorders>
            <w:noWrap w:val="0"/>
            <w:vAlign w:val="center"/>
          </w:tcPr>
          <w:p>
            <w:pPr>
              <w:widowControl/>
              <w:jc w:val="center"/>
              <w:rPr>
                <w:rFonts w:hint="default" w:ascii="仿宋" w:hAnsi="仿宋" w:eastAsia="仿宋" w:cs="宋体"/>
                <w:bCs/>
                <w:color w:val="000000"/>
                <w:kern w:val="0"/>
                <w:szCs w:val="21"/>
                <w:highlight w:val="none"/>
                <w:lang w:val="en-US" w:eastAsia="zh-CN"/>
              </w:rPr>
            </w:pPr>
            <w:r>
              <w:rPr>
                <w:rFonts w:hint="eastAsia" w:ascii="仿宋" w:hAnsi="仿宋" w:eastAsia="仿宋" w:cs="宋体"/>
                <w:bCs/>
                <w:color w:val="000000"/>
                <w:kern w:val="0"/>
                <w:szCs w:val="21"/>
                <w:highlight w:val="none"/>
                <w:lang w:val="en-US" w:eastAsia="zh-CN"/>
              </w:rPr>
              <w:t>耕地数据服务</w:t>
            </w:r>
          </w:p>
        </w:tc>
        <w:tc>
          <w:tcPr>
            <w:tcW w:w="1037"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仿宋" w:hAnsi="仿宋" w:eastAsia="仿宋" w:cs="宋体"/>
                <w:color w:val="000000"/>
                <w:kern w:val="0"/>
                <w:szCs w:val="21"/>
                <w:highlight w:val="none"/>
                <w:lang w:val="en-US" w:eastAsia="zh-CN"/>
              </w:rPr>
            </w:pPr>
            <w:r>
              <w:rPr>
                <w:rFonts w:hint="eastAsia" w:ascii="仿宋" w:hAnsi="仿宋" w:eastAsia="仿宋" w:cs="宋体"/>
                <w:color w:val="000000"/>
                <w:kern w:val="0"/>
                <w:szCs w:val="21"/>
                <w:highlight w:val="none"/>
                <w:lang w:val="en-US" w:eastAsia="zh-CN"/>
              </w:rPr>
              <w:t>含“承保业务数据关联”服务</w:t>
            </w:r>
          </w:p>
        </w:tc>
        <w:tc>
          <w:tcPr>
            <w:tcW w:w="1035"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lang w:val="en-US" w:eastAsia="zh-CN"/>
              </w:rPr>
            </w:pPr>
          </w:p>
        </w:tc>
        <w:tc>
          <w:tcPr>
            <w:tcW w:w="826"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lang w:val="en-US" w:eastAsia="zh-CN"/>
              </w:rPr>
            </w:pPr>
          </w:p>
        </w:tc>
        <w:tc>
          <w:tcPr>
            <w:tcW w:w="580"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 xml:space="preserve">  </w:t>
            </w:r>
          </w:p>
        </w:tc>
        <w:tc>
          <w:tcPr>
            <w:tcW w:w="466"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rPr>
            </w:pPr>
          </w:p>
        </w:tc>
      </w:tr>
      <w:tr>
        <w:tblPrEx>
          <w:tblCellMar>
            <w:top w:w="0" w:type="dxa"/>
            <w:left w:w="108" w:type="dxa"/>
            <w:bottom w:w="0" w:type="dxa"/>
            <w:right w:w="108" w:type="dxa"/>
          </w:tblCellMar>
        </w:tblPrEx>
        <w:trPr>
          <w:trHeight w:val="849" w:hRule="atLeast"/>
          <w:jc w:val="center"/>
        </w:trPr>
        <w:tc>
          <w:tcPr>
            <w:tcW w:w="328" w:type="pct"/>
            <w:vMerge w:val="continue"/>
            <w:tcBorders>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Cs/>
                <w:color w:val="000000"/>
                <w:kern w:val="0"/>
                <w:szCs w:val="21"/>
                <w:highlight w:val="none"/>
                <w:lang w:val="en-US" w:eastAsia="zh-CN"/>
              </w:rPr>
            </w:pPr>
          </w:p>
        </w:tc>
        <w:tc>
          <w:tcPr>
            <w:tcW w:w="725" w:type="pct"/>
            <w:vMerge w:val="continue"/>
            <w:tcBorders>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Cs/>
                <w:color w:val="000000"/>
                <w:kern w:val="0"/>
                <w:szCs w:val="21"/>
                <w:highlight w:val="none"/>
                <w:lang w:val="en-US" w:eastAsia="zh-CN"/>
              </w:rPr>
            </w:pPr>
          </w:p>
        </w:tc>
        <w:tc>
          <w:tcPr>
            <w:tcW w:w="1037"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仿宋" w:hAnsi="仿宋" w:eastAsia="仿宋" w:cs="宋体"/>
                <w:color w:val="000000"/>
                <w:kern w:val="0"/>
                <w:szCs w:val="21"/>
                <w:highlight w:val="none"/>
                <w:lang w:val="en-US" w:eastAsia="zh-CN"/>
              </w:rPr>
            </w:pPr>
            <w:r>
              <w:rPr>
                <w:rFonts w:hint="eastAsia" w:ascii="仿宋" w:hAnsi="仿宋" w:eastAsia="仿宋" w:cs="宋体"/>
                <w:color w:val="000000"/>
                <w:kern w:val="0"/>
                <w:szCs w:val="21"/>
                <w:highlight w:val="none"/>
                <w:lang w:val="en-US" w:eastAsia="zh-CN"/>
              </w:rPr>
              <w:t>不含“承保业务数据关联”服务</w:t>
            </w:r>
          </w:p>
        </w:tc>
        <w:tc>
          <w:tcPr>
            <w:tcW w:w="1035"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仿宋" w:hAnsi="仿宋" w:eastAsia="仿宋" w:cs="宋体"/>
                <w:color w:val="000000"/>
                <w:kern w:val="0"/>
                <w:szCs w:val="21"/>
                <w:highlight w:val="none"/>
                <w:lang w:val="en-US" w:eastAsia="zh-CN"/>
              </w:rPr>
            </w:pPr>
          </w:p>
        </w:tc>
        <w:tc>
          <w:tcPr>
            <w:tcW w:w="826"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仿宋" w:hAnsi="仿宋" w:eastAsia="仿宋" w:cs="宋体"/>
                <w:color w:val="000000"/>
                <w:kern w:val="0"/>
                <w:szCs w:val="21"/>
                <w:highlight w:val="none"/>
                <w:lang w:val="en-US" w:eastAsia="zh-CN"/>
              </w:rPr>
            </w:pPr>
          </w:p>
        </w:tc>
        <w:tc>
          <w:tcPr>
            <w:tcW w:w="580"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 w:hAnsi="仿宋" w:eastAsia="仿宋" w:cs="宋体"/>
                <w:color w:val="000000"/>
                <w:kern w:val="0"/>
                <w:szCs w:val="21"/>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rPr>
            </w:pPr>
          </w:p>
        </w:tc>
      </w:tr>
      <w:tr>
        <w:tblPrEx>
          <w:tblCellMar>
            <w:top w:w="0" w:type="dxa"/>
            <w:left w:w="108" w:type="dxa"/>
            <w:bottom w:w="0" w:type="dxa"/>
            <w:right w:w="108" w:type="dxa"/>
          </w:tblCellMar>
        </w:tblPrEx>
        <w:trPr>
          <w:trHeight w:val="979" w:hRule="atLeast"/>
          <w:jc w:val="center"/>
        </w:trPr>
        <w:tc>
          <w:tcPr>
            <w:tcW w:w="328"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Cs/>
                <w:color w:val="000000"/>
                <w:kern w:val="0"/>
                <w:szCs w:val="21"/>
                <w:highlight w:val="none"/>
                <w:lang w:val="en-US" w:eastAsia="zh-CN"/>
              </w:rPr>
            </w:pPr>
            <w:r>
              <w:rPr>
                <w:rFonts w:hint="eastAsia" w:ascii="仿宋" w:hAnsi="仿宋" w:eastAsia="仿宋" w:cs="宋体"/>
                <w:bCs/>
                <w:color w:val="000000"/>
                <w:kern w:val="0"/>
                <w:szCs w:val="21"/>
                <w:highlight w:val="none"/>
                <w:lang w:val="en-US" w:eastAsia="zh-CN"/>
              </w:rPr>
              <w:t>2</w:t>
            </w:r>
          </w:p>
        </w:tc>
        <w:tc>
          <w:tcPr>
            <w:tcW w:w="1763" w:type="pct"/>
            <w:gridSpan w:val="2"/>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rPr>
            </w:pPr>
            <w:r>
              <w:rPr>
                <w:rFonts w:hint="eastAsia" w:ascii="仿宋" w:hAnsi="仿宋" w:eastAsia="仿宋" w:cs="宋体"/>
                <w:bCs/>
                <w:color w:val="000000"/>
                <w:kern w:val="0"/>
                <w:szCs w:val="21"/>
                <w:highlight w:val="none"/>
                <w:lang w:val="en-US" w:eastAsia="zh-CN"/>
              </w:rPr>
              <w:t>林地数据服务</w:t>
            </w:r>
          </w:p>
        </w:tc>
        <w:tc>
          <w:tcPr>
            <w:tcW w:w="1035"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仿宋" w:hAnsi="仿宋" w:eastAsia="仿宋" w:cs="宋体"/>
                <w:color w:val="000000"/>
                <w:kern w:val="0"/>
                <w:szCs w:val="21"/>
                <w:highlight w:val="none"/>
                <w:lang w:val="en-US" w:eastAsia="zh-CN"/>
              </w:rPr>
            </w:pPr>
          </w:p>
        </w:tc>
        <w:tc>
          <w:tcPr>
            <w:tcW w:w="826"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仿宋" w:hAnsi="仿宋" w:eastAsia="仿宋" w:cs="宋体"/>
                <w:color w:val="000000"/>
                <w:kern w:val="0"/>
                <w:szCs w:val="21"/>
                <w:highlight w:val="none"/>
                <w:lang w:val="en-US" w:eastAsia="zh-CN"/>
              </w:rPr>
            </w:pPr>
          </w:p>
        </w:tc>
        <w:tc>
          <w:tcPr>
            <w:tcW w:w="580"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 w:hAnsi="仿宋" w:eastAsia="仿宋" w:cs="宋体"/>
                <w:color w:val="000000"/>
                <w:kern w:val="0"/>
                <w:szCs w:val="21"/>
                <w:highlight w:val="none"/>
              </w:rPr>
            </w:pPr>
          </w:p>
        </w:tc>
        <w:tc>
          <w:tcPr>
            <w:tcW w:w="466"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rPr>
            </w:pPr>
          </w:p>
        </w:tc>
      </w:tr>
    </w:tbl>
    <w:p>
      <w:pPr>
        <w:spacing w:line="360" w:lineRule="auto"/>
        <w:rPr>
          <w:rFonts w:ascii="仿宋" w:hAnsi="仿宋" w:eastAsia="仿宋" w:cs="仿宋"/>
          <w:bCs/>
          <w:color w:val="000000"/>
          <w:sz w:val="24"/>
          <w:highlight w:val="none"/>
        </w:rPr>
      </w:pPr>
    </w:p>
    <w:p>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备注：</w:t>
      </w:r>
    </w:p>
    <w:p>
      <w:pPr>
        <w:numPr>
          <w:ilvl w:val="0"/>
          <w:numId w:val="0"/>
        </w:numPr>
        <w:spacing w:line="360" w:lineRule="auto"/>
        <w:rPr>
          <w:rFonts w:hint="eastAsia" w:ascii="仿宋" w:hAnsi="仿宋" w:eastAsia="仿宋"/>
          <w:bCs/>
          <w:sz w:val="24"/>
          <w:highlight w:val="none"/>
        </w:rPr>
      </w:pPr>
      <w:r>
        <w:rPr>
          <w:rFonts w:hint="eastAsia" w:ascii="仿宋" w:hAnsi="仿宋" w:eastAsia="仿宋"/>
          <w:bCs/>
          <w:sz w:val="24"/>
          <w:highlight w:val="none"/>
          <w:lang w:val="en-US" w:eastAsia="zh-CN"/>
        </w:rPr>
        <w:t>1.</w:t>
      </w:r>
      <w:r>
        <w:rPr>
          <w:rFonts w:hint="eastAsia" w:ascii="仿宋" w:hAnsi="仿宋" w:eastAsia="仿宋"/>
          <w:bCs/>
          <w:sz w:val="24"/>
          <w:highlight w:val="none"/>
        </w:rPr>
        <w:t>本次报价精确到小数点后两位（四舍五入）。</w:t>
      </w:r>
    </w:p>
    <w:p>
      <w:pPr>
        <w:pStyle w:val="107"/>
        <w:numPr>
          <w:ilvl w:val="0"/>
          <w:numId w:val="0"/>
        </w:numPr>
        <w:spacing w:line="360" w:lineRule="auto"/>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2.含税价=不含税价*(1+税率)，若报价与此公式不符，增值税专用发票以不含税</w:t>
      </w:r>
    </w:p>
    <w:p>
      <w:pPr>
        <w:pStyle w:val="107"/>
        <w:numPr>
          <w:ilvl w:val="0"/>
          <w:numId w:val="0"/>
        </w:numPr>
        <w:spacing w:line="360" w:lineRule="auto"/>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价为准进行修正，增值税普通发票以含税价进行修正。</w:t>
      </w:r>
    </w:p>
    <w:p>
      <w:pPr>
        <w:pStyle w:val="107"/>
        <w:numPr>
          <w:ilvl w:val="0"/>
          <w:numId w:val="0"/>
        </w:numPr>
        <w:spacing w:line="360" w:lineRule="auto"/>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3.后续如因国家税率调整，专票以不含税价不变进行调整，普票以含税价不变进行</w:t>
      </w:r>
    </w:p>
    <w:p>
      <w:pPr>
        <w:pStyle w:val="107"/>
        <w:numPr>
          <w:ilvl w:val="0"/>
          <w:numId w:val="0"/>
        </w:numPr>
        <w:spacing w:line="360" w:lineRule="auto"/>
        <w:rPr>
          <w:rFonts w:hint="default"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调整。</w:t>
      </w:r>
    </w:p>
    <w:p>
      <w:pPr>
        <w:spacing w:line="360" w:lineRule="auto"/>
        <w:jc w:val="both"/>
        <w:rPr>
          <w:rFonts w:hint="eastAsia" w:ascii="仿宋" w:hAnsi="仿宋" w:eastAsia="仿宋" w:cs="仿宋"/>
          <w:color w:val="000000"/>
          <w:sz w:val="24"/>
          <w:highlight w:val="none"/>
        </w:rPr>
      </w:pPr>
    </w:p>
    <w:p>
      <w:pPr>
        <w:numPr>
          <w:ilvl w:val="0"/>
          <w:numId w:val="1"/>
        </w:numPr>
        <w:spacing w:line="440" w:lineRule="exact"/>
        <w:jc w:val="right"/>
        <w:rPr>
          <w:rFonts w:ascii="仿宋" w:hAnsi="仿宋" w:eastAsia="仿宋" w:cs="宋体"/>
          <w:color w:val="000000"/>
          <w:sz w:val="24"/>
          <w:highlight w:val="none"/>
        </w:rPr>
      </w:pPr>
      <w:bookmarkStart w:id="226" w:name="_Toc530319762"/>
      <w:bookmarkStart w:id="227" w:name="_Toc517281864"/>
      <w:bookmarkStart w:id="228" w:name="_Toc16591840"/>
      <w:bookmarkStart w:id="229" w:name="_Toc2267055"/>
      <w:bookmarkStart w:id="230" w:name="_Toc518302646"/>
      <w:bookmarkStart w:id="231" w:name="_Toc482180015"/>
    </w:p>
    <w:p>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（盖章）</w:t>
      </w:r>
    </w:p>
    <w:p>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法定代表人或其授权代理人：</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u w:val="single"/>
          <w:lang w:val="en-US" w:eastAsia="zh-CN"/>
        </w:rPr>
        <w:t xml:space="preserve">         </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（签字）</w:t>
      </w:r>
    </w:p>
    <w:p>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日期：</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年</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月</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日</w:t>
      </w:r>
    </w:p>
    <w:bookmarkEnd w:id="226"/>
    <w:bookmarkEnd w:id="227"/>
    <w:bookmarkEnd w:id="228"/>
    <w:bookmarkEnd w:id="229"/>
    <w:bookmarkEnd w:id="230"/>
    <w:bookmarkEnd w:id="231"/>
    <w:p>
      <w:pPr>
        <w:rPr>
          <w:rFonts w:hint="eastAsia"/>
          <w:highlight w:val="none"/>
        </w:rPr>
      </w:pPr>
    </w:p>
    <w:sectPr>
      <w:type w:val="continuous"/>
      <w:pgSz w:w="11906" w:h="16838"/>
      <w:pgMar w:top="1417" w:right="1134" w:bottom="1134" w:left="1134" w:header="964"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Wingdings 2">
    <w:altName w:val="Wingdings"/>
    <w:panose1 w:val="05020102010507070707"/>
    <w:charset w:val="00"/>
    <w:family w:val="auto"/>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5"/>
      </w:rPr>
    </w:pPr>
    <w:r>
      <w:fldChar w:fldCharType="begin"/>
    </w:r>
    <w:r>
      <w:rPr>
        <w:rStyle w:val="45"/>
      </w:rPr>
      <w:instrText xml:space="preserve">PAGE  </w:instrText>
    </w:r>
    <w:r>
      <w:fldChar w:fldCharType="separate"/>
    </w:r>
    <w:r>
      <w:rPr>
        <w:rStyle w:val="45"/>
      </w:rPr>
      <w:t>4</w:t>
    </w:r>
    <w:r>
      <w:fldChar w:fldCharType="end"/>
    </w:r>
  </w:p>
  <w:p>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ind w:firstLine="4500" w:firstLineChars="2500"/>
      <w:rPr>
        <w:rStyle w:val="45"/>
      </w:rPr>
    </w:pPr>
    <w:r>
      <w:fldChar w:fldCharType="begin"/>
    </w:r>
    <w:r>
      <w:rPr>
        <w:rStyle w:val="45"/>
      </w:rPr>
      <w:instrText xml:space="preserve">PAGE  </w:instrText>
    </w:r>
    <w:r>
      <w:fldChar w:fldCharType="separate"/>
    </w:r>
    <w:r>
      <w:rPr>
        <w:rStyle w:val="45"/>
      </w:rPr>
      <w:t>19</w:t>
    </w:r>
    <w:r>
      <w:fldChar w:fldCharType="end"/>
    </w:r>
  </w:p>
  <w:p>
    <w:pPr>
      <w:pStyle w:val="26"/>
      <w:framePr w:wrap="around" w:vAnchor="text" w:hAnchor="margin" w:xAlign="center" w:y="1"/>
      <w:rPr>
        <w:rStyle w:val="45"/>
      </w:rPr>
    </w:pPr>
  </w:p>
  <w:p>
    <w:pPr>
      <w:pStyle w:val="2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jc w:val="center"/>
                          </w:pP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M3VLCtIBAACjAwAADgAAAAAAAAABACAAAAAi&#10;AQAAZHJzL2Uyb0RvYy54bWxQSwUGAAAAAAYABgBZAQAAZgUAAAAA&#10;">
              <v:fill on="f" focussize="0,0"/>
              <v:stroke on="f" weight="1.25pt"/>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rPr>
                              <w:rStyle w:val="45"/>
                            </w:rPr>
                          </w:pPr>
                          <w:r>
                            <w:fldChar w:fldCharType="begin"/>
                          </w:r>
                          <w:r>
                            <w:rPr>
                              <w:rStyle w:val="45"/>
                            </w:rPr>
                            <w:instrText xml:space="preserve">PAGE  </w:instrText>
                          </w:r>
                          <w:r>
                            <w:fldChar w:fldCharType="separate"/>
                          </w:r>
                          <w:r>
                            <w:rPr>
                              <w:rStyle w:val="45"/>
                            </w:rPr>
                            <w:t>10</w:t>
                          </w:r>
                          <w: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&#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CzJJDB0QEAAKQDAAAOAAAAAAAAAAEAIAAAACIB&#10;AABkcnMvZTJvRG9jLnhtbFBLBQYAAAAABgAGAFkBAABlBQAAAAA=&#10;">
              <v:fill on="f" focussize="0,0"/>
              <v:stroke on="f" weight="1.25pt"/>
              <v:imagedata o:title=""/>
              <o:lock v:ext="edit" aspectratio="f"/>
              <v:textbox inset="0mm,0mm,0mm,0mm" style="mso-fit-shape-to-text:t;">
                <w:txbxContent>
                  <w:p>
                    <w:pPr>
                      <w:pStyle w:val="26"/>
                      <w:rPr>
                        <w:rStyle w:val="45"/>
                      </w:rPr>
                    </w:pPr>
                    <w:r>
                      <w:fldChar w:fldCharType="begin"/>
                    </w:r>
                    <w:r>
                      <w:rPr>
                        <w:rStyle w:val="45"/>
                      </w:rPr>
                      <w:instrText xml:space="preserve">PAGE  </w:instrText>
                    </w:r>
                    <w:r>
                      <w:fldChar w:fldCharType="separate"/>
                    </w:r>
                    <w:r>
                      <w:rPr>
                        <w:rStyle w:val="45"/>
                      </w:rPr>
                      <w:t>10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6"/>
                            <w:jc w:val="center"/>
                          </w:pPr>
                          <w:r>
                            <w:fldChar w:fldCharType="begin"/>
                          </w:r>
                          <w:r>
                            <w:instrText xml:space="preserve">PAGE   \* MERGEFORMAT</w:instrText>
                          </w:r>
                          <w:r>
                            <w:fldChar w:fldCharType="separate"/>
                          </w:r>
                          <w:r>
                            <w:rPr>
                              <w:lang w:val="zh-CN"/>
                            </w:rPr>
                            <w:t>20</w:t>
                          </w:r>
                          <w:r>
                            <w:fldChar w:fldCharType="end"/>
                          </w:r>
                        </w:p>
                      </w:txbxContent>
                    </wps:txbx>
                    <wps:bodyPr wrap="none" lIns="0" tIns="0" rIns="0" bIns="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ZgHIsgBAACa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s3EIUe+7skW5HoR3h4RNlN5yhRF2KowjK+ym9co78ee9ZD39Up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IGYByLIAQAAmgMAAA4AAAAAAAAAAQAgAAAAHgEAAGRycy9lMm9Eb2Mu&#10;eG1sUEsFBgAAAAAGAAYAWQEAAFgFAAAAAA==&#10;">
              <v:fill on="f" focussize="0,0"/>
              <v:stroke on="f"/>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20</w:t>
                    </w:r>
                    <w:r>
                      <w:fldChar w:fldCharType="end"/>
                    </w:r>
                  </w:p>
                </w:txbxContent>
              </v:textbox>
            </v:shape>
          </w:pict>
        </mc:Fallback>
      </mc:AlternateContent>
    </w:r>
  </w:p>
  <w:p>
    <w:pPr>
      <w:pStyle w:val="2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jc w:val="center"/>
                          </w:pPr>
                          <w:r>
                            <w:fldChar w:fldCharType="begin"/>
                          </w:r>
                          <w:r>
                            <w:instrText xml:space="preserve">PAGE   \* MERGEFORMAT</w:instrText>
                          </w:r>
                          <w:r>
                            <w:fldChar w:fldCharType="separate"/>
                          </w:r>
                          <w:r>
                            <w:rPr>
                              <w:lang w:val="zh-CN"/>
                            </w:rPr>
                            <w:t>26</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&#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ZhRST9IBAACkAwAADgAAAAAAAAABACAAAAAi&#10;AQAAZHJzL2Uyb0RvYy54bWxQSwUGAAAAAAYABgBZAQAAZgUAAAAA&#10;">
              <v:fill on="f" focussize="0,0"/>
              <v:stroke on="f" weight="1.25pt"/>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26</w:t>
                    </w:r>
                    <w:r>
                      <w:fldChar w:fldCharType="end"/>
                    </w:r>
                  </w:p>
                </w:txbxContent>
              </v:textbox>
            </v:shape>
          </w:pict>
        </mc:Fallback>
      </mc:AlternateContent>
    </w:r>
  </w:p>
  <w:p>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rPr>
        <w:rFonts w:hint="eastAsia" w:ascii="仿宋" w:hAnsi="仿宋" w:eastAsia="仿宋" w:cs="仿宋"/>
      </w:rPr>
      <w:t>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rPr>
        <w:rFonts w:hint="eastAsia"/>
      </w:rPr>
    </w:pPr>
    <w:r>
      <w:rPr>
        <w:rFonts w:hint="eastAsia" w:ascii="仿宋" w:hAnsi="仿宋" w:eastAsia="仿宋" w:cs="仿宋"/>
      </w:rPr>
      <w:t>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7"/>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2">
    <w:nsid w:val="00000018"/>
    <w:multiLevelType w:val="multilevel"/>
    <w:tmpl w:val="00000018"/>
    <w:lvl w:ilvl="0" w:tentative="0">
      <w:start w:val="1"/>
      <w:numFmt w:val="decimal"/>
      <w:pStyle w:val="147"/>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3">
    <w:nsid w:val="4918ADBB"/>
    <w:multiLevelType w:val="singleLevel"/>
    <w:tmpl w:val="4918ADBB"/>
    <w:lvl w:ilvl="0" w:tentative="0">
      <w:start w:val="4"/>
      <w:numFmt w:val="chineseCounting"/>
      <w:suff w:val="space"/>
      <w:lvlText w:val="第%1章"/>
      <w:lvlJc w:val="left"/>
      <w:pPr>
        <w:ind w:left="5679"/>
      </w:pPr>
      <w:rPr>
        <w:rFonts w:hint="eastAsia"/>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E3NDhhZTMxN2IwZjg1OGE5ZGE4Yzc5MzJkZTg3MmUifQ=="/>
  </w:docVars>
  <w:rsids>
    <w:rsidRoot w:val="00172A27"/>
    <w:rsid w:val="00000D7B"/>
    <w:rsid w:val="0000182D"/>
    <w:rsid w:val="00001AF0"/>
    <w:rsid w:val="00002CCF"/>
    <w:rsid w:val="00002D57"/>
    <w:rsid w:val="00002DDC"/>
    <w:rsid w:val="00002DF3"/>
    <w:rsid w:val="000031B7"/>
    <w:rsid w:val="00003362"/>
    <w:rsid w:val="00003E2D"/>
    <w:rsid w:val="00003E8C"/>
    <w:rsid w:val="00004EF7"/>
    <w:rsid w:val="000056E4"/>
    <w:rsid w:val="00005A63"/>
    <w:rsid w:val="00005B57"/>
    <w:rsid w:val="00005B9D"/>
    <w:rsid w:val="00005FAD"/>
    <w:rsid w:val="00010063"/>
    <w:rsid w:val="000103E0"/>
    <w:rsid w:val="00011042"/>
    <w:rsid w:val="000119BA"/>
    <w:rsid w:val="00011D27"/>
    <w:rsid w:val="00013021"/>
    <w:rsid w:val="000149D8"/>
    <w:rsid w:val="00014AA0"/>
    <w:rsid w:val="00015463"/>
    <w:rsid w:val="000155A1"/>
    <w:rsid w:val="00015F67"/>
    <w:rsid w:val="000168A6"/>
    <w:rsid w:val="00016F8F"/>
    <w:rsid w:val="00017CBF"/>
    <w:rsid w:val="000200B7"/>
    <w:rsid w:val="000209AF"/>
    <w:rsid w:val="00020E79"/>
    <w:rsid w:val="00021146"/>
    <w:rsid w:val="00021703"/>
    <w:rsid w:val="0002176E"/>
    <w:rsid w:val="00021AA5"/>
    <w:rsid w:val="000224A2"/>
    <w:rsid w:val="000231B2"/>
    <w:rsid w:val="0002344E"/>
    <w:rsid w:val="00026205"/>
    <w:rsid w:val="000264E5"/>
    <w:rsid w:val="00026569"/>
    <w:rsid w:val="00026658"/>
    <w:rsid w:val="000304CB"/>
    <w:rsid w:val="000312EA"/>
    <w:rsid w:val="000320F3"/>
    <w:rsid w:val="000329A7"/>
    <w:rsid w:val="00033190"/>
    <w:rsid w:val="00033374"/>
    <w:rsid w:val="00033627"/>
    <w:rsid w:val="00034296"/>
    <w:rsid w:val="00034E42"/>
    <w:rsid w:val="000351F8"/>
    <w:rsid w:val="0003529C"/>
    <w:rsid w:val="00035A17"/>
    <w:rsid w:val="00035CFA"/>
    <w:rsid w:val="00036255"/>
    <w:rsid w:val="000374B5"/>
    <w:rsid w:val="00037E56"/>
    <w:rsid w:val="00040D21"/>
    <w:rsid w:val="00041A8D"/>
    <w:rsid w:val="00042142"/>
    <w:rsid w:val="000426DF"/>
    <w:rsid w:val="00043183"/>
    <w:rsid w:val="00044460"/>
    <w:rsid w:val="00044E13"/>
    <w:rsid w:val="00045B86"/>
    <w:rsid w:val="00045CFE"/>
    <w:rsid w:val="0004702B"/>
    <w:rsid w:val="000478CA"/>
    <w:rsid w:val="00047D37"/>
    <w:rsid w:val="000507EF"/>
    <w:rsid w:val="00050B93"/>
    <w:rsid w:val="000512B5"/>
    <w:rsid w:val="00051337"/>
    <w:rsid w:val="00051936"/>
    <w:rsid w:val="00051A13"/>
    <w:rsid w:val="00051F92"/>
    <w:rsid w:val="000528C3"/>
    <w:rsid w:val="000528FF"/>
    <w:rsid w:val="000529A8"/>
    <w:rsid w:val="00052A82"/>
    <w:rsid w:val="00052D6A"/>
    <w:rsid w:val="0005362E"/>
    <w:rsid w:val="00053CA5"/>
    <w:rsid w:val="00054057"/>
    <w:rsid w:val="000552FF"/>
    <w:rsid w:val="00055431"/>
    <w:rsid w:val="00056154"/>
    <w:rsid w:val="00056EF2"/>
    <w:rsid w:val="00057A1F"/>
    <w:rsid w:val="00057C1A"/>
    <w:rsid w:val="00057DB4"/>
    <w:rsid w:val="000601F6"/>
    <w:rsid w:val="0006064F"/>
    <w:rsid w:val="00060910"/>
    <w:rsid w:val="00060972"/>
    <w:rsid w:val="00060F58"/>
    <w:rsid w:val="00061005"/>
    <w:rsid w:val="00061F7A"/>
    <w:rsid w:val="000621D6"/>
    <w:rsid w:val="0006227B"/>
    <w:rsid w:val="00062490"/>
    <w:rsid w:val="00062E93"/>
    <w:rsid w:val="00063595"/>
    <w:rsid w:val="00063717"/>
    <w:rsid w:val="0006416B"/>
    <w:rsid w:val="000647ED"/>
    <w:rsid w:val="00064A70"/>
    <w:rsid w:val="00064CEA"/>
    <w:rsid w:val="00064DEA"/>
    <w:rsid w:val="00064F19"/>
    <w:rsid w:val="0006501E"/>
    <w:rsid w:val="000650F5"/>
    <w:rsid w:val="0006698B"/>
    <w:rsid w:val="00070A04"/>
    <w:rsid w:val="00071882"/>
    <w:rsid w:val="00071894"/>
    <w:rsid w:val="00071CD4"/>
    <w:rsid w:val="00071DD3"/>
    <w:rsid w:val="0007208A"/>
    <w:rsid w:val="000729F4"/>
    <w:rsid w:val="00072F45"/>
    <w:rsid w:val="00072F60"/>
    <w:rsid w:val="0007328C"/>
    <w:rsid w:val="000732F7"/>
    <w:rsid w:val="000737DE"/>
    <w:rsid w:val="0007411F"/>
    <w:rsid w:val="00074851"/>
    <w:rsid w:val="00074970"/>
    <w:rsid w:val="00074BAC"/>
    <w:rsid w:val="00075544"/>
    <w:rsid w:val="000758BD"/>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926"/>
    <w:rsid w:val="00084B6F"/>
    <w:rsid w:val="00084F38"/>
    <w:rsid w:val="000850BB"/>
    <w:rsid w:val="00085105"/>
    <w:rsid w:val="00085443"/>
    <w:rsid w:val="000856DA"/>
    <w:rsid w:val="00085DD0"/>
    <w:rsid w:val="0008618E"/>
    <w:rsid w:val="0008680D"/>
    <w:rsid w:val="000876F5"/>
    <w:rsid w:val="00087A02"/>
    <w:rsid w:val="00087EBA"/>
    <w:rsid w:val="0009029E"/>
    <w:rsid w:val="00090A50"/>
    <w:rsid w:val="00091757"/>
    <w:rsid w:val="00091F16"/>
    <w:rsid w:val="0009205C"/>
    <w:rsid w:val="000930DE"/>
    <w:rsid w:val="00093112"/>
    <w:rsid w:val="00093235"/>
    <w:rsid w:val="000938A8"/>
    <w:rsid w:val="000939B6"/>
    <w:rsid w:val="00094065"/>
    <w:rsid w:val="00094817"/>
    <w:rsid w:val="00094D42"/>
    <w:rsid w:val="00095DB8"/>
    <w:rsid w:val="00096459"/>
    <w:rsid w:val="00096CF7"/>
    <w:rsid w:val="00096DBC"/>
    <w:rsid w:val="000975E4"/>
    <w:rsid w:val="00097A09"/>
    <w:rsid w:val="000A0F04"/>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7F7D"/>
    <w:rsid w:val="000B0E5C"/>
    <w:rsid w:val="000B11F9"/>
    <w:rsid w:val="000B17CB"/>
    <w:rsid w:val="000B1C92"/>
    <w:rsid w:val="000B33A6"/>
    <w:rsid w:val="000B3869"/>
    <w:rsid w:val="000B3A6B"/>
    <w:rsid w:val="000B3F80"/>
    <w:rsid w:val="000B4426"/>
    <w:rsid w:val="000B4704"/>
    <w:rsid w:val="000B4F09"/>
    <w:rsid w:val="000B5BD5"/>
    <w:rsid w:val="000B646D"/>
    <w:rsid w:val="000B6547"/>
    <w:rsid w:val="000B6C4A"/>
    <w:rsid w:val="000B6D47"/>
    <w:rsid w:val="000B6F7F"/>
    <w:rsid w:val="000B7D60"/>
    <w:rsid w:val="000B7FD3"/>
    <w:rsid w:val="000C0664"/>
    <w:rsid w:val="000C0E03"/>
    <w:rsid w:val="000C0E20"/>
    <w:rsid w:val="000C0F7B"/>
    <w:rsid w:val="000C165E"/>
    <w:rsid w:val="000C2E0A"/>
    <w:rsid w:val="000C3898"/>
    <w:rsid w:val="000C3BB8"/>
    <w:rsid w:val="000C3DE8"/>
    <w:rsid w:val="000C405A"/>
    <w:rsid w:val="000C4078"/>
    <w:rsid w:val="000C457E"/>
    <w:rsid w:val="000C4ACE"/>
    <w:rsid w:val="000C7024"/>
    <w:rsid w:val="000C743B"/>
    <w:rsid w:val="000C7638"/>
    <w:rsid w:val="000C7C82"/>
    <w:rsid w:val="000C7CF0"/>
    <w:rsid w:val="000C7E09"/>
    <w:rsid w:val="000D011F"/>
    <w:rsid w:val="000D17EC"/>
    <w:rsid w:val="000D1AA6"/>
    <w:rsid w:val="000D2162"/>
    <w:rsid w:val="000D2B36"/>
    <w:rsid w:val="000D2D2C"/>
    <w:rsid w:val="000D39A4"/>
    <w:rsid w:val="000D46C4"/>
    <w:rsid w:val="000D4C36"/>
    <w:rsid w:val="000D4C98"/>
    <w:rsid w:val="000D4CC9"/>
    <w:rsid w:val="000D4DFA"/>
    <w:rsid w:val="000D58E2"/>
    <w:rsid w:val="000D5C4D"/>
    <w:rsid w:val="000D61D2"/>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A32"/>
    <w:rsid w:val="000E2B2C"/>
    <w:rsid w:val="000E2BE6"/>
    <w:rsid w:val="000E303C"/>
    <w:rsid w:val="000E3085"/>
    <w:rsid w:val="000E3B31"/>
    <w:rsid w:val="000E3B9E"/>
    <w:rsid w:val="000E4089"/>
    <w:rsid w:val="000E48DB"/>
    <w:rsid w:val="000E4C45"/>
    <w:rsid w:val="000E6193"/>
    <w:rsid w:val="000E7654"/>
    <w:rsid w:val="000E7708"/>
    <w:rsid w:val="000E7E8F"/>
    <w:rsid w:val="000F02F9"/>
    <w:rsid w:val="000F08DC"/>
    <w:rsid w:val="000F0D64"/>
    <w:rsid w:val="000F0E50"/>
    <w:rsid w:val="000F1B22"/>
    <w:rsid w:val="000F23EB"/>
    <w:rsid w:val="000F264B"/>
    <w:rsid w:val="000F2766"/>
    <w:rsid w:val="000F2C16"/>
    <w:rsid w:val="000F304C"/>
    <w:rsid w:val="000F3380"/>
    <w:rsid w:val="000F3A25"/>
    <w:rsid w:val="000F4493"/>
    <w:rsid w:val="000F4DCD"/>
    <w:rsid w:val="000F5133"/>
    <w:rsid w:val="000F606A"/>
    <w:rsid w:val="000F61E8"/>
    <w:rsid w:val="000F6554"/>
    <w:rsid w:val="000F6EF0"/>
    <w:rsid w:val="000F7C5C"/>
    <w:rsid w:val="001005B5"/>
    <w:rsid w:val="00101113"/>
    <w:rsid w:val="00102700"/>
    <w:rsid w:val="00103B85"/>
    <w:rsid w:val="0010450A"/>
    <w:rsid w:val="001057B7"/>
    <w:rsid w:val="0010600E"/>
    <w:rsid w:val="00106D0F"/>
    <w:rsid w:val="00106DE3"/>
    <w:rsid w:val="00106F36"/>
    <w:rsid w:val="0010724D"/>
    <w:rsid w:val="00107682"/>
    <w:rsid w:val="00107857"/>
    <w:rsid w:val="001108D8"/>
    <w:rsid w:val="00110E57"/>
    <w:rsid w:val="001114E7"/>
    <w:rsid w:val="00111514"/>
    <w:rsid w:val="001118FD"/>
    <w:rsid w:val="00111EF3"/>
    <w:rsid w:val="00111F9B"/>
    <w:rsid w:val="0011292D"/>
    <w:rsid w:val="00112AD4"/>
    <w:rsid w:val="00112E38"/>
    <w:rsid w:val="0011358D"/>
    <w:rsid w:val="00113719"/>
    <w:rsid w:val="001138A5"/>
    <w:rsid w:val="00113BFE"/>
    <w:rsid w:val="001140C9"/>
    <w:rsid w:val="0011446B"/>
    <w:rsid w:val="00114E60"/>
    <w:rsid w:val="00115153"/>
    <w:rsid w:val="0011708E"/>
    <w:rsid w:val="001173B3"/>
    <w:rsid w:val="00117E40"/>
    <w:rsid w:val="00117E87"/>
    <w:rsid w:val="001200AE"/>
    <w:rsid w:val="00120386"/>
    <w:rsid w:val="00121005"/>
    <w:rsid w:val="001211BF"/>
    <w:rsid w:val="001216A0"/>
    <w:rsid w:val="001221DB"/>
    <w:rsid w:val="00123D5E"/>
    <w:rsid w:val="00124324"/>
    <w:rsid w:val="001244DD"/>
    <w:rsid w:val="001249D9"/>
    <w:rsid w:val="00124BEC"/>
    <w:rsid w:val="00124DC2"/>
    <w:rsid w:val="00124E29"/>
    <w:rsid w:val="0012681D"/>
    <w:rsid w:val="001268D2"/>
    <w:rsid w:val="00126F22"/>
    <w:rsid w:val="00127CBC"/>
    <w:rsid w:val="00127FD7"/>
    <w:rsid w:val="001300CC"/>
    <w:rsid w:val="001305FE"/>
    <w:rsid w:val="0013175D"/>
    <w:rsid w:val="001318EF"/>
    <w:rsid w:val="0013198D"/>
    <w:rsid w:val="00132473"/>
    <w:rsid w:val="00132ACE"/>
    <w:rsid w:val="00132CB7"/>
    <w:rsid w:val="00132D26"/>
    <w:rsid w:val="00134486"/>
    <w:rsid w:val="00134547"/>
    <w:rsid w:val="001349C9"/>
    <w:rsid w:val="001350DD"/>
    <w:rsid w:val="00135E87"/>
    <w:rsid w:val="00136888"/>
    <w:rsid w:val="00136A2E"/>
    <w:rsid w:val="00137029"/>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5409"/>
    <w:rsid w:val="001457FE"/>
    <w:rsid w:val="00147296"/>
    <w:rsid w:val="0015104B"/>
    <w:rsid w:val="001518AF"/>
    <w:rsid w:val="0015210A"/>
    <w:rsid w:val="00152716"/>
    <w:rsid w:val="00152899"/>
    <w:rsid w:val="001530F3"/>
    <w:rsid w:val="00153395"/>
    <w:rsid w:val="00153A6E"/>
    <w:rsid w:val="00154021"/>
    <w:rsid w:val="00154177"/>
    <w:rsid w:val="00154A56"/>
    <w:rsid w:val="00154D63"/>
    <w:rsid w:val="00154DA6"/>
    <w:rsid w:val="00157566"/>
    <w:rsid w:val="0015790C"/>
    <w:rsid w:val="00157D1E"/>
    <w:rsid w:val="00160100"/>
    <w:rsid w:val="00160707"/>
    <w:rsid w:val="001609BA"/>
    <w:rsid w:val="00160A3C"/>
    <w:rsid w:val="00160D71"/>
    <w:rsid w:val="00161C1D"/>
    <w:rsid w:val="00162152"/>
    <w:rsid w:val="001629F5"/>
    <w:rsid w:val="00163C0D"/>
    <w:rsid w:val="001645A2"/>
    <w:rsid w:val="001645E5"/>
    <w:rsid w:val="0016486D"/>
    <w:rsid w:val="00164ABB"/>
    <w:rsid w:val="00164D56"/>
    <w:rsid w:val="00164F56"/>
    <w:rsid w:val="00165F01"/>
    <w:rsid w:val="00165F8F"/>
    <w:rsid w:val="00167491"/>
    <w:rsid w:val="00167577"/>
    <w:rsid w:val="00170537"/>
    <w:rsid w:val="001711D7"/>
    <w:rsid w:val="001717AC"/>
    <w:rsid w:val="0017240A"/>
    <w:rsid w:val="00172475"/>
    <w:rsid w:val="00172575"/>
    <w:rsid w:val="001728F3"/>
    <w:rsid w:val="00173053"/>
    <w:rsid w:val="001738B7"/>
    <w:rsid w:val="00174506"/>
    <w:rsid w:val="001745BB"/>
    <w:rsid w:val="00175009"/>
    <w:rsid w:val="00175A5F"/>
    <w:rsid w:val="0017627F"/>
    <w:rsid w:val="0017647F"/>
    <w:rsid w:val="0017658D"/>
    <w:rsid w:val="0017688A"/>
    <w:rsid w:val="00176A14"/>
    <w:rsid w:val="00177F89"/>
    <w:rsid w:val="001807A3"/>
    <w:rsid w:val="00180943"/>
    <w:rsid w:val="00180968"/>
    <w:rsid w:val="00180D08"/>
    <w:rsid w:val="00180D73"/>
    <w:rsid w:val="00180E9C"/>
    <w:rsid w:val="00180EBF"/>
    <w:rsid w:val="001812E4"/>
    <w:rsid w:val="00181507"/>
    <w:rsid w:val="00182191"/>
    <w:rsid w:val="00182329"/>
    <w:rsid w:val="001824F9"/>
    <w:rsid w:val="00182812"/>
    <w:rsid w:val="00182BE3"/>
    <w:rsid w:val="00182FA0"/>
    <w:rsid w:val="00183B8B"/>
    <w:rsid w:val="00183C0C"/>
    <w:rsid w:val="00185258"/>
    <w:rsid w:val="0018559F"/>
    <w:rsid w:val="00185EAF"/>
    <w:rsid w:val="00186748"/>
    <w:rsid w:val="00186C4E"/>
    <w:rsid w:val="00186D30"/>
    <w:rsid w:val="001874E4"/>
    <w:rsid w:val="001918EA"/>
    <w:rsid w:val="0019207F"/>
    <w:rsid w:val="00192207"/>
    <w:rsid w:val="001924DF"/>
    <w:rsid w:val="00192622"/>
    <w:rsid w:val="00193DF2"/>
    <w:rsid w:val="001946ED"/>
    <w:rsid w:val="0019587F"/>
    <w:rsid w:val="00195E1A"/>
    <w:rsid w:val="0019614A"/>
    <w:rsid w:val="001964CD"/>
    <w:rsid w:val="001965C4"/>
    <w:rsid w:val="00196C8E"/>
    <w:rsid w:val="001974A2"/>
    <w:rsid w:val="001977C3"/>
    <w:rsid w:val="001978C1"/>
    <w:rsid w:val="00197F55"/>
    <w:rsid w:val="001A0959"/>
    <w:rsid w:val="001A1237"/>
    <w:rsid w:val="001A1500"/>
    <w:rsid w:val="001A15A4"/>
    <w:rsid w:val="001A191F"/>
    <w:rsid w:val="001A22C0"/>
    <w:rsid w:val="001A2421"/>
    <w:rsid w:val="001A2EC5"/>
    <w:rsid w:val="001A2F8A"/>
    <w:rsid w:val="001A3B0A"/>
    <w:rsid w:val="001A3FDD"/>
    <w:rsid w:val="001A4C6B"/>
    <w:rsid w:val="001A502C"/>
    <w:rsid w:val="001A5261"/>
    <w:rsid w:val="001A56AF"/>
    <w:rsid w:val="001A570E"/>
    <w:rsid w:val="001A611C"/>
    <w:rsid w:val="001A615E"/>
    <w:rsid w:val="001A6E49"/>
    <w:rsid w:val="001A7EC2"/>
    <w:rsid w:val="001A7ED3"/>
    <w:rsid w:val="001B0171"/>
    <w:rsid w:val="001B0AC8"/>
    <w:rsid w:val="001B1530"/>
    <w:rsid w:val="001B1917"/>
    <w:rsid w:val="001B1C61"/>
    <w:rsid w:val="001B20E0"/>
    <w:rsid w:val="001B2437"/>
    <w:rsid w:val="001B2727"/>
    <w:rsid w:val="001B2B52"/>
    <w:rsid w:val="001B3DC5"/>
    <w:rsid w:val="001B4E4C"/>
    <w:rsid w:val="001B5E28"/>
    <w:rsid w:val="001B6733"/>
    <w:rsid w:val="001B6AD8"/>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15A2"/>
    <w:rsid w:val="001D1756"/>
    <w:rsid w:val="001D1797"/>
    <w:rsid w:val="001D1A92"/>
    <w:rsid w:val="001D1BD5"/>
    <w:rsid w:val="001D1E5A"/>
    <w:rsid w:val="001D1F37"/>
    <w:rsid w:val="001D2F29"/>
    <w:rsid w:val="001D3882"/>
    <w:rsid w:val="001D3A1A"/>
    <w:rsid w:val="001D3E29"/>
    <w:rsid w:val="001D4058"/>
    <w:rsid w:val="001D5286"/>
    <w:rsid w:val="001D572A"/>
    <w:rsid w:val="001D62CA"/>
    <w:rsid w:val="001D6E6A"/>
    <w:rsid w:val="001D7063"/>
    <w:rsid w:val="001D71DE"/>
    <w:rsid w:val="001D772B"/>
    <w:rsid w:val="001D7EE6"/>
    <w:rsid w:val="001E041A"/>
    <w:rsid w:val="001E0E77"/>
    <w:rsid w:val="001E0F7F"/>
    <w:rsid w:val="001E1073"/>
    <w:rsid w:val="001E12F2"/>
    <w:rsid w:val="001E2340"/>
    <w:rsid w:val="001E2A3F"/>
    <w:rsid w:val="001E3EA6"/>
    <w:rsid w:val="001E40A3"/>
    <w:rsid w:val="001E471B"/>
    <w:rsid w:val="001E4F27"/>
    <w:rsid w:val="001E582C"/>
    <w:rsid w:val="001E5AA3"/>
    <w:rsid w:val="001E61F6"/>
    <w:rsid w:val="001E680D"/>
    <w:rsid w:val="001E6B5D"/>
    <w:rsid w:val="001E6C90"/>
    <w:rsid w:val="001E6E41"/>
    <w:rsid w:val="001E6EB8"/>
    <w:rsid w:val="001E7510"/>
    <w:rsid w:val="001E7DCA"/>
    <w:rsid w:val="001F005B"/>
    <w:rsid w:val="001F015C"/>
    <w:rsid w:val="001F0BA2"/>
    <w:rsid w:val="001F20D1"/>
    <w:rsid w:val="001F23CB"/>
    <w:rsid w:val="001F27A4"/>
    <w:rsid w:val="001F4A3D"/>
    <w:rsid w:val="001F4A43"/>
    <w:rsid w:val="001F525E"/>
    <w:rsid w:val="001F5D9B"/>
    <w:rsid w:val="001F6903"/>
    <w:rsid w:val="001F6BFA"/>
    <w:rsid w:val="001F7081"/>
    <w:rsid w:val="001F7795"/>
    <w:rsid w:val="002009C3"/>
    <w:rsid w:val="00201DCA"/>
    <w:rsid w:val="00201FD0"/>
    <w:rsid w:val="00202592"/>
    <w:rsid w:val="00202B7E"/>
    <w:rsid w:val="00202D91"/>
    <w:rsid w:val="002034CE"/>
    <w:rsid w:val="00203EE2"/>
    <w:rsid w:val="002044A4"/>
    <w:rsid w:val="00204859"/>
    <w:rsid w:val="00204C3C"/>
    <w:rsid w:val="00205008"/>
    <w:rsid w:val="00205329"/>
    <w:rsid w:val="00205FBF"/>
    <w:rsid w:val="002066A6"/>
    <w:rsid w:val="002066ED"/>
    <w:rsid w:val="002068DA"/>
    <w:rsid w:val="00206CD5"/>
    <w:rsid w:val="00207CD0"/>
    <w:rsid w:val="00207DE7"/>
    <w:rsid w:val="0021005B"/>
    <w:rsid w:val="00210E4F"/>
    <w:rsid w:val="00211068"/>
    <w:rsid w:val="00213537"/>
    <w:rsid w:val="00213705"/>
    <w:rsid w:val="00213E79"/>
    <w:rsid w:val="00214704"/>
    <w:rsid w:val="00214C72"/>
    <w:rsid w:val="0021528D"/>
    <w:rsid w:val="00215863"/>
    <w:rsid w:val="0021660E"/>
    <w:rsid w:val="00217340"/>
    <w:rsid w:val="002173E1"/>
    <w:rsid w:val="0021764C"/>
    <w:rsid w:val="0021770E"/>
    <w:rsid w:val="00220DEE"/>
    <w:rsid w:val="00221A80"/>
    <w:rsid w:val="00221CC0"/>
    <w:rsid w:val="0022215B"/>
    <w:rsid w:val="00222729"/>
    <w:rsid w:val="002227F6"/>
    <w:rsid w:val="0022281D"/>
    <w:rsid w:val="00222E03"/>
    <w:rsid w:val="00223096"/>
    <w:rsid w:val="00224348"/>
    <w:rsid w:val="00224380"/>
    <w:rsid w:val="00224A12"/>
    <w:rsid w:val="00224A60"/>
    <w:rsid w:val="00224EB0"/>
    <w:rsid w:val="00224F41"/>
    <w:rsid w:val="0022506C"/>
    <w:rsid w:val="00225289"/>
    <w:rsid w:val="00225680"/>
    <w:rsid w:val="00225DF3"/>
    <w:rsid w:val="00226E2E"/>
    <w:rsid w:val="00227444"/>
    <w:rsid w:val="002274BE"/>
    <w:rsid w:val="00230DA2"/>
    <w:rsid w:val="00231145"/>
    <w:rsid w:val="0023161F"/>
    <w:rsid w:val="002321F5"/>
    <w:rsid w:val="00233CF7"/>
    <w:rsid w:val="00233EED"/>
    <w:rsid w:val="00233F74"/>
    <w:rsid w:val="002349B5"/>
    <w:rsid w:val="00234A04"/>
    <w:rsid w:val="00234A36"/>
    <w:rsid w:val="00235537"/>
    <w:rsid w:val="002361DD"/>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7C8"/>
    <w:rsid w:val="00244AAD"/>
    <w:rsid w:val="002450B8"/>
    <w:rsid w:val="0024533B"/>
    <w:rsid w:val="00246DBC"/>
    <w:rsid w:val="00246EE0"/>
    <w:rsid w:val="00246FCF"/>
    <w:rsid w:val="00247256"/>
    <w:rsid w:val="0024735F"/>
    <w:rsid w:val="00247C35"/>
    <w:rsid w:val="00247C39"/>
    <w:rsid w:val="00247F4B"/>
    <w:rsid w:val="00250336"/>
    <w:rsid w:val="00250822"/>
    <w:rsid w:val="00250F7A"/>
    <w:rsid w:val="00252189"/>
    <w:rsid w:val="0025240B"/>
    <w:rsid w:val="00253C75"/>
    <w:rsid w:val="00254217"/>
    <w:rsid w:val="002545AF"/>
    <w:rsid w:val="00255ADB"/>
    <w:rsid w:val="00255E20"/>
    <w:rsid w:val="00255E85"/>
    <w:rsid w:val="00255ED9"/>
    <w:rsid w:val="00255FEE"/>
    <w:rsid w:val="002560D9"/>
    <w:rsid w:val="00256EA0"/>
    <w:rsid w:val="00256FDE"/>
    <w:rsid w:val="002578F4"/>
    <w:rsid w:val="00257ED5"/>
    <w:rsid w:val="0026001C"/>
    <w:rsid w:val="00260393"/>
    <w:rsid w:val="002634BF"/>
    <w:rsid w:val="002650F4"/>
    <w:rsid w:val="00265B3F"/>
    <w:rsid w:val="002669E4"/>
    <w:rsid w:val="00267685"/>
    <w:rsid w:val="00270C60"/>
    <w:rsid w:val="002712DD"/>
    <w:rsid w:val="0027159C"/>
    <w:rsid w:val="0027290B"/>
    <w:rsid w:val="00272ADD"/>
    <w:rsid w:val="00272B49"/>
    <w:rsid w:val="00272BB1"/>
    <w:rsid w:val="00272FE3"/>
    <w:rsid w:val="00273862"/>
    <w:rsid w:val="002739E3"/>
    <w:rsid w:val="00274205"/>
    <w:rsid w:val="00275615"/>
    <w:rsid w:val="00275983"/>
    <w:rsid w:val="00275D05"/>
    <w:rsid w:val="002772C2"/>
    <w:rsid w:val="00277B47"/>
    <w:rsid w:val="00277D94"/>
    <w:rsid w:val="00280158"/>
    <w:rsid w:val="00280A9D"/>
    <w:rsid w:val="002819F5"/>
    <w:rsid w:val="00282C51"/>
    <w:rsid w:val="0028439F"/>
    <w:rsid w:val="00285249"/>
    <w:rsid w:val="0028539A"/>
    <w:rsid w:val="0028577A"/>
    <w:rsid w:val="00286555"/>
    <w:rsid w:val="002866BA"/>
    <w:rsid w:val="00286DF1"/>
    <w:rsid w:val="00287ED0"/>
    <w:rsid w:val="002905F2"/>
    <w:rsid w:val="002911BB"/>
    <w:rsid w:val="002917E4"/>
    <w:rsid w:val="00291957"/>
    <w:rsid w:val="00292107"/>
    <w:rsid w:val="00292553"/>
    <w:rsid w:val="002930D1"/>
    <w:rsid w:val="0029364A"/>
    <w:rsid w:val="00293D18"/>
    <w:rsid w:val="00293DDA"/>
    <w:rsid w:val="002943A5"/>
    <w:rsid w:val="00294CA8"/>
    <w:rsid w:val="002950E3"/>
    <w:rsid w:val="00295157"/>
    <w:rsid w:val="0029554C"/>
    <w:rsid w:val="002960CF"/>
    <w:rsid w:val="002963B2"/>
    <w:rsid w:val="00296678"/>
    <w:rsid w:val="002967A8"/>
    <w:rsid w:val="00297272"/>
    <w:rsid w:val="00297B07"/>
    <w:rsid w:val="00297F23"/>
    <w:rsid w:val="002A0E24"/>
    <w:rsid w:val="002A1466"/>
    <w:rsid w:val="002A16E4"/>
    <w:rsid w:val="002A1A27"/>
    <w:rsid w:val="002A2406"/>
    <w:rsid w:val="002A26C7"/>
    <w:rsid w:val="002A3B0F"/>
    <w:rsid w:val="002A3EAD"/>
    <w:rsid w:val="002A4AB9"/>
    <w:rsid w:val="002A4EB2"/>
    <w:rsid w:val="002A5052"/>
    <w:rsid w:val="002A69A9"/>
    <w:rsid w:val="002A6B68"/>
    <w:rsid w:val="002A7720"/>
    <w:rsid w:val="002A7CBA"/>
    <w:rsid w:val="002B086F"/>
    <w:rsid w:val="002B0C81"/>
    <w:rsid w:val="002B11CF"/>
    <w:rsid w:val="002B1363"/>
    <w:rsid w:val="002B189D"/>
    <w:rsid w:val="002B28F3"/>
    <w:rsid w:val="002B32BD"/>
    <w:rsid w:val="002B395E"/>
    <w:rsid w:val="002B45F4"/>
    <w:rsid w:val="002B4EFA"/>
    <w:rsid w:val="002B5049"/>
    <w:rsid w:val="002B5F0E"/>
    <w:rsid w:val="002B683E"/>
    <w:rsid w:val="002B6F56"/>
    <w:rsid w:val="002B7152"/>
    <w:rsid w:val="002B76FD"/>
    <w:rsid w:val="002C0007"/>
    <w:rsid w:val="002C00C5"/>
    <w:rsid w:val="002C0AC4"/>
    <w:rsid w:val="002C0B15"/>
    <w:rsid w:val="002C11AE"/>
    <w:rsid w:val="002C1A73"/>
    <w:rsid w:val="002C1CA7"/>
    <w:rsid w:val="002C22C5"/>
    <w:rsid w:val="002C2CFF"/>
    <w:rsid w:val="002C328E"/>
    <w:rsid w:val="002C3396"/>
    <w:rsid w:val="002C3C96"/>
    <w:rsid w:val="002C47A5"/>
    <w:rsid w:val="002C4860"/>
    <w:rsid w:val="002C4FC6"/>
    <w:rsid w:val="002C5CC0"/>
    <w:rsid w:val="002C68D4"/>
    <w:rsid w:val="002C7406"/>
    <w:rsid w:val="002C74CF"/>
    <w:rsid w:val="002C7675"/>
    <w:rsid w:val="002C7748"/>
    <w:rsid w:val="002C7EBD"/>
    <w:rsid w:val="002D0ADB"/>
    <w:rsid w:val="002D1E2F"/>
    <w:rsid w:val="002D209F"/>
    <w:rsid w:val="002D22FD"/>
    <w:rsid w:val="002D2614"/>
    <w:rsid w:val="002D27C8"/>
    <w:rsid w:val="002D3131"/>
    <w:rsid w:val="002D4042"/>
    <w:rsid w:val="002D45CE"/>
    <w:rsid w:val="002D56E7"/>
    <w:rsid w:val="002D5D19"/>
    <w:rsid w:val="002D5D6C"/>
    <w:rsid w:val="002D5FCE"/>
    <w:rsid w:val="002D63D6"/>
    <w:rsid w:val="002D6970"/>
    <w:rsid w:val="002D6A38"/>
    <w:rsid w:val="002E0955"/>
    <w:rsid w:val="002E0B02"/>
    <w:rsid w:val="002E2807"/>
    <w:rsid w:val="002E31F8"/>
    <w:rsid w:val="002E3B05"/>
    <w:rsid w:val="002E43B6"/>
    <w:rsid w:val="002E4CB6"/>
    <w:rsid w:val="002E5A78"/>
    <w:rsid w:val="002E5C4E"/>
    <w:rsid w:val="002E63A3"/>
    <w:rsid w:val="002E67CD"/>
    <w:rsid w:val="002E6B74"/>
    <w:rsid w:val="002E6D5A"/>
    <w:rsid w:val="002E6E97"/>
    <w:rsid w:val="002F1304"/>
    <w:rsid w:val="002F1513"/>
    <w:rsid w:val="002F227B"/>
    <w:rsid w:val="002F26B9"/>
    <w:rsid w:val="002F279B"/>
    <w:rsid w:val="002F2B25"/>
    <w:rsid w:val="002F2BFC"/>
    <w:rsid w:val="002F2C4F"/>
    <w:rsid w:val="002F2CE8"/>
    <w:rsid w:val="002F30A1"/>
    <w:rsid w:val="002F4D1D"/>
    <w:rsid w:val="002F5732"/>
    <w:rsid w:val="002F5825"/>
    <w:rsid w:val="002F5924"/>
    <w:rsid w:val="002F5EFD"/>
    <w:rsid w:val="002F6128"/>
    <w:rsid w:val="002F6232"/>
    <w:rsid w:val="002F6785"/>
    <w:rsid w:val="002F6D1A"/>
    <w:rsid w:val="00300434"/>
    <w:rsid w:val="003013B0"/>
    <w:rsid w:val="00301674"/>
    <w:rsid w:val="003016A0"/>
    <w:rsid w:val="003021E2"/>
    <w:rsid w:val="0030239E"/>
    <w:rsid w:val="00303504"/>
    <w:rsid w:val="003035E0"/>
    <w:rsid w:val="003035E4"/>
    <w:rsid w:val="00303915"/>
    <w:rsid w:val="00305257"/>
    <w:rsid w:val="003058D8"/>
    <w:rsid w:val="00305ED9"/>
    <w:rsid w:val="00306527"/>
    <w:rsid w:val="00306DDE"/>
    <w:rsid w:val="00307BDF"/>
    <w:rsid w:val="0031016A"/>
    <w:rsid w:val="003105A1"/>
    <w:rsid w:val="0031093C"/>
    <w:rsid w:val="00311AC4"/>
    <w:rsid w:val="00311B37"/>
    <w:rsid w:val="0031257C"/>
    <w:rsid w:val="00312F8C"/>
    <w:rsid w:val="0031356C"/>
    <w:rsid w:val="0031357E"/>
    <w:rsid w:val="0031498D"/>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95B"/>
    <w:rsid w:val="00325DD5"/>
    <w:rsid w:val="00325E64"/>
    <w:rsid w:val="0032601D"/>
    <w:rsid w:val="0032653D"/>
    <w:rsid w:val="00326CFC"/>
    <w:rsid w:val="0032723E"/>
    <w:rsid w:val="003275E5"/>
    <w:rsid w:val="0032765C"/>
    <w:rsid w:val="00327932"/>
    <w:rsid w:val="00330242"/>
    <w:rsid w:val="00330A25"/>
    <w:rsid w:val="00330D33"/>
    <w:rsid w:val="00330F4A"/>
    <w:rsid w:val="003311B0"/>
    <w:rsid w:val="003320F5"/>
    <w:rsid w:val="0033247F"/>
    <w:rsid w:val="00333147"/>
    <w:rsid w:val="003337DE"/>
    <w:rsid w:val="00334E2F"/>
    <w:rsid w:val="0033536E"/>
    <w:rsid w:val="00335F95"/>
    <w:rsid w:val="0033671B"/>
    <w:rsid w:val="00337570"/>
    <w:rsid w:val="00337844"/>
    <w:rsid w:val="00340143"/>
    <w:rsid w:val="00340859"/>
    <w:rsid w:val="00340D68"/>
    <w:rsid w:val="00340E6A"/>
    <w:rsid w:val="00341805"/>
    <w:rsid w:val="00341E4A"/>
    <w:rsid w:val="00342180"/>
    <w:rsid w:val="003425D6"/>
    <w:rsid w:val="0034279C"/>
    <w:rsid w:val="003427E9"/>
    <w:rsid w:val="00342F47"/>
    <w:rsid w:val="00343A09"/>
    <w:rsid w:val="00343F48"/>
    <w:rsid w:val="00344515"/>
    <w:rsid w:val="00344BC9"/>
    <w:rsid w:val="0034605A"/>
    <w:rsid w:val="003463A5"/>
    <w:rsid w:val="00346AF9"/>
    <w:rsid w:val="00346EE3"/>
    <w:rsid w:val="00346F30"/>
    <w:rsid w:val="00347388"/>
    <w:rsid w:val="0034758B"/>
    <w:rsid w:val="00347727"/>
    <w:rsid w:val="00350142"/>
    <w:rsid w:val="00350860"/>
    <w:rsid w:val="00351729"/>
    <w:rsid w:val="00351A01"/>
    <w:rsid w:val="00351C8B"/>
    <w:rsid w:val="00352DA5"/>
    <w:rsid w:val="00353940"/>
    <w:rsid w:val="0035434A"/>
    <w:rsid w:val="00354E06"/>
    <w:rsid w:val="0035511E"/>
    <w:rsid w:val="0035539B"/>
    <w:rsid w:val="003569B8"/>
    <w:rsid w:val="00356CB3"/>
    <w:rsid w:val="003577E5"/>
    <w:rsid w:val="00357C4F"/>
    <w:rsid w:val="00357E8E"/>
    <w:rsid w:val="00360741"/>
    <w:rsid w:val="003625E3"/>
    <w:rsid w:val="003626C3"/>
    <w:rsid w:val="00362844"/>
    <w:rsid w:val="00362AD4"/>
    <w:rsid w:val="00363CBB"/>
    <w:rsid w:val="003650C8"/>
    <w:rsid w:val="003657E1"/>
    <w:rsid w:val="00365848"/>
    <w:rsid w:val="00365D26"/>
    <w:rsid w:val="003663B1"/>
    <w:rsid w:val="00366A5C"/>
    <w:rsid w:val="00366FD8"/>
    <w:rsid w:val="00367473"/>
    <w:rsid w:val="003675FD"/>
    <w:rsid w:val="0037029F"/>
    <w:rsid w:val="003709EB"/>
    <w:rsid w:val="003710C2"/>
    <w:rsid w:val="0037179A"/>
    <w:rsid w:val="00372015"/>
    <w:rsid w:val="00372075"/>
    <w:rsid w:val="003736C3"/>
    <w:rsid w:val="00374C68"/>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4028"/>
    <w:rsid w:val="0038402B"/>
    <w:rsid w:val="0038425D"/>
    <w:rsid w:val="0038439A"/>
    <w:rsid w:val="00384E2A"/>
    <w:rsid w:val="00385878"/>
    <w:rsid w:val="00385C3F"/>
    <w:rsid w:val="003869C0"/>
    <w:rsid w:val="00387355"/>
    <w:rsid w:val="003900F1"/>
    <w:rsid w:val="00390899"/>
    <w:rsid w:val="003914BA"/>
    <w:rsid w:val="00391584"/>
    <w:rsid w:val="003918C7"/>
    <w:rsid w:val="00392F3C"/>
    <w:rsid w:val="003934D5"/>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615"/>
    <w:rsid w:val="003B06ED"/>
    <w:rsid w:val="003B075E"/>
    <w:rsid w:val="003B1D88"/>
    <w:rsid w:val="003B312F"/>
    <w:rsid w:val="003B3642"/>
    <w:rsid w:val="003B3B41"/>
    <w:rsid w:val="003B3BDF"/>
    <w:rsid w:val="003B43A7"/>
    <w:rsid w:val="003B507D"/>
    <w:rsid w:val="003B5B37"/>
    <w:rsid w:val="003B5B59"/>
    <w:rsid w:val="003B5C8E"/>
    <w:rsid w:val="003B6087"/>
    <w:rsid w:val="003C11B3"/>
    <w:rsid w:val="003C1A23"/>
    <w:rsid w:val="003C1C6B"/>
    <w:rsid w:val="003C249A"/>
    <w:rsid w:val="003C2AE0"/>
    <w:rsid w:val="003C2F3D"/>
    <w:rsid w:val="003C3D5A"/>
    <w:rsid w:val="003C3EFC"/>
    <w:rsid w:val="003C4E6F"/>
    <w:rsid w:val="003C53D0"/>
    <w:rsid w:val="003C5FD2"/>
    <w:rsid w:val="003C617F"/>
    <w:rsid w:val="003C6311"/>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3F4C"/>
    <w:rsid w:val="003D47B0"/>
    <w:rsid w:val="003D48E0"/>
    <w:rsid w:val="003D580E"/>
    <w:rsid w:val="003D5BF3"/>
    <w:rsid w:val="003D7820"/>
    <w:rsid w:val="003E0697"/>
    <w:rsid w:val="003E103D"/>
    <w:rsid w:val="003E113D"/>
    <w:rsid w:val="003E149F"/>
    <w:rsid w:val="003E1523"/>
    <w:rsid w:val="003E17B1"/>
    <w:rsid w:val="003E18A3"/>
    <w:rsid w:val="003E1E8A"/>
    <w:rsid w:val="003E1F95"/>
    <w:rsid w:val="003E255A"/>
    <w:rsid w:val="003E2D45"/>
    <w:rsid w:val="003E2DD2"/>
    <w:rsid w:val="003E45F2"/>
    <w:rsid w:val="003E4FB1"/>
    <w:rsid w:val="003E6750"/>
    <w:rsid w:val="003E6EA7"/>
    <w:rsid w:val="003E72F3"/>
    <w:rsid w:val="003E765A"/>
    <w:rsid w:val="003E79B3"/>
    <w:rsid w:val="003F015E"/>
    <w:rsid w:val="003F07FB"/>
    <w:rsid w:val="003F13F3"/>
    <w:rsid w:val="003F1C1A"/>
    <w:rsid w:val="003F1E01"/>
    <w:rsid w:val="003F223E"/>
    <w:rsid w:val="003F24B0"/>
    <w:rsid w:val="003F2690"/>
    <w:rsid w:val="003F3529"/>
    <w:rsid w:val="003F3E66"/>
    <w:rsid w:val="003F423D"/>
    <w:rsid w:val="003F461E"/>
    <w:rsid w:val="003F500F"/>
    <w:rsid w:val="003F59C0"/>
    <w:rsid w:val="003F6002"/>
    <w:rsid w:val="003F7368"/>
    <w:rsid w:val="003F745C"/>
    <w:rsid w:val="003F7658"/>
    <w:rsid w:val="003F7E5E"/>
    <w:rsid w:val="003F7F88"/>
    <w:rsid w:val="00400317"/>
    <w:rsid w:val="004003D1"/>
    <w:rsid w:val="00400BF0"/>
    <w:rsid w:val="00400FFF"/>
    <w:rsid w:val="004012A0"/>
    <w:rsid w:val="0040146A"/>
    <w:rsid w:val="004016EC"/>
    <w:rsid w:val="0040228D"/>
    <w:rsid w:val="00402388"/>
    <w:rsid w:val="00402F60"/>
    <w:rsid w:val="0040345C"/>
    <w:rsid w:val="00403DE1"/>
    <w:rsid w:val="00403EB4"/>
    <w:rsid w:val="00403FEB"/>
    <w:rsid w:val="0040528D"/>
    <w:rsid w:val="00405959"/>
    <w:rsid w:val="004059E5"/>
    <w:rsid w:val="00405B81"/>
    <w:rsid w:val="00406525"/>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930"/>
    <w:rsid w:val="00414C3D"/>
    <w:rsid w:val="004154C6"/>
    <w:rsid w:val="004154E3"/>
    <w:rsid w:val="00415B40"/>
    <w:rsid w:val="00416915"/>
    <w:rsid w:val="00416E0B"/>
    <w:rsid w:val="0041716A"/>
    <w:rsid w:val="004204A7"/>
    <w:rsid w:val="004210BA"/>
    <w:rsid w:val="00421AA2"/>
    <w:rsid w:val="004222E4"/>
    <w:rsid w:val="00422C74"/>
    <w:rsid w:val="004236EA"/>
    <w:rsid w:val="00423763"/>
    <w:rsid w:val="0042535E"/>
    <w:rsid w:val="00425714"/>
    <w:rsid w:val="00425BC2"/>
    <w:rsid w:val="00425EC6"/>
    <w:rsid w:val="00427022"/>
    <w:rsid w:val="004274CA"/>
    <w:rsid w:val="00427AFF"/>
    <w:rsid w:val="00427F55"/>
    <w:rsid w:val="00430260"/>
    <w:rsid w:val="004302EC"/>
    <w:rsid w:val="004304E9"/>
    <w:rsid w:val="004313E5"/>
    <w:rsid w:val="0043197C"/>
    <w:rsid w:val="0043289E"/>
    <w:rsid w:val="00433374"/>
    <w:rsid w:val="0043419E"/>
    <w:rsid w:val="0043457B"/>
    <w:rsid w:val="00434B4D"/>
    <w:rsid w:val="00434C16"/>
    <w:rsid w:val="004356FB"/>
    <w:rsid w:val="00436953"/>
    <w:rsid w:val="00437B93"/>
    <w:rsid w:val="00440221"/>
    <w:rsid w:val="00441C45"/>
    <w:rsid w:val="00444166"/>
    <w:rsid w:val="0044440D"/>
    <w:rsid w:val="00444EB2"/>
    <w:rsid w:val="00444F46"/>
    <w:rsid w:val="004454A4"/>
    <w:rsid w:val="00445D53"/>
    <w:rsid w:val="00445E59"/>
    <w:rsid w:val="004462EB"/>
    <w:rsid w:val="0044684D"/>
    <w:rsid w:val="00446ED0"/>
    <w:rsid w:val="00447647"/>
    <w:rsid w:val="0045094C"/>
    <w:rsid w:val="004512B4"/>
    <w:rsid w:val="00451454"/>
    <w:rsid w:val="004516F3"/>
    <w:rsid w:val="00451FEF"/>
    <w:rsid w:val="0045211E"/>
    <w:rsid w:val="00453685"/>
    <w:rsid w:val="00453D03"/>
    <w:rsid w:val="004546C0"/>
    <w:rsid w:val="0045502A"/>
    <w:rsid w:val="004559CF"/>
    <w:rsid w:val="00455A3F"/>
    <w:rsid w:val="00456096"/>
    <w:rsid w:val="004560EB"/>
    <w:rsid w:val="00457E02"/>
    <w:rsid w:val="0046038D"/>
    <w:rsid w:val="00460F41"/>
    <w:rsid w:val="00460FE4"/>
    <w:rsid w:val="00461582"/>
    <w:rsid w:val="004616FE"/>
    <w:rsid w:val="00461821"/>
    <w:rsid w:val="004636CE"/>
    <w:rsid w:val="00463944"/>
    <w:rsid w:val="00464462"/>
    <w:rsid w:val="0046481D"/>
    <w:rsid w:val="00464C8E"/>
    <w:rsid w:val="00465A25"/>
    <w:rsid w:val="00466327"/>
    <w:rsid w:val="00466B86"/>
    <w:rsid w:val="00466C31"/>
    <w:rsid w:val="004674A7"/>
    <w:rsid w:val="00467915"/>
    <w:rsid w:val="004700B2"/>
    <w:rsid w:val="00470C2B"/>
    <w:rsid w:val="00470D83"/>
    <w:rsid w:val="00471511"/>
    <w:rsid w:val="00472884"/>
    <w:rsid w:val="00472B1B"/>
    <w:rsid w:val="00472FF7"/>
    <w:rsid w:val="00473174"/>
    <w:rsid w:val="00474915"/>
    <w:rsid w:val="004751DB"/>
    <w:rsid w:val="0047620F"/>
    <w:rsid w:val="0047652A"/>
    <w:rsid w:val="0047687E"/>
    <w:rsid w:val="004769BC"/>
    <w:rsid w:val="00476EAB"/>
    <w:rsid w:val="0047705C"/>
    <w:rsid w:val="00477634"/>
    <w:rsid w:val="00477725"/>
    <w:rsid w:val="004778F9"/>
    <w:rsid w:val="00480CCA"/>
    <w:rsid w:val="00482425"/>
    <w:rsid w:val="004828D5"/>
    <w:rsid w:val="0048329E"/>
    <w:rsid w:val="0048356F"/>
    <w:rsid w:val="004837EE"/>
    <w:rsid w:val="004842BC"/>
    <w:rsid w:val="004843EA"/>
    <w:rsid w:val="00484AD0"/>
    <w:rsid w:val="00484C96"/>
    <w:rsid w:val="00484FBF"/>
    <w:rsid w:val="00485659"/>
    <w:rsid w:val="00485C2B"/>
    <w:rsid w:val="00487DA0"/>
    <w:rsid w:val="00487DE4"/>
    <w:rsid w:val="00490F1D"/>
    <w:rsid w:val="00491170"/>
    <w:rsid w:val="004917E7"/>
    <w:rsid w:val="00491E29"/>
    <w:rsid w:val="00491E88"/>
    <w:rsid w:val="0049229C"/>
    <w:rsid w:val="00492361"/>
    <w:rsid w:val="004924B4"/>
    <w:rsid w:val="00492E7F"/>
    <w:rsid w:val="00493220"/>
    <w:rsid w:val="00493AEB"/>
    <w:rsid w:val="00493B8C"/>
    <w:rsid w:val="00493DEA"/>
    <w:rsid w:val="00493FD4"/>
    <w:rsid w:val="00494E83"/>
    <w:rsid w:val="00495A32"/>
    <w:rsid w:val="004972C7"/>
    <w:rsid w:val="004A0068"/>
    <w:rsid w:val="004A0239"/>
    <w:rsid w:val="004A09AC"/>
    <w:rsid w:val="004A0EF6"/>
    <w:rsid w:val="004A0FE6"/>
    <w:rsid w:val="004A1069"/>
    <w:rsid w:val="004A271C"/>
    <w:rsid w:val="004A28E4"/>
    <w:rsid w:val="004A30C4"/>
    <w:rsid w:val="004A3D0D"/>
    <w:rsid w:val="004A4050"/>
    <w:rsid w:val="004A42D7"/>
    <w:rsid w:val="004A458D"/>
    <w:rsid w:val="004A4A8F"/>
    <w:rsid w:val="004A55A1"/>
    <w:rsid w:val="004A6B25"/>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58A1"/>
    <w:rsid w:val="004B61B1"/>
    <w:rsid w:val="004B6B64"/>
    <w:rsid w:val="004B73DF"/>
    <w:rsid w:val="004B7434"/>
    <w:rsid w:val="004B7549"/>
    <w:rsid w:val="004B785C"/>
    <w:rsid w:val="004C05C6"/>
    <w:rsid w:val="004C1ACD"/>
    <w:rsid w:val="004C26A5"/>
    <w:rsid w:val="004C27EA"/>
    <w:rsid w:val="004C3572"/>
    <w:rsid w:val="004C3928"/>
    <w:rsid w:val="004C3AE9"/>
    <w:rsid w:val="004C4624"/>
    <w:rsid w:val="004C474F"/>
    <w:rsid w:val="004C495C"/>
    <w:rsid w:val="004C56C0"/>
    <w:rsid w:val="004C69F7"/>
    <w:rsid w:val="004C6FEC"/>
    <w:rsid w:val="004C77F2"/>
    <w:rsid w:val="004C7AE9"/>
    <w:rsid w:val="004C7B40"/>
    <w:rsid w:val="004C7CA3"/>
    <w:rsid w:val="004C7CFD"/>
    <w:rsid w:val="004D05A7"/>
    <w:rsid w:val="004D189B"/>
    <w:rsid w:val="004D195F"/>
    <w:rsid w:val="004D1E91"/>
    <w:rsid w:val="004D22E1"/>
    <w:rsid w:val="004D283A"/>
    <w:rsid w:val="004D2C04"/>
    <w:rsid w:val="004D33F7"/>
    <w:rsid w:val="004D39F2"/>
    <w:rsid w:val="004D3FFB"/>
    <w:rsid w:val="004D42D3"/>
    <w:rsid w:val="004D4A41"/>
    <w:rsid w:val="004D526B"/>
    <w:rsid w:val="004D5A20"/>
    <w:rsid w:val="004D76C2"/>
    <w:rsid w:val="004D7F25"/>
    <w:rsid w:val="004E1197"/>
    <w:rsid w:val="004E1439"/>
    <w:rsid w:val="004E1933"/>
    <w:rsid w:val="004E199A"/>
    <w:rsid w:val="004E1A76"/>
    <w:rsid w:val="004E1EC7"/>
    <w:rsid w:val="004E2703"/>
    <w:rsid w:val="004E28DE"/>
    <w:rsid w:val="004E2CB4"/>
    <w:rsid w:val="004E3A3C"/>
    <w:rsid w:val="004E5404"/>
    <w:rsid w:val="004E598E"/>
    <w:rsid w:val="004E608E"/>
    <w:rsid w:val="004E7359"/>
    <w:rsid w:val="004E7635"/>
    <w:rsid w:val="004E7C98"/>
    <w:rsid w:val="004E7DD7"/>
    <w:rsid w:val="004F10D4"/>
    <w:rsid w:val="004F1271"/>
    <w:rsid w:val="004F1374"/>
    <w:rsid w:val="004F15A5"/>
    <w:rsid w:val="004F26F8"/>
    <w:rsid w:val="004F29FD"/>
    <w:rsid w:val="004F2D4B"/>
    <w:rsid w:val="004F32CB"/>
    <w:rsid w:val="004F3519"/>
    <w:rsid w:val="004F36F4"/>
    <w:rsid w:val="004F375A"/>
    <w:rsid w:val="004F42AE"/>
    <w:rsid w:val="004F4B44"/>
    <w:rsid w:val="004F4C15"/>
    <w:rsid w:val="004F5285"/>
    <w:rsid w:val="004F59DE"/>
    <w:rsid w:val="004F6350"/>
    <w:rsid w:val="004F6C7D"/>
    <w:rsid w:val="004F74AA"/>
    <w:rsid w:val="004F7752"/>
    <w:rsid w:val="004F7D9E"/>
    <w:rsid w:val="0050094F"/>
    <w:rsid w:val="005014F9"/>
    <w:rsid w:val="00502159"/>
    <w:rsid w:val="0050231E"/>
    <w:rsid w:val="005023C5"/>
    <w:rsid w:val="00502C50"/>
    <w:rsid w:val="005032C4"/>
    <w:rsid w:val="0050332C"/>
    <w:rsid w:val="0050338F"/>
    <w:rsid w:val="00503B0E"/>
    <w:rsid w:val="00503C2C"/>
    <w:rsid w:val="00503CEE"/>
    <w:rsid w:val="0050454D"/>
    <w:rsid w:val="005057F1"/>
    <w:rsid w:val="00505860"/>
    <w:rsid w:val="00507211"/>
    <w:rsid w:val="00507960"/>
    <w:rsid w:val="00510109"/>
    <w:rsid w:val="005102DD"/>
    <w:rsid w:val="00511DAE"/>
    <w:rsid w:val="00511EAD"/>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5CF"/>
    <w:rsid w:val="005228D7"/>
    <w:rsid w:val="005229B2"/>
    <w:rsid w:val="005235ED"/>
    <w:rsid w:val="005238BD"/>
    <w:rsid w:val="00524BCA"/>
    <w:rsid w:val="00524E7B"/>
    <w:rsid w:val="00525222"/>
    <w:rsid w:val="00525BFA"/>
    <w:rsid w:val="00525DD2"/>
    <w:rsid w:val="005266F1"/>
    <w:rsid w:val="00527316"/>
    <w:rsid w:val="005310C4"/>
    <w:rsid w:val="005320E4"/>
    <w:rsid w:val="00532C3F"/>
    <w:rsid w:val="00532DA1"/>
    <w:rsid w:val="005340F9"/>
    <w:rsid w:val="00534335"/>
    <w:rsid w:val="00534B2D"/>
    <w:rsid w:val="00535C7C"/>
    <w:rsid w:val="00535ED4"/>
    <w:rsid w:val="00536299"/>
    <w:rsid w:val="005367ED"/>
    <w:rsid w:val="005375FC"/>
    <w:rsid w:val="0053781B"/>
    <w:rsid w:val="00537845"/>
    <w:rsid w:val="005407F1"/>
    <w:rsid w:val="00540BFF"/>
    <w:rsid w:val="00541086"/>
    <w:rsid w:val="00541359"/>
    <w:rsid w:val="00541AE5"/>
    <w:rsid w:val="00541B8B"/>
    <w:rsid w:val="00542378"/>
    <w:rsid w:val="00542C29"/>
    <w:rsid w:val="00542CBE"/>
    <w:rsid w:val="0054303C"/>
    <w:rsid w:val="00543A85"/>
    <w:rsid w:val="00543FD8"/>
    <w:rsid w:val="005454C9"/>
    <w:rsid w:val="005457F9"/>
    <w:rsid w:val="005466EE"/>
    <w:rsid w:val="00546AA4"/>
    <w:rsid w:val="00546B67"/>
    <w:rsid w:val="00546CE4"/>
    <w:rsid w:val="005501FA"/>
    <w:rsid w:val="00550AD4"/>
    <w:rsid w:val="0055213B"/>
    <w:rsid w:val="00553005"/>
    <w:rsid w:val="00553AE2"/>
    <w:rsid w:val="00554172"/>
    <w:rsid w:val="005544BE"/>
    <w:rsid w:val="00554DA9"/>
    <w:rsid w:val="00554E34"/>
    <w:rsid w:val="00554E70"/>
    <w:rsid w:val="00556D14"/>
    <w:rsid w:val="00556E03"/>
    <w:rsid w:val="0055728F"/>
    <w:rsid w:val="0055783C"/>
    <w:rsid w:val="00561578"/>
    <w:rsid w:val="005615DD"/>
    <w:rsid w:val="00561CC4"/>
    <w:rsid w:val="00561D57"/>
    <w:rsid w:val="0056350A"/>
    <w:rsid w:val="00563645"/>
    <w:rsid w:val="005646B2"/>
    <w:rsid w:val="00564D98"/>
    <w:rsid w:val="00564EF6"/>
    <w:rsid w:val="00565605"/>
    <w:rsid w:val="005657DE"/>
    <w:rsid w:val="00566236"/>
    <w:rsid w:val="0056649A"/>
    <w:rsid w:val="00567210"/>
    <w:rsid w:val="00567345"/>
    <w:rsid w:val="005674C4"/>
    <w:rsid w:val="00567A79"/>
    <w:rsid w:val="00570B3E"/>
    <w:rsid w:val="00570C76"/>
    <w:rsid w:val="00571A6D"/>
    <w:rsid w:val="00571C99"/>
    <w:rsid w:val="00571E52"/>
    <w:rsid w:val="005725CC"/>
    <w:rsid w:val="005732B0"/>
    <w:rsid w:val="005737D0"/>
    <w:rsid w:val="00574083"/>
    <w:rsid w:val="00574146"/>
    <w:rsid w:val="00574886"/>
    <w:rsid w:val="00574BCF"/>
    <w:rsid w:val="00575958"/>
    <w:rsid w:val="00575A31"/>
    <w:rsid w:val="00575AF8"/>
    <w:rsid w:val="00576441"/>
    <w:rsid w:val="005765AA"/>
    <w:rsid w:val="00577C4F"/>
    <w:rsid w:val="00577D4F"/>
    <w:rsid w:val="005800AB"/>
    <w:rsid w:val="00581514"/>
    <w:rsid w:val="00581C64"/>
    <w:rsid w:val="00581CBB"/>
    <w:rsid w:val="005820FD"/>
    <w:rsid w:val="00582A85"/>
    <w:rsid w:val="00582D4A"/>
    <w:rsid w:val="005831E6"/>
    <w:rsid w:val="00583348"/>
    <w:rsid w:val="00583E6B"/>
    <w:rsid w:val="00584091"/>
    <w:rsid w:val="0058454F"/>
    <w:rsid w:val="00584598"/>
    <w:rsid w:val="00584769"/>
    <w:rsid w:val="00584AEA"/>
    <w:rsid w:val="00584EB9"/>
    <w:rsid w:val="00584F69"/>
    <w:rsid w:val="00585737"/>
    <w:rsid w:val="0058585A"/>
    <w:rsid w:val="0058731A"/>
    <w:rsid w:val="005875E1"/>
    <w:rsid w:val="00587B61"/>
    <w:rsid w:val="005900F3"/>
    <w:rsid w:val="00591755"/>
    <w:rsid w:val="005918D5"/>
    <w:rsid w:val="00591D82"/>
    <w:rsid w:val="005924A3"/>
    <w:rsid w:val="00592A89"/>
    <w:rsid w:val="00593460"/>
    <w:rsid w:val="00594819"/>
    <w:rsid w:val="00594972"/>
    <w:rsid w:val="00594A27"/>
    <w:rsid w:val="005961FD"/>
    <w:rsid w:val="005963E3"/>
    <w:rsid w:val="005975AD"/>
    <w:rsid w:val="00597919"/>
    <w:rsid w:val="00597AB4"/>
    <w:rsid w:val="005A0E03"/>
    <w:rsid w:val="005A287D"/>
    <w:rsid w:val="005A40E3"/>
    <w:rsid w:val="005A524E"/>
    <w:rsid w:val="005A5358"/>
    <w:rsid w:val="005A5D68"/>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6199"/>
    <w:rsid w:val="005B68DE"/>
    <w:rsid w:val="005B6BFD"/>
    <w:rsid w:val="005B6E31"/>
    <w:rsid w:val="005B6FAC"/>
    <w:rsid w:val="005B788B"/>
    <w:rsid w:val="005B7992"/>
    <w:rsid w:val="005C0B97"/>
    <w:rsid w:val="005C0CA8"/>
    <w:rsid w:val="005C0DFC"/>
    <w:rsid w:val="005C1417"/>
    <w:rsid w:val="005C1B72"/>
    <w:rsid w:val="005C222A"/>
    <w:rsid w:val="005C2A65"/>
    <w:rsid w:val="005C2C55"/>
    <w:rsid w:val="005C3B90"/>
    <w:rsid w:val="005C3C5D"/>
    <w:rsid w:val="005C3F3A"/>
    <w:rsid w:val="005C5DC7"/>
    <w:rsid w:val="005C6494"/>
    <w:rsid w:val="005C66C4"/>
    <w:rsid w:val="005C706F"/>
    <w:rsid w:val="005C7376"/>
    <w:rsid w:val="005C76E0"/>
    <w:rsid w:val="005C786D"/>
    <w:rsid w:val="005C7A25"/>
    <w:rsid w:val="005D0C26"/>
    <w:rsid w:val="005D0E17"/>
    <w:rsid w:val="005D14A7"/>
    <w:rsid w:val="005D18A4"/>
    <w:rsid w:val="005D1A3E"/>
    <w:rsid w:val="005D1C13"/>
    <w:rsid w:val="005D1E83"/>
    <w:rsid w:val="005D1F94"/>
    <w:rsid w:val="005D257A"/>
    <w:rsid w:val="005D259F"/>
    <w:rsid w:val="005D262C"/>
    <w:rsid w:val="005D2AC3"/>
    <w:rsid w:val="005D4301"/>
    <w:rsid w:val="005D45AF"/>
    <w:rsid w:val="005D461C"/>
    <w:rsid w:val="005D4C19"/>
    <w:rsid w:val="005D5734"/>
    <w:rsid w:val="005D5E54"/>
    <w:rsid w:val="005D5FFE"/>
    <w:rsid w:val="005D63D3"/>
    <w:rsid w:val="005D78E5"/>
    <w:rsid w:val="005E0205"/>
    <w:rsid w:val="005E05C3"/>
    <w:rsid w:val="005E06DD"/>
    <w:rsid w:val="005E081E"/>
    <w:rsid w:val="005E14A9"/>
    <w:rsid w:val="005E14F6"/>
    <w:rsid w:val="005E15B3"/>
    <w:rsid w:val="005E17BB"/>
    <w:rsid w:val="005E18C6"/>
    <w:rsid w:val="005E26CF"/>
    <w:rsid w:val="005E46D4"/>
    <w:rsid w:val="005E4CC7"/>
    <w:rsid w:val="005E60EB"/>
    <w:rsid w:val="005E6690"/>
    <w:rsid w:val="005E6B51"/>
    <w:rsid w:val="005E6BB7"/>
    <w:rsid w:val="005E746A"/>
    <w:rsid w:val="005E76CA"/>
    <w:rsid w:val="005E7749"/>
    <w:rsid w:val="005E7B13"/>
    <w:rsid w:val="005E7DB4"/>
    <w:rsid w:val="005F02C4"/>
    <w:rsid w:val="005F0AD1"/>
    <w:rsid w:val="005F0C9D"/>
    <w:rsid w:val="005F0D5C"/>
    <w:rsid w:val="005F1260"/>
    <w:rsid w:val="005F13D6"/>
    <w:rsid w:val="005F1F2D"/>
    <w:rsid w:val="005F1F4B"/>
    <w:rsid w:val="005F2869"/>
    <w:rsid w:val="005F29B7"/>
    <w:rsid w:val="005F3053"/>
    <w:rsid w:val="005F3327"/>
    <w:rsid w:val="005F36AE"/>
    <w:rsid w:val="005F381F"/>
    <w:rsid w:val="005F395F"/>
    <w:rsid w:val="005F497C"/>
    <w:rsid w:val="005F49AE"/>
    <w:rsid w:val="005F4DAB"/>
    <w:rsid w:val="005F7A78"/>
    <w:rsid w:val="005F7AF7"/>
    <w:rsid w:val="005F7DC9"/>
    <w:rsid w:val="005F7F98"/>
    <w:rsid w:val="006002F8"/>
    <w:rsid w:val="006017DE"/>
    <w:rsid w:val="006018CF"/>
    <w:rsid w:val="0060215F"/>
    <w:rsid w:val="00602429"/>
    <w:rsid w:val="0060298D"/>
    <w:rsid w:val="00603227"/>
    <w:rsid w:val="00603876"/>
    <w:rsid w:val="0060457D"/>
    <w:rsid w:val="006051DE"/>
    <w:rsid w:val="00605281"/>
    <w:rsid w:val="00605A3E"/>
    <w:rsid w:val="00605ADD"/>
    <w:rsid w:val="00605C1F"/>
    <w:rsid w:val="00606768"/>
    <w:rsid w:val="00606E49"/>
    <w:rsid w:val="00607448"/>
    <w:rsid w:val="006074CE"/>
    <w:rsid w:val="00607B6C"/>
    <w:rsid w:val="006106A3"/>
    <w:rsid w:val="0061084B"/>
    <w:rsid w:val="00610A6A"/>
    <w:rsid w:val="00610BC8"/>
    <w:rsid w:val="0061132D"/>
    <w:rsid w:val="006119D6"/>
    <w:rsid w:val="0061212A"/>
    <w:rsid w:val="00612304"/>
    <w:rsid w:val="0061307D"/>
    <w:rsid w:val="006137AE"/>
    <w:rsid w:val="00614258"/>
    <w:rsid w:val="00614759"/>
    <w:rsid w:val="00614CEC"/>
    <w:rsid w:val="006153EE"/>
    <w:rsid w:val="006158EE"/>
    <w:rsid w:val="00615D16"/>
    <w:rsid w:val="0061618F"/>
    <w:rsid w:val="006165B7"/>
    <w:rsid w:val="006169FE"/>
    <w:rsid w:val="00616AF4"/>
    <w:rsid w:val="00617175"/>
    <w:rsid w:val="00617189"/>
    <w:rsid w:val="00617E07"/>
    <w:rsid w:val="00620024"/>
    <w:rsid w:val="0062034F"/>
    <w:rsid w:val="00620597"/>
    <w:rsid w:val="0062108F"/>
    <w:rsid w:val="006214BA"/>
    <w:rsid w:val="00621BA7"/>
    <w:rsid w:val="00623254"/>
    <w:rsid w:val="00623468"/>
    <w:rsid w:val="00623550"/>
    <w:rsid w:val="006250CC"/>
    <w:rsid w:val="00625408"/>
    <w:rsid w:val="00625AAE"/>
    <w:rsid w:val="00625CBB"/>
    <w:rsid w:val="0062615C"/>
    <w:rsid w:val="006268C1"/>
    <w:rsid w:val="00626DE3"/>
    <w:rsid w:val="00626F9C"/>
    <w:rsid w:val="0062720C"/>
    <w:rsid w:val="00627760"/>
    <w:rsid w:val="00630220"/>
    <w:rsid w:val="006307B1"/>
    <w:rsid w:val="00631379"/>
    <w:rsid w:val="00631F96"/>
    <w:rsid w:val="00632513"/>
    <w:rsid w:val="006326A0"/>
    <w:rsid w:val="00633405"/>
    <w:rsid w:val="00633E17"/>
    <w:rsid w:val="006347F8"/>
    <w:rsid w:val="00634D04"/>
    <w:rsid w:val="00634DEF"/>
    <w:rsid w:val="0063502F"/>
    <w:rsid w:val="006352CA"/>
    <w:rsid w:val="00635788"/>
    <w:rsid w:val="00635CD3"/>
    <w:rsid w:val="00635CF8"/>
    <w:rsid w:val="00635F1D"/>
    <w:rsid w:val="00636434"/>
    <w:rsid w:val="00636ACF"/>
    <w:rsid w:val="00636D96"/>
    <w:rsid w:val="00637179"/>
    <w:rsid w:val="00637442"/>
    <w:rsid w:val="006408AC"/>
    <w:rsid w:val="00640DBC"/>
    <w:rsid w:val="00641BAA"/>
    <w:rsid w:val="0064244E"/>
    <w:rsid w:val="00643851"/>
    <w:rsid w:val="00645048"/>
    <w:rsid w:val="0064520F"/>
    <w:rsid w:val="00645E23"/>
    <w:rsid w:val="00646283"/>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8B6"/>
    <w:rsid w:val="0065720A"/>
    <w:rsid w:val="00657E83"/>
    <w:rsid w:val="006603F7"/>
    <w:rsid w:val="00661633"/>
    <w:rsid w:val="00661D1E"/>
    <w:rsid w:val="00662216"/>
    <w:rsid w:val="00662396"/>
    <w:rsid w:val="00663EF2"/>
    <w:rsid w:val="00663F55"/>
    <w:rsid w:val="006652F3"/>
    <w:rsid w:val="006657D4"/>
    <w:rsid w:val="00665A5F"/>
    <w:rsid w:val="00665E15"/>
    <w:rsid w:val="00665EA5"/>
    <w:rsid w:val="006661C3"/>
    <w:rsid w:val="00666296"/>
    <w:rsid w:val="00667644"/>
    <w:rsid w:val="00667B74"/>
    <w:rsid w:val="00670619"/>
    <w:rsid w:val="0067067C"/>
    <w:rsid w:val="00671118"/>
    <w:rsid w:val="0067116F"/>
    <w:rsid w:val="00671509"/>
    <w:rsid w:val="0067182C"/>
    <w:rsid w:val="00671ACB"/>
    <w:rsid w:val="006729D5"/>
    <w:rsid w:val="006729EB"/>
    <w:rsid w:val="00672AE6"/>
    <w:rsid w:val="00672CD8"/>
    <w:rsid w:val="00672DE9"/>
    <w:rsid w:val="006738FF"/>
    <w:rsid w:val="00673F7E"/>
    <w:rsid w:val="00674105"/>
    <w:rsid w:val="00675073"/>
    <w:rsid w:val="006753FF"/>
    <w:rsid w:val="00675BEA"/>
    <w:rsid w:val="00675F3B"/>
    <w:rsid w:val="00676E07"/>
    <w:rsid w:val="00677693"/>
    <w:rsid w:val="00677D78"/>
    <w:rsid w:val="00680436"/>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5A9"/>
    <w:rsid w:val="006878EC"/>
    <w:rsid w:val="00687DC0"/>
    <w:rsid w:val="00690922"/>
    <w:rsid w:val="006912AE"/>
    <w:rsid w:val="00692DB2"/>
    <w:rsid w:val="00693010"/>
    <w:rsid w:val="0069317D"/>
    <w:rsid w:val="00693BD6"/>
    <w:rsid w:val="00694202"/>
    <w:rsid w:val="00694A5D"/>
    <w:rsid w:val="00694BCF"/>
    <w:rsid w:val="00695183"/>
    <w:rsid w:val="00695233"/>
    <w:rsid w:val="006956DE"/>
    <w:rsid w:val="00697882"/>
    <w:rsid w:val="00697E8C"/>
    <w:rsid w:val="006A00CC"/>
    <w:rsid w:val="006A0406"/>
    <w:rsid w:val="006A05DD"/>
    <w:rsid w:val="006A07E1"/>
    <w:rsid w:val="006A21E5"/>
    <w:rsid w:val="006A36A1"/>
    <w:rsid w:val="006A3E71"/>
    <w:rsid w:val="006A3F5F"/>
    <w:rsid w:val="006A458A"/>
    <w:rsid w:val="006A4D59"/>
    <w:rsid w:val="006A5017"/>
    <w:rsid w:val="006A51C2"/>
    <w:rsid w:val="006A524B"/>
    <w:rsid w:val="006A56A4"/>
    <w:rsid w:val="006A6021"/>
    <w:rsid w:val="006A6215"/>
    <w:rsid w:val="006A67F6"/>
    <w:rsid w:val="006A6EED"/>
    <w:rsid w:val="006A6FB7"/>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52DC"/>
    <w:rsid w:val="006B58EF"/>
    <w:rsid w:val="006B6CCB"/>
    <w:rsid w:val="006B7766"/>
    <w:rsid w:val="006C0AF5"/>
    <w:rsid w:val="006C0E1E"/>
    <w:rsid w:val="006C10B8"/>
    <w:rsid w:val="006C39DE"/>
    <w:rsid w:val="006C3EC7"/>
    <w:rsid w:val="006C400A"/>
    <w:rsid w:val="006C43B3"/>
    <w:rsid w:val="006C43C2"/>
    <w:rsid w:val="006C47DB"/>
    <w:rsid w:val="006C5339"/>
    <w:rsid w:val="006C549F"/>
    <w:rsid w:val="006C5799"/>
    <w:rsid w:val="006C5A94"/>
    <w:rsid w:val="006C6A5C"/>
    <w:rsid w:val="006C6D71"/>
    <w:rsid w:val="006C718D"/>
    <w:rsid w:val="006C7E0C"/>
    <w:rsid w:val="006D01E6"/>
    <w:rsid w:val="006D07B2"/>
    <w:rsid w:val="006D091B"/>
    <w:rsid w:val="006D1B2B"/>
    <w:rsid w:val="006D2DE2"/>
    <w:rsid w:val="006D2E6C"/>
    <w:rsid w:val="006D3024"/>
    <w:rsid w:val="006D4090"/>
    <w:rsid w:val="006D46AC"/>
    <w:rsid w:val="006D4953"/>
    <w:rsid w:val="006D6421"/>
    <w:rsid w:val="006D6D1B"/>
    <w:rsid w:val="006D6DD1"/>
    <w:rsid w:val="006D7872"/>
    <w:rsid w:val="006E0103"/>
    <w:rsid w:val="006E0202"/>
    <w:rsid w:val="006E11FB"/>
    <w:rsid w:val="006E149C"/>
    <w:rsid w:val="006E2A6F"/>
    <w:rsid w:val="006E2BD7"/>
    <w:rsid w:val="006E2F18"/>
    <w:rsid w:val="006E3C73"/>
    <w:rsid w:val="006E412B"/>
    <w:rsid w:val="006E4290"/>
    <w:rsid w:val="006E6070"/>
    <w:rsid w:val="006E76DB"/>
    <w:rsid w:val="006E7862"/>
    <w:rsid w:val="006E7C49"/>
    <w:rsid w:val="006E7DE3"/>
    <w:rsid w:val="006F043D"/>
    <w:rsid w:val="006F0650"/>
    <w:rsid w:val="006F076D"/>
    <w:rsid w:val="006F0B5A"/>
    <w:rsid w:val="006F21E0"/>
    <w:rsid w:val="006F2C7D"/>
    <w:rsid w:val="006F3197"/>
    <w:rsid w:val="006F38CC"/>
    <w:rsid w:val="006F3A42"/>
    <w:rsid w:val="006F41B1"/>
    <w:rsid w:val="006F4862"/>
    <w:rsid w:val="006F54A3"/>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B38"/>
    <w:rsid w:val="0070622D"/>
    <w:rsid w:val="007065FA"/>
    <w:rsid w:val="00706991"/>
    <w:rsid w:val="0070793C"/>
    <w:rsid w:val="00710A89"/>
    <w:rsid w:val="00710C12"/>
    <w:rsid w:val="00711F04"/>
    <w:rsid w:val="00712006"/>
    <w:rsid w:val="00712031"/>
    <w:rsid w:val="00712AD6"/>
    <w:rsid w:val="00713112"/>
    <w:rsid w:val="007132A4"/>
    <w:rsid w:val="007135C3"/>
    <w:rsid w:val="007137D8"/>
    <w:rsid w:val="00714594"/>
    <w:rsid w:val="00714B8E"/>
    <w:rsid w:val="00714DC5"/>
    <w:rsid w:val="00715292"/>
    <w:rsid w:val="00715378"/>
    <w:rsid w:val="007161C3"/>
    <w:rsid w:val="00716271"/>
    <w:rsid w:val="00716848"/>
    <w:rsid w:val="007172BD"/>
    <w:rsid w:val="00720127"/>
    <w:rsid w:val="00721D61"/>
    <w:rsid w:val="007226AD"/>
    <w:rsid w:val="00722F90"/>
    <w:rsid w:val="0072303A"/>
    <w:rsid w:val="00724704"/>
    <w:rsid w:val="00724EB7"/>
    <w:rsid w:val="00725249"/>
    <w:rsid w:val="0072534B"/>
    <w:rsid w:val="00725D2F"/>
    <w:rsid w:val="00726010"/>
    <w:rsid w:val="00726249"/>
    <w:rsid w:val="00726F95"/>
    <w:rsid w:val="007271DF"/>
    <w:rsid w:val="007303C3"/>
    <w:rsid w:val="00731018"/>
    <w:rsid w:val="0073129A"/>
    <w:rsid w:val="00731946"/>
    <w:rsid w:val="00732805"/>
    <w:rsid w:val="00733A15"/>
    <w:rsid w:val="00733D02"/>
    <w:rsid w:val="0073458A"/>
    <w:rsid w:val="0073459C"/>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783F"/>
    <w:rsid w:val="00747D13"/>
    <w:rsid w:val="0075009B"/>
    <w:rsid w:val="00750584"/>
    <w:rsid w:val="00750A85"/>
    <w:rsid w:val="00750EA0"/>
    <w:rsid w:val="007510A4"/>
    <w:rsid w:val="00751409"/>
    <w:rsid w:val="00751CFE"/>
    <w:rsid w:val="00751F64"/>
    <w:rsid w:val="0075206C"/>
    <w:rsid w:val="00752ABB"/>
    <w:rsid w:val="00752C1F"/>
    <w:rsid w:val="00752E5F"/>
    <w:rsid w:val="0075302F"/>
    <w:rsid w:val="00753ABB"/>
    <w:rsid w:val="00753B9D"/>
    <w:rsid w:val="00753C34"/>
    <w:rsid w:val="00754E64"/>
    <w:rsid w:val="007553A9"/>
    <w:rsid w:val="00755584"/>
    <w:rsid w:val="007564AA"/>
    <w:rsid w:val="007569A7"/>
    <w:rsid w:val="00756CB2"/>
    <w:rsid w:val="0076041E"/>
    <w:rsid w:val="007608E5"/>
    <w:rsid w:val="007624F0"/>
    <w:rsid w:val="0076257A"/>
    <w:rsid w:val="007637BF"/>
    <w:rsid w:val="00763945"/>
    <w:rsid w:val="0076531B"/>
    <w:rsid w:val="00765DB4"/>
    <w:rsid w:val="007662ED"/>
    <w:rsid w:val="0076633E"/>
    <w:rsid w:val="00766E7D"/>
    <w:rsid w:val="007675FA"/>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9F7"/>
    <w:rsid w:val="00775AD5"/>
    <w:rsid w:val="00776091"/>
    <w:rsid w:val="00781D62"/>
    <w:rsid w:val="00782227"/>
    <w:rsid w:val="00782763"/>
    <w:rsid w:val="00782C2C"/>
    <w:rsid w:val="00782DE2"/>
    <w:rsid w:val="00782EB1"/>
    <w:rsid w:val="0078319C"/>
    <w:rsid w:val="00783279"/>
    <w:rsid w:val="00783B0F"/>
    <w:rsid w:val="00783E94"/>
    <w:rsid w:val="00785788"/>
    <w:rsid w:val="00785CE4"/>
    <w:rsid w:val="007865A2"/>
    <w:rsid w:val="00786E3C"/>
    <w:rsid w:val="007871CE"/>
    <w:rsid w:val="00787363"/>
    <w:rsid w:val="00787699"/>
    <w:rsid w:val="00787C34"/>
    <w:rsid w:val="00790136"/>
    <w:rsid w:val="007910A4"/>
    <w:rsid w:val="007913D9"/>
    <w:rsid w:val="00791E07"/>
    <w:rsid w:val="00791E88"/>
    <w:rsid w:val="007922C3"/>
    <w:rsid w:val="00792BF5"/>
    <w:rsid w:val="00792CB3"/>
    <w:rsid w:val="00793457"/>
    <w:rsid w:val="00793751"/>
    <w:rsid w:val="00793C4D"/>
    <w:rsid w:val="007949F2"/>
    <w:rsid w:val="00794F35"/>
    <w:rsid w:val="007A003E"/>
    <w:rsid w:val="007A0255"/>
    <w:rsid w:val="007A10C0"/>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A7"/>
    <w:rsid w:val="007A71A8"/>
    <w:rsid w:val="007A766F"/>
    <w:rsid w:val="007B0F78"/>
    <w:rsid w:val="007B13C1"/>
    <w:rsid w:val="007B2BD2"/>
    <w:rsid w:val="007B329C"/>
    <w:rsid w:val="007B37E3"/>
    <w:rsid w:val="007B4596"/>
    <w:rsid w:val="007B6A5C"/>
    <w:rsid w:val="007B73DD"/>
    <w:rsid w:val="007B7A6E"/>
    <w:rsid w:val="007C0108"/>
    <w:rsid w:val="007C0226"/>
    <w:rsid w:val="007C0B55"/>
    <w:rsid w:val="007C155F"/>
    <w:rsid w:val="007C1B2E"/>
    <w:rsid w:val="007C2059"/>
    <w:rsid w:val="007C24A8"/>
    <w:rsid w:val="007C2899"/>
    <w:rsid w:val="007C2DAB"/>
    <w:rsid w:val="007C3351"/>
    <w:rsid w:val="007C3BA7"/>
    <w:rsid w:val="007C3E5E"/>
    <w:rsid w:val="007C466E"/>
    <w:rsid w:val="007C523B"/>
    <w:rsid w:val="007C5E70"/>
    <w:rsid w:val="007C60C5"/>
    <w:rsid w:val="007C68F3"/>
    <w:rsid w:val="007C7455"/>
    <w:rsid w:val="007C794A"/>
    <w:rsid w:val="007D0669"/>
    <w:rsid w:val="007D0AAB"/>
    <w:rsid w:val="007D10A5"/>
    <w:rsid w:val="007D20E6"/>
    <w:rsid w:val="007D2815"/>
    <w:rsid w:val="007D2A2F"/>
    <w:rsid w:val="007D3622"/>
    <w:rsid w:val="007D39DB"/>
    <w:rsid w:val="007D3B89"/>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4416"/>
    <w:rsid w:val="007E5137"/>
    <w:rsid w:val="007E563B"/>
    <w:rsid w:val="007E6013"/>
    <w:rsid w:val="007E63A1"/>
    <w:rsid w:val="007E7540"/>
    <w:rsid w:val="007E79F7"/>
    <w:rsid w:val="007F0897"/>
    <w:rsid w:val="007F0F0F"/>
    <w:rsid w:val="007F1172"/>
    <w:rsid w:val="007F168A"/>
    <w:rsid w:val="007F1F62"/>
    <w:rsid w:val="007F2457"/>
    <w:rsid w:val="007F2779"/>
    <w:rsid w:val="007F3478"/>
    <w:rsid w:val="007F3E8A"/>
    <w:rsid w:val="007F45E3"/>
    <w:rsid w:val="007F509B"/>
    <w:rsid w:val="007F5321"/>
    <w:rsid w:val="007F5820"/>
    <w:rsid w:val="007F5B37"/>
    <w:rsid w:val="007F5E7C"/>
    <w:rsid w:val="007F62F4"/>
    <w:rsid w:val="007F641A"/>
    <w:rsid w:val="007F6C28"/>
    <w:rsid w:val="007F797B"/>
    <w:rsid w:val="0080231C"/>
    <w:rsid w:val="00802465"/>
    <w:rsid w:val="00802695"/>
    <w:rsid w:val="00804B36"/>
    <w:rsid w:val="00804E39"/>
    <w:rsid w:val="0080527A"/>
    <w:rsid w:val="008056BF"/>
    <w:rsid w:val="00806686"/>
    <w:rsid w:val="00806A21"/>
    <w:rsid w:val="008105B0"/>
    <w:rsid w:val="008108FB"/>
    <w:rsid w:val="00810C3A"/>
    <w:rsid w:val="00811633"/>
    <w:rsid w:val="00811797"/>
    <w:rsid w:val="00812DBD"/>
    <w:rsid w:val="00813155"/>
    <w:rsid w:val="008136F5"/>
    <w:rsid w:val="008138C1"/>
    <w:rsid w:val="00813B69"/>
    <w:rsid w:val="00813F4E"/>
    <w:rsid w:val="00813F82"/>
    <w:rsid w:val="00814FEA"/>
    <w:rsid w:val="0081509F"/>
    <w:rsid w:val="008152A8"/>
    <w:rsid w:val="00815BB8"/>
    <w:rsid w:val="00815D52"/>
    <w:rsid w:val="00815DBB"/>
    <w:rsid w:val="00815E2D"/>
    <w:rsid w:val="00815E65"/>
    <w:rsid w:val="00817409"/>
    <w:rsid w:val="008177C7"/>
    <w:rsid w:val="00820679"/>
    <w:rsid w:val="00820D6A"/>
    <w:rsid w:val="0082249A"/>
    <w:rsid w:val="00822B94"/>
    <w:rsid w:val="008235FB"/>
    <w:rsid w:val="008237C7"/>
    <w:rsid w:val="0082387A"/>
    <w:rsid w:val="00823980"/>
    <w:rsid w:val="008247D6"/>
    <w:rsid w:val="00824A3D"/>
    <w:rsid w:val="00825593"/>
    <w:rsid w:val="00826108"/>
    <w:rsid w:val="008261CE"/>
    <w:rsid w:val="008263EE"/>
    <w:rsid w:val="0082719D"/>
    <w:rsid w:val="008279DE"/>
    <w:rsid w:val="00827CB6"/>
    <w:rsid w:val="00827F30"/>
    <w:rsid w:val="0083001F"/>
    <w:rsid w:val="008304AC"/>
    <w:rsid w:val="0083118B"/>
    <w:rsid w:val="0083136A"/>
    <w:rsid w:val="00831B73"/>
    <w:rsid w:val="00832B0B"/>
    <w:rsid w:val="00832D97"/>
    <w:rsid w:val="00833156"/>
    <w:rsid w:val="00833189"/>
    <w:rsid w:val="008333B3"/>
    <w:rsid w:val="00833648"/>
    <w:rsid w:val="008337A1"/>
    <w:rsid w:val="00833C85"/>
    <w:rsid w:val="008348D2"/>
    <w:rsid w:val="00834B3D"/>
    <w:rsid w:val="00835139"/>
    <w:rsid w:val="00835FC2"/>
    <w:rsid w:val="00837598"/>
    <w:rsid w:val="00837D0C"/>
    <w:rsid w:val="00837D6A"/>
    <w:rsid w:val="008407A3"/>
    <w:rsid w:val="00840A1F"/>
    <w:rsid w:val="00841287"/>
    <w:rsid w:val="008419A1"/>
    <w:rsid w:val="00841A2C"/>
    <w:rsid w:val="0084222D"/>
    <w:rsid w:val="00842CEA"/>
    <w:rsid w:val="00842DA5"/>
    <w:rsid w:val="008436AC"/>
    <w:rsid w:val="00844AFF"/>
    <w:rsid w:val="008452B5"/>
    <w:rsid w:val="0084590D"/>
    <w:rsid w:val="00845CD1"/>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A77"/>
    <w:rsid w:val="00855310"/>
    <w:rsid w:val="00855374"/>
    <w:rsid w:val="0085579E"/>
    <w:rsid w:val="008558D4"/>
    <w:rsid w:val="00855B88"/>
    <w:rsid w:val="00856694"/>
    <w:rsid w:val="00856CFB"/>
    <w:rsid w:val="00856D2D"/>
    <w:rsid w:val="00857548"/>
    <w:rsid w:val="00857C5A"/>
    <w:rsid w:val="00857CC9"/>
    <w:rsid w:val="00857E53"/>
    <w:rsid w:val="00860602"/>
    <w:rsid w:val="00860A1B"/>
    <w:rsid w:val="00860BCB"/>
    <w:rsid w:val="00860C2B"/>
    <w:rsid w:val="008612CD"/>
    <w:rsid w:val="00861E6D"/>
    <w:rsid w:val="00862582"/>
    <w:rsid w:val="00862797"/>
    <w:rsid w:val="00862A0D"/>
    <w:rsid w:val="00862B96"/>
    <w:rsid w:val="00862F78"/>
    <w:rsid w:val="008640D9"/>
    <w:rsid w:val="008644B9"/>
    <w:rsid w:val="008649BE"/>
    <w:rsid w:val="00864B35"/>
    <w:rsid w:val="00865C16"/>
    <w:rsid w:val="00865F1A"/>
    <w:rsid w:val="0086613D"/>
    <w:rsid w:val="0086636E"/>
    <w:rsid w:val="008671DD"/>
    <w:rsid w:val="00867516"/>
    <w:rsid w:val="00867C28"/>
    <w:rsid w:val="008701CB"/>
    <w:rsid w:val="00870970"/>
    <w:rsid w:val="0087099A"/>
    <w:rsid w:val="00870AC8"/>
    <w:rsid w:val="00870E38"/>
    <w:rsid w:val="00871213"/>
    <w:rsid w:val="008715EF"/>
    <w:rsid w:val="008718FF"/>
    <w:rsid w:val="00871B7C"/>
    <w:rsid w:val="00871E98"/>
    <w:rsid w:val="008722F2"/>
    <w:rsid w:val="00872B40"/>
    <w:rsid w:val="00872ED7"/>
    <w:rsid w:val="00873E35"/>
    <w:rsid w:val="00874C79"/>
    <w:rsid w:val="00875251"/>
    <w:rsid w:val="008758DF"/>
    <w:rsid w:val="00876B7B"/>
    <w:rsid w:val="00876BF9"/>
    <w:rsid w:val="00876D18"/>
    <w:rsid w:val="00876F21"/>
    <w:rsid w:val="00877FE9"/>
    <w:rsid w:val="0088015A"/>
    <w:rsid w:val="00880E0D"/>
    <w:rsid w:val="0088166D"/>
    <w:rsid w:val="008816EB"/>
    <w:rsid w:val="00881DA7"/>
    <w:rsid w:val="00882146"/>
    <w:rsid w:val="008823FF"/>
    <w:rsid w:val="00882A68"/>
    <w:rsid w:val="008850A4"/>
    <w:rsid w:val="0088585A"/>
    <w:rsid w:val="00885AB6"/>
    <w:rsid w:val="00885ABD"/>
    <w:rsid w:val="00885E30"/>
    <w:rsid w:val="008869E0"/>
    <w:rsid w:val="00887026"/>
    <w:rsid w:val="008871B6"/>
    <w:rsid w:val="008877D6"/>
    <w:rsid w:val="00887E10"/>
    <w:rsid w:val="00890277"/>
    <w:rsid w:val="0089081F"/>
    <w:rsid w:val="00890905"/>
    <w:rsid w:val="00891854"/>
    <w:rsid w:val="00891AD8"/>
    <w:rsid w:val="008921C3"/>
    <w:rsid w:val="008924E7"/>
    <w:rsid w:val="008924F3"/>
    <w:rsid w:val="00892F88"/>
    <w:rsid w:val="0089385C"/>
    <w:rsid w:val="00893E6E"/>
    <w:rsid w:val="00894B60"/>
    <w:rsid w:val="00894FE4"/>
    <w:rsid w:val="008959BD"/>
    <w:rsid w:val="00895A65"/>
    <w:rsid w:val="00895D2B"/>
    <w:rsid w:val="00896059"/>
    <w:rsid w:val="00896C2E"/>
    <w:rsid w:val="00896D94"/>
    <w:rsid w:val="00897B6B"/>
    <w:rsid w:val="008A04A2"/>
    <w:rsid w:val="008A0E72"/>
    <w:rsid w:val="008A1ACD"/>
    <w:rsid w:val="008A27C1"/>
    <w:rsid w:val="008A399E"/>
    <w:rsid w:val="008A4033"/>
    <w:rsid w:val="008A4633"/>
    <w:rsid w:val="008A4AAE"/>
    <w:rsid w:val="008A5648"/>
    <w:rsid w:val="008A5E6E"/>
    <w:rsid w:val="008A5EDE"/>
    <w:rsid w:val="008A70C4"/>
    <w:rsid w:val="008A7482"/>
    <w:rsid w:val="008A75BA"/>
    <w:rsid w:val="008A7629"/>
    <w:rsid w:val="008A772B"/>
    <w:rsid w:val="008A7CED"/>
    <w:rsid w:val="008B062B"/>
    <w:rsid w:val="008B09EE"/>
    <w:rsid w:val="008B1445"/>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73E2"/>
    <w:rsid w:val="008B755B"/>
    <w:rsid w:val="008B7A1C"/>
    <w:rsid w:val="008B7E03"/>
    <w:rsid w:val="008C009D"/>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D1628"/>
    <w:rsid w:val="008D2082"/>
    <w:rsid w:val="008D20E5"/>
    <w:rsid w:val="008D2501"/>
    <w:rsid w:val="008D2D0F"/>
    <w:rsid w:val="008D3693"/>
    <w:rsid w:val="008D3FA8"/>
    <w:rsid w:val="008D4111"/>
    <w:rsid w:val="008D5253"/>
    <w:rsid w:val="008D5712"/>
    <w:rsid w:val="008D5DB3"/>
    <w:rsid w:val="008D5E4D"/>
    <w:rsid w:val="008D64C4"/>
    <w:rsid w:val="008D69E7"/>
    <w:rsid w:val="008D6B6A"/>
    <w:rsid w:val="008D78AA"/>
    <w:rsid w:val="008D7FC7"/>
    <w:rsid w:val="008E096F"/>
    <w:rsid w:val="008E13B2"/>
    <w:rsid w:val="008E14DE"/>
    <w:rsid w:val="008E19D4"/>
    <w:rsid w:val="008E1E0B"/>
    <w:rsid w:val="008E20D0"/>
    <w:rsid w:val="008E27FD"/>
    <w:rsid w:val="008E2A09"/>
    <w:rsid w:val="008E35E2"/>
    <w:rsid w:val="008E4AB4"/>
    <w:rsid w:val="008E50A9"/>
    <w:rsid w:val="008E5141"/>
    <w:rsid w:val="008E516C"/>
    <w:rsid w:val="008E60C2"/>
    <w:rsid w:val="008E6397"/>
    <w:rsid w:val="008E648B"/>
    <w:rsid w:val="008E6509"/>
    <w:rsid w:val="008E681C"/>
    <w:rsid w:val="008E7196"/>
    <w:rsid w:val="008E7271"/>
    <w:rsid w:val="008E75FF"/>
    <w:rsid w:val="008E773E"/>
    <w:rsid w:val="008E7D5C"/>
    <w:rsid w:val="008F042A"/>
    <w:rsid w:val="008F0554"/>
    <w:rsid w:val="008F056F"/>
    <w:rsid w:val="008F0DB9"/>
    <w:rsid w:val="008F104B"/>
    <w:rsid w:val="008F145E"/>
    <w:rsid w:val="008F183F"/>
    <w:rsid w:val="008F1F62"/>
    <w:rsid w:val="008F1FF6"/>
    <w:rsid w:val="008F21CB"/>
    <w:rsid w:val="008F2C14"/>
    <w:rsid w:val="008F2C2A"/>
    <w:rsid w:val="008F3FE7"/>
    <w:rsid w:val="008F557D"/>
    <w:rsid w:val="008F6BCA"/>
    <w:rsid w:val="008F7F17"/>
    <w:rsid w:val="00901C58"/>
    <w:rsid w:val="00903006"/>
    <w:rsid w:val="009038B5"/>
    <w:rsid w:val="00903998"/>
    <w:rsid w:val="00904251"/>
    <w:rsid w:val="00904324"/>
    <w:rsid w:val="009055C4"/>
    <w:rsid w:val="009057AF"/>
    <w:rsid w:val="00905DB6"/>
    <w:rsid w:val="009061D4"/>
    <w:rsid w:val="0090627B"/>
    <w:rsid w:val="00906798"/>
    <w:rsid w:val="00906A6D"/>
    <w:rsid w:val="00906B0E"/>
    <w:rsid w:val="00906DDE"/>
    <w:rsid w:val="0090712B"/>
    <w:rsid w:val="009074C9"/>
    <w:rsid w:val="00907F3E"/>
    <w:rsid w:val="0091016A"/>
    <w:rsid w:val="009105B9"/>
    <w:rsid w:val="00910CFB"/>
    <w:rsid w:val="009111A0"/>
    <w:rsid w:val="00912FD2"/>
    <w:rsid w:val="00913479"/>
    <w:rsid w:val="009134E0"/>
    <w:rsid w:val="00913E51"/>
    <w:rsid w:val="00914207"/>
    <w:rsid w:val="00914AF6"/>
    <w:rsid w:val="009161EE"/>
    <w:rsid w:val="009167B1"/>
    <w:rsid w:val="00917BC4"/>
    <w:rsid w:val="00920053"/>
    <w:rsid w:val="00920555"/>
    <w:rsid w:val="009206F8"/>
    <w:rsid w:val="0092255D"/>
    <w:rsid w:val="00922E89"/>
    <w:rsid w:val="00923008"/>
    <w:rsid w:val="00923529"/>
    <w:rsid w:val="00923C47"/>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1E86"/>
    <w:rsid w:val="009336A1"/>
    <w:rsid w:val="00933E70"/>
    <w:rsid w:val="00933EA5"/>
    <w:rsid w:val="009341E9"/>
    <w:rsid w:val="00934780"/>
    <w:rsid w:val="00935709"/>
    <w:rsid w:val="00937752"/>
    <w:rsid w:val="009377EC"/>
    <w:rsid w:val="00937FEB"/>
    <w:rsid w:val="009403E4"/>
    <w:rsid w:val="009403FF"/>
    <w:rsid w:val="0094160C"/>
    <w:rsid w:val="0094235E"/>
    <w:rsid w:val="00942EBC"/>
    <w:rsid w:val="009433CB"/>
    <w:rsid w:val="00943713"/>
    <w:rsid w:val="00944523"/>
    <w:rsid w:val="009446C4"/>
    <w:rsid w:val="00944FAA"/>
    <w:rsid w:val="009450C8"/>
    <w:rsid w:val="0094522C"/>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A5A"/>
    <w:rsid w:val="00953575"/>
    <w:rsid w:val="00953C8D"/>
    <w:rsid w:val="00953E6B"/>
    <w:rsid w:val="0095409D"/>
    <w:rsid w:val="00954710"/>
    <w:rsid w:val="00954731"/>
    <w:rsid w:val="00954E48"/>
    <w:rsid w:val="009551C8"/>
    <w:rsid w:val="009553DD"/>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4B3"/>
    <w:rsid w:val="009652BD"/>
    <w:rsid w:val="009654A4"/>
    <w:rsid w:val="00965849"/>
    <w:rsid w:val="00966346"/>
    <w:rsid w:val="009669B1"/>
    <w:rsid w:val="0096754D"/>
    <w:rsid w:val="009676EF"/>
    <w:rsid w:val="0096786B"/>
    <w:rsid w:val="00970498"/>
    <w:rsid w:val="00970557"/>
    <w:rsid w:val="00970648"/>
    <w:rsid w:val="009706F4"/>
    <w:rsid w:val="00971185"/>
    <w:rsid w:val="00971564"/>
    <w:rsid w:val="00971B19"/>
    <w:rsid w:val="009725B2"/>
    <w:rsid w:val="00972DC3"/>
    <w:rsid w:val="0097371B"/>
    <w:rsid w:val="009738EB"/>
    <w:rsid w:val="0097403D"/>
    <w:rsid w:val="0097439B"/>
    <w:rsid w:val="009744C2"/>
    <w:rsid w:val="009745C1"/>
    <w:rsid w:val="00974C3D"/>
    <w:rsid w:val="00974C7A"/>
    <w:rsid w:val="00974E0F"/>
    <w:rsid w:val="00975772"/>
    <w:rsid w:val="00975888"/>
    <w:rsid w:val="00975E86"/>
    <w:rsid w:val="009760FB"/>
    <w:rsid w:val="00976480"/>
    <w:rsid w:val="00980571"/>
    <w:rsid w:val="009807F4"/>
    <w:rsid w:val="00980C50"/>
    <w:rsid w:val="00980E81"/>
    <w:rsid w:val="009810CA"/>
    <w:rsid w:val="0098156D"/>
    <w:rsid w:val="009820CF"/>
    <w:rsid w:val="00982826"/>
    <w:rsid w:val="0098285E"/>
    <w:rsid w:val="00982EF8"/>
    <w:rsid w:val="009839C4"/>
    <w:rsid w:val="00983DA2"/>
    <w:rsid w:val="00984A21"/>
    <w:rsid w:val="00984F36"/>
    <w:rsid w:val="0098571A"/>
    <w:rsid w:val="009858D4"/>
    <w:rsid w:val="00985BF6"/>
    <w:rsid w:val="00986000"/>
    <w:rsid w:val="009866BB"/>
    <w:rsid w:val="009868E5"/>
    <w:rsid w:val="00986CCA"/>
    <w:rsid w:val="00987CF8"/>
    <w:rsid w:val="009903BB"/>
    <w:rsid w:val="0099065A"/>
    <w:rsid w:val="00993DFB"/>
    <w:rsid w:val="0099417A"/>
    <w:rsid w:val="0099545A"/>
    <w:rsid w:val="009960DB"/>
    <w:rsid w:val="0099670D"/>
    <w:rsid w:val="009A0969"/>
    <w:rsid w:val="009A0F47"/>
    <w:rsid w:val="009A18B3"/>
    <w:rsid w:val="009A196A"/>
    <w:rsid w:val="009A1C12"/>
    <w:rsid w:val="009A2246"/>
    <w:rsid w:val="009A283D"/>
    <w:rsid w:val="009A2DD0"/>
    <w:rsid w:val="009A32C7"/>
    <w:rsid w:val="009A3519"/>
    <w:rsid w:val="009A35EA"/>
    <w:rsid w:val="009A3B3E"/>
    <w:rsid w:val="009A4007"/>
    <w:rsid w:val="009A4481"/>
    <w:rsid w:val="009A44BF"/>
    <w:rsid w:val="009A46E0"/>
    <w:rsid w:val="009A4ADC"/>
    <w:rsid w:val="009A5A4D"/>
    <w:rsid w:val="009A5E42"/>
    <w:rsid w:val="009A6215"/>
    <w:rsid w:val="009A6247"/>
    <w:rsid w:val="009A6F39"/>
    <w:rsid w:val="009A72FA"/>
    <w:rsid w:val="009A7415"/>
    <w:rsid w:val="009A7C7A"/>
    <w:rsid w:val="009B0215"/>
    <w:rsid w:val="009B05F8"/>
    <w:rsid w:val="009B1B6E"/>
    <w:rsid w:val="009B1D9E"/>
    <w:rsid w:val="009B207C"/>
    <w:rsid w:val="009B2CB3"/>
    <w:rsid w:val="009B2DB4"/>
    <w:rsid w:val="009B34E6"/>
    <w:rsid w:val="009B3565"/>
    <w:rsid w:val="009B3645"/>
    <w:rsid w:val="009B3B55"/>
    <w:rsid w:val="009B437C"/>
    <w:rsid w:val="009B46E3"/>
    <w:rsid w:val="009B47CF"/>
    <w:rsid w:val="009B4C62"/>
    <w:rsid w:val="009B52A0"/>
    <w:rsid w:val="009B52C9"/>
    <w:rsid w:val="009B52F2"/>
    <w:rsid w:val="009B53A1"/>
    <w:rsid w:val="009B5AE1"/>
    <w:rsid w:val="009B7171"/>
    <w:rsid w:val="009B7AFC"/>
    <w:rsid w:val="009B7CE0"/>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DB5"/>
    <w:rsid w:val="009C3EBC"/>
    <w:rsid w:val="009C4084"/>
    <w:rsid w:val="009C457D"/>
    <w:rsid w:val="009C4A22"/>
    <w:rsid w:val="009C4B5A"/>
    <w:rsid w:val="009C4BB1"/>
    <w:rsid w:val="009C4DE2"/>
    <w:rsid w:val="009C55B9"/>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639A"/>
    <w:rsid w:val="009D7107"/>
    <w:rsid w:val="009D75B5"/>
    <w:rsid w:val="009E0F40"/>
    <w:rsid w:val="009E1475"/>
    <w:rsid w:val="009E14EB"/>
    <w:rsid w:val="009E1928"/>
    <w:rsid w:val="009E20DF"/>
    <w:rsid w:val="009E2347"/>
    <w:rsid w:val="009E271F"/>
    <w:rsid w:val="009E2ADD"/>
    <w:rsid w:val="009E43A3"/>
    <w:rsid w:val="009E43C4"/>
    <w:rsid w:val="009E56E4"/>
    <w:rsid w:val="009E5FBC"/>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A00231"/>
    <w:rsid w:val="00A01248"/>
    <w:rsid w:val="00A01334"/>
    <w:rsid w:val="00A019F9"/>
    <w:rsid w:val="00A02385"/>
    <w:rsid w:val="00A02A2A"/>
    <w:rsid w:val="00A02C67"/>
    <w:rsid w:val="00A03169"/>
    <w:rsid w:val="00A031CA"/>
    <w:rsid w:val="00A03F86"/>
    <w:rsid w:val="00A048E2"/>
    <w:rsid w:val="00A04C9E"/>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362E"/>
    <w:rsid w:val="00A13BF6"/>
    <w:rsid w:val="00A14335"/>
    <w:rsid w:val="00A1443D"/>
    <w:rsid w:val="00A1486C"/>
    <w:rsid w:val="00A150A5"/>
    <w:rsid w:val="00A151AE"/>
    <w:rsid w:val="00A154C7"/>
    <w:rsid w:val="00A158E3"/>
    <w:rsid w:val="00A15C25"/>
    <w:rsid w:val="00A17C20"/>
    <w:rsid w:val="00A20059"/>
    <w:rsid w:val="00A20681"/>
    <w:rsid w:val="00A206FA"/>
    <w:rsid w:val="00A20965"/>
    <w:rsid w:val="00A20D9F"/>
    <w:rsid w:val="00A20F6E"/>
    <w:rsid w:val="00A2173F"/>
    <w:rsid w:val="00A21C06"/>
    <w:rsid w:val="00A22B71"/>
    <w:rsid w:val="00A22BA3"/>
    <w:rsid w:val="00A22D20"/>
    <w:rsid w:val="00A2347A"/>
    <w:rsid w:val="00A2562A"/>
    <w:rsid w:val="00A2605C"/>
    <w:rsid w:val="00A263F5"/>
    <w:rsid w:val="00A27667"/>
    <w:rsid w:val="00A3012A"/>
    <w:rsid w:val="00A3013C"/>
    <w:rsid w:val="00A3036D"/>
    <w:rsid w:val="00A305E7"/>
    <w:rsid w:val="00A3094B"/>
    <w:rsid w:val="00A30C42"/>
    <w:rsid w:val="00A32746"/>
    <w:rsid w:val="00A32749"/>
    <w:rsid w:val="00A33ADA"/>
    <w:rsid w:val="00A3412A"/>
    <w:rsid w:val="00A34BCB"/>
    <w:rsid w:val="00A350A1"/>
    <w:rsid w:val="00A35BC3"/>
    <w:rsid w:val="00A36BAF"/>
    <w:rsid w:val="00A36D68"/>
    <w:rsid w:val="00A37058"/>
    <w:rsid w:val="00A373E1"/>
    <w:rsid w:val="00A3740B"/>
    <w:rsid w:val="00A37A51"/>
    <w:rsid w:val="00A40F87"/>
    <w:rsid w:val="00A40FAE"/>
    <w:rsid w:val="00A4108C"/>
    <w:rsid w:val="00A41211"/>
    <w:rsid w:val="00A4146F"/>
    <w:rsid w:val="00A42048"/>
    <w:rsid w:val="00A42182"/>
    <w:rsid w:val="00A4268F"/>
    <w:rsid w:val="00A43234"/>
    <w:rsid w:val="00A4399B"/>
    <w:rsid w:val="00A43C75"/>
    <w:rsid w:val="00A45641"/>
    <w:rsid w:val="00A45A8D"/>
    <w:rsid w:val="00A45FA8"/>
    <w:rsid w:val="00A46347"/>
    <w:rsid w:val="00A463CA"/>
    <w:rsid w:val="00A46947"/>
    <w:rsid w:val="00A46EB9"/>
    <w:rsid w:val="00A50443"/>
    <w:rsid w:val="00A505D1"/>
    <w:rsid w:val="00A52D0B"/>
    <w:rsid w:val="00A546BA"/>
    <w:rsid w:val="00A5482D"/>
    <w:rsid w:val="00A550AD"/>
    <w:rsid w:val="00A55702"/>
    <w:rsid w:val="00A55778"/>
    <w:rsid w:val="00A55859"/>
    <w:rsid w:val="00A55F30"/>
    <w:rsid w:val="00A56476"/>
    <w:rsid w:val="00A5699C"/>
    <w:rsid w:val="00A56E85"/>
    <w:rsid w:val="00A60085"/>
    <w:rsid w:val="00A600A9"/>
    <w:rsid w:val="00A60DD1"/>
    <w:rsid w:val="00A60E10"/>
    <w:rsid w:val="00A61187"/>
    <w:rsid w:val="00A616AD"/>
    <w:rsid w:val="00A61709"/>
    <w:rsid w:val="00A618EC"/>
    <w:rsid w:val="00A619AC"/>
    <w:rsid w:val="00A61BFF"/>
    <w:rsid w:val="00A620CA"/>
    <w:rsid w:val="00A62215"/>
    <w:rsid w:val="00A623D3"/>
    <w:rsid w:val="00A62441"/>
    <w:rsid w:val="00A63042"/>
    <w:rsid w:val="00A6336A"/>
    <w:rsid w:val="00A634A1"/>
    <w:rsid w:val="00A64560"/>
    <w:rsid w:val="00A647F5"/>
    <w:rsid w:val="00A64A99"/>
    <w:rsid w:val="00A64AB3"/>
    <w:rsid w:val="00A65CDB"/>
    <w:rsid w:val="00A66299"/>
    <w:rsid w:val="00A667C5"/>
    <w:rsid w:val="00A674E1"/>
    <w:rsid w:val="00A679A0"/>
    <w:rsid w:val="00A67AD0"/>
    <w:rsid w:val="00A7069D"/>
    <w:rsid w:val="00A70E19"/>
    <w:rsid w:val="00A71C71"/>
    <w:rsid w:val="00A71EDD"/>
    <w:rsid w:val="00A72605"/>
    <w:rsid w:val="00A729EB"/>
    <w:rsid w:val="00A72F06"/>
    <w:rsid w:val="00A730C0"/>
    <w:rsid w:val="00A734E9"/>
    <w:rsid w:val="00A745CC"/>
    <w:rsid w:val="00A75179"/>
    <w:rsid w:val="00A75918"/>
    <w:rsid w:val="00A75D41"/>
    <w:rsid w:val="00A76276"/>
    <w:rsid w:val="00A764A8"/>
    <w:rsid w:val="00A77308"/>
    <w:rsid w:val="00A7748B"/>
    <w:rsid w:val="00A779DA"/>
    <w:rsid w:val="00A77F2D"/>
    <w:rsid w:val="00A80351"/>
    <w:rsid w:val="00A80551"/>
    <w:rsid w:val="00A8166C"/>
    <w:rsid w:val="00A82809"/>
    <w:rsid w:val="00A82B44"/>
    <w:rsid w:val="00A8375B"/>
    <w:rsid w:val="00A83823"/>
    <w:rsid w:val="00A84574"/>
    <w:rsid w:val="00A84DDC"/>
    <w:rsid w:val="00A8506E"/>
    <w:rsid w:val="00A854CF"/>
    <w:rsid w:val="00A857FC"/>
    <w:rsid w:val="00A85CEC"/>
    <w:rsid w:val="00A85DE3"/>
    <w:rsid w:val="00A86058"/>
    <w:rsid w:val="00A86DB5"/>
    <w:rsid w:val="00A876A2"/>
    <w:rsid w:val="00A876C1"/>
    <w:rsid w:val="00A87CA1"/>
    <w:rsid w:val="00A87E80"/>
    <w:rsid w:val="00A901BC"/>
    <w:rsid w:val="00A9058F"/>
    <w:rsid w:val="00A905DE"/>
    <w:rsid w:val="00A9238E"/>
    <w:rsid w:val="00A9361B"/>
    <w:rsid w:val="00A936A7"/>
    <w:rsid w:val="00A9390C"/>
    <w:rsid w:val="00A947C9"/>
    <w:rsid w:val="00A949F0"/>
    <w:rsid w:val="00A94FF7"/>
    <w:rsid w:val="00A950DC"/>
    <w:rsid w:val="00A9585B"/>
    <w:rsid w:val="00A96A71"/>
    <w:rsid w:val="00A970CC"/>
    <w:rsid w:val="00A973E1"/>
    <w:rsid w:val="00A97430"/>
    <w:rsid w:val="00AA08DC"/>
    <w:rsid w:val="00AA1024"/>
    <w:rsid w:val="00AA17DB"/>
    <w:rsid w:val="00AA1813"/>
    <w:rsid w:val="00AA33D2"/>
    <w:rsid w:val="00AA3FF7"/>
    <w:rsid w:val="00AA483A"/>
    <w:rsid w:val="00AA4D57"/>
    <w:rsid w:val="00AA5998"/>
    <w:rsid w:val="00AA6E2D"/>
    <w:rsid w:val="00AA7071"/>
    <w:rsid w:val="00AA7724"/>
    <w:rsid w:val="00AA7EC5"/>
    <w:rsid w:val="00AB0120"/>
    <w:rsid w:val="00AB0535"/>
    <w:rsid w:val="00AB0873"/>
    <w:rsid w:val="00AB12DF"/>
    <w:rsid w:val="00AB210B"/>
    <w:rsid w:val="00AB2211"/>
    <w:rsid w:val="00AB2225"/>
    <w:rsid w:val="00AB2950"/>
    <w:rsid w:val="00AB3C9B"/>
    <w:rsid w:val="00AB600B"/>
    <w:rsid w:val="00AB659C"/>
    <w:rsid w:val="00AB6732"/>
    <w:rsid w:val="00AB6785"/>
    <w:rsid w:val="00AB7D4C"/>
    <w:rsid w:val="00AB7E3F"/>
    <w:rsid w:val="00AC126A"/>
    <w:rsid w:val="00AC1526"/>
    <w:rsid w:val="00AC1658"/>
    <w:rsid w:val="00AC174B"/>
    <w:rsid w:val="00AC1B22"/>
    <w:rsid w:val="00AC1BFA"/>
    <w:rsid w:val="00AC1C4A"/>
    <w:rsid w:val="00AC222D"/>
    <w:rsid w:val="00AC22CA"/>
    <w:rsid w:val="00AC268C"/>
    <w:rsid w:val="00AC2805"/>
    <w:rsid w:val="00AC2DB9"/>
    <w:rsid w:val="00AC3610"/>
    <w:rsid w:val="00AC397F"/>
    <w:rsid w:val="00AC3CC3"/>
    <w:rsid w:val="00AC41AD"/>
    <w:rsid w:val="00AC47DB"/>
    <w:rsid w:val="00AC49CF"/>
    <w:rsid w:val="00AC4AF1"/>
    <w:rsid w:val="00AC594B"/>
    <w:rsid w:val="00AC61A9"/>
    <w:rsid w:val="00AC6264"/>
    <w:rsid w:val="00AC6B60"/>
    <w:rsid w:val="00AC6BCD"/>
    <w:rsid w:val="00AC6C08"/>
    <w:rsid w:val="00AC737A"/>
    <w:rsid w:val="00AD005A"/>
    <w:rsid w:val="00AD0D43"/>
    <w:rsid w:val="00AD1A50"/>
    <w:rsid w:val="00AD1B7C"/>
    <w:rsid w:val="00AD2D0B"/>
    <w:rsid w:val="00AD3A5E"/>
    <w:rsid w:val="00AD3D6C"/>
    <w:rsid w:val="00AD3DF4"/>
    <w:rsid w:val="00AD4CA3"/>
    <w:rsid w:val="00AD4E33"/>
    <w:rsid w:val="00AD5A25"/>
    <w:rsid w:val="00AD6106"/>
    <w:rsid w:val="00AD642C"/>
    <w:rsid w:val="00AD6892"/>
    <w:rsid w:val="00AD744B"/>
    <w:rsid w:val="00AE0396"/>
    <w:rsid w:val="00AE0AC6"/>
    <w:rsid w:val="00AE0D15"/>
    <w:rsid w:val="00AE104D"/>
    <w:rsid w:val="00AE1294"/>
    <w:rsid w:val="00AE134A"/>
    <w:rsid w:val="00AE16F1"/>
    <w:rsid w:val="00AE3089"/>
    <w:rsid w:val="00AE317C"/>
    <w:rsid w:val="00AE3330"/>
    <w:rsid w:val="00AE46F1"/>
    <w:rsid w:val="00AE4E3B"/>
    <w:rsid w:val="00AE50E8"/>
    <w:rsid w:val="00AE579C"/>
    <w:rsid w:val="00AE57E8"/>
    <w:rsid w:val="00AF0254"/>
    <w:rsid w:val="00AF0D38"/>
    <w:rsid w:val="00AF1A5F"/>
    <w:rsid w:val="00AF1A82"/>
    <w:rsid w:val="00AF1CFF"/>
    <w:rsid w:val="00AF1E11"/>
    <w:rsid w:val="00AF4455"/>
    <w:rsid w:val="00AF46BC"/>
    <w:rsid w:val="00AF4B2C"/>
    <w:rsid w:val="00AF55B4"/>
    <w:rsid w:val="00AF5C2B"/>
    <w:rsid w:val="00AF60AC"/>
    <w:rsid w:val="00AF70EE"/>
    <w:rsid w:val="00AF7486"/>
    <w:rsid w:val="00B00373"/>
    <w:rsid w:val="00B008E2"/>
    <w:rsid w:val="00B00BD3"/>
    <w:rsid w:val="00B00C4A"/>
    <w:rsid w:val="00B01A02"/>
    <w:rsid w:val="00B02390"/>
    <w:rsid w:val="00B03177"/>
    <w:rsid w:val="00B04473"/>
    <w:rsid w:val="00B050D1"/>
    <w:rsid w:val="00B055D9"/>
    <w:rsid w:val="00B05725"/>
    <w:rsid w:val="00B057D1"/>
    <w:rsid w:val="00B0650A"/>
    <w:rsid w:val="00B06EC9"/>
    <w:rsid w:val="00B07DC6"/>
    <w:rsid w:val="00B07F1D"/>
    <w:rsid w:val="00B108DC"/>
    <w:rsid w:val="00B10B26"/>
    <w:rsid w:val="00B111B2"/>
    <w:rsid w:val="00B11338"/>
    <w:rsid w:val="00B11387"/>
    <w:rsid w:val="00B115D2"/>
    <w:rsid w:val="00B11B77"/>
    <w:rsid w:val="00B11F21"/>
    <w:rsid w:val="00B128A2"/>
    <w:rsid w:val="00B12A55"/>
    <w:rsid w:val="00B1323D"/>
    <w:rsid w:val="00B13947"/>
    <w:rsid w:val="00B13C21"/>
    <w:rsid w:val="00B13C57"/>
    <w:rsid w:val="00B13F1F"/>
    <w:rsid w:val="00B14387"/>
    <w:rsid w:val="00B14563"/>
    <w:rsid w:val="00B1462B"/>
    <w:rsid w:val="00B14A56"/>
    <w:rsid w:val="00B14E16"/>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67BC"/>
    <w:rsid w:val="00B27B52"/>
    <w:rsid w:val="00B301D4"/>
    <w:rsid w:val="00B302D3"/>
    <w:rsid w:val="00B3064A"/>
    <w:rsid w:val="00B30C64"/>
    <w:rsid w:val="00B31182"/>
    <w:rsid w:val="00B311A5"/>
    <w:rsid w:val="00B3123B"/>
    <w:rsid w:val="00B31A0E"/>
    <w:rsid w:val="00B31AE7"/>
    <w:rsid w:val="00B31CD4"/>
    <w:rsid w:val="00B328CF"/>
    <w:rsid w:val="00B3310C"/>
    <w:rsid w:val="00B33245"/>
    <w:rsid w:val="00B333A0"/>
    <w:rsid w:val="00B34132"/>
    <w:rsid w:val="00B3418C"/>
    <w:rsid w:val="00B3436C"/>
    <w:rsid w:val="00B3468D"/>
    <w:rsid w:val="00B34A9B"/>
    <w:rsid w:val="00B34B0E"/>
    <w:rsid w:val="00B350C1"/>
    <w:rsid w:val="00B35607"/>
    <w:rsid w:val="00B3585E"/>
    <w:rsid w:val="00B35DA9"/>
    <w:rsid w:val="00B35E2E"/>
    <w:rsid w:val="00B36397"/>
    <w:rsid w:val="00B3699E"/>
    <w:rsid w:val="00B36DF4"/>
    <w:rsid w:val="00B379BC"/>
    <w:rsid w:val="00B401A8"/>
    <w:rsid w:val="00B40552"/>
    <w:rsid w:val="00B40957"/>
    <w:rsid w:val="00B40A73"/>
    <w:rsid w:val="00B40ABF"/>
    <w:rsid w:val="00B41FCF"/>
    <w:rsid w:val="00B4220F"/>
    <w:rsid w:val="00B42470"/>
    <w:rsid w:val="00B42519"/>
    <w:rsid w:val="00B42904"/>
    <w:rsid w:val="00B42961"/>
    <w:rsid w:val="00B429B3"/>
    <w:rsid w:val="00B42F11"/>
    <w:rsid w:val="00B43165"/>
    <w:rsid w:val="00B436A4"/>
    <w:rsid w:val="00B44785"/>
    <w:rsid w:val="00B45151"/>
    <w:rsid w:val="00B457A3"/>
    <w:rsid w:val="00B45AF2"/>
    <w:rsid w:val="00B45E59"/>
    <w:rsid w:val="00B4631C"/>
    <w:rsid w:val="00B4657B"/>
    <w:rsid w:val="00B46B00"/>
    <w:rsid w:val="00B473E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7E5"/>
    <w:rsid w:val="00B56BBD"/>
    <w:rsid w:val="00B5772D"/>
    <w:rsid w:val="00B577E1"/>
    <w:rsid w:val="00B60D37"/>
    <w:rsid w:val="00B61F09"/>
    <w:rsid w:val="00B63CE8"/>
    <w:rsid w:val="00B651F3"/>
    <w:rsid w:val="00B6538B"/>
    <w:rsid w:val="00B65757"/>
    <w:rsid w:val="00B65CEE"/>
    <w:rsid w:val="00B663E9"/>
    <w:rsid w:val="00B66EB0"/>
    <w:rsid w:val="00B67527"/>
    <w:rsid w:val="00B67C9E"/>
    <w:rsid w:val="00B7038C"/>
    <w:rsid w:val="00B710EF"/>
    <w:rsid w:val="00B7124B"/>
    <w:rsid w:val="00B71354"/>
    <w:rsid w:val="00B718CE"/>
    <w:rsid w:val="00B719B3"/>
    <w:rsid w:val="00B7201E"/>
    <w:rsid w:val="00B720A8"/>
    <w:rsid w:val="00B7247F"/>
    <w:rsid w:val="00B73E3D"/>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465"/>
    <w:rsid w:val="00B87E04"/>
    <w:rsid w:val="00B87F8A"/>
    <w:rsid w:val="00B9086D"/>
    <w:rsid w:val="00B910F6"/>
    <w:rsid w:val="00B916AA"/>
    <w:rsid w:val="00B92F6E"/>
    <w:rsid w:val="00B930DD"/>
    <w:rsid w:val="00B930EE"/>
    <w:rsid w:val="00B94481"/>
    <w:rsid w:val="00B944D1"/>
    <w:rsid w:val="00B94B6D"/>
    <w:rsid w:val="00B94D4A"/>
    <w:rsid w:val="00B953DB"/>
    <w:rsid w:val="00B95907"/>
    <w:rsid w:val="00B97708"/>
    <w:rsid w:val="00BA0272"/>
    <w:rsid w:val="00BA07C8"/>
    <w:rsid w:val="00BA0EFC"/>
    <w:rsid w:val="00BA15FF"/>
    <w:rsid w:val="00BA3439"/>
    <w:rsid w:val="00BA35B6"/>
    <w:rsid w:val="00BA382B"/>
    <w:rsid w:val="00BA38D5"/>
    <w:rsid w:val="00BA3979"/>
    <w:rsid w:val="00BA39EC"/>
    <w:rsid w:val="00BA3C4D"/>
    <w:rsid w:val="00BA3DE4"/>
    <w:rsid w:val="00BA4314"/>
    <w:rsid w:val="00BA4F7B"/>
    <w:rsid w:val="00BA4F88"/>
    <w:rsid w:val="00BA5072"/>
    <w:rsid w:val="00BA5F66"/>
    <w:rsid w:val="00BA6661"/>
    <w:rsid w:val="00BA6D54"/>
    <w:rsid w:val="00BA6F01"/>
    <w:rsid w:val="00BA6F25"/>
    <w:rsid w:val="00BB0CF6"/>
    <w:rsid w:val="00BB1156"/>
    <w:rsid w:val="00BB188A"/>
    <w:rsid w:val="00BB21E8"/>
    <w:rsid w:val="00BB266E"/>
    <w:rsid w:val="00BB31DB"/>
    <w:rsid w:val="00BB3F8A"/>
    <w:rsid w:val="00BB4009"/>
    <w:rsid w:val="00BB473C"/>
    <w:rsid w:val="00BB4A3F"/>
    <w:rsid w:val="00BB4FC6"/>
    <w:rsid w:val="00BB5077"/>
    <w:rsid w:val="00BB594B"/>
    <w:rsid w:val="00BB5A60"/>
    <w:rsid w:val="00BB60DD"/>
    <w:rsid w:val="00BB61F5"/>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4290"/>
    <w:rsid w:val="00BC440C"/>
    <w:rsid w:val="00BC45BE"/>
    <w:rsid w:val="00BC4D60"/>
    <w:rsid w:val="00BC4E57"/>
    <w:rsid w:val="00BC5BF7"/>
    <w:rsid w:val="00BC5EE5"/>
    <w:rsid w:val="00BC607C"/>
    <w:rsid w:val="00BC7525"/>
    <w:rsid w:val="00BC7BB4"/>
    <w:rsid w:val="00BD00FD"/>
    <w:rsid w:val="00BD16DC"/>
    <w:rsid w:val="00BD1B13"/>
    <w:rsid w:val="00BD1BA2"/>
    <w:rsid w:val="00BD2477"/>
    <w:rsid w:val="00BD2B35"/>
    <w:rsid w:val="00BD3292"/>
    <w:rsid w:val="00BD3870"/>
    <w:rsid w:val="00BD442D"/>
    <w:rsid w:val="00BD45FF"/>
    <w:rsid w:val="00BD4C72"/>
    <w:rsid w:val="00BD4F45"/>
    <w:rsid w:val="00BD57E9"/>
    <w:rsid w:val="00BD5E92"/>
    <w:rsid w:val="00BD672E"/>
    <w:rsid w:val="00BE008C"/>
    <w:rsid w:val="00BE1036"/>
    <w:rsid w:val="00BE1B4F"/>
    <w:rsid w:val="00BE1B9E"/>
    <w:rsid w:val="00BE3682"/>
    <w:rsid w:val="00BE3696"/>
    <w:rsid w:val="00BE5DFE"/>
    <w:rsid w:val="00BE63F1"/>
    <w:rsid w:val="00BE666C"/>
    <w:rsid w:val="00BE676C"/>
    <w:rsid w:val="00BE6DC4"/>
    <w:rsid w:val="00BE7380"/>
    <w:rsid w:val="00BE7C06"/>
    <w:rsid w:val="00BE7DE0"/>
    <w:rsid w:val="00BF10AF"/>
    <w:rsid w:val="00BF1B38"/>
    <w:rsid w:val="00BF1D4B"/>
    <w:rsid w:val="00BF1D81"/>
    <w:rsid w:val="00BF1FB5"/>
    <w:rsid w:val="00BF2A38"/>
    <w:rsid w:val="00BF2DF2"/>
    <w:rsid w:val="00BF3574"/>
    <w:rsid w:val="00BF388A"/>
    <w:rsid w:val="00BF3D5B"/>
    <w:rsid w:val="00BF3DE1"/>
    <w:rsid w:val="00BF3F95"/>
    <w:rsid w:val="00BF3FE6"/>
    <w:rsid w:val="00BF4532"/>
    <w:rsid w:val="00BF4B41"/>
    <w:rsid w:val="00BF4CB9"/>
    <w:rsid w:val="00BF4D0A"/>
    <w:rsid w:val="00BF52F5"/>
    <w:rsid w:val="00BF53B3"/>
    <w:rsid w:val="00BF5545"/>
    <w:rsid w:val="00BF5718"/>
    <w:rsid w:val="00BF5818"/>
    <w:rsid w:val="00BF586E"/>
    <w:rsid w:val="00BF5BD2"/>
    <w:rsid w:val="00BF6B6C"/>
    <w:rsid w:val="00BF776D"/>
    <w:rsid w:val="00BF7861"/>
    <w:rsid w:val="00BF7DFE"/>
    <w:rsid w:val="00C004AD"/>
    <w:rsid w:val="00C00785"/>
    <w:rsid w:val="00C013F5"/>
    <w:rsid w:val="00C01C42"/>
    <w:rsid w:val="00C01CAD"/>
    <w:rsid w:val="00C0209A"/>
    <w:rsid w:val="00C02877"/>
    <w:rsid w:val="00C02E95"/>
    <w:rsid w:val="00C037A6"/>
    <w:rsid w:val="00C03B9B"/>
    <w:rsid w:val="00C0451D"/>
    <w:rsid w:val="00C04BB0"/>
    <w:rsid w:val="00C05EC1"/>
    <w:rsid w:val="00C07226"/>
    <w:rsid w:val="00C076C6"/>
    <w:rsid w:val="00C07754"/>
    <w:rsid w:val="00C07E37"/>
    <w:rsid w:val="00C10903"/>
    <w:rsid w:val="00C10C2C"/>
    <w:rsid w:val="00C10F46"/>
    <w:rsid w:val="00C1175C"/>
    <w:rsid w:val="00C12463"/>
    <w:rsid w:val="00C12B66"/>
    <w:rsid w:val="00C13117"/>
    <w:rsid w:val="00C13AF1"/>
    <w:rsid w:val="00C13AF8"/>
    <w:rsid w:val="00C13B00"/>
    <w:rsid w:val="00C13D65"/>
    <w:rsid w:val="00C14088"/>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B2C"/>
    <w:rsid w:val="00C270E0"/>
    <w:rsid w:val="00C275C9"/>
    <w:rsid w:val="00C30D6A"/>
    <w:rsid w:val="00C31230"/>
    <w:rsid w:val="00C31258"/>
    <w:rsid w:val="00C32643"/>
    <w:rsid w:val="00C337BB"/>
    <w:rsid w:val="00C33A05"/>
    <w:rsid w:val="00C33A86"/>
    <w:rsid w:val="00C33ADF"/>
    <w:rsid w:val="00C34BE3"/>
    <w:rsid w:val="00C34E89"/>
    <w:rsid w:val="00C358C4"/>
    <w:rsid w:val="00C36570"/>
    <w:rsid w:val="00C36E04"/>
    <w:rsid w:val="00C37C99"/>
    <w:rsid w:val="00C409F1"/>
    <w:rsid w:val="00C40C85"/>
    <w:rsid w:val="00C40DBF"/>
    <w:rsid w:val="00C40EB3"/>
    <w:rsid w:val="00C4206C"/>
    <w:rsid w:val="00C422C0"/>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2D4E"/>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93F"/>
    <w:rsid w:val="00C61F80"/>
    <w:rsid w:val="00C62804"/>
    <w:rsid w:val="00C62E39"/>
    <w:rsid w:val="00C63E61"/>
    <w:rsid w:val="00C63FFE"/>
    <w:rsid w:val="00C644F2"/>
    <w:rsid w:val="00C64817"/>
    <w:rsid w:val="00C6498D"/>
    <w:rsid w:val="00C64CFE"/>
    <w:rsid w:val="00C6553B"/>
    <w:rsid w:val="00C65A2C"/>
    <w:rsid w:val="00C65AA6"/>
    <w:rsid w:val="00C65D5F"/>
    <w:rsid w:val="00C65ED5"/>
    <w:rsid w:val="00C67499"/>
    <w:rsid w:val="00C67A73"/>
    <w:rsid w:val="00C711F2"/>
    <w:rsid w:val="00C71209"/>
    <w:rsid w:val="00C71C64"/>
    <w:rsid w:val="00C71FCC"/>
    <w:rsid w:val="00C726C2"/>
    <w:rsid w:val="00C726F5"/>
    <w:rsid w:val="00C72ACF"/>
    <w:rsid w:val="00C74AA7"/>
    <w:rsid w:val="00C74C23"/>
    <w:rsid w:val="00C751AE"/>
    <w:rsid w:val="00C753B5"/>
    <w:rsid w:val="00C75A3B"/>
    <w:rsid w:val="00C760ED"/>
    <w:rsid w:val="00C76EEF"/>
    <w:rsid w:val="00C77151"/>
    <w:rsid w:val="00C77199"/>
    <w:rsid w:val="00C80BC6"/>
    <w:rsid w:val="00C80C2B"/>
    <w:rsid w:val="00C82689"/>
    <w:rsid w:val="00C82C05"/>
    <w:rsid w:val="00C8322E"/>
    <w:rsid w:val="00C855C7"/>
    <w:rsid w:val="00C86077"/>
    <w:rsid w:val="00C8647F"/>
    <w:rsid w:val="00C874D1"/>
    <w:rsid w:val="00C87881"/>
    <w:rsid w:val="00C87FE6"/>
    <w:rsid w:val="00C90019"/>
    <w:rsid w:val="00C906B4"/>
    <w:rsid w:val="00C906E0"/>
    <w:rsid w:val="00C90C9E"/>
    <w:rsid w:val="00C91779"/>
    <w:rsid w:val="00C920E7"/>
    <w:rsid w:val="00C924AB"/>
    <w:rsid w:val="00C92910"/>
    <w:rsid w:val="00C92D78"/>
    <w:rsid w:val="00C93D33"/>
    <w:rsid w:val="00C94449"/>
    <w:rsid w:val="00C9476A"/>
    <w:rsid w:val="00C94BBF"/>
    <w:rsid w:val="00C94E09"/>
    <w:rsid w:val="00C95242"/>
    <w:rsid w:val="00C95B93"/>
    <w:rsid w:val="00C95D03"/>
    <w:rsid w:val="00C95FCB"/>
    <w:rsid w:val="00C96363"/>
    <w:rsid w:val="00C96B7D"/>
    <w:rsid w:val="00C96CAD"/>
    <w:rsid w:val="00C9742A"/>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4165"/>
    <w:rsid w:val="00CA67AB"/>
    <w:rsid w:val="00CA715B"/>
    <w:rsid w:val="00CA756F"/>
    <w:rsid w:val="00CA7629"/>
    <w:rsid w:val="00CA7703"/>
    <w:rsid w:val="00CA7C88"/>
    <w:rsid w:val="00CA7D2A"/>
    <w:rsid w:val="00CB026A"/>
    <w:rsid w:val="00CB0B2C"/>
    <w:rsid w:val="00CB17A6"/>
    <w:rsid w:val="00CB24F2"/>
    <w:rsid w:val="00CB29BE"/>
    <w:rsid w:val="00CB33CF"/>
    <w:rsid w:val="00CB3707"/>
    <w:rsid w:val="00CB4889"/>
    <w:rsid w:val="00CB594C"/>
    <w:rsid w:val="00CB680D"/>
    <w:rsid w:val="00CB74DB"/>
    <w:rsid w:val="00CC185E"/>
    <w:rsid w:val="00CC1F92"/>
    <w:rsid w:val="00CC266E"/>
    <w:rsid w:val="00CC29D9"/>
    <w:rsid w:val="00CC37DC"/>
    <w:rsid w:val="00CC449F"/>
    <w:rsid w:val="00CC5413"/>
    <w:rsid w:val="00CC565D"/>
    <w:rsid w:val="00CC60CF"/>
    <w:rsid w:val="00CC6BC2"/>
    <w:rsid w:val="00CC7A71"/>
    <w:rsid w:val="00CC7E9A"/>
    <w:rsid w:val="00CD0323"/>
    <w:rsid w:val="00CD04FA"/>
    <w:rsid w:val="00CD0750"/>
    <w:rsid w:val="00CD0CA5"/>
    <w:rsid w:val="00CD0FA1"/>
    <w:rsid w:val="00CD0FD8"/>
    <w:rsid w:val="00CD1DC0"/>
    <w:rsid w:val="00CD391D"/>
    <w:rsid w:val="00CD655F"/>
    <w:rsid w:val="00CD6A64"/>
    <w:rsid w:val="00CD6C7C"/>
    <w:rsid w:val="00CE0A3A"/>
    <w:rsid w:val="00CE16DE"/>
    <w:rsid w:val="00CE17B3"/>
    <w:rsid w:val="00CE1A4A"/>
    <w:rsid w:val="00CE1E25"/>
    <w:rsid w:val="00CE25FD"/>
    <w:rsid w:val="00CE2626"/>
    <w:rsid w:val="00CE321C"/>
    <w:rsid w:val="00CE3D8C"/>
    <w:rsid w:val="00CE4A22"/>
    <w:rsid w:val="00CE4B11"/>
    <w:rsid w:val="00CE4D94"/>
    <w:rsid w:val="00CE4F71"/>
    <w:rsid w:val="00CE5480"/>
    <w:rsid w:val="00CE5872"/>
    <w:rsid w:val="00CE5DE9"/>
    <w:rsid w:val="00CE5EB5"/>
    <w:rsid w:val="00CE6533"/>
    <w:rsid w:val="00CE674B"/>
    <w:rsid w:val="00CE6D13"/>
    <w:rsid w:val="00CE6E7E"/>
    <w:rsid w:val="00CE7669"/>
    <w:rsid w:val="00CF058A"/>
    <w:rsid w:val="00CF09CC"/>
    <w:rsid w:val="00CF1418"/>
    <w:rsid w:val="00CF16A1"/>
    <w:rsid w:val="00CF19E3"/>
    <w:rsid w:val="00CF1A8E"/>
    <w:rsid w:val="00CF21C8"/>
    <w:rsid w:val="00CF299D"/>
    <w:rsid w:val="00CF2B76"/>
    <w:rsid w:val="00CF3B77"/>
    <w:rsid w:val="00CF42F7"/>
    <w:rsid w:val="00CF5124"/>
    <w:rsid w:val="00CF539C"/>
    <w:rsid w:val="00CF5527"/>
    <w:rsid w:val="00CF5B30"/>
    <w:rsid w:val="00CF5DFC"/>
    <w:rsid w:val="00CF6051"/>
    <w:rsid w:val="00CF60A1"/>
    <w:rsid w:val="00CF6AEA"/>
    <w:rsid w:val="00CF7FAE"/>
    <w:rsid w:val="00D0041B"/>
    <w:rsid w:val="00D00910"/>
    <w:rsid w:val="00D01278"/>
    <w:rsid w:val="00D0575C"/>
    <w:rsid w:val="00D06622"/>
    <w:rsid w:val="00D06628"/>
    <w:rsid w:val="00D06762"/>
    <w:rsid w:val="00D07BEF"/>
    <w:rsid w:val="00D07CA6"/>
    <w:rsid w:val="00D10279"/>
    <w:rsid w:val="00D10BA7"/>
    <w:rsid w:val="00D10F4E"/>
    <w:rsid w:val="00D110E1"/>
    <w:rsid w:val="00D110EF"/>
    <w:rsid w:val="00D113E2"/>
    <w:rsid w:val="00D1292E"/>
    <w:rsid w:val="00D13DA6"/>
    <w:rsid w:val="00D14B18"/>
    <w:rsid w:val="00D151D7"/>
    <w:rsid w:val="00D15DD8"/>
    <w:rsid w:val="00D1633E"/>
    <w:rsid w:val="00D16607"/>
    <w:rsid w:val="00D17CCF"/>
    <w:rsid w:val="00D17FCD"/>
    <w:rsid w:val="00D20694"/>
    <w:rsid w:val="00D20EF1"/>
    <w:rsid w:val="00D216B2"/>
    <w:rsid w:val="00D21762"/>
    <w:rsid w:val="00D21B6A"/>
    <w:rsid w:val="00D21F28"/>
    <w:rsid w:val="00D221F1"/>
    <w:rsid w:val="00D22789"/>
    <w:rsid w:val="00D236C8"/>
    <w:rsid w:val="00D237BA"/>
    <w:rsid w:val="00D23C14"/>
    <w:rsid w:val="00D24BE5"/>
    <w:rsid w:val="00D24FF6"/>
    <w:rsid w:val="00D25110"/>
    <w:rsid w:val="00D255D4"/>
    <w:rsid w:val="00D25960"/>
    <w:rsid w:val="00D25FE1"/>
    <w:rsid w:val="00D26018"/>
    <w:rsid w:val="00D26BEE"/>
    <w:rsid w:val="00D27668"/>
    <w:rsid w:val="00D2776A"/>
    <w:rsid w:val="00D27C28"/>
    <w:rsid w:val="00D303CD"/>
    <w:rsid w:val="00D30BBC"/>
    <w:rsid w:val="00D30C6D"/>
    <w:rsid w:val="00D31F58"/>
    <w:rsid w:val="00D32617"/>
    <w:rsid w:val="00D32B45"/>
    <w:rsid w:val="00D32B82"/>
    <w:rsid w:val="00D335FF"/>
    <w:rsid w:val="00D33685"/>
    <w:rsid w:val="00D3390C"/>
    <w:rsid w:val="00D33FE3"/>
    <w:rsid w:val="00D34810"/>
    <w:rsid w:val="00D349BB"/>
    <w:rsid w:val="00D34F83"/>
    <w:rsid w:val="00D3512E"/>
    <w:rsid w:val="00D36E79"/>
    <w:rsid w:val="00D377E5"/>
    <w:rsid w:val="00D41397"/>
    <w:rsid w:val="00D41AAF"/>
    <w:rsid w:val="00D4211D"/>
    <w:rsid w:val="00D4233C"/>
    <w:rsid w:val="00D43140"/>
    <w:rsid w:val="00D437A4"/>
    <w:rsid w:val="00D443DF"/>
    <w:rsid w:val="00D4472E"/>
    <w:rsid w:val="00D449D0"/>
    <w:rsid w:val="00D44BA8"/>
    <w:rsid w:val="00D45FDE"/>
    <w:rsid w:val="00D4734A"/>
    <w:rsid w:val="00D4755B"/>
    <w:rsid w:val="00D47779"/>
    <w:rsid w:val="00D50148"/>
    <w:rsid w:val="00D502EE"/>
    <w:rsid w:val="00D50B2A"/>
    <w:rsid w:val="00D51175"/>
    <w:rsid w:val="00D51CA8"/>
    <w:rsid w:val="00D51FF3"/>
    <w:rsid w:val="00D5219E"/>
    <w:rsid w:val="00D52963"/>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3A42"/>
    <w:rsid w:val="00D63E3C"/>
    <w:rsid w:val="00D641C7"/>
    <w:rsid w:val="00D646D3"/>
    <w:rsid w:val="00D64AF2"/>
    <w:rsid w:val="00D64E04"/>
    <w:rsid w:val="00D64EA1"/>
    <w:rsid w:val="00D65A3C"/>
    <w:rsid w:val="00D66929"/>
    <w:rsid w:val="00D66B58"/>
    <w:rsid w:val="00D679A7"/>
    <w:rsid w:val="00D67F65"/>
    <w:rsid w:val="00D727ED"/>
    <w:rsid w:val="00D7336C"/>
    <w:rsid w:val="00D736E8"/>
    <w:rsid w:val="00D7489A"/>
    <w:rsid w:val="00D74C4E"/>
    <w:rsid w:val="00D74E9A"/>
    <w:rsid w:val="00D75306"/>
    <w:rsid w:val="00D755FC"/>
    <w:rsid w:val="00D757A2"/>
    <w:rsid w:val="00D75DDA"/>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4AD"/>
    <w:rsid w:val="00D865B1"/>
    <w:rsid w:val="00D86674"/>
    <w:rsid w:val="00D86CA0"/>
    <w:rsid w:val="00D874C6"/>
    <w:rsid w:val="00D878C2"/>
    <w:rsid w:val="00D906FC"/>
    <w:rsid w:val="00D91A72"/>
    <w:rsid w:val="00D91AD8"/>
    <w:rsid w:val="00D91CEE"/>
    <w:rsid w:val="00D9297C"/>
    <w:rsid w:val="00D92FC2"/>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7208"/>
    <w:rsid w:val="00D973C6"/>
    <w:rsid w:val="00D977C6"/>
    <w:rsid w:val="00DA085E"/>
    <w:rsid w:val="00DA114E"/>
    <w:rsid w:val="00DA1156"/>
    <w:rsid w:val="00DA186C"/>
    <w:rsid w:val="00DA1E19"/>
    <w:rsid w:val="00DA1E67"/>
    <w:rsid w:val="00DA2290"/>
    <w:rsid w:val="00DA2B0C"/>
    <w:rsid w:val="00DA3128"/>
    <w:rsid w:val="00DA37E2"/>
    <w:rsid w:val="00DA47ED"/>
    <w:rsid w:val="00DA48CE"/>
    <w:rsid w:val="00DA4DD9"/>
    <w:rsid w:val="00DA5000"/>
    <w:rsid w:val="00DA509D"/>
    <w:rsid w:val="00DA51EA"/>
    <w:rsid w:val="00DA6953"/>
    <w:rsid w:val="00DA6DED"/>
    <w:rsid w:val="00DA6E9E"/>
    <w:rsid w:val="00DA741D"/>
    <w:rsid w:val="00DB12BF"/>
    <w:rsid w:val="00DB12F0"/>
    <w:rsid w:val="00DB13B3"/>
    <w:rsid w:val="00DB1FBB"/>
    <w:rsid w:val="00DB22AD"/>
    <w:rsid w:val="00DB331E"/>
    <w:rsid w:val="00DB3377"/>
    <w:rsid w:val="00DB36E2"/>
    <w:rsid w:val="00DB3B1D"/>
    <w:rsid w:val="00DB4253"/>
    <w:rsid w:val="00DB4D10"/>
    <w:rsid w:val="00DB4E19"/>
    <w:rsid w:val="00DB5413"/>
    <w:rsid w:val="00DB609F"/>
    <w:rsid w:val="00DB65F6"/>
    <w:rsid w:val="00DB67E0"/>
    <w:rsid w:val="00DB7389"/>
    <w:rsid w:val="00DB77F3"/>
    <w:rsid w:val="00DB7E00"/>
    <w:rsid w:val="00DC0550"/>
    <w:rsid w:val="00DC0A07"/>
    <w:rsid w:val="00DC0BC5"/>
    <w:rsid w:val="00DC1C17"/>
    <w:rsid w:val="00DC2C65"/>
    <w:rsid w:val="00DC35E9"/>
    <w:rsid w:val="00DC36C5"/>
    <w:rsid w:val="00DC3EB7"/>
    <w:rsid w:val="00DC4815"/>
    <w:rsid w:val="00DC4A4C"/>
    <w:rsid w:val="00DC4C3A"/>
    <w:rsid w:val="00DC55E8"/>
    <w:rsid w:val="00DC62D5"/>
    <w:rsid w:val="00DC63AD"/>
    <w:rsid w:val="00DC6D7F"/>
    <w:rsid w:val="00DC7150"/>
    <w:rsid w:val="00DC7410"/>
    <w:rsid w:val="00DC793C"/>
    <w:rsid w:val="00DC7F1D"/>
    <w:rsid w:val="00DD0287"/>
    <w:rsid w:val="00DD0B60"/>
    <w:rsid w:val="00DD0DDF"/>
    <w:rsid w:val="00DD1934"/>
    <w:rsid w:val="00DD19D9"/>
    <w:rsid w:val="00DD1B69"/>
    <w:rsid w:val="00DD227B"/>
    <w:rsid w:val="00DD279B"/>
    <w:rsid w:val="00DD282A"/>
    <w:rsid w:val="00DD2BC5"/>
    <w:rsid w:val="00DD401B"/>
    <w:rsid w:val="00DD588D"/>
    <w:rsid w:val="00DD65EA"/>
    <w:rsid w:val="00DD66A7"/>
    <w:rsid w:val="00DD66AF"/>
    <w:rsid w:val="00DD6FB4"/>
    <w:rsid w:val="00DE05C8"/>
    <w:rsid w:val="00DE0F4C"/>
    <w:rsid w:val="00DE1418"/>
    <w:rsid w:val="00DE176B"/>
    <w:rsid w:val="00DE1B7C"/>
    <w:rsid w:val="00DE2D2D"/>
    <w:rsid w:val="00DE32FC"/>
    <w:rsid w:val="00DE51B5"/>
    <w:rsid w:val="00DE592E"/>
    <w:rsid w:val="00DE5B82"/>
    <w:rsid w:val="00DE5EC9"/>
    <w:rsid w:val="00DE60DB"/>
    <w:rsid w:val="00DE6181"/>
    <w:rsid w:val="00DE64D2"/>
    <w:rsid w:val="00DE674C"/>
    <w:rsid w:val="00DE6AF7"/>
    <w:rsid w:val="00DF041D"/>
    <w:rsid w:val="00DF0E07"/>
    <w:rsid w:val="00DF0F34"/>
    <w:rsid w:val="00DF148E"/>
    <w:rsid w:val="00DF1F3D"/>
    <w:rsid w:val="00DF236A"/>
    <w:rsid w:val="00DF2E2A"/>
    <w:rsid w:val="00DF317E"/>
    <w:rsid w:val="00DF4653"/>
    <w:rsid w:val="00DF47F0"/>
    <w:rsid w:val="00DF52B9"/>
    <w:rsid w:val="00DF531A"/>
    <w:rsid w:val="00DF5817"/>
    <w:rsid w:val="00DF5D00"/>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2EF"/>
    <w:rsid w:val="00E05677"/>
    <w:rsid w:val="00E05A81"/>
    <w:rsid w:val="00E0673F"/>
    <w:rsid w:val="00E07161"/>
    <w:rsid w:val="00E07218"/>
    <w:rsid w:val="00E07FA4"/>
    <w:rsid w:val="00E1002C"/>
    <w:rsid w:val="00E100DE"/>
    <w:rsid w:val="00E10AC9"/>
    <w:rsid w:val="00E10E53"/>
    <w:rsid w:val="00E113A0"/>
    <w:rsid w:val="00E11EC6"/>
    <w:rsid w:val="00E126FA"/>
    <w:rsid w:val="00E12C24"/>
    <w:rsid w:val="00E12D7B"/>
    <w:rsid w:val="00E134F8"/>
    <w:rsid w:val="00E13CD3"/>
    <w:rsid w:val="00E14518"/>
    <w:rsid w:val="00E14FAC"/>
    <w:rsid w:val="00E1575C"/>
    <w:rsid w:val="00E157FD"/>
    <w:rsid w:val="00E15D9B"/>
    <w:rsid w:val="00E16D73"/>
    <w:rsid w:val="00E17ACE"/>
    <w:rsid w:val="00E17B85"/>
    <w:rsid w:val="00E17E3C"/>
    <w:rsid w:val="00E20B5C"/>
    <w:rsid w:val="00E20B5F"/>
    <w:rsid w:val="00E21FD4"/>
    <w:rsid w:val="00E22FDB"/>
    <w:rsid w:val="00E23B98"/>
    <w:rsid w:val="00E23F4F"/>
    <w:rsid w:val="00E245C8"/>
    <w:rsid w:val="00E2462D"/>
    <w:rsid w:val="00E26E10"/>
    <w:rsid w:val="00E27222"/>
    <w:rsid w:val="00E279B5"/>
    <w:rsid w:val="00E307F8"/>
    <w:rsid w:val="00E30B81"/>
    <w:rsid w:val="00E3138F"/>
    <w:rsid w:val="00E32145"/>
    <w:rsid w:val="00E32509"/>
    <w:rsid w:val="00E325C4"/>
    <w:rsid w:val="00E32EF8"/>
    <w:rsid w:val="00E33DDB"/>
    <w:rsid w:val="00E33F9C"/>
    <w:rsid w:val="00E345A3"/>
    <w:rsid w:val="00E347B6"/>
    <w:rsid w:val="00E349D8"/>
    <w:rsid w:val="00E35078"/>
    <w:rsid w:val="00E3649D"/>
    <w:rsid w:val="00E3741C"/>
    <w:rsid w:val="00E375AD"/>
    <w:rsid w:val="00E400D9"/>
    <w:rsid w:val="00E4068E"/>
    <w:rsid w:val="00E4097C"/>
    <w:rsid w:val="00E40E6A"/>
    <w:rsid w:val="00E4146D"/>
    <w:rsid w:val="00E421A1"/>
    <w:rsid w:val="00E42338"/>
    <w:rsid w:val="00E427C7"/>
    <w:rsid w:val="00E4305A"/>
    <w:rsid w:val="00E4348F"/>
    <w:rsid w:val="00E448DE"/>
    <w:rsid w:val="00E44A20"/>
    <w:rsid w:val="00E45201"/>
    <w:rsid w:val="00E45935"/>
    <w:rsid w:val="00E4614C"/>
    <w:rsid w:val="00E4618B"/>
    <w:rsid w:val="00E4650C"/>
    <w:rsid w:val="00E46BE2"/>
    <w:rsid w:val="00E47114"/>
    <w:rsid w:val="00E47420"/>
    <w:rsid w:val="00E47815"/>
    <w:rsid w:val="00E47A22"/>
    <w:rsid w:val="00E47DD9"/>
    <w:rsid w:val="00E47ECE"/>
    <w:rsid w:val="00E507C8"/>
    <w:rsid w:val="00E509E8"/>
    <w:rsid w:val="00E51EF5"/>
    <w:rsid w:val="00E5230D"/>
    <w:rsid w:val="00E5330B"/>
    <w:rsid w:val="00E53445"/>
    <w:rsid w:val="00E53A11"/>
    <w:rsid w:val="00E54FCF"/>
    <w:rsid w:val="00E55247"/>
    <w:rsid w:val="00E55375"/>
    <w:rsid w:val="00E55B76"/>
    <w:rsid w:val="00E561E6"/>
    <w:rsid w:val="00E5642B"/>
    <w:rsid w:val="00E564DE"/>
    <w:rsid w:val="00E56798"/>
    <w:rsid w:val="00E56E39"/>
    <w:rsid w:val="00E570DD"/>
    <w:rsid w:val="00E57625"/>
    <w:rsid w:val="00E57B65"/>
    <w:rsid w:val="00E57D48"/>
    <w:rsid w:val="00E60523"/>
    <w:rsid w:val="00E60EED"/>
    <w:rsid w:val="00E610CF"/>
    <w:rsid w:val="00E6136A"/>
    <w:rsid w:val="00E616F5"/>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67A48"/>
    <w:rsid w:val="00E70695"/>
    <w:rsid w:val="00E70E20"/>
    <w:rsid w:val="00E71AF4"/>
    <w:rsid w:val="00E71EDA"/>
    <w:rsid w:val="00E71F0B"/>
    <w:rsid w:val="00E726FE"/>
    <w:rsid w:val="00E73B25"/>
    <w:rsid w:val="00E74353"/>
    <w:rsid w:val="00E74787"/>
    <w:rsid w:val="00E74E5F"/>
    <w:rsid w:val="00E750DA"/>
    <w:rsid w:val="00E75B53"/>
    <w:rsid w:val="00E75DE0"/>
    <w:rsid w:val="00E769DA"/>
    <w:rsid w:val="00E76F22"/>
    <w:rsid w:val="00E7715E"/>
    <w:rsid w:val="00E77E5C"/>
    <w:rsid w:val="00E77F90"/>
    <w:rsid w:val="00E80358"/>
    <w:rsid w:val="00E808FC"/>
    <w:rsid w:val="00E80A4E"/>
    <w:rsid w:val="00E80D27"/>
    <w:rsid w:val="00E823A1"/>
    <w:rsid w:val="00E82B49"/>
    <w:rsid w:val="00E83183"/>
    <w:rsid w:val="00E833C7"/>
    <w:rsid w:val="00E83DC3"/>
    <w:rsid w:val="00E84286"/>
    <w:rsid w:val="00E8470E"/>
    <w:rsid w:val="00E84B10"/>
    <w:rsid w:val="00E84D70"/>
    <w:rsid w:val="00E84DD3"/>
    <w:rsid w:val="00E862FA"/>
    <w:rsid w:val="00E868E2"/>
    <w:rsid w:val="00E86B78"/>
    <w:rsid w:val="00E86FC5"/>
    <w:rsid w:val="00E87091"/>
    <w:rsid w:val="00E8713D"/>
    <w:rsid w:val="00E879C6"/>
    <w:rsid w:val="00E87F9C"/>
    <w:rsid w:val="00E90B91"/>
    <w:rsid w:val="00E90D13"/>
    <w:rsid w:val="00E90FCD"/>
    <w:rsid w:val="00E9185D"/>
    <w:rsid w:val="00E91D00"/>
    <w:rsid w:val="00E924DA"/>
    <w:rsid w:val="00E925DE"/>
    <w:rsid w:val="00E926EA"/>
    <w:rsid w:val="00E93329"/>
    <w:rsid w:val="00E93A23"/>
    <w:rsid w:val="00E93DEC"/>
    <w:rsid w:val="00E94519"/>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AC1"/>
    <w:rsid w:val="00EA5F5A"/>
    <w:rsid w:val="00EA621C"/>
    <w:rsid w:val="00EA7A98"/>
    <w:rsid w:val="00EA7CB4"/>
    <w:rsid w:val="00EA7F36"/>
    <w:rsid w:val="00EB08C8"/>
    <w:rsid w:val="00EB0B51"/>
    <w:rsid w:val="00EB116F"/>
    <w:rsid w:val="00EB1281"/>
    <w:rsid w:val="00EB1A53"/>
    <w:rsid w:val="00EB1BDD"/>
    <w:rsid w:val="00EB1F53"/>
    <w:rsid w:val="00EB207F"/>
    <w:rsid w:val="00EB3353"/>
    <w:rsid w:val="00EB3D2B"/>
    <w:rsid w:val="00EB465D"/>
    <w:rsid w:val="00EB48FB"/>
    <w:rsid w:val="00EB4AF2"/>
    <w:rsid w:val="00EB5011"/>
    <w:rsid w:val="00EB547E"/>
    <w:rsid w:val="00EB56F8"/>
    <w:rsid w:val="00EB57D9"/>
    <w:rsid w:val="00EB5AFC"/>
    <w:rsid w:val="00EB69A2"/>
    <w:rsid w:val="00EB7237"/>
    <w:rsid w:val="00EC08D6"/>
    <w:rsid w:val="00EC0D63"/>
    <w:rsid w:val="00EC1393"/>
    <w:rsid w:val="00EC2038"/>
    <w:rsid w:val="00EC2765"/>
    <w:rsid w:val="00EC3A33"/>
    <w:rsid w:val="00EC3EB8"/>
    <w:rsid w:val="00EC4051"/>
    <w:rsid w:val="00EC410E"/>
    <w:rsid w:val="00EC46A5"/>
    <w:rsid w:val="00EC4FC4"/>
    <w:rsid w:val="00EC5391"/>
    <w:rsid w:val="00EC55AC"/>
    <w:rsid w:val="00EC5D77"/>
    <w:rsid w:val="00EC7449"/>
    <w:rsid w:val="00EC79B1"/>
    <w:rsid w:val="00EC79DF"/>
    <w:rsid w:val="00EC7AEA"/>
    <w:rsid w:val="00EC7D77"/>
    <w:rsid w:val="00ED0A4B"/>
    <w:rsid w:val="00ED1288"/>
    <w:rsid w:val="00ED129D"/>
    <w:rsid w:val="00ED18EF"/>
    <w:rsid w:val="00ED2416"/>
    <w:rsid w:val="00ED253F"/>
    <w:rsid w:val="00ED2C07"/>
    <w:rsid w:val="00ED31F5"/>
    <w:rsid w:val="00ED394C"/>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C5F"/>
    <w:rsid w:val="00EE0D86"/>
    <w:rsid w:val="00EE3636"/>
    <w:rsid w:val="00EE3752"/>
    <w:rsid w:val="00EE4B6E"/>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26B5"/>
    <w:rsid w:val="00F026BD"/>
    <w:rsid w:val="00F02757"/>
    <w:rsid w:val="00F02D19"/>
    <w:rsid w:val="00F02F26"/>
    <w:rsid w:val="00F03E59"/>
    <w:rsid w:val="00F04711"/>
    <w:rsid w:val="00F0482D"/>
    <w:rsid w:val="00F0489F"/>
    <w:rsid w:val="00F05067"/>
    <w:rsid w:val="00F05A7E"/>
    <w:rsid w:val="00F05B7A"/>
    <w:rsid w:val="00F06F72"/>
    <w:rsid w:val="00F07178"/>
    <w:rsid w:val="00F07496"/>
    <w:rsid w:val="00F07B5E"/>
    <w:rsid w:val="00F07B99"/>
    <w:rsid w:val="00F106C4"/>
    <w:rsid w:val="00F10BA5"/>
    <w:rsid w:val="00F10E4A"/>
    <w:rsid w:val="00F111ED"/>
    <w:rsid w:val="00F118BA"/>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C9F"/>
    <w:rsid w:val="00F15F6B"/>
    <w:rsid w:val="00F16241"/>
    <w:rsid w:val="00F16F43"/>
    <w:rsid w:val="00F17B84"/>
    <w:rsid w:val="00F17E67"/>
    <w:rsid w:val="00F20FBF"/>
    <w:rsid w:val="00F21A19"/>
    <w:rsid w:val="00F22088"/>
    <w:rsid w:val="00F22393"/>
    <w:rsid w:val="00F25376"/>
    <w:rsid w:val="00F261B4"/>
    <w:rsid w:val="00F2647A"/>
    <w:rsid w:val="00F26544"/>
    <w:rsid w:val="00F26D7B"/>
    <w:rsid w:val="00F2776F"/>
    <w:rsid w:val="00F27DAF"/>
    <w:rsid w:val="00F30800"/>
    <w:rsid w:val="00F31117"/>
    <w:rsid w:val="00F3326B"/>
    <w:rsid w:val="00F33C2F"/>
    <w:rsid w:val="00F3434F"/>
    <w:rsid w:val="00F34536"/>
    <w:rsid w:val="00F345DF"/>
    <w:rsid w:val="00F34D95"/>
    <w:rsid w:val="00F3543E"/>
    <w:rsid w:val="00F3591B"/>
    <w:rsid w:val="00F37886"/>
    <w:rsid w:val="00F37D27"/>
    <w:rsid w:val="00F409C6"/>
    <w:rsid w:val="00F40B5C"/>
    <w:rsid w:val="00F40DD6"/>
    <w:rsid w:val="00F41D48"/>
    <w:rsid w:val="00F428C3"/>
    <w:rsid w:val="00F42DBC"/>
    <w:rsid w:val="00F42F44"/>
    <w:rsid w:val="00F45F59"/>
    <w:rsid w:val="00F4606D"/>
    <w:rsid w:val="00F46C1D"/>
    <w:rsid w:val="00F46C54"/>
    <w:rsid w:val="00F46EBE"/>
    <w:rsid w:val="00F4701F"/>
    <w:rsid w:val="00F474B7"/>
    <w:rsid w:val="00F47EEC"/>
    <w:rsid w:val="00F47F89"/>
    <w:rsid w:val="00F513FC"/>
    <w:rsid w:val="00F517F7"/>
    <w:rsid w:val="00F51821"/>
    <w:rsid w:val="00F5215D"/>
    <w:rsid w:val="00F53994"/>
    <w:rsid w:val="00F5454C"/>
    <w:rsid w:val="00F552CE"/>
    <w:rsid w:val="00F5575B"/>
    <w:rsid w:val="00F55941"/>
    <w:rsid w:val="00F55F02"/>
    <w:rsid w:val="00F57481"/>
    <w:rsid w:val="00F57D6E"/>
    <w:rsid w:val="00F60124"/>
    <w:rsid w:val="00F60C1A"/>
    <w:rsid w:val="00F61393"/>
    <w:rsid w:val="00F615E2"/>
    <w:rsid w:val="00F628B3"/>
    <w:rsid w:val="00F639F2"/>
    <w:rsid w:val="00F63E96"/>
    <w:rsid w:val="00F63FD0"/>
    <w:rsid w:val="00F6518B"/>
    <w:rsid w:val="00F6561E"/>
    <w:rsid w:val="00F65995"/>
    <w:rsid w:val="00F65AD1"/>
    <w:rsid w:val="00F65BBA"/>
    <w:rsid w:val="00F66EA6"/>
    <w:rsid w:val="00F66F0C"/>
    <w:rsid w:val="00F679B4"/>
    <w:rsid w:val="00F7143B"/>
    <w:rsid w:val="00F72DE0"/>
    <w:rsid w:val="00F734C8"/>
    <w:rsid w:val="00F736B4"/>
    <w:rsid w:val="00F73703"/>
    <w:rsid w:val="00F739AE"/>
    <w:rsid w:val="00F73FDA"/>
    <w:rsid w:val="00F7415D"/>
    <w:rsid w:val="00F741FD"/>
    <w:rsid w:val="00F757B3"/>
    <w:rsid w:val="00F75C02"/>
    <w:rsid w:val="00F77142"/>
    <w:rsid w:val="00F77F4A"/>
    <w:rsid w:val="00F80161"/>
    <w:rsid w:val="00F801BE"/>
    <w:rsid w:val="00F80503"/>
    <w:rsid w:val="00F80AB9"/>
    <w:rsid w:val="00F81E21"/>
    <w:rsid w:val="00F825A9"/>
    <w:rsid w:val="00F82A35"/>
    <w:rsid w:val="00F8323B"/>
    <w:rsid w:val="00F83D2B"/>
    <w:rsid w:val="00F8427F"/>
    <w:rsid w:val="00F8473F"/>
    <w:rsid w:val="00F84AE1"/>
    <w:rsid w:val="00F84F39"/>
    <w:rsid w:val="00F85018"/>
    <w:rsid w:val="00F851C7"/>
    <w:rsid w:val="00F85926"/>
    <w:rsid w:val="00F85EDF"/>
    <w:rsid w:val="00F8633D"/>
    <w:rsid w:val="00F87105"/>
    <w:rsid w:val="00F877F7"/>
    <w:rsid w:val="00F905B1"/>
    <w:rsid w:val="00F909C0"/>
    <w:rsid w:val="00F90D83"/>
    <w:rsid w:val="00F91B40"/>
    <w:rsid w:val="00F91C8C"/>
    <w:rsid w:val="00F91CEF"/>
    <w:rsid w:val="00F91E06"/>
    <w:rsid w:val="00F92424"/>
    <w:rsid w:val="00F925FC"/>
    <w:rsid w:val="00F9261E"/>
    <w:rsid w:val="00F92935"/>
    <w:rsid w:val="00F92CFA"/>
    <w:rsid w:val="00F93126"/>
    <w:rsid w:val="00F933BF"/>
    <w:rsid w:val="00F938B8"/>
    <w:rsid w:val="00F93933"/>
    <w:rsid w:val="00F93B01"/>
    <w:rsid w:val="00F93FD8"/>
    <w:rsid w:val="00F93FE0"/>
    <w:rsid w:val="00F94C34"/>
    <w:rsid w:val="00F95491"/>
    <w:rsid w:val="00F959BF"/>
    <w:rsid w:val="00F95BA6"/>
    <w:rsid w:val="00F95EB0"/>
    <w:rsid w:val="00F960D0"/>
    <w:rsid w:val="00F96309"/>
    <w:rsid w:val="00F96C2E"/>
    <w:rsid w:val="00F97452"/>
    <w:rsid w:val="00F976F8"/>
    <w:rsid w:val="00F97F3A"/>
    <w:rsid w:val="00FA0A73"/>
    <w:rsid w:val="00FA0F6A"/>
    <w:rsid w:val="00FA168B"/>
    <w:rsid w:val="00FA4017"/>
    <w:rsid w:val="00FA4EA3"/>
    <w:rsid w:val="00FA5565"/>
    <w:rsid w:val="00FA5D53"/>
    <w:rsid w:val="00FA62BD"/>
    <w:rsid w:val="00FA6808"/>
    <w:rsid w:val="00FA6F66"/>
    <w:rsid w:val="00FA6FCB"/>
    <w:rsid w:val="00FA74D4"/>
    <w:rsid w:val="00FA79D1"/>
    <w:rsid w:val="00FA7B25"/>
    <w:rsid w:val="00FA7F89"/>
    <w:rsid w:val="00FB00AF"/>
    <w:rsid w:val="00FB048D"/>
    <w:rsid w:val="00FB1A55"/>
    <w:rsid w:val="00FB1E1D"/>
    <w:rsid w:val="00FB1E27"/>
    <w:rsid w:val="00FB2186"/>
    <w:rsid w:val="00FB2A4E"/>
    <w:rsid w:val="00FB2E6C"/>
    <w:rsid w:val="00FB3149"/>
    <w:rsid w:val="00FB32C0"/>
    <w:rsid w:val="00FB3D4C"/>
    <w:rsid w:val="00FB3F62"/>
    <w:rsid w:val="00FB40B4"/>
    <w:rsid w:val="00FB45DA"/>
    <w:rsid w:val="00FB49B6"/>
    <w:rsid w:val="00FB4C8D"/>
    <w:rsid w:val="00FB4FD0"/>
    <w:rsid w:val="00FB53AB"/>
    <w:rsid w:val="00FB5D7C"/>
    <w:rsid w:val="00FB5F35"/>
    <w:rsid w:val="00FB6217"/>
    <w:rsid w:val="00FB6728"/>
    <w:rsid w:val="00FB70CC"/>
    <w:rsid w:val="00FB72D5"/>
    <w:rsid w:val="00FC00B2"/>
    <w:rsid w:val="00FC0387"/>
    <w:rsid w:val="00FC05DF"/>
    <w:rsid w:val="00FC0869"/>
    <w:rsid w:val="00FC0FC1"/>
    <w:rsid w:val="00FC17C7"/>
    <w:rsid w:val="00FC2304"/>
    <w:rsid w:val="00FC2408"/>
    <w:rsid w:val="00FC25EA"/>
    <w:rsid w:val="00FC3936"/>
    <w:rsid w:val="00FC3BD2"/>
    <w:rsid w:val="00FC3E4E"/>
    <w:rsid w:val="00FC4212"/>
    <w:rsid w:val="00FC4C0F"/>
    <w:rsid w:val="00FC5607"/>
    <w:rsid w:val="00FC67C5"/>
    <w:rsid w:val="00FC6A71"/>
    <w:rsid w:val="00FC7489"/>
    <w:rsid w:val="00FC7F2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246"/>
    <w:rsid w:val="00FD7A82"/>
    <w:rsid w:val="00FE0266"/>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61F3"/>
    <w:rsid w:val="00FE69C0"/>
    <w:rsid w:val="00FE7DB8"/>
    <w:rsid w:val="00FE7F43"/>
    <w:rsid w:val="00FF0AD1"/>
    <w:rsid w:val="00FF161E"/>
    <w:rsid w:val="00FF2BEF"/>
    <w:rsid w:val="00FF2CE7"/>
    <w:rsid w:val="00FF324F"/>
    <w:rsid w:val="00FF3256"/>
    <w:rsid w:val="00FF38A6"/>
    <w:rsid w:val="00FF3CE0"/>
    <w:rsid w:val="00FF3F1A"/>
    <w:rsid w:val="00FF488F"/>
    <w:rsid w:val="00FF4C3E"/>
    <w:rsid w:val="00FF5458"/>
    <w:rsid w:val="00FF5AD6"/>
    <w:rsid w:val="00FF60F4"/>
    <w:rsid w:val="00FF6276"/>
    <w:rsid w:val="00FF66EB"/>
    <w:rsid w:val="00FF7054"/>
    <w:rsid w:val="00FF7625"/>
    <w:rsid w:val="00FF7759"/>
    <w:rsid w:val="01021808"/>
    <w:rsid w:val="01064676"/>
    <w:rsid w:val="01137ECF"/>
    <w:rsid w:val="01191F36"/>
    <w:rsid w:val="01241D66"/>
    <w:rsid w:val="014A3244"/>
    <w:rsid w:val="01A51AFF"/>
    <w:rsid w:val="01B95421"/>
    <w:rsid w:val="020B1354"/>
    <w:rsid w:val="022D32CB"/>
    <w:rsid w:val="025A55E9"/>
    <w:rsid w:val="029442A4"/>
    <w:rsid w:val="02A23766"/>
    <w:rsid w:val="02BC63B4"/>
    <w:rsid w:val="0317318F"/>
    <w:rsid w:val="034D12D4"/>
    <w:rsid w:val="035C2662"/>
    <w:rsid w:val="03637FE7"/>
    <w:rsid w:val="0376348B"/>
    <w:rsid w:val="0388663C"/>
    <w:rsid w:val="03A97929"/>
    <w:rsid w:val="03C32A6F"/>
    <w:rsid w:val="03CE20DF"/>
    <w:rsid w:val="03D57B0C"/>
    <w:rsid w:val="03FB034A"/>
    <w:rsid w:val="040E0780"/>
    <w:rsid w:val="047A6254"/>
    <w:rsid w:val="04BE1034"/>
    <w:rsid w:val="04D0480D"/>
    <w:rsid w:val="04D34B21"/>
    <w:rsid w:val="04D81D11"/>
    <w:rsid w:val="04E366BD"/>
    <w:rsid w:val="04F10A9B"/>
    <w:rsid w:val="050E1D07"/>
    <w:rsid w:val="0515460A"/>
    <w:rsid w:val="052076F5"/>
    <w:rsid w:val="053F6840"/>
    <w:rsid w:val="05525152"/>
    <w:rsid w:val="05656DAB"/>
    <w:rsid w:val="059874F0"/>
    <w:rsid w:val="059E0622"/>
    <w:rsid w:val="059F2FB4"/>
    <w:rsid w:val="05CD1AD2"/>
    <w:rsid w:val="05D050F7"/>
    <w:rsid w:val="05F9607E"/>
    <w:rsid w:val="05FE2BF2"/>
    <w:rsid w:val="06402ABA"/>
    <w:rsid w:val="064E339A"/>
    <w:rsid w:val="068D6A93"/>
    <w:rsid w:val="069E6AB1"/>
    <w:rsid w:val="06A26061"/>
    <w:rsid w:val="06CE7668"/>
    <w:rsid w:val="06E00027"/>
    <w:rsid w:val="06E25B52"/>
    <w:rsid w:val="072D2162"/>
    <w:rsid w:val="073518D0"/>
    <w:rsid w:val="07354BC2"/>
    <w:rsid w:val="07442036"/>
    <w:rsid w:val="0750320D"/>
    <w:rsid w:val="079E0D8E"/>
    <w:rsid w:val="07CD7297"/>
    <w:rsid w:val="085C77EA"/>
    <w:rsid w:val="08B05320"/>
    <w:rsid w:val="08E9597F"/>
    <w:rsid w:val="08F900D1"/>
    <w:rsid w:val="08F935C9"/>
    <w:rsid w:val="09045CE0"/>
    <w:rsid w:val="09696FDD"/>
    <w:rsid w:val="096C5C89"/>
    <w:rsid w:val="097313E3"/>
    <w:rsid w:val="09771A8A"/>
    <w:rsid w:val="097A7E27"/>
    <w:rsid w:val="09813EE4"/>
    <w:rsid w:val="09A17C7A"/>
    <w:rsid w:val="09A54C50"/>
    <w:rsid w:val="09BC6028"/>
    <w:rsid w:val="09CD4DDF"/>
    <w:rsid w:val="09D35269"/>
    <w:rsid w:val="09DD448E"/>
    <w:rsid w:val="09DD6A43"/>
    <w:rsid w:val="09FD0A32"/>
    <w:rsid w:val="0A2B31CA"/>
    <w:rsid w:val="0A534AFF"/>
    <w:rsid w:val="0A5A5EB7"/>
    <w:rsid w:val="0A6F3443"/>
    <w:rsid w:val="0AAE469B"/>
    <w:rsid w:val="0AB51B2D"/>
    <w:rsid w:val="0B104CB8"/>
    <w:rsid w:val="0B107D8C"/>
    <w:rsid w:val="0B154BBD"/>
    <w:rsid w:val="0B325F44"/>
    <w:rsid w:val="0B471BC9"/>
    <w:rsid w:val="0B6866EB"/>
    <w:rsid w:val="0B7071B5"/>
    <w:rsid w:val="0B825EDB"/>
    <w:rsid w:val="0BCA3D41"/>
    <w:rsid w:val="0BCC1983"/>
    <w:rsid w:val="0C2057FC"/>
    <w:rsid w:val="0C2D66FE"/>
    <w:rsid w:val="0C5E3191"/>
    <w:rsid w:val="0C616454"/>
    <w:rsid w:val="0C764AAB"/>
    <w:rsid w:val="0C7A707B"/>
    <w:rsid w:val="0C864E88"/>
    <w:rsid w:val="0C8C7B9F"/>
    <w:rsid w:val="0C9475E1"/>
    <w:rsid w:val="0CA62E5A"/>
    <w:rsid w:val="0CB43017"/>
    <w:rsid w:val="0CD32AA0"/>
    <w:rsid w:val="0CE41E67"/>
    <w:rsid w:val="0D17585D"/>
    <w:rsid w:val="0D3E33CC"/>
    <w:rsid w:val="0D5745CD"/>
    <w:rsid w:val="0D575B85"/>
    <w:rsid w:val="0D5E04FB"/>
    <w:rsid w:val="0D607B2A"/>
    <w:rsid w:val="0D7E21C9"/>
    <w:rsid w:val="0D885EF1"/>
    <w:rsid w:val="0DA37C00"/>
    <w:rsid w:val="0DAF0AF5"/>
    <w:rsid w:val="0DDF7C6E"/>
    <w:rsid w:val="0DF317F5"/>
    <w:rsid w:val="0DF626F7"/>
    <w:rsid w:val="0DF7405B"/>
    <w:rsid w:val="0DF96E8C"/>
    <w:rsid w:val="0E183F30"/>
    <w:rsid w:val="0E1C1B02"/>
    <w:rsid w:val="0E1D2CA7"/>
    <w:rsid w:val="0E2E2851"/>
    <w:rsid w:val="0E4571B4"/>
    <w:rsid w:val="0E513A96"/>
    <w:rsid w:val="0E587744"/>
    <w:rsid w:val="0E6A0CB4"/>
    <w:rsid w:val="0E79874A"/>
    <w:rsid w:val="0E7F55DC"/>
    <w:rsid w:val="0E824CB1"/>
    <w:rsid w:val="0E893E01"/>
    <w:rsid w:val="0EEC37BE"/>
    <w:rsid w:val="0F1555F1"/>
    <w:rsid w:val="0F22624D"/>
    <w:rsid w:val="0F5A309E"/>
    <w:rsid w:val="0F7F0CB4"/>
    <w:rsid w:val="0F864AF8"/>
    <w:rsid w:val="0F891808"/>
    <w:rsid w:val="0FD05B7C"/>
    <w:rsid w:val="0FE26F7E"/>
    <w:rsid w:val="0FF86998"/>
    <w:rsid w:val="0FFB69DA"/>
    <w:rsid w:val="0FFF9E23"/>
    <w:rsid w:val="104D2298"/>
    <w:rsid w:val="10732690"/>
    <w:rsid w:val="108A3181"/>
    <w:rsid w:val="10933928"/>
    <w:rsid w:val="10E053CE"/>
    <w:rsid w:val="10EA5F4D"/>
    <w:rsid w:val="112923C7"/>
    <w:rsid w:val="11437F75"/>
    <w:rsid w:val="115A4A6C"/>
    <w:rsid w:val="117A67CD"/>
    <w:rsid w:val="118A5482"/>
    <w:rsid w:val="11CB154F"/>
    <w:rsid w:val="11D57FF6"/>
    <w:rsid w:val="11EC0DBF"/>
    <w:rsid w:val="11EF5B10"/>
    <w:rsid w:val="12003074"/>
    <w:rsid w:val="12042B6A"/>
    <w:rsid w:val="1283653C"/>
    <w:rsid w:val="128D0ACD"/>
    <w:rsid w:val="12934B57"/>
    <w:rsid w:val="12AF0785"/>
    <w:rsid w:val="12B5001B"/>
    <w:rsid w:val="12B74C45"/>
    <w:rsid w:val="12B97E85"/>
    <w:rsid w:val="12E02111"/>
    <w:rsid w:val="12E0359D"/>
    <w:rsid w:val="12E3158A"/>
    <w:rsid w:val="131948E0"/>
    <w:rsid w:val="13326301"/>
    <w:rsid w:val="134B49D1"/>
    <w:rsid w:val="13774559"/>
    <w:rsid w:val="13831D0F"/>
    <w:rsid w:val="13A07D1C"/>
    <w:rsid w:val="13AA6C7A"/>
    <w:rsid w:val="13AF12D1"/>
    <w:rsid w:val="13D97F0D"/>
    <w:rsid w:val="13DB77D7"/>
    <w:rsid w:val="13E730F7"/>
    <w:rsid w:val="146A774B"/>
    <w:rsid w:val="146B5DFA"/>
    <w:rsid w:val="146E33A4"/>
    <w:rsid w:val="14833540"/>
    <w:rsid w:val="14887B0E"/>
    <w:rsid w:val="14946069"/>
    <w:rsid w:val="149F37B4"/>
    <w:rsid w:val="14A93F80"/>
    <w:rsid w:val="14E145A4"/>
    <w:rsid w:val="14E20675"/>
    <w:rsid w:val="151D2E85"/>
    <w:rsid w:val="152315CE"/>
    <w:rsid w:val="153A298B"/>
    <w:rsid w:val="155C7174"/>
    <w:rsid w:val="15702ADB"/>
    <w:rsid w:val="157F4238"/>
    <w:rsid w:val="15942E62"/>
    <w:rsid w:val="15B8776F"/>
    <w:rsid w:val="15C80049"/>
    <w:rsid w:val="15DC403B"/>
    <w:rsid w:val="15FC4DAB"/>
    <w:rsid w:val="161F262E"/>
    <w:rsid w:val="16444AAD"/>
    <w:rsid w:val="164729D6"/>
    <w:rsid w:val="16623343"/>
    <w:rsid w:val="167639EE"/>
    <w:rsid w:val="16952AE1"/>
    <w:rsid w:val="16987D08"/>
    <w:rsid w:val="16B000D0"/>
    <w:rsid w:val="16C06700"/>
    <w:rsid w:val="16F64A51"/>
    <w:rsid w:val="1703020F"/>
    <w:rsid w:val="1712563F"/>
    <w:rsid w:val="171728C0"/>
    <w:rsid w:val="1731377E"/>
    <w:rsid w:val="173B45EA"/>
    <w:rsid w:val="175824DC"/>
    <w:rsid w:val="17684F4D"/>
    <w:rsid w:val="17A02F74"/>
    <w:rsid w:val="17A64703"/>
    <w:rsid w:val="17AF94C5"/>
    <w:rsid w:val="17D426A8"/>
    <w:rsid w:val="17D430F8"/>
    <w:rsid w:val="17F10988"/>
    <w:rsid w:val="180F222F"/>
    <w:rsid w:val="18420450"/>
    <w:rsid w:val="18932160"/>
    <w:rsid w:val="18B45502"/>
    <w:rsid w:val="1925275C"/>
    <w:rsid w:val="19325F66"/>
    <w:rsid w:val="195F03D1"/>
    <w:rsid w:val="19784F04"/>
    <w:rsid w:val="197B27AB"/>
    <w:rsid w:val="19853DFD"/>
    <w:rsid w:val="198B0A33"/>
    <w:rsid w:val="19A73E3E"/>
    <w:rsid w:val="19B377DB"/>
    <w:rsid w:val="19B63D32"/>
    <w:rsid w:val="1A03730E"/>
    <w:rsid w:val="1A143B33"/>
    <w:rsid w:val="1A2E4342"/>
    <w:rsid w:val="1A306299"/>
    <w:rsid w:val="1A3503C3"/>
    <w:rsid w:val="1A4E6FE1"/>
    <w:rsid w:val="1A627DE6"/>
    <w:rsid w:val="1A761976"/>
    <w:rsid w:val="1A7D4CCC"/>
    <w:rsid w:val="1A8E6CD5"/>
    <w:rsid w:val="1A9452B0"/>
    <w:rsid w:val="1A986C8A"/>
    <w:rsid w:val="1AB84712"/>
    <w:rsid w:val="1ACF3752"/>
    <w:rsid w:val="1AD86012"/>
    <w:rsid w:val="1AD9181C"/>
    <w:rsid w:val="1AE9346B"/>
    <w:rsid w:val="1AED79C0"/>
    <w:rsid w:val="1B0537E4"/>
    <w:rsid w:val="1B2E771E"/>
    <w:rsid w:val="1B3E2362"/>
    <w:rsid w:val="1B476529"/>
    <w:rsid w:val="1B4E3302"/>
    <w:rsid w:val="1B6212E1"/>
    <w:rsid w:val="1B77204D"/>
    <w:rsid w:val="1B857BD8"/>
    <w:rsid w:val="1B8C1890"/>
    <w:rsid w:val="1B976D3F"/>
    <w:rsid w:val="1BBF2D87"/>
    <w:rsid w:val="1BC349DE"/>
    <w:rsid w:val="1BF442EC"/>
    <w:rsid w:val="1BFC1A8E"/>
    <w:rsid w:val="1C3F7FA6"/>
    <w:rsid w:val="1C492B76"/>
    <w:rsid w:val="1C747EF9"/>
    <w:rsid w:val="1C813E89"/>
    <w:rsid w:val="1C844B5B"/>
    <w:rsid w:val="1C86668C"/>
    <w:rsid w:val="1C8C6C33"/>
    <w:rsid w:val="1CC64637"/>
    <w:rsid w:val="1CCA25EF"/>
    <w:rsid w:val="1CCA789A"/>
    <w:rsid w:val="1CCC4A9D"/>
    <w:rsid w:val="1CD67896"/>
    <w:rsid w:val="1CE03735"/>
    <w:rsid w:val="1D3348B9"/>
    <w:rsid w:val="1D6BA2A5"/>
    <w:rsid w:val="1D70483F"/>
    <w:rsid w:val="1D760B5F"/>
    <w:rsid w:val="1D7736AA"/>
    <w:rsid w:val="1D7EDBAC"/>
    <w:rsid w:val="1DA55031"/>
    <w:rsid w:val="1DA90101"/>
    <w:rsid w:val="1DB72178"/>
    <w:rsid w:val="1DE33932"/>
    <w:rsid w:val="1DE547AB"/>
    <w:rsid w:val="1DEA3BDA"/>
    <w:rsid w:val="1DF1708C"/>
    <w:rsid w:val="1E1B3FC3"/>
    <w:rsid w:val="1E3D42AB"/>
    <w:rsid w:val="1E5805C9"/>
    <w:rsid w:val="1E5C27D9"/>
    <w:rsid w:val="1E6E8FC2"/>
    <w:rsid w:val="1E960B39"/>
    <w:rsid w:val="1EA8294E"/>
    <w:rsid w:val="1EE920F1"/>
    <w:rsid w:val="1EEDC44B"/>
    <w:rsid w:val="1EF321F1"/>
    <w:rsid w:val="1EF83469"/>
    <w:rsid w:val="1F121216"/>
    <w:rsid w:val="1F1A79F2"/>
    <w:rsid w:val="1F3C2E43"/>
    <w:rsid w:val="1F4205D3"/>
    <w:rsid w:val="1F433A78"/>
    <w:rsid w:val="1F4D0F4B"/>
    <w:rsid w:val="1F901744"/>
    <w:rsid w:val="1F983263"/>
    <w:rsid w:val="1FAF1D46"/>
    <w:rsid w:val="1FB1255F"/>
    <w:rsid w:val="1FD97C09"/>
    <w:rsid w:val="1FDF48EE"/>
    <w:rsid w:val="1FE607C1"/>
    <w:rsid w:val="200927CB"/>
    <w:rsid w:val="203A0E21"/>
    <w:rsid w:val="203B04ED"/>
    <w:rsid w:val="203F229D"/>
    <w:rsid w:val="20625F75"/>
    <w:rsid w:val="2069158A"/>
    <w:rsid w:val="207364D3"/>
    <w:rsid w:val="20976B5A"/>
    <w:rsid w:val="209B4147"/>
    <w:rsid w:val="20C26C84"/>
    <w:rsid w:val="20C42294"/>
    <w:rsid w:val="20C443FE"/>
    <w:rsid w:val="20C50451"/>
    <w:rsid w:val="20D77BFC"/>
    <w:rsid w:val="210F16D9"/>
    <w:rsid w:val="210F7FBF"/>
    <w:rsid w:val="21372259"/>
    <w:rsid w:val="21694910"/>
    <w:rsid w:val="21822CFB"/>
    <w:rsid w:val="21D63963"/>
    <w:rsid w:val="21ED4624"/>
    <w:rsid w:val="22294218"/>
    <w:rsid w:val="22512901"/>
    <w:rsid w:val="2267492F"/>
    <w:rsid w:val="22A44447"/>
    <w:rsid w:val="22B346F2"/>
    <w:rsid w:val="22D05B48"/>
    <w:rsid w:val="22E006EF"/>
    <w:rsid w:val="22F00A92"/>
    <w:rsid w:val="2301712C"/>
    <w:rsid w:val="23444268"/>
    <w:rsid w:val="23B302CE"/>
    <w:rsid w:val="23D16EFC"/>
    <w:rsid w:val="23EF3232"/>
    <w:rsid w:val="2403431B"/>
    <w:rsid w:val="240A5D77"/>
    <w:rsid w:val="24142194"/>
    <w:rsid w:val="246739F8"/>
    <w:rsid w:val="24A30FBB"/>
    <w:rsid w:val="24C00E4A"/>
    <w:rsid w:val="24DB1B09"/>
    <w:rsid w:val="24E60780"/>
    <w:rsid w:val="24F43B92"/>
    <w:rsid w:val="24FF19C4"/>
    <w:rsid w:val="25041590"/>
    <w:rsid w:val="25731E80"/>
    <w:rsid w:val="257866B1"/>
    <w:rsid w:val="258F38CC"/>
    <w:rsid w:val="25A82F5B"/>
    <w:rsid w:val="25C915FC"/>
    <w:rsid w:val="260874E8"/>
    <w:rsid w:val="26124ED4"/>
    <w:rsid w:val="2632366A"/>
    <w:rsid w:val="26333878"/>
    <w:rsid w:val="26520DBA"/>
    <w:rsid w:val="26595760"/>
    <w:rsid w:val="267E7E2B"/>
    <w:rsid w:val="26B613FF"/>
    <w:rsid w:val="26C62C95"/>
    <w:rsid w:val="26C848AF"/>
    <w:rsid w:val="26CE2A68"/>
    <w:rsid w:val="26D97433"/>
    <w:rsid w:val="271C5FE7"/>
    <w:rsid w:val="27315631"/>
    <w:rsid w:val="27393F89"/>
    <w:rsid w:val="275C465E"/>
    <w:rsid w:val="27992D3B"/>
    <w:rsid w:val="27AA2CA3"/>
    <w:rsid w:val="27B01683"/>
    <w:rsid w:val="27B8211C"/>
    <w:rsid w:val="27C82253"/>
    <w:rsid w:val="27EC4E71"/>
    <w:rsid w:val="28247BB6"/>
    <w:rsid w:val="28933CCC"/>
    <w:rsid w:val="28AE7984"/>
    <w:rsid w:val="28C80D3F"/>
    <w:rsid w:val="28D96965"/>
    <w:rsid w:val="28DE3958"/>
    <w:rsid w:val="29055F95"/>
    <w:rsid w:val="29341888"/>
    <w:rsid w:val="2945508F"/>
    <w:rsid w:val="296740FF"/>
    <w:rsid w:val="29701219"/>
    <w:rsid w:val="298E09C9"/>
    <w:rsid w:val="299E2D9B"/>
    <w:rsid w:val="29B421E7"/>
    <w:rsid w:val="29DE1DBA"/>
    <w:rsid w:val="29FB3EBB"/>
    <w:rsid w:val="29FD2F6F"/>
    <w:rsid w:val="2A0A5C85"/>
    <w:rsid w:val="2A0F28F4"/>
    <w:rsid w:val="2A0F54AF"/>
    <w:rsid w:val="2A1D03C7"/>
    <w:rsid w:val="2A2E41C8"/>
    <w:rsid w:val="2A446D64"/>
    <w:rsid w:val="2A4F5FF4"/>
    <w:rsid w:val="2A8C02FC"/>
    <w:rsid w:val="2AC12DBF"/>
    <w:rsid w:val="2AEE531A"/>
    <w:rsid w:val="2AFB6893"/>
    <w:rsid w:val="2B1C66E6"/>
    <w:rsid w:val="2B22793F"/>
    <w:rsid w:val="2B2E77B1"/>
    <w:rsid w:val="2B3C5C6D"/>
    <w:rsid w:val="2B6C4470"/>
    <w:rsid w:val="2B7D5189"/>
    <w:rsid w:val="2B8F6C63"/>
    <w:rsid w:val="2BDE868F"/>
    <w:rsid w:val="2C091874"/>
    <w:rsid w:val="2C0C2E05"/>
    <w:rsid w:val="2C187F64"/>
    <w:rsid w:val="2C2A6F85"/>
    <w:rsid w:val="2C301EDF"/>
    <w:rsid w:val="2C363D63"/>
    <w:rsid w:val="2C4A7F5F"/>
    <w:rsid w:val="2C515B6D"/>
    <w:rsid w:val="2C5F0A97"/>
    <w:rsid w:val="2C854E4C"/>
    <w:rsid w:val="2C8A3639"/>
    <w:rsid w:val="2CA8549C"/>
    <w:rsid w:val="2CC35E7E"/>
    <w:rsid w:val="2CD63D6C"/>
    <w:rsid w:val="2CF748AA"/>
    <w:rsid w:val="2D157538"/>
    <w:rsid w:val="2D2F720D"/>
    <w:rsid w:val="2D310B09"/>
    <w:rsid w:val="2D4828C3"/>
    <w:rsid w:val="2D57345B"/>
    <w:rsid w:val="2D5F3EE2"/>
    <w:rsid w:val="2D764F47"/>
    <w:rsid w:val="2D9A7B94"/>
    <w:rsid w:val="2DD91851"/>
    <w:rsid w:val="2DF9093A"/>
    <w:rsid w:val="2E4D6A38"/>
    <w:rsid w:val="2E9025A4"/>
    <w:rsid w:val="2EBD40A4"/>
    <w:rsid w:val="2EE158E9"/>
    <w:rsid w:val="2EF35252"/>
    <w:rsid w:val="2F080823"/>
    <w:rsid w:val="2F08776A"/>
    <w:rsid w:val="2F0D5D93"/>
    <w:rsid w:val="2F173E47"/>
    <w:rsid w:val="2F1B4932"/>
    <w:rsid w:val="2F20375F"/>
    <w:rsid w:val="2F3E632A"/>
    <w:rsid w:val="2F4F3241"/>
    <w:rsid w:val="2F6C3DCC"/>
    <w:rsid w:val="2F797671"/>
    <w:rsid w:val="2F7B3516"/>
    <w:rsid w:val="2F81674D"/>
    <w:rsid w:val="2FC25D7B"/>
    <w:rsid w:val="2FE87A6A"/>
    <w:rsid w:val="2FE91C99"/>
    <w:rsid w:val="2FF81FE9"/>
    <w:rsid w:val="2FFD154B"/>
    <w:rsid w:val="30184226"/>
    <w:rsid w:val="304D190A"/>
    <w:rsid w:val="3086347F"/>
    <w:rsid w:val="308F4B91"/>
    <w:rsid w:val="30941DB6"/>
    <w:rsid w:val="309E7091"/>
    <w:rsid w:val="30BD4B70"/>
    <w:rsid w:val="30DE49F0"/>
    <w:rsid w:val="30E20ADF"/>
    <w:rsid w:val="31104BE6"/>
    <w:rsid w:val="31107C6B"/>
    <w:rsid w:val="3135407B"/>
    <w:rsid w:val="31421084"/>
    <w:rsid w:val="31887B7C"/>
    <w:rsid w:val="31895649"/>
    <w:rsid w:val="31AD34E7"/>
    <w:rsid w:val="31B02544"/>
    <w:rsid w:val="31DB58FA"/>
    <w:rsid w:val="31E0690F"/>
    <w:rsid w:val="31E744D3"/>
    <w:rsid w:val="31F03994"/>
    <w:rsid w:val="31F06AA9"/>
    <w:rsid w:val="31FF15D2"/>
    <w:rsid w:val="32096EE3"/>
    <w:rsid w:val="32155C69"/>
    <w:rsid w:val="32535B1F"/>
    <w:rsid w:val="32830AEF"/>
    <w:rsid w:val="329945C7"/>
    <w:rsid w:val="32AE7CE7"/>
    <w:rsid w:val="32BE744E"/>
    <w:rsid w:val="32C41EAE"/>
    <w:rsid w:val="32CA0E4B"/>
    <w:rsid w:val="32CB45C8"/>
    <w:rsid w:val="32D21971"/>
    <w:rsid w:val="332E3950"/>
    <w:rsid w:val="335202DB"/>
    <w:rsid w:val="336E5F6C"/>
    <w:rsid w:val="33732317"/>
    <w:rsid w:val="33790B91"/>
    <w:rsid w:val="337B4EF0"/>
    <w:rsid w:val="3396767F"/>
    <w:rsid w:val="339F4102"/>
    <w:rsid w:val="33A337D5"/>
    <w:rsid w:val="33F71CC8"/>
    <w:rsid w:val="33FA57B0"/>
    <w:rsid w:val="34016A86"/>
    <w:rsid w:val="34184C5D"/>
    <w:rsid w:val="34391824"/>
    <w:rsid w:val="34475E33"/>
    <w:rsid w:val="347312F7"/>
    <w:rsid w:val="34751871"/>
    <w:rsid w:val="3492234F"/>
    <w:rsid w:val="34AA0645"/>
    <w:rsid w:val="34C61DEF"/>
    <w:rsid w:val="34D349C1"/>
    <w:rsid w:val="34D65FE2"/>
    <w:rsid w:val="34DD141E"/>
    <w:rsid w:val="34EF48D4"/>
    <w:rsid w:val="34F832A2"/>
    <w:rsid w:val="353323D5"/>
    <w:rsid w:val="35767350"/>
    <w:rsid w:val="359A52D2"/>
    <w:rsid w:val="359E1B8E"/>
    <w:rsid w:val="35BE26D5"/>
    <w:rsid w:val="360006C2"/>
    <w:rsid w:val="36231CDE"/>
    <w:rsid w:val="36457F31"/>
    <w:rsid w:val="36A861E5"/>
    <w:rsid w:val="36BC6408"/>
    <w:rsid w:val="36E55AEB"/>
    <w:rsid w:val="372F3093"/>
    <w:rsid w:val="3734013D"/>
    <w:rsid w:val="373B7D1B"/>
    <w:rsid w:val="37883D9D"/>
    <w:rsid w:val="37987CE3"/>
    <w:rsid w:val="379DF0C9"/>
    <w:rsid w:val="37DA5F5D"/>
    <w:rsid w:val="37ED036A"/>
    <w:rsid w:val="37F913BE"/>
    <w:rsid w:val="37FF6BD7"/>
    <w:rsid w:val="38177FF1"/>
    <w:rsid w:val="386523B0"/>
    <w:rsid w:val="389E4DF7"/>
    <w:rsid w:val="38A230B5"/>
    <w:rsid w:val="38B5305A"/>
    <w:rsid w:val="38D63A95"/>
    <w:rsid w:val="3914125A"/>
    <w:rsid w:val="3915611C"/>
    <w:rsid w:val="39260D0B"/>
    <w:rsid w:val="397158ED"/>
    <w:rsid w:val="39724B96"/>
    <w:rsid w:val="39B47DB4"/>
    <w:rsid w:val="39E37660"/>
    <w:rsid w:val="3A291850"/>
    <w:rsid w:val="3A2A56F0"/>
    <w:rsid w:val="3A347BA7"/>
    <w:rsid w:val="3A86131C"/>
    <w:rsid w:val="3A904DA0"/>
    <w:rsid w:val="3AA14CC2"/>
    <w:rsid w:val="3AC96B3C"/>
    <w:rsid w:val="3ADA7F84"/>
    <w:rsid w:val="3AE22A52"/>
    <w:rsid w:val="3B0A2B10"/>
    <w:rsid w:val="3B2A3A82"/>
    <w:rsid w:val="3B470C18"/>
    <w:rsid w:val="3B5269DA"/>
    <w:rsid w:val="3B9A0AD5"/>
    <w:rsid w:val="3BAA2DFB"/>
    <w:rsid w:val="3BB98257"/>
    <w:rsid w:val="3BD45B11"/>
    <w:rsid w:val="3BEB5437"/>
    <w:rsid w:val="3C195C5A"/>
    <w:rsid w:val="3C504855"/>
    <w:rsid w:val="3CA91485"/>
    <w:rsid w:val="3CC17E22"/>
    <w:rsid w:val="3D0A686C"/>
    <w:rsid w:val="3D833044"/>
    <w:rsid w:val="3D98639D"/>
    <w:rsid w:val="3DBD4CAC"/>
    <w:rsid w:val="3DE76D88"/>
    <w:rsid w:val="3DFDB1AE"/>
    <w:rsid w:val="3E0655B4"/>
    <w:rsid w:val="3E2B2882"/>
    <w:rsid w:val="3E337FDD"/>
    <w:rsid w:val="3E41423E"/>
    <w:rsid w:val="3E5FED92"/>
    <w:rsid w:val="3E6D4856"/>
    <w:rsid w:val="3E835940"/>
    <w:rsid w:val="3E8B628D"/>
    <w:rsid w:val="3E8C18E6"/>
    <w:rsid w:val="3EBD617F"/>
    <w:rsid w:val="3ECA28FD"/>
    <w:rsid w:val="3F257157"/>
    <w:rsid w:val="3F384761"/>
    <w:rsid w:val="3F3F6505"/>
    <w:rsid w:val="3F526712"/>
    <w:rsid w:val="3F5B5216"/>
    <w:rsid w:val="3F640B0B"/>
    <w:rsid w:val="3F812A3A"/>
    <w:rsid w:val="3F8D497C"/>
    <w:rsid w:val="3FD062C0"/>
    <w:rsid w:val="3FD3BFEC"/>
    <w:rsid w:val="3FE1772E"/>
    <w:rsid w:val="3FFD8E96"/>
    <w:rsid w:val="3FFE1AF6"/>
    <w:rsid w:val="3FFE70B7"/>
    <w:rsid w:val="400B31E9"/>
    <w:rsid w:val="40141D1D"/>
    <w:rsid w:val="401B4FD8"/>
    <w:rsid w:val="40307C69"/>
    <w:rsid w:val="404D7AC8"/>
    <w:rsid w:val="40634C41"/>
    <w:rsid w:val="40791BF6"/>
    <w:rsid w:val="407B722C"/>
    <w:rsid w:val="40AB4C9D"/>
    <w:rsid w:val="40DD16D8"/>
    <w:rsid w:val="413063A6"/>
    <w:rsid w:val="41391FB6"/>
    <w:rsid w:val="4145485A"/>
    <w:rsid w:val="417530DD"/>
    <w:rsid w:val="417B40A4"/>
    <w:rsid w:val="41814A29"/>
    <w:rsid w:val="41920DF4"/>
    <w:rsid w:val="41A36DCF"/>
    <w:rsid w:val="41C06248"/>
    <w:rsid w:val="42226A27"/>
    <w:rsid w:val="422C37F5"/>
    <w:rsid w:val="425C78EF"/>
    <w:rsid w:val="425D4FF7"/>
    <w:rsid w:val="425F7C30"/>
    <w:rsid w:val="42655A33"/>
    <w:rsid w:val="42680B06"/>
    <w:rsid w:val="429F46BC"/>
    <w:rsid w:val="42A34DFA"/>
    <w:rsid w:val="42F26E0D"/>
    <w:rsid w:val="43005F1C"/>
    <w:rsid w:val="43100FE2"/>
    <w:rsid w:val="43242DC6"/>
    <w:rsid w:val="43463A91"/>
    <w:rsid w:val="439E6277"/>
    <w:rsid w:val="43A254B1"/>
    <w:rsid w:val="43B943DD"/>
    <w:rsid w:val="43BF143F"/>
    <w:rsid w:val="43CC43A6"/>
    <w:rsid w:val="43E80FD4"/>
    <w:rsid w:val="43F50014"/>
    <w:rsid w:val="44240C6A"/>
    <w:rsid w:val="44272CAC"/>
    <w:rsid w:val="443A54EB"/>
    <w:rsid w:val="44451BDC"/>
    <w:rsid w:val="444F6481"/>
    <w:rsid w:val="447B6726"/>
    <w:rsid w:val="449A1973"/>
    <w:rsid w:val="44F02F62"/>
    <w:rsid w:val="451A0FD3"/>
    <w:rsid w:val="45712308"/>
    <w:rsid w:val="457D2990"/>
    <w:rsid w:val="458B1522"/>
    <w:rsid w:val="45ED0241"/>
    <w:rsid w:val="460434E4"/>
    <w:rsid w:val="466B00B6"/>
    <w:rsid w:val="46706F3F"/>
    <w:rsid w:val="46742883"/>
    <w:rsid w:val="46757EF5"/>
    <w:rsid w:val="468375BE"/>
    <w:rsid w:val="46876032"/>
    <w:rsid w:val="468773E1"/>
    <w:rsid w:val="46A87C88"/>
    <w:rsid w:val="46C96C6F"/>
    <w:rsid w:val="46FD0882"/>
    <w:rsid w:val="471513C1"/>
    <w:rsid w:val="47245012"/>
    <w:rsid w:val="472B40E0"/>
    <w:rsid w:val="473461A6"/>
    <w:rsid w:val="473D42FE"/>
    <w:rsid w:val="47793752"/>
    <w:rsid w:val="477E751F"/>
    <w:rsid w:val="47A31B07"/>
    <w:rsid w:val="47A9364D"/>
    <w:rsid w:val="47C81250"/>
    <w:rsid w:val="47C84FBA"/>
    <w:rsid w:val="47E051A9"/>
    <w:rsid w:val="47EFACDD"/>
    <w:rsid w:val="485278BE"/>
    <w:rsid w:val="487D2A9B"/>
    <w:rsid w:val="48C75219"/>
    <w:rsid w:val="48D23E7A"/>
    <w:rsid w:val="48F04FAA"/>
    <w:rsid w:val="48F727CD"/>
    <w:rsid w:val="49383A95"/>
    <w:rsid w:val="49897021"/>
    <w:rsid w:val="499B766C"/>
    <w:rsid w:val="49A85CE0"/>
    <w:rsid w:val="49BB73C2"/>
    <w:rsid w:val="49CB0635"/>
    <w:rsid w:val="49CC464E"/>
    <w:rsid w:val="49E27C39"/>
    <w:rsid w:val="49E815C6"/>
    <w:rsid w:val="4A203730"/>
    <w:rsid w:val="4A203D36"/>
    <w:rsid w:val="4A3F1F54"/>
    <w:rsid w:val="4A5943E4"/>
    <w:rsid w:val="4A6050DB"/>
    <w:rsid w:val="4A6278FA"/>
    <w:rsid w:val="4A693AF6"/>
    <w:rsid w:val="4AD43451"/>
    <w:rsid w:val="4ADD07E4"/>
    <w:rsid w:val="4B4E3F99"/>
    <w:rsid w:val="4B5A348C"/>
    <w:rsid w:val="4B715FB2"/>
    <w:rsid w:val="4B8C55E8"/>
    <w:rsid w:val="4BB858C5"/>
    <w:rsid w:val="4C083C31"/>
    <w:rsid w:val="4C100B51"/>
    <w:rsid w:val="4C565914"/>
    <w:rsid w:val="4C875D8A"/>
    <w:rsid w:val="4C88552C"/>
    <w:rsid w:val="4CAE3FEF"/>
    <w:rsid w:val="4CB01772"/>
    <w:rsid w:val="4CD90354"/>
    <w:rsid w:val="4CE354D3"/>
    <w:rsid w:val="4D092A65"/>
    <w:rsid w:val="4D3E119B"/>
    <w:rsid w:val="4D5D5079"/>
    <w:rsid w:val="4D63426D"/>
    <w:rsid w:val="4D6F1F18"/>
    <w:rsid w:val="4D7376F9"/>
    <w:rsid w:val="4D9E38E4"/>
    <w:rsid w:val="4DC82BF0"/>
    <w:rsid w:val="4DD013FD"/>
    <w:rsid w:val="4DE577AB"/>
    <w:rsid w:val="4E7B4448"/>
    <w:rsid w:val="4EBA1CDB"/>
    <w:rsid w:val="4EDB1BC9"/>
    <w:rsid w:val="4EEB225C"/>
    <w:rsid w:val="4F103158"/>
    <w:rsid w:val="4F172AC2"/>
    <w:rsid w:val="4F1B6653"/>
    <w:rsid w:val="4F314161"/>
    <w:rsid w:val="4F3F55BB"/>
    <w:rsid w:val="4F464A5A"/>
    <w:rsid w:val="4F4C6491"/>
    <w:rsid w:val="4F5551B4"/>
    <w:rsid w:val="4F5D32A4"/>
    <w:rsid w:val="4F66062D"/>
    <w:rsid w:val="4F6B71DF"/>
    <w:rsid w:val="4F9818B4"/>
    <w:rsid w:val="4FAD051B"/>
    <w:rsid w:val="4FD46EBD"/>
    <w:rsid w:val="4FE828ED"/>
    <w:rsid w:val="501D392A"/>
    <w:rsid w:val="503D78E7"/>
    <w:rsid w:val="503D7B8D"/>
    <w:rsid w:val="506B2F52"/>
    <w:rsid w:val="507951EA"/>
    <w:rsid w:val="508F2AB3"/>
    <w:rsid w:val="50B138D1"/>
    <w:rsid w:val="50B53C39"/>
    <w:rsid w:val="50F0046A"/>
    <w:rsid w:val="50F31B7F"/>
    <w:rsid w:val="511A61BA"/>
    <w:rsid w:val="511E35F8"/>
    <w:rsid w:val="51503FA0"/>
    <w:rsid w:val="5156017D"/>
    <w:rsid w:val="51596E11"/>
    <w:rsid w:val="519B5CC2"/>
    <w:rsid w:val="51CD03C6"/>
    <w:rsid w:val="51FE7D93"/>
    <w:rsid w:val="52121DCF"/>
    <w:rsid w:val="52137423"/>
    <w:rsid w:val="521C6302"/>
    <w:rsid w:val="522105B9"/>
    <w:rsid w:val="52263BCA"/>
    <w:rsid w:val="52AF3E2F"/>
    <w:rsid w:val="52FB705C"/>
    <w:rsid w:val="5304202F"/>
    <w:rsid w:val="53155197"/>
    <w:rsid w:val="531B7C6E"/>
    <w:rsid w:val="53314D4C"/>
    <w:rsid w:val="53316789"/>
    <w:rsid w:val="53871716"/>
    <w:rsid w:val="53950C89"/>
    <w:rsid w:val="53A40CC6"/>
    <w:rsid w:val="53A43997"/>
    <w:rsid w:val="53D42EB7"/>
    <w:rsid w:val="53DE1453"/>
    <w:rsid w:val="53FF5110"/>
    <w:rsid w:val="5403502E"/>
    <w:rsid w:val="540A3EEE"/>
    <w:rsid w:val="540A6D47"/>
    <w:rsid w:val="54457077"/>
    <w:rsid w:val="544F1263"/>
    <w:rsid w:val="549D0C85"/>
    <w:rsid w:val="54EE6554"/>
    <w:rsid w:val="550C6C83"/>
    <w:rsid w:val="553E32D6"/>
    <w:rsid w:val="55583B90"/>
    <w:rsid w:val="55675C79"/>
    <w:rsid w:val="558D65E8"/>
    <w:rsid w:val="55990B54"/>
    <w:rsid w:val="55BC2E86"/>
    <w:rsid w:val="55C03CB8"/>
    <w:rsid w:val="55C624E8"/>
    <w:rsid w:val="55D94BD7"/>
    <w:rsid w:val="5625035E"/>
    <w:rsid w:val="562F0568"/>
    <w:rsid w:val="565F506B"/>
    <w:rsid w:val="566F1F39"/>
    <w:rsid w:val="56830ADF"/>
    <w:rsid w:val="56857CFC"/>
    <w:rsid w:val="569022B2"/>
    <w:rsid w:val="56BB20E5"/>
    <w:rsid w:val="56D5033D"/>
    <w:rsid w:val="56D67726"/>
    <w:rsid w:val="56FF2CC1"/>
    <w:rsid w:val="57002B8D"/>
    <w:rsid w:val="571F6FD0"/>
    <w:rsid w:val="57344DFE"/>
    <w:rsid w:val="573577BE"/>
    <w:rsid w:val="573751CA"/>
    <w:rsid w:val="57606083"/>
    <w:rsid w:val="578B0E6E"/>
    <w:rsid w:val="57A1046F"/>
    <w:rsid w:val="57B5D834"/>
    <w:rsid w:val="57D60C34"/>
    <w:rsid w:val="57F652BC"/>
    <w:rsid w:val="5848614A"/>
    <w:rsid w:val="585D6E6C"/>
    <w:rsid w:val="588C1D68"/>
    <w:rsid w:val="58A674A5"/>
    <w:rsid w:val="58CD30A4"/>
    <w:rsid w:val="58CD382E"/>
    <w:rsid w:val="58D7418F"/>
    <w:rsid w:val="5900000F"/>
    <w:rsid w:val="590A1DA2"/>
    <w:rsid w:val="590D6489"/>
    <w:rsid w:val="59154896"/>
    <w:rsid w:val="592B5553"/>
    <w:rsid w:val="595042FB"/>
    <w:rsid w:val="59876675"/>
    <w:rsid w:val="59B961EA"/>
    <w:rsid w:val="59C9107F"/>
    <w:rsid w:val="59CE04C3"/>
    <w:rsid w:val="59FFE880"/>
    <w:rsid w:val="5A0C0158"/>
    <w:rsid w:val="5A263D37"/>
    <w:rsid w:val="5A376F91"/>
    <w:rsid w:val="5A3D0E34"/>
    <w:rsid w:val="5A4E1D0A"/>
    <w:rsid w:val="5A642481"/>
    <w:rsid w:val="5A6E0818"/>
    <w:rsid w:val="5ABE7049"/>
    <w:rsid w:val="5AC32B55"/>
    <w:rsid w:val="5AE145C9"/>
    <w:rsid w:val="5B421824"/>
    <w:rsid w:val="5B695259"/>
    <w:rsid w:val="5B75772B"/>
    <w:rsid w:val="5B9E3DE4"/>
    <w:rsid w:val="5BC44CEE"/>
    <w:rsid w:val="5BDA0F82"/>
    <w:rsid w:val="5BDF4787"/>
    <w:rsid w:val="5BE106D2"/>
    <w:rsid w:val="5BFFD2DF"/>
    <w:rsid w:val="5C00697E"/>
    <w:rsid w:val="5C2F3299"/>
    <w:rsid w:val="5C37658E"/>
    <w:rsid w:val="5C405FA4"/>
    <w:rsid w:val="5C5F447C"/>
    <w:rsid w:val="5C7521D3"/>
    <w:rsid w:val="5C896574"/>
    <w:rsid w:val="5C8C3697"/>
    <w:rsid w:val="5CAC7B1C"/>
    <w:rsid w:val="5CD13E43"/>
    <w:rsid w:val="5CEF42BA"/>
    <w:rsid w:val="5CFC66C8"/>
    <w:rsid w:val="5D591FBD"/>
    <w:rsid w:val="5D94180E"/>
    <w:rsid w:val="5D9F27A5"/>
    <w:rsid w:val="5DC411A3"/>
    <w:rsid w:val="5DCA620A"/>
    <w:rsid w:val="5DDABCF8"/>
    <w:rsid w:val="5DDD008C"/>
    <w:rsid w:val="5DFE433A"/>
    <w:rsid w:val="5E1373C1"/>
    <w:rsid w:val="5E2D4485"/>
    <w:rsid w:val="5E6747E1"/>
    <w:rsid w:val="5E7BB97F"/>
    <w:rsid w:val="5E9641A9"/>
    <w:rsid w:val="5E97068D"/>
    <w:rsid w:val="5EB543C4"/>
    <w:rsid w:val="5EB7CDDF"/>
    <w:rsid w:val="5EB92CF5"/>
    <w:rsid w:val="5EBF6980"/>
    <w:rsid w:val="5ED30C10"/>
    <w:rsid w:val="5EDA2A7B"/>
    <w:rsid w:val="5EE16E0E"/>
    <w:rsid w:val="5F3940A0"/>
    <w:rsid w:val="5F44566E"/>
    <w:rsid w:val="5F4C554A"/>
    <w:rsid w:val="5F675369"/>
    <w:rsid w:val="5F9C7872"/>
    <w:rsid w:val="5FB71F10"/>
    <w:rsid w:val="5FCF3527"/>
    <w:rsid w:val="5FF11BD5"/>
    <w:rsid w:val="5FF508FC"/>
    <w:rsid w:val="5FFB837C"/>
    <w:rsid w:val="601531AE"/>
    <w:rsid w:val="602D4F22"/>
    <w:rsid w:val="603F2201"/>
    <w:rsid w:val="604C733B"/>
    <w:rsid w:val="605721AA"/>
    <w:rsid w:val="60AE77CA"/>
    <w:rsid w:val="60B44113"/>
    <w:rsid w:val="60C06C11"/>
    <w:rsid w:val="60E517B1"/>
    <w:rsid w:val="60EA573B"/>
    <w:rsid w:val="613F7C88"/>
    <w:rsid w:val="616816BC"/>
    <w:rsid w:val="61731648"/>
    <w:rsid w:val="617A1E26"/>
    <w:rsid w:val="61D60995"/>
    <w:rsid w:val="61E16FA2"/>
    <w:rsid w:val="61E54B40"/>
    <w:rsid w:val="622C753A"/>
    <w:rsid w:val="624F3EEF"/>
    <w:rsid w:val="62884618"/>
    <w:rsid w:val="62D70BD1"/>
    <w:rsid w:val="62E47D3E"/>
    <w:rsid w:val="62E92531"/>
    <w:rsid w:val="6341070D"/>
    <w:rsid w:val="63416D06"/>
    <w:rsid w:val="63A6157B"/>
    <w:rsid w:val="63AA21B4"/>
    <w:rsid w:val="63C3108A"/>
    <w:rsid w:val="63FC019F"/>
    <w:rsid w:val="64481AB7"/>
    <w:rsid w:val="64497B3B"/>
    <w:rsid w:val="646F08D5"/>
    <w:rsid w:val="648630F3"/>
    <w:rsid w:val="64B30F39"/>
    <w:rsid w:val="64BA7177"/>
    <w:rsid w:val="64C45F03"/>
    <w:rsid w:val="64CB5E68"/>
    <w:rsid w:val="64D5736A"/>
    <w:rsid w:val="64F851F1"/>
    <w:rsid w:val="64FD400B"/>
    <w:rsid w:val="65312228"/>
    <w:rsid w:val="65625FEC"/>
    <w:rsid w:val="656C7BC4"/>
    <w:rsid w:val="65715E5A"/>
    <w:rsid w:val="65904230"/>
    <w:rsid w:val="65930C48"/>
    <w:rsid w:val="65BF74AA"/>
    <w:rsid w:val="65C23858"/>
    <w:rsid w:val="6601087F"/>
    <w:rsid w:val="66183E19"/>
    <w:rsid w:val="66821BE2"/>
    <w:rsid w:val="66BE22A1"/>
    <w:rsid w:val="66D70B4F"/>
    <w:rsid w:val="66FF5A0E"/>
    <w:rsid w:val="67005BCA"/>
    <w:rsid w:val="6702678E"/>
    <w:rsid w:val="671C1D5F"/>
    <w:rsid w:val="671F12E9"/>
    <w:rsid w:val="673426E5"/>
    <w:rsid w:val="67812CEA"/>
    <w:rsid w:val="679D4CF3"/>
    <w:rsid w:val="679E080A"/>
    <w:rsid w:val="67EE11BE"/>
    <w:rsid w:val="681E63B1"/>
    <w:rsid w:val="682A6C00"/>
    <w:rsid w:val="683B1C26"/>
    <w:rsid w:val="6889713A"/>
    <w:rsid w:val="68DC0F3F"/>
    <w:rsid w:val="68E258A1"/>
    <w:rsid w:val="68FA6BF9"/>
    <w:rsid w:val="691463FB"/>
    <w:rsid w:val="691A565F"/>
    <w:rsid w:val="69541AD9"/>
    <w:rsid w:val="69650E2F"/>
    <w:rsid w:val="69A9488B"/>
    <w:rsid w:val="69C96177"/>
    <w:rsid w:val="69E16BE6"/>
    <w:rsid w:val="6A230268"/>
    <w:rsid w:val="6A457122"/>
    <w:rsid w:val="6A4D68CC"/>
    <w:rsid w:val="6A5F513A"/>
    <w:rsid w:val="6A7150A8"/>
    <w:rsid w:val="6A7401B1"/>
    <w:rsid w:val="6ABF2D94"/>
    <w:rsid w:val="6B02331D"/>
    <w:rsid w:val="6B067187"/>
    <w:rsid w:val="6B507AEB"/>
    <w:rsid w:val="6B727905"/>
    <w:rsid w:val="6B9125CB"/>
    <w:rsid w:val="6BB93611"/>
    <w:rsid w:val="6BC35959"/>
    <w:rsid w:val="6BE64B7B"/>
    <w:rsid w:val="6BF315F7"/>
    <w:rsid w:val="6C05168F"/>
    <w:rsid w:val="6C05463D"/>
    <w:rsid w:val="6C274259"/>
    <w:rsid w:val="6C714624"/>
    <w:rsid w:val="6C7D7121"/>
    <w:rsid w:val="6C9F23F5"/>
    <w:rsid w:val="6CBD664D"/>
    <w:rsid w:val="6CD07465"/>
    <w:rsid w:val="6CDA28F7"/>
    <w:rsid w:val="6D10711C"/>
    <w:rsid w:val="6D1771CB"/>
    <w:rsid w:val="6D2E27CF"/>
    <w:rsid w:val="6D52034D"/>
    <w:rsid w:val="6D70737B"/>
    <w:rsid w:val="6D76311A"/>
    <w:rsid w:val="6D771760"/>
    <w:rsid w:val="6D993D80"/>
    <w:rsid w:val="6DDF75FC"/>
    <w:rsid w:val="6DF90EC9"/>
    <w:rsid w:val="6E01448B"/>
    <w:rsid w:val="6E025E88"/>
    <w:rsid w:val="6E2E5E48"/>
    <w:rsid w:val="6E866386"/>
    <w:rsid w:val="6ED160AB"/>
    <w:rsid w:val="6EDB34C1"/>
    <w:rsid w:val="6F006DDA"/>
    <w:rsid w:val="6F085C5D"/>
    <w:rsid w:val="6F4F6D21"/>
    <w:rsid w:val="6F58696B"/>
    <w:rsid w:val="6F95673A"/>
    <w:rsid w:val="6F9673F9"/>
    <w:rsid w:val="6F9D4B96"/>
    <w:rsid w:val="6FBB755E"/>
    <w:rsid w:val="6FCD27E4"/>
    <w:rsid w:val="6FDF5A50"/>
    <w:rsid w:val="6FEE1B2C"/>
    <w:rsid w:val="7019691C"/>
    <w:rsid w:val="701D6C26"/>
    <w:rsid w:val="70216AC8"/>
    <w:rsid w:val="70392C2A"/>
    <w:rsid w:val="70745258"/>
    <w:rsid w:val="707819B0"/>
    <w:rsid w:val="709B2D07"/>
    <w:rsid w:val="709F64A5"/>
    <w:rsid w:val="70AD6346"/>
    <w:rsid w:val="70CF02ED"/>
    <w:rsid w:val="70D74AB3"/>
    <w:rsid w:val="70DA6154"/>
    <w:rsid w:val="70DD0315"/>
    <w:rsid w:val="70E95D7A"/>
    <w:rsid w:val="71136C4F"/>
    <w:rsid w:val="712E15B0"/>
    <w:rsid w:val="714D0A49"/>
    <w:rsid w:val="71673F9B"/>
    <w:rsid w:val="717520A9"/>
    <w:rsid w:val="719F0B7C"/>
    <w:rsid w:val="71CD6934"/>
    <w:rsid w:val="71EA15C0"/>
    <w:rsid w:val="71F83BE6"/>
    <w:rsid w:val="723942F4"/>
    <w:rsid w:val="725737C3"/>
    <w:rsid w:val="7260622C"/>
    <w:rsid w:val="726D5A47"/>
    <w:rsid w:val="72757496"/>
    <w:rsid w:val="727B41C2"/>
    <w:rsid w:val="72C9C255"/>
    <w:rsid w:val="72E75711"/>
    <w:rsid w:val="72EB1400"/>
    <w:rsid w:val="732860A1"/>
    <w:rsid w:val="734C374E"/>
    <w:rsid w:val="73517BC9"/>
    <w:rsid w:val="73870389"/>
    <w:rsid w:val="73B44DF0"/>
    <w:rsid w:val="73F21076"/>
    <w:rsid w:val="7417189B"/>
    <w:rsid w:val="74340A39"/>
    <w:rsid w:val="74611F1F"/>
    <w:rsid w:val="7491533F"/>
    <w:rsid w:val="74CE0A9B"/>
    <w:rsid w:val="74D22127"/>
    <w:rsid w:val="74F4555C"/>
    <w:rsid w:val="75037857"/>
    <w:rsid w:val="750D524B"/>
    <w:rsid w:val="752FE869"/>
    <w:rsid w:val="753D053B"/>
    <w:rsid w:val="755539A3"/>
    <w:rsid w:val="75556181"/>
    <w:rsid w:val="75712ACC"/>
    <w:rsid w:val="75846400"/>
    <w:rsid w:val="759871F9"/>
    <w:rsid w:val="75A44310"/>
    <w:rsid w:val="75C26102"/>
    <w:rsid w:val="75CC5A83"/>
    <w:rsid w:val="75FA4693"/>
    <w:rsid w:val="76072028"/>
    <w:rsid w:val="761A3604"/>
    <w:rsid w:val="76390E53"/>
    <w:rsid w:val="767577A0"/>
    <w:rsid w:val="768611D1"/>
    <w:rsid w:val="76A61737"/>
    <w:rsid w:val="76AC12BF"/>
    <w:rsid w:val="76BD780E"/>
    <w:rsid w:val="76BE11CF"/>
    <w:rsid w:val="76BFB7AB"/>
    <w:rsid w:val="76CEC8CE"/>
    <w:rsid w:val="76EF5CA5"/>
    <w:rsid w:val="76F463F0"/>
    <w:rsid w:val="76FAD0CD"/>
    <w:rsid w:val="7701463A"/>
    <w:rsid w:val="770D331C"/>
    <w:rsid w:val="77386FBE"/>
    <w:rsid w:val="77445FBB"/>
    <w:rsid w:val="774B2EC4"/>
    <w:rsid w:val="775B22A8"/>
    <w:rsid w:val="7761477F"/>
    <w:rsid w:val="776A7337"/>
    <w:rsid w:val="777F1553"/>
    <w:rsid w:val="77A7936F"/>
    <w:rsid w:val="77B41026"/>
    <w:rsid w:val="77B92EBE"/>
    <w:rsid w:val="77BAB242"/>
    <w:rsid w:val="77DB8DFD"/>
    <w:rsid w:val="77ED4CA7"/>
    <w:rsid w:val="77F7656E"/>
    <w:rsid w:val="78041F2B"/>
    <w:rsid w:val="782D5A55"/>
    <w:rsid w:val="78690BA0"/>
    <w:rsid w:val="78700E16"/>
    <w:rsid w:val="78787717"/>
    <w:rsid w:val="78AB6CF2"/>
    <w:rsid w:val="78C85065"/>
    <w:rsid w:val="78CB54A2"/>
    <w:rsid w:val="78F85823"/>
    <w:rsid w:val="78FF40FB"/>
    <w:rsid w:val="792566D3"/>
    <w:rsid w:val="793122E3"/>
    <w:rsid w:val="794857A6"/>
    <w:rsid w:val="79585961"/>
    <w:rsid w:val="79614897"/>
    <w:rsid w:val="79617D09"/>
    <w:rsid w:val="79680FED"/>
    <w:rsid w:val="796F1C36"/>
    <w:rsid w:val="79BB2545"/>
    <w:rsid w:val="79C008CD"/>
    <w:rsid w:val="7A4F7B07"/>
    <w:rsid w:val="7A5101BC"/>
    <w:rsid w:val="7A640DEF"/>
    <w:rsid w:val="7A685998"/>
    <w:rsid w:val="7AC96B81"/>
    <w:rsid w:val="7AD727B2"/>
    <w:rsid w:val="7AD7A1FA"/>
    <w:rsid w:val="7ADE96DB"/>
    <w:rsid w:val="7AFD5349"/>
    <w:rsid w:val="7B063D79"/>
    <w:rsid w:val="7B0E3DF2"/>
    <w:rsid w:val="7B0F0EC6"/>
    <w:rsid w:val="7B286B9A"/>
    <w:rsid w:val="7B334FEE"/>
    <w:rsid w:val="7B3B3EC1"/>
    <w:rsid w:val="7B7114EB"/>
    <w:rsid w:val="7B766521"/>
    <w:rsid w:val="7B9A6B24"/>
    <w:rsid w:val="7B9A6FC5"/>
    <w:rsid w:val="7BA269EE"/>
    <w:rsid w:val="7BBB08F9"/>
    <w:rsid w:val="7BC47376"/>
    <w:rsid w:val="7BEB30F6"/>
    <w:rsid w:val="7BF90C8D"/>
    <w:rsid w:val="7BFFA655"/>
    <w:rsid w:val="7C00147E"/>
    <w:rsid w:val="7C0E1600"/>
    <w:rsid w:val="7C3717CE"/>
    <w:rsid w:val="7C691183"/>
    <w:rsid w:val="7C9537CE"/>
    <w:rsid w:val="7D0D2D49"/>
    <w:rsid w:val="7D203553"/>
    <w:rsid w:val="7D3638F1"/>
    <w:rsid w:val="7D4441A2"/>
    <w:rsid w:val="7D9948DF"/>
    <w:rsid w:val="7D9C56A0"/>
    <w:rsid w:val="7DBA0B08"/>
    <w:rsid w:val="7DC47C61"/>
    <w:rsid w:val="7DD76F8A"/>
    <w:rsid w:val="7DDB5147"/>
    <w:rsid w:val="7E00744C"/>
    <w:rsid w:val="7E1F5D8A"/>
    <w:rsid w:val="7E27194F"/>
    <w:rsid w:val="7E53DB8D"/>
    <w:rsid w:val="7E5D471B"/>
    <w:rsid w:val="7E7874B5"/>
    <w:rsid w:val="7E93527C"/>
    <w:rsid w:val="7EA64368"/>
    <w:rsid w:val="7EA7CF43"/>
    <w:rsid w:val="7EC17537"/>
    <w:rsid w:val="7EED3DCE"/>
    <w:rsid w:val="7EFF54EF"/>
    <w:rsid w:val="7EFFBE69"/>
    <w:rsid w:val="7F0969F7"/>
    <w:rsid w:val="7F2C38B2"/>
    <w:rsid w:val="7F4033B0"/>
    <w:rsid w:val="7F4B17C2"/>
    <w:rsid w:val="7F63180E"/>
    <w:rsid w:val="7F65074C"/>
    <w:rsid w:val="7F6B1C88"/>
    <w:rsid w:val="7F6EDAEE"/>
    <w:rsid w:val="7F7513EC"/>
    <w:rsid w:val="7F8F6F36"/>
    <w:rsid w:val="7FA7A97F"/>
    <w:rsid w:val="7FAA5858"/>
    <w:rsid w:val="7FAF3BDF"/>
    <w:rsid w:val="7FAFC216"/>
    <w:rsid w:val="7FBB2037"/>
    <w:rsid w:val="7FBDD174"/>
    <w:rsid w:val="7FEFA79C"/>
    <w:rsid w:val="7FF8015F"/>
    <w:rsid w:val="7FFD8A9D"/>
    <w:rsid w:val="8BFDCE5E"/>
    <w:rsid w:val="975F7B5B"/>
    <w:rsid w:val="9FBA7136"/>
    <w:rsid w:val="9FCF587D"/>
    <w:rsid w:val="9FD7F4D0"/>
    <w:rsid w:val="A7BE5D65"/>
    <w:rsid w:val="A9EFB07C"/>
    <w:rsid w:val="ABFB8D5C"/>
    <w:rsid w:val="ADFD5579"/>
    <w:rsid w:val="AE521328"/>
    <w:rsid w:val="AED671AF"/>
    <w:rsid w:val="AF85341E"/>
    <w:rsid w:val="AFDA5E24"/>
    <w:rsid w:val="B2AF928D"/>
    <w:rsid w:val="B6374D86"/>
    <w:rsid w:val="B75B6B07"/>
    <w:rsid w:val="B7A34307"/>
    <w:rsid w:val="B7DF6BCE"/>
    <w:rsid w:val="B814F49D"/>
    <w:rsid w:val="B97C0B21"/>
    <w:rsid w:val="BAFE2844"/>
    <w:rsid w:val="BB7F4F81"/>
    <w:rsid w:val="BCFF7F26"/>
    <w:rsid w:val="BE7F8010"/>
    <w:rsid w:val="BEDDF782"/>
    <w:rsid w:val="BEFD1EBF"/>
    <w:rsid w:val="BEFDB907"/>
    <w:rsid w:val="BF7F50E4"/>
    <w:rsid w:val="CEFFE737"/>
    <w:rsid w:val="CFB32512"/>
    <w:rsid w:val="CFDB96F1"/>
    <w:rsid w:val="D3DEF757"/>
    <w:rsid w:val="D4FC2746"/>
    <w:rsid w:val="D6B758C4"/>
    <w:rsid w:val="D7AE11A9"/>
    <w:rsid w:val="D7FB917C"/>
    <w:rsid w:val="D89BD63B"/>
    <w:rsid w:val="DBB62C97"/>
    <w:rsid w:val="DDEB0CA7"/>
    <w:rsid w:val="DFDB03BE"/>
    <w:rsid w:val="DFF10D5D"/>
    <w:rsid w:val="DFF33081"/>
    <w:rsid w:val="DFF45A85"/>
    <w:rsid w:val="DFF916DC"/>
    <w:rsid w:val="DFFE5912"/>
    <w:rsid w:val="E1F6E432"/>
    <w:rsid w:val="E5FF3585"/>
    <w:rsid w:val="E6E73CA6"/>
    <w:rsid w:val="E76AE2C3"/>
    <w:rsid w:val="E775C37B"/>
    <w:rsid w:val="E79BBD20"/>
    <w:rsid w:val="EBEFFE61"/>
    <w:rsid w:val="EC6DBE59"/>
    <w:rsid w:val="EDB70AA8"/>
    <w:rsid w:val="EDBC2E8F"/>
    <w:rsid w:val="EF6BB7E2"/>
    <w:rsid w:val="EFEDC775"/>
    <w:rsid w:val="EFF946E3"/>
    <w:rsid w:val="F1DF50E3"/>
    <w:rsid w:val="F373B128"/>
    <w:rsid w:val="F57E6084"/>
    <w:rsid w:val="F5CCC4D5"/>
    <w:rsid w:val="F5F5150A"/>
    <w:rsid w:val="F5F9438B"/>
    <w:rsid w:val="F79BD332"/>
    <w:rsid w:val="F7BBC0E3"/>
    <w:rsid w:val="F8FDF5EE"/>
    <w:rsid w:val="F95AB7B5"/>
    <w:rsid w:val="F9FBABE3"/>
    <w:rsid w:val="FA7115EA"/>
    <w:rsid w:val="FB6F8943"/>
    <w:rsid w:val="FBDF0A69"/>
    <w:rsid w:val="FBDFEA72"/>
    <w:rsid w:val="FBF43FF7"/>
    <w:rsid w:val="FBFB3417"/>
    <w:rsid w:val="FC9688DB"/>
    <w:rsid w:val="FDB7BC72"/>
    <w:rsid w:val="FDEFB6F8"/>
    <w:rsid w:val="FDFDFBD6"/>
    <w:rsid w:val="FDFEA3E0"/>
    <w:rsid w:val="FEDE21EF"/>
    <w:rsid w:val="FEF572BD"/>
    <w:rsid w:val="FF1F7650"/>
    <w:rsid w:val="FF7EA94C"/>
    <w:rsid w:val="FFDF9A7C"/>
    <w:rsid w:val="FFEE4ECE"/>
    <w:rsid w:val="FFEF25B5"/>
    <w:rsid w:val="FFEF48B7"/>
    <w:rsid w:val="FFEF9705"/>
    <w:rsid w:val="FFFB66C8"/>
    <w:rsid w:val="FFFF0C42"/>
    <w:rsid w:val="FFFF27D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5"/>
    <w:qFormat/>
    <w:uiPriority w:val="0"/>
    <w:pPr>
      <w:keepNext/>
      <w:keepLines/>
      <w:spacing w:before="340" w:beforeLines="0" w:after="330" w:afterLines="0" w:line="578" w:lineRule="auto"/>
      <w:outlineLvl w:val="0"/>
    </w:pPr>
    <w:rPr>
      <w:b/>
      <w:bCs/>
      <w:kern w:val="44"/>
      <w:sz w:val="44"/>
      <w:szCs w:val="44"/>
    </w:rPr>
  </w:style>
  <w:style w:type="paragraph" w:styleId="4">
    <w:name w:val="heading 2"/>
    <w:basedOn w:val="1"/>
    <w:next w:val="1"/>
    <w:link w:val="56"/>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5">
    <w:name w:val="heading 3"/>
    <w:basedOn w:val="1"/>
    <w:next w:val="1"/>
    <w:link w:val="58"/>
    <w:qFormat/>
    <w:uiPriority w:val="0"/>
    <w:pPr>
      <w:numPr>
        <w:ilvl w:val="5"/>
        <w:numId w:val="1"/>
      </w:numPr>
      <w:spacing w:before="260" w:after="260" w:line="416" w:lineRule="auto"/>
      <w:outlineLvl w:val="2"/>
    </w:pPr>
    <w:rPr>
      <w:b/>
      <w:bCs/>
      <w:sz w:val="32"/>
      <w:szCs w:val="32"/>
    </w:rPr>
  </w:style>
  <w:style w:type="paragraph" w:styleId="6">
    <w:name w:val="heading 4"/>
    <w:basedOn w:val="1"/>
    <w:next w:val="1"/>
    <w:link w:val="60"/>
    <w:qFormat/>
    <w:uiPriority w:val="0"/>
    <w:pPr>
      <w:keepNext/>
      <w:keepLines/>
      <w:spacing w:before="280" w:beforeLines="0" w:after="290" w:afterLines="0" w:line="376" w:lineRule="auto"/>
      <w:outlineLvl w:val="3"/>
    </w:pPr>
    <w:rPr>
      <w:rFonts w:ascii="Arial" w:hAnsi="Arial" w:eastAsia="黑体"/>
      <w:b/>
      <w:bCs/>
      <w:sz w:val="28"/>
      <w:szCs w:val="28"/>
    </w:rPr>
  </w:style>
  <w:style w:type="paragraph" w:styleId="7">
    <w:name w:val="heading 5"/>
    <w:basedOn w:val="1"/>
    <w:next w:val="1"/>
    <w:qFormat/>
    <w:uiPriority w:val="0"/>
    <w:pPr>
      <w:keepNext/>
      <w:keepLines/>
      <w:numPr>
        <w:ilvl w:val="4"/>
        <w:numId w:val="2"/>
      </w:numPr>
      <w:adjustRightInd w:val="0"/>
      <w:spacing w:before="280" w:after="290" w:line="376" w:lineRule="atLeast"/>
      <w:textAlignment w:val="baseline"/>
      <w:outlineLvl w:val="4"/>
    </w:pPr>
    <w:rPr>
      <w:b/>
      <w:kern w:val="0"/>
      <w:sz w:val="28"/>
      <w:szCs w:val="20"/>
    </w:rPr>
  </w:style>
  <w:style w:type="paragraph" w:styleId="8">
    <w:name w:val="heading 6"/>
    <w:basedOn w:val="1"/>
    <w:next w:val="1"/>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rPr>
  </w:style>
  <w:style w:type="paragraph" w:styleId="9">
    <w:name w:val="heading 7"/>
    <w:basedOn w:val="1"/>
    <w:next w:val="1"/>
    <w:qFormat/>
    <w:uiPriority w:val="0"/>
    <w:pPr>
      <w:keepNext/>
      <w:keepLines/>
      <w:widowControl/>
      <w:numPr>
        <w:ilvl w:val="6"/>
        <w:numId w:val="1"/>
      </w:numPr>
      <w:spacing w:before="240" w:after="64" w:line="320" w:lineRule="auto"/>
      <w:jc w:val="left"/>
      <w:outlineLvl w:val="6"/>
    </w:pPr>
    <w:rPr>
      <w:b/>
      <w:bCs/>
      <w:kern w:val="0"/>
      <w:sz w:val="24"/>
    </w:rPr>
  </w:style>
  <w:style w:type="paragraph" w:styleId="10">
    <w:name w:val="heading 8"/>
    <w:basedOn w:val="1"/>
    <w:next w:val="1"/>
    <w:qFormat/>
    <w:uiPriority w:val="0"/>
    <w:pPr>
      <w:keepNext/>
      <w:keepLines/>
      <w:widowControl/>
      <w:numPr>
        <w:ilvl w:val="7"/>
        <w:numId w:val="1"/>
      </w:numPr>
      <w:spacing w:before="240" w:after="64" w:line="320" w:lineRule="auto"/>
      <w:jc w:val="left"/>
      <w:outlineLvl w:val="7"/>
    </w:pPr>
    <w:rPr>
      <w:rFonts w:ascii="Arial" w:hAnsi="Arial" w:eastAsia="黑体"/>
      <w:kern w:val="0"/>
      <w:sz w:val="24"/>
    </w:rPr>
  </w:style>
  <w:style w:type="paragraph" w:styleId="11">
    <w:name w:val="heading 9"/>
    <w:basedOn w:val="1"/>
    <w:next w:val="1"/>
    <w:link w:val="61"/>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2">
    <w:name w:val="Default Paragraph Font"/>
    <w:link w:val="43"/>
    <w:qFormat/>
    <w:uiPriority w:val="0"/>
    <w:rPr>
      <w:rFonts w:ascii="宋体" w:hAnsi="宋体"/>
      <w:kern w:val="0"/>
      <w:szCs w:val="21"/>
    </w:rPr>
  </w:style>
  <w:style w:type="table" w:default="1" w:styleId="40">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54"/>
    <w:qFormat/>
    <w:uiPriority w:val="0"/>
    <w:pPr>
      <w:jc w:val="center"/>
    </w:pPr>
    <w:rPr>
      <w:sz w:val="52"/>
    </w:rPr>
  </w:style>
  <w:style w:type="paragraph" w:styleId="12">
    <w:name w:val="toc 7"/>
    <w:basedOn w:val="1"/>
    <w:next w:val="1"/>
    <w:qFormat/>
    <w:uiPriority w:val="39"/>
    <w:pPr>
      <w:ind w:left="1260"/>
      <w:jc w:val="left"/>
    </w:pPr>
    <w:rPr>
      <w:rFonts w:ascii="Calibri" w:hAnsi="Calibri" w:cs="Calibri"/>
      <w:sz w:val="18"/>
      <w:szCs w:val="18"/>
    </w:rPr>
  </w:style>
  <w:style w:type="paragraph" w:styleId="13">
    <w:name w:val="Normal Indent"/>
    <w:basedOn w:val="1"/>
    <w:link w:val="59"/>
    <w:qFormat/>
    <w:uiPriority w:val="0"/>
    <w:pPr>
      <w:widowControl/>
      <w:ind w:firstLine="420"/>
      <w:jc w:val="left"/>
    </w:pPr>
    <w:rPr>
      <w:kern w:val="0"/>
      <w:sz w:val="20"/>
      <w:szCs w:val="20"/>
    </w:rPr>
  </w:style>
  <w:style w:type="paragraph" w:styleId="14">
    <w:name w:val="caption"/>
    <w:basedOn w:val="1"/>
    <w:next w:val="1"/>
    <w:qFormat/>
    <w:uiPriority w:val="0"/>
    <w:rPr>
      <w:rFonts w:ascii="Arial" w:hAnsi="Arial" w:eastAsia="黑体"/>
      <w:sz w:val="20"/>
    </w:rPr>
  </w:style>
  <w:style w:type="paragraph" w:styleId="15">
    <w:name w:val="Document Map"/>
    <w:basedOn w:val="1"/>
    <w:link w:val="62"/>
    <w:qFormat/>
    <w:uiPriority w:val="0"/>
    <w:pPr>
      <w:shd w:val="clear" w:color="auto" w:fill="000080"/>
    </w:pPr>
  </w:style>
  <w:style w:type="paragraph" w:styleId="16">
    <w:name w:val="annotation text"/>
    <w:basedOn w:val="1"/>
    <w:link w:val="63"/>
    <w:qFormat/>
    <w:uiPriority w:val="99"/>
    <w:pPr>
      <w:adjustRightInd w:val="0"/>
      <w:spacing w:line="360" w:lineRule="atLeast"/>
      <w:jc w:val="left"/>
      <w:textAlignment w:val="baseline"/>
    </w:pPr>
    <w:rPr>
      <w:kern w:val="0"/>
      <w:sz w:val="24"/>
      <w:szCs w:val="20"/>
    </w:rPr>
  </w:style>
  <w:style w:type="paragraph" w:styleId="17">
    <w:name w:val="Body Text 3"/>
    <w:basedOn w:val="1"/>
    <w:link w:val="64"/>
    <w:qFormat/>
    <w:uiPriority w:val="0"/>
    <w:pPr>
      <w:spacing w:line="440" w:lineRule="exact"/>
    </w:pPr>
    <w:rPr>
      <w:sz w:val="24"/>
    </w:rPr>
  </w:style>
  <w:style w:type="paragraph" w:styleId="18">
    <w:name w:val="Body Text Indent"/>
    <w:basedOn w:val="1"/>
    <w:qFormat/>
    <w:uiPriority w:val="0"/>
    <w:pPr>
      <w:spacing w:line="400" w:lineRule="exact"/>
      <w:ind w:firstLine="560" w:firstLineChars="200"/>
    </w:pPr>
    <w:rPr>
      <w:sz w:val="28"/>
      <w:u w:val="single"/>
    </w:rPr>
  </w:style>
  <w:style w:type="paragraph" w:styleId="19">
    <w:name w:val="toc 5"/>
    <w:basedOn w:val="1"/>
    <w:next w:val="1"/>
    <w:qFormat/>
    <w:uiPriority w:val="39"/>
    <w:pPr>
      <w:ind w:left="840"/>
      <w:jc w:val="left"/>
    </w:pPr>
    <w:rPr>
      <w:rFonts w:ascii="Calibri" w:hAnsi="Calibri" w:cs="Calibri"/>
      <w:sz w:val="18"/>
      <w:szCs w:val="18"/>
    </w:rPr>
  </w:style>
  <w:style w:type="paragraph" w:styleId="20">
    <w:name w:val="toc 3"/>
    <w:basedOn w:val="1"/>
    <w:next w:val="1"/>
    <w:qFormat/>
    <w:uiPriority w:val="39"/>
    <w:pPr>
      <w:ind w:left="420"/>
      <w:jc w:val="left"/>
    </w:pPr>
    <w:rPr>
      <w:rFonts w:ascii="Calibri" w:hAnsi="Calibri" w:cs="Calibri"/>
      <w:i/>
      <w:iCs/>
      <w:sz w:val="20"/>
      <w:szCs w:val="20"/>
    </w:rPr>
  </w:style>
  <w:style w:type="paragraph" w:styleId="21">
    <w:name w:val="Plain Text"/>
    <w:basedOn w:val="1"/>
    <w:link w:val="65"/>
    <w:qFormat/>
    <w:uiPriority w:val="0"/>
    <w:rPr>
      <w:rFonts w:ascii="宋体" w:hAnsi="Courier New"/>
      <w:szCs w:val="20"/>
    </w:rPr>
  </w:style>
  <w:style w:type="paragraph" w:styleId="22">
    <w:name w:val="toc 8"/>
    <w:basedOn w:val="1"/>
    <w:next w:val="1"/>
    <w:qFormat/>
    <w:uiPriority w:val="39"/>
    <w:pPr>
      <w:ind w:left="1470"/>
      <w:jc w:val="left"/>
    </w:pPr>
    <w:rPr>
      <w:rFonts w:ascii="Calibri" w:hAnsi="Calibri" w:cs="Calibri"/>
      <w:sz w:val="18"/>
      <w:szCs w:val="18"/>
    </w:rPr>
  </w:style>
  <w:style w:type="paragraph" w:styleId="23">
    <w:name w:val="Date"/>
    <w:basedOn w:val="1"/>
    <w:next w:val="1"/>
    <w:qFormat/>
    <w:uiPriority w:val="0"/>
    <w:pPr>
      <w:ind w:left="100" w:leftChars="2500"/>
    </w:pPr>
  </w:style>
  <w:style w:type="paragraph" w:styleId="24">
    <w:name w:val="Body Text Indent 2"/>
    <w:basedOn w:val="1"/>
    <w:qFormat/>
    <w:uiPriority w:val="0"/>
    <w:pPr>
      <w:spacing w:line="400" w:lineRule="exact"/>
      <w:ind w:firstLine="560" w:firstLineChars="200"/>
    </w:pPr>
    <w:rPr>
      <w:sz w:val="28"/>
    </w:rPr>
  </w:style>
  <w:style w:type="paragraph" w:styleId="25">
    <w:name w:val="Balloon Text"/>
    <w:basedOn w:val="1"/>
    <w:link w:val="66"/>
    <w:qFormat/>
    <w:uiPriority w:val="0"/>
    <w:rPr>
      <w:sz w:val="18"/>
      <w:szCs w:val="18"/>
    </w:rPr>
  </w:style>
  <w:style w:type="paragraph" w:styleId="26">
    <w:name w:val="footer"/>
    <w:basedOn w:val="1"/>
    <w:link w:val="67"/>
    <w:qFormat/>
    <w:uiPriority w:val="99"/>
    <w:pPr>
      <w:tabs>
        <w:tab w:val="center" w:pos="4153"/>
        <w:tab w:val="right" w:pos="8306"/>
      </w:tabs>
      <w:snapToGrid w:val="0"/>
      <w:jc w:val="left"/>
    </w:pPr>
    <w:rPr>
      <w:sz w:val="18"/>
      <w:szCs w:val="18"/>
    </w:rPr>
  </w:style>
  <w:style w:type="paragraph" w:styleId="27">
    <w:name w:val="header"/>
    <w:basedOn w:val="1"/>
    <w:link w:val="68"/>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rFonts w:ascii="Calibri" w:hAnsi="Calibri" w:cs="Calibri"/>
      <w:b/>
      <w:bCs/>
      <w:caps/>
      <w:sz w:val="20"/>
      <w:szCs w:val="20"/>
    </w:rPr>
  </w:style>
  <w:style w:type="paragraph" w:styleId="29">
    <w:name w:val="toc 4"/>
    <w:basedOn w:val="1"/>
    <w:next w:val="1"/>
    <w:qFormat/>
    <w:uiPriority w:val="39"/>
    <w:pPr>
      <w:ind w:left="630"/>
      <w:jc w:val="left"/>
    </w:pPr>
    <w:rPr>
      <w:rFonts w:ascii="Calibri" w:hAnsi="Calibri" w:cs="Calibri"/>
      <w:sz w:val="18"/>
      <w:szCs w:val="18"/>
    </w:rPr>
  </w:style>
  <w:style w:type="paragraph" w:styleId="30">
    <w:name w:val="List"/>
    <w:basedOn w:val="1"/>
    <w:qFormat/>
    <w:uiPriority w:val="0"/>
    <w:pPr>
      <w:ind w:left="200" w:hanging="200" w:hangingChars="200"/>
    </w:pPr>
    <w:rPr>
      <w:szCs w:val="20"/>
    </w:rPr>
  </w:style>
  <w:style w:type="paragraph" w:styleId="31">
    <w:name w:val="toc 6"/>
    <w:basedOn w:val="1"/>
    <w:next w:val="1"/>
    <w:qFormat/>
    <w:uiPriority w:val="39"/>
    <w:pPr>
      <w:ind w:left="1050"/>
      <w:jc w:val="left"/>
    </w:pPr>
    <w:rPr>
      <w:rFonts w:ascii="Calibri" w:hAnsi="Calibri" w:cs="Calibri"/>
      <w:sz w:val="18"/>
      <w:szCs w:val="18"/>
    </w:rPr>
  </w:style>
  <w:style w:type="paragraph" w:styleId="32">
    <w:name w:val="Body Text Indent 3"/>
    <w:basedOn w:val="1"/>
    <w:qFormat/>
    <w:uiPriority w:val="0"/>
    <w:pPr>
      <w:spacing w:line="500" w:lineRule="exact"/>
      <w:ind w:firstLine="570"/>
    </w:pPr>
    <w:rPr>
      <w:rFonts w:eastAsia="黑体"/>
      <w:sz w:val="28"/>
    </w:rPr>
  </w:style>
  <w:style w:type="paragraph" w:styleId="33">
    <w:name w:val="toc 2"/>
    <w:basedOn w:val="1"/>
    <w:next w:val="1"/>
    <w:qFormat/>
    <w:uiPriority w:val="39"/>
    <w:pPr>
      <w:ind w:left="210"/>
      <w:jc w:val="left"/>
    </w:pPr>
    <w:rPr>
      <w:rFonts w:ascii="Calibri" w:hAnsi="Calibri" w:cs="Calibri"/>
      <w:smallCaps/>
      <w:sz w:val="20"/>
      <w:szCs w:val="20"/>
    </w:rPr>
  </w:style>
  <w:style w:type="paragraph" w:styleId="34">
    <w:name w:val="toc 9"/>
    <w:basedOn w:val="1"/>
    <w:next w:val="1"/>
    <w:qFormat/>
    <w:uiPriority w:val="39"/>
    <w:pPr>
      <w:ind w:left="1680"/>
      <w:jc w:val="left"/>
    </w:pPr>
    <w:rPr>
      <w:rFonts w:ascii="Calibri" w:hAnsi="Calibri" w:cs="Calibri"/>
      <w:sz w:val="18"/>
      <w:szCs w:val="18"/>
    </w:rPr>
  </w:style>
  <w:style w:type="paragraph" w:styleId="35">
    <w:name w:val="Body Text 2"/>
    <w:basedOn w:val="1"/>
    <w:qFormat/>
    <w:uiPriority w:val="0"/>
    <w:rPr>
      <w:sz w:val="28"/>
    </w:rPr>
  </w:style>
  <w:style w:type="paragraph" w:styleId="36">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37">
    <w:name w:val="Title"/>
    <w:basedOn w:val="1"/>
    <w:link w:val="69"/>
    <w:qFormat/>
    <w:uiPriority w:val="0"/>
    <w:pPr>
      <w:adjustRightInd w:val="0"/>
      <w:spacing w:before="240" w:beforeLines="0" w:after="60" w:afterLines="0" w:line="312" w:lineRule="atLeast"/>
      <w:jc w:val="center"/>
      <w:textAlignment w:val="baseline"/>
    </w:pPr>
    <w:rPr>
      <w:rFonts w:ascii="Arial" w:hAnsi="Arial"/>
      <w:b/>
      <w:kern w:val="28"/>
      <w:sz w:val="32"/>
      <w:szCs w:val="20"/>
    </w:rPr>
  </w:style>
  <w:style w:type="paragraph" w:styleId="38">
    <w:name w:val="annotation subject"/>
    <w:basedOn w:val="16"/>
    <w:next w:val="16"/>
    <w:link w:val="70"/>
    <w:qFormat/>
    <w:uiPriority w:val="0"/>
    <w:pPr>
      <w:adjustRightInd/>
      <w:spacing w:line="240" w:lineRule="auto"/>
      <w:textAlignment w:val="auto"/>
    </w:pPr>
    <w:rPr>
      <w:b/>
      <w:bCs/>
      <w:kern w:val="2"/>
      <w:sz w:val="21"/>
      <w:szCs w:val="24"/>
    </w:rPr>
  </w:style>
  <w:style w:type="paragraph" w:styleId="39">
    <w:name w:val="Body Text First Indent 2"/>
    <w:basedOn w:val="18"/>
    <w:qFormat/>
    <w:uiPriority w:val="0"/>
    <w:pPr>
      <w:ind w:firstLine="420" w:firstLineChars="200"/>
    </w:pPr>
    <w:rPr>
      <w:rFonts w:ascii="Arial" w:hAnsi="Arial"/>
      <w:snapToGrid w:val="0"/>
      <w:kern w:val="0"/>
      <w:sz w:val="20"/>
    </w:rPr>
  </w:style>
  <w:style w:type="table" w:styleId="41">
    <w:name w:val="Table Grid"/>
    <w:basedOn w:val="40"/>
    <w:qFormat/>
    <w:uiPriority w:val="3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3">
    <w:name w:val="Char2 Char Char Char1 Char Char Char Char Char Char Char Char1 Char1 Char Char1 Char"/>
    <w:basedOn w:val="1"/>
    <w:link w:val="42"/>
    <w:qFormat/>
    <w:uiPriority w:val="0"/>
    <w:pPr>
      <w:spacing w:line="240" w:lineRule="auto"/>
    </w:pPr>
    <w:rPr>
      <w:rFonts w:ascii="宋体" w:hAnsi="宋体"/>
      <w:kern w:val="0"/>
      <w:szCs w:val="21"/>
    </w:rPr>
  </w:style>
  <w:style w:type="character" w:styleId="44">
    <w:name w:val="Strong"/>
    <w:qFormat/>
    <w:uiPriority w:val="0"/>
    <w:rPr>
      <w:rFonts w:cs="Times New Roman"/>
      <w:b/>
    </w:rPr>
  </w:style>
  <w:style w:type="character" w:styleId="45">
    <w:name w:val="page number"/>
    <w:qFormat/>
    <w:uiPriority w:val="0"/>
  </w:style>
  <w:style w:type="character" w:styleId="46">
    <w:name w:val="FollowedHyperlink"/>
    <w:qFormat/>
    <w:uiPriority w:val="0"/>
    <w:rPr>
      <w:color w:val="333333"/>
      <w:u w:val="none"/>
    </w:rPr>
  </w:style>
  <w:style w:type="character" w:styleId="47">
    <w:name w:val="Emphasis"/>
    <w:qFormat/>
    <w:uiPriority w:val="20"/>
  </w:style>
  <w:style w:type="character" w:styleId="48">
    <w:name w:val="HTML Definition"/>
    <w:unhideWhenUsed/>
    <w:qFormat/>
    <w:uiPriority w:val="99"/>
    <w:rPr>
      <w:i/>
      <w:iCs/>
    </w:rPr>
  </w:style>
  <w:style w:type="character" w:styleId="49">
    <w:name w:val="Hyperlink"/>
    <w:qFormat/>
    <w:uiPriority w:val="99"/>
    <w:rPr>
      <w:color w:val="333333"/>
      <w:u w:val="none"/>
    </w:rPr>
  </w:style>
  <w:style w:type="character" w:styleId="50">
    <w:name w:val="HTML Code"/>
    <w:unhideWhenUsed/>
    <w:qFormat/>
    <w:uiPriority w:val="99"/>
    <w:rPr>
      <w:rFonts w:hint="default" w:ascii="Consolas" w:hAnsi="Consolas" w:eastAsia="Consolas" w:cs="Consolas"/>
      <w:color w:val="C7254E"/>
      <w:sz w:val="21"/>
      <w:szCs w:val="21"/>
      <w:shd w:val="clear" w:color="auto" w:fill="F9F2F4"/>
    </w:rPr>
  </w:style>
  <w:style w:type="character" w:styleId="51">
    <w:name w:val="annotation reference"/>
    <w:qFormat/>
    <w:uiPriority w:val="0"/>
    <w:rPr>
      <w:sz w:val="21"/>
      <w:szCs w:val="21"/>
    </w:rPr>
  </w:style>
  <w:style w:type="character" w:styleId="52">
    <w:name w:val="HTML Keyboard"/>
    <w:unhideWhenUsed/>
    <w:qFormat/>
    <w:uiPriority w:val="99"/>
    <w:rPr>
      <w:rFonts w:hint="default" w:ascii="Consolas" w:hAnsi="Consolas" w:eastAsia="Consolas" w:cs="Consolas"/>
      <w:color w:val="FFFFFF"/>
      <w:sz w:val="21"/>
      <w:szCs w:val="21"/>
      <w:shd w:val="clear" w:color="auto" w:fill="333333"/>
    </w:rPr>
  </w:style>
  <w:style w:type="character" w:styleId="53">
    <w:name w:val="HTML Sample"/>
    <w:unhideWhenUsed/>
    <w:qFormat/>
    <w:uiPriority w:val="99"/>
    <w:rPr>
      <w:rFonts w:ascii="Consolas" w:hAnsi="Consolas" w:eastAsia="Consolas" w:cs="Consolas"/>
      <w:sz w:val="21"/>
      <w:szCs w:val="21"/>
    </w:rPr>
  </w:style>
  <w:style w:type="character" w:customStyle="1" w:styleId="54">
    <w:name w:val="正文文本 字符"/>
    <w:link w:val="2"/>
    <w:qFormat/>
    <w:locked/>
    <w:uiPriority w:val="0"/>
    <w:rPr>
      <w:kern w:val="2"/>
      <w:sz w:val="52"/>
      <w:szCs w:val="24"/>
    </w:rPr>
  </w:style>
  <w:style w:type="character" w:customStyle="1" w:styleId="55">
    <w:name w:val="标题 1 字符"/>
    <w:link w:val="3"/>
    <w:qFormat/>
    <w:locked/>
    <w:uiPriority w:val="0"/>
    <w:rPr>
      <w:b/>
      <w:bCs/>
      <w:kern w:val="44"/>
      <w:sz w:val="44"/>
      <w:szCs w:val="44"/>
    </w:rPr>
  </w:style>
  <w:style w:type="character" w:customStyle="1" w:styleId="56">
    <w:name w:val="标题 2 字符"/>
    <w:link w:val="4"/>
    <w:qFormat/>
    <w:locked/>
    <w:uiPriority w:val="0"/>
    <w:rPr>
      <w:rFonts w:ascii="Arial" w:hAnsi="Arial"/>
      <w:b/>
      <w:bCs/>
      <w:color w:val="FF0000"/>
      <w:kern w:val="2"/>
      <w:sz w:val="28"/>
      <w:szCs w:val="32"/>
    </w:rPr>
  </w:style>
  <w:style w:type="paragraph" w:customStyle="1" w:styleId="57">
    <w:name w:val="标题 60"/>
    <w:basedOn w:val="8"/>
    <w:qFormat/>
    <w:uiPriority w:val="0"/>
    <w:pPr>
      <w:spacing w:line="319" w:lineRule="auto"/>
      <w:ind w:firstLine="200" w:firstLineChars="200"/>
    </w:pPr>
    <w:rPr>
      <w:b w:val="0"/>
      <w:bCs w:val="0"/>
    </w:rPr>
  </w:style>
  <w:style w:type="character" w:customStyle="1" w:styleId="58">
    <w:name w:val="标题 3 字符"/>
    <w:link w:val="5"/>
    <w:qFormat/>
    <w:uiPriority w:val="0"/>
    <w:rPr>
      <w:b/>
      <w:bCs/>
      <w:kern w:val="2"/>
      <w:sz w:val="32"/>
      <w:szCs w:val="32"/>
    </w:rPr>
  </w:style>
  <w:style w:type="character" w:customStyle="1" w:styleId="59">
    <w:name w:val="正文缩进 字符"/>
    <w:link w:val="13"/>
    <w:qFormat/>
    <w:uiPriority w:val="0"/>
  </w:style>
  <w:style w:type="character" w:customStyle="1" w:styleId="60">
    <w:name w:val="标题 4 字符"/>
    <w:link w:val="6"/>
    <w:qFormat/>
    <w:uiPriority w:val="0"/>
    <w:rPr>
      <w:rFonts w:ascii="Arial" w:hAnsi="Arial" w:eastAsia="黑体"/>
      <w:b/>
      <w:bCs/>
      <w:kern w:val="2"/>
      <w:sz w:val="28"/>
      <w:szCs w:val="28"/>
    </w:rPr>
  </w:style>
  <w:style w:type="character" w:customStyle="1" w:styleId="61">
    <w:name w:val="标题 9 字符"/>
    <w:link w:val="11"/>
    <w:qFormat/>
    <w:uiPriority w:val="0"/>
    <w:rPr>
      <w:rFonts w:ascii="Arial" w:hAnsi="Arial" w:eastAsia="黑体"/>
      <w:sz w:val="21"/>
      <w:szCs w:val="21"/>
    </w:rPr>
  </w:style>
  <w:style w:type="character" w:customStyle="1" w:styleId="62">
    <w:name w:val="文档结构图 字符"/>
    <w:link w:val="15"/>
    <w:qFormat/>
    <w:uiPriority w:val="0"/>
    <w:rPr>
      <w:kern w:val="2"/>
      <w:sz w:val="21"/>
      <w:szCs w:val="24"/>
      <w:shd w:val="clear" w:color="auto" w:fill="000080"/>
    </w:rPr>
  </w:style>
  <w:style w:type="character" w:customStyle="1" w:styleId="63">
    <w:name w:val="批注文字 字符1"/>
    <w:link w:val="16"/>
    <w:qFormat/>
    <w:locked/>
    <w:uiPriority w:val="99"/>
    <w:rPr>
      <w:sz w:val="24"/>
    </w:rPr>
  </w:style>
  <w:style w:type="character" w:customStyle="1" w:styleId="64">
    <w:name w:val="正文文本 3 字符"/>
    <w:link w:val="17"/>
    <w:qFormat/>
    <w:uiPriority w:val="0"/>
    <w:rPr>
      <w:kern w:val="2"/>
      <w:sz w:val="24"/>
      <w:szCs w:val="24"/>
    </w:rPr>
  </w:style>
  <w:style w:type="character" w:customStyle="1" w:styleId="65">
    <w:name w:val="纯文本 字符"/>
    <w:link w:val="21"/>
    <w:qFormat/>
    <w:uiPriority w:val="0"/>
    <w:rPr>
      <w:rFonts w:ascii="宋体" w:hAnsi="Courier New"/>
      <w:kern w:val="2"/>
      <w:sz w:val="21"/>
    </w:rPr>
  </w:style>
  <w:style w:type="character" w:customStyle="1" w:styleId="66">
    <w:name w:val="批注框文本 字符"/>
    <w:link w:val="25"/>
    <w:qFormat/>
    <w:locked/>
    <w:uiPriority w:val="0"/>
    <w:rPr>
      <w:kern w:val="2"/>
      <w:sz w:val="18"/>
      <w:szCs w:val="18"/>
    </w:rPr>
  </w:style>
  <w:style w:type="character" w:customStyle="1" w:styleId="67">
    <w:name w:val="页脚 字符"/>
    <w:link w:val="26"/>
    <w:qFormat/>
    <w:uiPriority w:val="99"/>
    <w:rPr>
      <w:kern w:val="2"/>
      <w:sz w:val="18"/>
      <w:szCs w:val="18"/>
    </w:rPr>
  </w:style>
  <w:style w:type="character" w:customStyle="1" w:styleId="68">
    <w:name w:val="页眉 字符"/>
    <w:link w:val="27"/>
    <w:qFormat/>
    <w:locked/>
    <w:uiPriority w:val="99"/>
    <w:rPr>
      <w:kern w:val="2"/>
      <w:sz w:val="18"/>
      <w:szCs w:val="18"/>
    </w:rPr>
  </w:style>
  <w:style w:type="character" w:customStyle="1" w:styleId="69">
    <w:name w:val="标题 字符"/>
    <w:link w:val="37"/>
    <w:qFormat/>
    <w:locked/>
    <w:uiPriority w:val="0"/>
    <w:rPr>
      <w:rFonts w:ascii="Arial" w:hAnsi="Arial"/>
      <w:b/>
      <w:kern w:val="28"/>
      <w:sz w:val="32"/>
    </w:rPr>
  </w:style>
  <w:style w:type="character" w:customStyle="1" w:styleId="70">
    <w:name w:val="批注主题 字符"/>
    <w:link w:val="38"/>
    <w:qFormat/>
    <w:locked/>
    <w:uiPriority w:val="0"/>
    <w:rPr>
      <w:b/>
      <w:bCs/>
      <w:kern w:val="2"/>
      <w:sz w:val="21"/>
      <w:szCs w:val="24"/>
    </w:rPr>
  </w:style>
  <w:style w:type="character" w:customStyle="1" w:styleId="71">
    <w:name w:val="bd-close2"/>
    <w:qFormat/>
    <w:uiPriority w:val="0"/>
    <w:rPr>
      <w:vanish/>
    </w:rPr>
  </w:style>
  <w:style w:type="character" w:customStyle="1" w:styleId="72">
    <w:name w:val="left"/>
    <w:qFormat/>
    <w:uiPriority w:val="0"/>
    <w:rPr>
      <w:color w:val="FF4700"/>
    </w:rPr>
  </w:style>
  <w:style w:type="character" w:customStyle="1" w:styleId="73">
    <w:name w:val="first-child"/>
    <w:qFormat/>
    <w:uiPriority w:val="0"/>
  </w:style>
  <w:style w:type="character" w:customStyle="1" w:styleId="74">
    <w:name w:val="bd-close"/>
    <w:qFormat/>
    <w:uiPriority w:val="0"/>
    <w:rPr>
      <w:vanish/>
    </w:rPr>
  </w:style>
  <w:style w:type="character" w:customStyle="1" w:styleId="75">
    <w:name w:val="left2"/>
    <w:qFormat/>
    <w:uiPriority w:val="0"/>
    <w:rPr>
      <w:color w:val="FF4700"/>
    </w:rPr>
  </w:style>
  <w:style w:type="character" w:customStyle="1" w:styleId="76">
    <w:name w:val="edui-clickable2"/>
    <w:qFormat/>
    <w:uiPriority w:val="0"/>
    <w:rPr>
      <w:color w:val="0000FF"/>
      <w:u w:val="single"/>
    </w:rPr>
  </w:style>
  <w:style w:type="character" w:customStyle="1" w:styleId="77">
    <w:name w:val="Footer Char"/>
    <w:qFormat/>
    <w:locked/>
    <w:uiPriority w:val="0"/>
    <w:rPr>
      <w:rFonts w:ascii="Calibri" w:hAnsi="Calibri" w:eastAsia="宋体"/>
      <w:sz w:val="18"/>
    </w:rPr>
  </w:style>
  <w:style w:type="character" w:customStyle="1" w:styleId="78">
    <w:name w:val="Header Char"/>
    <w:qFormat/>
    <w:locked/>
    <w:uiPriority w:val="0"/>
    <w:rPr>
      <w:rFonts w:ascii="Calibri" w:hAnsi="Calibri" w:eastAsia="宋体"/>
      <w:sz w:val="18"/>
    </w:rPr>
  </w:style>
  <w:style w:type="character" w:customStyle="1" w:styleId="79">
    <w:name w:val="标题2 Char"/>
    <w:link w:val="80"/>
    <w:qFormat/>
    <w:uiPriority w:val="0"/>
    <w:rPr>
      <w:rFonts w:ascii="黑体" w:hAnsi="宋体" w:cs="黑体"/>
      <w:b/>
      <w:bCs/>
      <w:sz w:val="28"/>
      <w:szCs w:val="28"/>
    </w:rPr>
  </w:style>
  <w:style w:type="paragraph" w:customStyle="1" w:styleId="80">
    <w:name w:val="标题2"/>
    <w:basedOn w:val="6"/>
    <w:next w:val="1"/>
    <w:link w:val="79"/>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81">
    <w:name w:val="中文正文、 Char Char"/>
    <w:link w:val="82"/>
    <w:qFormat/>
    <w:uiPriority w:val="0"/>
    <w:rPr>
      <w:kern w:val="2"/>
      <w:sz w:val="21"/>
      <w:szCs w:val="21"/>
    </w:rPr>
  </w:style>
  <w:style w:type="paragraph" w:customStyle="1" w:styleId="82">
    <w:name w:val="中文正文、"/>
    <w:basedOn w:val="1"/>
    <w:link w:val="81"/>
    <w:qFormat/>
    <w:uiPriority w:val="0"/>
    <w:pPr>
      <w:adjustRightInd/>
      <w:spacing w:line="360" w:lineRule="auto"/>
      <w:ind w:firstLine="420" w:firstLineChars="200"/>
    </w:pPr>
    <w:rPr>
      <w:szCs w:val="21"/>
    </w:rPr>
  </w:style>
  <w:style w:type="character" w:customStyle="1" w:styleId="83">
    <w:name w:val="批注主题 Char"/>
    <w:link w:val="84"/>
    <w:qFormat/>
    <w:locked/>
    <w:uiPriority w:val="0"/>
    <w:rPr>
      <w:b/>
      <w:sz w:val="24"/>
    </w:rPr>
  </w:style>
  <w:style w:type="paragraph" w:customStyle="1" w:styleId="84">
    <w:name w:val="批注主题1"/>
    <w:basedOn w:val="16"/>
    <w:next w:val="16"/>
    <w:link w:val="83"/>
    <w:qFormat/>
    <w:uiPriority w:val="0"/>
    <w:pPr>
      <w:adjustRightInd/>
      <w:spacing w:line="240" w:lineRule="auto"/>
      <w:textAlignment w:val="auto"/>
    </w:pPr>
    <w:rPr>
      <w:b/>
    </w:rPr>
  </w:style>
  <w:style w:type="character" w:customStyle="1" w:styleId="85">
    <w:name w:val="16"/>
    <w:qFormat/>
    <w:uiPriority w:val="0"/>
    <w:rPr>
      <w:rFonts w:hint="default" w:ascii="Times New Roman" w:hAnsi="Times New Roman" w:cs="Times New Roman"/>
    </w:rPr>
  </w:style>
  <w:style w:type="character" w:customStyle="1" w:styleId="86">
    <w:name w:val="封面标题 Char"/>
    <w:link w:val="87"/>
    <w:qFormat/>
    <w:uiPriority w:val="0"/>
    <w:rPr>
      <w:rFonts w:ascii="黑体" w:eastAsia="黑体"/>
      <w:sz w:val="52"/>
      <w:szCs w:val="52"/>
    </w:rPr>
  </w:style>
  <w:style w:type="paragraph" w:customStyle="1" w:styleId="87">
    <w:name w:val="封面标题"/>
    <w:basedOn w:val="1"/>
    <w:link w:val="86"/>
    <w:qFormat/>
    <w:uiPriority w:val="0"/>
    <w:pPr>
      <w:spacing w:line="276" w:lineRule="auto"/>
      <w:jc w:val="center"/>
    </w:pPr>
    <w:rPr>
      <w:rFonts w:ascii="黑体" w:eastAsia="黑体"/>
      <w:kern w:val="0"/>
      <w:sz w:val="52"/>
      <w:szCs w:val="52"/>
    </w:rPr>
  </w:style>
  <w:style w:type="character" w:customStyle="1" w:styleId="88">
    <w:name w:val="edui-unclickable"/>
    <w:qFormat/>
    <w:uiPriority w:val="0"/>
    <w:rPr>
      <w:color w:val="808080"/>
    </w:rPr>
  </w:style>
  <w:style w:type="character" w:customStyle="1" w:styleId="89">
    <w:name w:val="15"/>
    <w:qFormat/>
    <w:uiPriority w:val="0"/>
    <w:rPr>
      <w:rFonts w:hint="eastAsia" w:ascii="宋体" w:hAnsi="宋体" w:eastAsia="宋体"/>
      <w:sz w:val="24"/>
      <w:szCs w:val="24"/>
    </w:rPr>
  </w:style>
  <w:style w:type="character" w:customStyle="1" w:styleId="90">
    <w:name w:val="封面副标题 Char"/>
    <w:link w:val="91"/>
    <w:qFormat/>
    <w:uiPriority w:val="0"/>
    <w:rPr>
      <w:rFonts w:ascii="黑体" w:eastAsia="黑体"/>
      <w:sz w:val="28"/>
      <w:szCs w:val="28"/>
    </w:rPr>
  </w:style>
  <w:style w:type="paragraph" w:customStyle="1" w:styleId="91">
    <w:name w:val="封面副标题"/>
    <w:basedOn w:val="1"/>
    <w:link w:val="90"/>
    <w:qFormat/>
    <w:uiPriority w:val="0"/>
    <w:pPr>
      <w:spacing w:line="276" w:lineRule="auto"/>
      <w:ind w:firstLine="199" w:firstLineChars="71"/>
      <w:jc w:val="center"/>
    </w:pPr>
    <w:rPr>
      <w:rFonts w:ascii="黑体" w:eastAsia="黑体"/>
      <w:kern w:val="0"/>
      <w:sz w:val="28"/>
      <w:szCs w:val="28"/>
    </w:rPr>
  </w:style>
  <w:style w:type="character" w:customStyle="1" w:styleId="92">
    <w:name w:val="文档结构图 Char"/>
    <w:link w:val="93"/>
    <w:qFormat/>
    <w:locked/>
    <w:uiPriority w:val="0"/>
    <w:rPr>
      <w:rFonts w:ascii="宋体" w:hAnsi="Calibri"/>
      <w:sz w:val="18"/>
    </w:rPr>
  </w:style>
  <w:style w:type="paragraph" w:customStyle="1" w:styleId="93">
    <w:name w:val="文档结构图1"/>
    <w:basedOn w:val="1"/>
    <w:link w:val="92"/>
    <w:qFormat/>
    <w:uiPriority w:val="0"/>
    <w:rPr>
      <w:rFonts w:ascii="宋体" w:hAnsi="Calibri"/>
      <w:kern w:val="0"/>
      <w:sz w:val="18"/>
      <w:szCs w:val="20"/>
    </w:rPr>
  </w:style>
  <w:style w:type="character" w:customStyle="1" w:styleId="94">
    <w:name w:val="纯文本 Char"/>
    <w:qFormat/>
    <w:locked/>
    <w:uiPriority w:val="0"/>
    <w:rPr>
      <w:rFonts w:ascii="Calibri" w:hAnsi="Calibri" w:cs="Calibri"/>
    </w:rPr>
  </w:style>
  <w:style w:type="character" w:customStyle="1" w:styleId="95">
    <w:name w:val="font31"/>
    <w:qFormat/>
    <w:uiPriority w:val="0"/>
    <w:rPr>
      <w:rFonts w:hint="eastAsia" w:ascii="仿宋" w:hAnsi="仿宋" w:eastAsia="仿宋" w:cs="仿宋"/>
      <w:color w:val="000000"/>
      <w:kern w:val="0"/>
      <w:sz w:val="20"/>
      <w:szCs w:val="20"/>
      <w:u w:val="none"/>
    </w:rPr>
  </w:style>
  <w:style w:type="character" w:customStyle="1" w:styleId="96">
    <w:name w:val="button"/>
    <w:qFormat/>
    <w:uiPriority w:val="0"/>
  </w:style>
  <w:style w:type="character" w:customStyle="1" w:styleId="97">
    <w:name w:val="bd-open"/>
    <w:qFormat/>
    <w:uiPriority w:val="0"/>
  </w:style>
  <w:style w:type="character" w:customStyle="1" w:styleId="98">
    <w:name w:val="tmpztreemove_arrow"/>
    <w:qFormat/>
    <w:uiPriority w:val="0"/>
  </w:style>
  <w:style w:type="character" w:customStyle="1" w:styleId="99">
    <w:name w:val="Comment Text Char"/>
    <w:qFormat/>
    <w:locked/>
    <w:uiPriority w:val="0"/>
    <w:rPr>
      <w:rFonts w:ascii="Times New Roman" w:hAnsi="Times New Roman" w:eastAsia="宋体"/>
      <w:sz w:val="24"/>
    </w:rPr>
  </w:style>
  <w:style w:type="character" w:customStyle="1" w:styleId="100">
    <w:name w:val="A表格文字 Char"/>
    <w:link w:val="101"/>
    <w:qFormat/>
    <w:uiPriority w:val="0"/>
    <w:rPr>
      <w:rFonts w:ascii="宋体" w:hAnsi="宋体"/>
      <w:kern w:val="21"/>
      <w:sz w:val="21"/>
    </w:rPr>
  </w:style>
  <w:style w:type="paragraph" w:customStyle="1" w:styleId="101">
    <w:name w:val="A表格文字"/>
    <w:basedOn w:val="1"/>
    <w:link w:val="100"/>
    <w:qFormat/>
    <w:uiPriority w:val="0"/>
    <w:pPr>
      <w:adjustRightInd w:val="0"/>
      <w:snapToGrid w:val="0"/>
      <w:spacing w:before="40" w:after="40"/>
      <w:jc w:val="left"/>
    </w:pPr>
    <w:rPr>
      <w:rFonts w:ascii="宋体" w:hAnsi="宋体"/>
      <w:kern w:val="21"/>
      <w:szCs w:val="20"/>
    </w:rPr>
  </w:style>
  <w:style w:type="character" w:customStyle="1" w:styleId="102">
    <w:name w:val="layui-layer-tabnow"/>
    <w:qFormat/>
    <w:uiPriority w:val="0"/>
    <w:rPr>
      <w:bdr w:val="single" w:color="CCCCCC" w:sz="6" w:space="0"/>
      <w:shd w:val="clear" w:color="auto" w:fill="FFFFFF"/>
    </w:rPr>
  </w:style>
  <w:style w:type="character" w:customStyle="1" w:styleId="103">
    <w:name w:val="批注文字 Char2"/>
    <w:qFormat/>
    <w:uiPriority w:val="99"/>
    <w:rPr>
      <w:kern w:val="2"/>
      <w:sz w:val="21"/>
    </w:rPr>
  </w:style>
  <w:style w:type="character" w:customStyle="1" w:styleId="104">
    <w:name w:val="bd-open2"/>
    <w:qFormat/>
    <w:uiPriority w:val="0"/>
  </w:style>
  <w:style w:type="character" w:customStyle="1" w:styleId="105">
    <w:name w:val="font51"/>
    <w:qFormat/>
    <w:uiPriority w:val="0"/>
    <w:rPr>
      <w:rFonts w:hint="eastAsia" w:ascii="仿宋" w:hAnsi="仿宋" w:eastAsia="仿宋" w:cs="仿宋"/>
      <w:b/>
      <w:bCs/>
      <w:color w:val="000000"/>
      <w:sz w:val="21"/>
      <w:szCs w:val="21"/>
      <w:u w:val="none"/>
    </w:rPr>
  </w:style>
  <w:style w:type="character" w:customStyle="1" w:styleId="106">
    <w:name w:val="列表段落 字符"/>
    <w:link w:val="107"/>
    <w:qFormat/>
    <w:locked/>
    <w:uiPriority w:val="34"/>
    <w:rPr>
      <w:rFonts w:cs="Calibri"/>
      <w:kern w:val="2"/>
      <w:sz w:val="21"/>
      <w:szCs w:val="24"/>
    </w:rPr>
  </w:style>
  <w:style w:type="paragraph" w:styleId="107">
    <w:name w:val="List Paragraph"/>
    <w:basedOn w:val="1"/>
    <w:link w:val="106"/>
    <w:qFormat/>
    <w:uiPriority w:val="34"/>
    <w:pPr>
      <w:ind w:firstLine="420" w:firstLineChars="200"/>
    </w:pPr>
    <w:rPr>
      <w:rFonts w:ascii="Calibri" w:hAnsi="Calibri" w:cs="Calibri"/>
    </w:rPr>
  </w:style>
  <w:style w:type="character" w:customStyle="1" w:styleId="108">
    <w:name w:val="Title Char"/>
    <w:qFormat/>
    <w:locked/>
    <w:uiPriority w:val="0"/>
    <w:rPr>
      <w:rFonts w:ascii="Cambria" w:hAnsi="Cambria" w:eastAsia="宋体"/>
      <w:b/>
      <w:sz w:val="32"/>
    </w:rPr>
  </w:style>
  <w:style w:type="character" w:customStyle="1" w:styleId="109">
    <w:name w:val="批注文字 Char1"/>
    <w:qFormat/>
    <w:uiPriority w:val="0"/>
    <w:rPr>
      <w:kern w:val="2"/>
      <w:sz w:val="21"/>
    </w:rPr>
  </w:style>
  <w:style w:type="character" w:customStyle="1" w:styleId="110">
    <w:name w:val="彩色列表 - 强调文字颜色 1 Char"/>
    <w:link w:val="111"/>
    <w:qFormat/>
    <w:uiPriority w:val="34"/>
    <w:rPr>
      <w:rFonts w:ascii="Calibri" w:hAnsi="Calibri"/>
      <w:kern w:val="2"/>
      <w:sz w:val="21"/>
      <w:szCs w:val="22"/>
    </w:rPr>
  </w:style>
  <w:style w:type="paragraph" w:customStyle="1" w:styleId="111">
    <w:name w:val="彩色列表 - 强调文字颜色 11"/>
    <w:basedOn w:val="1"/>
    <w:link w:val="110"/>
    <w:qFormat/>
    <w:uiPriority w:val="34"/>
    <w:pPr>
      <w:ind w:firstLine="420" w:firstLineChars="200"/>
    </w:pPr>
    <w:rPr>
      <w:rFonts w:ascii="Calibri" w:hAnsi="Calibri"/>
      <w:szCs w:val="22"/>
    </w:rPr>
  </w:style>
  <w:style w:type="character" w:customStyle="1" w:styleId="112">
    <w:name w:val="列出段落 字符"/>
    <w:qFormat/>
    <w:uiPriority w:val="34"/>
    <w:rPr>
      <w:kern w:val="2"/>
      <w:sz w:val="21"/>
      <w:szCs w:val="24"/>
    </w:rPr>
  </w:style>
  <w:style w:type="character" w:customStyle="1" w:styleId="113">
    <w:name w:val="批注引用1"/>
    <w:qFormat/>
    <w:uiPriority w:val="0"/>
    <w:rPr>
      <w:sz w:val="21"/>
    </w:rPr>
  </w:style>
  <w:style w:type="character" w:customStyle="1" w:styleId="114">
    <w:name w:val="Balloon Text Char"/>
    <w:qFormat/>
    <w:locked/>
    <w:uiPriority w:val="0"/>
    <w:rPr>
      <w:rFonts w:ascii="Calibri" w:hAnsi="Calibri" w:eastAsia="宋体"/>
      <w:sz w:val="18"/>
    </w:rPr>
  </w:style>
  <w:style w:type="character" w:customStyle="1" w:styleId="115">
    <w:name w:val="A表格文字左对齐 Char"/>
    <w:link w:val="116"/>
    <w:qFormat/>
    <w:uiPriority w:val="0"/>
    <w:rPr>
      <w:rFonts w:ascii="宋体" w:hAnsi="宋体"/>
      <w:kern w:val="2"/>
      <w:sz w:val="21"/>
    </w:rPr>
  </w:style>
  <w:style w:type="paragraph" w:customStyle="1" w:styleId="116">
    <w:name w:val="A表格文字左对齐"/>
    <w:basedOn w:val="1"/>
    <w:link w:val="115"/>
    <w:qFormat/>
    <w:uiPriority w:val="0"/>
    <w:pPr>
      <w:adjustRightInd w:val="0"/>
      <w:spacing w:before="40" w:after="4"/>
      <w:jc w:val="left"/>
    </w:pPr>
    <w:rPr>
      <w:rFonts w:ascii="宋体" w:hAnsi="宋体"/>
      <w:szCs w:val="20"/>
    </w:rPr>
  </w:style>
  <w:style w:type="character" w:customStyle="1" w:styleId="117">
    <w:name w:val="font11"/>
    <w:qFormat/>
    <w:uiPriority w:val="0"/>
    <w:rPr>
      <w:rFonts w:hint="eastAsia" w:ascii="仿宋" w:hAnsi="仿宋" w:eastAsia="仿宋" w:cs="仿宋"/>
      <w:color w:val="FF0000"/>
      <w:sz w:val="20"/>
      <w:szCs w:val="20"/>
      <w:u w:val="none"/>
      <w:lang w:val="en-US" w:eastAsia="zh-CN" w:bidi="ar-SA"/>
    </w:rPr>
  </w:style>
  <w:style w:type="character" w:customStyle="1" w:styleId="118">
    <w:name w:val="right"/>
    <w:qFormat/>
    <w:uiPriority w:val="0"/>
  </w:style>
  <w:style w:type="character" w:customStyle="1" w:styleId="119">
    <w:name w:val="批注文字 字符"/>
    <w:qFormat/>
    <w:uiPriority w:val="99"/>
    <w:rPr>
      <w:kern w:val="2"/>
      <w:sz w:val="21"/>
    </w:rPr>
  </w:style>
  <w:style w:type="character" w:customStyle="1" w:styleId="120">
    <w:name w:val="font21"/>
    <w:qFormat/>
    <w:uiPriority w:val="0"/>
    <w:rPr>
      <w:rFonts w:hint="default" w:ascii="仿宋_GB2312" w:hAnsi="宋体" w:eastAsia="仿宋_GB2312" w:cs="仿宋_GB2312"/>
      <w:color w:val="FF0000"/>
      <w:kern w:val="0"/>
      <w:sz w:val="24"/>
      <w:szCs w:val="24"/>
      <w:u w:val="none"/>
    </w:rPr>
  </w:style>
  <w:style w:type="character" w:customStyle="1" w:styleId="121">
    <w:name w:val="日期 Char"/>
    <w:link w:val="122"/>
    <w:qFormat/>
    <w:locked/>
    <w:uiPriority w:val="0"/>
    <w:rPr>
      <w:rFonts w:ascii="Calibri" w:hAnsi="Calibri"/>
    </w:rPr>
  </w:style>
  <w:style w:type="paragraph" w:customStyle="1" w:styleId="122">
    <w:name w:val="日期1"/>
    <w:basedOn w:val="1"/>
    <w:next w:val="1"/>
    <w:link w:val="121"/>
    <w:qFormat/>
    <w:uiPriority w:val="0"/>
    <w:pPr>
      <w:ind w:left="100" w:leftChars="2500"/>
    </w:pPr>
    <w:rPr>
      <w:rFonts w:ascii="Calibri" w:hAnsi="Calibri"/>
      <w:kern w:val="0"/>
      <w:sz w:val="20"/>
      <w:szCs w:val="20"/>
    </w:rPr>
  </w:style>
  <w:style w:type="character" w:customStyle="1" w:styleId="123">
    <w:name w:val="封面合同编号 Char"/>
    <w:link w:val="124"/>
    <w:qFormat/>
    <w:uiPriority w:val="0"/>
    <w:rPr>
      <w:rFonts w:ascii="Calibri" w:hAnsi="Calibri"/>
      <w:kern w:val="2"/>
      <w:sz w:val="21"/>
      <w:szCs w:val="22"/>
    </w:rPr>
  </w:style>
  <w:style w:type="paragraph" w:customStyle="1" w:styleId="124">
    <w:name w:val="封面合同编号"/>
    <w:basedOn w:val="1"/>
    <w:link w:val="123"/>
    <w:qFormat/>
    <w:uiPriority w:val="0"/>
    <w:pPr>
      <w:spacing w:line="276" w:lineRule="auto"/>
      <w:ind w:right="1701"/>
      <w:jc w:val="right"/>
    </w:pPr>
    <w:rPr>
      <w:rFonts w:ascii="Calibri" w:hAnsi="Calibri"/>
      <w:szCs w:val="22"/>
    </w:rPr>
  </w:style>
  <w:style w:type="paragraph" w:customStyle="1" w:styleId="125">
    <w:name w:val="_Style 124"/>
    <w:unhideWhenUsed/>
    <w:qFormat/>
    <w:uiPriority w:val="99"/>
    <w:rPr>
      <w:rFonts w:ascii="Times New Roman" w:hAnsi="Times New Roman" w:eastAsia="宋体" w:cs="Times New Roman"/>
      <w:kern w:val="2"/>
      <w:sz w:val="21"/>
      <w:szCs w:val="24"/>
      <w:lang w:val="en-US" w:eastAsia="zh-CN" w:bidi="ar-SA"/>
    </w:rPr>
  </w:style>
  <w:style w:type="paragraph" w:customStyle="1" w:styleId="126">
    <w:name w:val="1正文"/>
    <w:basedOn w:val="1"/>
    <w:qFormat/>
    <w:uiPriority w:val="0"/>
    <w:pPr>
      <w:spacing w:line="560" w:lineRule="exact"/>
      <w:ind w:firstLine="200" w:firstLineChars="200"/>
    </w:pPr>
    <w:rPr>
      <w:rFonts w:eastAsia="Cambria Math"/>
      <w:sz w:val="32"/>
    </w:rPr>
  </w:style>
  <w:style w:type="paragraph" w:customStyle="1" w:styleId="12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8">
    <w:name w:val="无间隔1"/>
    <w:qFormat/>
    <w:uiPriority w:val="1"/>
    <w:rPr>
      <w:rFonts w:ascii="Times New Roman" w:hAnsi="Times New Roman" w:eastAsia="宋体" w:cs="Times New Roman"/>
      <w:sz w:val="22"/>
      <w:lang w:val="en-US" w:eastAsia="zh-CN" w:bidi="ar-SA"/>
    </w:rPr>
  </w:style>
  <w:style w:type="paragraph" w:customStyle="1" w:styleId="129">
    <w:name w:val="表格正文"/>
    <w:basedOn w:val="1"/>
    <w:qFormat/>
    <w:uiPriority w:val="0"/>
    <w:pPr>
      <w:widowControl/>
      <w:snapToGrid w:val="0"/>
      <w:spacing w:line="300" w:lineRule="auto"/>
      <w:jc w:val="left"/>
    </w:pPr>
    <w:rPr>
      <w:rFonts w:ascii="Calibri" w:hAnsi="Calibri"/>
      <w:sz w:val="24"/>
    </w:rPr>
  </w:style>
  <w:style w:type="paragraph" w:customStyle="1" w:styleId="130">
    <w:name w:val="_Style 129"/>
    <w:basedOn w:val="1"/>
    <w:next w:val="1"/>
    <w:qFormat/>
    <w:uiPriority w:val="0"/>
    <w:pPr>
      <w:pBdr>
        <w:top w:val="single" w:color="auto" w:sz="6" w:space="1"/>
      </w:pBdr>
      <w:jc w:val="center"/>
    </w:pPr>
    <w:rPr>
      <w:rFonts w:ascii="Arial" w:eastAsia="宋体"/>
      <w:vanish/>
      <w:sz w:val="16"/>
    </w:rPr>
  </w:style>
  <w:style w:type="paragraph" w:customStyle="1" w:styleId="131">
    <w:name w:val="text-only"/>
    <w:basedOn w:val="1"/>
    <w:qFormat/>
    <w:uiPriority w:val="0"/>
    <w:pPr>
      <w:pBdr>
        <w:top w:val="none" w:color="auto" w:sz="0" w:space="0"/>
        <w:left w:val="none" w:color="auto" w:sz="0" w:space="0"/>
        <w:bottom w:val="none" w:color="auto" w:sz="0" w:space="0"/>
        <w:right w:val="none" w:color="auto" w:sz="0" w:space="0"/>
      </w:pBdr>
      <w:spacing w:after="300" w:afterAutospacing="0" w:line="420" w:lineRule="atLeast"/>
      <w:jc w:val="left"/>
    </w:pPr>
    <w:rPr>
      <w:kern w:val="0"/>
      <w:lang w:val="en-US" w:eastAsia="zh-CN" w:bidi="ar"/>
    </w:rPr>
  </w:style>
  <w:style w:type="paragraph" w:customStyle="1" w:styleId="132">
    <w:name w:val="Level 2"/>
    <w:basedOn w:val="1"/>
    <w:qFormat/>
    <w:uiPriority w:val="0"/>
    <w:rPr>
      <w:rFonts w:ascii="Calibri" w:hAnsi="Calibri"/>
      <w:szCs w:val="22"/>
    </w:rPr>
  </w:style>
  <w:style w:type="paragraph" w:customStyle="1" w:styleId="133">
    <w:name w:val="列出段落2"/>
    <w:basedOn w:val="1"/>
    <w:qFormat/>
    <w:uiPriority w:val="0"/>
    <w:pPr>
      <w:ind w:firstLine="420" w:firstLineChars="200"/>
    </w:pPr>
    <w:rPr>
      <w:rFonts w:ascii="Calibri" w:hAnsi="Calibri"/>
      <w:szCs w:val="22"/>
    </w:rPr>
  </w:style>
  <w:style w:type="paragraph" w:customStyle="1" w:styleId="134">
    <w:name w:val="样式 标题 1卷标题H1章标题 1 1TITRE1L1 Heading 1h11st levelh111st...3"/>
    <w:basedOn w:val="3"/>
    <w:qFormat/>
    <w:uiPriority w:val="0"/>
    <w:pPr>
      <w:spacing w:before="120" w:after="120" w:line="360" w:lineRule="auto"/>
      <w:jc w:val="center"/>
    </w:pPr>
    <w:rPr>
      <w:rFonts w:ascii="宋体" w:hAnsi="宋体"/>
      <w:sz w:val="36"/>
      <w:szCs w:val="20"/>
    </w:rPr>
  </w:style>
  <w:style w:type="paragraph" w:customStyle="1" w:styleId="135">
    <w:name w:val="样式 样式 首行缩进:  2 字符1 + 首行缩进:  2 字符"/>
    <w:basedOn w:val="136"/>
    <w:qFormat/>
    <w:uiPriority w:val="0"/>
    <w:pPr>
      <w:ind w:firstLine="480"/>
    </w:pPr>
  </w:style>
  <w:style w:type="paragraph" w:customStyle="1" w:styleId="136">
    <w:name w:val="样式 首行缩进:  2 字符1"/>
    <w:basedOn w:val="1"/>
    <w:qFormat/>
    <w:uiPriority w:val="0"/>
    <w:pPr>
      <w:spacing w:after="0" w:line="360" w:lineRule="auto"/>
      <w:ind w:firstLine="200" w:firstLineChars="200"/>
      <w:jc w:val="both"/>
    </w:pPr>
    <w:rPr>
      <w:rFonts w:eastAsia="宋体" w:cs="Times New Roman"/>
      <w:color w:val="auto"/>
      <w:kern w:val="0"/>
      <w:sz w:val="24"/>
      <w:szCs w:val="20"/>
    </w:rPr>
  </w:style>
  <w:style w:type="paragraph" w:customStyle="1" w:styleId="137">
    <w:name w:val="正文文本 32"/>
    <w:basedOn w:val="1"/>
    <w:qFormat/>
    <w:uiPriority w:val="0"/>
    <w:pPr>
      <w:spacing w:line="312" w:lineRule="auto"/>
    </w:pPr>
    <w:rPr>
      <w:rFonts w:ascii="宋体" w:hAnsi="Times New Roman"/>
      <w:sz w:val="24"/>
      <w:szCs w:val="20"/>
    </w:rPr>
  </w:style>
  <w:style w:type="paragraph" w:customStyle="1" w:styleId="138">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39">
    <w:name w:val="Body Text 3"/>
    <w:basedOn w:val="1"/>
    <w:qFormat/>
    <w:uiPriority w:val="0"/>
    <w:rPr>
      <w:rFonts w:ascii="宋体"/>
      <w:sz w:val="24"/>
    </w:rPr>
  </w:style>
  <w:style w:type="paragraph" w:customStyle="1" w:styleId="140">
    <w:name w:val="Level 4"/>
    <w:basedOn w:val="1"/>
    <w:qFormat/>
    <w:uiPriority w:val="0"/>
    <w:pPr>
      <w:tabs>
        <w:tab w:val="left" w:pos="2440"/>
      </w:tabs>
      <w:ind w:left="2041" w:hanging="765"/>
    </w:pPr>
    <w:rPr>
      <w:rFonts w:ascii="Calibri" w:hAnsi="Calibri"/>
      <w:szCs w:val="22"/>
    </w:rPr>
  </w:style>
  <w:style w:type="paragraph" w:customStyle="1" w:styleId="141">
    <w:name w:val="1"/>
    <w:basedOn w:val="1"/>
    <w:next w:val="24"/>
    <w:qFormat/>
    <w:uiPriority w:val="0"/>
    <w:pPr>
      <w:tabs>
        <w:tab w:val="left" w:pos="3060"/>
      </w:tabs>
      <w:spacing w:line="140" w:lineRule="atLeast"/>
      <w:ind w:firstLine="560" w:firstLineChars="200"/>
    </w:pPr>
    <w:rPr>
      <w:sz w:val="28"/>
    </w:rPr>
  </w:style>
  <w:style w:type="paragraph" w:customStyle="1" w:styleId="142">
    <w:name w:val="样式 左侧:  0.74 厘米1"/>
    <w:basedOn w:val="1"/>
    <w:qFormat/>
    <w:uiPriority w:val="0"/>
    <w:pPr>
      <w:widowControl w:val="0"/>
      <w:spacing w:after="0" w:afterLines="0" w:line="240" w:lineRule="auto"/>
      <w:ind w:left="620" w:hanging="200" w:hangingChars="200"/>
      <w:jc w:val="both"/>
    </w:pPr>
    <w:rPr>
      <w:rFonts w:ascii="Times New Roman" w:hAnsi="Times New Roman" w:eastAsia="宋体" w:cs="Times New Roman"/>
      <w:color w:val="auto"/>
      <w:sz w:val="21"/>
      <w:szCs w:val="20"/>
    </w:rPr>
  </w:style>
  <w:style w:type="paragraph" w:customStyle="1" w:styleId="143">
    <w:name w:val="Char1"/>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144">
    <w:name w:val="样式 四号 首行缩进:  1厘米 行距: 1.5 倍行距"/>
    <w:basedOn w:val="1"/>
    <w:qFormat/>
    <w:uiPriority w:val="0"/>
    <w:pPr>
      <w:spacing w:line="360" w:lineRule="auto"/>
      <w:ind w:firstLine="570"/>
    </w:pPr>
    <w:rPr>
      <w:sz w:val="28"/>
      <w:szCs w:val="20"/>
    </w:rPr>
  </w:style>
  <w:style w:type="paragraph" w:customStyle="1" w:styleId="145">
    <w:name w:val="样式 标题 1 + (西文) Times New Roman (中文) 仿宋 小四 黑色 居中 左侧:  0 厘米 ..."/>
    <w:basedOn w:val="3"/>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46">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47">
    <w:name w:val="样式1"/>
    <w:basedOn w:val="1"/>
    <w:qFormat/>
    <w:uiPriority w:val="0"/>
    <w:pPr>
      <w:numPr>
        <w:ilvl w:val="0"/>
        <w:numId w:val="3"/>
      </w:numPr>
      <w:spacing w:line="360" w:lineRule="auto"/>
      <w:ind w:left="1253" w:hanging="680"/>
    </w:pPr>
    <w:rPr>
      <w:sz w:val="28"/>
      <w:szCs w:val="28"/>
    </w:rPr>
  </w:style>
  <w:style w:type="paragraph" w:customStyle="1" w:styleId="148">
    <w:name w:val="Level 1"/>
    <w:basedOn w:val="1"/>
    <w:qFormat/>
    <w:uiPriority w:val="0"/>
    <w:rPr>
      <w:rFonts w:ascii="Calibri" w:hAnsi="Calibri"/>
      <w:szCs w:val="22"/>
    </w:rPr>
  </w:style>
  <w:style w:type="paragraph" w:customStyle="1" w:styleId="149">
    <w:name w:val="p16"/>
    <w:basedOn w:val="1"/>
    <w:qFormat/>
    <w:uiPriority w:val="0"/>
    <w:pPr>
      <w:widowControl/>
    </w:pPr>
    <w:rPr>
      <w:rFonts w:ascii="宋体" w:hAnsi="宋体"/>
      <w:kern w:val="0"/>
      <w:sz w:val="24"/>
      <w:szCs w:val="20"/>
    </w:rPr>
  </w:style>
  <w:style w:type="paragraph" w:customStyle="1" w:styleId="150">
    <w:name w:val="List Paragraph1"/>
    <w:basedOn w:val="1"/>
    <w:qFormat/>
    <w:uiPriority w:val="34"/>
    <w:pPr>
      <w:ind w:firstLine="420" w:firstLineChars="200"/>
    </w:pPr>
  </w:style>
  <w:style w:type="paragraph" w:customStyle="1" w:styleId="151">
    <w:name w:val="正文 A"/>
    <w:qFormat/>
    <w:uiPriority w:val="0"/>
    <w:pPr>
      <w:widowControl w:val="0"/>
      <w:jc w:val="both"/>
    </w:pPr>
    <w:rPr>
      <w:rFonts w:ascii="Times New Roman" w:hAnsi="Times New Roman" w:eastAsia="Arial Unicode MS" w:cs="Arial Unicode MS"/>
      <w:color w:val="000000"/>
      <w:kern w:val="2"/>
      <w:sz w:val="21"/>
      <w:szCs w:val="21"/>
      <w:u w:val="none" w:color="000000"/>
      <w:lang w:val="en-US" w:eastAsia="zh-CN" w:bidi="ar-SA"/>
    </w:rPr>
  </w:style>
  <w:style w:type="paragraph" w:customStyle="1" w:styleId="152">
    <w:name w:val="_Style 1"/>
    <w:basedOn w:val="1"/>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53">
    <w:name w:val="标题4"/>
    <w:basedOn w:val="1"/>
    <w:qFormat/>
    <w:uiPriority w:val="0"/>
    <w:pPr>
      <w:spacing w:before="156" w:beforeLines="50" w:after="156" w:afterLines="50"/>
      <w:jc w:val="left"/>
    </w:pPr>
    <w:rPr>
      <w:rFonts w:eastAsia="黑体"/>
      <w:b/>
      <w:kern w:val="0"/>
      <w:sz w:val="30"/>
    </w:rPr>
  </w:style>
  <w:style w:type="paragraph" w:customStyle="1" w:styleId="154">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55">
    <w:name w:val="列出段落1"/>
    <w:basedOn w:val="1"/>
    <w:qFormat/>
    <w:uiPriority w:val="34"/>
    <w:pPr>
      <w:ind w:firstLine="420" w:firstLineChars="200"/>
    </w:pPr>
    <w:rPr>
      <w:rFonts w:ascii="Calibri" w:hAnsi="Calibri" w:cs="Calibri"/>
      <w:szCs w:val="21"/>
    </w:rPr>
  </w:style>
  <w:style w:type="paragraph" w:customStyle="1" w:styleId="156">
    <w:name w:val="p0"/>
    <w:basedOn w:val="1"/>
    <w:qFormat/>
    <w:uiPriority w:val="0"/>
    <w:pPr>
      <w:widowControl/>
    </w:pPr>
    <w:rPr>
      <w:kern w:val="0"/>
      <w:szCs w:val="21"/>
    </w:rPr>
  </w:style>
  <w:style w:type="paragraph" w:customStyle="1" w:styleId="157">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8">
    <w:name w:val="Char Char Char Char Char Char Char Char Char Char Char Char Char Char Char"/>
    <w:basedOn w:val="1"/>
    <w:qFormat/>
    <w:uiPriority w:val="0"/>
    <w:pPr>
      <w:widowControl/>
      <w:spacing w:after="160" w:afterLines="0" w:line="240" w:lineRule="exact"/>
      <w:jc w:val="left"/>
    </w:pPr>
    <w:rPr>
      <w:szCs w:val="20"/>
    </w:rPr>
  </w:style>
  <w:style w:type="paragraph" w:customStyle="1" w:styleId="159">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60">
    <w:name w:val="_Style 12"/>
    <w:basedOn w:val="1"/>
    <w:next w:val="18"/>
    <w:qFormat/>
    <w:uiPriority w:val="0"/>
    <w:pPr>
      <w:spacing w:line="360" w:lineRule="auto"/>
      <w:ind w:firstLine="540"/>
    </w:pPr>
    <w:rPr>
      <w:sz w:val="28"/>
      <w:szCs w:val="20"/>
    </w:rPr>
  </w:style>
  <w:style w:type="paragraph" w:customStyle="1" w:styleId="161">
    <w:name w:val="_Style 160"/>
    <w:basedOn w:val="1"/>
    <w:next w:val="107"/>
    <w:qFormat/>
    <w:uiPriority w:val="0"/>
    <w:pPr>
      <w:pBdr>
        <w:bottom w:val="single" w:color="auto" w:sz="6" w:space="1"/>
      </w:pBdr>
      <w:jc w:val="center"/>
    </w:pPr>
    <w:rPr>
      <w:rFonts w:ascii="Arial" w:eastAsia="宋体"/>
      <w:vanish/>
      <w:sz w:val="16"/>
    </w:rPr>
  </w:style>
  <w:style w:type="paragraph" w:customStyle="1" w:styleId="162">
    <w:name w:val="Level 5"/>
    <w:basedOn w:val="1"/>
    <w:qFormat/>
    <w:uiPriority w:val="0"/>
    <w:pPr>
      <w:tabs>
        <w:tab w:val="left" w:pos="2552"/>
      </w:tabs>
      <w:ind w:left="2552" w:hanging="567"/>
    </w:pPr>
    <w:rPr>
      <w:rFonts w:ascii="Calibri" w:hAnsi="Calibri"/>
      <w:szCs w:val="22"/>
    </w:rPr>
  </w:style>
  <w:style w:type="paragraph" w:customStyle="1" w:styleId="163">
    <w:name w:val="样式 标题 2 +"/>
    <w:basedOn w:val="4"/>
    <w:qFormat/>
    <w:uiPriority w:val="0"/>
    <w:pPr>
      <w:numPr>
        <w:ilvl w:val="1"/>
        <w:numId w:val="0"/>
      </w:numPr>
      <w:tabs>
        <w:tab w:val="left" w:pos="652"/>
      </w:tabs>
      <w:spacing w:before="260" w:after="260" w:line="416" w:lineRule="auto"/>
      <w:ind w:left="567" w:hanging="567"/>
      <w:jc w:val="both"/>
    </w:pPr>
    <w:rPr>
      <w:rFonts w:eastAsia="黑体"/>
      <w:color w:val="auto"/>
      <w:kern w:val="0"/>
      <w:sz w:val="24"/>
    </w:rPr>
  </w:style>
  <w:style w:type="paragraph" w:customStyle="1" w:styleId="164">
    <w:name w:val="_Style 246"/>
    <w:basedOn w:val="1"/>
    <w:next w:val="150"/>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65">
    <w:name w:val="列出段落11"/>
    <w:basedOn w:val="1"/>
    <w:qFormat/>
    <w:uiPriority w:val="0"/>
    <w:pPr>
      <w:ind w:firstLine="420" w:firstLineChars="200"/>
    </w:pPr>
    <w:rPr>
      <w:rFonts w:ascii="Calibri" w:hAnsi="Calibri"/>
      <w:szCs w:val="22"/>
    </w:rPr>
  </w:style>
  <w:style w:type="paragraph" w:customStyle="1" w:styleId="166">
    <w:name w:val="Char Char Char"/>
    <w:basedOn w:val="1"/>
    <w:qFormat/>
    <w:uiPriority w:val="0"/>
  </w:style>
  <w:style w:type="paragraph" w:customStyle="1" w:styleId="167">
    <w:name w:val="表格首行"/>
    <w:basedOn w:val="1"/>
    <w:qFormat/>
    <w:uiPriority w:val="0"/>
    <w:pPr>
      <w:widowControl/>
      <w:jc w:val="center"/>
    </w:pPr>
    <w:rPr>
      <w:rFonts w:hint="eastAsia" w:ascii="宋体" w:hAnsi="宋体"/>
      <w:sz w:val="24"/>
    </w:rPr>
  </w:style>
  <w:style w:type="paragraph" w:customStyle="1" w:styleId="168">
    <w:name w:val="Level 3"/>
    <w:basedOn w:val="1"/>
    <w:qFormat/>
    <w:uiPriority w:val="0"/>
    <w:pPr>
      <w:tabs>
        <w:tab w:val="left" w:pos="2808"/>
      </w:tabs>
      <w:ind w:left="2808" w:hanging="681"/>
    </w:pPr>
    <w:rPr>
      <w:rFonts w:ascii="Calibri" w:hAnsi="Calibri"/>
      <w:szCs w:val="22"/>
    </w:rPr>
  </w:style>
  <w:style w:type="paragraph" w:customStyle="1" w:styleId="169">
    <w:name w:val="_Style 168"/>
    <w:basedOn w:val="3"/>
    <w:next w:val="1"/>
    <w:qFormat/>
    <w:uiPriority w:val="39"/>
    <w:pPr>
      <w:widowControl/>
      <w:spacing w:before="480" w:after="0" w:line="276" w:lineRule="auto"/>
      <w:jc w:val="left"/>
      <w:outlineLvl w:val="9"/>
    </w:pPr>
    <w:rPr>
      <w:rFonts w:ascii="Cambria" w:hAnsi="Cambria" w:eastAsia="宋体" w:cs="Times New Roman"/>
      <w:color w:val="365F91"/>
      <w:kern w:val="0"/>
      <w:sz w:val="28"/>
      <w:szCs w:val="28"/>
      <w:lang w:val="en-US" w:eastAsia="zh-CN"/>
    </w:rPr>
  </w:style>
  <w:style w:type="paragraph" w:customStyle="1" w:styleId="170">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71">
    <w:name w:val="Char Char Char Char"/>
    <w:basedOn w:val="1"/>
    <w:qFormat/>
    <w:uiPriority w:val="0"/>
    <w:pPr>
      <w:tabs>
        <w:tab w:val="left" w:pos="360"/>
      </w:tabs>
    </w:pPr>
    <w:rPr>
      <w:szCs w:val="20"/>
    </w:rPr>
  </w:style>
  <w:style w:type="paragraph" w:customStyle="1" w:styleId="172">
    <w:name w:val="Heading 2 + 宋体"/>
    <w:basedOn w:val="3"/>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73">
    <w:name w:val="Level 6"/>
    <w:basedOn w:val="1"/>
    <w:qFormat/>
    <w:uiPriority w:val="0"/>
    <w:pPr>
      <w:tabs>
        <w:tab w:val="left" w:pos="3289"/>
      </w:tabs>
      <w:ind w:left="3289" w:hanging="681"/>
    </w:pPr>
    <w:rPr>
      <w:rFonts w:ascii="Calibri" w:hAnsi="Calibri"/>
      <w:szCs w:val="22"/>
    </w:rPr>
  </w:style>
  <w:style w:type="paragraph" w:customStyle="1" w:styleId="174">
    <w:name w:val="正文文本 33"/>
    <w:basedOn w:val="1"/>
    <w:qFormat/>
    <w:uiPriority w:val="0"/>
    <w:rPr>
      <w:rFonts w:ascii="宋体" w:hAnsi="Times New Roman" w:cs="Times New Roman"/>
      <w:sz w:val="24"/>
    </w:rPr>
  </w:style>
  <w:style w:type="character" w:customStyle="1" w:styleId="175">
    <w:name w:val="正文缩进 字符1"/>
    <w:qFormat/>
    <w:uiPriority w:val="0"/>
  </w:style>
  <w:style w:type="paragraph" w:customStyle="1" w:styleId="176">
    <w:name w:val="0正文"/>
    <w:qFormat/>
    <w:uiPriority w:val="0"/>
    <w:pPr>
      <w:widowControl w:val="0"/>
      <w:spacing w:line="360" w:lineRule="auto"/>
      <w:ind w:firstLine="720" w:firstLineChars="200"/>
    </w:pPr>
    <w:rPr>
      <w:rFonts w:ascii="Calibri" w:hAnsi="Calibri" w:eastAsia="宋体" w:cs="Times New Roman"/>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4172</Words>
  <Characters>23781</Characters>
  <Lines>198</Lines>
  <Paragraphs>55</Paragraphs>
  <TotalTime>9</TotalTime>
  <ScaleCrop>false</ScaleCrop>
  <LinksUpToDate>false</LinksUpToDate>
  <CharactersWithSpaces>27898</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2024-08-22T08:50:00Z</dcterms:created>
  <dc:creator>ssz</dc:creator>
  <cp:lastModifiedBy>韩靓</cp:lastModifiedBy>
  <cp:lastPrinted>2018-07-16T11:27:00Z</cp:lastPrinted>
  <dcterms:modified xsi:type="dcterms:W3CDTF">2026-03-12T09:49:39Z</dcterms:modified>
  <dc:title>山西医科大学第一医院住院楼土建施工及安装工程招标文件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D3ACF701D4C8446B82E4D31B6787B113</vt:lpwstr>
  </property>
</Properties>
</file>