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1"/>
        <w:jc w:val="center"/>
        <w:rPr>
          <w:b/>
          <w:sz w:val="32"/>
          <w:szCs w:val="32"/>
        </w:rPr>
      </w:pPr>
      <w:r>
        <w:rPr>
          <w:rFonts w:hint="eastAsia"/>
          <w:b/>
          <w:sz w:val="32"/>
          <w:szCs w:val="32"/>
        </w:rPr>
        <w:t>关于中国人民财产保险股份有限公司</w:t>
      </w:r>
      <w:r>
        <w:rPr>
          <w:rFonts w:hint="eastAsia"/>
          <w:b/>
          <w:sz w:val="32"/>
          <w:szCs w:val="32"/>
          <w:lang w:val="en-US" w:eastAsia="zh-CN"/>
        </w:rPr>
        <w:t>新疆民丰支</w:t>
      </w:r>
      <w:r>
        <w:rPr>
          <w:rFonts w:hint="eastAsia"/>
          <w:b/>
          <w:sz w:val="32"/>
          <w:szCs w:val="32"/>
        </w:rPr>
        <w:t xml:space="preserve">公司食堂食材采购项目供应商征集公告 </w:t>
      </w:r>
    </w:p>
    <w:p>
      <w:pPr>
        <w:pStyle w:val="191"/>
        <w:ind w:firstLine="640"/>
        <w:rPr>
          <w:sz w:val="32"/>
          <w:szCs w:val="32"/>
        </w:rPr>
      </w:pPr>
      <w:r>
        <w:rPr>
          <w:rFonts w:hint="eastAsia"/>
          <w:sz w:val="32"/>
          <w:szCs w:val="32"/>
        </w:rPr>
        <w:t>我公司</w:t>
      </w:r>
      <w:r>
        <w:rPr>
          <w:rFonts w:hint="eastAsia" w:asciiTheme="minorHAnsi"/>
          <w:sz w:val="32"/>
          <w:szCs w:val="32"/>
          <w:lang w:val="en-US" w:eastAsia="zh-CN"/>
        </w:rPr>
        <w:t>食堂食材</w:t>
      </w:r>
      <w:r>
        <w:rPr>
          <w:rFonts w:hint="eastAsia"/>
          <w:sz w:val="32"/>
          <w:szCs w:val="32"/>
        </w:rPr>
        <w:t>采购项目已启动，现征集优秀供应商，征集时间自</w:t>
      </w:r>
      <w:r>
        <w:rPr>
          <w:rFonts w:hint="eastAsia"/>
          <w:sz w:val="32"/>
          <w:szCs w:val="32"/>
          <w:lang w:val="en-US" w:eastAsia="zh-CN"/>
        </w:rPr>
        <w:t>2026</w:t>
      </w:r>
      <w:r>
        <w:rPr>
          <w:rFonts w:hint="eastAsia"/>
          <w:sz w:val="32"/>
          <w:szCs w:val="32"/>
        </w:rPr>
        <w:t>年</w:t>
      </w:r>
      <w:r>
        <w:rPr>
          <w:rFonts w:hint="eastAsia"/>
          <w:sz w:val="32"/>
          <w:szCs w:val="32"/>
          <w:lang w:val="en-US" w:eastAsia="zh-CN"/>
        </w:rPr>
        <w:t>03</w:t>
      </w:r>
      <w:r>
        <w:rPr>
          <w:rFonts w:hint="eastAsia"/>
          <w:sz w:val="32"/>
          <w:szCs w:val="32"/>
        </w:rPr>
        <w:t>月</w:t>
      </w:r>
      <w:r>
        <w:rPr>
          <w:rFonts w:hint="eastAsia"/>
          <w:sz w:val="32"/>
          <w:szCs w:val="32"/>
          <w:lang w:val="en-US" w:eastAsia="zh-CN"/>
        </w:rPr>
        <w:t>13</w:t>
      </w:r>
      <w:r>
        <w:rPr>
          <w:rFonts w:hint="eastAsia"/>
          <w:sz w:val="32"/>
          <w:szCs w:val="32"/>
        </w:rPr>
        <w:t>日</w:t>
      </w:r>
      <w:r>
        <w:rPr>
          <w:rFonts w:hint="eastAsia"/>
          <w:sz w:val="32"/>
          <w:szCs w:val="32"/>
          <w:lang w:val="en-US" w:eastAsia="zh-CN"/>
        </w:rPr>
        <w:t>10</w:t>
      </w:r>
      <w:r>
        <w:rPr>
          <w:rFonts w:hint="eastAsia"/>
          <w:sz w:val="32"/>
          <w:szCs w:val="32"/>
        </w:rPr>
        <w:t>:00截至</w:t>
      </w:r>
      <w:r>
        <w:rPr>
          <w:rFonts w:hint="eastAsia"/>
          <w:sz w:val="32"/>
          <w:szCs w:val="32"/>
          <w:lang w:val="en-US" w:eastAsia="zh-CN"/>
        </w:rPr>
        <w:t>2026</w:t>
      </w:r>
      <w:r>
        <w:rPr>
          <w:rFonts w:hint="eastAsia"/>
          <w:sz w:val="32"/>
          <w:szCs w:val="32"/>
        </w:rPr>
        <w:t>年</w:t>
      </w:r>
      <w:r>
        <w:rPr>
          <w:rFonts w:hint="eastAsia"/>
          <w:sz w:val="32"/>
          <w:szCs w:val="32"/>
          <w:lang w:val="en-US" w:eastAsia="zh-CN"/>
        </w:rPr>
        <w:t>03</w:t>
      </w:r>
      <w:r>
        <w:rPr>
          <w:rFonts w:hint="eastAsia"/>
          <w:sz w:val="32"/>
          <w:szCs w:val="32"/>
        </w:rPr>
        <w:t>月</w:t>
      </w:r>
      <w:r>
        <w:rPr>
          <w:rFonts w:hint="eastAsia"/>
          <w:sz w:val="32"/>
          <w:szCs w:val="32"/>
          <w:lang w:val="en-US" w:eastAsia="zh-CN"/>
        </w:rPr>
        <w:t>15</w:t>
      </w:r>
      <w:r>
        <w:rPr>
          <w:rFonts w:hint="eastAsia"/>
          <w:sz w:val="32"/>
          <w:szCs w:val="32"/>
        </w:rPr>
        <w:t>日</w:t>
      </w:r>
      <w:r>
        <w:rPr>
          <w:rFonts w:hint="eastAsia"/>
          <w:sz w:val="32"/>
          <w:szCs w:val="32"/>
          <w:lang w:val="en-US" w:eastAsia="zh-CN"/>
        </w:rPr>
        <w:t>19</w:t>
      </w:r>
      <w:r>
        <w:rPr>
          <w:rFonts w:hint="eastAsia"/>
          <w:sz w:val="32"/>
          <w:szCs w:val="32"/>
        </w:rPr>
        <w:t>:</w:t>
      </w:r>
      <w:r>
        <w:rPr>
          <w:rFonts w:hint="eastAsia"/>
          <w:sz w:val="32"/>
          <w:szCs w:val="32"/>
          <w:lang w:val="en-US" w:eastAsia="zh-CN"/>
        </w:rPr>
        <w:t>30</w:t>
      </w:r>
      <w:r>
        <w:rPr>
          <w:rFonts w:hint="eastAsia"/>
          <w:sz w:val="32"/>
          <w:szCs w:val="32"/>
        </w:rPr>
        <w:t xml:space="preserve">，欢迎参与。 </w:t>
      </w:r>
    </w:p>
    <w:p>
      <w:pPr>
        <w:pStyle w:val="191"/>
        <w:ind w:firstLine="643"/>
        <w:rPr>
          <w:sz w:val="32"/>
          <w:szCs w:val="32"/>
        </w:rPr>
      </w:pPr>
      <w:r>
        <w:rPr>
          <w:rFonts w:hint="eastAsia"/>
          <w:b/>
          <w:sz w:val="32"/>
          <w:szCs w:val="32"/>
        </w:rPr>
        <w:t>一、采购人：</w:t>
      </w:r>
      <w:r>
        <w:rPr>
          <w:rFonts w:hint="eastAsia"/>
          <w:sz w:val="32"/>
          <w:szCs w:val="32"/>
        </w:rPr>
        <w:t>中国人民财产保险股份有限公司</w:t>
      </w:r>
      <w:r>
        <w:rPr>
          <w:rFonts w:hint="eastAsia"/>
          <w:sz w:val="32"/>
          <w:szCs w:val="32"/>
          <w:lang w:val="en-US" w:eastAsia="zh-CN"/>
        </w:rPr>
        <w:t>和田地区</w:t>
      </w:r>
      <w:r>
        <w:rPr>
          <w:rFonts w:hint="eastAsia"/>
          <w:sz w:val="32"/>
          <w:szCs w:val="32"/>
        </w:rPr>
        <w:t xml:space="preserve">分公司 </w:t>
      </w:r>
    </w:p>
    <w:p>
      <w:pPr>
        <w:pStyle w:val="191"/>
        <w:ind w:firstLine="643"/>
        <w:rPr>
          <w:b/>
          <w:sz w:val="32"/>
          <w:szCs w:val="32"/>
        </w:rPr>
      </w:pPr>
      <w:r>
        <w:rPr>
          <w:rFonts w:hint="eastAsia"/>
          <w:b/>
          <w:sz w:val="32"/>
          <w:szCs w:val="32"/>
        </w:rPr>
        <w:t>二、采购需求</w:t>
      </w:r>
      <w:bookmarkStart w:id="0" w:name="_GoBack"/>
      <w:bookmarkEnd w:id="0"/>
      <w:r>
        <w:rPr>
          <w:rFonts w:hint="eastAsia"/>
          <w:b/>
          <w:sz w:val="32"/>
          <w:szCs w:val="32"/>
        </w:rPr>
        <w:t xml:space="preserve">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本项目选定1家供应商，为我公司提供职工食堂食材配送服务，具体提供蔬菜水果类、米面油、副食品、肉类、乳制品等的采购配送工作。</w:t>
      </w:r>
    </w:p>
    <w:p>
      <w:pPr>
        <w:keepNext w:val="0"/>
        <w:keepLines w:val="0"/>
        <w:pageBreakBefore w:val="0"/>
        <w:widowControl/>
        <w:numPr>
          <w:ilvl w:val="0"/>
          <w:numId w:val="1"/>
        </w:numPr>
        <w:bidi w:val="0"/>
        <w:spacing w:line="600" w:lineRule="exact"/>
        <w:ind w:firstLine="640"/>
        <w:jc w:val="left"/>
        <w:rPr>
          <w:rFonts w:hint="eastAsia" w:ascii="仿宋_GB2312" w:hAnsi="仿宋_GB2312" w:eastAsia="仿宋_GB2312" w:cs="仿宋_GB2312"/>
          <w:sz w:val="32"/>
          <w:szCs w:val="32"/>
          <w:highlight w:val="none"/>
          <w:lang w:val="en-US" w:eastAsia="zh-CN"/>
        </w:rPr>
      </w:pPr>
      <w:r>
        <w:rPr>
          <w:rFonts w:hint="eastAsia" w:ascii="仿宋_GB2312" w:eastAsia="仿宋_GB2312" w:cs="Times New Roman"/>
          <w:kern w:val="2"/>
          <w:sz w:val="32"/>
          <w:szCs w:val="32"/>
          <w:lang w:val="en-US" w:eastAsia="zh-CN" w:bidi="ar-SA"/>
        </w:rPr>
        <w:t>本项目所需</w:t>
      </w:r>
      <w:r>
        <w:rPr>
          <w:rFonts w:hint="eastAsia" w:ascii="仿宋_GB2312" w:hAnsi="Times New Roman" w:eastAsia="仿宋_GB2312" w:cs="Times New Roman"/>
          <w:kern w:val="2"/>
          <w:sz w:val="32"/>
          <w:szCs w:val="32"/>
          <w:lang w:val="en-US" w:eastAsia="zh-CN" w:bidi="ar-SA"/>
        </w:rPr>
        <w:t>蔬菜水果类、米面油、副食品、肉类、乳制品等</w:t>
      </w:r>
      <w:r>
        <w:rPr>
          <w:rFonts w:hint="eastAsia" w:ascii="仿宋_GB2312" w:eastAsia="仿宋_GB2312" w:cs="Times New Roman"/>
          <w:kern w:val="2"/>
          <w:sz w:val="32"/>
          <w:szCs w:val="32"/>
          <w:lang w:val="en-US" w:eastAsia="zh-CN" w:bidi="ar-SA"/>
        </w:rPr>
        <w:t>食堂食材，供应商配送食堂食材</w:t>
      </w:r>
      <w:r>
        <w:rPr>
          <w:rFonts w:hint="eastAsia" w:ascii="仿宋_GB2312" w:hAnsi="仿宋_GB2312" w:eastAsia="仿宋_GB2312" w:cs="仿宋_GB2312"/>
          <w:sz w:val="32"/>
          <w:szCs w:val="32"/>
          <w:highlight w:val="none"/>
          <w:lang w:val="en-US" w:eastAsia="zh-CN"/>
        </w:rPr>
        <w:t>以民丰县菜市场每月零售价为基准给予折扣率，采购方以每月</w:t>
      </w:r>
      <w:r>
        <w:rPr>
          <w:rFonts w:hint="eastAsia" w:ascii="仿宋_GB2312" w:hAnsi="仿宋_GB2312" w:eastAsia="仿宋_GB2312" w:cs="仿宋_GB2312"/>
          <w:sz w:val="32"/>
          <w:szCs w:val="32"/>
          <w:highlight w:val="none"/>
          <w:lang w:eastAsia="zh-CN"/>
        </w:rPr>
        <w:t>实际用量×折扣</w:t>
      </w:r>
      <w:r>
        <w:rPr>
          <w:rFonts w:ascii="仿宋_GB2312" w:hAnsi="仿宋_GB2312" w:eastAsia="仿宋_GB2312" w:cs="仿宋_GB2312"/>
          <w:sz w:val="32"/>
          <w:szCs w:val="32"/>
          <w:highlight w:val="none"/>
        </w:rPr>
        <w:t>率</w:t>
      </w:r>
      <w:r>
        <w:rPr>
          <w:rFonts w:hint="eastAsia" w:ascii="仿宋_GB2312" w:hAnsi="仿宋_GB2312" w:eastAsia="仿宋_GB2312" w:cs="仿宋_GB2312"/>
          <w:sz w:val="32"/>
          <w:szCs w:val="32"/>
          <w:highlight w:val="none"/>
          <w:lang w:eastAsia="zh-CN"/>
        </w:rPr>
        <w:t>进行</w:t>
      </w:r>
      <w:r>
        <w:rPr>
          <w:rFonts w:ascii="仿宋_GB2312" w:hAnsi="仿宋_GB2312" w:eastAsia="仿宋_GB2312" w:cs="仿宋_GB2312"/>
          <w:sz w:val="32"/>
          <w:szCs w:val="32"/>
          <w:highlight w:val="none"/>
        </w:rPr>
        <w:t>结算</w:t>
      </w:r>
      <w:r>
        <w:rPr>
          <w:rFonts w:hint="eastAsia" w:ascii="仿宋_GB2312" w:hAnsi="仿宋_GB2312" w:eastAsia="仿宋_GB2312" w:cs="仿宋_GB2312"/>
          <w:sz w:val="32"/>
          <w:szCs w:val="32"/>
          <w:highlight w:val="none"/>
          <w:lang w:eastAsia="zh-CN"/>
        </w:rPr>
        <w:t>。</w:t>
      </w:r>
      <w:r>
        <w:rPr>
          <w:rFonts w:hint="eastAsia" w:ascii="仿宋_GB2312" w:hAnsi="Times New Roman" w:eastAsia="仿宋_GB2312" w:cs="Times New Roman"/>
          <w:kern w:val="2"/>
          <w:sz w:val="32"/>
          <w:szCs w:val="32"/>
          <w:lang w:val="en-US" w:eastAsia="zh-CN" w:bidi="ar-SA"/>
        </w:rPr>
        <w:t>具体采购内容及质量标准</w:t>
      </w:r>
      <w:r>
        <w:rPr>
          <w:rFonts w:hint="eastAsia" w:ascii="仿宋_GB2312" w:eastAsia="仿宋_GB2312" w:cs="Times New Roman"/>
          <w:kern w:val="2"/>
          <w:sz w:val="32"/>
          <w:szCs w:val="32"/>
          <w:lang w:val="en-US" w:eastAsia="zh-CN" w:bidi="ar-SA"/>
        </w:rPr>
        <w:t>如下</w:t>
      </w:r>
      <w:r>
        <w:rPr>
          <w:rFonts w:hint="eastAsia" w:ascii="仿宋_GB2312" w:hAnsi="Times New Roman" w:eastAsia="仿宋_GB2312" w:cs="Times New Roman"/>
          <w:kern w:val="2"/>
          <w:sz w:val="32"/>
          <w:szCs w:val="32"/>
          <w:lang w:val="en-US" w:eastAsia="zh-CN" w:bidi="ar-SA"/>
        </w:rPr>
        <w:t xml:space="preserve">：   </w:t>
      </w:r>
    </w:p>
    <w:tbl>
      <w:tblPr>
        <w:tblStyle w:val="31"/>
        <w:tblW w:w="9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3240"/>
        <w:gridCol w:w="1095"/>
        <w:gridCol w:w="1425"/>
        <w:gridCol w:w="3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1" w:type="dxa"/>
            <w:vAlign w:val="center"/>
          </w:tcPr>
          <w:p>
            <w:pPr>
              <w:widowControl w:val="0"/>
              <w:spacing w:line="600" w:lineRule="exact"/>
              <w:ind w:left="0" w:leftChars="0" w:firstLine="0" w:firstLineChars="0"/>
              <w:jc w:val="center"/>
              <w:rPr>
                <w:rFonts w:hint="eastAsia" w:ascii="黑体" w:hAnsi="黑体" w:eastAsia="黑体" w:cs="黑体"/>
                <w:b/>
                <w:bCs/>
                <w:kern w:val="2"/>
                <w:sz w:val="28"/>
                <w:szCs w:val="28"/>
                <w:vertAlign w:val="baseline"/>
                <w:lang w:val="en-US" w:eastAsia="zh-CN" w:bidi="ar-SA"/>
              </w:rPr>
            </w:pPr>
            <w:r>
              <w:rPr>
                <w:rFonts w:hint="eastAsia" w:ascii="黑体" w:hAnsi="黑体" w:eastAsia="黑体" w:cs="黑体"/>
                <w:b/>
                <w:bCs/>
                <w:kern w:val="2"/>
                <w:sz w:val="28"/>
                <w:szCs w:val="28"/>
                <w:vertAlign w:val="baseline"/>
                <w:lang w:val="en-US" w:eastAsia="zh-CN" w:bidi="ar-SA"/>
              </w:rPr>
              <w:t>类别</w:t>
            </w:r>
          </w:p>
        </w:tc>
        <w:tc>
          <w:tcPr>
            <w:tcW w:w="3240" w:type="dxa"/>
            <w:vAlign w:val="center"/>
          </w:tcPr>
          <w:p>
            <w:pPr>
              <w:widowControl w:val="0"/>
              <w:spacing w:line="600" w:lineRule="exact"/>
              <w:ind w:left="0" w:leftChars="0" w:firstLine="0" w:firstLineChars="0"/>
              <w:jc w:val="center"/>
              <w:rPr>
                <w:rFonts w:hint="eastAsia" w:ascii="黑体" w:hAnsi="黑体" w:eastAsia="黑体" w:cs="黑体"/>
                <w:b/>
                <w:bCs/>
                <w:kern w:val="2"/>
                <w:sz w:val="28"/>
                <w:szCs w:val="28"/>
                <w:vertAlign w:val="baseline"/>
                <w:lang w:val="en-US" w:eastAsia="zh-CN" w:bidi="ar-SA"/>
              </w:rPr>
            </w:pPr>
            <w:r>
              <w:rPr>
                <w:rFonts w:hint="eastAsia" w:ascii="黑体" w:hAnsi="黑体" w:eastAsia="黑体" w:cs="黑体"/>
                <w:b/>
                <w:bCs/>
                <w:kern w:val="2"/>
                <w:sz w:val="28"/>
                <w:szCs w:val="28"/>
                <w:vertAlign w:val="baseline"/>
                <w:lang w:val="en-US" w:eastAsia="zh-CN" w:bidi="ar-SA"/>
              </w:rPr>
              <w:t>货物</w:t>
            </w:r>
          </w:p>
        </w:tc>
        <w:tc>
          <w:tcPr>
            <w:tcW w:w="1095" w:type="dxa"/>
            <w:vAlign w:val="center"/>
          </w:tcPr>
          <w:p>
            <w:pPr>
              <w:widowControl w:val="0"/>
              <w:spacing w:line="600" w:lineRule="exact"/>
              <w:ind w:left="0" w:leftChars="0" w:firstLine="0" w:firstLineChars="0"/>
              <w:jc w:val="center"/>
              <w:rPr>
                <w:rFonts w:hint="eastAsia" w:ascii="黑体" w:hAnsi="黑体" w:eastAsia="黑体" w:cs="黑体"/>
                <w:b/>
                <w:bCs/>
                <w:kern w:val="2"/>
                <w:sz w:val="28"/>
                <w:szCs w:val="28"/>
                <w:vertAlign w:val="baseline"/>
                <w:lang w:val="en-US" w:eastAsia="zh-CN" w:bidi="ar-SA"/>
              </w:rPr>
            </w:pPr>
            <w:r>
              <w:rPr>
                <w:rFonts w:hint="eastAsia" w:ascii="黑体" w:hAnsi="黑体" w:eastAsia="黑体" w:cs="黑体"/>
                <w:b/>
                <w:bCs/>
                <w:kern w:val="2"/>
                <w:sz w:val="28"/>
                <w:szCs w:val="28"/>
                <w:vertAlign w:val="baseline"/>
                <w:lang w:val="en-US" w:eastAsia="zh-CN" w:bidi="ar-SA"/>
              </w:rPr>
              <w:t>规格</w:t>
            </w:r>
          </w:p>
        </w:tc>
        <w:tc>
          <w:tcPr>
            <w:tcW w:w="1425" w:type="dxa"/>
            <w:vAlign w:val="center"/>
          </w:tcPr>
          <w:p>
            <w:pPr>
              <w:widowControl w:val="0"/>
              <w:spacing w:line="600" w:lineRule="exact"/>
              <w:ind w:left="0" w:leftChars="0" w:firstLine="0" w:firstLineChars="0"/>
              <w:jc w:val="center"/>
              <w:rPr>
                <w:rFonts w:hint="eastAsia" w:ascii="黑体" w:hAnsi="黑体" w:eastAsia="黑体" w:cs="黑体"/>
                <w:b/>
                <w:bCs/>
                <w:kern w:val="2"/>
                <w:sz w:val="28"/>
                <w:szCs w:val="28"/>
                <w:vertAlign w:val="baseline"/>
                <w:lang w:val="en-US" w:eastAsia="zh-CN" w:bidi="ar-SA"/>
              </w:rPr>
            </w:pPr>
            <w:r>
              <w:rPr>
                <w:rFonts w:hint="eastAsia" w:ascii="黑体" w:hAnsi="黑体" w:eastAsia="黑体" w:cs="黑体"/>
                <w:b/>
                <w:bCs/>
                <w:kern w:val="2"/>
                <w:sz w:val="28"/>
                <w:szCs w:val="28"/>
                <w:vertAlign w:val="baseline"/>
                <w:lang w:val="en-US" w:eastAsia="zh-CN" w:bidi="ar-SA"/>
              </w:rPr>
              <w:t>品牌</w:t>
            </w:r>
          </w:p>
        </w:tc>
        <w:tc>
          <w:tcPr>
            <w:tcW w:w="3255" w:type="dxa"/>
            <w:vAlign w:val="center"/>
          </w:tcPr>
          <w:p>
            <w:pPr>
              <w:widowControl w:val="0"/>
              <w:spacing w:line="600" w:lineRule="exact"/>
              <w:ind w:left="0" w:leftChars="0" w:firstLine="0" w:firstLineChars="0"/>
              <w:jc w:val="center"/>
              <w:rPr>
                <w:rFonts w:hint="eastAsia" w:ascii="黑体" w:hAnsi="黑体" w:eastAsia="黑体" w:cs="黑体"/>
                <w:b/>
                <w:bCs/>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81" w:type="dxa"/>
            <w:vAlign w:val="center"/>
          </w:tcPr>
          <w:p>
            <w:pPr>
              <w:widowControl w:val="0"/>
              <w:spacing w:line="600" w:lineRule="exact"/>
              <w:ind w:left="0" w:leftChars="0" w:firstLine="0" w:firstLineChars="0"/>
              <w:jc w:val="both"/>
              <w:rPr>
                <w:rFonts w:hint="eastAsia" w:ascii="黑体" w:hAnsi="黑体" w:eastAsia="黑体" w:cs="黑体"/>
                <w:b w:val="0"/>
                <w:bCs w:val="0"/>
                <w:kern w:val="2"/>
                <w:sz w:val="28"/>
                <w:szCs w:val="28"/>
                <w:vertAlign w:val="baseline"/>
                <w:lang w:val="en-US" w:eastAsia="zh-CN" w:bidi="ar-SA"/>
              </w:rPr>
            </w:pPr>
          </w:p>
          <w:p>
            <w:pPr>
              <w:widowControl w:val="0"/>
              <w:spacing w:line="600" w:lineRule="exact"/>
              <w:ind w:left="0" w:leftChars="0" w:firstLine="0" w:firstLineChars="0"/>
              <w:jc w:val="center"/>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蔬</w:t>
            </w:r>
          </w:p>
          <w:p>
            <w:pPr>
              <w:widowControl w:val="0"/>
              <w:spacing w:line="600" w:lineRule="exact"/>
              <w:ind w:left="0" w:leftChars="0" w:firstLine="0" w:firstLineChars="0"/>
              <w:jc w:val="center"/>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菜</w:t>
            </w:r>
          </w:p>
          <w:p>
            <w:pPr>
              <w:widowControl w:val="0"/>
              <w:spacing w:line="600" w:lineRule="exact"/>
              <w:ind w:left="0" w:leftChars="0" w:firstLine="0" w:firstLineChars="0"/>
              <w:jc w:val="center"/>
              <w:rPr>
                <w:rFonts w:hint="eastAsia" w:ascii="黑体" w:hAnsi="黑体" w:eastAsia="黑体" w:cs="黑体"/>
                <w:b/>
                <w:bCs/>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类</w:t>
            </w:r>
          </w:p>
        </w:tc>
        <w:tc>
          <w:tcPr>
            <w:tcW w:w="3240" w:type="dxa"/>
            <w:vAlign w:val="center"/>
          </w:tcPr>
          <w:p>
            <w:pPr>
              <w:widowControl w:val="0"/>
              <w:spacing w:line="600" w:lineRule="exact"/>
              <w:ind w:left="0" w:leftChars="0" w:firstLine="0" w:firstLineChars="0"/>
              <w:jc w:val="both"/>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kern w:val="2"/>
                <w:sz w:val="28"/>
                <w:szCs w:val="28"/>
                <w:lang w:val="en-US" w:eastAsia="zh-CN" w:bidi="ar-SA"/>
              </w:rPr>
              <w:t>青菜、西红柿、黄瓜、西兰花、土豆、胡萝卜、青椒、茄子、菠菜、生菜、大蒜、皮牙子、蒜薹、油麦菜、韭菜</w:t>
            </w:r>
            <w:r>
              <w:rPr>
                <w:rFonts w:hint="eastAsia" w:ascii="黑体" w:hAnsi="黑体" w:eastAsia="黑体" w:cs="黑体"/>
                <w:b w:val="0"/>
                <w:bCs w:val="0"/>
                <w:kern w:val="2"/>
                <w:sz w:val="28"/>
                <w:szCs w:val="28"/>
                <w:vertAlign w:val="baseline"/>
                <w:lang w:val="en-US" w:eastAsia="zh-CN" w:bidi="ar-SA"/>
              </w:rPr>
              <w:t>、</w:t>
            </w:r>
            <w:r>
              <w:rPr>
                <w:rFonts w:hint="eastAsia" w:ascii="黑体" w:hAnsi="黑体" w:eastAsia="黑体" w:cs="黑体"/>
                <w:kern w:val="2"/>
                <w:sz w:val="28"/>
                <w:szCs w:val="28"/>
                <w:lang w:val="en-US" w:eastAsia="zh-CN" w:bidi="ar-SA"/>
              </w:rPr>
              <w:t>花菜</w:t>
            </w:r>
          </w:p>
        </w:tc>
        <w:tc>
          <w:tcPr>
            <w:tcW w:w="1095"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根据实际需求按公斤购买</w:t>
            </w:r>
          </w:p>
        </w:tc>
        <w:tc>
          <w:tcPr>
            <w:tcW w:w="1425" w:type="dxa"/>
            <w:vAlign w:val="center"/>
          </w:tcPr>
          <w:p>
            <w:pPr>
              <w:widowControl w:val="0"/>
              <w:spacing w:line="600" w:lineRule="exact"/>
              <w:ind w:firstLine="560" w:firstLineChars="200"/>
              <w:jc w:val="center"/>
              <w:rPr>
                <w:rFonts w:hint="eastAsia" w:ascii="黑体" w:hAnsi="黑体" w:eastAsia="黑体" w:cs="黑体"/>
                <w:kern w:val="2"/>
                <w:sz w:val="28"/>
                <w:szCs w:val="28"/>
                <w:lang w:val="en-US" w:eastAsia="zh-CN" w:bidi="ar-SA"/>
              </w:rPr>
            </w:pPr>
          </w:p>
        </w:tc>
        <w:tc>
          <w:tcPr>
            <w:tcW w:w="3255"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0"/>
                <w:sz w:val="28"/>
                <w:szCs w:val="28"/>
                <w:lang w:val="en-US" w:eastAsia="zh-CN" w:bidi="ar-SA"/>
              </w:rPr>
              <w:t>蔬菜类应保证为新鲜、具有良好的色泽和新鲜度、无黄叶、烂叶、病虫害。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jc w:val="center"/>
        </w:trPr>
        <w:tc>
          <w:tcPr>
            <w:tcW w:w="781" w:type="dxa"/>
            <w:vAlign w:val="center"/>
          </w:tcPr>
          <w:p>
            <w:pPr>
              <w:widowControl w:val="0"/>
              <w:spacing w:line="600" w:lineRule="exact"/>
              <w:ind w:left="0" w:leftChars="0" w:firstLine="0" w:firstLineChars="0"/>
              <w:jc w:val="center"/>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豆</w:t>
            </w:r>
          </w:p>
          <w:p>
            <w:pPr>
              <w:widowControl w:val="0"/>
              <w:spacing w:line="600" w:lineRule="exact"/>
              <w:ind w:left="0" w:leftChars="0" w:firstLine="0" w:firstLineChars="0"/>
              <w:jc w:val="center"/>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制</w:t>
            </w:r>
          </w:p>
          <w:p>
            <w:pPr>
              <w:widowControl w:val="0"/>
              <w:spacing w:line="600" w:lineRule="exact"/>
              <w:ind w:left="0" w:leftChars="0" w:firstLine="0" w:firstLineChars="0"/>
              <w:jc w:val="center"/>
              <w:rPr>
                <w:rFonts w:hint="eastAsia" w:ascii="黑体" w:hAnsi="黑体" w:eastAsia="黑体" w:cs="黑体"/>
                <w:b/>
                <w:bCs/>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品</w:t>
            </w:r>
          </w:p>
        </w:tc>
        <w:tc>
          <w:tcPr>
            <w:tcW w:w="3240" w:type="dxa"/>
            <w:vAlign w:val="center"/>
          </w:tcPr>
          <w:p>
            <w:pPr>
              <w:keepNext/>
              <w:keepLines/>
              <w:pageBreakBefore w:val="0"/>
              <w:widowControl w:val="0"/>
              <w:kinsoku/>
              <w:wordWrap/>
              <w:overflowPunct/>
              <w:topLinePunct w:val="0"/>
              <w:autoSpaceDE/>
              <w:autoSpaceDN/>
              <w:bidi w:val="0"/>
              <w:adjustRightInd/>
              <w:snapToGrid/>
              <w:spacing w:line="600" w:lineRule="exact"/>
              <w:ind w:leftChars="0" w:firstLine="0" w:firstLineChars="0"/>
              <w:jc w:val="both"/>
              <w:textAlignment w:val="auto"/>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豆芽、豆腐、豆皮</w:t>
            </w:r>
          </w:p>
        </w:tc>
        <w:tc>
          <w:tcPr>
            <w:tcW w:w="1095"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1公斤</w:t>
            </w:r>
          </w:p>
        </w:tc>
        <w:tc>
          <w:tcPr>
            <w:tcW w:w="1425" w:type="dxa"/>
            <w:vAlign w:val="center"/>
          </w:tcPr>
          <w:p>
            <w:pPr>
              <w:widowControl w:val="0"/>
              <w:spacing w:line="600" w:lineRule="exact"/>
              <w:ind w:firstLine="560" w:firstLineChars="200"/>
              <w:jc w:val="center"/>
              <w:rPr>
                <w:rFonts w:hint="eastAsia" w:ascii="黑体" w:hAnsi="黑体" w:eastAsia="黑体" w:cs="黑体"/>
                <w:kern w:val="2"/>
                <w:sz w:val="28"/>
                <w:szCs w:val="28"/>
                <w:lang w:val="en-US" w:eastAsia="zh-CN" w:bidi="ar-SA"/>
              </w:rPr>
            </w:pPr>
          </w:p>
        </w:tc>
        <w:tc>
          <w:tcPr>
            <w:tcW w:w="3255" w:type="dxa"/>
            <w:vAlign w:val="center"/>
          </w:tcPr>
          <w:p>
            <w:pPr>
              <w:spacing w:line="600" w:lineRule="exact"/>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rPr>
              <w:t>包装标识齐全、日期新鲜</w:t>
            </w:r>
            <w:r>
              <w:rPr>
                <w:rFonts w:hint="eastAsia" w:ascii="黑体" w:hAnsi="黑体" w:eastAsia="黑体" w:cs="黑体"/>
                <w:kern w:val="2"/>
                <w:sz w:val="28"/>
                <w:szCs w:val="28"/>
                <w:lang w:eastAsia="zh-CN"/>
              </w:rPr>
              <w:t>、</w:t>
            </w:r>
            <w:r>
              <w:rPr>
                <w:rFonts w:hint="eastAsia" w:ascii="黑体" w:hAnsi="黑体" w:eastAsia="黑体" w:cs="黑体"/>
                <w:kern w:val="2"/>
                <w:sz w:val="28"/>
                <w:szCs w:val="28"/>
                <w:lang w:val="en-US" w:eastAsia="zh-CN"/>
              </w:rPr>
              <w:t>无</w:t>
            </w:r>
            <w:r>
              <w:rPr>
                <w:rFonts w:hint="eastAsia" w:ascii="黑体" w:hAnsi="黑体" w:eastAsia="黑体" w:cs="黑体"/>
                <w:kern w:val="2"/>
                <w:sz w:val="28"/>
                <w:szCs w:val="28"/>
              </w:rPr>
              <w:t>异味、发黏、出水严重</w:t>
            </w:r>
            <w:r>
              <w:rPr>
                <w:rFonts w:hint="eastAsia" w:ascii="黑体" w:hAnsi="黑体" w:eastAsia="黑体" w:cs="黑体"/>
                <w:kern w:val="2"/>
                <w:sz w:val="28"/>
                <w:szCs w:val="2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5" w:hRule="atLeast"/>
          <w:jc w:val="center"/>
        </w:trPr>
        <w:tc>
          <w:tcPr>
            <w:tcW w:w="781" w:type="dxa"/>
            <w:vAlign w:val="center"/>
          </w:tcPr>
          <w:p>
            <w:pPr>
              <w:widowControl w:val="0"/>
              <w:spacing w:line="600" w:lineRule="exact"/>
              <w:ind w:leftChars="0" w:firstLine="0" w:firstLineChars="0"/>
              <w:jc w:val="center"/>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肉</w:t>
            </w:r>
          </w:p>
          <w:p>
            <w:pPr>
              <w:widowControl w:val="0"/>
              <w:spacing w:line="600" w:lineRule="exact"/>
              <w:ind w:leftChars="0" w:firstLine="0" w:firstLineChars="0"/>
              <w:jc w:val="center"/>
              <w:rPr>
                <w:rFonts w:hint="eastAsia" w:ascii="黑体" w:hAnsi="黑体" w:eastAsia="黑体" w:cs="黑体"/>
                <w:b/>
                <w:bCs/>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类</w:t>
            </w:r>
          </w:p>
        </w:tc>
        <w:tc>
          <w:tcPr>
            <w:tcW w:w="3240"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羊肉、牛肉、鸡肉、鸭肉</w:t>
            </w:r>
          </w:p>
        </w:tc>
        <w:tc>
          <w:tcPr>
            <w:tcW w:w="1095"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根据实际需求按公斤购买</w:t>
            </w:r>
          </w:p>
        </w:tc>
        <w:tc>
          <w:tcPr>
            <w:tcW w:w="1425" w:type="dxa"/>
            <w:vAlign w:val="center"/>
          </w:tcPr>
          <w:p>
            <w:pPr>
              <w:widowControl w:val="0"/>
              <w:spacing w:line="600" w:lineRule="exact"/>
              <w:ind w:firstLine="560" w:firstLineChars="200"/>
              <w:jc w:val="center"/>
              <w:rPr>
                <w:rFonts w:hint="eastAsia" w:ascii="黑体" w:hAnsi="黑体" w:eastAsia="黑体" w:cs="黑体"/>
                <w:kern w:val="2"/>
                <w:sz w:val="28"/>
                <w:szCs w:val="28"/>
                <w:lang w:val="en-US" w:eastAsia="zh-CN" w:bidi="ar-SA"/>
              </w:rPr>
            </w:pPr>
          </w:p>
        </w:tc>
        <w:tc>
          <w:tcPr>
            <w:tcW w:w="3255"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0"/>
                <w:sz w:val="28"/>
                <w:szCs w:val="28"/>
                <w:lang w:val="en-US" w:eastAsia="zh-CN" w:bidi="ar-SA"/>
              </w:rPr>
              <w:t>肉类需为当天屠宰的新鲜肉品（冻肉需符合冷冻储存标准及保质期要求）、无异味、无变质；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1" w:type="dxa"/>
            <w:vAlign w:val="center"/>
          </w:tcPr>
          <w:p>
            <w:pPr>
              <w:widowControl w:val="0"/>
              <w:spacing w:line="600" w:lineRule="exact"/>
              <w:ind w:left="0" w:leftChars="0" w:firstLine="0" w:firstLineChars="0"/>
              <w:jc w:val="center"/>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鱼</w:t>
            </w:r>
          </w:p>
          <w:p>
            <w:pPr>
              <w:widowControl w:val="0"/>
              <w:spacing w:line="600" w:lineRule="exact"/>
              <w:ind w:left="0" w:leftChars="0" w:firstLine="0" w:firstLineChars="0"/>
              <w:jc w:val="center"/>
              <w:rPr>
                <w:rFonts w:hint="eastAsia" w:ascii="黑体" w:hAnsi="黑体" w:eastAsia="黑体" w:cs="黑体"/>
                <w:b/>
                <w:bCs/>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类</w:t>
            </w:r>
          </w:p>
        </w:tc>
        <w:tc>
          <w:tcPr>
            <w:tcW w:w="3240"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草鱼、鲫鱼</w:t>
            </w:r>
          </w:p>
        </w:tc>
        <w:tc>
          <w:tcPr>
            <w:tcW w:w="1095"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根据实际需求按公斤购买</w:t>
            </w:r>
          </w:p>
        </w:tc>
        <w:tc>
          <w:tcPr>
            <w:tcW w:w="1425" w:type="dxa"/>
            <w:vAlign w:val="center"/>
          </w:tcPr>
          <w:p>
            <w:pPr>
              <w:widowControl w:val="0"/>
              <w:spacing w:line="600" w:lineRule="exact"/>
              <w:ind w:firstLine="560" w:firstLineChars="200"/>
              <w:jc w:val="center"/>
              <w:rPr>
                <w:rFonts w:hint="eastAsia" w:ascii="黑体" w:hAnsi="黑体" w:eastAsia="黑体" w:cs="黑体"/>
                <w:kern w:val="2"/>
                <w:sz w:val="28"/>
                <w:szCs w:val="28"/>
                <w:lang w:val="en-US" w:eastAsia="zh-CN" w:bidi="ar-SA"/>
              </w:rPr>
            </w:pPr>
          </w:p>
        </w:tc>
        <w:tc>
          <w:tcPr>
            <w:tcW w:w="3255"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0"/>
                <w:sz w:val="28"/>
                <w:szCs w:val="28"/>
                <w:lang w:val="en-US" w:eastAsia="zh-CN" w:bidi="ar-SA"/>
              </w:rPr>
              <w:t>新鲜、无异味、无变质；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1" w:type="dxa"/>
            <w:vMerge w:val="restart"/>
            <w:vAlign w:val="center"/>
          </w:tcPr>
          <w:p>
            <w:pPr>
              <w:widowControl w:val="0"/>
              <w:spacing w:line="600" w:lineRule="exact"/>
              <w:ind w:leftChars="0" w:firstLine="0" w:firstLineChars="0"/>
              <w:jc w:val="center"/>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米</w:t>
            </w:r>
          </w:p>
          <w:p>
            <w:pPr>
              <w:widowControl w:val="0"/>
              <w:spacing w:line="600" w:lineRule="exact"/>
              <w:ind w:leftChars="0" w:firstLine="0" w:firstLineChars="0"/>
              <w:jc w:val="center"/>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面</w:t>
            </w:r>
          </w:p>
          <w:p>
            <w:pPr>
              <w:widowControl w:val="0"/>
              <w:spacing w:line="600" w:lineRule="exact"/>
              <w:ind w:leftChars="0" w:firstLine="0" w:firstLineChars="0"/>
              <w:jc w:val="center"/>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油</w:t>
            </w:r>
          </w:p>
          <w:p>
            <w:pPr>
              <w:widowControl w:val="0"/>
              <w:spacing w:line="600" w:lineRule="exact"/>
              <w:ind w:leftChars="0" w:firstLine="0" w:firstLineChars="0"/>
              <w:jc w:val="center"/>
              <w:rPr>
                <w:rFonts w:hint="eastAsia" w:ascii="黑体" w:hAnsi="黑体" w:eastAsia="黑体" w:cs="黑体"/>
                <w:b/>
                <w:bCs/>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类</w:t>
            </w:r>
          </w:p>
        </w:tc>
        <w:tc>
          <w:tcPr>
            <w:tcW w:w="3240"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面粉</w:t>
            </w:r>
          </w:p>
        </w:tc>
        <w:tc>
          <w:tcPr>
            <w:tcW w:w="1095"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15公斤</w:t>
            </w:r>
          </w:p>
        </w:tc>
        <w:tc>
          <w:tcPr>
            <w:tcW w:w="1425" w:type="dxa"/>
            <w:vAlign w:val="center"/>
          </w:tcPr>
          <w:p>
            <w:pPr>
              <w:widowControl w:val="0"/>
              <w:spacing w:line="600" w:lineRule="exact"/>
              <w:ind w:left="0" w:leftChars="0" w:firstLine="0" w:firstLineChars="0"/>
              <w:jc w:val="center"/>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天山、金西域、帅奇、金沙河、香雪、古船</w:t>
            </w:r>
          </w:p>
        </w:tc>
        <w:tc>
          <w:tcPr>
            <w:tcW w:w="3255" w:type="dxa"/>
            <w:vMerge w:val="restart"/>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需分别符合对应国标（大米GB/T 1354、通用面粉GB/T 1355、食用油GB 2716）、无异味无变质、安全指标达标、商品外包装完好、标明品名、厂名、重量、生产日期、保质期、剩余保质期不少于80%。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781" w:type="dxa"/>
            <w:vMerge w:val="continue"/>
            <w:vAlign w:val="center"/>
          </w:tcPr>
          <w:p>
            <w:pPr>
              <w:widowControl w:val="0"/>
              <w:spacing w:line="600" w:lineRule="exact"/>
              <w:ind w:firstLine="562" w:firstLineChars="200"/>
              <w:jc w:val="center"/>
              <w:rPr>
                <w:rFonts w:hint="eastAsia" w:ascii="黑体" w:hAnsi="黑体" w:eastAsia="黑体" w:cs="黑体"/>
                <w:b/>
                <w:bCs/>
                <w:kern w:val="2"/>
                <w:sz w:val="28"/>
                <w:szCs w:val="28"/>
                <w:vertAlign w:val="baseline"/>
                <w:lang w:val="en-US" w:eastAsia="zh-CN" w:bidi="ar-SA"/>
              </w:rPr>
            </w:pPr>
          </w:p>
        </w:tc>
        <w:tc>
          <w:tcPr>
            <w:tcW w:w="3240"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大米</w:t>
            </w:r>
          </w:p>
        </w:tc>
        <w:tc>
          <w:tcPr>
            <w:tcW w:w="1095"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25公斤</w:t>
            </w:r>
          </w:p>
        </w:tc>
        <w:tc>
          <w:tcPr>
            <w:tcW w:w="1425" w:type="dxa"/>
            <w:vAlign w:val="center"/>
          </w:tcPr>
          <w:p>
            <w:pPr>
              <w:widowControl w:val="0"/>
              <w:spacing w:line="600" w:lineRule="exact"/>
              <w:ind w:left="0" w:leftChars="0" w:firstLine="0" w:firstLineChars="0"/>
              <w:jc w:val="center"/>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金龙鱼、福临门、十月稻田</w:t>
            </w:r>
          </w:p>
        </w:tc>
        <w:tc>
          <w:tcPr>
            <w:tcW w:w="3255" w:type="dxa"/>
            <w:vMerge w:val="continue"/>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0" w:hRule="atLeast"/>
          <w:jc w:val="center"/>
        </w:trPr>
        <w:tc>
          <w:tcPr>
            <w:tcW w:w="781" w:type="dxa"/>
            <w:vMerge w:val="continue"/>
            <w:vAlign w:val="center"/>
          </w:tcPr>
          <w:p>
            <w:pPr>
              <w:widowControl w:val="0"/>
              <w:spacing w:line="600" w:lineRule="exact"/>
              <w:ind w:firstLine="562" w:firstLineChars="200"/>
              <w:jc w:val="center"/>
              <w:rPr>
                <w:rFonts w:hint="eastAsia" w:ascii="黑体" w:hAnsi="黑体" w:eastAsia="黑体" w:cs="黑体"/>
                <w:b/>
                <w:bCs/>
                <w:kern w:val="2"/>
                <w:sz w:val="28"/>
                <w:szCs w:val="28"/>
                <w:vertAlign w:val="baseline"/>
                <w:lang w:val="en-US" w:eastAsia="zh-CN" w:bidi="ar-SA"/>
              </w:rPr>
            </w:pPr>
          </w:p>
        </w:tc>
        <w:tc>
          <w:tcPr>
            <w:tcW w:w="3240"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蔡花籽油、大豆油、玉米油</w:t>
            </w:r>
          </w:p>
        </w:tc>
        <w:tc>
          <w:tcPr>
            <w:tcW w:w="1095"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10升</w:t>
            </w:r>
          </w:p>
        </w:tc>
        <w:tc>
          <w:tcPr>
            <w:tcW w:w="1425" w:type="dxa"/>
            <w:vAlign w:val="center"/>
          </w:tcPr>
          <w:p>
            <w:pPr>
              <w:widowControl w:val="0"/>
              <w:spacing w:line="600" w:lineRule="exact"/>
              <w:ind w:left="0" w:leftChars="0" w:firstLine="0" w:firstLineChars="0"/>
              <w:jc w:val="center"/>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金龙鱼、鲁花、福临门、长寿花</w:t>
            </w:r>
          </w:p>
        </w:tc>
        <w:tc>
          <w:tcPr>
            <w:tcW w:w="3255" w:type="dxa"/>
            <w:vMerge w:val="continue"/>
            <w:vAlign w:val="center"/>
          </w:tcPr>
          <w:p>
            <w:pPr>
              <w:widowControl w:val="0"/>
              <w:spacing w:line="600" w:lineRule="exact"/>
              <w:ind w:firstLine="560" w:firstLineChars="200"/>
              <w:jc w:val="both"/>
              <w:rPr>
                <w:rFonts w:hint="eastAsia" w:ascii="黑体" w:hAnsi="黑体" w:eastAsia="黑体" w:cs="黑体"/>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1" w:type="dxa"/>
            <w:vAlign w:val="center"/>
          </w:tcPr>
          <w:p>
            <w:pPr>
              <w:widowControl w:val="0"/>
              <w:spacing w:line="600" w:lineRule="exact"/>
              <w:ind w:left="0" w:leftChars="0" w:firstLine="0" w:firstLineChars="0"/>
              <w:jc w:val="center"/>
              <w:rPr>
                <w:rFonts w:hint="eastAsia" w:ascii="黑体" w:hAnsi="黑体" w:eastAsia="黑体" w:cs="黑体"/>
                <w:b/>
                <w:bCs/>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蛋类</w:t>
            </w:r>
          </w:p>
        </w:tc>
        <w:tc>
          <w:tcPr>
            <w:tcW w:w="3240"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鸡蛋</w:t>
            </w:r>
          </w:p>
        </w:tc>
        <w:tc>
          <w:tcPr>
            <w:tcW w:w="1095"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vertAlign w:val="baseline"/>
                <w:lang w:val="en-US" w:eastAsia="zh-CN" w:bidi="ar-SA"/>
              </w:rPr>
              <w:t>根据实际需求按盘子购买</w:t>
            </w:r>
          </w:p>
        </w:tc>
        <w:tc>
          <w:tcPr>
            <w:tcW w:w="1425" w:type="dxa"/>
            <w:vAlign w:val="center"/>
          </w:tcPr>
          <w:p>
            <w:pPr>
              <w:widowControl w:val="0"/>
              <w:spacing w:line="600" w:lineRule="exact"/>
              <w:ind w:firstLine="560" w:firstLineChars="200"/>
              <w:jc w:val="center"/>
              <w:rPr>
                <w:rFonts w:hint="eastAsia" w:ascii="黑体" w:hAnsi="黑体" w:eastAsia="黑体" w:cs="黑体"/>
                <w:kern w:val="2"/>
                <w:sz w:val="28"/>
                <w:szCs w:val="28"/>
                <w:lang w:val="en-US" w:eastAsia="zh-CN" w:bidi="ar-SA"/>
              </w:rPr>
            </w:pPr>
          </w:p>
        </w:tc>
        <w:tc>
          <w:tcPr>
            <w:tcW w:w="3255"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vertAlign w:val="baseline"/>
                <w:lang w:val="en-US" w:eastAsia="zh-CN" w:bidi="ar-SA"/>
              </w:rPr>
              <w:t>蛋壳完整洁净无裂纹、无异味、蛋白浓稠有弹性、蛋黄呈自然色泽且不溃散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5" w:hRule="atLeast"/>
          <w:jc w:val="center"/>
        </w:trPr>
        <w:tc>
          <w:tcPr>
            <w:tcW w:w="781" w:type="dxa"/>
            <w:vAlign w:val="center"/>
          </w:tcPr>
          <w:p>
            <w:pPr>
              <w:widowControl w:val="0"/>
              <w:spacing w:line="600" w:lineRule="exact"/>
              <w:ind w:leftChars="0" w:firstLine="0" w:firstLineChars="0"/>
              <w:jc w:val="center"/>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调</w:t>
            </w:r>
          </w:p>
          <w:p>
            <w:pPr>
              <w:widowControl w:val="0"/>
              <w:spacing w:line="600" w:lineRule="exact"/>
              <w:ind w:leftChars="0" w:firstLine="0" w:firstLineChars="0"/>
              <w:jc w:val="center"/>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味</w:t>
            </w:r>
          </w:p>
          <w:p>
            <w:pPr>
              <w:widowControl w:val="0"/>
              <w:spacing w:line="600" w:lineRule="exact"/>
              <w:ind w:leftChars="0" w:firstLine="0" w:firstLineChars="0"/>
              <w:jc w:val="center"/>
              <w:rPr>
                <w:rFonts w:hint="eastAsia" w:ascii="黑体" w:hAnsi="黑体" w:eastAsia="黑体" w:cs="黑体"/>
                <w:b/>
                <w:bCs/>
                <w:kern w:val="2"/>
                <w:sz w:val="28"/>
                <w:szCs w:val="28"/>
                <w:vertAlign w:val="baseline"/>
                <w:lang w:val="en-US" w:eastAsia="zh-CN" w:bidi="ar-SA"/>
              </w:rPr>
            </w:pPr>
            <w:r>
              <w:rPr>
                <w:rFonts w:hint="eastAsia" w:ascii="黑体" w:hAnsi="黑体" w:eastAsia="黑体" w:cs="黑体"/>
                <w:b w:val="0"/>
                <w:bCs w:val="0"/>
                <w:kern w:val="2"/>
                <w:sz w:val="28"/>
                <w:szCs w:val="28"/>
                <w:vertAlign w:val="baseline"/>
                <w:lang w:val="en-US" w:eastAsia="zh-CN" w:bidi="ar-SA"/>
              </w:rPr>
              <w:t>品</w:t>
            </w:r>
          </w:p>
        </w:tc>
        <w:tc>
          <w:tcPr>
            <w:tcW w:w="3240"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食盐、生抽、老抽、陈醋、酱油、味极、料酒、米醋、耗油、香油,花椒油,鸡精,味精,十三香,冰糖,香叶,八角,桂皮,花椒,孜然粉,辣椒面、豆瓣酱、辣椒酱、番茄酱</w:t>
            </w:r>
          </w:p>
        </w:tc>
        <w:tc>
          <w:tcPr>
            <w:tcW w:w="1095" w:type="dxa"/>
            <w:vAlign w:val="center"/>
          </w:tcPr>
          <w:p>
            <w:pPr>
              <w:numPr>
                <w:ilvl w:val="0"/>
                <w:numId w:val="0"/>
              </w:numPr>
              <w:spacing w:line="600" w:lineRule="exact"/>
              <w:jc w:val="both"/>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瓶装液体类500ml、食盐500g、其他袋装类200g、罐装类500g</w:t>
            </w:r>
          </w:p>
          <w:p>
            <w:pPr>
              <w:widowControl w:val="0"/>
              <w:spacing w:line="600" w:lineRule="exact"/>
              <w:ind w:firstLine="560" w:firstLineChars="200"/>
              <w:jc w:val="both"/>
              <w:rPr>
                <w:rFonts w:hint="eastAsia" w:ascii="黑体" w:hAnsi="黑体" w:eastAsia="黑体" w:cs="黑体"/>
                <w:kern w:val="2"/>
                <w:sz w:val="28"/>
                <w:szCs w:val="28"/>
                <w:lang w:val="en-US" w:eastAsia="zh-CN" w:bidi="ar-SA"/>
              </w:rPr>
            </w:pPr>
          </w:p>
        </w:tc>
        <w:tc>
          <w:tcPr>
            <w:tcW w:w="1425" w:type="dxa"/>
            <w:vAlign w:val="center"/>
          </w:tcPr>
          <w:p>
            <w:pPr>
              <w:widowControl w:val="0"/>
              <w:spacing w:line="600" w:lineRule="exact"/>
              <w:ind w:left="0" w:leftChars="0" w:firstLine="0" w:firstLineChars="0"/>
              <w:jc w:val="center"/>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中盐、海天、金龙鱼、太太乐、莲花、王守義、单晶、川珍</w:t>
            </w:r>
          </w:p>
        </w:tc>
        <w:tc>
          <w:tcPr>
            <w:tcW w:w="3255"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vertAlign w:val="baseline"/>
                <w:lang w:val="en-US" w:eastAsia="zh-CN" w:bidi="ar-SA"/>
              </w:rPr>
              <w:t>商品需符合食品安全国标、外包装完好、标明品名、厂名、重量、生产日期、保质期、剩余保质期不少于80%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5" w:hRule="atLeast"/>
          <w:jc w:val="center"/>
        </w:trPr>
        <w:tc>
          <w:tcPr>
            <w:tcW w:w="781" w:type="dxa"/>
            <w:vAlign w:val="center"/>
          </w:tcPr>
          <w:p>
            <w:pPr>
              <w:widowControl w:val="0"/>
              <w:spacing w:line="600" w:lineRule="exact"/>
              <w:ind w:leftChars="0" w:firstLine="0" w:firstLineChars="0"/>
              <w:jc w:val="center"/>
              <w:rPr>
                <w:rFonts w:hint="eastAsia" w:ascii="黑体" w:hAnsi="黑体" w:eastAsia="黑体" w:cs="黑体"/>
                <w:b w:val="0"/>
                <w:bCs w:val="0"/>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干货食材</w:t>
            </w:r>
          </w:p>
        </w:tc>
        <w:tc>
          <w:tcPr>
            <w:tcW w:w="3240"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vertAlign w:val="baseline"/>
                <w:lang w:val="en-US" w:eastAsia="zh-CN" w:bidi="ar-SA"/>
              </w:rPr>
              <w:t>香菇、虾皮、粉条、海带、木耳、腐竹、粉丝、银耳、紫菜</w:t>
            </w:r>
          </w:p>
        </w:tc>
        <w:tc>
          <w:tcPr>
            <w:tcW w:w="1095" w:type="dxa"/>
            <w:vAlign w:val="center"/>
          </w:tcPr>
          <w:p>
            <w:pPr>
              <w:widowControl w:val="0"/>
              <w:spacing w:line="600" w:lineRule="exact"/>
              <w:ind w:left="0" w:leftChars="0" w:firstLine="0" w:firstLineChars="0"/>
              <w:jc w:val="both"/>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vertAlign w:val="baseline"/>
                <w:lang w:val="en-US" w:eastAsia="zh-CN" w:bidi="ar-SA"/>
              </w:rPr>
              <w:t>根据实际需求按公斤采购</w:t>
            </w:r>
          </w:p>
        </w:tc>
        <w:tc>
          <w:tcPr>
            <w:tcW w:w="1425" w:type="dxa"/>
            <w:vAlign w:val="center"/>
          </w:tcPr>
          <w:p>
            <w:pPr>
              <w:widowControl w:val="0"/>
              <w:spacing w:line="600" w:lineRule="exact"/>
              <w:ind w:left="0" w:leftChars="0" w:firstLine="0" w:firstLineChars="0"/>
              <w:jc w:val="center"/>
              <w:rPr>
                <w:rFonts w:hint="eastAsia" w:ascii="黑体" w:hAnsi="黑体" w:eastAsia="黑体" w:cs="黑体"/>
                <w:kern w:val="2"/>
                <w:sz w:val="28"/>
                <w:szCs w:val="28"/>
                <w:lang w:val="en-US" w:eastAsia="zh-CN" w:bidi="ar-SA"/>
              </w:rPr>
            </w:pPr>
          </w:p>
        </w:tc>
        <w:tc>
          <w:tcPr>
            <w:tcW w:w="3255" w:type="dxa"/>
            <w:vAlign w:val="center"/>
          </w:tcPr>
          <w:p>
            <w:pPr>
              <w:widowControl w:val="0"/>
              <w:spacing w:line="600" w:lineRule="exact"/>
              <w:ind w:left="0" w:leftChars="0" w:firstLine="0" w:firstLineChars="0"/>
              <w:jc w:val="both"/>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包装需密封完好无破损、无漏料、无受潮鼓包、材质符合食品接触安全标准。标明品名、厂名、重量、生产日期、保质期、剩余保质期不少于80%。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5" w:hRule="atLeast"/>
          <w:jc w:val="center"/>
        </w:trPr>
        <w:tc>
          <w:tcPr>
            <w:tcW w:w="781" w:type="dxa"/>
            <w:vAlign w:val="center"/>
          </w:tcPr>
          <w:p>
            <w:pPr>
              <w:widowControl w:val="0"/>
              <w:spacing w:line="600" w:lineRule="exact"/>
              <w:ind w:leftChars="0" w:firstLine="0" w:firstLineChars="0"/>
              <w:jc w:val="center"/>
              <w:rPr>
                <w:rFonts w:hint="default"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奶制品</w:t>
            </w:r>
          </w:p>
        </w:tc>
        <w:tc>
          <w:tcPr>
            <w:tcW w:w="3240" w:type="dxa"/>
            <w:vAlign w:val="center"/>
          </w:tcPr>
          <w:p>
            <w:pPr>
              <w:widowControl w:val="0"/>
              <w:spacing w:line="600" w:lineRule="exact"/>
              <w:ind w:left="0" w:leftChars="0" w:firstLine="0" w:firstLineChars="0"/>
              <w:jc w:val="both"/>
              <w:rPr>
                <w:rFonts w:hint="default"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发酵乳，奶酪，乳粉，炼乳，奶油</w:t>
            </w:r>
          </w:p>
        </w:tc>
        <w:tc>
          <w:tcPr>
            <w:tcW w:w="1095" w:type="dxa"/>
            <w:vAlign w:val="center"/>
          </w:tcPr>
          <w:p>
            <w:pPr>
              <w:widowControl w:val="0"/>
              <w:spacing w:line="600" w:lineRule="exact"/>
              <w:ind w:left="0" w:leftChars="0" w:firstLine="0" w:firstLineChars="0"/>
              <w:jc w:val="both"/>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根据实际需求按公斤采购</w:t>
            </w:r>
          </w:p>
        </w:tc>
        <w:tc>
          <w:tcPr>
            <w:tcW w:w="1425" w:type="dxa"/>
            <w:vAlign w:val="center"/>
          </w:tcPr>
          <w:p>
            <w:pPr>
              <w:widowControl w:val="0"/>
              <w:spacing w:line="600" w:lineRule="exact"/>
              <w:ind w:left="0" w:leftChars="0" w:firstLine="0" w:firstLineChars="0"/>
              <w:jc w:val="center"/>
              <w:rPr>
                <w:rFonts w:hint="eastAsia" w:ascii="黑体" w:hAnsi="黑体" w:eastAsia="黑体" w:cs="黑体"/>
                <w:kern w:val="2"/>
                <w:sz w:val="28"/>
                <w:szCs w:val="28"/>
                <w:lang w:val="en-US" w:eastAsia="zh-CN" w:bidi="ar-SA"/>
              </w:rPr>
            </w:pPr>
          </w:p>
        </w:tc>
        <w:tc>
          <w:tcPr>
            <w:tcW w:w="3255" w:type="dxa"/>
            <w:vAlign w:val="center"/>
          </w:tcPr>
          <w:p>
            <w:pPr>
              <w:widowControl w:val="0"/>
              <w:spacing w:line="600" w:lineRule="exact"/>
              <w:ind w:left="0" w:leftChars="0" w:firstLine="0" w:firstLineChars="0"/>
              <w:jc w:val="both"/>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包装需密封完好无破损、无漏料、无受潮鼓包、材质符合食品接触安全标准。标明品名、厂名、重量、生产日期、保质期、剩余保质期不少于80%。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5" w:hRule="atLeast"/>
          <w:jc w:val="center"/>
        </w:trPr>
        <w:tc>
          <w:tcPr>
            <w:tcW w:w="781" w:type="dxa"/>
            <w:vAlign w:val="center"/>
          </w:tcPr>
          <w:p>
            <w:pPr>
              <w:widowControl w:val="0"/>
              <w:spacing w:line="600" w:lineRule="exact"/>
              <w:ind w:leftChars="0" w:firstLine="0" w:firstLineChars="0"/>
              <w:jc w:val="center"/>
              <w:rPr>
                <w:rFonts w:hint="default"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水果</w:t>
            </w:r>
          </w:p>
        </w:tc>
        <w:tc>
          <w:tcPr>
            <w:tcW w:w="3240" w:type="dxa"/>
            <w:vAlign w:val="center"/>
          </w:tcPr>
          <w:p>
            <w:pPr>
              <w:widowControl w:val="0"/>
              <w:spacing w:line="600" w:lineRule="exact"/>
              <w:ind w:left="0" w:leftChars="0" w:firstLine="0" w:firstLineChars="0"/>
              <w:jc w:val="both"/>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橘子、葡萄、香蕉、苹果、桃子、圣女果、火龙果、猕猴桃、梨子、柚子、樱桃、甜瓜、西瓜、芒果、桂圆、橙子</w:t>
            </w:r>
            <w:r>
              <w:rPr>
                <w:rFonts w:hint="eastAsia" w:ascii="黑体" w:hAnsi="黑体" w:eastAsia="黑体" w:cs="黑体"/>
                <w:color w:val="000000"/>
                <w:kern w:val="2"/>
                <w:sz w:val="28"/>
                <w:szCs w:val="28"/>
                <w:vertAlign w:val="baseline"/>
                <w:lang w:val="en-US" w:eastAsia="zh-CN" w:bidi="ar-SA"/>
              </w:rPr>
              <w:t>、橘子、龙眼、、柚子、桃子、油桃。</w:t>
            </w:r>
          </w:p>
        </w:tc>
        <w:tc>
          <w:tcPr>
            <w:tcW w:w="1095" w:type="dxa"/>
            <w:vAlign w:val="center"/>
          </w:tcPr>
          <w:p>
            <w:pPr>
              <w:widowControl w:val="0"/>
              <w:spacing w:line="600" w:lineRule="exact"/>
              <w:ind w:left="0" w:leftChars="0" w:firstLine="0" w:firstLineChars="0"/>
              <w:jc w:val="both"/>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根据实际需求按公斤采购</w:t>
            </w:r>
          </w:p>
        </w:tc>
        <w:tc>
          <w:tcPr>
            <w:tcW w:w="1425" w:type="dxa"/>
            <w:vAlign w:val="center"/>
          </w:tcPr>
          <w:p>
            <w:pPr>
              <w:widowControl w:val="0"/>
              <w:spacing w:line="600" w:lineRule="exact"/>
              <w:ind w:left="0" w:leftChars="0" w:firstLine="0" w:firstLineChars="0"/>
              <w:jc w:val="center"/>
              <w:rPr>
                <w:rFonts w:hint="eastAsia" w:ascii="黑体" w:hAnsi="黑体" w:eastAsia="黑体" w:cs="黑体"/>
                <w:kern w:val="2"/>
                <w:sz w:val="28"/>
                <w:szCs w:val="28"/>
                <w:lang w:val="en-US" w:eastAsia="zh-CN" w:bidi="ar-SA"/>
              </w:rPr>
            </w:pPr>
          </w:p>
        </w:tc>
        <w:tc>
          <w:tcPr>
            <w:tcW w:w="3255" w:type="dxa"/>
            <w:vAlign w:val="center"/>
          </w:tcPr>
          <w:p>
            <w:pPr>
              <w:widowControl w:val="0"/>
              <w:spacing w:line="600" w:lineRule="exact"/>
              <w:ind w:left="0" w:leftChars="0" w:firstLine="0" w:firstLineChars="0"/>
              <w:jc w:val="both"/>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0"/>
                <w:sz w:val="28"/>
                <w:szCs w:val="28"/>
                <w:lang w:val="en-US" w:eastAsia="zh-CN" w:bidi="ar-SA"/>
              </w:rPr>
              <w:t>水果类应保证为新鲜、具有良好的色泽和新鲜度、无病虫害。</w:t>
            </w:r>
          </w:p>
        </w:tc>
      </w:tr>
    </w:tbl>
    <w:p>
      <w:pPr>
        <w:keepNext w:val="0"/>
        <w:keepLines w:val="0"/>
        <w:pageBreakBefore w:val="0"/>
        <w:widowControl/>
        <w:numPr>
          <w:ilvl w:val="0"/>
          <w:numId w:val="0"/>
        </w:numPr>
        <w:kinsoku/>
        <w:wordWrap/>
        <w:overflowPunct/>
        <w:topLinePunct w:val="0"/>
        <w:autoSpaceDE/>
        <w:autoSpaceDN/>
        <w:bidi w:val="0"/>
        <w:adjustRightInd/>
        <w:snapToGrid/>
        <w:spacing w:line="600" w:lineRule="exact"/>
        <w:jc w:val="left"/>
        <w:textAlignment w:val="auto"/>
        <w:rPr>
          <w:rFonts w:hint="eastAsia" w:ascii="仿宋_GB2312" w:hAnsi="Times New Roman" w:eastAsia="仿宋_GB2312" w:cs="Times New Roman"/>
          <w:kern w:val="2"/>
          <w:sz w:val="32"/>
          <w:szCs w:val="32"/>
          <w:lang w:val="en-US" w:eastAsia="zh-CN" w:bidi="ar-SA"/>
        </w:rPr>
      </w:pPr>
      <w:r>
        <w:rPr>
          <w:rFonts w:hint="eastAsia" w:ascii="仿宋_GB2312" w:eastAsia="仿宋_GB2312" w:cs="Times New Roman"/>
          <w:kern w:val="2"/>
          <w:sz w:val="32"/>
          <w:szCs w:val="32"/>
          <w:lang w:val="en-US" w:eastAsia="zh-CN" w:bidi="ar-SA"/>
        </w:rPr>
        <w:t xml:space="preserve"> 2.</w:t>
      </w:r>
      <w:r>
        <w:rPr>
          <w:rFonts w:hint="eastAsia" w:ascii="仿宋_GB2312" w:hAnsi="Times New Roman" w:eastAsia="仿宋_GB2312" w:cs="Times New Roman"/>
          <w:kern w:val="2"/>
          <w:sz w:val="32"/>
          <w:szCs w:val="32"/>
          <w:lang w:val="en-US" w:eastAsia="zh-CN" w:bidi="ar-SA"/>
        </w:rPr>
        <w:t>供货时效要求：供应商需建立稳定的配送机制，确保食材新鲜度；遇节假日或特殊情况，需提前与公司沟通确认供货时间，不得出现断供、迟供情况。</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3.售后服务要求：自正式交付之日起，若食材出现质量问题，供应商需在接到通知后1小时内响应，3小时内更换或处理完毕；对于不符合质量标准的食材，无条件退货且承担由此产生的全部损失；定期配合公司开展食材质量满意度调研，根据反馈优化供货服务。</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宋体" w:eastAsia="仿宋_GB2312" w:cs="宋体"/>
          <w:b/>
          <w:bCs/>
          <w:color w:val="auto"/>
          <w:sz w:val="32"/>
          <w:szCs w:val="32"/>
          <w:highlight w:val="none"/>
          <w:lang w:eastAsia="zh-CN"/>
        </w:rPr>
      </w:pPr>
      <w:r>
        <w:rPr>
          <w:rFonts w:hint="eastAsia" w:ascii="仿宋_GB2312" w:hAnsi="宋体" w:eastAsia="仿宋_GB2312" w:cs="宋体"/>
          <w:kern w:val="0"/>
          <w:sz w:val="32"/>
          <w:szCs w:val="32"/>
          <w:lang w:val="en-US" w:eastAsia="zh-CN"/>
        </w:rPr>
        <w:t>5.发生问题处理意见：在遇到突发情况（如食堂临时增加用餐人数）时，供应商应能及时响应并增加食材供应量；若因不可抗力因素导致无法按时供货，需提前告知并提供替代解决方案。</w:t>
      </w:r>
    </w:p>
    <w:p>
      <w:pPr>
        <w:keepNext w:val="0"/>
        <w:keepLines w:val="0"/>
        <w:pageBreakBefore w:val="0"/>
        <w:numPr>
          <w:ilvl w:val="0"/>
          <w:numId w:val="0"/>
        </w:numPr>
        <w:bidi w:val="0"/>
        <w:spacing w:line="600" w:lineRule="exact"/>
        <w:ind w:firstLine="643"/>
        <w:rPr>
          <w:rFonts w:hint="eastAsia" w:ascii="楷体_GB2312" w:hAnsi="仿宋_GB2312" w:eastAsia="楷体_GB2312" w:cs="仿宋_GB2312"/>
          <w:b/>
          <w:color w:val="auto"/>
          <w:sz w:val="32"/>
          <w:szCs w:val="32"/>
          <w:highlight w:val="none"/>
          <w:lang w:val="en-US" w:eastAsia="zh-CN" w:bidi="ar-SA"/>
        </w:rPr>
      </w:pPr>
      <w:r>
        <w:rPr>
          <w:rFonts w:hint="eastAsia" w:ascii="仿宋_GB2312" w:hAnsi="宋体" w:eastAsia="仿宋_GB2312" w:cs="宋体"/>
          <w:b/>
          <w:bCs/>
          <w:color w:val="auto"/>
          <w:sz w:val="32"/>
          <w:szCs w:val="32"/>
          <w:highlight w:val="none"/>
          <w:lang w:val="en-US" w:eastAsia="zh-CN"/>
        </w:rPr>
        <w:t>二、</w:t>
      </w:r>
      <w:r>
        <w:rPr>
          <w:rFonts w:hint="eastAsia" w:ascii="仿宋_GB2312" w:hAnsi="宋体" w:eastAsia="仿宋_GB2312" w:cs="宋体"/>
          <w:b/>
          <w:bCs/>
          <w:color w:val="auto"/>
          <w:sz w:val="32"/>
          <w:szCs w:val="32"/>
          <w:highlight w:val="none"/>
          <w:lang w:eastAsia="zh-CN"/>
        </w:rPr>
        <w:t>验收</w:t>
      </w:r>
      <w:r>
        <w:rPr>
          <w:rFonts w:hint="eastAsia" w:ascii="仿宋_GB2312" w:hAnsi="宋体" w:eastAsia="仿宋_GB2312" w:cs="宋体"/>
          <w:b/>
          <w:bCs/>
          <w:color w:val="auto"/>
          <w:sz w:val="32"/>
          <w:szCs w:val="32"/>
          <w:highlight w:val="none"/>
          <w:lang w:val="en-US" w:eastAsia="zh-CN"/>
        </w:rPr>
        <w:t>/考核</w:t>
      </w:r>
    </w:p>
    <w:p>
      <w:pPr>
        <w:numPr>
          <w:ilvl w:val="0"/>
          <w:numId w:val="0"/>
        </w:numPr>
        <w:spacing w:line="600" w:lineRule="exact"/>
        <w:ind w:firstLine="640" w:firstLineChars="200"/>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1.验收标准：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（1）资质文件验收：每次配送时需携带本次食材的相关证明等文件，形成双方确认的《验收单》，验收人员核对文件的真实性、完整性及有效性，文件不全或不符合要求的，本次食材不予验收。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2）食材外观及品质验收：蔬菜类无黄叶、腐烂、虫蛀现象，根茎类需去除多余泥沙，新鲜度达标；肉类色泽正常、无异味、无注水情况，禽类需去除内脏及杂毛，蛋类无破损、变质；粮油米面及调味品包装完好无破损、无渗漏，标识清晰，生产日期、保质期、生产厂家等信息齐全，且在保质期内。</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sz w:val="32"/>
          <w:szCs w:val="32"/>
          <w:lang w:val="en-US" w:eastAsia="zh-CN"/>
        </w:rPr>
      </w:pPr>
      <w:r>
        <w:rPr>
          <w:rFonts w:hint="eastAsia" w:ascii="仿宋_GB2312" w:hAnsi="宋体" w:eastAsia="仿宋_GB2312" w:cs="宋体"/>
          <w:kern w:val="0"/>
          <w:sz w:val="32"/>
          <w:szCs w:val="32"/>
          <w:lang w:val="en-US" w:eastAsia="zh-CN" w:bidi="ar-SA"/>
        </w:rPr>
        <w:t>（3）数量及规格验收：对照采购订单，核对食材的配送数量、规格型号，误差需控制在±5%以内，超出误差范围的，需在当日完成补货或核减相应货款，</w:t>
      </w:r>
      <w:r>
        <w:rPr>
          <w:rFonts w:hint="eastAsia" w:ascii="仿宋_GB2312" w:hAnsi="Times New Roman" w:eastAsia="仿宋_GB2312" w:cs="Times New Roman"/>
          <w:kern w:val="2"/>
          <w:sz w:val="32"/>
          <w:szCs w:val="32"/>
          <w:lang w:val="en-US" w:eastAsia="zh-CN" w:bidi="ar-SA"/>
        </w:rPr>
        <w:t>且承担由此产生的全部损</w:t>
      </w:r>
      <w:r>
        <w:rPr>
          <w:rFonts w:hint="eastAsia" w:ascii="仿宋_GB2312" w:hAnsi="Times New Roman" w:eastAsia="仿宋_GB2312" w:cs="Times New Roman"/>
          <w:color w:val="auto"/>
          <w:kern w:val="2"/>
          <w:sz w:val="32"/>
          <w:szCs w:val="32"/>
          <w:lang w:val="en-US" w:eastAsia="zh-CN" w:bidi="ar-SA"/>
        </w:rPr>
        <w:t>失</w:t>
      </w:r>
      <w:r>
        <w:rPr>
          <w:rFonts w:hint="eastAsia" w:ascii="仿宋_GB2312" w:hAnsi="宋体" w:eastAsia="仿宋_GB2312" w:cs="宋体"/>
          <w:color w:val="auto"/>
          <w:kern w:val="0"/>
          <w:sz w:val="32"/>
          <w:szCs w:val="32"/>
          <w:lang w:val="en-US" w:eastAsia="zh-CN" w:bidi="ar-SA"/>
        </w:rPr>
        <w:t>。</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sz w:val="32"/>
          <w:szCs w:val="32"/>
          <w:lang w:val="en-US" w:eastAsia="zh-CN"/>
        </w:rPr>
      </w:pPr>
      <w:r>
        <w:rPr>
          <w:rFonts w:hint="eastAsia" w:ascii="仿宋_GB2312" w:hAnsi="宋体" w:eastAsia="仿宋_GB2312" w:cs="宋体"/>
          <w:color w:val="000000"/>
          <w:kern w:val="0"/>
          <w:sz w:val="32"/>
          <w:szCs w:val="32"/>
          <w:lang w:val="en-US" w:eastAsia="zh-CN"/>
        </w:rPr>
        <w:t>2.</w:t>
      </w:r>
      <w:r>
        <w:rPr>
          <w:rFonts w:hint="eastAsia" w:ascii="仿宋_GB2312" w:eastAsia="仿宋_GB2312"/>
          <w:sz w:val="32"/>
          <w:szCs w:val="32"/>
          <w:lang w:val="en-US" w:eastAsia="zh-CN"/>
        </w:rPr>
        <w:t>考核方面：采购方每个月对供应商进行考核评分，形成《供应商考核评分表》，做为后续付款结算依据。</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color w:val="auto"/>
          <w:sz w:val="32"/>
          <w:szCs w:val="32"/>
          <w:highlight w:val="none"/>
          <w:lang w:val="en-US" w:eastAsia="zh-CN"/>
        </w:rPr>
      </w:pPr>
      <w:r>
        <w:rPr>
          <w:rFonts w:hint="eastAsia" w:ascii="仿宋_GB2312" w:eastAsia="仿宋_GB2312"/>
          <w:sz w:val="32"/>
          <w:szCs w:val="32"/>
          <w:lang w:val="en-US" w:eastAsia="zh-CN"/>
        </w:rPr>
        <w:t>明细如下：</w:t>
      </w:r>
    </w:p>
    <w:tbl>
      <w:tblPr>
        <w:tblStyle w:val="30"/>
        <w:tblpPr w:leftFromText="180" w:rightFromText="180" w:vertAnchor="text" w:horzAnchor="page" w:tblpX="1770" w:tblpY="220"/>
        <w:tblOverlap w:val="never"/>
        <w:tblW w:w="89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49"/>
        <w:gridCol w:w="6686"/>
        <w:gridCol w:w="9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7"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pageBreakBefore w:val="0"/>
              <w:widowControl/>
              <w:suppressLineNumbers w:val="0"/>
              <w:kinsoku/>
              <w:wordWrap/>
              <w:overflowPunct/>
              <w:topLinePunct w:val="0"/>
              <w:autoSpaceDE/>
              <w:autoSpaceDN/>
              <w:bidi w:val="0"/>
              <w:adjustRightInd/>
              <w:snapToGrid/>
              <w:jc w:val="both"/>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考核项目</w:t>
            </w:r>
          </w:p>
        </w:tc>
        <w:tc>
          <w:tcPr>
            <w:tcW w:w="6686" w:type="dxa"/>
            <w:tcBorders>
              <w:top w:val="single" w:color="000000" w:sz="4" w:space="0"/>
              <w:left w:val="single" w:color="000000" w:sz="4" w:space="0"/>
              <w:bottom w:val="single" w:color="auto" w:sz="4" w:space="0"/>
              <w:right w:val="single" w:color="000000" w:sz="4" w:space="0"/>
            </w:tcBorders>
            <w:noWrap w:val="0"/>
            <w:vAlign w:val="center"/>
          </w:tcPr>
          <w:p>
            <w:pPr>
              <w:keepNext w:val="0"/>
              <w:keepLines/>
              <w:pageBreakBefore w:val="0"/>
              <w:widowControl/>
              <w:suppressLineNumbers w:val="0"/>
              <w:kinsoku/>
              <w:wordWrap/>
              <w:overflowPunct/>
              <w:topLinePunct w:val="0"/>
              <w:autoSpaceDE/>
              <w:autoSpaceDN/>
              <w:bidi w:val="0"/>
              <w:adjustRightInd/>
              <w:snapToGrid/>
              <w:ind w:firstLineChars="20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考核详情</w:t>
            </w:r>
          </w:p>
        </w:tc>
        <w:tc>
          <w:tcPr>
            <w:tcW w:w="9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考核分值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2" w:hRule="atLeast"/>
        </w:trPr>
        <w:tc>
          <w:tcPr>
            <w:tcW w:w="1349" w:type="dxa"/>
            <w:tcBorders>
              <w:top w:val="single" w:color="000000" w:sz="4" w:space="0"/>
              <w:left w:val="single" w:color="000000" w:sz="4" w:space="0"/>
              <w:bottom w:val="single" w:color="000000" w:sz="4" w:space="0"/>
              <w:right w:val="single" w:color="auto" w:sz="4" w:space="0"/>
            </w:tcBorders>
            <w:noWrap w:val="0"/>
            <w:vAlign w:val="center"/>
          </w:tcPr>
          <w:p>
            <w:pPr>
              <w:keepNext w:val="0"/>
              <w:keepLines/>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宋体" w:cs="仿宋"/>
                <w:i w:val="0"/>
                <w:iCs w:val="0"/>
                <w:color w:val="000000"/>
                <w:sz w:val="24"/>
                <w:szCs w:val="24"/>
                <w:u w:val="none"/>
                <w:lang w:eastAsia="zh-CN"/>
              </w:rPr>
            </w:pPr>
            <w:r>
              <w:rPr>
                <w:rFonts w:hint="eastAsia" w:ascii="仿宋" w:hAnsi="仿宋" w:eastAsia="仿宋" w:cs="仿宋"/>
                <w:i w:val="0"/>
                <w:iCs w:val="0"/>
                <w:color w:val="000000"/>
                <w:kern w:val="0"/>
                <w:sz w:val="24"/>
                <w:szCs w:val="24"/>
                <w:u w:val="none"/>
                <w:lang w:val="en-US" w:eastAsia="zh-CN" w:bidi="ar"/>
              </w:rPr>
              <w:t>食材质量及安全性</w:t>
            </w:r>
          </w:p>
        </w:tc>
        <w:tc>
          <w:tcPr>
            <w:tcW w:w="6686" w:type="dxa"/>
            <w:tcBorders>
              <w:top w:val="single" w:color="auto" w:sz="4" w:space="0"/>
              <w:left w:val="single" w:color="auto" w:sz="4" w:space="0"/>
              <w:bottom w:val="single" w:color="auto" w:sz="4" w:space="0"/>
              <w:right w:val="single" w:color="auto" w:sz="4" w:space="0"/>
            </w:tcBorders>
            <w:noWrap w:val="0"/>
            <w:vAlign w:val="center"/>
          </w:tcPr>
          <w:p>
            <w:pPr>
              <w:keepNext w:val="0"/>
              <w:keepLines/>
              <w:pageBreakBefore w:val="0"/>
              <w:widowControl/>
              <w:suppressLineNumbers w:val="0"/>
              <w:kinsoku/>
              <w:wordWrap/>
              <w:overflowPunct/>
              <w:topLinePunct w:val="0"/>
              <w:autoSpaceDE/>
              <w:autoSpaceDN/>
              <w:bidi w:val="0"/>
              <w:adjustRightInd/>
              <w:snapToGrid/>
              <w:jc w:val="left"/>
              <w:textAlignment w:val="center"/>
              <w:rPr>
                <w:rFonts w:hint="eastAsia"/>
              </w:rPr>
            </w:pPr>
            <w:r>
              <w:rPr>
                <w:rFonts w:hint="eastAsia" w:ascii="仿宋" w:hAnsi="仿宋" w:eastAsia="仿宋" w:cs="仿宋"/>
                <w:i w:val="0"/>
                <w:iCs w:val="0"/>
                <w:color w:val="000000"/>
                <w:sz w:val="24"/>
                <w:szCs w:val="24"/>
                <w:u w:val="none"/>
                <w:lang w:val="en-US" w:eastAsia="zh-CN"/>
              </w:rPr>
              <w:t>质量合规（30分）：食材新鲜度、保质期、检验检疫证明等符合约定标准，</w:t>
            </w:r>
            <w:r>
              <w:rPr>
                <w:rFonts w:hint="eastAsia" w:ascii="仿宋" w:hAnsi="仿宋" w:eastAsia="仿宋" w:cs="仿宋"/>
                <w:i w:val="0"/>
                <w:iCs w:val="0"/>
                <w:color w:val="000000"/>
                <w:kern w:val="0"/>
                <w:sz w:val="24"/>
                <w:szCs w:val="24"/>
                <w:u w:val="none"/>
                <w:lang w:val="en-US" w:eastAsia="zh-CN" w:bidi="ar"/>
              </w:rPr>
              <w:t>保证无异味、无霉烂变质，肉类供货时需提供当批次有效的动物产品检疫合格证（随货物同步提供）。</w:t>
            </w:r>
            <w:r>
              <w:rPr>
                <w:rFonts w:hint="eastAsia" w:ascii="仿宋" w:hAnsi="仿宋" w:eastAsia="仿宋" w:cs="仿宋"/>
                <w:i w:val="0"/>
                <w:iCs w:val="0"/>
                <w:color w:val="000000"/>
                <w:sz w:val="24"/>
                <w:szCs w:val="24"/>
                <w:u w:val="none"/>
                <w:lang w:val="en-US" w:eastAsia="zh-CN"/>
              </w:rPr>
              <w:t xml:space="preserve">每出现1次不合格扣5分。                                          供货准确性（20分）：核对供货单与实际到货数量、金额，检查送货单。每出现1次不合格扣5分。 </w:t>
            </w:r>
          </w:p>
        </w:tc>
        <w:tc>
          <w:tcPr>
            <w:tcW w:w="904" w:type="dxa"/>
            <w:tcBorders>
              <w:top w:val="single" w:color="000000" w:sz="4" w:space="0"/>
              <w:left w:val="single" w:color="auto" w:sz="4" w:space="0"/>
              <w:bottom w:val="single" w:color="000000" w:sz="4" w:space="0"/>
              <w:right w:val="single" w:color="000000" w:sz="4" w:space="0"/>
            </w:tcBorders>
            <w:noWrap w:val="0"/>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0" w:hRule="atLeast"/>
        </w:trPr>
        <w:tc>
          <w:tcPr>
            <w:tcW w:w="1349" w:type="dxa"/>
            <w:vMerge w:val="restart"/>
            <w:tcBorders>
              <w:top w:val="single" w:color="000000" w:sz="4" w:space="0"/>
              <w:left w:val="single" w:color="000000" w:sz="4" w:space="0"/>
              <w:bottom w:val="nil"/>
              <w:right w:val="single" w:color="auto" w:sz="4" w:space="0"/>
            </w:tcBorders>
            <w:noWrap w:val="0"/>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服务时效性、服务响应度及售后服务</w:t>
            </w:r>
          </w:p>
        </w:tc>
        <w:tc>
          <w:tcPr>
            <w:tcW w:w="6686" w:type="dxa"/>
            <w:tcBorders>
              <w:top w:val="single" w:color="auto" w:sz="4" w:space="0"/>
              <w:left w:val="single" w:color="auto" w:sz="4" w:space="0"/>
              <w:bottom w:val="nil"/>
              <w:right w:val="single" w:color="auto" w:sz="4" w:space="0"/>
            </w:tcBorders>
            <w:noWrap w:val="0"/>
            <w:vAlign w:val="center"/>
          </w:tcPr>
          <w:p>
            <w:pPr>
              <w:keepNext w:val="0"/>
              <w:keepLines/>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按时送达（10分）：在约定时间窗口内送达，延迟30分钟内扣2分，延迟30分钟至2小时扣5分，延迟超2小时扣10分（单日累计扣完为止）。                                      响应效率（10分）：订单调整、需求沟通等事项2小时内响应，未及时响应1次扣3分。</w:t>
            </w:r>
          </w:p>
          <w:p>
            <w:pPr>
              <w:keepNext w:val="0"/>
              <w:keepLines/>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问题解决（10分）：收不合格食材4小时内完成退换货或赔付，逾期1天扣5分。</w:t>
            </w:r>
          </w:p>
        </w:tc>
        <w:tc>
          <w:tcPr>
            <w:tcW w:w="904" w:type="dxa"/>
            <w:vMerge w:val="restart"/>
            <w:tcBorders>
              <w:top w:val="single" w:color="000000" w:sz="4" w:space="0"/>
              <w:left w:val="single" w:color="auto" w:sz="4" w:space="0"/>
              <w:bottom w:val="nil"/>
              <w:right w:val="single" w:color="000000" w:sz="4" w:space="0"/>
            </w:tcBorders>
            <w:noWrap w:val="0"/>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1349" w:type="dxa"/>
            <w:vMerge w:val="continue"/>
            <w:tcBorders>
              <w:top w:val="single" w:color="000000" w:sz="4" w:space="0"/>
              <w:left w:val="single" w:color="000000" w:sz="4" w:space="0"/>
              <w:bottom w:val="nil"/>
              <w:right w:val="single" w:color="auto" w:sz="4" w:space="0"/>
            </w:tcBorders>
            <w:noWrap w:val="0"/>
            <w:vAlign w:val="center"/>
          </w:tcPr>
          <w:p>
            <w:pPr>
              <w:keepNext w:val="0"/>
              <w:keepLines/>
              <w:pageBreakBefore w:val="0"/>
              <w:kinsoku/>
              <w:wordWrap/>
              <w:overflowPunct/>
              <w:topLinePunct w:val="0"/>
              <w:autoSpaceDE/>
              <w:autoSpaceDN/>
              <w:bidi w:val="0"/>
              <w:adjustRightInd/>
              <w:snapToGrid/>
              <w:jc w:val="center"/>
              <w:rPr>
                <w:rFonts w:hint="eastAsia" w:ascii="仿宋" w:hAnsi="仿宋" w:eastAsia="仿宋" w:cs="仿宋"/>
                <w:i w:val="0"/>
                <w:iCs w:val="0"/>
                <w:color w:val="000000"/>
                <w:sz w:val="24"/>
                <w:szCs w:val="24"/>
                <w:u w:val="none"/>
              </w:rPr>
            </w:pPr>
          </w:p>
        </w:tc>
        <w:tc>
          <w:tcPr>
            <w:tcW w:w="6686" w:type="dxa"/>
            <w:tcBorders>
              <w:top w:val="nil"/>
              <w:left w:val="single" w:color="auto" w:sz="4" w:space="0"/>
              <w:bottom w:val="single" w:color="auto" w:sz="4" w:space="0"/>
              <w:right w:val="single" w:color="auto" w:sz="4" w:space="0"/>
            </w:tcBorders>
            <w:noWrap w:val="0"/>
            <w:vAlign w:val="center"/>
          </w:tcPr>
          <w:p>
            <w:pPr>
              <w:keepNext w:val="0"/>
              <w:keepLines/>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000000"/>
                <w:sz w:val="24"/>
                <w:szCs w:val="24"/>
                <w:u w:val="none"/>
                <w:lang w:val="en-US" w:eastAsia="zh-CN"/>
              </w:rPr>
            </w:pPr>
          </w:p>
        </w:tc>
        <w:tc>
          <w:tcPr>
            <w:tcW w:w="904" w:type="dxa"/>
            <w:vMerge w:val="continue"/>
            <w:tcBorders>
              <w:top w:val="single" w:color="000000" w:sz="4" w:space="0"/>
              <w:left w:val="single" w:color="auto" w:sz="4" w:space="0"/>
              <w:bottom w:val="nil"/>
              <w:right w:val="single" w:color="000000" w:sz="4" w:space="0"/>
            </w:tcBorders>
            <w:noWrap w:val="0"/>
            <w:vAlign w:val="center"/>
          </w:tcPr>
          <w:p>
            <w:pPr>
              <w:keepNext w:val="0"/>
              <w:keepLines/>
              <w:pageBreakBefore w:val="0"/>
              <w:kinsoku/>
              <w:wordWrap/>
              <w:overflowPunct/>
              <w:topLinePunct w:val="0"/>
              <w:autoSpaceDE/>
              <w:autoSpaceDN/>
              <w:bidi w:val="0"/>
              <w:adjustRightInd/>
              <w:snapToGrid/>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5" w:hRule="atLeast"/>
        </w:trPr>
        <w:tc>
          <w:tcPr>
            <w:tcW w:w="1349" w:type="dxa"/>
            <w:tcBorders>
              <w:top w:val="single" w:color="000000" w:sz="4" w:space="0"/>
              <w:left w:val="single" w:color="000000" w:sz="4" w:space="0"/>
              <w:bottom w:val="single" w:color="000000" w:sz="4" w:space="0"/>
              <w:right w:val="single" w:color="auto" w:sz="4" w:space="0"/>
            </w:tcBorders>
            <w:noWrap w:val="0"/>
            <w:vAlign w:val="center"/>
          </w:tcPr>
          <w:p>
            <w:pPr>
              <w:keepNext w:val="0"/>
              <w:keepLines/>
              <w:pageBreakBefore w:val="0"/>
              <w:widowControl/>
              <w:suppressLineNumbers w:val="0"/>
              <w:kinsoku/>
              <w:wordWrap/>
              <w:overflowPunct/>
              <w:topLinePunct w:val="0"/>
              <w:autoSpaceDE/>
              <w:autoSpaceDN/>
              <w:bidi w:val="0"/>
              <w:adjustRightInd/>
              <w:snapToGrid/>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客户满意度</w:t>
            </w:r>
          </w:p>
        </w:tc>
        <w:tc>
          <w:tcPr>
            <w:tcW w:w="6686" w:type="dxa"/>
            <w:tcBorders>
              <w:top w:val="single" w:color="auto" w:sz="4" w:space="0"/>
              <w:left w:val="single" w:color="auto" w:sz="4" w:space="0"/>
              <w:bottom w:val="single" w:color="auto" w:sz="4" w:space="0"/>
              <w:right w:val="single" w:color="auto" w:sz="4" w:space="0"/>
            </w:tcBorders>
            <w:noWrap w:val="0"/>
            <w:vAlign w:val="center"/>
          </w:tcPr>
          <w:p>
            <w:pPr>
              <w:keepNext w:val="0"/>
              <w:keepLines/>
              <w:pageBreakBefore w:val="0"/>
              <w:widowControl/>
              <w:suppressLineNumbers w:val="0"/>
              <w:kinsoku/>
              <w:wordWrap/>
              <w:overflowPunct/>
              <w:topLinePunct w:val="0"/>
              <w:autoSpaceDE/>
              <w:autoSpaceDN/>
              <w:bidi w:val="0"/>
              <w:adjustRightInd/>
              <w:snapToGrid/>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sz w:val="24"/>
                <w:szCs w:val="24"/>
                <w:u w:val="none"/>
                <w:lang w:val="en-US" w:eastAsia="zh-CN"/>
              </w:rPr>
              <w:t>需求机构每季度对供应商开展满意度评估，聚焦服务时效性（按时配送、订单响应速度等）、服务完成质量（食材品质稳定性、交付精准度等 ）、售后服务配合度（问题反馈处理效率、突发情况协同等 ）维度，综合计算得分。若供应商在各环节表现优异，季度综合得分20分。</w:t>
            </w:r>
          </w:p>
        </w:tc>
        <w:tc>
          <w:tcPr>
            <w:tcW w:w="904" w:type="dxa"/>
            <w:tcBorders>
              <w:top w:val="single" w:color="000000" w:sz="4" w:space="0"/>
              <w:left w:val="single" w:color="auto" w:sz="4" w:space="0"/>
              <w:bottom w:val="single" w:color="000000" w:sz="4" w:space="0"/>
              <w:right w:val="single" w:color="000000" w:sz="4" w:space="0"/>
            </w:tcBorders>
            <w:noWrap w:val="0"/>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20</w:t>
            </w:r>
          </w:p>
        </w:tc>
      </w:tr>
    </w:tbl>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（1）供应商考评得分在80分（含）以上的，采购方继续使用该供应商。</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2）供应商考评得分在60分以上（含）-80分（不含）以下的，采购方要求该供应商限期进行整改，如供应商未能按要求如期整改的，且在年度内连续出现2次以上（含）未及时整改情况的，采购方有权终止合同，该供应商须无条件配合办理终止合同相关事宜。</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（3）供应商考评得分在60分以下（不含）的，经采购方研究讨论后，将在10个工作日内形成决议，通过邮件或函件形式向该供应商发送相关通知书，明确采购方决议内容及后续安排。</w:t>
      </w:r>
    </w:p>
    <w:p>
      <w:pPr>
        <w:spacing w:line="600" w:lineRule="exact"/>
        <w:ind w:firstLine="640" w:firstLineChars="200"/>
        <w:rPr>
          <w:rFonts w:hint="eastAsia" w:ascii="仿宋_GB2312" w:hAnsi="宋体" w:eastAsia="仿宋_GB2312" w:cs="宋体"/>
          <w:color w:val="000000"/>
          <w:kern w:val="0"/>
          <w:sz w:val="32"/>
          <w:szCs w:val="32"/>
          <w:lang w:eastAsia="zh-CN"/>
        </w:rPr>
      </w:pPr>
      <w:r>
        <w:rPr>
          <w:rFonts w:hint="eastAsia" w:ascii="仿宋_GB2312" w:hAnsi="宋体" w:eastAsia="仿宋_GB2312" w:cs="宋体"/>
          <w:kern w:val="0"/>
          <w:sz w:val="32"/>
          <w:szCs w:val="32"/>
          <w:lang w:val="en-US" w:eastAsia="zh-CN" w:bidi="ar-SA"/>
        </w:rPr>
        <w:t>3.付款安排：</w:t>
      </w:r>
      <w:r>
        <w:rPr>
          <w:rFonts w:hint="eastAsia" w:ascii="仿宋_GB2312" w:hAnsi="仿宋_GB2312" w:eastAsia="仿宋_GB2312" w:cs="仿宋_GB2312"/>
          <w:sz w:val="32"/>
          <w:szCs w:val="32"/>
          <w:lang w:val="en-US" w:eastAsia="zh-CN" w:bidi="ar-SA"/>
        </w:rPr>
        <w:t>采用月度结算方式，供应商于每月向公司财务部门提交上一月度的供货明细清单、增值税普通发票，经双方核对无误后15个工作日内进行对公转账结算，供应商向采购方提供月度获评验收单费用结算单及合规的增值税发票。本</w:t>
      </w:r>
      <w:r>
        <w:rPr>
          <w:rFonts w:hint="eastAsia" w:ascii="仿宋_GB2312" w:hAnsi="宋体" w:eastAsia="仿宋_GB2312" w:cs="宋体"/>
          <w:kern w:val="0"/>
          <w:sz w:val="32"/>
          <w:szCs w:val="32"/>
          <w:lang w:val="en-US" w:eastAsia="zh-CN"/>
        </w:rPr>
        <w:t>采购项目合同期限为</w:t>
      </w:r>
      <w:r>
        <w:rPr>
          <w:rFonts w:hint="eastAsia" w:ascii="仿宋_GB2312" w:eastAsia="仿宋_GB2312"/>
          <w:sz w:val="32"/>
          <w:szCs w:val="32"/>
          <w:lang w:val="en-US" w:eastAsia="zh-CN"/>
        </w:rPr>
        <w:t>1</w:t>
      </w:r>
      <w:r>
        <w:rPr>
          <w:rFonts w:hint="eastAsia" w:ascii="仿宋_GB2312" w:hAnsi="宋体" w:eastAsia="仿宋_GB2312" w:cs="宋体"/>
          <w:kern w:val="0"/>
          <w:sz w:val="32"/>
          <w:szCs w:val="32"/>
        </w:rPr>
        <w:t>年</w:t>
      </w:r>
      <w:r>
        <w:rPr>
          <w:rFonts w:hint="eastAsia" w:ascii="仿宋_GB2312" w:hAnsi="宋体" w:eastAsia="仿宋_GB2312" w:cs="宋体"/>
          <w:kern w:val="0"/>
          <w:sz w:val="32"/>
          <w:szCs w:val="32"/>
          <w:lang w:eastAsia="zh-CN"/>
        </w:rPr>
        <w:t>。</w:t>
      </w:r>
    </w:p>
    <w:p>
      <w:pPr>
        <w:pStyle w:val="191"/>
        <w:ind w:firstLine="482"/>
        <w:rPr>
          <w:b/>
          <w:sz w:val="32"/>
          <w:szCs w:val="32"/>
        </w:rPr>
      </w:pPr>
      <w:r>
        <w:rPr>
          <w:rFonts w:hint="eastAsia"/>
          <w:b/>
          <w:sz w:val="32"/>
          <w:szCs w:val="32"/>
        </w:rPr>
        <w:t>三、供应商资质要求</w:t>
      </w:r>
    </w:p>
    <w:p>
      <w:pPr>
        <w:pStyle w:val="191"/>
        <w:ind w:firstLine="480"/>
        <w:rPr>
          <w:rFonts w:hint="eastAsia" w:ascii="仿宋_GB2312" w:hAnsi="Times New Roman" w:eastAsia="仿宋_GB2312" w:cs="Times New Roman"/>
          <w:color w:val="auto"/>
          <w:sz w:val="32"/>
          <w:szCs w:val="32"/>
          <w:lang w:val="en-US" w:eastAsia="zh-CN" w:bidi="ar-SA"/>
        </w:rPr>
      </w:pPr>
      <w:r>
        <w:rPr>
          <w:rFonts w:hint="eastAsia" w:ascii="仿宋_GB2312" w:hAnsi="Times New Roman" w:eastAsia="仿宋_GB2312" w:cs="Times New Roman"/>
          <w:color w:val="auto"/>
          <w:sz w:val="32"/>
          <w:szCs w:val="32"/>
          <w:lang w:val="en-US" w:eastAsia="zh-CN" w:bidi="ar-SA"/>
        </w:rPr>
        <w:t>1.在中华人民共和国境内依照《中华人民共和国公司法》注册的、具有法人资格、符合本磋商文件的要求并承诺提供本次服务的企业，需提供营业执照复印件；</w:t>
      </w:r>
    </w:p>
    <w:p>
      <w:pPr>
        <w:pStyle w:val="191"/>
        <w:ind w:firstLine="480"/>
        <w:rPr>
          <w:rFonts w:hint="eastAsia" w:ascii="仿宋_GB2312" w:hAnsi="Times New Roman" w:eastAsia="仿宋_GB2312" w:cs="Times New Roman"/>
          <w:color w:val="auto"/>
          <w:sz w:val="32"/>
          <w:szCs w:val="32"/>
          <w:lang w:val="en-US" w:eastAsia="zh-CN" w:bidi="ar-SA"/>
        </w:rPr>
      </w:pPr>
      <w:r>
        <w:rPr>
          <w:rFonts w:hint="eastAsia" w:ascii="仿宋_GB2312" w:hAnsi="Times New Roman" w:eastAsia="仿宋_GB2312" w:cs="Times New Roman"/>
          <w:color w:val="auto"/>
          <w:sz w:val="32"/>
          <w:szCs w:val="32"/>
          <w:lang w:val="en-US" w:eastAsia="zh-CN" w:bidi="ar-SA"/>
        </w:rPr>
        <w:t xml:space="preserve">2.具有良好的商业信誉和健全的财务会计制度； </w:t>
      </w:r>
    </w:p>
    <w:p>
      <w:pPr>
        <w:pStyle w:val="191"/>
        <w:ind w:firstLine="480"/>
        <w:rPr>
          <w:rFonts w:hint="eastAsia" w:ascii="仿宋_GB2312" w:hAnsi="Times New Roman" w:eastAsia="仿宋_GB2312" w:cs="Times New Roman"/>
          <w:color w:val="auto"/>
          <w:sz w:val="32"/>
          <w:szCs w:val="32"/>
          <w:lang w:val="en-US" w:eastAsia="zh-CN" w:bidi="ar-SA"/>
        </w:rPr>
      </w:pPr>
      <w:r>
        <w:rPr>
          <w:rFonts w:hint="eastAsia" w:ascii="仿宋_GB2312" w:hAnsi="Times New Roman" w:eastAsia="仿宋_GB2312" w:cs="Times New Roman"/>
          <w:color w:val="auto"/>
          <w:sz w:val="32"/>
          <w:szCs w:val="32"/>
          <w:lang w:val="en-US" w:eastAsia="zh-CN" w:bidi="ar-SA"/>
        </w:rPr>
        <w:t>3.具有履行合同所必需的设备和专业技术能力；</w:t>
      </w:r>
    </w:p>
    <w:p>
      <w:pPr>
        <w:pStyle w:val="191"/>
        <w:ind w:firstLine="480"/>
        <w:rPr>
          <w:rFonts w:hint="eastAsia" w:ascii="仿宋_GB2312" w:hAnsi="Times New Roman" w:eastAsia="仿宋_GB2312" w:cs="Times New Roman"/>
          <w:color w:val="auto"/>
          <w:sz w:val="32"/>
          <w:szCs w:val="32"/>
          <w:lang w:val="en-US" w:eastAsia="zh-CN" w:bidi="ar-SA"/>
        </w:rPr>
      </w:pPr>
      <w:r>
        <w:rPr>
          <w:rFonts w:hint="eastAsia" w:ascii="仿宋_GB2312" w:hAnsi="Times New Roman" w:eastAsia="仿宋_GB2312" w:cs="Times New Roman"/>
          <w:color w:val="auto"/>
          <w:sz w:val="32"/>
          <w:szCs w:val="32"/>
          <w:lang w:val="en-US" w:eastAsia="zh-CN" w:bidi="ar-SA"/>
        </w:rPr>
        <w:t>4.有依法缴纳税收和社会保障资金的良好记录；</w:t>
      </w:r>
    </w:p>
    <w:p>
      <w:pPr>
        <w:pStyle w:val="191"/>
        <w:ind w:firstLine="480"/>
        <w:rPr>
          <w:rFonts w:hint="eastAsia" w:ascii="仿宋_GB2312" w:hAnsi="Times New Roman" w:eastAsia="仿宋_GB2312" w:cs="Times New Roman"/>
          <w:color w:val="auto"/>
          <w:sz w:val="32"/>
          <w:szCs w:val="32"/>
          <w:lang w:val="en-US" w:eastAsia="zh-CN" w:bidi="ar-SA"/>
        </w:rPr>
      </w:pPr>
      <w:r>
        <w:rPr>
          <w:rFonts w:hint="eastAsia" w:ascii="仿宋_GB2312" w:hAnsi="Times New Roman" w:eastAsia="仿宋_GB2312" w:cs="Times New Roman"/>
          <w:color w:val="auto"/>
          <w:sz w:val="32"/>
          <w:szCs w:val="32"/>
          <w:lang w:val="en-US" w:eastAsia="zh-CN" w:bidi="ar-SA"/>
        </w:rPr>
        <w:t>5.参加此项采购活动最近三年没有出现违法违规或失信行为，没有骗取中标和严重违约的行为；</w:t>
      </w:r>
    </w:p>
    <w:p>
      <w:pPr>
        <w:pStyle w:val="191"/>
        <w:ind w:firstLine="480"/>
        <w:rPr>
          <w:rFonts w:hint="eastAsia" w:ascii="仿宋_GB2312" w:hAnsi="Times New Roman" w:eastAsia="仿宋_GB2312" w:cs="Times New Roman"/>
          <w:color w:val="auto"/>
          <w:sz w:val="32"/>
          <w:szCs w:val="32"/>
          <w:lang w:val="en-US" w:eastAsia="zh-CN" w:bidi="ar-SA"/>
        </w:rPr>
      </w:pPr>
      <w:r>
        <w:rPr>
          <w:rFonts w:hint="eastAsia" w:ascii="仿宋_GB2312" w:hAnsi="Times New Roman" w:eastAsia="仿宋_GB2312" w:cs="Times New Roman"/>
          <w:color w:val="auto"/>
          <w:sz w:val="32"/>
          <w:szCs w:val="32"/>
          <w:lang w:val="en-US" w:eastAsia="zh-CN" w:bidi="ar-SA"/>
        </w:rPr>
        <w:t>6.单位负责人为同一人或存在控股、管理关系的不同单位，不得参加同一采购项目；</w:t>
      </w:r>
    </w:p>
    <w:p>
      <w:pPr>
        <w:pStyle w:val="191"/>
        <w:ind w:firstLine="480"/>
        <w:rPr>
          <w:rFonts w:hint="eastAsia" w:ascii="仿宋_GB2312" w:hAnsi="Times New Roman" w:eastAsia="仿宋_GB2312" w:cs="Times New Roman"/>
          <w:color w:val="auto"/>
          <w:sz w:val="32"/>
          <w:szCs w:val="32"/>
          <w:lang w:val="en-US" w:eastAsia="zh-CN" w:bidi="ar-SA"/>
        </w:rPr>
      </w:pPr>
      <w:r>
        <w:rPr>
          <w:rFonts w:hint="eastAsia" w:ascii="仿宋_GB2312" w:hAnsi="Times New Roman" w:eastAsia="仿宋_GB2312" w:cs="Times New Roman"/>
          <w:color w:val="auto"/>
          <w:sz w:val="32"/>
          <w:szCs w:val="32"/>
          <w:lang w:val="en-US" w:eastAsia="zh-CN" w:bidi="ar-SA"/>
        </w:rPr>
        <w:t>7.未被列入公司供应商黑名单或已不在禁入期内。</w:t>
      </w:r>
    </w:p>
    <w:p>
      <w:pPr>
        <w:pStyle w:val="191"/>
        <w:ind w:firstLine="480"/>
        <w:rPr>
          <w:rFonts w:hint="eastAsia" w:ascii="仿宋_GB2312" w:hAnsi="Times New Roman" w:eastAsia="仿宋_GB2312" w:cs="Times New Roman"/>
          <w:color w:val="auto"/>
          <w:sz w:val="32"/>
          <w:szCs w:val="32"/>
          <w:lang w:val="en-US" w:eastAsia="zh-CN" w:bidi="ar-SA"/>
        </w:rPr>
      </w:pPr>
      <w:r>
        <w:rPr>
          <w:rFonts w:hint="eastAsia" w:ascii="仿宋_GB2312" w:hAnsi="Times New Roman" w:eastAsia="仿宋_GB2312" w:cs="Times New Roman"/>
          <w:color w:val="auto"/>
          <w:sz w:val="32"/>
          <w:szCs w:val="32"/>
          <w:lang w:val="en-US" w:eastAsia="zh-CN" w:bidi="ar-SA"/>
        </w:rPr>
        <w:t>8.本项目不接受联合体。</w:t>
      </w:r>
    </w:p>
    <w:p>
      <w:pPr>
        <w:pStyle w:val="191"/>
        <w:ind w:firstLine="482"/>
        <w:rPr>
          <w:b/>
          <w:sz w:val="32"/>
          <w:szCs w:val="32"/>
        </w:rPr>
      </w:pPr>
      <w:r>
        <w:rPr>
          <w:rFonts w:hint="eastAsia"/>
          <w:b/>
          <w:sz w:val="32"/>
          <w:szCs w:val="32"/>
        </w:rPr>
        <w:t xml:space="preserve">四、供应商报名方式 </w:t>
      </w:r>
    </w:p>
    <w:p>
      <w:pPr>
        <w:pStyle w:val="191"/>
        <w:ind w:firstLine="480"/>
        <w:rPr>
          <w:sz w:val="32"/>
          <w:szCs w:val="32"/>
        </w:rPr>
      </w:pPr>
      <w:r>
        <w:rPr>
          <w:rFonts w:hint="eastAsia"/>
          <w:sz w:val="32"/>
          <w:szCs w:val="32"/>
        </w:rPr>
        <w:t>（一）报名资料：凡有意向参加该采购项目的供应商，需提供满足资质要求的相应证明资料，包括但不限于营业执照、</w:t>
      </w:r>
      <w:r>
        <w:rPr>
          <w:rFonts w:hint="eastAsia"/>
          <w:sz w:val="32"/>
          <w:szCs w:val="32"/>
          <w:lang w:val="en-US" w:eastAsia="zh-CN"/>
        </w:rPr>
        <w:t>法人身份证、开户银行许可证</w:t>
      </w:r>
      <w:r>
        <w:rPr>
          <w:rFonts w:hint="eastAsia"/>
          <w:sz w:val="32"/>
          <w:szCs w:val="32"/>
        </w:rPr>
        <w:t>等。</w:t>
      </w:r>
    </w:p>
    <w:p>
      <w:pPr>
        <w:pStyle w:val="191"/>
        <w:ind w:firstLine="480"/>
        <w:rPr>
          <w:rFonts w:hint="eastAsia"/>
          <w:sz w:val="32"/>
          <w:szCs w:val="32"/>
          <w:lang w:eastAsia="zh-CN"/>
        </w:rPr>
      </w:pPr>
      <w:r>
        <w:rPr>
          <w:rFonts w:hint="eastAsia"/>
          <w:sz w:val="32"/>
          <w:szCs w:val="32"/>
        </w:rPr>
        <w:t>（二）报名方式：通过“人保e采”管理系统完成项目报名</w:t>
      </w:r>
      <w:r>
        <w:rPr>
          <w:rFonts w:hint="eastAsia"/>
          <w:sz w:val="32"/>
          <w:szCs w:val="32"/>
          <w:lang w:eastAsia="zh-CN"/>
        </w:rPr>
        <w:t>。（</w:t>
      </w:r>
      <w:r>
        <w:rPr>
          <w:rFonts w:hint="eastAsia"/>
          <w:sz w:val="32"/>
          <w:szCs w:val="32"/>
          <w:lang w:val="en-US" w:eastAsia="zh-CN"/>
        </w:rPr>
        <w:t>网址：</w:t>
      </w:r>
      <w:r>
        <w:rPr>
          <w:rFonts w:hint="eastAsia"/>
          <w:sz w:val="32"/>
          <w:szCs w:val="32"/>
        </w:rPr>
        <w:t>https://ec.picc.com/</w:t>
      </w:r>
      <w:r>
        <w:rPr>
          <w:rFonts w:hint="eastAsia"/>
          <w:sz w:val="32"/>
          <w:szCs w:val="32"/>
          <w:lang w:eastAsia="zh-CN"/>
        </w:rPr>
        <w:t>）</w:t>
      </w:r>
    </w:p>
    <w:p>
      <w:pPr>
        <w:pStyle w:val="191"/>
        <w:ind w:firstLine="482"/>
        <w:rPr>
          <w:b/>
          <w:sz w:val="32"/>
          <w:szCs w:val="32"/>
        </w:rPr>
      </w:pPr>
      <w:r>
        <w:rPr>
          <w:rFonts w:hint="eastAsia"/>
          <w:b/>
          <w:sz w:val="32"/>
          <w:szCs w:val="32"/>
        </w:rPr>
        <w:t xml:space="preserve">五、采购人信息 </w:t>
      </w:r>
    </w:p>
    <w:p>
      <w:pPr>
        <w:pStyle w:val="191"/>
        <w:ind w:firstLine="320"/>
        <w:rPr>
          <w:sz w:val="32"/>
          <w:szCs w:val="32"/>
        </w:rPr>
      </w:pPr>
      <w:r>
        <w:rPr>
          <w:rFonts w:hint="eastAsia"/>
          <w:sz w:val="32"/>
          <w:szCs w:val="32"/>
        </w:rPr>
        <w:t>采购人：中国人民财产保险股份有限公司</w:t>
      </w:r>
      <w:r>
        <w:rPr>
          <w:rFonts w:hint="eastAsia"/>
          <w:sz w:val="32"/>
          <w:szCs w:val="32"/>
          <w:lang w:val="en-US" w:eastAsia="zh-CN"/>
        </w:rPr>
        <w:t>和田地区</w:t>
      </w:r>
      <w:r>
        <w:rPr>
          <w:rFonts w:hint="eastAsia"/>
          <w:sz w:val="32"/>
          <w:szCs w:val="32"/>
        </w:rPr>
        <w:t xml:space="preserve">分公司  </w:t>
      </w:r>
    </w:p>
    <w:p>
      <w:pPr>
        <w:pStyle w:val="191"/>
        <w:ind w:firstLine="320"/>
        <w:rPr>
          <w:sz w:val="32"/>
          <w:szCs w:val="32"/>
        </w:rPr>
      </w:pPr>
      <w:r>
        <w:rPr>
          <w:rFonts w:hint="eastAsia"/>
          <w:sz w:val="32"/>
          <w:szCs w:val="32"/>
        </w:rPr>
        <w:t>地 址：</w:t>
      </w:r>
      <w:r>
        <w:rPr>
          <w:rFonts w:hint="eastAsia"/>
          <w:sz w:val="32"/>
          <w:szCs w:val="32"/>
          <w:lang w:val="en-US" w:eastAsia="zh-CN"/>
        </w:rPr>
        <w:t>新疆维吾尔自治区和田地区和田市北京西路107号</w:t>
      </w:r>
      <w:r>
        <w:rPr>
          <w:rFonts w:hint="eastAsia"/>
          <w:sz w:val="32"/>
          <w:szCs w:val="32"/>
        </w:rPr>
        <w:t xml:space="preserve"> </w:t>
      </w:r>
    </w:p>
    <w:p>
      <w:pPr>
        <w:pStyle w:val="191"/>
        <w:rPr>
          <w:rFonts w:hint="default" w:eastAsia="仿宋_GB2312"/>
          <w:sz w:val="32"/>
          <w:szCs w:val="32"/>
          <w:lang w:val="en-US" w:eastAsia="zh-CN"/>
        </w:rPr>
      </w:pPr>
      <w:r>
        <w:rPr>
          <w:rFonts w:hint="eastAsia"/>
          <w:sz w:val="32"/>
          <w:szCs w:val="32"/>
        </w:rPr>
        <w:t xml:space="preserve">  项目报名联系人：</w:t>
      </w:r>
      <w:r>
        <w:rPr>
          <w:rFonts w:hint="eastAsia"/>
          <w:sz w:val="32"/>
          <w:szCs w:val="32"/>
          <w:lang w:val="en-US" w:eastAsia="zh-CN"/>
        </w:rPr>
        <w:t>阿布来提·阿布都拉</w:t>
      </w:r>
    </w:p>
    <w:p>
      <w:pPr>
        <w:pStyle w:val="191"/>
        <w:ind w:firstLine="320"/>
        <w:rPr>
          <w:rFonts w:hint="eastAsia"/>
          <w:sz w:val="32"/>
          <w:szCs w:val="32"/>
          <w:lang w:val="en-US" w:eastAsia="zh-CN"/>
        </w:rPr>
      </w:pPr>
      <w:r>
        <w:rPr>
          <w:rFonts w:hint="eastAsia"/>
          <w:sz w:val="32"/>
          <w:szCs w:val="32"/>
        </w:rPr>
        <w:t>电 话：</w:t>
      </w:r>
      <w:r>
        <w:rPr>
          <w:rFonts w:hint="eastAsia"/>
          <w:sz w:val="32"/>
          <w:szCs w:val="32"/>
          <w:lang w:val="en-US" w:eastAsia="zh-CN"/>
        </w:rPr>
        <w:t>19190147244</w:t>
      </w:r>
    </w:p>
    <w:p>
      <w:pPr>
        <w:pStyle w:val="191"/>
        <w:ind w:firstLine="320"/>
        <w:rPr>
          <w:sz w:val="32"/>
          <w:szCs w:val="32"/>
        </w:rPr>
      </w:pPr>
      <w:r>
        <w:rPr>
          <w:rFonts w:hint="eastAsia"/>
          <w:sz w:val="32"/>
          <w:szCs w:val="32"/>
        </w:rPr>
        <w:t xml:space="preserve">特此公告 </w:t>
      </w:r>
    </w:p>
    <w:p>
      <w:pPr>
        <w:pStyle w:val="191"/>
        <w:ind w:firstLine="320"/>
        <w:rPr>
          <w:sz w:val="32"/>
          <w:szCs w:val="32"/>
        </w:rPr>
      </w:pPr>
    </w:p>
    <w:p>
      <w:pPr>
        <w:pStyle w:val="191"/>
        <w:rPr>
          <w:sz w:val="32"/>
          <w:szCs w:val="32"/>
        </w:rPr>
      </w:pPr>
    </w:p>
    <w:p>
      <w:pPr>
        <w:pStyle w:val="191"/>
        <w:ind w:firstLine="3680"/>
        <w:rPr>
          <w:sz w:val="32"/>
          <w:szCs w:val="32"/>
        </w:rPr>
      </w:pPr>
      <w:r>
        <w:rPr>
          <w:rFonts w:hint="eastAsia"/>
          <w:sz w:val="32"/>
          <w:szCs w:val="32"/>
        </w:rPr>
        <w:t>中国人民财产保险股份有限公司</w:t>
      </w:r>
    </w:p>
    <w:p>
      <w:pPr>
        <w:pStyle w:val="191"/>
        <w:ind w:firstLine="4960"/>
        <w:rPr>
          <w:sz w:val="32"/>
          <w:szCs w:val="32"/>
        </w:rPr>
      </w:pPr>
      <w:r>
        <w:rPr>
          <w:rFonts w:hint="eastAsia"/>
          <w:sz w:val="32"/>
          <w:szCs w:val="32"/>
          <w:lang w:val="en-US" w:eastAsia="zh-CN"/>
        </w:rPr>
        <w:t>和田地区</w:t>
      </w:r>
      <w:r>
        <w:rPr>
          <w:rFonts w:hint="eastAsia"/>
          <w:sz w:val="32"/>
          <w:szCs w:val="32"/>
        </w:rPr>
        <w:t xml:space="preserve">分公司 </w:t>
      </w:r>
    </w:p>
    <w:p>
      <w:pPr>
        <w:pStyle w:val="191"/>
        <w:ind w:firstLine="5120"/>
        <w:rPr>
          <w:sz w:val="32"/>
          <w:szCs w:val="32"/>
        </w:rPr>
      </w:pPr>
      <w:r>
        <w:rPr>
          <w:rFonts w:hint="eastAsia"/>
          <w:sz w:val="32"/>
          <w:szCs w:val="32"/>
          <w:lang w:val="en-US" w:eastAsia="zh-CN"/>
        </w:rPr>
        <w:t>2026</w:t>
      </w:r>
      <w:r>
        <w:rPr>
          <w:rFonts w:hint="eastAsia"/>
          <w:sz w:val="32"/>
          <w:szCs w:val="32"/>
        </w:rPr>
        <w:t>年</w:t>
      </w:r>
      <w:r>
        <w:rPr>
          <w:rFonts w:hint="eastAsia"/>
          <w:sz w:val="32"/>
          <w:szCs w:val="32"/>
          <w:lang w:val="en-US" w:eastAsia="zh-CN"/>
        </w:rPr>
        <w:t>03</w:t>
      </w:r>
      <w:r>
        <w:rPr>
          <w:rFonts w:hint="eastAsia"/>
          <w:sz w:val="32"/>
          <w:szCs w:val="32"/>
        </w:rPr>
        <w:t>月</w:t>
      </w:r>
      <w:r>
        <w:rPr>
          <w:rFonts w:hint="eastAsia"/>
          <w:sz w:val="32"/>
          <w:szCs w:val="32"/>
          <w:lang w:val="en-US" w:eastAsia="zh-CN"/>
        </w:rPr>
        <w:t>12</w:t>
      </w:r>
      <w:r>
        <w:rPr>
          <w:rFonts w:hint="eastAsia"/>
          <w:sz w:val="32"/>
          <w:szCs w:val="32"/>
        </w:rPr>
        <w:t>日</w:t>
      </w:r>
    </w:p>
    <w:p/>
    <w:p/>
    <w:sectPr>
      <w:pgSz w:w="11906" w:h="16838"/>
      <w:pgMar w:top="1440" w:right="1800" w:bottom="1440" w:left="1800" w:header="851" w:footer="992" w:gutter="0"/>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documentProtection w:enforcement="0"/>
  <w:defaultTabStop w:val="420"/>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96F9F"/>
    <w:rsid w:val="06AE3E77"/>
    <w:rsid w:val="0A9D2F94"/>
    <w:rsid w:val="0EE716A4"/>
    <w:rsid w:val="129B7496"/>
    <w:rsid w:val="4C104BBA"/>
    <w:rsid w:val="4E1D210A"/>
    <w:rsid w:val="631F1CAA"/>
    <w:rsid w:val="632259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4"/>
      <w:lang w:val="en-US" w:eastAsia="zh-CN" w:bidi="ar-SA"/>
    </w:rPr>
  </w:style>
  <w:style w:type="paragraph" w:styleId="3">
    <w:name w:val="heading 1"/>
    <w:basedOn w:val="1"/>
    <w:next w:val="1"/>
    <w:link w:val="164"/>
    <w:qFormat/>
    <w:uiPriority w:val="9"/>
    <w:pPr>
      <w:keepNext/>
      <w:keepLines/>
      <w:spacing w:before="360" w:after="80"/>
      <w:outlineLvl w:val="0"/>
    </w:pPr>
    <w:rPr>
      <w:rFonts w:ascii="Arial" w:hAnsi="Arial" w:eastAsia="Arial" w:cs="Arial"/>
      <w:color w:val="2E75B6" w:themeColor="accent1" w:themeShade="BF"/>
      <w:sz w:val="40"/>
      <w:szCs w:val="40"/>
    </w:rPr>
  </w:style>
  <w:style w:type="paragraph" w:styleId="4">
    <w:name w:val="heading 2"/>
    <w:basedOn w:val="1"/>
    <w:next w:val="1"/>
    <w:link w:val="165"/>
    <w:unhideWhenUsed/>
    <w:qFormat/>
    <w:uiPriority w:val="9"/>
    <w:pPr>
      <w:keepNext/>
      <w:keepLines/>
      <w:spacing w:before="160" w:after="80"/>
      <w:outlineLvl w:val="1"/>
    </w:pPr>
    <w:rPr>
      <w:rFonts w:ascii="Arial" w:hAnsi="Arial" w:eastAsia="Arial" w:cs="Arial"/>
      <w:color w:val="2E75B6" w:themeColor="accent1" w:themeShade="BF"/>
      <w:sz w:val="32"/>
      <w:szCs w:val="32"/>
    </w:rPr>
  </w:style>
  <w:style w:type="paragraph" w:styleId="5">
    <w:name w:val="heading 3"/>
    <w:basedOn w:val="1"/>
    <w:next w:val="1"/>
    <w:link w:val="166"/>
    <w:unhideWhenUsed/>
    <w:qFormat/>
    <w:uiPriority w:val="9"/>
    <w:pPr>
      <w:keepNext/>
      <w:keepLines/>
      <w:spacing w:before="160" w:after="80"/>
      <w:outlineLvl w:val="2"/>
    </w:pPr>
    <w:rPr>
      <w:rFonts w:ascii="Arial" w:hAnsi="Arial" w:eastAsia="Arial" w:cs="Arial"/>
      <w:color w:val="2E75B6" w:themeColor="accent1" w:themeShade="BF"/>
      <w:sz w:val="28"/>
      <w:szCs w:val="28"/>
    </w:rPr>
  </w:style>
  <w:style w:type="paragraph" w:styleId="6">
    <w:name w:val="heading 4"/>
    <w:basedOn w:val="1"/>
    <w:next w:val="1"/>
    <w:link w:val="167"/>
    <w:unhideWhenUsed/>
    <w:qFormat/>
    <w:uiPriority w:val="9"/>
    <w:pPr>
      <w:keepNext/>
      <w:keepLines/>
      <w:spacing w:before="80" w:after="40"/>
      <w:outlineLvl w:val="3"/>
    </w:pPr>
    <w:rPr>
      <w:rFonts w:ascii="Arial" w:hAnsi="Arial" w:eastAsia="Arial" w:cs="Arial"/>
      <w:i/>
      <w:iCs/>
      <w:color w:val="2E75B6" w:themeColor="accent1" w:themeShade="BF"/>
    </w:rPr>
  </w:style>
  <w:style w:type="paragraph" w:styleId="7">
    <w:name w:val="heading 5"/>
    <w:basedOn w:val="1"/>
    <w:next w:val="1"/>
    <w:link w:val="168"/>
    <w:unhideWhenUsed/>
    <w:qFormat/>
    <w:uiPriority w:val="9"/>
    <w:pPr>
      <w:keepNext/>
      <w:keepLines/>
      <w:spacing w:before="80" w:after="40"/>
      <w:outlineLvl w:val="4"/>
    </w:pPr>
    <w:rPr>
      <w:rFonts w:ascii="Arial" w:hAnsi="Arial" w:eastAsia="Arial" w:cs="Arial"/>
      <w:color w:val="2E75B6" w:themeColor="accent1" w:themeShade="BF"/>
    </w:rPr>
  </w:style>
  <w:style w:type="paragraph" w:styleId="8">
    <w:name w:val="heading 6"/>
    <w:basedOn w:val="1"/>
    <w:next w:val="1"/>
    <w:link w:val="169"/>
    <w:unhideWhenUsed/>
    <w:qFormat/>
    <w:uiPriority w:val="9"/>
    <w:pPr>
      <w:keepNext/>
      <w:keepLines/>
      <w:spacing w:before="40" w:after="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9">
    <w:name w:val="heading 7"/>
    <w:basedOn w:val="1"/>
    <w:next w:val="1"/>
    <w:link w:val="170"/>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171"/>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1">
    <w:name w:val="heading 9"/>
    <w:basedOn w:val="1"/>
    <w:next w:val="1"/>
    <w:link w:val="172"/>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32">
    <w:name w:val="Default Paragraph Font"/>
    <w:semiHidden/>
    <w:qFormat/>
    <w:uiPriority w:val="0"/>
  </w:style>
  <w:style w:type="table" w:default="1" w:styleId="30">
    <w:name w:val="Normal Table"/>
    <w:semiHidden/>
    <w:qFormat/>
    <w:uiPriority w:val="0"/>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Body Text"/>
    <w:basedOn w:val="1"/>
    <w:next w:val="1"/>
    <w:qFormat/>
    <w:uiPriority w:val="0"/>
    <w:pPr>
      <w:jc w:val="center"/>
    </w:pPr>
    <w:rPr>
      <w:sz w:val="52"/>
    </w:rPr>
  </w:style>
  <w:style w:type="paragraph" w:styleId="12">
    <w:name w:val="toc 7"/>
    <w:basedOn w:val="1"/>
    <w:next w:val="1"/>
    <w:unhideWhenUsed/>
    <w:qFormat/>
    <w:uiPriority w:val="39"/>
    <w:pPr>
      <w:spacing w:after="100"/>
      <w:ind w:left="1320"/>
    </w:pPr>
  </w:style>
  <w:style w:type="paragraph" w:styleId="13">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4">
    <w:name w:val="annotation text"/>
    <w:basedOn w:val="1"/>
    <w:qFormat/>
    <w:uiPriority w:val="0"/>
    <w:pPr>
      <w:jc w:val="left"/>
    </w:pPr>
  </w:style>
  <w:style w:type="paragraph" w:styleId="15">
    <w:name w:val="toc 5"/>
    <w:basedOn w:val="1"/>
    <w:next w:val="1"/>
    <w:unhideWhenUsed/>
    <w:qFormat/>
    <w:uiPriority w:val="39"/>
    <w:pPr>
      <w:spacing w:after="100"/>
      <w:ind w:left="880"/>
    </w:pPr>
  </w:style>
  <w:style w:type="paragraph" w:styleId="16">
    <w:name w:val="toc 3"/>
    <w:basedOn w:val="1"/>
    <w:next w:val="1"/>
    <w:unhideWhenUsed/>
    <w:qFormat/>
    <w:uiPriority w:val="39"/>
    <w:pPr>
      <w:spacing w:after="100"/>
      <w:ind w:left="440"/>
    </w:pPr>
  </w:style>
  <w:style w:type="paragraph" w:styleId="17">
    <w:name w:val="toc 8"/>
    <w:basedOn w:val="1"/>
    <w:next w:val="1"/>
    <w:unhideWhenUsed/>
    <w:qFormat/>
    <w:uiPriority w:val="39"/>
    <w:pPr>
      <w:spacing w:after="100"/>
      <w:ind w:left="1540"/>
    </w:pPr>
  </w:style>
  <w:style w:type="paragraph" w:styleId="18">
    <w:name w:val="endnote text"/>
    <w:basedOn w:val="1"/>
    <w:link w:val="189"/>
    <w:semiHidden/>
    <w:unhideWhenUsed/>
    <w:qFormat/>
    <w:uiPriority w:val="99"/>
    <w:pPr>
      <w:spacing w:after="0" w:line="240" w:lineRule="auto"/>
    </w:pPr>
    <w:rPr>
      <w:sz w:val="20"/>
      <w:szCs w:val="20"/>
    </w:rPr>
  </w:style>
  <w:style w:type="paragraph" w:styleId="19">
    <w:name w:val="footer"/>
    <w:basedOn w:val="1"/>
    <w:link w:val="187"/>
    <w:unhideWhenUsed/>
    <w:uiPriority w:val="99"/>
    <w:pPr>
      <w:tabs>
        <w:tab w:val="center" w:pos="4844"/>
        <w:tab w:val="right" w:pos="9689"/>
      </w:tabs>
      <w:spacing w:after="0" w:line="240" w:lineRule="auto"/>
    </w:pPr>
  </w:style>
  <w:style w:type="paragraph" w:styleId="20">
    <w:name w:val="header"/>
    <w:basedOn w:val="1"/>
    <w:link w:val="186"/>
    <w:unhideWhenUsed/>
    <w:qFormat/>
    <w:uiPriority w:val="99"/>
    <w:pPr>
      <w:tabs>
        <w:tab w:val="center" w:pos="4844"/>
        <w:tab w:val="right" w:pos="9689"/>
      </w:tabs>
      <w:spacing w:after="0" w:line="240" w:lineRule="auto"/>
    </w:pPr>
  </w:style>
  <w:style w:type="paragraph" w:styleId="21">
    <w:name w:val="toc 1"/>
    <w:basedOn w:val="1"/>
    <w:next w:val="1"/>
    <w:unhideWhenUsed/>
    <w:qFormat/>
    <w:uiPriority w:val="39"/>
    <w:pPr>
      <w:spacing w:after="100"/>
    </w:pPr>
  </w:style>
  <w:style w:type="paragraph" w:styleId="22">
    <w:name w:val="toc 4"/>
    <w:basedOn w:val="1"/>
    <w:next w:val="1"/>
    <w:unhideWhenUsed/>
    <w:qFormat/>
    <w:uiPriority w:val="39"/>
    <w:pPr>
      <w:spacing w:after="100"/>
      <w:ind w:left="660"/>
    </w:pPr>
  </w:style>
  <w:style w:type="paragraph" w:styleId="23">
    <w:name w:val="Subtitle"/>
    <w:basedOn w:val="1"/>
    <w:next w:val="1"/>
    <w:link w:val="174"/>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24">
    <w:name w:val="footnote text"/>
    <w:basedOn w:val="1"/>
    <w:link w:val="188"/>
    <w:semiHidden/>
    <w:unhideWhenUsed/>
    <w:qFormat/>
    <w:uiPriority w:val="99"/>
    <w:pPr>
      <w:spacing w:after="0" w:line="240" w:lineRule="auto"/>
    </w:pPr>
    <w:rPr>
      <w:sz w:val="20"/>
      <w:szCs w:val="20"/>
    </w:rPr>
  </w:style>
  <w:style w:type="paragraph" w:styleId="25">
    <w:name w:val="toc 6"/>
    <w:basedOn w:val="1"/>
    <w:next w:val="1"/>
    <w:unhideWhenUsed/>
    <w:uiPriority w:val="39"/>
    <w:pPr>
      <w:spacing w:after="100"/>
      <w:ind w:left="110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100"/>
      <w:ind w:left="220"/>
    </w:pPr>
  </w:style>
  <w:style w:type="paragraph" w:styleId="28">
    <w:name w:val="toc 9"/>
    <w:basedOn w:val="1"/>
    <w:next w:val="1"/>
    <w:unhideWhenUsed/>
    <w:qFormat/>
    <w:uiPriority w:val="39"/>
    <w:pPr>
      <w:spacing w:after="100"/>
      <w:ind w:left="1760"/>
    </w:pPr>
  </w:style>
  <w:style w:type="paragraph" w:styleId="29">
    <w:name w:val="Title"/>
    <w:basedOn w:val="1"/>
    <w:next w:val="1"/>
    <w:link w:val="173"/>
    <w:qFormat/>
    <w:uiPriority w:val="10"/>
    <w:pPr>
      <w:spacing w:after="80" w:line="240" w:lineRule="auto"/>
      <w:contextualSpacing/>
    </w:pPr>
    <w:rPr>
      <w:rFonts w:ascii="Arial" w:hAnsi="Arial" w:eastAsia="Arial" w:cs="Arial"/>
      <w:spacing w:val="-10"/>
      <w:sz w:val="56"/>
      <w:szCs w:val="56"/>
    </w:rPr>
  </w:style>
  <w:style w:type="table" w:styleId="31">
    <w:name w:val="Table Grid"/>
    <w:basedOn w:val="30"/>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3">
    <w:name w:val="Strong"/>
    <w:basedOn w:val="32"/>
    <w:qFormat/>
    <w:uiPriority w:val="22"/>
    <w:rPr>
      <w:b/>
      <w:bCs/>
    </w:rPr>
  </w:style>
  <w:style w:type="character" w:styleId="34">
    <w:name w:val="endnote reference"/>
    <w:basedOn w:val="32"/>
    <w:semiHidden/>
    <w:unhideWhenUsed/>
    <w:qFormat/>
    <w:uiPriority w:val="99"/>
    <w:rPr>
      <w:vertAlign w:val="superscript"/>
    </w:rPr>
  </w:style>
  <w:style w:type="character" w:styleId="35">
    <w:name w:val="FollowedHyperlink"/>
    <w:basedOn w:val="32"/>
    <w:semiHidden/>
    <w:unhideWhenUsed/>
    <w:qFormat/>
    <w:uiPriority w:val="99"/>
    <w:rPr>
      <w:color w:val="954F72" w:themeColor="followedHyperlink"/>
      <w:u w:val="single"/>
      <w14:textFill>
        <w14:solidFill>
          <w14:schemeClr w14:val="folHlink"/>
        </w14:solidFill>
      </w14:textFill>
    </w:rPr>
  </w:style>
  <w:style w:type="character" w:styleId="36">
    <w:name w:val="Emphasis"/>
    <w:basedOn w:val="32"/>
    <w:qFormat/>
    <w:uiPriority w:val="20"/>
    <w:rPr>
      <w:i/>
      <w:iCs/>
    </w:rPr>
  </w:style>
  <w:style w:type="character" w:styleId="37">
    <w:name w:val="Hyperlink"/>
    <w:basedOn w:val="32"/>
    <w:unhideWhenUsed/>
    <w:uiPriority w:val="99"/>
    <w:rPr>
      <w:color w:val="0563C1" w:themeColor="hyperlink"/>
      <w:u w:val="single"/>
      <w14:textFill>
        <w14:solidFill>
          <w14:schemeClr w14:val="hlink"/>
        </w14:solidFill>
      </w14:textFill>
    </w:rPr>
  </w:style>
  <w:style w:type="character" w:styleId="38">
    <w:name w:val="footnote reference"/>
    <w:basedOn w:val="32"/>
    <w:semiHidden/>
    <w:unhideWhenUsed/>
    <w:qFormat/>
    <w:uiPriority w:val="99"/>
    <w:rPr>
      <w:vertAlign w:val="superscript"/>
    </w:rPr>
  </w:style>
  <w:style w:type="table" w:customStyle="1" w:styleId="39">
    <w:name w:val="Table Grid Light"/>
    <w:basedOn w:val="3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40">
    <w:name w:val="Plain Table 1"/>
    <w:basedOn w:val="3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1">
    <w:name w:val="Plain Table 2"/>
    <w:basedOn w:val="3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42">
    <w:name w:val="Plain Table 3"/>
    <w:basedOn w:val="3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3">
    <w:name w:val="Plain Table 4"/>
    <w:basedOn w:val="3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4">
    <w:name w:val="Plain Table 5"/>
    <w:basedOn w:val="3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5">
    <w:name w:val="Grid Table 1 Light"/>
    <w:basedOn w:val="3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46">
    <w:name w:val="Grid Table 1 Light - Accent 1"/>
    <w:basedOn w:val="3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47">
    <w:name w:val="Grid Table 1 Light - Accent 2"/>
    <w:basedOn w:val="3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48">
    <w:name w:val="Grid Table 1 Light - Accent 3"/>
    <w:basedOn w:val="3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49">
    <w:name w:val="Grid Table 1 Light - Accent 4"/>
    <w:basedOn w:val="3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50">
    <w:name w:val="Grid Table 1 Light - Accent 5"/>
    <w:basedOn w:val="3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51">
    <w:name w:val="Grid Table 1 Light - Accent 6"/>
    <w:basedOn w:val="30"/>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52">
    <w:name w:val="Grid Table 2"/>
    <w:basedOn w:val="3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53">
    <w:name w:val="Grid Table 2 - Accent 1"/>
    <w:basedOn w:val="3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54">
    <w:name w:val="Grid Table 2 - Accent 2"/>
    <w:basedOn w:val="3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55">
    <w:name w:val="Grid Table 2 - Accent 3"/>
    <w:basedOn w:val="3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56">
    <w:name w:val="Grid Table 2 - Accent 4"/>
    <w:basedOn w:val="3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57">
    <w:name w:val="Grid Table 2 - Accent 5"/>
    <w:basedOn w:val="3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58">
    <w:name w:val="Grid Table 2 - Accent 6"/>
    <w:basedOn w:val="3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59">
    <w:name w:val="Grid Table 3"/>
    <w:basedOn w:val="3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0">
    <w:name w:val="Grid Table 3 - Accent 1"/>
    <w:basedOn w:val="3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1">
    <w:name w:val="Grid Table 3 - Accent 2"/>
    <w:basedOn w:val="3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2">
    <w:name w:val="Grid Table 3 - Accent 3"/>
    <w:basedOn w:val="3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63">
    <w:name w:val="Grid Table 3 - Accent 4"/>
    <w:basedOn w:val="3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64">
    <w:name w:val="Grid Table 3 - Accent 5"/>
    <w:basedOn w:val="3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65">
    <w:name w:val="Grid Table 3 - Accent 6"/>
    <w:basedOn w:val="3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66">
    <w:name w:val="Grid Table 4"/>
    <w:basedOn w:val="3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7">
    <w:name w:val="Grid Table 4 - Accent 1"/>
    <w:basedOn w:val="30"/>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68">
    <w:name w:val="Grid Table 4 - Accent 2"/>
    <w:basedOn w:val="3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9">
    <w:name w:val="Grid Table 4 - Accent 3"/>
    <w:basedOn w:val="3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0">
    <w:name w:val="Grid Table 4 - Accent 4"/>
    <w:basedOn w:val="30"/>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1">
    <w:name w:val="Grid Table 4 - Accent 5"/>
    <w:basedOn w:val="30"/>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2">
    <w:name w:val="Grid Table 4 - Accent 6"/>
    <w:basedOn w:val="3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3">
    <w:name w:val="Grid Table 5 Dark"/>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74">
    <w:name w:val="Grid Table 5 Dark- Accent 1"/>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75">
    <w:name w:val="Grid Table 5 Dark - Accent 2"/>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76">
    <w:name w:val="Grid Table 5 Dark - Accent 3"/>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77">
    <w:name w:val="Grid Table 5 Dark- Accent 4"/>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78">
    <w:name w:val="Grid Table 5 Dark - Accent 5"/>
    <w:basedOn w:val="3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79">
    <w:name w:val="Grid Table 5 Dark - Accent 6"/>
    <w:basedOn w:val="3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80">
    <w:name w:val="Grid Table 6 Colorful"/>
    <w:basedOn w:val="3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81">
    <w:name w:val="Grid Table 6 Colorful - Accent 1"/>
    <w:basedOn w:val="30"/>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82">
    <w:name w:val="Grid Table 6 Colorful - Accent 2"/>
    <w:basedOn w:val="3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83">
    <w:name w:val="Grid Table 6 Colorful - Accent 3"/>
    <w:basedOn w:val="30"/>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84">
    <w:name w:val="Grid Table 6 Colorful - Accent 4"/>
    <w:basedOn w:val="3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85">
    <w:name w:val="Grid Table 6 Colorful - Accent 5"/>
    <w:basedOn w:val="30"/>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86">
    <w:name w:val="Grid Table 6 Colorful - Accent 6"/>
    <w:basedOn w:val="30"/>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87">
    <w:name w:val="Grid Table 7 Colorful"/>
    <w:basedOn w:val="3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88">
    <w:name w:val="Grid Table 7 Colorful - Accent 1"/>
    <w:basedOn w:val="30"/>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89">
    <w:name w:val="Grid Table 7 Colorful - Accent 2"/>
    <w:basedOn w:val="3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0">
    <w:name w:val="Grid Table 7 Colorful - Accent 3"/>
    <w:basedOn w:val="3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1">
    <w:name w:val="Grid Table 7 Colorful - Accent 4"/>
    <w:basedOn w:val="3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2">
    <w:name w:val="Grid Table 7 Colorful - Accent 5"/>
    <w:basedOn w:val="30"/>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3">
    <w:name w:val="Grid Table 7 Colorful - Accent 6"/>
    <w:basedOn w:val="3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94">
    <w:name w:val="List Table 1 Light"/>
    <w:basedOn w:val="3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95">
    <w:name w:val="List Table 1 Light - Accent 1"/>
    <w:basedOn w:val="30"/>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96">
    <w:name w:val="List Table 1 Light - Accent 2"/>
    <w:basedOn w:val="3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97">
    <w:name w:val="List Table 1 Light - Accent 3"/>
    <w:basedOn w:val="3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98">
    <w:name w:val="List Table 1 Light - Accent 4"/>
    <w:basedOn w:val="3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99">
    <w:name w:val="List Table 1 Light - Accent 5"/>
    <w:basedOn w:val="30"/>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00">
    <w:name w:val="List Table 1 Light - Accent 6"/>
    <w:basedOn w:val="3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01">
    <w:name w:val="List Table 2"/>
    <w:basedOn w:val="30"/>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2">
    <w:name w:val="List Table 2 - Accent 1"/>
    <w:basedOn w:val="30"/>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3">
    <w:name w:val="List Table 2 - Accent 2"/>
    <w:basedOn w:val="30"/>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04">
    <w:name w:val="List Table 2 - Accent 3"/>
    <w:basedOn w:val="3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05">
    <w:name w:val="List Table 2 - Accent 4"/>
    <w:basedOn w:val="3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06">
    <w:name w:val="List Table 2 - Accent 5"/>
    <w:basedOn w:val="30"/>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07">
    <w:name w:val="List Table 2 - Accent 6"/>
    <w:basedOn w:val="30"/>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08">
    <w:name w:val="List Table 3"/>
    <w:basedOn w:val="3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09">
    <w:name w:val="List Table 3 - Accent 1"/>
    <w:basedOn w:val="30"/>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10">
    <w:name w:val="List Table 3 - Accent 2"/>
    <w:basedOn w:val="30"/>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11">
    <w:name w:val="List Table 3 - Accent 3"/>
    <w:basedOn w:val="30"/>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12">
    <w:name w:val="List Table 3 - Accent 4"/>
    <w:basedOn w:val="30"/>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13">
    <w:name w:val="List Table 3 - Accent 5"/>
    <w:basedOn w:val="30"/>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14">
    <w:name w:val="List Table 3 - Accent 6"/>
    <w:basedOn w:val="30"/>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15">
    <w:name w:val="List Table 4"/>
    <w:basedOn w:val="3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6">
    <w:name w:val="List Table 4 - Accent 1"/>
    <w:basedOn w:val="30"/>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7">
    <w:name w:val="List Table 4 - Accent 2"/>
    <w:basedOn w:val="30"/>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8">
    <w:name w:val="List Table 4 - Accent 3"/>
    <w:basedOn w:val="30"/>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9">
    <w:name w:val="List Table 4 - Accent 4"/>
    <w:basedOn w:val="30"/>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20">
    <w:name w:val="List Table 4 - Accent 5"/>
    <w:basedOn w:val="30"/>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21">
    <w:name w:val="List Table 4 - Accent 6"/>
    <w:basedOn w:val="30"/>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22">
    <w:name w:val="List Table 5 Dark"/>
    <w:basedOn w:val="3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23">
    <w:name w:val="List Table 5 Dark - Accent 1"/>
    <w:basedOn w:val="30"/>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24">
    <w:name w:val="List Table 5 Dark - Accent 2"/>
    <w:basedOn w:val="30"/>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25">
    <w:name w:val="List Table 5 Dark - Accent 3"/>
    <w:basedOn w:val="30"/>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26">
    <w:name w:val="List Table 5 Dark - Accent 4"/>
    <w:basedOn w:val="30"/>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27">
    <w:name w:val="List Table 5 Dark - Accent 5"/>
    <w:basedOn w:val="30"/>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28">
    <w:name w:val="List Table 5 Dark - Accent 6"/>
    <w:basedOn w:val="30"/>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29">
    <w:name w:val="List Table 6 Colorful"/>
    <w:basedOn w:val="30"/>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30">
    <w:name w:val="List Table 6 Colorful - Accent 1"/>
    <w:basedOn w:val="30"/>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31">
    <w:name w:val="List Table 6 Colorful - Accent 2"/>
    <w:basedOn w:val="30"/>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32">
    <w:name w:val="List Table 6 Colorful - Accent 3"/>
    <w:basedOn w:val="30"/>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33">
    <w:name w:val="List Table 6 Colorful - Accent 4"/>
    <w:basedOn w:val="30"/>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34">
    <w:name w:val="List Table 6 Colorful - Accent 5"/>
    <w:basedOn w:val="30"/>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35">
    <w:name w:val="List Table 6 Colorful - Accent 6"/>
    <w:basedOn w:val="30"/>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36">
    <w:name w:val="List Table 7 Colorful"/>
    <w:basedOn w:val="30"/>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37">
    <w:name w:val="List Table 7 Colorful - Accent 1"/>
    <w:basedOn w:val="30"/>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38">
    <w:name w:val="List Table 7 Colorful - Accent 2"/>
    <w:basedOn w:val="30"/>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39">
    <w:name w:val="List Table 7 Colorful - Accent 3"/>
    <w:basedOn w:val="30"/>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0">
    <w:name w:val="List Table 7 Colorful - Accent 4"/>
    <w:basedOn w:val="30"/>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1">
    <w:name w:val="List Table 7 Colorful - Accent 5"/>
    <w:basedOn w:val="30"/>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2">
    <w:name w:val="List Table 7 Colorful - Accent 6"/>
    <w:basedOn w:val="30"/>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3">
    <w:name w:val="Lined - Accent"/>
    <w:basedOn w:val="30"/>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44">
    <w:name w:val="Lined - Accent 1"/>
    <w:basedOn w:val="30"/>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45">
    <w:name w:val="Lined - Accent 2"/>
    <w:basedOn w:val="30"/>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46">
    <w:name w:val="Lined - Accent 3"/>
    <w:basedOn w:val="30"/>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47">
    <w:name w:val="Lined - Accent 4"/>
    <w:basedOn w:val="30"/>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48">
    <w:name w:val="Lined - Accent 5"/>
    <w:basedOn w:val="30"/>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49">
    <w:name w:val="Lined - Accent 6"/>
    <w:basedOn w:val="30"/>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50">
    <w:name w:val="Bordered &amp; Lined - Accent"/>
    <w:basedOn w:val="30"/>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1">
    <w:name w:val="Bordered &amp; Lined - Accent 1"/>
    <w:basedOn w:val="30"/>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2">
    <w:name w:val="Bordered &amp; Lined - Accent 2"/>
    <w:basedOn w:val="30"/>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53">
    <w:name w:val="Bordered &amp; Lined - Accent 3"/>
    <w:basedOn w:val="30"/>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54">
    <w:name w:val="Bordered &amp; Lined - Accent 4"/>
    <w:basedOn w:val="30"/>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55">
    <w:name w:val="Bordered &amp; Lined - Accent 5"/>
    <w:basedOn w:val="30"/>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56">
    <w:name w:val="Bordered &amp; Lined - Accent 6"/>
    <w:basedOn w:val="30"/>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57">
    <w:name w:val="Bordered"/>
    <w:basedOn w:val="30"/>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58">
    <w:name w:val="Bordered - Accent 1"/>
    <w:basedOn w:val="30"/>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59">
    <w:name w:val="Bordered - Accent 2"/>
    <w:basedOn w:val="30"/>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60">
    <w:name w:val="Bordered - Accent 3"/>
    <w:basedOn w:val="30"/>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61">
    <w:name w:val="Bordered - Accent 4"/>
    <w:basedOn w:val="30"/>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62">
    <w:name w:val="Bordered - Accent 5"/>
    <w:basedOn w:val="30"/>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63">
    <w:name w:val="Bordered - Accent 6"/>
    <w:basedOn w:val="30"/>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64">
    <w:name w:val="Heading 1 Char"/>
    <w:basedOn w:val="32"/>
    <w:link w:val="3"/>
    <w:uiPriority w:val="9"/>
    <w:rPr>
      <w:rFonts w:ascii="Arial" w:hAnsi="Arial" w:eastAsia="Arial" w:cs="Arial"/>
      <w:color w:val="2E75B6" w:themeColor="accent1" w:themeShade="BF"/>
      <w:sz w:val="40"/>
      <w:szCs w:val="40"/>
    </w:rPr>
  </w:style>
  <w:style w:type="character" w:customStyle="1" w:styleId="165">
    <w:name w:val="Heading 2 Char"/>
    <w:basedOn w:val="32"/>
    <w:link w:val="4"/>
    <w:uiPriority w:val="9"/>
    <w:rPr>
      <w:rFonts w:ascii="Arial" w:hAnsi="Arial" w:eastAsia="Arial" w:cs="Arial"/>
      <w:color w:val="2E75B6" w:themeColor="accent1" w:themeShade="BF"/>
      <w:sz w:val="32"/>
      <w:szCs w:val="32"/>
    </w:rPr>
  </w:style>
  <w:style w:type="character" w:customStyle="1" w:styleId="166">
    <w:name w:val="Heading 3 Char"/>
    <w:basedOn w:val="32"/>
    <w:link w:val="5"/>
    <w:uiPriority w:val="9"/>
    <w:rPr>
      <w:rFonts w:ascii="Arial" w:hAnsi="Arial" w:eastAsia="Arial" w:cs="Arial"/>
      <w:color w:val="2E75B6" w:themeColor="accent1" w:themeShade="BF"/>
      <w:sz w:val="28"/>
      <w:szCs w:val="28"/>
    </w:rPr>
  </w:style>
  <w:style w:type="character" w:customStyle="1" w:styleId="167">
    <w:name w:val="Heading 4 Char"/>
    <w:basedOn w:val="32"/>
    <w:link w:val="6"/>
    <w:uiPriority w:val="9"/>
    <w:rPr>
      <w:rFonts w:ascii="Arial" w:hAnsi="Arial" w:eastAsia="Arial" w:cs="Arial"/>
      <w:i/>
      <w:iCs/>
      <w:color w:val="2E75B6" w:themeColor="accent1" w:themeShade="BF"/>
    </w:rPr>
  </w:style>
  <w:style w:type="character" w:customStyle="1" w:styleId="168">
    <w:name w:val="Heading 5 Char"/>
    <w:basedOn w:val="32"/>
    <w:link w:val="7"/>
    <w:uiPriority w:val="9"/>
    <w:rPr>
      <w:rFonts w:ascii="Arial" w:hAnsi="Arial" w:eastAsia="Arial" w:cs="Arial"/>
      <w:color w:val="2E75B6" w:themeColor="accent1" w:themeShade="BF"/>
    </w:rPr>
  </w:style>
  <w:style w:type="character" w:customStyle="1" w:styleId="169">
    <w:name w:val="Heading 6 Char"/>
    <w:basedOn w:val="32"/>
    <w:link w:val="8"/>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0">
    <w:name w:val="Heading 7 Char"/>
    <w:basedOn w:val="32"/>
    <w:link w:val="9"/>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1">
    <w:name w:val="Heading 8 Char"/>
    <w:basedOn w:val="32"/>
    <w:link w:val="10"/>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2">
    <w:name w:val="Heading 9 Char"/>
    <w:basedOn w:val="32"/>
    <w:link w:val="11"/>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3">
    <w:name w:val="Title Char"/>
    <w:basedOn w:val="32"/>
    <w:link w:val="29"/>
    <w:uiPriority w:val="10"/>
    <w:rPr>
      <w:rFonts w:ascii="Arial" w:hAnsi="Arial" w:eastAsia="Arial" w:cs="Arial"/>
      <w:spacing w:val="-10"/>
      <w:sz w:val="56"/>
      <w:szCs w:val="56"/>
    </w:rPr>
  </w:style>
  <w:style w:type="character" w:customStyle="1" w:styleId="174">
    <w:name w:val="Subtitle Char"/>
    <w:basedOn w:val="32"/>
    <w:link w:val="23"/>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75">
    <w:name w:val="Quote"/>
    <w:basedOn w:val="1"/>
    <w:next w:val="1"/>
    <w:link w:val="17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6">
    <w:name w:val="Quote Char"/>
    <w:basedOn w:val="32"/>
    <w:link w:val="175"/>
    <w:uiPriority w:val="29"/>
    <w:rPr>
      <w:i/>
      <w:iCs/>
      <w:color w:val="404040" w:themeColor="text1" w:themeTint="BF"/>
      <w14:textFill>
        <w14:solidFill>
          <w14:schemeClr w14:val="tx1">
            <w14:lumMod w14:val="75000"/>
            <w14:lumOff w14:val="25000"/>
          </w14:schemeClr>
        </w14:solidFill>
      </w14:textFill>
    </w:rPr>
  </w:style>
  <w:style w:type="paragraph" w:styleId="177">
    <w:name w:val="List Paragraph"/>
    <w:basedOn w:val="1"/>
    <w:qFormat/>
    <w:uiPriority w:val="34"/>
    <w:pPr>
      <w:ind w:left="720"/>
      <w:contextualSpacing/>
    </w:pPr>
  </w:style>
  <w:style w:type="character" w:customStyle="1" w:styleId="178">
    <w:name w:val="Intense Emphasis"/>
    <w:basedOn w:val="32"/>
    <w:qFormat/>
    <w:uiPriority w:val="21"/>
    <w:rPr>
      <w:i/>
      <w:iCs/>
      <w:color w:val="2E75B6" w:themeColor="accent1" w:themeShade="BF"/>
    </w:rPr>
  </w:style>
  <w:style w:type="paragraph" w:styleId="179">
    <w:name w:val="Intense Quote"/>
    <w:basedOn w:val="1"/>
    <w:next w:val="1"/>
    <w:link w:val="180"/>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80">
    <w:name w:val="Intense Quote Char"/>
    <w:basedOn w:val="32"/>
    <w:link w:val="179"/>
    <w:uiPriority w:val="30"/>
    <w:rPr>
      <w:i/>
      <w:iCs/>
      <w:color w:val="2E75B6" w:themeColor="accent1" w:themeShade="BF"/>
    </w:rPr>
  </w:style>
  <w:style w:type="character" w:customStyle="1" w:styleId="181">
    <w:name w:val="Intense Reference"/>
    <w:basedOn w:val="32"/>
    <w:qFormat/>
    <w:uiPriority w:val="32"/>
    <w:rPr>
      <w:b/>
      <w:bCs/>
      <w:smallCaps/>
      <w:color w:val="2E75B6" w:themeColor="accent1" w:themeShade="BF"/>
      <w:spacing w:val="5"/>
    </w:rPr>
  </w:style>
  <w:style w:type="paragraph" w:styleId="182">
    <w:name w:val="No Spacing"/>
    <w:basedOn w:val="1"/>
    <w:qFormat/>
    <w:uiPriority w:val="1"/>
    <w:pPr>
      <w:spacing w:after="0" w:line="240" w:lineRule="auto"/>
    </w:pPr>
  </w:style>
  <w:style w:type="character" w:customStyle="1" w:styleId="183">
    <w:name w:val="Subtle Emphasis"/>
    <w:basedOn w:val="32"/>
    <w:qFormat/>
    <w:uiPriority w:val="19"/>
    <w:rPr>
      <w:i/>
      <w:iCs/>
      <w:color w:val="404040" w:themeColor="text1" w:themeTint="BF"/>
      <w14:textFill>
        <w14:solidFill>
          <w14:schemeClr w14:val="tx1">
            <w14:lumMod w14:val="75000"/>
            <w14:lumOff w14:val="25000"/>
          </w14:schemeClr>
        </w14:solidFill>
      </w14:textFill>
    </w:rPr>
  </w:style>
  <w:style w:type="character" w:customStyle="1" w:styleId="184">
    <w:name w:val="Subtle Reference"/>
    <w:basedOn w:val="32"/>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85">
    <w:name w:val="Book Title"/>
    <w:basedOn w:val="32"/>
    <w:qFormat/>
    <w:uiPriority w:val="33"/>
    <w:rPr>
      <w:b/>
      <w:bCs/>
      <w:i/>
      <w:iCs/>
      <w:spacing w:val="5"/>
    </w:rPr>
  </w:style>
  <w:style w:type="character" w:customStyle="1" w:styleId="186">
    <w:name w:val="Header Char"/>
    <w:basedOn w:val="32"/>
    <w:link w:val="20"/>
    <w:uiPriority w:val="99"/>
  </w:style>
  <w:style w:type="character" w:customStyle="1" w:styleId="187">
    <w:name w:val="Footer Char"/>
    <w:basedOn w:val="32"/>
    <w:link w:val="19"/>
    <w:uiPriority w:val="99"/>
  </w:style>
  <w:style w:type="character" w:customStyle="1" w:styleId="188">
    <w:name w:val="Footnote Text Char"/>
    <w:basedOn w:val="32"/>
    <w:link w:val="24"/>
    <w:semiHidden/>
    <w:uiPriority w:val="99"/>
    <w:rPr>
      <w:sz w:val="20"/>
      <w:szCs w:val="20"/>
    </w:rPr>
  </w:style>
  <w:style w:type="character" w:customStyle="1" w:styleId="189">
    <w:name w:val="Endnote Text Char"/>
    <w:basedOn w:val="32"/>
    <w:link w:val="18"/>
    <w:semiHidden/>
    <w:uiPriority w:val="99"/>
    <w:rPr>
      <w:sz w:val="20"/>
      <w:szCs w:val="20"/>
    </w:rPr>
  </w:style>
  <w:style w:type="paragraph" w:customStyle="1" w:styleId="190">
    <w:name w:val="TOC Heading"/>
    <w:unhideWhenUsed/>
    <w:uiPriority w:val="39"/>
    <w:rPr>
      <w:rFonts w:hint="default" w:ascii="Times New Roman" w:hAnsi="Times New Roman" w:eastAsia="宋体" w:cs="Times New Roman"/>
    </w:rPr>
  </w:style>
  <w:style w:type="paragraph" w:customStyle="1" w:styleId="191">
    <w:name w:val="Default"/>
    <w:qFormat/>
    <w:uiPriority w:val="0"/>
    <w:pPr>
      <w:widowControl w:val="0"/>
    </w:pPr>
    <w:rPr>
      <w:rFonts w:hint="default" w:ascii="仿宋_GB2312" w:eastAsia="仿宋_GB2312" w:cs="仿宋_GB2312" w:hAnsiTheme="minorHAnsi"/>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84</TotalTime>
  <ScaleCrop>false</ScaleCrop>
  <LinksUpToDate>false</LinksUpToDate>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2023-05-29T10:31:00Z</dcterms:created>
  <dc:creator>xjpicc</dc:creator>
  <cp:lastModifiedBy>赵超</cp:lastModifiedBy>
  <dcterms:modified xsi:type="dcterms:W3CDTF">2026-03-12T11:12:33Z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65B2F7EE42FE45A095D3FF8B6541D6DB</vt:lpwstr>
  </property>
</Properties>
</file>