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BA19E2">
      <w:pPr>
        <w:spacing w:line="360" w:lineRule="auto"/>
        <w:ind w:left="991" w:leftChars="472"/>
        <w:jc w:val="center"/>
        <w:rPr>
          <w:rFonts w:ascii="方正小标宋简体" w:eastAsia="方正小标宋简体"/>
          <w:b/>
          <w:sz w:val="52"/>
          <w:szCs w:val="72"/>
        </w:rPr>
      </w:pPr>
    </w:p>
    <w:p w14:paraId="115B8332">
      <w:pPr>
        <w:spacing w:line="360" w:lineRule="auto"/>
        <w:ind w:left="991" w:leftChars="472"/>
        <w:jc w:val="center"/>
        <w:rPr>
          <w:rFonts w:ascii="方正小标宋简体" w:eastAsia="方正小标宋简体"/>
          <w:b/>
          <w:sz w:val="52"/>
          <w:szCs w:val="72"/>
        </w:rPr>
      </w:pPr>
    </w:p>
    <w:p w14:paraId="2506985C">
      <w:pPr>
        <w:spacing w:line="360" w:lineRule="auto"/>
        <w:jc w:val="center"/>
        <w:rPr>
          <w:rFonts w:ascii="方正小标宋简体" w:eastAsia="方正小标宋简体"/>
          <w:b/>
          <w:sz w:val="52"/>
          <w:szCs w:val="72"/>
        </w:rPr>
      </w:pPr>
      <w:r>
        <w:rPr>
          <w:rFonts w:hint="eastAsia" w:ascii="方正小标宋简体" w:eastAsia="方正小标宋简体"/>
          <w:b/>
          <w:sz w:val="52"/>
          <w:szCs w:val="72"/>
        </w:rPr>
        <w:t>档案整理</w:t>
      </w:r>
      <w:r>
        <w:rPr>
          <w:rFonts w:hint="eastAsia" w:ascii="方正小标宋简体" w:eastAsia="方正小标宋简体"/>
          <w:b/>
          <w:sz w:val="52"/>
          <w:szCs w:val="72"/>
          <w:lang w:eastAsia="zh-CN"/>
        </w:rPr>
        <w:t>归档</w:t>
      </w:r>
      <w:r>
        <w:rPr>
          <w:rFonts w:hint="eastAsia" w:ascii="方正小标宋简体" w:eastAsia="方正小标宋简体"/>
          <w:b/>
          <w:sz w:val="52"/>
          <w:szCs w:val="72"/>
        </w:rPr>
        <w:t>及托管服务合同</w:t>
      </w:r>
    </w:p>
    <w:p w14:paraId="4EF0B9D6">
      <w:pPr>
        <w:spacing w:line="360" w:lineRule="auto"/>
        <w:jc w:val="center"/>
        <w:rPr>
          <w:rFonts w:ascii="方正小标宋简体" w:eastAsia="方正小标宋简体"/>
          <w:b/>
          <w:sz w:val="52"/>
          <w:szCs w:val="72"/>
        </w:rPr>
      </w:pPr>
    </w:p>
    <w:p w14:paraId="7DCA7975">
      <w:pPr>
        <w:spacing w:line="360" w:lineRule="auto"/>
        <w:jc w:val="center"/>
        <w:rPr>
          <w:rFonts w:ascii="黑体" w:hAnsi="宋体" w:eastAsia="黑体"/>
          <w:sz w:val="44"/>
          <w:szCs w:val="44"/>
        </w:rPr>
      </w:pPr>
      <w:r>
        <w:rPr>
          <w:rFonts w:hint="eastAsia" w:ascii="黑体" w:hAnsi="宋体" w:eastAsia="黑体"/>
          <w:sz w:val="44"/>
          <w:szCs w:val="44"/>
        </w:rPr>
        <w:t xml:space="preserve"> </w:t>
      </w:r>
    </w:p>
    <w:p w14:paraId="3931B1F8">
      <w:pPr>
        <w:spacing w:line="360" w:lineRule="auto"/>
        <w:jc w:val="center"/>
        <w:rPr>
          <w:rFonts w:ascii="方正小标宋简体" w:eastAsia="方正小标宋简体"/>
          <w:b/>
          <w:sz w:val="52"/>
          <w:szCs w:val="72"/>
        </w:rPr>
      </w:pPr>
    </w:p>
    <w:p w14:paraId="6F98AE23">
      <w:pPr>
        <w:spacing w:line="360" w:lineRule="auto"/>
        <w:jc w:val="center"/>
        <w:rPr>
          <w:rFonts w:ascii="方正小标宋简体" w:eastAsia="方正小标宋简体"/>
          <w:b/>
          <w:sz w:val="52"/>
          <w:szCs w:val="72"/>
        </w:rPr>
      </w:pPr>
    </w:p>
    <w:p w14:paraId="60B2ED34">
      <w:pPr>
        <w:spacing w:line="360" w:lineRule="auto"/>
        <w:jc w:val="center"/>
        <w:rPr>
          <w:rFonts w:ascii="方正小标宋简体" w:eastAsia="方正小标宋简体"/>
          <w:b/>
          <w:sz w:val="52"/>
          <w:szCs w:val="72"/>
        </w:rPr>
      </w:pPr>
    </w:p>
    <w:p w14:paraId="49659FB7">
      <w:pPr>
        <w:spacing w:line="360" w:lineRule="auto"/>
        <w:jc w:val="center"/>
        <w:rPr>
          <w:rFonts w:ascii="方正小标宋简体" w:eastAsia="方正小标宋简体"/>
          <w:b/>
          <w:sz w:val="52"/>
          <w:szCs w:val="72"/>
        </w:rPr>
      </w:pPr>
    </w:p>
    <w:p w14:paraId="3478EDBC">
      <w:pPr>
        <w:spacing w:line="360" w:lineRule="auto"/>
        <w:ind w:firstLine="1260" w:firstLineChars="450"/>
        <w:rPr>
          <w:sz w:val="28"/>
        </w:rPr>
      </w:pPr>
      <w:r>
        <w:rPr>
          <w:rFonts w:hint="eastAsia"/>
          <w:sz w:val="28"/>
        </w:rPr>
        <w:t>甲方：中国人民健康保险股份有限公司</w:t>
      </w:r>
    </w:p>
    <w:p w14:paraId="2FCE9610">
      <w:pPr>
        <w:widowControl/>
        <w:spacing w:line="360" w:lineRule="auto"/>
        <w:ind w:firstLine="1260" w:firstLineChars="450"/>
        <w:jc w:val="left"/>
        <w:rPr>
          <w:rFonts w:hint="default" w:ascii="方正小标宋简体" w:eastAsia="宋体"/>
          <w:b/>
          <w:sz w:val="52"/>
          <w:szCs w:val="72"/>
          <w:lang w:val="en-US" w:eastAsia="zh-CN"/>
        </w:rPr>
        <w:sectPr>
          <w:footerReference r:id="rId3" w:type="default"/>
          <w:pgSz w:w="11906" w:h="16838"/>
          <w:pgMar w:top="1440" w:right="1800" w:bottom="1440" w:left="1800" w:header="851" w:footer="992" w:gutter="0"/>
          <w:cols w:space="720" w:num="1"/>
          <w:docGrid w:type="lines" w:linePitch="312" w:charSpace="0"/>
        </w:sectPr>
      </w:pPr>
      <w:r>
        <w:rPr>
          <w:rFonts w:hint="eastAsia"/>
          <w:sz w:val="28"/>
        </w:rPr>
        <w:t>乙方：</w:t>
      </w:r>
    </w:p>
    <w:p w14:paraId="43983AE9">
      <w:pPr>
        <w:spacing w:line="360" w:lineRule="auto"/>
        <w:rPr>
          <w:rFonts w:ascii="仿宋_GB2312" w:eastAsia="仿宋_GB2312"/>
          <w:b/>
        </w:rPr>
      </w:pPr>
    </w:p>
    <w:p w14:paraId="075D2254">
      <w:pPr>
        <w:rPr>
          <w:rFonts w:ascii="楷体_GB2312" w:hAnsi="楷体_GB2312" w:eastAsia="楷体_GB2312"/>
          <w:b/>
          <w:sz w:val="24"/>
        </w:rPr>
      </w:pPr>
      <w:r>
        <w:rPr>
          <w:rFonts w:hint="eastAsia" w:ascii="楷体_GB2312" w:hAnsi="楷体_GB2312" w:eastAsia="楷体_GB2312"/>
          <w:b/>
          <w:sz w:val="24"/>
        </w:rPr>
        <w:t>鉴于：</w:t>
      </w:r>
    </w:p>
    <w:p w14:paraId="4967258F">
      <w:pPr>
        <w:spacing w:line="360" w:lineRule="auto"/>
        <w:ind w:firstLine="465"/>
        <w:rPr>
          <w:rFonts w:ascii="楷体_GB2312" w:hAnsi="楷体_GB2312" w:eastAsia="楷体_GB2312"/>
          <w:sz w:val="24"/>
        </w:rPr>
      </w:pPr>
      <w:r>
        <w:rPr>
          <w:rFonts w:hint="eastAsia" w:ascii="楷体_GB2312" w:hAnsi="楷体_GB2312" w:eastAsia="楷体_GB2312"/>
          <w:sz w:val="24"/>
        </w:rPr>
        <w:t xml:space="preserve">本合同双方当事人（1）均为依照中华人民共和国法律成立并有效存续的独立法人，（2）并且已经获得签署本合同的相应授权，（3）具备履行本合同所必须的资质和条件。   </w:t>
      </w:r>
    </w:p>
    <w:p w14:paraId="2D006E90">
      <w:pPr>
        <w:spacing w:line="360" w:lineRule="auto"/>
        <w:ind w:firstLine="480" w:firstLineChars="200"/>
        <w:rPr>
          <w:rFonts w:ascii="楷体_GB2312" w:hAnsi="楷体_GB2312" w:eastAsia="楷体_GB2312" w:cs="Arial"/>
          <w:sz w:val="24"/>
        </w:rPr>
      </w:pPr>
      <w:r>
        <w:rPr>
          <w:rFonts w:hint="eastAsia" w:ascii="楷体_GB2312" w:hAnsi="Arial" w:eastAsia="楷体_GB2312" w:cs="Arial"/>
          <w:sz w:val="24"/>
        </w:rPr>
        <w:t>为保障双方的合法权益，</w:t>
      </w:r>
      <w:r>
        <w:rPr>
          <w:rFonts w:hint="eastAsia" w:ascii="楷体_GB2312" w:hAnsi="楷体_GB2312" w:eastAsia="楷体_GB2312" w:cs="Arial"/>
          <w:sz w:val="24"/>
        </w:rPr>
        <w:t>根据《中华人民共和国民法典》及相关法律法规的规定,</w:t>
      </w:r>
      <w:r>
        <w:rPr>
          <w:rFonts w:hint="eastAsia" w:ascii="楷体_GB2312" w:hAnsi="Arial" w:eastAsia="楷体_GB2312" w:cs="Arial"/>
          <w:sz w:val="24"/>
        </w:rPr>
        <w:t xml:space="preserve"> 甲、乙双方在平等互利、协商一致的基础上，</w:t>
      </w:r>
      <w:r>
        <w:rPr>
          <w:rFonts w:hint="eastAsia" w:ascii="楷体_GB2312" w:hAnsi="楷体_GB2312" w:eastAsia="楷体_GB2312" w:cs="Arial"/>
          <w:sz w:val="24"/>
        </w:rPr>
        <w:t>就甲方委托乙方对</w:t>
      </w:r>
      <w:r>
        <w:rPr>
          <w:rFonts w:hint="eastAsia" w:ascii="楷体_GB2312" w:eastAsia="楷体_GB2312"/>
          <w:sz w:val="24"/>
          <w:u w:val="single"/>
        </w:rPr>
        <w:t>档案整理、归档、调阅等档案管理</w:t>
      </w:r>
      <w:r>
        <w:rPr>
          <w:rFonts w:hint="eastAsia" w:ascii="楷体_GB2312" w:hAnsi="楷体_GB2312" w:eastAsia="楷体_GB2312" w:cs="Arial"/>
          <w:sz w:val="24"/>
        </w:rPr>
        <w:t>提供服务事宜达成协议如下：</w:t>
      </w:r>
    </w:p>
    <w:p w14:paraId="5F9331FC">
      <w:pPr>
        <w:spacing w:line="360" w:lineRule="auto"/>
        <w:ind w:firstLine="420" w:firstLineChars="200"/>
        <w:rPr>
          <w:rFonts w:ascii="仿宋_GB2312" w:eastAsia="仿宋_GB2312"/>
        </w:rPr>
      </w:pPr>
    </w:p>
    <w:p w14:paraId="18D3FEAF">
      <w:pPr>
        <w:spacing w:line="360" w:lineRule="auto"/>
        <w:jc w:val="center"/>
        <w:rPr>
          <w:rFonts w:ascii="仿宋_GB2312" w:eastAsia="仿宋_GB2312"/>
          <w:b/>
        </w:rPr>
      </w:pPr>
      <w:r>
        <w:rPr>
          <w:rFonts w:hint="eastAsia" w:ascii="仿宋_GB2312" w:eastAsia="仿宋_GB2312"/>
          <w:b/>
        </w:rPr>
        <w:t>第一章  本项目基本情况</w:t>
      </w:r>
    </w:p>
    <w:p w14:paraId="0D1BCE15">
      <w:pPr>
        <w:spacing w:line="360" w:lineRule="auto"/>
        <w:ind w:firstLine="422" w:firstLineChars="200"/>
        <w:rPr>
          <w:rFonts w:ascii="仿宋_GB2312" w:eastAsia="仿宋_GB2312"/>
        </w:rPr>
      </w:pPr>
      <w:r>
        <w:rPr>
          <w:rFonts w:hint="eastAsia" w:ascii="仿宋_GB2312" w:eastAsia="仿宋_GB2312"/>
          <w:b/>
        </w:rPr>
        <w:t>第一条</w:t>
      </w:r>
      <w:r>
        <w:rPr>
          <w:rFonts w:hint="eastAsia" w:ascii="仿宋_GB2312" w:eastAsia="仿宋_GB2312"/>
        </w:rPr>
        <w:t xml:space="preserve"> </w:t>
      </w:r>
      <w:r>
        <w:rPr>
          <w:rFonts w:ascii="仿宋_GB2312" w:eastAsia="仿宋_GB2312"/>
        </w:rPr>
        <w:t xml:space="preserve"> </w:t>
      </w:r>
      <w:r>
        <w:rPr>
          <w:rFonts w:hint="eastAsia" w:ascii="仿宋_GB2312" w:eastAsia="仿宋_GB2312"/>
        </w:rPr>
        <w:t>项目名称：档案整理</w:t>
      </w:r>
      <w:r>
        <w:rPr>
          <w:rFonts w:hint="eastAsia" w:ascii="仿宋_GB2312" w:eastAsia="仿宋_GB2312"/>
          <w:lang w:eastAsia="zh-CN"/>
        </w:rPr>
        <w:t>归档</w:t>
      </w:r>
      <w:r>
        <w:rPr>
          <w:rFonts w:hint="eastAsia" w:ascii="仿宋_GB2312" w:eastAsia="仿宋_GB2312"/>
        </w:rPr>
        <w:t>及托管</w:t>
      </w:r>
      <w:r>
        <w:rPr>
          <w:rFonts w:hint="eastAsia" w:ascii="仿宋_GB2312" w:eastAsia="仿宋_GB2312"/>
          <w:lang w:val="en-US" w:eastAsia="zh-CN"/>
        </w:rPr>
        <w:t>等</w:t>
      </w:r>
      <w:r>
        <w:rPr>
          <w:rFonts w:hint="eastAsia" w:ascii="仿宋_GB2312" w:eastAsia="仿宋_GB2312"/>
        </w:rPr>
        <w:t>服务</w:t>
      </w:r>
    </w:p>
    <w:p w14:paraId="5B185817">
      <w:pPr>
        <w:spacing w:line="360" w:lineRule="auto"/>
        <w:ind w:firstLine="1260" w:firstLineChars="600"/>
        <w:rPr>
          <w:rFonts w:ascii="仿宋_GB2312" w:eastAsia="仿宋_GB2312"/>
        </w:rPr>
      </w:pPr>
      <w:r>
        <w:rPr>
          <w:rFonts w:hint="eastAsia" w:ascii="仿宋_GB2312" w:eastAsia="仿宋_GB2312"/>
        </w:rPr>
        <w:t>项目内容：梳理、归档、调阅、存储等档案管理内容</w:t>
      </w:r>
    </w:p>
    <w:p w14:paraId="7666039D">
      <w:pPr>
        <w:spacing w:line="360" w:lineRule="auto"/>
        <w:rPr>
          <w:rFonts w:ascii="仿宋_GB2312" w:eastAsia="仿宋_GB2312"/>
        </w:rPr>
      </w:pPr>
    </w:p>
    <w:p w14:paraId="5E2530C2">
      <w:pPr>
        <w:spacing w:line="360" w:lineRule="auto"/>
        <w:jc w:val="center"/>
        <w:rPr>
          <w:rFonts w:hint="default" w:ascii="仿宋_GB2312" w:eastAsia="仿宋_GB2312"/>
          <w:b/>
          <w:lang w:val="en-US" w:eastAsia="zh-CN"/>
        </w:rPr>
      </w:pPr>
      <w:r>
        <w:rPr>
          <w:rFonts w:hint="eastAsia" w:ascii="仿宋_GB2312" w:eastAsia="仿宋_GB2312"/>
          <w:b/>
        </w:rPr>
        <w:t>第二章  具体服务内容</w:t>
      </w:r>
      <w:r>
        <w:rPr>
          <w:rFonts w:hint="eastAsia" w:ascii="仿宋_GB2312" w:eastAsia="仿宋_GB2312"/>
          <w:b/>
          <w:lang w:val="en-US" w:eastAsia="zh-CN"/>
        </w:rPr>
        <w:t>及单价</w:t>
      </w:r>
    </w:p>
    <w:p w14:paraId="7B3C1DF7">
      <w:pPr>
        <w:spacing w:line="360" w:lineRule="auto"/>
        <w:ind w:firstLine="422" w:firstLineChars="200"/>
        <w:jc w:val="both"/>
        <w:rPr>
          <w:rFonts w:ascii="仿宋_GB2312" w:eastAsia="仿宋_GB2312"/>
        </w:rPr>
      </w:pPr>
      <w:r>
        <w:rPr>
          <w:rFonts w:hint="eastAsia" w:ascii="仿宋_GB2312" w:eastAsia="仿宋_GB2312"/>
          <w:b/>
        </w:rPr>
        <w:t>第二条</w:t>
      </w:r>
      <w:r>
        <w:rPr>
          <w:rFonts w:hint="eastAsia" w:ascii="仿宋_GB2312" w:eastAsia="仿宋_GB2312"/>
        </w:rPr>
        <w:t xml:space="preserve">  具体服务内容</w:t>
      </w:r>
      <w:r>
        <w:rPr>
          <w:rFonts w:hint="eastAsia" w:ascii="仿宋_GB2312" w:eastAsia="仿宋_GB2312"/>
          <w:lang w:val="en-US" w:eastAsia="zh-CN"/>
        </w:rPr>
        <w:t>及单价（含6%增值税）</w:t>
      </w:r>
      <w:r>
        <w:rPr>
          <w:rFonts w:hint="eastAsia" w:ascii="仿宋_GB2312" w:eastAsia="仿宋_GB2312"/>
        </w:rPr>
        <w:t>：</w:t>
      </w:r>
      <w:r>
        <w:rPr>
          <w:rFonts w:ascii="仿宋_GB2312" w:eastAsia="仿宋_GB2312"/>
        </w:rPr>
        <w:t xml:space="preserve"> </w:t>
      </w:r>
    </w:p>
    <w:p w14:paraId="11F41D9C">
      <w:pPr>
        <w:spacing w:line="360" w:lineRule="auto"/>
        <w:ind w:firstLine="640" w:firstLineChars="200"/>
        <w:jc w:val="center"/>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6</w:t>
      </w:r>
      <w:r>
        <w:rPr>
          <w:rFonts w:hint="eastAsia" w:ascii="仿宋_GB2312" w:eastAsia="仿宋_GB2312"/>
          <w:sz w:val="32"/>
          <w:szCs w:val="32"/>
        </w:rPr>
        <w:t>年服务内容及预算</w:t>
      </w:r>
    </w:p>
    <w:tbl>
      <w:tblPr>
        <w:tblStyle w:val="10"/>
        <w:tblW w:w="9020" w:type="dxa"/>
        <w:tblInd w:w="0" w:type="dxa"/>
        <w:tblLayout w:type="fixed"/>
        <w:tblCellMar>
          <w:top w:w="0" w:type="dxa"/>
          <w:left w:w="108" w:type="dxa"/>
          <w:bottom w:w="0" w:type="dxa"/>
          <w:right w:w="108" w:type="dxa"/>
        </w:tblCellMar>
      </w:tblPr>
      <w:tblGrid>
        <w:gridCol w:w="1302"/>
        <w:gridCol w:w="698"/>
        <w:gridCol w:w="1060"/>
        <w:gridCol w:w="1040"/>
        <w:gridCol w:w="1060"/>
        <w:gridCol w:w="3860"/>
      </w:tblGrid>
      <w:tr w14:paraId="6FA8BB18">
        <w:tblPrEx>
          <w:tblCellMar>
            <w:top w:w="0" w:type="dxa"/>
            <w:left w:w="108" w:type="dxa"/>
            <w:bottom w:w="0" w:type="dxa"/>
            <w:right w:w="108" w:type="dxa"/>
          </w:tblCellMar>
        </w:tblPrEx>
        <w:trPr>
          <w:trHeight w:val="630" w:hRule="atLeast"/>
        </w:trPr>
        <w:tc>
          <w:tcPr>
            <w:tcW w:w="130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EA8D4F">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类别</w:t>
            </w:r>
          </w:p>
        </w:tc>
        <w:tc>
          <w:tcPr>
            <w:tcW w:w="698" w:type="dxa"/>
            <w:tcBorders>
              <w:top w:val="single" w:color="auto" w:sz="4" w:space="0"/>
              <w:left w:val="nil"/>
              <w:bottom w:val="single" w:color="auto" w:sz="4" w:space="0"/>
              <w:right w:val="single" w:color="auto" w:sz="4" w:space="0"/>
            </w:tcBorders>
            <w:shd w:val="clear" w:color="000000" w:fill="FFFFFF"/>
            <w:noWrap w:val="0"/>
            <w:vAlign w:val="center"/>
          </w:tcPr>
          <w:p w14:paraId="2ADFE09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单位</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7B2139F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单价（元）</w:t>
            </w:r>
          </w:p>
        </w:tc>
        <w:tc>
          <w:tcPr>
            <w:tcW w:w="1040" w:type="dxa"/>
            <w:tcBorders>
              <w:top w:val="single" w:color="auto" w:sz="4" w:space="0"/>
              <w:left w:val="nil"/>
              <w:bottom w:val="single" w:color="auto" w:sz="4" w:space="0"/>
              <w:right w:val="single" w:color="auto" w:sz="4" w:space="0"/>
            </w:tcBorders>
            <w:shd w:val="clear" w:color="000000" w:fill="FFFFFF"/>
            <w:noWrap w:val="0"/>
            <w:vAlign w:val="center"/>
          </w:tcPr>
          <w:p w14:paraId="239A176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 xml:space="preserve">预估数量 </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3B59EB7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金额（元）</w:t>
            </w:r>
          </w:p>
        </w:tc>
        <w:tc>
          <w:tcPr>
            <w:tcW w:w="3860" w:type="dxa"/>
            <w:tcBorders>
              <w:top w:val="single" w:color="auto" w:sz="4" w:space="0"/>
              <w:left w:val="nil"/>
              <w:bottom w:val="single" w:color="auto" w:sz="4" w:space="0"/>
              <w:right w:val="single" w:color="auto" w:sz="4" w:space="0"/>
            </w:tcBorders>
            <w:shd w:val="clear" w:color="000000" w:fill="FFFFFF"/>
            <w:noWrap w:val="0"/>
            <w:vAlign w:val="center"/>
          </w:tcPr>
          <w:p w14:paraId="1033B21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备注</w:t>
            </w:r>
          </w:p>
        </w:tc>
      </w:tr>
      <w:tr w14:paraId="15EF654E">
        <w:tblPrEx>
          <w:tblCellMar>
            <w:top w:w="0" w:type="dxa"/>
            <w:left w:w="108" w:type="dxa"/>
            <w:bottom w:w="0" w:type="dxa"/>
            <w:right w:w="108" w:type="dxa"/>
          </w:tblCellMar>
        </w:tblPrEx>
        <w:trPr>
          <w:trHeight w:val="186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574A3C4">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人员派遣</w:t>
            </w:r>
          </w:p>
        </w:tc>
        <w:tc>
          <w:tcPr>
            <w:tcW w:w="698" w:type="dxa"/>
            <w:tcBorders>
              <w:top w:val="nil"/>
              <w:left w:val="nil"/>
              <w:bottom w:val="single" w:color="auto" w:sz="4" w:space="0"/>
              <w:right w:val="single" w:color="auto" w:sz="4" w:space="0"/>
            </w:tcBorders>
            <w:shd w:val="clear" w:color="auto" w:fill="auto"/>
            <w:noWrap/>
            <w:vAlign w:val="center"/>
          </w:tcPr>
          <w:p w14:paraId="5DF720D0">
            <w:pPr>
              <w:widowControl/>
              <w:spacing w:line="360" w:lineRule="auto"/>
              <w:jc w:val="center"/>
              <w:rPr>
                <w:rFonts w:hint="eastAsia" w:ascii="仿宋" w:hAnsi="仿宋" w:eastAsia="仿宋" w:cs="宋体"/>
                <w:color w:val="000000"/>
                <w:kern w:val="0"/>
                <w:sz w:val="22"/>
              </w:rPr>
            </w:pPr>
            <w:r>
              <w:rPr>
                <w:rFonts w:hint="eastAsia" w:ascii="仿宋" w:hAnsi="仿宋" w:eastAsia="仿宋" w:cs="宋体"/>
                <w:color w:val="000000"/>
                <w:kern w:val="0"/>
                <w:sz w:val="22"/>
              </w:rPr>
              <w:t>月/人</w:t>
            </w:r>
          </w:p>
        </w:tc>
        <w:tc>
          <w:tcPr>
            <w:tcW w:w="1060" w:type="dxa"/>
            <w:tcBorders>
              <w:top w:val="nil"/>
              <w:left w:val="nil"/>
              <w:bottom w:val="single" w:color="auto" w:sz="4" w:space="0"/>
              <w:right w:val="single" w:color="auto" w:sz="4" w:space="0"/>
            </w:tcBorders>
            <w:shd w:val="clear" w:color="000000" w:fill="FFFFFF"/>
            <w:noWrap/>
            <w:vAlign w:val="center"/>
          </w:tcPr>
          <w:p w14:paraId="54094F73">
            <w:pPr>
              <w:widowControl/>
              <w:spacing w:line="360" w:lineRule="auto"/>
              <w:jc w:val="center"/>
              <w:rPr>
                <w:rFonts w:hint="eastAsia" w:ascii="仿宋" w:hAnsi="仿宋" w:eastAsia="仿宋" w:cs="宋体"/>
                <w:color w:val="000000"/>
                <w:kern w:val="0"/>
                <w:sz w:val="22"/>
              </w:rPr>
            </w:pPr>
          </w:p>
        </w:tc>
        <w:tc>
          <w:tcPr>
            <w:tcW w:w="1040" w:type="dxa"/>
            <w:tcBorders>
              <w:top w:val="nil"/>
              <w:left w:val="nil"/>
              <w:bottom w:val="single" w:color="auto" w:sz="4" w:space="0"/>
              <w:right w:val="single" w:color="auto" w:sz="4" w:space="0"/>
            </w:tcBorders>
            <w:noWrap/>
            <w:vAlign w:val="center"/>
          </w:tcPr>
          <w:p w14:paraId="2F7933DF">
            <w:pPr>
              <w:widowControl/>
              <w:spacing w:line="360" w:lineRule="auto"/>
              <w:jc w:val="center"/>
              <w:rPr>
                <w:rFonts w:hint="default" w:ascii="仿宋" w:hAnsi="仿宋" w:eastAsia="仿宋" w:cs="宋体"/>
                <w:color w:val="000000"/>
                <w:kern w:val="0"/>
                <w:sz w:val="22"/>
                <w:lang w:val="en-US" w:eastAsia="zh-CN"/>
              </w:rPr>
            </w:pPr>
            <w:r>
              <w:rPr>
                <w:rFonts w:hint="eastAsia" w:ascii="仿宋" w:hAnsi="仿宋" w:eastAsia="仿宋" w:cs="宋体"/>
                <w:color w:val="000000"/>
                <w:kern w:val="0"/>
                <w:sz w:val="22"/>
                <w:lang w:val="en-US" w:eastAsia="zh-CN"/>
              </w:rPr>
              <w:t>18</w:t>
            </w:r>
          </w:p>
        </w:tc>
        <w:tc>
          <w:tcPr>
            <w:tcW w:w="1060" w:type="dxa"/>
            <w:tcBorders>
              <w:top w:val="nil"/>
              <w:left w:val="nil"/>
              <w:bottom w:val="single" w:color="auto" w:sz="4" w:space="0"/>
              <w:right w:val="single" w:color="auto" w:sz="4" w:space="0"/>
            </w:tcBorders>
            <w:noWrap/>
            <w:vAlign w:val="center"/>
          </w:tcPr>
          <w:p w14:paraId="17982C2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16AD41E0">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highlight w:val="none"/>
                <w:lang w:val="en-US" w:eastAsia="zh-CN"/>
              </w:rPr>
              <w:t>安排2个工作人员，服务9个月，</w:t>
            </w:r>
            <w:bookmarkStart w:id="0" w:name="_GoBack"/>
            <w:bookmarkEnd w:id="0"/>
            <w:r>
              <w:rPr>
                <w:rFonts w:hint="eastAsia" w:ascii="仿宋" w:hAnsi="仿宋" w:eastAsia="仿宋" w:cs="宋体"/>
                <w:color w:val="000000"/>
                <w:kern w:val="0"/>
                <w:szCs w:val="21"/>
                <w:highlight w:val="none"/>
              </w:rPr>
              <w:t>每日任务量不少于</w:t>
            </w:r>
            <w:r>
              <w:rPr>
                <w:rFonts w:hint="eastAsia" w:ascii="仿宋" w:hAnsi="仿宋" w:eastAsia="仿宋" w:cs="宋体"/>
                <w:color w:val="000000"/>
                <w:kern w:val="0"/>
                <w:szCs w:val="21"/>
                <w:highlight w:val="none"/>
                <w:lang w:val="en-US" w:eastAsia="zh-CN"/>
              </w:rPr>
              <w:t>200</w:t>
            </w:r>
            <w:r>
              <w:rPr>
                <w:rFonts w:hint="eastAsia" w:ascii="仿宋" w:hAnsi="仿宋" w:eastAsia="仿宋" w:cs="宋体"/>
                <w:color w:val="000000"/>
                <w:kern w:val="0"/>
                <w:szCs w:val="21"/>
                <w:highlight w:val="none"/>
              </w:rPr>
              <w:t>件（每</w:t>
            </w:r>
            <w:r>
              <w:rPr>
                <w:rFonts w:hint="eastAsia" w:ascii="仿宋" w:hAnsi="仿宋" w:eastAsia="仿宋" w:cs="宋体"/>
                <w:color w:val="000000"/>
                <w:kern w:val="0"/>
                <w:szCs w:val="21"/>
                <w:highlight w:val="none"/>
                <w:lang w:eastAsia="zh-CN"/>
              </w:rPr>
              <w:t>件</w:t>
            </w:r>
            <w:r>
              <w:rPr>
                <w:rFonts w:hint="eastAsia" w:ascii="仿宋" w:hAnsi="仿宋" w:eastAsia="仿宋" w:cs="宋体"/>
                <w:color w:val="000000"/>
                <w:kern w:val="0"/>
                <w:szCs w:val="21"/>
                <w:highlight w:val="none"/>
              </w:rPr>
              <w:t>文件</w:t>
            </w:r>
            <w:r>
              <w:rPr>
                <w:rFonts w:hint="eastAsia" w:ascii="仿宋" w:hAnsi="仿宋" w:eastAsia="仿宋" w:cs="宋体"/>
                <w:color w:val="000000"/>
                <w:kern w:val="0"/>
                <w:szCs w:val="21"/>
                <w:highlight w:val="none"/>
                <w:lang w:eastAsia="zh-CN"/>
              </w:rPr>
              <w:t>包含完整内容为</w:t>
            </w:r>
            <w:r>
              <w:rPr>
                <w:rFonts w:hint="eastAsia" w:ascii="仿宋" w:hAnsi="仿宋" w:eastAsia="仿宋" w:cs="宋体"/>
                <w:color w:val="000000"/>
                <w:kern w:val="0"/>
                <w:szCs w:val="21"/>
                <w:highlight w:val="none"/>
                <w:lang w:val="en-US" w:eastAsia="zh-CN"/>
              </w:rPr>
              <w:t>1件，如：公司收发文</w:t>
            </w:r>
            <w:r>
              <w:rPr>
                <w:rFonts w:hint="eastAsia" w:ascii="仿宋" w:hAnsi="仿宋" w:eastAsia="仿宋" w:cs="宋体"/>
                <w:color w:val="000000"/>
                <w:kern w:val="0"/>
                <w:szCs w:val="21"/>
                <w:highlight w:val="none"/>
              </w:rPr>
              <w:t>的正文</w:t>
            </w:r>
            <w:r>
              <w:rPr>
                <w:rFonts w:hint="eastAsia" w:ascii="仿宋" w:hAnsi="仿宋" w:eastAsia="仿宋" w:cs="宋体"/>
                <w:color w:val="000000"/>
                <w:kern w:val="0"/>
                <w:szCs w:val="21"/>
                <w:highlight w:val="none"/>
                <w:lang w:eastAsia="zh-CN"/>
              </w:rPr>
              <w:t>，签批页</w:t>
            </w:r>
            <w:r>
              <w:rPr>
                <w:rFonts w:hint="eastAsia" w:ascii="仿宋" w:hAnsi="仿宋" w:eastAsia="仿宋" w:cs="宋体"/>
                <w:color w:val="000000"/>
                <w:kern w:val="0"/>
                <w:szCs w:val="21"/>
                <w:highlight w:val="none"/>
              </w:rPr>
              <w:t>及所有附件</w:t>
            </w:r>
            <w:r>
              <w:rPr>
                <w:rFonts w:hint="eastAsia" w:ascii="仿宋" w:hAnsi="仿宋" w:eastAsia="仿宋" w:cs="宋体"/>
                <w:color w:val="000000"/>
                <w:kern w:val="0"/>
                <w:szCs w:val="21"/>
                <w:highlight w:val="none"/>
                <w:lang w:eastAsia="zh-CN"/>
              </w:rPr>
              <w:t>，并</w:t>
            </w:r>
            <w:r>
              <w:rPr>
                <w:rFonts w:hint="eastAsia" w:ascii="仿宋" w:hAnsi="仿宋" w:eastAsia="仿宋" w:cs="宋体"/>
                <w:color w:val="000000"/>
                <w:kern w:val="0"/>
                <w:szCs w:val="21"/>
                <w:highlight w:val="none"/>
              </w:rPr>
              <w:t>装订</w:t>
            </w:r>
            <w:r>
              <w:rPr>
                <w:rFonts w:hint="eastAsia" w:ascii="仿宋" w:hAnsi="仿宋" w:eastAsia="仿宋" w:cs="宋体"/>
                <w:color w:val="000000"/>
                <w:kern w:val="0"/>
                <w:szCs w:val="21"/>
                <w:highlight w:val="none"/>
                <w:lang w:eastAsia="zh-CN"/>
              </w:rPr>
              <w:t>装盒</w:t>
            </w:r>
            <w:r>
              <w:rPr>
                <w:rFonts w:hint="eastAsia" w:ascii="仿宋" w:hAnsi="仿宋" w:eastAsia="仿宋" w:cs="宋体"/>
                <w:color w:val="000000"/>
                <w:kern w:val="0"/>
                <w:szCs w:val="21"/>
                <w:highlight w:val="none"/>
              </w:rPr>
              <w:t>为1件），</w:t>
            </w:r>
            <w:r>
              <w:rPr>
                <w:rFonts w:hint="eastAsia" w:ascii="仿宋" w:hAnsi="仿宋" w:eastAsia="仿宋" w:cs="宋体"/>
                <w:color w:val="000000"/>
                <w:kern w:val="0"/>
                <w:szCs w:val="21"/>
                <w:highlight w:val="none"/>
                <w:lang w:val="en-US" w:eastAsia="zh-CN"/>
              </w:rPr>
              <w:t xml:space="preserve"> </w:t>
            </w:r>
            <w:r>
              <w:rPr>
                <w:rFonts w:hint="eastAsia" w:ascii="仿宋" w:hAnsi="仿宋" w:eastAsia="仿宋" w:cs="宋体"/>
                <w:color w:val="000000"/>
                <w:kern w:val="0"/>
                <w:szCs w:val="21"/>
                <w:highlight w:val="none"/>
                <w:lang w:eastAsia="zh-CN"/>
              </w:rPr>
              <w:t>具体</w:t>
            </w:r>
            <w:r>
              <w:rPr>
                <w:rFonts w:hint="eastAsia" w:ascii="仿宋" w:hAnsi="仿宋" w:eastAsia="仿宋" w:cs="宋体"/>
                <w:color w:val="000000"/>
                <w:kern w:val="0"/>
                <w:szCs w:val="21"/>
                <w:highlight w:val="none"/>
              </w:rPr>
              <w:t>任务：</w:t>
            </w:r>
            <w:r>
              <w:rPr>
                <w:rFonts w:hint="eastAsia" w:ascii="仿宋" w:hAnsi="仿宋" w:eastAsia="仿宋" w:cs="宋体"/>
                <w:color w:val="000000"/>
                <w:kern w:val="0"/>
                <w:szCs w:val="21"/>
                <w:highlight w:val="none"/>
                <w:lang w:eastAsia="zh-CN"/>
              </w:rPr>
              <w:t>打印所有应归尽归文件，并数字化系统电子归档，打印电子目录及备考表并装盒，其他纸质文件的数字化系统</w:t>
            </w:r>
            <w:r>
              <w:rPr>
                <w:rFonts w:hint="eastAsia" w:ascii="仿宋" w:hAnsi="仿宋" w:eastAsia="仿宋" w:cs="宋体"/>
                <w:color w:val="000000"/>
                <w:kern w:val="0"/>
                <w:szCs w:val="21"/>
                <w:highlight w:val="none"/>
              </w:rPr>
              <w:t>著录、影像扫描</w:t>
            </w:r>
            <w:r>
              <w:rPr>
                <w:rFonts w:hint="eastAsia" w:ascii="仿宋" w:hAnsi="仿宋" w:eastAsia="仿宋" w:cs="宋体"/>
                <w:color w:val="000000"/>
                <w:kern w:val="0"/>
                <w:szCs w:val="21"/>
                <w:highlight w:val="none"/>
                <w:lang w:eastAsia="zh-CN"/>
              </w:rPr>
              <w:t>著录</w:t>
            </w:r>
            <w:r>
              <w:rPr>
                <w:rFonts w:hint="eastAsia" w:ascii="仿宋" w:hAnsi="仿宋" w:eastAsia="仿宋" w:cs="宋体"/>
                <w:color w:val="000000"/>
                <w:kern w:val="0"/>
                <w:szCs w:val="21"/>
                <w:highlight w:val="none"/>
              </w:rPr>
              <w:t>等，与档案整理归档的相关</w:t>
            </w:r>
            <w:r>
              <w:rPr>
                <w:rFonts w:hint="eastAsia" w:ascii="仿宋" w:hAnsi="仿宋" w:eastAsia="仿宋" w:cs="宋体"/>
                <w:color w:val="000000"/>
                <w:kern w:val="0"/>
                <w:szCs w:val="21"/>
                <w:highlight w:val="none"/>
                <w:lang w:eastAsia="zh-CN"/>
              </w:rPr>
              <w:t>各项</w:t>
            </w:r>
            <w:r>
              <w:rPr>
                <w:rFonts w:hint="eastAsia" w:ascii="仿宋" w:hAnsi="仿宋" w:eastAsia="仿宋" w:cs="宋体"/>
                <w:color w:val="000000"/>
                <w:kern w:val="0"/>
                <w:szCs w:val="21"/>
                <w:highlight w:val="none"/>
              </w:rPr>
              <w:t>工作</w:t>
            </w:r>
          </w:p>
        </w:tc>
      </w:tr>
      <w:tr w14:paraId="11D11758">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6E40E51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标准档案箱</w:t>
            </w:r>
          </w:p>
        </w:tc>
        <w:tc>
          <w:tcPr>
            <w:tcW w:w="698" w:type="dxa"/>
            <w:tcBorders>
              <w:top w:val="nil"/>
              <w:left w:val="nil"/>
              <w:bottom w:val="single" w:color="auto" w:sz="4" w:space="0"/>
              <w:right w:val="single" w:color="auto" w:sz="4" w:space="0"/>
            </w:tcBorders>
            <w:shd w:val="clear" w:color="auto" w:fill="auto"/>
            <w:noWrap w:val="0"/>
            <w:vAlign w:val="center"/>
          </w:tcPr>
          <w:p w14:paraId="176D767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5368185F">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DC7BA3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30</w:t>
            </w:r>
            <w:r>
              <w:rPr>
                <w:rFonts w:hint="eastAsia" w:ascii="仿宋" w:hAnsi="仿宋" w:eastAsia="仿宋" w:cs="宋体"/>
                <w:color w:val="000000"/>
                <w:kern w:val="0"/>
                <w:szCs w:val="21"/>
              </w:rPr>
              <w:t>0</w:t>
            </w:r>
          </w:p>
        </w:tc>
        <w:tc>
          <w:tcPr>
            <w:tcW w:w="1060" w:type="dxa"/>
            <w:tcBorders>
              <w:top w:val="nil"/>
              <w:left w:val="nil"/>
              <w:bottom w:val="single" w:color="auto" w:sz="4" w:space="0"/>
              <w:right w:val="single" w:color="auto" w:sz="4" w:space="0"/>
            </w:tcBorders>
            <w:noWrap/>
            <w:vAlign w:val="center"/>
          </w:tcPr>
          <w:p w14:paraId="36AAD927">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73BF55F5">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箱子大小不小于25cm*30cm*40cm,承重不低于16公斤</w:t>
            </w:r>
          </w:p>
        </w:tc>
      </w:tr>
      <w:tr w14:paraId="0A403C50">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065DF660">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安全编码 锁条</w:t>
            </w:r>
          </w:p>
        </w:tc>
        <w:tc>
          <w:tcPr>
            <w:tcW w:w="698" w:type="dxa"/>
            <w:tcBorders>
              <w:top w:val="nil"/>
              <w:left w:val="nil"/>
              <w:bottom w:val="single" w:color="auto" w:sz="4" w:space="0"/>
              <w:right w:val="single" w:color="auto" w:sz="4" w:space="0"/>
            </w:tcBorders>
            <w:shd w:val="clear" w:color="auto" w:fill="auto"/>
            <w:noWrap w:val="0"/>
            <w:vAlign w:val="center"/>
          </w:tcPr>
          <w:p w14:paraId="0B6C3F0C">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1050759D">
            <w:pPr>
              <w:widowControl/>
              <w:spacing w:line="360" w:lineRule="auto"/>
              <w:jc w:val="center"/>
              <w:rPr>
                <w:rFonts w:hint="default" w:ascii="仿宋" w:hAnsi="仿宋" w:eastAsia="仿宋" w:cs="宋体"/>
                <w:color w:val="000000"/>
                <w:kern w:val="0"/>
                <w:szCs w:val="21"/>
                <w:lang w:val="en-US" w:eastAsia="zh-CN"/>
              </w:rPr>
            </w:pPr>
          </w:p>
        </w:tc>
        <w:tc>
          <w:tcPr>
            <w:tcW w:w="1040" w:type="dxa"/>
            <w:tcBorders>
              <w:top w:val="nil"/>
              <w:left w:val="nil"/>
              <w:bottom w:val="single" w:color="auto" w:sz="4" w:space="0"/>
              <w:right w:val="single" w:color="auto" w:sz="4" w:space="0"/>
            </w:tcBorders>
            <w:noWrap w:val="0"/>
            <w:vAlign w:val="center"/>
          </w:tcPr>
          <w:p w14:paraId="18ABE1E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30</w:t>
            </w:r>
            <w:r>
              <w:rPr>
                <w:rFonts w:hint="eastAsia" w:ascii="仿宋" w:hAnsi="仿宋" w:eastAsia="仿宋" w:cs="宋体"/>
                <w:color w:val="000000"/>
                <w:kern w:val="0"/>
                <w:szCs w:val="21"/>
              </w:rPr>
              <w:t>0</w:t>
            </w:r>
          </w:p>
        </w:tc>
        <w:tc>
          <w:tcPr>
            <w:tcW w:w="1060" w:type="dxa"/>
            <w:tcBorders>
              <w:top w:val="nil"/>
              <w:left w:val="nil"/>
              <w:bottom w:val="single" w:color="auto" w:sz="4" w:space="0"/>
              <w:right w:val="single" w:color="auto" w:sz="4" w:space="0"/>
            </w:tcBorders>
            <w:noWrap/>
            <w:vAlign w:val="center"/>
          </w:tcPr>
          <w:p w14:paraId="038757A6">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0CE6A26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根据档案管理的保密性，需按规定封锁每个档案箱</w:t>
            </w:r>
          </w:p>
        </w:tc>
      </w:tr>
      <w:tr w14:paraId="5D9D32B1">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3850F26E">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档案入库整理费</w:t>
            </w:r>
          </w:p>
        </w:tc>
        <w:tc>
          <w:tcPr>
            <w:tcW w:w="698" w:type="dxa"/>
            <w:tcBorders>
              <w:top w:val="nil"/>
              <w:left w:val="nil"/>
              <w:bottom w:val="single" w:color="auto" w:sz="4" w:space="0"/>
              <w:right w:val="single" w:color="auto" w:sz="4" w:space="0"/>
            </w:tcBorders>
            <w:shd w:val="clear" w:color="auto" w:fill="auto"/>
            <w:noWrap w:val="0"/>
            <w:vAlign w:val="center"/>
          </w:tcPr>
          <w:p w14:paraId="6FF8545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条</w:t>
            </w:r>
          </w:p>
        </w:tc>
        <w:tc>
          <w:tcPr>
            <w:tcW w:w="1060" w:type="dxa"/>
            <w:tcBorders>
              <w:top w:val="nil"/>
              <w:left w:val="nil"/>
              <w:bottom w:val="single" w:color="auto" w:sz="4" w:space="0"/>
              <w:right w:val="single" w:color="auto" w:sz="4" w:space="0"/>
            </w:tcBorders>
            <w:shd w:val="clear" w:color="000000" w:fill="FFFFFF"/>
            <w:noWrap w:val="0"/>
            <w:vAlign w:val="center"/>
          </w:tcPr>
          <w:p w14:paraId="0F9FB244">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6CFBBD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r>
              <w:rPr>
                <w:rFonts w:hint="eastAsia" w:ascii="仿宋" w:hAnsi="仿宋" w:eastAsia="仿宋" w:cs="宋体"/>
                <w:color w:val="000000"/>
                <w:kern w:val="0"/>
                <w:szCs w:val="21"/>
                <w:lang w:val="en-US" w:eastAsia="zh-CN"/>
              </w:rPr>
              <w:t>5</w:t>
            </w:r>
            <w:r>
              <w:rPr>
                <w:rFonts w:hint="eastAsia" w:ascii="仿宋" w:hAnsi="仿宋" w:eastAsia="仿宋" w:cs="宋体"/>
                <w:color w:val="000000"/>
                <w:kern w:val="0"/>
                <w:szCs w:val="21"/>
              </w:rPr>
              <w:t>00</w:t>
            </w:r>
          </w:p>
        </w:tc>
        <w:tc>
          <w:tcPr>
            <w:tcW w:w="1060" w:type="dxa"/>
            <w:tcBorders>
              <w:top w:val="nil"/>
              <w:left w:val="nil"/>
              <w:bottom w:val="single" w:color="auto" w:sz="4" w:space="0"/>
              <w:right w:val="single" w:color="auto" w:sz="4" w:space="0"/>
            </w:tcBorders>
            <w:noWrap/>
            <w:vAlign w:val="center"/>
          </w:tcPr>
          <w:p w14:paraId="45E0A34A">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2CA7F8AC">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按照甲方的档案管理规定进行档案入库整理</w:t>
            </w:r>
          </w:p>
        </w:tc>
      </w:tr>
      <w:tr w14:paraId="048474B2">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6E636578">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搬迁档案运费</w:t>
            </w:r>
          </w:p>
        </w:tc>
        <w:tc>
          <w:tcPr>
            <w:tcW w:w="698" w:type="dxa"/>
            <w:tcBorders>
              <w:top w:val="nil"/>
              <w:left w:val="nil"/>
              <w:bottom w:val="single" w:color="auto" w:sz="4" w:space="0"/>
              <w:right w:val="single" w:color="auto" w:sz="4" w:space="0"/>
            </w:tcBorders>
            <w:shd w:val="clear" w:color="auto" w:fill="auto"/>
            <w:noWrap w:val="0"/>
            <w:vAlign w:val="center"/>
          </w:tcPr>
          <w:p w14:paraId="004EDC2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车</w:t>
            </w:r>
          </w:p>
        </w:tc>
        <w:tc>
          <w:tcPr>
            <w:tcW w:w="1060" w:type="dxa"/>
            <w:tcBorders>
              <w:top w:val="nil"/>
              <w:left w:val="nil"/>
              <w:bottom w:val="single" w:color="auto" w:sz="4" w:space="0"/>
              <w:right w:val="single" w:color="auto" w:sz="4" w:space="0"/>
            </w:tcBorders>
            <w:shd w:val="clear" w:color="000000" w:fill="FFFFFF"/>
            <w:noWrap w:val="0"/>
            <w:vAlign w:val="center"/>
          </w:tcPr>
          <w:p w14:paraId="508E3D13">
            <w:pPr>
              <w:widowControl/>
              <w:spacing w:line="360" w:lineRule="auto"/>
              <w:jc w:val="center"/>
              <w:rPr>
                <w:rFonts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2FA7DE88">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10</w:t>
            </w:r>
          </w:p>
        </w:tc>
        <w:tc>
          <w:tcPr>
            <w:tcW w:w="1060" w:type="dxa"/>
            <w:tcBorders>
              <w:top w:val="nil"/>
              <w:left w:val="nil"/>
              <w:bottom w:val="single" w:color="auto" w:sz="4" w:space="0"/>
              <w:right w:val="single" w:color="auto" w:sz="4" w:space="0"/>
            </w:tcBorders>
            <w:noWrap/>
            <w:vAlign w:val="center"/>
          </w:tcPr>
          <w:p w14:paraId="12FB83C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7503D37">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最低收费每车250元（每车包含50箱档案，超出部分按5元/箱计算）</w:t>
            </w:r>
          </w:p>
        </w:tc>
      </w:tr>
      <w:tr w14:paraId="6F200C7C">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60D1B95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实物调阅</w:t>
            </w:r>
          </w:p>
        </w:tc>
        <w:tc>
          <w:tcPr>
            <w:tcW w:w="698" w:type="dxa"/>
            <w:tcBorders>
              <w:top w:val="nil"/>
              <w:left w:val="nil"/>
              <w:bottom w:val="single" w:color="auto" w:sz="4" w:space="0"/>
              <w:right w:val="single" w:color="auto" w:sz="4" w:space="0"/>
            </w:tcBorders>
            <w:shd w:val="clear" w:color="auto" w:fill="auto"/>
            <w:noWrap w:val="0"/>
            <w:vAlign w:val="center"/>
          </w:tcPr>
          <w:p w14:paraId="32370C3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3B5ADE86">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719BC20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243CCB55">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73927AA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5CF896A2">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2CF26FD">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上门调阅</w:t>
            </w:r>
          </w:p>
        </w:tc>
        <w:tc>
          <w:tcPr>
            <w:tcW w:w="698" w:type="dxa"/>
            <w:tcBorders>
              <w:top w:val="nil"/>
              <w:left w:val="nil"/>
              <w:bottom w:val="single" w:color="auto" w:sz="4" w:space="0"/>
              <w:right w:val="single" w:color="auto" w:sz="4" w:space="0"/>
            </w:tcBorders>
            <w:shd w:val="clear" w:color="auto" w:fill="auto"/>
            <w:noWrap w:val="0"/>
            <w:vAlign w:val="center"/>
          </w:tcPr>
          <w:p w14:paraId="3EC0378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739E3174">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3F03B05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50F834CF">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21F8C8B5">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75AFD07F">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1CE99E0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电子调阅</w:t>
            </w:r>
          </w:p>
        </w:tc>
        <w:tc>
          <w:tcPr>
            <w:tcW w:w="698" w:type="dxa"/>
            <w:tcBorders>
              <w:top w:val="nil"/>
              <w:left w:val="nil"/>
              <w:bottom w:val="single" w:color="auto" w:sz="4" w:space="0"/>
              <w:right w:val="single" w:color="auto" w:sz="4" w:space="0"/>
            </w:tcBorders>
            <w:shd w:val="clear" w:color="auto" w:fill="auto"/>
            <w:noWrap w:val="0"/>
            <w:vAlign w:val="center"/>
          </w:tcPr>
          <w:p w14:paraId="57BEEDE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465BD149">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7ED4E50">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7E117F5F">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7B57F31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27C73E3C">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74C5308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存储费</w:t>
            </w:r>
          </w:p>
        </w:tc>
        <w:tc>
          <w:tcPr>
            <w:tcW w:w="698" w:type="dxa"/>
            <w:tcBorders>
              <w:top w:val="nil"/>
              <w:left w:val="nil"/>
              <w:bottom w:val="single" w:color="auto" w:sz="4" w:space="0"/>
              <w:right w:val="single" w:color="auto" w:sz="4" w:space="0"/>
            </w:tcBorders>
            <w:shd w:val="clear" w:color="auto" w:fill="auto"/>
            <w:noWrap w:val="0"/>
            <w:vAlign w:val="center"/>
          </w:tcPr>
          <w:p w14:paraId="2C626CB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箱/年</w:t>
            </w:r>
          </w:p>
        </w:tc>
        <w:tc>
          <w:tcPr>
            <w:tcW w:w="1060" w:type="dxa"/>
            <w:tcBorders>
              <w:top w:val="nil"/>
              <w:left w:val="nil"/>
              <w:bottom w:val="single" w:color="auto" w:sz="4" w:space="0"/>
              <w:right w:val="single" w:color="auto" w:sz="4" w:space="0"/>
            </w:tcBorders>
            <w:shd w:val="clear" w:color="000000" w:fill="FFFFFF"/>
            <w:noWrap w:val="0"/>
            <w:vAlign w:val="center"/>
          </w:tcPr>
          <w:p w14:paraId="6348CE84">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5C9ED1D2">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55</w:t>
            </w:r>
            <w:r>
              <w:rPr>
                <w:rFonts w:hint="eastAsia" w:ascii="仿宋" w:hAnsi="仿宋" w:eastAsia="仿宋" w:cs="宋体"/>
                <w:color w:val="000000"/>
                <w:kern w:val="0"/>
                <w:szCs w:val="21"/>
              </w:rPr>
              <w:t>0</w:t>
            </w:r>
          </w:p>
        </w:tc>
        <w:tc>
          <w:tcPr>
            <w:tcW w:w="1060" w:type="dxa"/>
            <w:tcBorders>
              <w:top w:val="nil"/>
              <w:left w:val="nil"/>
              <w:bottom w:val="single" w:color="auto" w:sz="4" w:space="0"/>
              <w:right w:val="single" w:color="auto" w:sz="4" w:space="0"/>
            </w:tcBorders>
            <w:noWrap/>
            <w:vAlign w:val="center"/>
          </w:tcPr>
          <w:p w14:paraId="26CE555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0C982B51">
            <w:pPr>
              <w:widowControl/>
              <w:spacing w:line="360" w:lineRule="auto"/>
              <w:rPr>
                <w:rFonts w:hint="eastAsia" w:ascii="仿宋" w:hAnsi="仿宋" w:eastAsia="仿宋" w:cs="宋体"/>
                <w:color w:val="000000"/>
                <w:kern w:val="0"/>
                <w:szCs w:val="21"/>
              </w:rPr>
            </w:pPr>
            <w:r>
              <w:rPr>
                <w:rFonts w:hint="eastAsia" w:ascii="仿宋" w:hAnsi="仿宋" w:eastAsia="仿宋" w:cs="宋体"/>
                <w:color w:val="000000"/>
                <w:kern w:val="0"/>
                <w:szCs w:val="21"/>
              </w:rPr>
              <w:t>不足六个月按半年计费，超过六个月按一年计费</w:t>
            </w:r>
          </w:p>
        </w:tc>
      </w:tr>
      <w:tr w14:paraId="040BA392">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10586669">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其他服务费用（不限于提供装订机）</w:t>
            </w:r>
          </w:p>
        </w:tc>
        <w:tc>
          <w:tcPr>
            <w:tcW w:w="1060" w:type="dxa"/>
            <w:tcBorders>
              <w:top w:val="nil"/>
              <w:left w:val="nil"/>
              <w:bottom w:val="single" w:color="auto" w:sz="4" w:space="0"/>
              <w:right w:val="single" w:color="auto" w:sz="4" w:space="0"/>
            </w:tcBorders>
            <w:noWrap/>
            <w:vAlign w:val="bottom"/>
          </w:tcPr>
          <w:p w14:paraId="2383E641">
            <w:pPr>
              <w:widowControl/>
              <w:spacing w:line="360" w:lineRule="auto"/>
              <w:jc w:val="center"/>
              <w:rPr>
                <w:rFonts w:ascii="仿宋" w:hAnsi="仿宋" w:eastAsia="仿宋" w:cs="宋体"/>
                <w:color w:val="000000"/>
                <w:kern w:val="0"/>
                <w:szCs w:val="21"/>
              </w:rPr>
            </w:pPr>
          </w:p>
        </w:tc>
        <w:tc>
          <w:tcPr>
            <w:tcW w:w="3860" w:type="dxa"/>
            <w:tcBorders>
              <w:top w:val="nil"/>
              <w:left w:val="nil"/>
              <w:bottom w:val="single" w:color="auto" w:sz="4" w:space="0"/>
              <w:right w:val="single" w:color="auto" w:sz="4" w:space="0"/>
            </w:tcBorders>
            <w:noWrap/>
            <w:vAlign w:val="bottom"/>
          </w:tcPr>
          <w:p w14:paraId="6D0C6F64">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档案整理过程中需提供的其他服务等</w:t>
            </w:r>
          </w:p>
        </w:tc>
      </w:tr>
      <w:tr w14:paraId="21E2C0FF">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7E089C1A">
            <w:pPr>
              <w:widowControl/>
              <w:spacing w:line="360" w:lineRule="auto"/>
              <w:jc w:val="center"/>
              <w:rPr>
                <w:rFonts w:hint="eastAsia" w:cs="宋体"/>
                <w:color w:val="000000"/>
                <w:kern w:val="0"/>
                <w:sz w:val="22"/>
              </w:rPr>
            </w:pPr>
            <w:r>
              <w:rPr>
                <w:rFonts w:hint="eastAsia" w:cs="宋体"/>
                <w:color w:val="000000"/>
                <w:kern w:val="0"/>
                <w:sz w:val="22"/>
              </w:rPr>
              <w:t>合计</w:t>
            </w:r>
          </w:p>
        </w:tc>
        <w:tc>
          <w:tcPr>
            <w:tcW w:w="1060" w:type="dxa"/>
            <w:tcBorders>
              <w:top w:val="nil"/>
              <w:left w:val="nil"/>
              <w:bottom w:val="single" w:color="auto" w:sz="4" w:space="0"/>
              <w:right w:val="single" w:color="auto" w:sz="4" w:space="0"/>
            </w:tcBorders>
            <w:noWrap/>
            <w:vAlign w:val="bottom"/>
          </w:tcPr>
          <w:p w14:paraId="0BFB35C5">
            <w:pPr>
              <w:widowControl/>
              <w:spacing w:line="360" w:lineRule="auto"/>
              <w:jc w:val="right"/>
              <w:rPr>
                <w:rFonts w:hint="default" w:eastAsia="宋体" w:cs="宋体"/>
                <w:color w:val="000000"/>
                <w:kern w:val="0"/>
                <w:sz w:val="22"/>
                <w:lang w:val="en-US" w:eastAsia="zh-CN"/>
              </w:rPr>
            </w:pPr>
          </w:p>
        </w:tc>
        <w:tc>
          <w:tcPr>
            <w:tcW w:w="3860" w:type="dxa"/>
            <w:tcBorders>
              <w:top w:val="nil"/>
              <w:left w:val="nil"/>
              <w:bottom w:val="single" w:color="auto" w:sz="4" w:space="0"/>
              <w:right w:val="single" w:color="auto" w:sz="4" w:space="0"/>
            </w:tcBorders>
            <w:noWrap/>
            <w:vAlign w:val="bottom"/>
          </w:tcPr>
          <w:p w14:paraId="52FB5882">
            <w:pPr>
              <w:widowControl/>
              <w:spacing w:line="360" w:lineRule="auto"/>
              <w:jc w:val="left"/>
              <w:rPr>
                <w:rFonts w:hint="eastAsia" w:cs="宋体"/>
                <w:color w:val="000000"/>
                <w:kern w:val="0"/>
                <w:sz w:val="22"/>
              </w:rPr>
            </w:pPr>
          </w:p>
        </w:tc>
      </w:tr>
    </w:tbl>
    <w:p w14:paraId="684FC89A">
      <w:pPr>
        <w:spacing w:line="360" w:lineRule="auto"/>
        <w:ind w:firstLine="640" w:firstLineChars="200"/>
        <w:jc w:val="center"/>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7</w:t>
      </w:r>
      <w:r>
        <w:rPr>
          <w:rFonts w:hint="eastAsia" w:ascii="仿宋_GB2312" w:eastAsia="仿宋_GB2312"/>
          <w:sz w:val="32"/>
          <w:szCs w:val="32"/>
        </w:rPr>
        <w:t>年服务内容及预算</w:t>
      </w:r>
    </w:p>
    <w:tbl>
      <w:tblPr>
        <w:tblStyle w:val="10"/>
        <w:tblW w:w="9020" w:type="dxa"/>
        <w:tblInd w:w="0" w:type="dxa"/>
        <w:tblLayout w:type="fixed"/>
        <w:tblCellMar>
          <w:top w:w="0" w:type="dxa"/>
          <w:left w:w="108" w:type="dxa"/>
          <w:bottom w:w="0" w:type="dxa"/>
          <w:right w:w="108" w:type="dxa"/>
        </w:tblCellMar>
      </w:tblPr>
      <w:tblGrid>
        <w:gridCol w:w="1302"/>
        <w:gridCol w:w="698"/>
        <w:gridCol w:w="1060"/>
        <w:gridCol w:w="1040"/>
        <w:gridCol w:w="1060"/>
        <w:gridCol w:w="3860"/>
      </w:tblGrid>
      <w:tr w14:paraId="21D8740F">
        <w:tblPrEx>
          <w:tblCellMar>
            <w:top w:w="0" w:type="dxa"/>
            <w:left w:w="108" w:type="dxa"/>
            <w:bottom w:w="0" w:type="dxa"/>
            <w:right w:w="108" w:type="dxa"/>
          </w:tblCellMar>
        </w:tblPrEx>
        <w:trPr>
          <w:trHeight w:val="630" w:hRule="atLeast"/>
        </w:trPr>
        <w:tc>
          <w:tcPr>
            <w:tcW w:w="130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090BB17">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类别</w:t>
            </w:r>
          </w:p>
        </w:tc>
        <w:tc>
          <w:tcPr>
            <w:tcW w:w="698" w:type="dxa"/>
            <w:tcBorders>
              <w:top w:val="single" w:color="auto" w:sz="4" w:space="0"/>
              <w:left w:val="nil"/>
              <w:bottom w:val="single" w:color="auto" w:sz="4" w:space="0"/>
              <w:right w:val="single" w:color="auto" w:sz="4" w:space="0"/>
            </w:tcBorders>
            <w:shd w:val="clear" w:color="000000" w:fill="FFFFFF"/>
            <w:noWrap w:val="0"/>
            <w:vAlign w:val="center"/>
          </w:tcPr>
          <w:p w14:paraId="260DAD02">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单位</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5EFA4A7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单价（元）</w:t>
            </w:r>
          </w:p>
        </w:tc>
        <w:tc>
          <w:tcPr>
            <w:tcW w:w="1040" w:type="dxa"/>
            <w:tcBorders>
              <w:top w:val="single" w:color="auto" w:sz="4" w:space="0"/>
              <w:left w:val="nil"/>
              <w:bottom w:val="single" w:color="auto" w:sz="4" w:space="0"/>
              <w:right w:val="single" w:color="auto" w:sz="4" w:space="0"/>
            </w:tcBorders>
            <w:shd w:val="clear" w:color="000000" w:fill="FFFFFF"/>
            <w:noWrap w:val="0"/>
            <w:vAlign w:val="center"/>
          </w:tcPr>
          <w:p w14:paraId="417D8F1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 xml:space="preserve">预估数量 </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2D6804F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金额（元）</w:t>
            </w:r>
          </w:p>
        </w:tc>
        <w:tc>
          <w:tcPr>
            <w:tcW w:w="3860" w:type="dxa"/>
            <w:tcBorders>
              <w:top w:val="single" w:color="auto" w:sz="4" w:space="0"/>
              <w:left w:val="nil"/>
              <w:bottom w:val="single" w:color="auto" w:sz="4" w:space="0"/>
              <w:right w:val="single" w:color="auto" w:sz="4" w:space="0"/>
            </w:tcBorders>
            <w:shd w:val="clear" w:color="000000" w:fill="FFFFFF"/>
            <w:noWrap w:val="0"/>
            <w:vAlign w:val="center"/>
          </w:tcPr>
          <w:p w14:paraId="111BD0E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备注</w:t>
            </w:r>
          </w:p>
        </w:tc>
      </w:tr>
      <w:tr w14:paraId="6A798768">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131EEA74">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人员派遣</w:t>
            </w:r>
          </w:p>
        </w:tc>
        <w:tc>
          <w:tcPr>
            <w:tcW w:w="698" w:type="dxa"/>
            <w:tcBorders>
              <w:top w:val="nil"/>
              <w:left w:val="nil"/>
              <w:bottom w:val="single" w:color="auto" w:sz="4" w:space="0"/>
              <w:right w:val="single" w:color="auto" w:sz="4" w:space="0"/>
            </w:tcBorders>
            <w:shd w:val="clear" w:color="auto" w:fill="auto"/>
            <w:noWrap w:val="0"/>
            <w:vAlign w:val="center"/>
          </w:tcPr>
          <w:p w14:paraId="45E33B9C">
            <w:pPr>
              <w:widowControl/>
              <w:spacing w:line="360" w:lineRule="auto"/>
              <w:jc w:val="center"/>
              <w:rPr>
                <w:rFonts w:hint="eastAsia" w:ascii="仿宋" w:hAnsi="仿宋" w:eastAsia="仿宋" w:cs="宋体"/>
                <w:color w:val="000000"/>
                <w:kern w:val="0"/>
                <w:sz w:val="22"/>
                <w:szCs w:val="22"/>
              </w:rPr>
            </w:pPr>
            <w:r>
              <w:rPr>
                <w:rFonts w:hint="eastAsia" w:ascii="仿宋" w:hAnsi="仿宋" w:eastAsia="仿宋" w:cs="宋体"/>
                <w:color w:val="000000"/>
                <w:kern w:val="0"/>
                <w:sz w:val="22"/>
              </w:rPr>
              <w:t>月/人</w:t>
            </w:r>
          </w:p>
        </w:tc>
        <w:tc>
          <w:tcPr>
            <w:tcW w:w="1060" w:type="dxa"/>
            <w:tcBorders>
              <w:top w:val="nil"/>
              <w:left w:val="nil"/>
              <w:bottom w:val="single" w:color="auto" w:sz="4" w:space="0"/>
              <w:right w:val="single" w:color="auto" w:sz="4" w:space="0"/>
            </w:tcBorders>
            <w:shd w:val="clear" w:color="000000" w:fill="FFFFFF"/>
            <w:noWrap w:val="0"/>
            <w:vAlign w:val="center"/>
          </w:tcPr>
          <w:p w14:paraId="6C075DB6">
            <w:pPr>
              <w:widowControl/>
              <w:spacing w:line="360" w:lineRule="auto"/>
              <w:jc w:val="center"/>
              <w:rPr>
                <w:rFonts w:hint="eastAsia" w:ascii="仿宋" w:hAnsi="仿宋" w:eastAsia="仿宋" w:cs="宋体"/>
                <w:color w:val="000000"/>
                <w:kern w:val="0"/>
                <w:sz w:val="22"/>
                <w:szCs w:val="22"/>
              </w:rPr>
            </w:pPr>
          </w:p>
        </w:tc>
        <w:tc>
          <w:tcPr>
            <w:tcW w:w="1040" w:type="dxa"/>
            <w:tcBorders>
              <w:top w:val="nil"/>
              <w:left w:val="nil"/>
              <w:bottom w:val="single" w:color="auto" w:sz="4" w:space="0"/>
              <w:right w:val="single" w:color="auto" w:sz="4" w:space="0"/>
            </w:tcBorders>
            <w:noWrap w:val="0"/>
            <w:vAlign w:val="center"/>
          </w:tcPr>
          <w:p w14:paraId="65BF4598">
            <w:pPr>
              <w:widowControl/>
              <w:spacing w:line="360" w:lineRule="auto"/>
              <w:jc w:val="center"/>
              <w:rPr>
                <w:rFonts w:hint="default" w:ascii="仿宋" w:hAnsi="仿宋" w:eastAsia="仿宋" w:cs="宋体"/>
                <w:color w:val="000000"/>
                <w:kern w:val="0"/>
                <w:sz w:val="22"/>
                <w:szCs w:val="22"/>
                <w:lang w:val="en-US" w:eastAsia="zh-CN"/>
              </w:rPr>
            </w:pPr>
            <w:r>
              <w:rPr>
                <w:rFonts w:hint="eastAsia" w:ascii="仿宋" w:hAnsi="仿宋" w:eastAsia="仿宋" w:cs="宋体"/>
                <w:color w:val="000000"/>
                <w:kern w:val="0"/>
                <w:sz w:val="22"/>
                <w:lang w:val="en-US" w:eastAsia="zh-CN"/>
              </w:rPr>
              <w:t>14</w:t>
            </w:r>
          </w:p>
        </w:tc>
        <w:tc>
          <w:tcPr>
            <w:tcW w:w="1060" w:type="dxa"/>
            <w:tcBorders>
              <w:top w:val="nil"/>
              <w:left w:val="nil"/>
              <w:bottom w:val="single" w:color="auto" w:sz="4" w:space="0"/>
              <w:right w:val="single" w:color="auto" w:sz="4" w:space="0"/>
            </w:tcBorders>
            <w:noWrap/>
            <w:vAlign w:val="center"/>
          </w:tcPr>
          <w:p w14:paraId="3D130273">
            <w:pPr>
              <w:widowControl/>
              <w:spacing w:line="360" w:lineRule="auto"/>
              <w:jc w:val="center"/>
              <w:rPr>
                <w:rFonts w:hint="eastAsia" w:ascii="仿宋" w:hAnsi="仿宋" w:eastAsia="仿宋" w:cs="宋体"/>
                <w:color w:val="000000"/>
                <w:kern w:val="0"/>
                <w:sz w:val="22"/>
                <w:szCs w:val="22"/>
              </w:rPr>
            </w:pPr>
          </w:p>
        </w:tc>
        <w:tc>
          <w:tcPr>
            <w:tcW w:w="3860" w:type="dxa"/>
            <w:tcBorders>
              <w:top w:val="nil"/>
              <w:left w:val="nil"/>
              <w:bottom w:val="single" w:color="auto" w:sz="4" w:space="0"/>
              <w:right w:val="single" w:color="auto" w:sz="4" w:space="0"/>
            </w:tcBorders>
            <w:noWrap w:val="0"/>
            <w:vAlign w:val="center"/>
          </w:tcPr>
          <w:p w14:paraId="10E2EEF8">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highlight w:val="none"/>
                <w:lang w:val="en-US" w:eastAsia="zh-CN"/>
              </w:rPr>
              <w:t>安排2个工作人员，服务7个月，</w:t>
            </w:r>
            <w:r>
              <w:rPr>
                <w:rFonts w:hint="eastAsia" w:ascii="仿宋" w:hAnsi="仿宋" w:eastAsia="仿宋" w:cs="宋体"/>
                <w:color w:val="000000"/>
                <w:kern w:val="0"/>
                <w:szCs w:val="21"/>
                <w:highlight w:val="none"/>
              </w:rPr>
              <w:t>每日任务量不少于</w:t>
            </w:r>
            <w:r>
              <w:rPr>
                <w:rFonts w:hint="eastAsia" w:ascii="仿宋" w:hAnsi="仿宋" w:eastAsia="仿宋" w:cs="宋体"/>
                <w:color w:val="000000"/>
                <w:kern w:val="0"/>
                <w:szCs w:val="21"/>
                <w:highlight w:val="none"/>
                <w:lang w:val="en-US" w:eastAsia="zh-CN"/>
              </w:rPr>
              <w:t>200</w:t>
            </w:r>
            <w:r>
              <w:rPr>
                <w:rFonts w:hint="eastAsia" w:ascii="仿宋" w:hAnsi="仿宋" w:eastAsia="仿宋" w:cs="宋体"/>
                <w:color w:val="000000"/>
                <w:kern w:val="0"/>
                <w:szCs w:val="21"/>
                <w:highlight w:val="none"/>
              </w:rPr>
              <w:t>件（每</w:t>
            </w:r>
            <w:r>
              <w:rPr>
                <w:rFonts w:hint="eastAsia" w:ascii="仿宋" w:hAnsi="仿宋" w:eastAsia="仿宋" w:cs="宋体"/>
                <w:color w:val="000000"/>
                <w:kern w:val="0"/>
                <w:szCs w:val="21"/>
                <w:highlight w:val="none"/>
                <w:lang w:eastAsia="zh-CN"/>
              </w:rPr>
              <w:t>件</w:t>
            </w:r>
            <w:r>
              <w:rPr>
                <w:rFonts w:hint="eastAsia" w:ascii="仿宋" w:hAnsi="仿宋" w:eastAsia="仿宋" w:cs="宋体"/>
                <w:color w:val="000000"/>
                <w:kern w:val="0"/>
                <w:szCs w:val="21"/>
                <w:highlight w:val="none"/>
              </w:rPr>
              <w:t>文件</w:t>
            </w:r>
            <w:r>
              <w:rPr>
                <w:rFonts w:hint="eastAsia" w:ascii="仿宋" w:hAnsi="仿宋" w:eastAsia="仿宋" w:cs="宋体"/>
                <w:color w:val="000000"/>
                <w:kern w:val="0"/>
                <w:szCs w:val="21"/>
                <w:highlight w:val="none"/>
                <w:lang w:eastAsia="zh-CN"/>
              </w:rPr>
              <w:t>包含完整内容为</w:t>
            </w:r>
            <w:r>
              <w:rPr>
                <w:rFonts w:hint="eastAsia" w:ascii="仿宋" w:hAnsi="仿宋" w:eastAsia="仿宋" w:cs="宋体"/>
                <w:color w:val="000000"/>
                <w:kern w:val="0"/>
                <w:szCs w:val="21"/>
                <w:highlight w:val="none"/>
                <w:lang w:val="en-US" w:eastAsia="zh-CN"/>
              </w:rPr>
              <w:t>1件，如：公司收发文</w:t>
            </w:r>
            <w:r>
              <w:rPr>
                <w:rFonts w:hint="eastAsia" w:ascii="仿宋" w:hAnsi="仿宋" w:eastAsia="仿宋" w:cs="宋体"/>
                <w:color w:val="000000"/>
                <w:kern w:val="0"/>
                <w:szCs w:val="21"/>
                <w:highlight w:val="none"/>
              </w:rPr>
              <w:t>的正文</w:t>
            </w:r>
            <w:r>
              <w:rPr>
                <w:rFonts w:hint="eastAsia" w:ascii="仿宋" w:hAnsi="仿宋" w:eastAsia="仿宋" w:cs="宋体"/>
                <w:color w:val="000000"/>
                <w:kern w:val="0"/>
                <w:szCs w:val="21"/>
                <w:highlight w:val="none"/>
                <w:lang w:eastAsia="zh-CN"/>
              </w:rPr>
              <w:t>，签批页</w:t>
            </w:r>
            <w:r>
              <w:rPr>
                <w:rFonts w:hint="eastAsia" w:ascii="仿宋" w:hAnsi="仿宋" w:eastAsia="仿宋" w:cs="宋体"/>
                <w:color w:val="000000"/>
                <w:kern w:val="0"/>
                <w:szCs w:val="21"/>
                <w:highlight w:val="none"/>
              </w:rPr>
              <w:t>及所有附件</w:t>
            </w:r>
            <w:r>
              <w:rPr>
                <w:rFonts w:hint="eastAsia" w:ascii="仿宋" w:hAnsi="仿宋" w:eastAsia="仿宋" w:cs="宋体"/>
                <w:color w:val="000000"/>
                <w:kern w:val="0"/>
                <w:szCs w:val="21"/>
                <w:highlight w:val="none"/>
                <w:lang w:eastAsia="zh-CN"/>
              </w:rPr>
              <w:t>，并</w:t>
            </w:r>
            <w:r>
              <w:rPr>
                <w:rFonts w:hint="eastAsia" w:ascii="仿宋" w:hAnsi="仿宋" w:eastAsia="仿宋" w:cs="宋体"/>
                <w:color w:val="000000"/>
                <w:kern w:val="0"/>
                <w:szCs w:val="21"/>
                <w:highlight w:val="none"/>
              </w:rPr>
              <w:t>装订</w:t>
            </w:r>
            <w:r>
              <w:rPr>
                <w:rFonts w:hint="eastAsia" w:ascii="仿宋" w:hAnsi="仿宋" w:eastAsia="仿宋" w:cs="宋体"/>
                <w:color w:val="000000"/>
                <w:kern w:val="0"/>
                <w:szCs w:val="21"/>
                <w:highlight w:val="none"/>
                <w:lang w:eastAsia="zh-CN"/>
              </w:rPr>
              <w:t>装盒</w:t>
            </w:r>
            <w:r>
              <w:rPr>
                <w:rFonts w:hint="eastAsia" w:ascii="仿宋" w:hAnsi="仿宋" w:eastAsia="仿宋" w:cs="宋体"/>
                <w:color w:val="000000"/>
                <w:kern w:val="0"/>
                <w:szCs w:val="21"/>
                <w:highlight w:val="none"/>
              </w:rPr>
              <w:t>为1件），</w:t>
            </w:r>
            <w:r>
              <w:rPr>
                <w:rFonts w:hint="eastAsia" w:ascii="仿宋" w:hAnsi="仿宋" w:eastAsia="仿宋" w:cs="宋体"/>
                <w:color w:val="000000"/>
                <w:kern w:val="0"/>
                <w:szCs w:val="21"/>
                <w:highlight w:val="none"/>
                <w:lang w:val="en-US" w:eastAsia="zh-CN"/>
              </w:rPr>
              <w:t xml:space="preserve"> </w:t>
            </w:r>
            <w:r>
              <w:rPr>
                <w:rFonts w:hint="eastAsia" w:ascii="仿宋" w:hAnsi="仿宋" w:eastAsia="仿宋" w:cs="宋体"/>
                <w:color w:val="000000"/>
                <w:kern w:val="0"/>
                <w:szCs w:val="21"/>
                <w:highlight w:val="none"/>
                <w:lang w:eastAsia="zh-CN"/>
              </w:rPr>
              <w:t>具体</w:t>
            </w:r>
            <w:r>
              <w:rPr>
                <w:rFonts w:hint="eastAsia" w:ascii="仿宋" w:hAnsi="仿宋" w:eastAsia="仿宋" w:cs="宋体"/>
                <w:color w:val="000000"/>
                <w:kern w:val="0"/>
                <w:szCs w:val="21"/>
                <w:highlight w:val="none"/>
              </w:rPr>
              <w:t>任务：</w:t>
            </w:r>
            <w:r>
              <w:rPr>
                <w:rFonts w:hint="eastAsia" w:ascii="仿宋" w:hAnsi="仿宋" w:eastAsia="仿宋" w:cs="宋体"/>
                <w:color w:val="000000"/>
                <w:kern w:val="0"/>
                <w:szCs w:val="21"/>
                <w:highlight w:val="none"/>
                <w:lang w:eastAsia="zh-CN"/>
              </w:rPr>
              <w:t>打印所有应归尽归文件，并数字化系统电子归档，打印电子目录及备考表并装盒，其他纸质文件的数字化系统</w:t>
            </w:r>
            <w:r>
              <w:rPr>
                <w:rFonts w:hint="eastAsia" w:ascii="仿宋" w:hAnsi="仿宋" w:eastAsia="仿宋" w:cs="宋体"/>
                <w:color w:val="000000"/>
                <w:kern w:val="0"/>
                <w:szCs w:val="21"/>
                <w:highlight w:val="none"/>
              </w:rPr>
              <w:t>著录、影像扫描</w:t>
            </w:r>
            <w:r>
              <w:rPr>
                <w:rFonts w:hint="eastAsia" w:ascii="仿宋" w:hAnsi="仿宋" w:eastAsia="仿宋" w:cs="宋体"/>
                <w:color w:val="000000"/>
                <w:kern w:val="0"/>
                <w:szCs w:val="21"/>
                <w:highlight w:val="none"/>
                <w:lang w:eastAsia="zh-CN"/>
              </w:rPr>
              <w:t>著录</w:t>
            </w:r>
            <w:r>
              <w:rPr>
                <w:rFonts w:hint="eastAsia" w:ascii="仿宋" w:hAnsi="仿宋" w:eastAsia="仿宋" w:cs="宋体"/>
                <w:color w:val="000000"/>
                <w:kern w:val="0"/>
                <w:szCs w:val="21"/>
                <w:highlight w:val="none"/>
              </w:rPr>
              <w:t>等，与档案整理归档的相关</w:t>
            </w:r>
            <w:r>
              <w:rPr>
                <w:rFonts w:hint="eastAsia" w:ascii="仿宋" w:hAnsi="仿宋" w:eastAsia="仿宋" w:cs="宋体"/>
                <w:color w:val="000000"/>
                <w:kern w:val="0"/>
                <w:szCs w:val="21"/>
                <w:highlight w:val="none"/>
                <w:lang w:eastAsia="zh-CN"/>
              </w:rPr>
              <w:t>各项</w:t>
            </w:r>
            <w:r>
              <w:rPr>
                <w:rFonts w:hint="eastAsia" w:ascii="仿宋" w:hAnsi="仿宋" w:eastAsia="仿宋" w:cs="宋体"/>
                <w:color w:val="000000"/>
                <w:kern w:val="0"/>
                <w:szCs w:val="21"/>
                <w:highlight w:val="none"/>
              </w:rPr>
              <w:t>工作</w:t>
            </w:r>
          </w:p>
        </w:tc>
      </w:tr>
      <w:tr w14:paraId="0247A58F">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0D1E248C">
            <w:pPr>
              <w:widowControl/>
              <w:spacing w:line="360" w:lineRule="auto"/>
              <w:jc w:val="center"/>
              <w:rPr>
                <w:rFonts w:hint="eastAsia" w:ascii="仿宋" w:hAnsi="仿宋" w:eastAsia="仿宋" w:cs="宋体"/>
                <w:color w:val="000000"/>
                <w:kern w:val="0"/>
                <w:szCs w:val="21"/>
              </w:rPr>
            </w:pPr>
          </w:p>
          <w:p w14:paraId="16C2865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标准档案箱</w:t>
            </w:r>
          </w:p>
        </w:tc>
        <w:tc>
          <w:tcPr>
            <w:tcW w:w="698" w:type="dxa"/>
            <w:tcBorders>
              <w:top w:val="nil"/>
              <w:left w:val="nil"/>
              <w:bottom w:val="single" w:color="auto" w:sz="4" w:space="0"/>
              <w:right w:val="single" w:color="auto" w:sz="4" w:space="0"/>
            </w:tcBorders>
            <w:shd w:val="clear" w:color="auto" w:fill="auto"/>
            <w:noWrap w:val="0"/>
            <w:vAlign w:val="center"/>
          </w:tcPr>
          <w:p w14:paraId="62677B43">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00C6160E">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E540480">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5B1A6F86">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4226EBFD">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箱子大小不小于25cm*30cm*40cm,承重不低于16公斤</w:t>
            </w:r>
          </w:p>
        </w:tc>
      </w:tr>
      <w:tr w14:paraId="51AF1544">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78744C78">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安全编码 锁条</w:t>
            </w:r>
          </w:p>
        </w:tc>
        <w:tc>
          <w:tcPr>
            <w:tcW w:w="698" w:type="dxa"/>
            <w:tcBorders>
              <w:top w:val="nil"/>
              <w:left w:val="nil"/>
              <w:bottom w:val="single" w:color="auto" w:sz="4" w:space="0"/>
              <w:right w:val="single" w:color="auto" w:sz="4" w:space="0"/>
            </w:tcBorders>
            <w:shd w:val="clear" w:color="auto" w:fill="auto"/>
            <w:noWrap w:val="0"/>
            <w:vAlign w:val="center"/>
          </w:tcPr>
          <w:p w14:paraId="31AE410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1A3C821D">
            <w:pPr>
              <w:widowControl/>
              <w:spacing w:line="360" w:lineRule="auto"/>
              <w:jc w:val="center"/>
              <w:rPr>
                <w:rFonts w:hint="default" w:ascii="仿宋" w:hAnsi="仿宋" w:eastAsia="仿宋" w:cs="宋体"/>
                <w:color w:val="000000"/>
                <w:kern w:val="0"/>
                <w:szCs w:val="21"/>
                <w:lang w:val="en-US" w:eastAsia="zh-CN"/>
              </w:rPr>
            </w:pPr>
          </w:p>
        </w:tc>
        <w:tc>
          <w:tcPr>
            <w:tcW w:w="1040" w:type="dxa"/>
            <w:tcBorders>
              <w:top w:val="nil"/>
              <w:left w:val="nil"/>
              <w:bottom w:val="single" w:color="auto" w:sz="4" w:space="0"/>
              <w:right w:val="single" w:color="auto" w:sz="4" w:space="0"/>
            </w:tcBorders>
            <w:noWrap w:val="0"/>
            <w:vAlign w:val="center"/>
          </w:tcPr>
          <w:p w14:paraId="39BB38D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20</w:t>
            </w:r>
            <w:r>
              <w:rPr>
                <w:rFonts w:hint="eastAsia" w:ascii="仿宋" w:hAnsi="仿宋" w:eastAsia="仿宋" w:cs="宋体"/>
                <w:color w:val="000000"/>
                <w:kern w:val="0"/>
                <w:szCs w:val="21"/>
              </w:rPr>
              <w:t>0</w:t>
            </w:r>
          </w:p>
        </w:tc>
        <w:tc>
          <w:tcPr>
            <w:tcW w:w="1060" w:type="dxa"/>
            <w:tcBorders>
              <w:top w:val="nil"/>
              <w:left w:val="nil"/>
              <w:bottom w:val="single" w:color="auto" w:sz="4" w:space="0"/>
              <w:right w:val="single" w:color="auto" w:sz="4" w:space="0"/>
            </w:tcBorders>
            <w:noWrap/>
            <w:vAlign w:val="center"/>
          </w:tcPr>
          <w:p w14:paraId="0AC2A619">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7D348E43">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根据档案管理的保密性，需按规定封锁每个档案箱</w:t>
            </w:r>
          </w:p>
        </w:tc>
      </w:tr>
      <w:tr w14:paraId="5FECBE65">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018C74EB">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档案入库整理费</w:t>
            </w:r>
          </w:p>
        </w:tc>
        <w:tc>
          <w:tcPr>
            <w:tcW w:w="698" w:type="dxa"/>
            <w:tcBorders>
              <w:top w:val="nil"/>
              <w:left w:val="nil"/>
              <w:bottom w:val="single" w:color="auto" w:sz="4" w:space="0"/>
              <w:right w:val="single" w:color="auto" w:sz="4" w:space="0"/>
            </w:tcBorders>
            <w:shd w:val="clear" w:color="auto" w:fill="auto"/>
            <w:noWrap w:val="0"/>
            <w:vAlign w:val="center"/>
          </w:tcPr>
          <w:p w14:paraId="0FD15B4C">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条</w:t>
            </w:r>
          </w:p>
        </w:tc>
        <w:tc>
          <w:tcPr>
            <w:tcW w:w="1060" w:type="dxa"/>
            <w:tcBorders>
              <w:top w:val="nil"/>
              <w:left w:val="nil"/>
              <w:bottom w:val="single" w:color="auto" w:sz="4" w:space="0"/>
              <w:right w:val="single" w:color="auto" w:sz="4" w:space="0"/>
            </w:tcBorders>
            <w:shd w:val="clear" w:color="000000" w:fill="FFFFFF"/>
            <w:noWrap w:val="0"/>
            <w:vAlign w:val="center"/>
          </w:tcPr>
          <w:p w14:paraId="46B713D4">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2300BD2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r>
              <w:rPr>
                <w:rFonts w:hint="eastAsia" w:ascii="仿宋" w:hAnsi="仿宋" w:eastAsia="仿宋" w:cs="宋体"/>
                <w:color w:val="000000"/>
                <w:kern w:val="0"/>
                <w:szCs w:val="21"/>
                <w:lang w:val="en-US" w:eastAsia="zh-CN"/>
              </w:rPr>
              <w:t>5</w:t>
            </w:r>
            <w:r>
              <w:rPr>
                <w:rFonts w:hint="eastAsia" w:ascii="仿宋" w:hAnsi="仿宋" w:eastAsia="仿宋" w:cs="宋体"/>
                <w:color w:val="000000"/>
                <w:kern w:val="0"/>
                <w:szCs w:val="21"/>
              </w:rPr>
              <w:t>00</w:t>
            </w:r>
          </w:p>
        </w:tc>
        <w:tc>
          <w:tcPr>
            <w:tcW w:w="1060" w:type="dxa"/>
            <w:tcBorders>
              <w:top w:val="nil"/>
              <w:left w:val="nil"/>
              <w:bottom w:val="single" w:color="auto" w:sz="4" w:space="0"/>
              <w:right w:val="single" w:color="auto" w:sz="4" w:space="0"/>
            </w:tcBorders>
            <w:noWrap/>
            <w:vAlign w:val="center"/>
          </w:tcPr>
          <w:p w14:paraId="064DBDE9">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1CB485B">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按照甲方的档案管理规定进行档案入库整理</w:t>
            </w:r>
          </w:p>
        </w:tc>
      </w:tr>
      <w:tr w14:paraId="16029032">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A9184C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搬迁档案运费</w:t>
            </w:r>
          </w:p>
        </w:tc>
        <w:tc>
          <w:tcPr>
            <w:tcW w:w="698" w:type="dxa"/>
            <w:tcBorders>
              <w:top w:val="nil"/>
              <w:left w:val="nil"/>
              <w:bottom w:val="single" w:color="auto" w:sz="4" w:space="0"/>
              <w:right w:val="single" w:color="auto" w:sz="4" w:space="0"/>
            </w:tcBorders>
            <w:shd w:val="clear" w:color="auto" w:fill="auto"/>
            <w:noWrap w:val="0"/>
            <w:vAlign w:val="center"/>
          </w:tcPr>
          <w:p w14:paraId="11AFB5A7">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车</w:t>
            </w:r>
          </w:p>
        </w:tc>
        <w:tc>
          <w:tcPr>
            <w:tcW w:w="1060" w:type="dxa"/>
            <w:tcBorders>
              <w:top w:val="nil"/>
              <w:left w:val="nil"/>
              <w:bottom w:val="single" w:color="auto" w:sz="4" w:space="0"/>
              <w:right w:val="single" w:color="auto" w:sz="4" w:space="0"/>
            </w:tcBorders>
            <w:shd w:val="clear" w:color="000000" w:fill="FFFFFF"/>
            <w:noWrap w:val="0"/>
            <w:vAlign w:val="center"/>
          </w:tcPr>
          <w:p w14:paraId="07A3C80E">
            <w:pPr>
              <w:widowControl/>
              <w:spacing w:line="360" w:lineRule="auto"/>
              <w:jc w:val="center"/>
              <w:rPr>
                <w:rFonts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51D4E8D1">
            <w:pPr>
              <w:widowControl/>
              <w:spacing w:line="360" w:lineRule="auto"/>
              <w:jc w:val="center"/>
              <w:rPr>
                <w:rFonts w:hint="eastAsia" w:ascii="仿宋" w:hAnsi="仿宋" w:eastAsia="仿宋" w:cs="宋体"/>
                <w:color w:val="000000"/>
                <w:kern w:val="0"/>
                <w:szCs w:val="21"/>
                <w:lang w:eastAsia="zh-CN"/>
              </w:rPr>
            </w:pPr>
            <w:r>
              <w:rPr>
                <w:rFonts w:hint="eastAsia" w:ascii="仿宋" w:hAnsi="仿宋" w:eastAsia="仿宋" w:cs="宋体"/>
                <w:color w:val="000000"/>
                <w:kern w:val="0"/>
                <w:szCs w:val="21"/>
                <w:lang w:val="en-US" w:eastAsia="zh-CN"/>
              </w:rPr>
              <w:t>5</w:t>
            </w:r>
          </w:p>
        </w:tc>
        <w:tc>
          <w:tcPr>
            <w:tcW w:w="1060" w:type="dxa"/>
            <w:tcBorders>
              <w:top w:val="nil"/>
              <w:left w:val="nil"/>
              <w:bottom w:val="single" w:color="auto" w:sz="4" w:space="0"/>
              <w:right w:val="single" w:color="auto" w:sz="4" w:space="0"/>
            </w:tcBorders>
            <w:noWrap/>
            <w:vAlign w:val="center"/>
          </w:tcPr>
          <w:p w14:paraId="2C9BB821">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0B841B8">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最低收费每车250元（每车包含50箱档案，超出部分按5元/箱计算）</w:t>
            </w:r>
          </w:p>
        </w:tc>
      </w:tr>
      <w:tr w14:paraId="5199AD98">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1BD9AF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实物调阅</w:t>
            </w:r>
          </w:p>
        </w:tc>
        <w:tc>
          <w:tcPr>
            <w:tcW w:w="698" w:type="dxa"/>
            <w:tcBorders>
              <w:top w:val="nil"/>
              <w:left w:val="nil"/>
              <w:bottom w:val="single" w:color="auto" w:sz="4" w:space="0"/>
              <w:right w:val="single" w:color="auto" w:sz="4" w:space="0"/>
            </w:tcBorders>
            <w:shd w:val="clear" w:color="auto" w:fill="auto"/>
            <w:noWrap w:val="0"/>
            <w:vAlign w:val="center"/>
          </w:tcPr>
          <w:p w14:paraId="04D183A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28E2D931">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791A16F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6AA80143">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5C6C3C5A">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61390521">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6A51CAC3">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上门调阅</w:t>
            </w:r>
          </w:p>
        </w:tc>
        <w:tc>
          <w:tcPr>
            <w:tcW w:w="698" w:type="dxa"/>
            <w:tcBorders>
              <w:top w:val="nil"/>
              <w:left w:val="nil"/>
              <w:bottom w:val="single" w:color="auto" w:sz="4" w:space="0"/>
              <w:right w:val="single" w:color="auto" w:sz="4" w:space="0"/>
            </w:tcBorders>
            <w:shd w:val="clear" w:color="auto" w:fill="auto"/>
            <w:noWrap w:val="0"/>
            <w:vAlign w:val="center"/>
          </w:tcPr>
          <w:p w14:paraId="342E4F24">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3CAD73DC">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5D963C9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5DC392AA">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5DD8FCAE">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244C85FE">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304646D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电子调阅</w:t>
            </w:r>
          </w:p>
        </w:tc>
        <w:tc>
          <w:tcPr>
            <w:tcW w:w="698" w:type="dxa"/>
            <w:tcBorders>
              <w:top w:val="nil"/>
              <w:left w:val="nil"/>
              <w:bottom w:val="single" w:color="auto" w:sz="4" w:space="0"/>
              <w:right w:val="single" w:color="auto" w:sz="4" w:space="0"/>
            </w:tcBorders>
            <w:shd w:val="clear" w:color="auto" w:fill="auto"/>
            <w:noWrap w:val="0"/>
            <w:vAlign w:val="center"/>
          </w:tcPr>
          <w:p w14:paraId="31E0618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62A37322">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16F73C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6457AA37">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5C4A515">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45D11877">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2AC935E2">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存储费</w:t>
            </w:r>
          </w:p>
        </w:tc>
        <w:tc>
          <w:tcPr>
            <w:tcW w:w="698" w:type="dxa"/>
            <w:tcBorders>
              <w:top w:val="nil"/>
              <w:left w:val="nil"/>
              <w:bottom w:val="single" w:color="auto" w:sz="4" w:space="0"/>
              <w:right w:val="single" w:color="auto" w:sz="4" w:space="0"/>
            </w:tcBorders>
            <w:shd w:val="clear" w:color="auto" w:fill="auto"/>
            <w:noWrap w:val="0"/>
            <w:vAlign w:val="center"/>
          </w:tcPr>
          <w:p w14:paraId="14B1D2E2">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箱/年</w:t>
            </w:r>
          </w:p>
        </w:tc>
        <w:tc>
          <w:tcPr>
            <w:tcW w:w="1060" w:type="dxa"/>
            <w:tcBorders>
              <w:top w:val="nil"/>
              <w:left w:val="nil"/>
              <w:bottom w:val="single" w:color="auto" w:sz="4" w:space="0"/>
              <w:right w:val="single" w:color="auto" w:sz="4" w:space="0"/>
            </w:tcBorders>
            <w:shd w:val="clear" w:color="000000" w:fill="FFFFFF"/>
            <w:noWrap w:val="0"/>
            <w:vAlign w:val="center"/>
          </w:tcPr>
          <w:p w14:paraId="14E7284D">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10B04FAE">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650</w:t>
            </w:r>
          </w:p>
        </w:tc>
        <w:tc>
          <w:tcPr>
            <w:tcW w:w="1060" w:type="dxa"/>
            <w:tcBorders>
              <w:top w:val="nil"/>
              <w:left w:val="nil"/>
              <w:bottom w:val="single" w:color="auto" w:sz="4" w:space="0"/>
              <w:right w:val="single" w:color="auto" w:sz="4" w:space="0"/>
            </w:tcBorders>
            <w:noWrap/>
            <w:vAlign w:val="center"/>
          </w:tcPr>
          <w:p w14:paraId="4918179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6F6BC908">
            <w:pPr>
              <w:widowControl/>
              <w:spacing w:line="360" w:lineRule="auto"/>
              <w:rPr>
                <w:rFonts w:hint="eastAsia" w:ascii="仿宋" w:hAnsi="仿宋" w:eastAsia="仿宋" w:cs="宋体"/>
                <w:color w:val="000000"/>
                <w:kern w:val="0"/>
                <w:szCs w:val="21"/>
              </w:rPr>
            </w:pPr>
            <w:r>
              <w:rPr>
                <w:rFonts w:hint="eastAsia" w:ascii="仿宋" w:hAnsi="仿宋" w:eastAsia="仿宋" w:cs="宋体"/>
                <w:color w:val="000000"/>
                <w:kern w:val="0"/>
                <w:szCs w:val="21"/>
              </w:rPr>
              <w:t>不足六个月按半年计费，超过六个月按一年计费</w:t>
            </w:r>
          </w:p>
        </w:tc>
      </w:tr>
      <w:tr w14:paraId="248C20F6">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0AF6739E">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其他服务费用（不限于提供装订机）</w:t>
            </w:r>
          </w:p>
        </w:tc>
        <w:tc>
          <w:tcPr>
            <w:tcW w:w="1060" w:type="dxa"/>
            <w:tcBorders>
              <w:top w:val="nil"/>
              <w:left w:val="nil"/>
              <w:bottom w:val="single" w:color="auto" w:sz="4" w:space="0"/>
              <w:right w:val="single" w:color="auto" w:sz="4" w:space="0"/>
            </w:tcBorders>
            <w:noWrap/>
            <w:vAlign w:val="bottom"/>
          </w:tcPr>
          <w:p w14:paraId="2E71B5B6">
            <w:pPr>
              <w:widowControl/>
              <w:spacing w:line="360" w:lineRule="auto"/>
              <w:jc w:val="center"/>
              <w:rPr>
                <w:rFonts w:ascii="仿宋" w:hAnsi="仿宋" w:eastAsia="仿宋" w:cs="宋体"/>
                <w:color w:val="000000"/>
                <w:kern w:val="0"/>
                <w:szCs w:val="21"/>
              </w:rPr>
            </w:pPr>
          </w:p>
        </w:tc>
        <w:tc>
          <w:tcPr>
            <w:tcW w:w="3860" w:type="dxa"/>
            <w:tcBorders>
              <w:top w:val="nil"/>
              <w:left w:val="nil"/>
              <w:bottom w:val="single" w:color="auto" w:sz="4" w:space="0"/>
              <w:right w:val="single" w:color="auto" w:sz="4" w:space="0"/>
            </w:tcBorders>
            <w:noWrap/>
            <w:vAlign w:val="bottom"/>
          </w:tcPr>
          <w:p w14:paraId="6EB5008E">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档案整理过程中需提供的其他服务等</w:t>
            </w:r>
          </w:p>
        </w:tc>
      </w:tr>
      <w:tr w14:paraId="57B76C96">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35BFE6DC">
            <w:pPr>
              <w:widowControl/>
              <w:spacing w:line="360" w:lineRule="auto"/>
              <w:jc w:val="center"/>
              <w:rPr>
                <w:rFonts w:hint="eastAsia" w:cs="宋体"/>
                <w:color w:val="000000"/>
                <w:kern w:val="0"/>
                <w:sz w:val="22"/>
              </w:rPr>
            </w:pPr>
            <w:r>
              <w:rPr>
                <w:rFonts w:hint="eastAsia" w:cs="宋体"/>
                <w:color w:val="000000"/>
                <w:kern w:val="0"/>
                <w:sz w:val="22"/>
              </w:rPr>
              <w:t>合计</w:t>
            </w:r>
          </w:p>
        </w:tc>
        <w:tc>
          <w:tcPr>
            <w:tcW w:w="1060" w:type="dxa"/>
            <w:tcBorders>
              <w:top w:val="nil"/>
              <w:left w:val="nil"/>
              <w:bottom w:val="single" w:color="auto" w:sz="4" w:space="0"/>
              <w:right w:val="single" w:color="auto" w:sz="4" w:space="0"/>
            </w:tcBorders>
            <w:noWrap/>
            <w:vAlign w:val="bottom"/>
          </w:tcPr>
          <w:p w14:paraId="2003CA15">
            <w:pPr>
              <w:widowControl/>
              <w:spacing w:line="360" w:lineRule="auto"/>
              <w:jc w:val="right"/>
              <w:rPr>
                <w:rFonts w:hint="default" w:eastAsia="宋体" w:cs="宋体"/>
                <w:color w:val="000000"/>
                <w:kern w:val="0"/>
                <w:sz w:val="22"/>
                <w:lang w:val="en-US" w:eastAsia="zh-CN"/>
              </w:rPr>
            </w:pPr>
          </w:p>
        </w:tc>
        <w:tc>
          <w:tcPr>
            <w:tcW w:w="3860" w:type="dxa"/>
            <w:tcBorders>
              <w:top w:val="nil"/>
              <w:left w:val="nil"/>
              <w:bottom w:val="single" w:color="auto" w:sz="4" w:space="0"/>
              <w:right w:val="single" w:color="auto" w:sz="4" w:space="0"/>
            </w:tcBorders>
            <w:noWrap/>
            <w:vAlign w:val="bottom"/>
          </w:tcPr>
          <w:p w14:paraId="0DF5C690">
            <w:pPr>
              <w:widowControl/>
              <w:spacing w:line="360" w:lineRule="auto"/>
              <w:jc w:val="left"/>
              <w:rPr>
                <w:rFonts w:hint="eastAsia" w:cs="宋体"/>
                <w:color w:val="000000"/>
                <w:kern w:val="0"/>
                <w:sz w:val="22"/>
              </w:rPr>
            </w:pPr>
            <w:r>
              <w:rPr>
                <w:rFonts w:hint="eastAsia" w:cs="宋体"/>
                <w:color w:val="000000"/>
                <w:kern w:val="0"/>
                <w:sz w:val="22"/>
              </w:rPr>
              <w:t>　</w:t>
            </w:r>
          </w:p>
        </w:tc>
      </w:tr>
    </w:tbl>
    <w:p w14:paraId="0AE0FDA7">
      <w:pPr>
        <w:spacing w:line="360" w:lineRule="auto"/>
        <w:ind w:firstLine="640" w:firstLineChars="200"/>
        <w:jc w:val="center"/>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8</w:t>
      </w:r>
      <w:r>
        <w:rPr>
          <w:rFonts w:hint="eastAsia" w:ascii="仿宋_GB2312" w:eastAsia="仿宋_GB2312"/>
          <w:sz w:val="32"/>
          <w:szCs w:val="32"/>
        </w:rPr>
        <w:t>年服务内容及预算</w:t>
      </w:r>
    </w:p>
    <w:tbl>
      <w:tblPr>
        <w:tblStyle w:val="10"/>
        <w:tblW w:w="9020" w:type="dxa"/>
        <w:tblInd w:w="0" w:type="dxa"/>
        <w:tblLayout w:type="fixed"/>
        <w:tblCellMar>
          <w:top w:w="0" w:type="dxa"/>
          <w:left w:w="108" w:type="dxa"/>
          <w:bottom w:w="0" w:type="dxa"/>
          <w:right w:w="108" w:type="dxa"/>
        </w:tblCellMar>
      </w:tblPr>
      <w:tblGrid>
        <w:gridCol w:w="1302"/>
        <w:gridCol w:w="698"/>
        <w:gridCol w:w="1060"/>
        <w:gridCol w:w="1040"/>
        <w:gridCol w:w="1060"/>
        <w:gridCol w:w="3860"/>
      </w:tblGrid>
      <w:tr w14:paraId="09407313">
        <w:tblPrEx>
          <w:tblCellMar>
            <w:top w:w="0" w:type="dxa"/>
            <w:left w:w="108" w:type="dxa"/>
            <w:bottom w:w="0" w:type="dxa"/>
            <w:right w:w="108" w:type="dxa"/>
          </w:tblCellMar>
        </w:tblPrEx>
        <w:trPr>
          <w:trHeight w:val="630" w:hRule="atLeast"/>
        </w:trPr>
        <w:tc>
          <w:tcPr>
            <w:tcW w:w="130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90322F">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类别</w:t>
            </w:r>
          </w:p>
        </w:tc>
        <w:tc>
          <w:tcPr>
            <w:tcW w:w="698" w:type="dxa"/>
            <w:tcBorders>
              <w:top w:val="single" w:color="auto" w:sz="4" w:space="0"/>
              <w:left w:val="nil"/>
              <w:bottom w:val="single" w:color="auto" w:sz="4" w:space="0"/>
              <w:right w:val="single" w:color="auto" w:sz="4" w:space="0"/>
            </w:tcBorders>
            <w:shd w:val="clear" w:color="000000" w:fill="FFFFFF"/>
            <w:noWrap w:val="0"/>
            <w:vAlign w:val="center"/>
          </w:tcPr>
          <w:p w14:paraId="2D2E2A56">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单位</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51A69B7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单价（元）</w:t>
            </w:r>
          </w:p>
        </w:tc>
        <w:tc>
          <w:tcPr>
            <w:tcW w:w="1040" w:type="dxa"/>
            <w:tcBorders>
              <w:top w:val="single" w:color="auto" w:sz="4" w:space="0"/>
              <w:left w:val="nil"/>
              <w:bottom w:val="single" w:color="auto" w:sz="4" w:space="0"/>
              <w:right w:val="single" w:color="auto" w:sz="4" w:space="0"/>
            </w:tcBorders>
            <w:shd w:val="clear" w:color="000000" w:fill="FFFFFF"/>
            <w:noWrap w:val="0"/>
            <w:vAlign w:val="center"/>
          </w:tcPr>
          <w:p w14:paraId="20E988C8">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 xml:space="preserve">预估数量 </w:t>
            </w:r>
          </w:p>
        </w:tc>
        <w:tc>
          <w:tcPr>
            <w:tcW w:w="1060" w:type="dxa"/>
            <w:tcBorders>
              <w:top w:val="single" w:color="auto" w:sz="4" w:space="0"/>
              <w:left w:val="nil"/>
              <w:bottom w:val="single" w:color="auto" w:sz="4" w:space="0"/>
              <w:right w:val="single" w:color="auto" w:sz="4" w:space="0"/>
            </w:tcBorders>
            <w:shd w:val="clear" w:color="000000" w:fill="FFFFFF"/>
            <w:noWrap w:val="0"/>
            <w:vAlign w:val="center"/>
          </w:tcPr>
          <w:p w14:paraId="2E52F43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金额（元）</w:t>
            </w:r>
          </w:p>
        </w:tc>
        <w:tc>
          <w:tcPr>
            <w:tcW w:w="3860" w:type="dxa"/>
            <w:tcBorders>
              <w:top w:val="single" w:color="auto" w:sz="4" w:space="0"/>
              <w:left w:val="nil"/>
              <w:bottom w:val="single" w:color="auto" w:sz="4" w:space="0"/>
              <w:right w:val="single" w:color="auto" w:sz="4" w:space="0"/>
            </w:tcBorders>
            <w:shd w:val="clear" w:color="000000" w:fill="FFFFFF"/>
            <w:noWrap w:val="0"/>
            <w:vAlign w:val="center"/>
          </w:tcPr>
          <w:p w14:paraId="5E4F88F0">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备注</w:t>
            </w:r>
          </w:p>
        </w:tc>
      </w:tr>
      <w:tr w14:paraId="724FF232">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2EB0ED2E">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人员派遣</w:t>
            </w:r>
          </w:p>
        </w:tc>
        <w:tc>
          <w:tcPr>
            <w:tcW w:w="698" w:type="dxa"/>
            <w:tcBorders>
              <w:top w:val="nil"/>
              <w:left w:val="nil"/>
              <w:bottom w:val="single" w:color="auto" w:sz="4" w:space="0"/>
              <w:right w:val="single" w:color="auto" w:sz="4" w:space="0"/>
            </w:tcBorders>
            <w:shd w:val="clear" w:color="auto" w:fill="auto"/>
            <w:noWrap w:val="0"/>
            <w:vAlign w:val="center"/>
          </w:tcPr>
          <w:p w14:paraId="12D0BAA8">
            <w:pPr>
              <w:widowControl/>
              <w:spacing w:line="360" w:lineRule="auto"/>
              <w:jc w:val="center"/>
              <w:rPr>
                <w:rFonts w:hint="eastAsia" w:ascii="仿宋" w:hAnsi="仿宋" w:eastAsia="仿宋" w:cs="宋体"/>
                <w:color w:val="000000"/>
                <w:kern w:val="0"/>
                <w:sz w:val="22"/>
                <w:szCs w:val="22"/>
              </w:rPr>
            </w:pPr>
            <w:r>
              <w:rPr>
                <w:rFonts w:hint="eastAsia" w:ascii="仿宋" w:hAnsi="仿宋" w:eastAsia="仿宋" w:cs="宋体"/>
                <w:color w:val="000000"/>
                <w:kern w:val="0"/>
                <w:sz w:val="22"/>
              </w:rPr>
              <w:t>月/人</w:t>
            </w:r>
          </w:p>
        </w:tc>
        <w:tc>
          <w:tcPr>
            <w:tcW w:w="1060" w:type="dxa"/>
            <w:tcBorders>
              <w:top w:val="nil"/>
              <w:left w:val="nil"/>
              <w:bottom w:val="single" w:color="auto" w:sz="4" w:space="0"/>
              <w:right w:val="single" w:color="auto" w:sz="4" w:space="0"/>
            </w:tcBorders>
            <w:shd w:val="clear" w:color="000000" w:fill="FFFFFF"/>
            <w:noWrap w:val="0"/>
            <w:vAlign w:val="center"/>
          </w:tcPr>
          <w:p w14:paraId="030B75A7">
            <w:pPr>
              <w:widowControl/>
              <w:spacing w:line="360" w:lineRule="auto"/>
              <w:jc w:val="center"/>
              <w:rPr>
                <w:rFonts w:hint="eastAsia" w:ascii="仿宋" w:hAnsi="仿宋" w:eastAsia="仿宋" w:cs="宋体"/>
                <w:color w:val="000000"/>
                <w:kern w:val="0"/>
                <w:sz w:val="22"/>
                <w:szCs w:val="22"/>
              </w:rPr>
            </w:pPr>
          </w:p>
        </w:tc>
        <w:tc>
          <w:tcPr>
            <w:tcW w:w="1040" w:type="dxa"/>
            <w:tcBorders>
              <w:top w:val="nil"/>
              <w:left w:val="nil"/>
              <w:bottom w:val="single" w:color="auto" w:sz="4" w:space="0"/>
              <w:right w:val="single" w:color="auto" w:sz="4" w:space="0"/>
            </w:tcBorders>
            <w:noWrap w:val="0"/>
            <w:vAlign w:val="center"/>
          </w:tcPr>
          <w:p w14:paraId="32694321">
            <w:pPr>
              <w:widowControl/>
              <w:spacing w:line="360" w:lineRule="auto"/>
              <w:jc w:val="center"/>
              <w:rPr>
                <w:rFonts w:hint="eastAsia" w:ascii="仿宋" w:hAnsi="仿宋" w:eastAsia="仿宋" w:cs="宋体"/>
                <w:color w:val="000000"/>
                <w:kern w:val="0"/>
                <w:sz w:val="22"/>
                <w:szCs w:val="22"/>
              </w:rPr>
            </w:pPr>
            <w:r>
              <w:rPr>
                <w:rFonts w:hint="eastAsia" w:ascii="仿宋" w:hAnsi="仿宋" w:eastAsia="仿宋" w:cs="宋体"/>
                <w:color w:val="000000"/>
                <w:kern w:val="0"/>
                <w:sz w:val="22"/>
                <w:lang w:val="en-US" w:eastAsia="zh-CN"/>
              </w:rPr>
              <w:t>12</w:t>
            </w:r>
          </w:p>
        </w:tc>
        <w:tc>
          <w:tcPr>
            <w:tcW w:w="1060" w:type="dxa"/>
            <w:tcBorders>
              <w:top w:val="nil"/>
              <w:left w:val="nil"/>
              <w:bottom w:val="single" w:color="auto" w:sz="4" w:space="0"/>
              <w:right w:val="single" w:color="auto" w:sz="4" w:space="0"/>
            </w:tcBorders>
            <w:noWrap/>
            <w:vAlign w:val="center"/>
          </w:tcPr>
          <w:p w14:paraId="7FB70D8C">
            <w:pPr>
              <w:widowControl/>
              <w:spacing w:line="360" w:lineRule="auto"/>
              <w:jc w:val="center"/>
              <w:rPr>
                <w:rFonts w:hint="eastAsia" w:ascii="仿宋" w:hAnsi="仿宋" w:eastAsia="仿宋" w:cs="宋体"/>
                <w:color w:val="000000"/>
                <w:kern w:val="0"/>
                <w:sz w:val="22"/>
                <w:szCs w:val="22"/>
              </w:rPr>
            </w:pPr>
          </w:p>
        </w:tc>
        <w:tc>
          <w:tcPr>
            <w:tcW w:w="3860" w:type="dxa"/>
            <w:tcBorders>
              <w:top w:val="nil"/>
              <w:left w:val="nil"/>
              <w:bottom w:val="single" w:color="auto" w:sz="4" w:space="0"/>
              <w:right w:val="single" w:color="auto" w:sz="4" w:space="0"/>
            </w:tcBorders>
            <w:noWrap w:val="0"/>
            <w:vAlign w:val="center"/>
          </w:tcPr>
          <w:p w14:paraId="4EF7DD6E">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highlight w:val="none"/>
                <w:lang w:val="en-US" w:eastAsia="zh-CN"/>
              </w:rPr>
              <w:t>安排2个工作人员，服务6个月，</w:t>
            </w:r>
            <w:r>
              <w:rPr>
                <w:rFonts w:hint="eastAsia" w:ascii="仿宋" w:hAnsi="仿宋" w:eastAsia="仿宋" w:cs="宋体"/>
                <w:color w:val="000000"/>
                <w:kern w:val="0"/>
                <w:szCs w:val="21"/>
                <w:highlight w:val="none"/>
              </w:rPr>
              <w:t>每日任务量不少于</w:t>
            </w:r>
            <w:r>
              <w:rPr>
                <w:rFonts w:hint="eastAsia" w:ascii="仿宋" w:hAnsi="仿宋" w:eastAsia="仿宋" w:cs="宋体"/>
                <w:color w:val="000000"/>
                <w:kern w:val="0"/>
                <w:szCs w:val="21"/>
                <w:highlight w:val="none"/>
                <w:lang w:val="en-US" w:eastAsia="zh-CN"/>
              </w:rPr>
              <w:t>200</w:t>
            </w:r>
            <w:r>
              <w:rPr>
                <w:rFonts w:hint="eastAsia" w:ascii="仿宋" w:hAnsi="仿宋" w:eastAsia="仿宋" w:cs="宋体"/>
                <w:color w:val="000000"/>
                <w:kern w:val="0"/>
                <w:szCs w:val="21"/>
                <w:highlight w:val="none"/>
              </w:rPr>
              <w:t>件（每</w:t>
            </w:r>
            <w:r>
              <w:rPr>
                <w:rFonts w:hint="eastAsia" w:ascii="仿宋" w:hAnsi="仿宋" w:eastAsia="仿宋" w:cs="宋体"/>
                <w:color w:val="000000"/>
                <w:kern w:val="0"/>
                <w:szCs w:val="21"/>
                <w:highlight w:val="none"/>
                <w:lang w:eastAsia="zh-CN"/>
              </w:rPr>
              <w:t>件</w:t>
            </w:r>
            <w:r>
              <w:rPr>
                <w:rFonts w:hint="eastAsia" w:ascii="仿宋" w:hAnsi="仿宋" w:eastAsia="仿宋" w:cs="宋体"/>
                <w:color w:val="000000"/>
                <w:kern w:val="0"/>
                <w:szCs w:val="21"/>
                <w:highlight w:val="none"/>
              </w:rPr>
              <w:t>文件</w:t>
            </w:r>
            <w:r>
              <w:rPr>
                <w:rFonts w:hint="eastAsia" w:ascii="仿宋" w:hAnsi="仿宋" w:eastAsia="仿宋" w:cs="宋体"/>
                <w:color w:val="000000"/>
                <w:kern w:val="0"/>
                <w:szCs w:val="21"/>
                <w:highlight w:val="none"/>
                <w:lang w:eastAsia="zh-CN"/>
              </w:rPr>
              <w:t>包含完整内容为</w:t>
            </w:r>
            <w:r>
              <w:rPr>
                <w:rFonts w:hint="eastAsia" w:ascii="仿宋" w:hAnsi="仿宋" w:eastAsia="仿宋" w:cs="宋体"/>
                <w:color w:val="000000"/>
                <w:kern w:val="0"/>
                <w:szCs w:val="21"/>
                <w:highlight w:val="none"/>
                <w:lang w:val="en-US" w:eastAsia="zh-CN"/>
              </w:rPr>
              <w:t>1件，如：公司收发文</w:t>
            </w:r>
            <w:r>
              <w:rPr>
                <w:rFonts w:hint="eastAsia" w:ascii="仿宋" w:hAnsi="仿宋" w:eastAsia="仿宋" w:cs="宋体"/>
                <w:color w:val="000000"/>
                <w:kern w:val="0"/>
                <w:szCs w:val="21"/>
                <w:highlight w:val="none"/>
              </w:rPr>
              <w:t>的正文</w:t>
            </w:r>
            <w:r>
              <w:rPr>
                <w:rFonts w:hint="eastAsia" w:ascii="仿宋" w:hAnsi="仿宋" w:eastAsia="仿宋" w:cs="宋体"/>
                <w:color w:val="000000"/>
                <w:kern w:val="0"/>
                <w:szCs w:val="21"/>
                <w:highlight w:val="none"/>
                <w:lang w:eastAsia="zh-CN"/>
              </w:rPr>
              <w:t>，签批页</w:t>
            </w:r>
            <w:r>
              <w:rPr>
                <w:rFonts w:hint="eastAsia" w:ascii="仿宋" w:hAnsi="仿宋" w:eastAsia="仿宋" w:cs="宋体"/>
                <w:color w:val="000000"/>
                <w:kern w:val="0"/>
                <w:szCs w:val="21"/>
                <w:highlight w:val="none"/>
              </w:rPr>
              <w:t>及所有附件</w:t>
            </w:r>
            <w:r>
              <w:rPr>
                <w:rFonts w:hint="eastAsia" w:ascii="仿宋" w:hAnsi="仿宋" w:eastAsia="仿宋" w:cs="宋体"/>
                <w:color w:val="000000"/>
                <w:kern w:val="0"/>
                <w:szCs w:val="21"/>
                <w:highlight w:val="none"/>
                <w:lang w:eastAsia="zh-CN"/>
              </w:rPr>
              <w:t>，并</w:t>
            </w:r>
            <w:r>
              <w:rPr>
                <w:rFonts w:hint="eastAsia" w:ascii="仿宋" w:hAnsi="仿宋" w:eastAsia="仿宋" w:cs="宋体"/>
                <w:color w:val="000000"/>
                <w:kern w:val="0"/>
                <w:szCs w:val="21"/>
                <w:highlight w:val="none"/>
              </w:rPr>
              <w:t>装订</w:t>
            </w:r>
            <w:r>
              <w:rPr>
                <w:rFonts w:hint="eastAsia" w:ascii="仿宋" w:hAnsi="仿宋" w:eastAsia="仿宋" w:cs="宋体"/>
                <w:color w:val="000000"/>
                <w:kern w:val="0"/>
                <w:szCs w:val="21"/>
                <w:highlight w:val="none"/>
                <w:lang w:eastAsia="zh-CN"/>
              </w:rPr>
              <w:t>装盒</w:t>
            </w:r>
            <w:r>
              <w:rPr>
                <w:rFonts w:hint="eastAsia" w:ascii="仿宋" w:hAnsi="仿宋" w:eastAsia="仿宋" w:cs="宋体"/>
                <w:color w:val="000000"/>
                <w:kern w:val="0"/>
                <w:szCs w:val="21"/>
                <w:highlight w:val="none"/>
              </w:rPr>
              <w:t>为1件），</w:t>
            </w:r>
            <w:r>
              <w:rPr>
                <w:rFonts w:hint="eastAsia" w:ascii="仿宋" w:hAnsi="仿宋" w:eastAsia="仿宋" w:cs="宋体"/>
                <w:color w:val="000000"/>
                <w:kern w:val="0"/>
                <w:szCs w:val="21"/>
                <w:highlight w:val="none"/>
                <w:lang w:val="en-US" w:eastAsia="zh-CN"/>
              </w:rPr>
              <w:t xml:space="preserve"> </w:t>
            </w:r>
            <w:r>
              <w:rPr>
                <w:rFonts w:hint="eastAsia" w:ascii="仿宋" w:hAnsi="仿宋" w:eastAsia="仿宋" w:cs="宋体"/>
                <w:color w:val="000000"/>
                <w:kern w:val="0"/>
                <w:szCs w:val="21"/>
                <w:highlight w:val="none"/>
                <w:lang w:eastAsia="zh-CN"/>
              </w:rPr>
              <w:t>具体</w:t>
            </w:r>
            <w:r>
              <w:rPr>
                <w:rFonts w:hint="eastAsia" w:ascii="仿宋" w:hAnsi="仿宋" w:eastAsia="仿宋" w:cs="宋体"/>
                <w:color w:val="000000"/>
                <w:kern w:val="0"/>
                <w:szCs w:val="21"/>
                <w:highlight w:val="none"/>
              </w:rPr>
              <w:t>任务：</w:t>
            </w:r>
            <w:r>
              <w:rPr>
                <w:rFonts w:hint="eastAsia" w:ascii="仿宋" w:hAnsi="仿宋" w:eastAsia="仿宋" w:cs="宋体"/>
                <w:color w:val="000000"/>
                <w:kern w:val="0"/>
                <w:szCs w:val="21"/>
                <w:highlight w:val="none"/>
                <w:lang w:eastAsia="zh-CN"/>
              </w:rPr>
              <w:t>打印所有应归尽归文件，并数字化系统电子归档，打印电子目录及备考表并装盒，其他纸质文件的数字化系统</w:t>
            </w:r>
            <w:r>
              <w:rPr>
                <w:rFonts w:hint="eastAsia" w:ascii="仿宋" w:hAnsi="仿宋" w:eastAsia="仿宋" w:cs="宋体"/>
                <w:color w:val="000000"/>
                <w:kern w:val="0"/>
                <w:szCs w:val="21"/>
                <w:highlight w:val="none"/>
              </w:rPr>
              <w:t>著录、影像扫描</w:t>
            </w:r>
            <w:r>
              <w:rPr>
                <w:rFonts w:hint="eastAsia" w:ascii="仿宋" w:hAnsi="仿宋" w:eastAsia="仿宋" w:cs="宋体"/>
                <w:color w:val="000000"/>
                <w:kern w:val="0"/>
                <w:szCs w:val="21"/>
                <w:highlight w:val="none"/>
                <w:lang w:eastAsia="zh-CN"/>
              </w:rPr>
              <w:t>著录</w:t>
            </w:r>
            <w:r>
              <w:rPr>
                <w:rFonts w:hint="eastAsia" w:ascii="仿宋" w:hAnsi="仿宋" w:eastAsia="仿宋" w:cs="宋体"/>
                <w:color w:val="000000"/>
                <w:kern w:val="0"/>
                <w:szCs w:val="21"/>
                <w:highlight w:val="none"/>
              </w:rPr>
              <w:t>等，与档案整理归档的相关</w:t>
            </w:r>
            <w:r>
              <w:rPr>
                <w:rFonts w:hint="eastAsia" w:ascii="仿宋" w:hAnsi="仿宋" w:eastAsia="仿宋" w:cs="宋体"/>
                <w:color w:val="000000"/>
                <w:kern w:val="0"/>
                <w:szCs w:val="21"/>
                <w:highlight w:val="none"/>
                <w:lang w:eastAsia="zh-CN"/>
              </w:rPr>
              <w:t>各项</w:t>
            </w:r>
            <w:r>
              <w:rPr>
                <w:rFonts w:hint="eastAsia" w:ascii="仿宋" w:hAnsi="仿宋" w:eastAsia="仿宋" w:cs="宋体"/>
                <w:color w:val="000000"/>
                <w:kern w:val="0"/>
                <w:szCs w:val="21"/>
                <w:highlight w:val="none"/>
              </w:rPr>
              <w:t>工作</w:t>
            </w:r>
          </w:p>
        </w:tc>
      </w:tr>
      <w:tr w14:paraId="71533BC7">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0CD724E2">
            <w:pPr>
              <w:widowControl/>
              <w:spacing w:line="360" w:lineRule="auto"/>
              <w:jc w:val="center"/>
              <w:rPr>
                <w:rFonts w:hint="eastAsia" w:ascii="仿宋" w:hAnsi="仿宋" w:eastAsia="仿宋" w:cs="宋体"/>
                <w:color w:val="000000"/>
                <w:kern w:val="0"/>
                <w:szCs w:val="21"/>
              </w:rPr>
            </w:pPr>
          </w:p>
          <w:p w14:paraId="236B5F2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标准档案箱</w:t>
            </w:r>
          </w:p>
        </w:tc>
        <w:tc>
          <w:tcPr>
            <w:tcW w:w="698" w:type="dxa"/>
            <w:tcBorders>
              <w:top w:val="nil"/>
              <w:left w:val="nil"/>
              <w:bottom w:val="single" w:color="auto" w:sz="4" w:space="0"/>
              <w:right w:val="single" w:color="auto" w:sz="4" w:space="0"/>
            </w:tcBorders>
            <w:shd w:val="clear" w:color="auto" w:fill="auto"/>
            <w:noWrap w:val="0"/>
            <w:vAlign w:val="center"/>
          </w:tcPr>
          <w:p w14:paraId="0B3E022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3C124CA0">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4C58385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7D566C80">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79E3CCE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箱子大小不小于25cm*30cm*40cm,承重不低于16公斤</w:t>
            </w:r>
          </w:p>
        </w:tc>
      </w:tr>
      <w:tr w14:paraId="7FB4B84D">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3F6C0F0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安全编码 锁条</w:t>
            </w:r>
          </w:p>
        </w:tc>
        <w:tc>
          <w:tcPr>
            <w:tcW w:w="698" w:type="dxa"/>
            <w:tcBorders>
              <w:top w:val="nil"/>
              <w:left w:val="nil"/>
              <w:bottom w:val="single" w:color="auto" w:sz="4" w:space="0"/>
              <w:right w:val="single" w:color="auto" w:sz="4" w:space="0"/>
            </w:tcBorders>
            <w:shd w:val="clear" w:color="auto" w:fill="auto"/>
            <w:noWrap w:val="0"/>
            <w:vAlign w:val="center"/>
          </w:tcPr>
          <w:p w14:paraId="4786996D">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个</w:t>
            </w:r>
          </w:p>
        </w:tc>
        <w:tc>
          <w:tcPr>
            <w:tcW w:w="1060" w:type="dxa"/>
            <w:tcBorders>
              <w:top w:val="nil"/>
              <w:left w:val="nil"/>
              <w:bottom w:val="single" w:color="auto" w:sz="4" w:space="0"/>
              <w:right w:val="single" w:color="auto" w:sz="4" w:space="0"/>
            </w:tcBorders>
            <w:shd w:val="clear" w:color="000000" w:fill="FFFFFF"/>
            <w:noWrap w:val="0"/>
            <w:vAlign w:val="center"/>
          </w:tcPr>
          <w:p w14:paraId="13DE7C41">
            <w:pPr>
              <w:widowControl/>
              <w:spacing w:line="360" w:lineRule="auto"/>
              <w:jc w:val="center"/>
              <w:rPr>
                <w:rFonts w:hint="default" w:ascii="仿宋" w:hAnsi="仿宋" w:eastAsia="仿宋" w:cs="宋体"/>
                <w:color w:val="000000"/>
                <w:kern w:val="0"/>
                <w:szCs w:val="21"/>
                <w:lang w:val="en-US" w:eastAsia="zh-CN"/>
              </w:rPr>
            </w:pPr>
          </w:p>
        </w:tc>
        <w:tc>
          <w:tcPr>
            <w:tcW w:w="1040" w:type="dxa"/>
            <w:tcBorders>
              <w:top w:val="nil"/>
              <w:left w:val="nil"/>
              <w:bottom w:val="single" w:color="auto" w:sz="4" w:space="0"/>
              <w:right w:val="single" w:color="auto" w:sz="4" w:space="0"/>
            </w:tcBorders>
            <w:noWrap w:val="0"/>
            <w:vAlign w:val="center"/>
          </w:tcPr>
          <w:p w14:paraId="04E3D893">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20</w:t>
            </w:r>
            <w:r>
              <w:rPr>
                <w:rFonts w:hint="eastAsia" w:ascii="仿宋" w:hAnsi="仿宋" w:eastAsia="仿宋" w:cs="宋体"/>
                <w:color w:val="000000"/>
                <w:kern w:val="0"/>
                <w:szCs w:val="21"/>
              </w:rPr>
              <w:t>0</w:t>
            </w:r>
          </w:p>
        </w:tc>
        <w:tc>
          <w:tcPr>
            <w:tcW w:w="1060" w:type="dxa"/>
            <w:tcBorders>
              <w:top w:val="nil"/>
              <w:left w:val="nil"/>
              <w:bottom w:val="single" w:color="auto" w:sz="4" w:space="0"/>
              <w:right w:val="single" w:color="auto" w:sz="4" w:space="0"/>
            </w:tcBorders>
            <w:noWrap/>
            <w:vAlign w:val="center"/>
          </w:tcPr>
          <w:p w14:paraId="07836BBD">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609124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根据档案管理的保密性，需按规定封锁每个档案箱</w:t>
            </w:r>
          </w:p>
        </w:tc>
      </w:tr>
      <w:tr w14:paraId="4FC83C3D">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4F0B8D3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档案入库整理费</w:t>
            </w:r>
          </w:p>
        </w:tc>
        <w:tc>
          <w:tcPr>
            <w:tcW w:w="698" w:type="dxa"/>
            <w:tcBorders>
              <w:top w:val="nil"/>
              <w:left w:val="nil"/>
              <w:bottom w:val="single" w:color="auto" w:sz="4" w:space="0"/>
              <w:right w:val="single" w:color="auto" w:sz="4" w:space="0"/>
            </w:tcBorders>
            <w:shd w:val="clear" w:color="auto" w:fill="auto"/>
            <w:noWrap w:val="0"/>
            <w:vAlign w:val="center"/>
          </w:tcPr>
          <w:p w14:paraId="15D9C1F3">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条</w:t>
            </w:r>
          </w:p>
        </w:tc>
        <w:tc>
          <w:tcPr>
            <w:tcW w:w="1060" w:type="dxa"/>
            <w:tcBorders>
              <w:top w:val="nil"/>
              <w:left w:val="nil"/>
              <w:bottom w:val="single" w:color="auto" w:sz="4" w:space="0"/>
              <w:right w:val="single" w:color="auto" w:sz="4" w:space="0"/>
            </w:tcBorders>
            <w:shd w:val="clear" w:color="000000" w:fill="FFFFFF"/>
            <w:noWrap w:val="0"/>
            <w:vAlign w:val="center"/>
          </w:tcPr>
          <w:p w14:paraId="198D0BBD">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5265DCD4">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r>
              <w:rPr>
                <w:rFonts w:hint="eastAsia" w:ascii="仿宋" w:hAnsi="仿宋" w:eastAsia="仿宋" w:cs="宋体"/>
                <w:color w:val="000000"/>
                <w:kern w:val="0"/>
                <w:szCs w:val="21"/>
                <w:lang w:val="en-US" w:eastAsia="zh-CN"/>
              </w:rPr>
              <w:t>5</w:t>
            </w:r>
            <w:r>
              <w:rPr>
                <w:rFonts w:hint="eastAsia" w:ascii="仿宋" w:hAnsi="仿宋" w:eastAsia="仿宋" w:cs="宋体"/>
                <w:color w:val="000000"/>
                <w:kern w:val="0"/>
                <w:szCs w:val="21"/>
              </w:rPr>
              <w:t>00</w:t>
            </w:r>
          </w:p>
        </w:tc>
        <w:tc>
          <w:tcPr>
            <w:tcW w:w="1060" w:type="dxa"/>
            <w:tcBorders>
              <w:top w:val="nil"/>
              <w:left w:val="nil"/>
              <w:bottom w:val="single" w:color="auto" w:sz="4" w:space="0"/>
              <w:right w:val="single" w:color="auto" w:sz="4" w:space="0"/>
            </w:tcBorders>
            <w:noWrap/>
            <w:vAlign w:val="center"/>
          </w:tcPr>
          <w:p w14:paraId="061AA308">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E36206D">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按照甲方的档案管理规定进行档案入库整理</w:t>
            </w:r>
          </w:p>
        </w:tc>
      </w:tr>
      <w:tr w14:paraId="047D0BF7">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9D77E15">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搬迁档案运费</w:t>
            </w:r>
          </w:p>
        </w:tc>
        <w:tc>
          <w:tcPr>
            <w:tcW w:w="698" w:type="dxa"/>
            <w:tcBorders>
              <w:top w:val="nil"/>
              <w:left w:val="nil"/>
              <w:bottom w:val="single" w:color="auto" w:sz="4" w:space="0"/>
              <w:right w:val="single" w:color="auto" w:sz="4" w:space="0"/>
            </w:tcBorders>
            <w:shd w:val="clear" w:color="auto" w:fill="auto"/>
            <w:noWrap w:val="0"/>
            <w:vAlign w:val="center"/>
          </w:tcPr>
          <w:p w14:paraId="3F61D69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车</w:t>
            </w:r>
          </w:p>
        </w:tc>
        <w:tc>
          <w:tcPr>
            <w:tcW w:w="1060" w:type="dxa"/>
            <w:tcBorders>
              <w:top w:val="nil"/>
              <w:left w:val="nil"/>
              <w:bottom w:val="single" w:color="auto" w:sz="4" w:space="0"/>
              <w:right w:val="single" w:color="auto" w:sz="4" w:space="0"/>
            </w:tcBorders>
            <w:shd w:val="clear" w:color="000000" w:fill="FFFFFF"/>
            <w:noWrap w:val="0"/>
            <w:vAlign w:val="center"/>
          </w:tcPr>
          <w:p w14:paraId="76680097">
            <w:pPr>
              <w:widowControl/>
              <w:spacing w:line="360" w:lineRule="auto"/>
              <w:jc w:val="center"/>
              <w:rPr>
                <w:rFonts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736A96A3">
            <w:pPr>
              <w:widowControl/>
              <w:spacing w:line="360" w:lineRule="auto"/>
              <w:jc w:val="center"/>
              <w:rPr>
                <w:rFonts w:hint="eastAsia" w:ascii="仿宋" w:hAnsi="仿宋" w:eastAsia="仿宋" w:cs="宋体"/>
                <w:color w:val="000000"/>
                <w:kern w:val="0"/>
                <w:szCs w:val="21"/>
                <w:lang w:eastAsia="zh-CN"/>
              </w:rPr>
            </w:pPr>
            <w:r>
              <w:rPr>
                <w:rFonts w:hint="eastAsia" w:ascii="仿宋" w:hAnsi="仿宋" w:eastAsia="仿宋" w:cs="宋体"/>
                <w:color w:val="000000"/>
                <w:kern w:val="0"/>
                <w:szCs w:val="21"/>
                <w:lang w:val="en-US" w:eastAsia="zh-CN"/>
              </w:rPr>
              <w:t>5</w:t>
            </w:r>
          </w:p>
        </w:tc>
        <w:tc>
          <w:tcPr>
            <w:tcW w:w="1060" w:type="dxa"/>
            <w:tcBorders>
              <w:top w:val="nil"/>
              <w:left w:val="nil"/>
              <w:bottom w:val="single" w:color="auto" w:sz="4" w:space="0"/>
              <w:right w:val="single" w:color="auto" w:sz="4" w:space="0"/>
            </w:tcBorders>
            <w:noWrap/>
            <w:vAlign w:val="center"/>
          </w:tcPr>
          <w:p w14:paraId="65FD32E0">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2336041E">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最低收费每车250元（每车包含50箱档案，超出部分按5元/箱计算）</w:t>
            </w:r>
          </w:p>
        </w:tc>
      </w:tr>
      <w:tr w14:paraId="1798D2D2">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5BD4F33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实物调阅</w:t>
            </w:r>
          </w:p>
        </w:tc>
        <w:tc>
          <w:tcPr>
            <w:tcW w:w="698" w:type="dxa"/>
            <w:tcBorders>
              <w:top w:val="nil"/>
              <w:left w:val="nil"/>
              <w:bottom w:val="single" w:color="auto" w:sz="4" w:space="0"/>
              <w:right w:val="single" w:color="auto" w:sz="4" w:space="0"/>
            </w:tcBorders>
            <w:shd w:val="clear" w:color="auto" w:fill="auto"/>
            <w:noWrap w:val="0"/>
            <w:vAlign w:val="center"/>
          </w:tcPr>
          <w:p w14:paraId="41EE1838">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38B43E69">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0A96B8B9">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292FEC8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5A29AB2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5547F1F3">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34AA5EBD">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上门调阅</w:t>
            </w:r>
          </w:p>
        </w:tc>
        <w:tc>
          <w:tcPr>
            <w:tcW w:w="698" w:type="dxa"/>
            <w:tcBorders>
              <w:top w:val="nil"/>
              <w:left w:val="nil"/>
              <w:bottom w:val="single" w:color="auto" w:sz="4" w:space="0"/>
              <w:right w:val="single" w:color="auto" w:sz="4" w:space="0"/>
            </w:tcBorders>
            <w:shd w:val="clear" w:color="auto" w:fill="auto"/>
            <w:noWrap w:val="0"/>
            <w:vAlign w:val="center"/>
          </w:tcPr>
          <w:p w14:paraId="36EF386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7337501F">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2A6B48CA">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2B0BBF43">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2101EB66">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049DBFD9">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3241C343">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电子调阅</w:t>
            </w:r>
          </w:p>
        </w:tc>
        <w:tc>
          <w:tcPr>
            <w:tcW w:w="698" w:type="dxa"/>
            <w:tcBorders>
              <w:top w:val="nil"/>
              <w:left w:val="nil"/>
              <w:bottom w:val="single" w:color="auto" w:sz="4" w:space="0"/>
              <w:right w:val="single" w:color="auto" w:sz="4" w:space="0"/>
            </w:tcBorders>
            <w:shd w:val="clear" w:color="auto" w:fill="auto"/>
            <w:noWrap w:val="0"/>
            <w:vAlign w:val="center"/>
          </w:tcPr>
          <w:p w14:paraId="6C50B614">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w:t>
            </w:r>
          </w:p>
        </w:tc>
        <w:tc>
          <w:tcPr>
            <w:tcW w:w="1060" w:type="dxa"/>
            <w:tcBorders>
              <w:top w:val="nil"/>
              <w:left w:val="nil"/>
              <w:bottom w:val="single" w:color="auto" w:sz="4" w:space="0"/>
              <w:right w:val="single" w:color="auto" w:sz="4" w:space="0"/>
            </w:tcBorders>
            <w:shd w:val="clear" w:color="000000" w:fill="FFFFFF"/>
            <w:noWrap w:val="0"/>
            <w:vAlign w:val="center"/>
          </w:tcPr>
          <w:p w14:paraId="1C65D314">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7E6A957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100</w:t>
            </w:r>
          </w:p>
        </w:tc>
        <w:tc>
          <w:tcPr>
            <w:tcW w:w="1060" w:type="dxa"/>
            <w:tcBorders>
              <w:top w:val="nil"/>
              <w:left w:val="nil"/>
              <w:bottom w:val="single" w:color="auto" w:sz="4" w:space="0"/>
              <w:right w:val="single" w:color="auto" w:sz="4" w:space="0"/>
            </w:tcBorders>
            <w:noWrap/>
            <w:vAlign w:val="center"/>
          </w:tcPr>
          <w:p w14:paraId="458E7956">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409BFDE">
            <w:pPr>
              <w:widowControl/>
              <w:spacing w:line="360" w:lineRule="auto"/>
              <w:jc w:val="left"/>
              <w:rPr>
                <w:rFonts w:hint="eastAsia" w:ascii="仿宋" w:hAnsi="仿宋" w:eastAsia="仿宋" w:cs="宋体"/>
                <w:color w:val="000000"/>
                <w:kern w:val="0"/>
                <w:szCs w:val="21"/>
              </w:rPr>
            </w:pPr>
            <w:r>
              <w:rPr>
                <w:rFonts w:hint="eastAsia" w:ascii="仿宋" w:hAnsi="仿宋" w:eastAsia="仿宋" w:cs="宋体"/>
                <w:color w:val="000000"/>
                <w:kern w:val="0"/>
                <w:szCs w:val="21"/>
              </w:rPr>
              <w:t>调阅一件视为调阅一箱</w:t>
            </w:r>
          </w:p>
        </w:tc>
      </w:tr>
      <w:tr w14:paraId="05DE130C">
        <w:tblPrEx>
          <w:tblCellMar>
            <w:top w:w="0" w:type="dxa"/>
            <w:left w:w="108" w:type="dxa"/>
            <w:bottom w:w="0" w:type="dxa"/>
            <w:right w:w="108" w:type="dxa"/>
          </w:tblCellMar>
        </w:tblPrEx>
        <w:trPr>
          <w:trHeight w:val="630" w:hRule="atLeast"/>
        </w:trPr>
        <w:tc>
          <w:tcPr>
            <w:tcW w:w="1302" w:type="dxa"/>
            <w:tcBorders>
              <w:top w:val="nil"/>
              <w:left w:val="single" w:color="auto" w:sz="4" w:space="0"/>
              <w:bottom w:val="single" w:color="auto" w:sz="4" w:space="0"/>
              <w:right w:val="single" w:color="auto" w:sz="4" w:space="0"/>
            </w:tcBorders>
            <w:shd w:val="clear" w:color="auto" w:fill="auto"/>
            <w:noWrap w:val="0"/>
            <w:vAlign w:val="center"/>
          </w:tcPr>
          <w:p w14:paraId="7DD27B0F">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存储费</w:t>
            </w:r>
          </w:p>
        </w:tc>
        <w:tc>
          <w:tcPr>
            <w:tcW w:w="698" w:type="dxa"/>
            <w:tcBorders>
              <w:top w:val="nil"/>
              <w:left w:val="nil"/>
              <w:bottom w:val="single" w:color="auto" w:sz="4" w:space="0"/>
              <w:right w:val="single" w:color="auto" w:sz="4" w:space="0"/>
            </w:tcBorders>
            <w:shd w:val="clear" w:color="auto" w:fill="auto"/>
            <w:noWrap w:val="0"/>
            <w:vAlign w:val="center"/>
          </w:tcPr>
          <w:p w14:paraId="5F3A21BE">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箱/年</w:t>
            </w:r>
          </w:p>
        </w:tc>
        <w:tc>
          <w:tcPr>
            <w:tcW w:w="1060" w:type="dxa"/>
            <w:tcBorders>
              <w:top w:val="nil"/>
              <w:left w:val="nil"/>
              <w:bottom w:val="single" w:color="auto" w:sz="4" w:space="0"/>
              <w:right w:val="single" w:color="auto" w:sz="4" w:space="0"/>
            </w:tcBorders>
            <w:shd w:val="clear" w:color="000000" w:fill="FFFFFF"/>
            <w:noWrap w:val="0"/>
            <w:vAlign w:val="center"/>
          </w:tcPr>
          <w:p w14:paraId="209C8E7F">
            <w:pPr>
              <w:widowControl/>
              <w:spacing w:line="360" w:lineRule="auto"/>
              <w:jc w:val="center"/>
              <w:rPr>
                <w:rFonts w:hint="eastAsia" w:ascii="仿宋" w:hAnsi="仿宋" w:eastAsia="仿宋" w:cs="宋体"/>
                <w:color w:val="000000"/>
                <w:kern w:val="0"/>
                <w:szCs w:val="21"/>
              </w:rPr>
            </w:pPr>
          </w:p>
        </w:tc>
        <w:tc>
          <w:tcPr>
            <w:tcW w:w="1040" w:type="dxa"/>
            <w:tcBorders>
              <w:top w:val="nil"/>
              <w:left w:val="nil"/>
              <w:bottom w:val="single" w:color="auto" w:sz="4" w:space="0"/>
              <w:right w:val="single" w:color="auto" w:sz="4" w:space="0"/>
            </w:tcBorders>
            <w:noWrap w:val="0"/>
            <w:vAlign w:val="center"/>
          </w:tcPr>
          <w:p w14:paraId="1C8E65D1">
            <w:pPr>
              <w:widowControl/>
              <w:spacing w:line="36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lang w:val="en-US" w:eastAsia="zh-CN"/>
              </w:rPr>
              <w:t>750</w:t>
            </w:r>
          </w:p>
        </w:tc>
        <w:tc>
          <w:tcPr>
            <w:tcW w:w="1060" w:type="dxa"/>
            <w:tcBorders>
              <w:top w:val="nil"/>
              <w:left w:val="nil"/>
              <w:bottom w:val="single" w:color="auto" w:sz="4" w:space="0"/>
              <w:right w:val="single" w:color="auto" w:sz="4" w:space="0"/>
            </w:tcBorders>
            <w:noWrap/>
            <w:vAlign w:val="center"/>
          </w:tcPr>
          <w:p w14:paraId="6554E082">
            <w:pPr>
              <w:widowControl/>
              <w:spacing w:line="360" w:lineRule="auto"/>
              <w:jc w:val="center"/>
              <w:rPr>
                <w:rFonts w:hint="eastAsia" w:ascii="仿宋" w:hAnsi="仿宋" w:eastAsia="仿宋" w:cs="宋体"/>
                <w:color w:val="000000"/>
                <w:kern w:val="0"/>
                <w:sz w:val="22"/>
              </w:rPr>
            </w:pPr>
          </w:p>
        </w:tc>
        <w:tc>
          <w:tcPr>
            <w:tcW w:w="3860" w:type="dxa"/>
            <w:tcBorders>
              <w:top w:val="nil"/>
              <w:left w:val="nil"/>
              <w:bottom w:val="single" w:color="auto" w:sz="4" w:space="0"/>
              <w:right w:val="single" w:color="auto" w:sz="4" w:space="0"/>
            </w:tcBorders>
            <w:noWrap w:val="0"/>
            <w:vAlign w:val="center"/>
          </w:tcPr>
          <w:p w14:paraId="33B29CF9">
            <w:pPr>
              <w:widowControl/>
              <w:spacing w:line="360" w:lineRule="auto"/>
              <w:rPr>
                <w:rFonts w:hint="eastAsia" w:ascii="仿宋" w:hAnsi="仿宋" w:eastAsia="仿宋" w:cs="宋体"/>
                <w:color w:val="000000"/>
                <w:kern w:val="0"/>
                <w:szCs w:val="21"/>
              </w:rPr>
            </w:pPr>
            <w:r>
              <w:rPr>
                <w:rFonts w:hint="eastAsia" w:ascii="仿宋" w:hAnsi="仿宋" w:eastAsia="仿宋" w:cs="宋体"/>
                <w:color w:val="000000"/>
                <w:kern w:val="0"/>
                <w:szCs w:val="21"/>
              </w:rPr>
              <w:t>不足六个月按半年计费，超过六个月按一年计费</w:t>
            </w:r>
          </w:p>
        </w:tc>
      </w:tr>
      <w:tr w14:paraId="5CB8FCC9">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04B1B5C1">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其他服务费用（不限于提供装订机）</w:t>
            </w:r>
          </w:p>
        </w:tc>
        <w:tc>
          <w:tcPr>
            <w:tcW w:w="1060" w:type="dxa"/>
            <w:tcBorders>
              <w:top w:val="nil"/>
              <w:left w:val="nil"/>
              <w:bottom w:val="single" w:color="auto" w:sz="4" w:space="0"/>
              <w:right w:val="single" w:color="auto" w:sz="4" w:space="0"/>
            </w:tcBorders>
            <w:noWrap/>
            <w:vAlign w:val="bottom"/>
          </w:tcPr>
          <w:p w14:paraId="276556C8">
            <w:pPr>
              <w:widowControl/>
              <w:spacing w:line="360" w:lineRule="auto"/>
              <w:jc w:val="center"/>
              <w:rPr>
                <w:rFonts w:ascii="仿宋" w:hAnsi="仿宋" w:eastAsia="仿宋" w:cs="宋体"/>
                <w:color w:val="000000"/>
                <w:kern w:val="0"/>
                <w:szCs w:val="21"/>
              </w:rPr>
            </w:pPr>
          </w:p>
        </w:tc>
        <w:tc>
          <w:tcPr>
            <w:tcW w:w="3860" w:type="dxa"/>
            <w:tcBorders>
              <w:top w:val="nil"/>
              <w:left w:val="nil"/>
              <w:bottom w:val="single" w:color="auto" w:sz="4" w:space="0"/>
              <w:right w:val="single" w:color="auto" w:sz="4" w:space="0"/>
            </w:tcBorders>
            <w:noWrap/>
            <w:vAlign w:val="bottom"/>
          </w:tcPr>
          <w:p w14:paraId="251CA6E6">
            <w:pPr>
              <w:widowControl/>
              <w:spacing w:line="360" w:lineRule="auto"/>
              <w:jc w:val="center"/>
              <w:rPr>
                <w:rFonts w:ascii="仿宋" w:hAnsi="仿宋" w:eastAsia="仿宋" w:cs="宋体"/>
                <w:color w:val="000000"/>
                <w:kern w:val="0"/>
                <w:szCs w:val="21"/>
              </w:rPr>
            </w:pPr>
            <w:r>
              <w:rPr>
                <w:rFonts w:hint="eastAsia" w:ascii="仿宋" w:hAnsi="仿宋" w:eastAsia="仿宋" w:cs="宋体"/>
                <w:color w:val="000000"/>
                <w:kern w:val="0"/>
                <w:szCs w:val="21"/>
              </w:rPr>
              <w:t>档案整理过程中需提供的其他服务等</w:t>
            </w:r>
          </w:p>
        </w:tc>
      </w:tr>
      <w:tr w14:paraId="7C368C77">
        <w:tblPrEx>
          <w:tblCellMar>
            <w:top w:w="0" w:type="dxa"/>
            <w:left w:w="108" w:type="dxa"/>
            <w:bottom w:w="0" w:type="dxa"/>
            <w:right w:w="108" w:type="dxa"/>
          </w:tblCellMar>
        </w:tblPrEx>
        <w:trPr>
          <w:trHeight w:val="420" w:hRule="atLeast"/>
        </w:trPr>
        <w:tc>
          <w:tcPr>
            <w:tcW w:w="4100" w:type="dxa"/>
            <w:gridSpan w:val="4"/>
            <w:tcBorders>
              <w:top w:val="single" w:color="auto" w:sz="4" w:space="0"/>
              <w:left w:val="single" w:color="auto" w:sz="4" w:space="0"/>
              <w:bottom w:val="single" w:color="auto" w:sz="4" w:space="0"/>
              <w:right w:val="single" w:color="auto" w:sz="4" w:space="0"/>
            </w:tcBorders>
            <w:noWrap/>
            <w:vAlign w:val="bottom"/>
          </w:tcPr>
          <w:p w14:paraId="3C1B318F">
            <w:pPr>
              <w:widowControl/>
              <w:spacing w:line="360" w:lineRule="auto"/>
              <w:jc w:val="center"/>
              <w:rPr>
                <w:rFonts w:hint="eastAsia" w:cs="宋体"/>
                <w:color w:val="000000"/>
                <w:kern w:val="0"/>
                <w:sz w:val="22"/>
              </w:rPr>
            </w:pPr>
            <w:r>
              <w:rPr>
                <w:rFonts w:hint="eastAsia" w:cs="宋体"/>
                <w:color w:val="000000"/>
                <w:kern w:val="0"/>
                <w:sz w:val="22"/>
              </w:rPr>
              <w:t>合计</w:t>
            </w:r>
          </w:p>
        </w:tc>
        <w:tc>
          <w:tcPr>
            <w:tcW w:w="1060" w:type="dxa"/>
            <w:tcBorders>
              <w:top w:val="nil"/>
              <w:left w:val="nil"/>
              <w:bottom w:val="single" w:color="auto" w:sz="4" w:space="0"/>
              <w:right w:val="single" w:color="auto" w:sz="4" w:space="0"/>
            </w:tcBorders>
            <w:noWrap/>
            <w:vAlign w:val="bottom"/>
          </w:tcPr>
          <w:p w14:paraId="096CD707">
            <w:pPr>
              <w:widowControl/>
              <w:spacing w:line="360" w:lineRule="auto"/>
              <w:jc w:val="right"/>
              <w:rPr>
                <w:rFonts w:hint="default" w:eastAsia="宋体" w:cs="宋体"/>
                <w:color w:val="000000"/>
                <w:kern w:val="0"/>
                <w:sz w:val="22"/>
                <w:lang w:val="en-US" w:eastAsia="zh-CN"/>
              </w:rPr>
            </w:pPr>
          </w:p>
        </w:tc>
        <w:tc>
          <w:tcPr>
            <w:tcW w:w="3860" w:type="dxa"/>
            <w:tcBorders>
              <w:top w:val="nil"/>
              <w:left w:val="nil"/>
              <w:bottom w:val="single" w:color="auto" w:sz="4" w:space="0"/>
              <w:right w:val="single" w:color="auto" w:sz="4" w:space="0"/>
            </w:tcBorders>
            <w:noWrap/>
            <w:vAlign w:val="bottom"/>
          </w:tcPr>
          <w:p w14:paraId="11758623">
            <w:pPr>
              <w:widowControl/>
              <w:spacing w:line="360" w:lineRule="auto"/>
              <w:jc w:val="left"/>
              <w:rPr>
                <w:rFonts w:hint="eastAsia" w:cs="宋体"/>
                <w:color w:val="000000"/>
                <w:kern w:val="0"/>
                <w:sz w:val="22"/>
              </w:rPr>
            </w:pPr>
            <w:r>
              <w:rPr>
                <w:rFonts w:hint="eastAsia" w:cs="宋体"/>
                <w:color w:val="000000"/>
                <w:kern w:val="0"/>
                <w:sz w:val="22"/>
              </w:rPr>
              <w:t>　</w:t>
            </w:r>
          </w:p>
        </w:tc>
      </w:tr>
    </w:tbl>
    <w:p w14:paraId="6095093F">
      <w:pPr>
        <w:pStyle w:val="3"/>
      </w:pPr>
    </w:p>
    <w:p w14:paraId="6F691F48">
      <w:pPr>
        <w:spacing w:line="360" w:lineRule="auto"/>
        <w:jc w:val="center"/>
        <w:rPr>
          <w:rFonts w:hint="eastAsia" w:ascii="仿宋_GB2312" w:eastAsia="仿宋_GB2312"/>
          <w:b/>
        </w:rPr>
      </w:pPr>
      <w:r>
        <w:rPr>
          <w:rFonts w:hint="eastAsia" w:ascii="仿宋_GB2312" w:eastAsia="仿宋_GB2312"/>
          <w:b/>
        </w:rPr>
        <w:t xml:space="preserve">第三章 </w:t>
      </w:r>
    </w:p>
    <w:p w14:paraId="77FF055F">
      <w:pPr>
        <w:spacing w:line="360" w:lineRule="auto"/>
        <w:jc w:val="center"/>
        <w:rPr>
          <w:rFonts w:ascii="仿宋_GB2312" w:eastAsia="仿宋_GB2312"/>
          <w:b/>
        </w:rPr>
      </w:pPr>
      <w:r>
        <w:rPr>
          <w:rFonts w:hint="eastAsia" w:ascii="仿宋_GB2312" w:eastAsia="仿宋_GB2312"/>
          <w:b/>
        </w:rPr>
        <w:t xml:space="preserve"> 服务期限</w:t>
      </w:r>
    </w:p>
    <w:p w14:paraId="34703A76">
      <w:pPr>
        <w:spacing w:line="360" w:lineRule="auto"/>
        <w:ind w:left="105" w:leftChars="50" w:firstLine="422" w:firstLineChars="200"/>
        <w:rPr>
          <w:rFonts w:ascii="仿宋_GB2312" w:eastAsia="仿宋_GB2312"/>
        </w:rPr>
      </w:pPr>
      <w:r>
        <w:rPr>
          <w:rFonts w:hint="eastAsia" w:ascii="仿宋_GB2312" w:eastAsia="仿宋_GB2312"/>
          <w:b/>
        </w:rPr>
        <w:t>第三条</w:t>
      </w:r>
      <w:r>
        <w:rPr>
          <w:rFonts w:hint="eastAsia" w:ascii="仿宋_GB2312" w:eastAsia="仿宋_GB2312"/>
        </w:rPr>
        <w:t xml:space="preserve">  服务期限为</w:t>
      </w:r>
      <w:r>
        <w:rPr>
          <w:rFonts w:hint="eastAsia" w:ascii="仿宋_GB2312" w:eastAsia="仿宋_GB2312"/>
          <w:u w:val="single"/>
          <w:lang w:val="en-US" w:eastAsia="zh-CN"/>
        </w:rPr>
        <w:t xml:space="preserve"> 三  </w:t>
      </w:r>
      <w:r>
        <w:rPr>
          <w:rFonts w:hint="eastAsia" w:ascii="仿宋_GB2312" w:eastAsia="仿宋_GB2312"/>
        </w:rPr>
        <w:t>年，自</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年</w:t>
      </w:r>
      <w:r>
        <w:rPr>
          <w:rFonts w:ascii="仿宋_GB2312" w:eastAsia="仿宋_GB2312"/>
          <w:u w:val="single"/>
        </w:rPr>
        <w:t xml:space="preserve">    </w:t>
      </w:r>
      <w:r>
        <w:rPr>
          <w:rFonts w:hint="eastAsia" w:ascii="仿宋_GB2312" w:eastAsia="仿宋_GB2312"/>
        </w:rPr>
        <w:t>月</w:t>
      </w:r>
      <w:r>
        <w:rPr>
          <w:rFonts w:ascii="仿宋_GB2312" w:eastAsia="仿宋_GB2312"/>
          <w:u w:val="single"/>
        </w:rPr>
        <w:t xml:space="preserve">    </w:t>
      </w:r>
      <w:r>
        <w:rPr>
          <w:rFonts w:hint="eastAsia" w:ascii="仿宋_GB2312" w:eastAsia="仿宋_GB2312"/>
        </w:rPr>
        <w:t>日起至</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年</w:t>
      </w:r>
      <w:r>
        <w:rPr>
          <w:rFonts w:ascii="仿宋_GB2312" w:eastAsia="仿宋_GB2312"/>
          <w:u w:val="single"/>
        </w:rPr>
        <w:t xml:space="preserve">    </w:t>
      </w:r>
      <w:r>
        <w:rPr>
          <w:rFonts w:hint="eastAsia" w:ascii="仿宋_GB2312" w:eastAsia="仿宋_GB2312"/>
        </w:rPr>
        <w:t>月</w:t>
      </w:r>
      <w:r>
        <w:rPr>
          <w:rFonts w:ascii="仿宋_GB2312" w:eastAsia="仿宋_GB2312"/>
          <w:u w:val="single"/>
        </w:rPr>
        <w:t xml:space="preserve">    </w:t>
      </w:r>
      <w:r>
        <w:rPr>
          <w:rFonts w:hint="eastAsia" w:ascii="仿宋_GB2312" w:eastAsia="仿宋_GB2312"/>
        </w:rPr>
        <w:t>日止。</w:t>
      </w:r>
    </w:p>
    <w:p w14:paraId="1BC7E7A1">
      <w:pPr>
        <w:spacing w:line="360" w:lineRule="auto"/>
        <w:rPr>
          <w:rFonts w:ascii="仿宋_GB2312" w:eastAsia="仿宋_GB2312"/>
        </w:rPr>
      </w:pPr>
    </w:p>
    <w:p w14:paraId="105F9A67">
      <w:pPr>
        <w:spacing w:line="360" w:lineRule="auto"/>
        <w:jc w:val="center"/>
        <w:rPr>
          <w:rFonts w:ascii="仿宋_GB2312" w:eastAsia="仿宋_GB2312"/>
          <w:b/>
        </w:rPr>
      </w:pPr>
      <w:r>
        <w:rPr>
          <w:rFonts w:hint="eastAsia" w:ascii="仿宋_GB2312" w:eastAsia="仿宋_GB2312"/>
          <w:b/>
        </w:rPr>
        <w:t>第四章  双方权利和义务</w:t>
      </w:r>
    </w:p>
    <w:p w14:paraId="69D5C16E">
      <w:pPr>
        <w:spacing w:line="360" w:lineRule="auto"/>
        <w:ind w:firstLine="422" w:firstLineChars="200"/>
        <w:rPr>
          <w:rFonts w:ascii="仿宋_GB2312" w:eastAsia="仿宋_GB2312"/>
        </w:rPr>
      </w:pPr>
      <w:r>
        <w:rPr>
          <w:rFonts w:hint="eastAsia" w:ascii="仿宋_GB2312" w:eastAsia="仿宋_GB2312"/>
          <w:b/>
        </w:rPr>
        <w:t>第四条</w:t>
      </w:r>
      <w:r>
        <w:rPr>
          <w:rFonts w:hint="eastAsia" w:ascii="仿宋_GB2312" w:eastAsia="仿宋_GB2312"/>
        </w:rPr>
        <w:t xml:space="preserve">  甲方的权利义务 </w:t>
      </w:r>
    </w:p>
    <w:p w14:paraId="6F54E9FD">
      <w:pPr>
        <w:spacing w:line="360" w:lineRule="auto"/>
        <w:ind w:firstLine="420" w:firstLineChars="200"/>
        <w:rPr>
          <w:rFonts w:ascii="仿宋_GB2312" w:eastAsia="仿宋_GB2312"/>
        </w:rPr>
      </w:pPr>
      <w:r>
        <w:rPr>
          <w:rFonts w:hint="eastAsia" w:ascii="仿宋_GB2312" w:eastAsia="仿宋_GB2312"/>
        </w:rPr>
        <w:t>（一）按照合同约定，接受乙方提供的</w:t>
      </w:r>
      <w:r>
        <w:rPr>
          <w:rFonts w:hint="eastAsia" w:ascii="仿宋_GB2312" w:eastAsia="仿宋_GB2312"/>
          <w:u w:val="single"/>
        </w:rPr>
        <w:t xml:space="preserve">档案整理、归档、调阅等各项档案管理 </w:t>
      </w:r>
      <w:r>
        <w:rPr>
          <w:rFonts w:hint="eastAsia" w:ascii="仿宋_GB2312" w:eastAsia="仿宋_GB2312"/>
        </w:rPr>
        <w:t>服务。</w:t>
      </w:r>
    </w:p>
    <w:p w14:paraId="07630A0A">
      <w:pPr>
        <w:spacing w:line="360" w:lineRule="auto"/>
        <w:ind w:firstLine="420" w:firstLineChars="200"/>
        <w:rPr>
          <w:rFonts w:ascii="仿宋_GB2312" w:eastAsia="仿宋_GB2312"/>
        </w:rPr>
      </w:pPr>
      <w:r>
        <w:rPr>
          <w:rFonts w:hint="eastAsia" w:ascii="仿宋_GB2312" w:eastAsia="仿宋_GB2312"/>
        </w:rPr>
        <w:t>（二）检查、监督、指导乙方服务工作的实施及执行情况。</w:t>
      </w:r>
    </w:p>
    <w:p w14:paraId="553283BD">
      <w:pPr>
        <w:spacing w:line="360" w:lineRule="auto"/>
        <w:ind w:firstLine="420" w:firstLineChars="200"/>
        <w:rPr>
          <w:rFonts w:ascii="仿宋_GB2312" w:eastAsia="仿宋_GB2312"/>
        </w:rPr>
      </w:pPr>
      <w:r>
        <w:rPr>
          <w:rFonts w:hint="eastAsia" w:ascii="仿宋_GB2312" w:eastAsia="仿宋_GB2312"/>
        </w:rPr>
        <w:t>（三）甲方有权对乙方工作效果进行评价或考核,工作效果评价或考核结果作为服务质量考评依据,有权对乙方违规违纪工作人员或甲方认为不适合在本岗位继续工作的人员提出调换或辞退意见，但给予乙方合理的更换时间。</w:t>
      </w:r>
    </w:p>
    <w:p w14:paraId="0CCDBB1D">
      <w:pPr>
        <w:spacing w:line="360" w:lineRule="auto"/>
        <w:ind w:firstLine="420" w:firstLineChars="200"/>
        <w:rPr>
          <w:rFonts w:ascii="仿宋_GB2312" w:eastAsia="仿宋_GB2312"/>
        </w:rPr>
      </w:pPr>
      <w:r>
        <w:rPr>
          <w:rFonts w:hint="eastAsia" w:ascii="仿宋_GB2312" w:eastAsia="仿宋_GB2312"/>
        </w:rPr>
        <w:t>（四）为乙方做好服务工作提供必要的协助。</w:t>
      </w:r>
    </w:p>
    <w:p w14:paraId="31B30064">
      <w:pPr>
        <w:tabs>
          <w:tab w:val="left" w:pos="900"/>
        </w:tabs>
        <w:spacing w:line="360" w:lineRule="auto"/>
        <w:ind w:left="78" w:leftChars="37" w:firstLine="392" w:firstLineChars="187"/>
        <w:rPr>
          <w:rFonts w:ascii="仿宋_GB2312" w:eastAsia="仿宋_GB2312"/>
        </w:rPr>
      </w:pPr>
      <w:r>
        <w:rPr>
          <w:rFonts w:hint="eastAsia" w:ascii="仿宋_GB2312" w:eastAsia="仿宋_GB2312"/>
        </w:rPr>
        <w:t>（五）</w:t>
      </w:r>
      <w:r>
        <w:rPr>
          <w:rFonts w:hint="eastAsia" w:ascii="仿宋_GB2312" w:hAnsi="宋体" w:eastAsia="仿宋_GB2312"/>
        </w:rPr>
        <w:t>甲方负责监督乙方服务质量，并提出整改意见，乙方应按时整改，并将整改结果向甲方汇报。</w:t>
      </w:r>
    </w:p>
    <w:p w14:paraId="1184BF44">
      <w:pPr>
        <w:tabs>
          <w:tab w:val="left" w:pos="900"/>
        </w:tabs>
        <w:spacing w:line="360" w:lineRule="auto"/>
        <w:ind w:left="78" w:leftChars="37" w:firstLine="392" w:firstLineChars="187"/>
        <w:rPr>
          <w:rFonts w:ascii="仿宋_GB2312" w:eastAsia="仿宋_GB2312"/>
        </w:rPr>
      </w:pPr>
      <w:r>
        <w:rPr>
          <w:rFonts w:hint="eastAsia" w:ascii="仿宋_GB2312" w:eastAsia="仿宋_GB2312"/>
        </w:rPr>
        <w:t>（六）</w:t>
      </w:r>
      <w:r>
        <w:rPr>
          <w:rFonts w:hint="eastAsia" w:ascii="仿宋_GB2312" w:hAnsi="宋体" w:eastAsia="仿宋_GB2312"/>
        </w:rPr>
        <w:t>甲方向乙方提出的合同约定服务范围以外的服务需求，甲乙双方应通过书面或工作邮件确认，乙方应按照自己企业制度和相关流程积极组织实施。</w:t>
      </w:r>
    </w:p>
    <w:p w14:paraId="6873362F">
      <w:pPr>
        <w:spacing w:line="360" w:lineRule="auto"/>
        <w:ind w:left="78" w:leftChars="37" w:firstLine="392" w:firstLineChars="187"/>
        <w:rPr>
          <w:rFonts w:ascii="仿宋_GB2312" w:hAnsi="宋体" w:eastAsia="仿宋_GB2312"/>
        </w:rPr>
      </w:pPr>
      <w:r>
        <w:rPr>
          <w:rFonts w:hint="eastAsia" w:ascii="仿宋_GB2312" w:hAnsi="宋体" w:eastAsia="仿宋_GB2312"/>
        </w:rPr>
        <w:t>（七）有关法律法规赋予的其他权利和义务。</w:t>
      </w:r>
    </w:p>
    <w:p w14:paraId="0E4AE0DB">
      <w:pPr>
        <w:spacing w:line="360" w:lineRule="auto"/>
        <w:ind w:firstLine="422" w:firstLineChars="200"/>
        <w:rPr>
          <w:rFonts w:ascii="仿宋_GB2312" w:eastAsia="仿宋_GB2312"/>
        </w:rPr>
      </w:pPr>
      <w:r>
        <w:rPr>
          <w:rFonts w:hint="eastAsia" w:ascii="仿宋_GB2312" w:eastAsia="仿宋_GB2312"/>
          <w:b/>
        </w:rPr>
        <w:t>第五条</w:t>
      </w:r>
      <w:r>
        <w:rPr>
          <w:rFonts w:hint="eastAsia" w:ascii="仿宋_GB2312" w:eastAsia="仿宋_GB2312"/>
        </w:rPr>
        <w:t xml:space="preserve">  乙方的权利义务</w:t>
      </w:r>
    </w:p>
    <w:p w14:paraId="24B0BFCA">
      <w:pPr>
        <w:spacing w:line="360" w:lineRule="auto"/>
        <w:ind w:firstLine="420" w:firstLineChars="200"/>
        <w:rPr>
          <w:rFonts w:ascii="仿宋_GB2312" w:hAnsi="宋体" w:eastAsia="仿宋_GB2312"/>
        </w:rPr>
      </w:pPr>
      <w:r>
        <w:rPr>
          <w:rFonts w:hint="eastAsia" w:ascii="仿宋_GB2312" w:hAnsi="宋体" w:eastAsia="仿宋_GB2312"/>
        </w:rPr>
        <w:t xml:space="preserve">（一）按本合同约定提供 </w:t>
      </w:r>
      <w:r>
        <w:rPr>
          <w:rFonts w:hint="eastAsia" w:ascii="仿宋_GB2312" w:eastAsia="仿宋_GB2312"/>
          <w:u w:val="single"/>
        </w:rPr>
        <w:t xml:space="preserve">档案整理、归档、调阅等各项档案管理 </w:t>
      </w:r>
      <w:r>
        <w:rPr>
          <w:rFonts w:hint="eastAsia" w:ascii="仿宋_GB2312" w:eastAsia="仿宋_GB2312"/>
        </w:rPr>
        <w:t>服务</w:t>
      </w:r>
      <w:r>
        <w:rPr>
          <w:rFonts w:hint="eastAsia" w:ascii="仿宋_GB2312" w:hAnsi="宋体" w:eastAsia="仿宋_GB2312"/>
        </w:rPr>
        <w:t>，有权要求甲方按本协议约定支付服务费。</w:t>
      </w:r>
    </w:p>
    <w:p w14:paraId="6CBD37FA">
      <w:pPr>
        <w:spacing w:line="360" w:lineRule="auto"/>
        <w:ind w:firstLine="420" w:firstLineChars="200"/>
        <w:rPr>
          <w:rFonts w:ascii="仿宋_GB2312" w:hAnsi="宋体" w:eastAsia="仿宋_GB2312"/>
        </w:rPr>
      </w:pPr>
      <w:r>
        <w:rPr>
          <w:rFonts w:hint="eastAsia" w:ascii="仿宋_GB2312" w:hAnsi="宋体" w:eastAsia="仿宋_GB2312"/>
        </w:rPr>
        <w:t>（二）乙方有权获取为完成服务涉及客户的身份信息、产品信息及乙方的服务内容等必要信息，但乙方应妥善保管和正确使用相关信息，不得将信息用于本协议约定以外的其他用途。</w:t>
      </w:r>
    </w:p>
    <w:p w14:paraId="2B4E6975">
      <w:pPr>
        <w:spacing w:line="360" w:lineRule="auto"/>
        <w:ind w:firstLine="420" w:firstLineChars="200"/>
        <w:rPr>
          <w:rFonts w:ascii="仿宋_GB2312" w:hAnsi="宋体" w:eastAsia="仿宋_GB2312"/>
        </w:rPr>
      </w:pPr>
      <w:r>
        <w:rPr>
          <w:rFonts w:hint="eastAsia" w:ascii="仿宋_GB2312" w:hAnsi="宋体" w:eastAsia="仿宋_GB2312"/>
        </w:rPr>
        <w:t>（三）乙方应当保证其在签约及签约存续期间内具有法律、法规要求的经营资格，保证其在签约时已经充分理解本合同下的服务内容，不存在任何超范围经营的情形。</w:t>
      </w:r>
    </w:p>
    <w:p w14:paraId="356AA5AF">
      <w:pPr>
        <w:spacing w:line="360" w:lineRule="auto"/>
        <w:ind w:firstLine="420" w:firstLineChars="200"/>
        <w:rPr>
          <w:rFonts w:ascii="仿宋_GB2312" w:hAnsi="宋体" w:eastAsia="仿宋_GB2312"/>
        </w:rPr>
      </w:pPr>
      <w:r>
        <w:rPr>
          <w:rFonts w:hint="eastAsia" w:ascii="仿宋_GB2312" w:hAnsi="宋体" w:eastAsia="仿宋_GB2312"/>
        </w:rPr>
        <w:t>（四）乙方知悉同意并应严格依照本协议约定的所有条款（包含附件约定）履行服务。</w:t>
      </w:r>
    </w:p>
    <w:p w14:paraId="1A2886BF">
      <w:pPr>
        <w:spacing w:line="360" w:lineRule="auto"/>
        <w:ind w:firstLine="420" w:firstLineChars="200"/>
        <w:rPr>
          <w:rFonts w:ascii="仿宋_GB2312" w:hAnsi="宋体" w:eastAsia="仿宋_GB2312"/>
          <w:highlight w:val="none"/>
        </w:rPr>
      </w:pPr>
      <w:r>
        <w:rPr>
          <w:rFonts w:hint="eastAsia" w:ascii="仿宋_GB2312" w:hAnsi="宋体" w:eastAsia="仿宋_GB2312"/>
        </w:rPr>
        <w:t>（五）乙方应当保证其具有为履行本合同下的服务内容所需的人力、物力及技术许可等</w:t>
      </w:r>
      <w:r>
        <w:rPr>
          <w:rFonts w:hint="eastAsia" w:ascii="仿宋_GB2312" w:hAnsi="宋体" w:eastAsia="仿宋_GB2312"/>
          <w:highlight w:val="none"/>
        </w:rPr>
        <w:t>。</w:t>
      </w:r>
    </w:p>
    <w:p w14:paraId="71467C4A">
      <w:pPr>
        <w:spacing w:line="360" w:lineRule="auto"/>
        <w:ind w:firstLine="420" w:firstLineChars="200"/>
        <w:rPr>
          <w:rFonts w:ascii="仿宋_GB2312" w:hAnsi="宋体" w:eastAsia="仿宋_GB2312"/>
        </w:rPr>
      </w:pPr>
      <w:r>
        <w:rPr>
          <w:rFonts w:hint="eastAsia" w:ascii="仿宋_GB2312" w:hAnsi="宋体" w:eastAsia="仿宋_GB2312"/>
        </w:rPr>
        <w:t>（六）乙方在提供服务过程中，不得损害甲方及客户的利益，并应按约定的服务程序和内容，准确地提供服务。</w:t>
      </w:r>
    </w:p>
    <w:p w14:paraId="7EFD7A90">
      <w:pPr>
        <w:spacing w:line="360" w:lineRule="auto"/>
        <w:ind w:firstLine="420" w:firstLineChars="200"/>
        <w:rPr>
          <w:rFonts w:ascii="仿宋_GB2312" w:hAnsi="宋体" w:eastAsia="仿宋_GB2312"/>
        </w:rPr>
      </w:pPr>
      <w:r>
        <w:rPr>
          <w:rFonts w:hint="eastAsia" w:ascii="仿宋_GB2312" w:hAnsi="宋体" w:eastAsia="仿宋_GB2312"/>
        </w:rPr>
        <w:t>（七）及时向甲方通报履行服务期间发现的重大事项，及时处理甲方的投诉、接受甲方的监督。</w:t>
      </w:r>
    </w:p>
    <w:p w14:paraId="18C639B0">
      <w:pPr>
        <w:spacing w:line="360" w:lineRule="auto"/>
        <w:ind w:firstLine="420" w:firstLineChars="200"/>
        <w:rPr>
          <w:rFonts w:ascii="仿宋_GB2312" w:hAnsi="宋体" w:eastAsia="仿宋_GB2312"/>
        </w:rPr>
      </w:pPr>
      <w:r>
        <w:rPr>
          <w:rFonts w:hint="eastAsia" w:ascii="仿宋_GB2312" w:hAnsi="宋体" w:eastAsia="仿宋_GB2312"/>
        </w:rPr>
        <w:t>（八）乙方聘用人员应遵守《劳动法》等法律法规，若因员工不当行为造成相关损害损失和出现违反有关法律条规等行为，均由乙方自行负责。给甲方造成损失的，应承担相应的赔偿责任。</w:t>
      </w:r>
    </w:p>
    <w:p w14:paraId="591AA136">
      <w:pPr>
        <w:spacing w:line="360" w:lineRule="auto"/>
        <w:ind w:firstLine="420" w:firstLineChars="200"/>
        <w:rPr>
          <w:rFonts w:ascii="仿宋_GB2312" w:hAnsi="宋体" w:eastAsia="仿宋_GB2312"/>
        </w:rPr>
      </w:pPr>
      <w:r>
        <w:rPr>
          <w:rFonts w:hint="eastAsia" w:ascii="仿宋_GB2312" w:hAnsi="宋体" w:eastAsia="仿宋_GB2312"/>
        </w:rPr>
        <w:t>（九）乙方应保证项目中主要人员的稳定性，如因乙方人员流失导致项目无法按照约定的计划正常进行，乙方应在甲方同意的情况下提供同等或相似资历和背景的工作人员</w:t>
      </w:r>
      <w:r>
        <w:rPr>
          <w:rFonts w:hint="eastAsia" w:ascii="仿宋_GB2312" w:hAnsi="宋体" w:eastAsia="仿宋_GB2312"/>
          <w:lang w:eastAsia="zh-CN"/>
        </w:rPr>
        <w:t>，</w:t>
      </w:r>
      <w:r>
        <w:rPr>
          <w:rFonts w:hint="eastAsia" w:ascii="仿宋_GB2312" w:hAnsi="宋体" w:eastAsia="仿宋_GB2312"/>
          <w:highlight w:val="none"/>
          <w:lang w:eastAsia="zh-CN"/>
        </w:rPr>
        <w:t>并经过甲方的面试通过后方可入场</w:t>
      </w:r>
      <w:r>
        <w:rPr>
          <w:rFonts w:hint="eastAsia" w:ascii="仿宋_GB2312" w:hAnsi="宋体" w:eastAsia="仿宋_GB2312"/>
          <w:highlight w:val="none"/>
        </w:rPr>
        <w:t>；如双方未能就该等工作人员的替换达成一致的，甲方有权终</w:t>
      </w:r>
      <w:r>
        <w:rPr>
          <w:rFonts w:hint="eastAsia" w:ascii="仿宋_GB2312" w:hAnsi="宋体" w:eastAsia="仿宋_GB2312"/>
        </w:rPr>
        <w:t>止合同并扣除乙方未实施服务部分所对应的合同款项；</w:t>
      </w:r>
    </w:p>
    <w:p w14:paraId="190EB1D4">
      <w:pPr>
        <w:spacing w:line="360" w:lineRule="auto"/>
        <w:ind w:firstLine="420" w:firstLineChars="200"/>
        <w:rPr>
          <w:rFonts w:ascii="仿宋_GB2312" w:hAnsi="宋体" w:eastAsia="仿宋_GB2312"/>
        </w:rPr>
      </w:pPr>
      <w:r>
        <w:rPr>
          <w:rFonts w:hint="eastAsia" w:ascii="仿宋_GB2312" w:hAnsi="宋体" w:eastAsia="仿宋_GB2312"/>
        </w:rPr>
        <w:t>（十）乙方不得将本合同项目全部或部分工作分包或转包第三方承担。</w:t>
      </w:r>
    </w:p>
    <w:p w14:paraId="575FACE2">
      <w:pPr>
        <w:spacing w:line="360" w:lineRule="auto"/>
        <w:ind w:firstLine="420" w:firstLineChars="200"/>
        <w:rPr>
          <w:rFonts w:ascii="仿宋_GB2312" w:hAnsi="宋体" w:eastAsia="仿宋_GB2312"/>
        </w:rPr>
      </w:pPr>
      <w:r>
        <w:rPr>
          <w:rFonts w:hint="eastAsia" w:ascii="仿宋_GB2312" w:hAnsi="宋体" w:eastAsia="仿宋_GB2312"/>
        </w:rPr>
        <w:t>（十一）对于甲方提出的建议和意见，应予以接受并在合理期限内改正。对于受条件限制不能做到的，应向甲方及时做出合理解释，协商处理。</w:t>
      </w:r>
    </w:p>
    <w:p w14:paraId="46ABF038">
      <w:pPr>
        <w:spacing w:line="360" w:lineRule="auto"/>
        <w:ind w:firstLine="420" w:firstLineChars="200"/>
        <w:rPr>
          <w:rFonts w:ascii="仿宋_GB2312" w:hAnsi="宋体" w:eastAsia="仿宋_GB2312"/>
        </w:rPr>
      </w:pPr>
      <w:r>
        <w:rPr>
          <w:rFonts w:hint="eastAsia" w:ascii="仿宋_GB2312" w:hAnsi="宋体" w:eastAsia="仿宋_GB2312"/>
        </w:rPr>
        <w:t>（十二）积极配合完成甲方交办的临时工作任务。</w:t>
      </w:r>
    </w:p>
    <w:p w14:paraId="1EF8FD44">
      <w:pPr>
        <w:spacing w:line="360" w:lineRule="auto"/>
        <w:ind w:firstLine="420" w:firstLineChars="200"/>
        <w:rPr>
          <w:rFonts w:ascii="仿宋_GB2312" w:hAnsi="宋体" w:eastAsia="仿宋_GB2312"/>
        </w:rPr>
      </w:pPr>
      <w:r>
        <w:rPr>
          <w:rFonts w:hint="eastAsia" w:ascii="仿宋_GB2312" w:hAnsi="宋体" w:eastAsia="仿宋_GB2312"/>
        </w:rPr>
        <w:t>（十三）因本协议约定的服务所引起的或与之有关的全部纠纷、投诉，由乙方负责妥善处理并承担责任。</w:t>
      </w:r>
    </w:p>
    <w:p w14:paraId="73D3C1BB">
      <w:pPr>
        <w:spacing w:line="360" w:lineRule="auto"/>
        <w:rPr>
          <w:rFonts w:ascii="仿宋_GB2312" w:hAnsi="宋体" w:eastAsia="仿宋_GB2312"/>
        </w:rPr>
      </w:pPr>
    </w:p>
    <w:p w14:paraId="73579A87">
      <w:pPr>
        <w:spacing w:line="360" w:lineRule="auto"/>
        <w:jc w:val="center"/>
        <w:rPr>
          <w:rFonts w:ascii="仿宋_GB2312" w:eastAsia="仿宋_GB2312"/>
          <w:b/>
        </w:rPr>
      </w:pPr>
      <w:r>
        <w:rPr>
          <w:rFonts w:hint="eastAsia" w:ascii="仿宋_GB2312" w:eastAsia="仿宋_GB2312"/>
          <w:b/>
        </w:rPr>
        <w:t xml:space="preserve">第五章 </w:t>
      </w:r>
      <w:r>
        <w:rPr>
          <w:rFonts w:ascii="仿宋_GB2312" w:eastAsia="仿宋_GB2312"/>
          <w:b/>
        </w:rPr>
        <w:t xml:space="preserve"> </w:t>
      </w:r>
      <w:r>
        <w:rPr>
          <w:rFonts w:hint="eastAsia" w:ascii="仿宋_GB2312" w:eastAsia="仿宋_GB2312"/>
          <w:b/>
        </w:rPr>
        <w:t>服务费及结算</w:t>
      </w:r>
    </w:p>
    <w:p w14:paraId="5863B1CB">
      <w:pPr>
        <w:spacing w:line="360" w:lineRule="auto"/>
        <w:ind w:firstLine="422" w:firstLineChars="200"/>
        <w:rPr>
          <w:rFonts w:ascii="仿宋_GB2312" w:hAnsi="宋体" w:eastAsia="仿宋_GB2312"/>
        </w:rPr>
      </w:pPr>
      <w:r>
        <w:rPr>
          <w:rFonts w:hint="eastAsia" w:ascii="仿宋_GB2312" w:eastAsia="仿宋_GB2312"/>
          <w:b/>
        </w:rPr>
        <w:t>第六条</w:t>
      </w:r>
      <w:r>
        <w:rPr>
          <w:rFonts w:ascii="仿宋_GB2312" w:hAnsi="宋体" w:eastAsia="仿宋_GB2312"/>
        </w:rPr>
        <w:t xml:space="preserve">  </w:t>
      </w:r>
      <w:r>
        <w:rPr>
          <w:rFonts w:hint="eastAsia" w:ascii="仿宋_GB2312" w:hAnsi="宋体" w:eastAsia="仿宋_GB2312"/>
        </w:rPr>
        <w:t>就乙方向甲方提供本项合同项下的服务，甲方向乙方支付的合同金额不超过</w:t>
      </w:r>
      <w:r>
        <w:rPr>
          <w:rFonts w:hint="eastAsia" w:ascii="仿宋_GB2312" w:hAnsi="宋体" w:eastAsia="仿宋_GB2312"/>
          <w:lang w:val="en-US" w:eastAsia="zh-CN"/>
        </w:rPr>
        <w:t>税前</w:t>
      </w:r>
      <w:r>
        <w:rPr>
          <w:rFonts w:hint="eastAsia" w:ascii="仿宋_GB2312" w:hAnsi="宋体" w:eastAsia="仿宋_GB2312"/>
        </w:rPr>
        <w:t>￥</w:t>
      </w:r>
      <w:r>
        <w:rPr>
          <w:rFonts w:hint="eastAsia" w:ascii="仿宋_GB2312" w:hAnsi="宋体" w:eastAsia="仿宋_GB2312"/>
          <w:u w:val="single"/>
          <w:lang w:val="en-US" w:eastAsia="zh-CN"/>
        </w:rPr>
        <w:t xml:space="preserve">          </w:t>
      </w:r>
      <w:r>
        <w:rPr>
          <w:rFonts w:hint="eastAsia" w:ascii="仿宋_GB2312" w:hAnsi="宋体" w:eastAsia="仿宋_GB2312"/>
          <w:lang w:val="en-US" w:eastAsia="zh-CN"/>
        </w:rPr>
        <w:t>元（人民币大写：</w:t>
      </w:r>
      <w:r>
        <w:rPr>
          <w:rFonts w:hint="eastAsia" w:ascii="仿宋_GB2312" w:hAnsi="宋体" w:eastAsia="仿宋_GB2312"/>
          <w:u w:val="single"/>
          <w:lang w:val="en-US" w:eastAsia="zh-CN"/>
        </w:rPr>
        <w:t xml:space="preserve">        元整</w:t>
      </w:r>
      <w:r>
        <w:rPr>
          <w:rFonts w:hint="eastAsia" w:ascii="仿宋_GB2312" w:hAnsi="宋体" w:eastAsia="仿宋_GB2312"/>
          <w:lang w:val="en-US" w:eastAsia="zh-CN"/>
        </w:rPr>
        <w:t>），含6%的税不超过</w:t>
      </w:r>
      <w:r>
        <w:rPr>
          <w:rFonts w:hint="eastAsia" w:ascii="仿宋_GB2312" w:hAnsi="宋体" w:eastAsia="仿宋_GB2312"/>
        </w:rPr>
        <w:t>￥</w:t>
      </w:r>
      <w:r>
        <w:rPr>
          <w:rFonts w:hint="eastAsia" w:ascii="仿宋_GB2312" w:hAnsi="宋体" w:eastAsia="仿宋_GB2312"/>
          <w:u w:val="single"/>
          <w:lang w:val="en-US" w:eastAsia="zh-CN"/>
        </w:rPr>
        <w:t xml:space="preserve">         </w:t>
      </w:r>
      <w:r>
        <w:rPr>
          <w:rFonts w:hint="eastAsia" w:ascii="仿宋_GB2312" w:hAnsi="宋体" w:eastAsia="仿宋_GB2312"/>
        </w:rPr>
        <w:t>元（人民币</w:t>
      </w:r>
      <w:r>
        <w:rPr>
          <w:rFonts w:hint="eastAsia" w:ascii="仿宋_GB2312" w:hAnsi="宋体" w:eastAsia="仿宋_GB2312"/>
          <w:lang w:val="en-US" w:eastAsia="zh-CN"/>
        </w:rPr>
        <w:t>大写：</w:t>
      </w:r>
      <w:r>
        <w:rPr>
          <w:rFonts w:hint="eastAsia" w:ascii="仿宋_GB2312" w:hAnsi="宋体" w:eastAsia="仿宋_GB2312"/>
          <w:u w:val="single"/>
        </w:rPr>
        <w:t xml:space="preserve"> </w:t>
      </w:r>
      <w:r>
        <w:rPr>
          <w:rFonts w:hint="eastAsia" w:ascii="仿宋_GB2312" w:hAnsi="宋体" w:eastAsia="仿宋_GB2312"/>
          <w:u w:val="single"/>
          <w:lang w:val="en-US" w:eastAsia="zh-CN"/>
        </w:rPr>
        <w:t xml:space="preserve">             元</w:t>
      </w:r>
      <w:r>
        <w:rPr>
          <w:rFonts w:hint="eastAsia" w:ascii="仿宋_GB2312" w:hAnsi="宋体" w:eastAsia="仿宋_GB2312"/>
        </w:rPr>
        <w:t>整）。除此之外，甲方不再向乙方支付任何其它费用。</w:t>
      </w:r>
    </w:p>
    <w:p w14:paraId="221E26AA">
      <w:pPr>
        <w:spacing w:line="360" w:lineRule="auto"/>
        <w:ind w:firstLine="420" w:firstLineChars="200"/>
        <w:rPr>
          <w:rFonts w:ascii="仿宋_GB2312" w:hAnsi="宋体" w:eastAsia="仿宋_GB2312"/>
        </w:rPr>
      </w:pPr>
      <w:r>
        <w:rPr>
          <w:rFonts w:hint="eastAsia" w:ascii="仿宋_GB2312" w:hAnsi="宋体" w:eastAsia="仿宋_GB2312"/>
        </w:rPr>
        <w:t>签约后，甲方按每项服务量向乙方进行结算。甲方根据实际服务量按</w:t>
      </w:r>
      <w:r>
        <w:rPr>
          <w:rFonts w:hint="eastAsia" w:ascii="仿宋_GB2312" w:hAnsi="宋体" w:eastAsia="仿宋_GB2312"/>
          <w:lang w:val="en-US" w:eastAsia="zh-CN"/>
        </w:rPr>
        <w:t>六</w:t>
      </w:r>
      <w:r>
        <w:rPr>
          <w:rFonts w:hint="eastAsia" w:ascii="仿宋_GB2312" w:hAnsi="宋体" w:eastAsia="仿宋_GB2312"/>
        </w:rPr>
        <w:t>个月为周期，与乙方结算服务费。</w:t>
      </w:r>
    </w:p>
    <w:p w14:paraId="5AA022B3">
      <w:pPr>
        <w:spacing w:line="360" w:lineRule="auto"/>
        <w:ind w:firstLine="422" w:firstLineChars="200"/>
        <w:rPr>
          <w:rFonts w:ascii="仿宋_GB2312" w:hAnsi="宋体" w:eastAsia="仿宋_GB2312"/>
        </w:rPr>
      </w:pPr>
      <w:r>
        <w:rPr>
          <w:rFonts w:hint="eastAsia" w:ascii="仿宋_GB2312" w:eastAsia="仿宋_GB2312"/>
          <w:b/>
        </w:rPr>
        <w:t>第七条</w:t>
      </w:r>
      <w:r>
        <w:rPr>
          <w:rFonts w:ascii="仿宋_GB2312" w:eastAsia="仿宋_GB2312"/>
          <w:b/>
        </w:rPr>
        <w:t xml:space="preserve">  </w:t>
      </w:r>
      <w:r>
        <w:rPr>
          <w:rFonts w:hint="eastAsia" w:ascii="仿宋_GB2312" w:hAnsi="宋体" w:eastAsia="仿宋_GB2312"/>
        </w:rPr>
        <w:t>甲方</w:t>
      </w:r>
      <w:r>
        <w:rPr>
          <w:rFonts w:hint="eastAsia" w:ascii="仿宋_GB2312" w:hAnsi="宋体" w:eastAsia="仿宋_GB2312"/>
          <w:lang w:val="en-US" w:eastAsia="zh-CN"/>
        </w:rPr>
        <w:t>每年</w:t>
      </w:r>
      <w:r>
        <w:rPr>
          <w:rFonts w:hint="eastAsia" w:ascii="仿宋_GB2312" w:hAnsi="宋体" w:eastAsia="仿宋_GB2312"/>
          <w:u w:val="single"/>
        </w:rPr>
        <w:t>分</w:t>
      </w:r>
      <w:r>
        <w:rPr>
          <w:rFonts w:hint="eastAsia" w:ascii="仿宋_GB2312" w:hAnsi="宋体" w:eastAsia="仿宋_GB2312"/>
          <w:u w:val="single"/>
          <w:lang w:val="en-US" w:eastAsia="zh-CN"/>
        </w:rPr>
        <w:t>两</w:t>
      </w:r>
      <w:r>
        <w:rPr>
          <w:rFonts w:hint="eastAsia" w:ascii="仿宋_GB2312" w:hAnsi="宋体" w:eastAsia="仿宋_GB2312"/>
          <w:u w:val="single"/>
        </w:rPr>
        <w:t>次</w:t>
      </w:r>
      <w:r>
        <w:rPr>
          <w:rFonts w:hint="eastAsia" w:ascii="仿宋_GB2312" w:hAnsi="宋体" w:eastAsia="仿宋_GB2312"/>
        </w:rPr>
        <w:t>向乙方付款，乙方于每</w:t>
      </w:r>
      <w:r>
        <w:rPr>
          <w:rFonts w:hint="eastAsia" w:ascii="仿宋_GB2312" w:hAnsi="宋体" w:eastAsia="仿宋_GB2312"/>
          <w:lang w:val="en-US" w:eastAsia="zh-CN"/>
        </w:rPr>
        <w:t>六</w:t>
      </w:r>
      <w:r>
        <w:rPr>
          <w:rFonts w:hint="eastAsia" w:ascii="仿宋_GB2312" w:hAnsi="宋体" w:eastAsia="仿宋_GB2312"/>
        </w:rPr>
        <w:t>个月后的次月初10 号前将前</w:t>
      </w:r>
      <w:r>
        <w:rPr>
          <w:rFonts w:hint="eastAsia" w:ascii="仿宋_GB2312" w:hAnsi="宋体" w:eastAsia="仿宋_GB2312"/>
          <w:lang w:val="en-US" w:eastAsia="zh-CN"/>
        </w:rPr>
        <w:t>六</w:t>
      </w:r>
      <w:r>
        <w:rPr>
          <w:rFonts w:hint="eastAsia" w:ascii="仿宋_GB2312" w:hAnsi="宋体" w:eastAsia="仿宋_GB2312"/>
        </w:rPr>
        <w:t>个月的服务量使用数据/费用清单发送甲方，经甲方书面审核确认后，向甲方开具增值税专用发票，甲方收到符合要求的发票后15个工作日内向乙方指定收款账户划转服务款费用。</w:t>
      </w:r>
    </w:p>
    <w:p w14:paraId="5C34D132">
      <w:pPr>
        <w:pStyle w:val="5"/>
        <w:ind w:firstLine="422" w:firstLineChars="200"/>
        <w:rPr>
          <w:rFonts w:ascii="仿宋_GB2312" w:hAnsi="宋体" w:eastAsia="仿宋_GB2312"/>
          <w:szCs w:val="20"/>
        </w:rPr>
      </w:pPr>
      <w:r>
        <w:rPr>
          <w:rFonts w:hint="eastAsia" w:ascii="仿宋_GB2312" w:eastAsia="仿宋_GB2312"/>
          <w:b/>
        </w:rPr>
        <w:t>第八</w:t>
      </w:r>
      <w:r>
        <w:rPr>
          <w:rFonts w:hint="eastAsia" w:ascii="仿宋_GB2312" w:hAnsi="Times New Roman" w:eastAsia="仿宋_GB2312"/>
          <w:b/>
        </w:rPr>
        <w:t>条</w:t>
      </w:r>
      <w:r>
        <w:rPr>
          <w:rFonts w:hint="eastAsia" w:ascii="仿宋_GB2312" w:eastAsia="仿宋_GB2312"/>
          <w:b/>
        </w:rPr>
        <w:t xml:space="preserve"> </w:t>
      </w:r>
      <w:r>
        <w:rPr>
          <w:rFonts w:ascii="仿宋_GB2312" w:eastAsia="仿宋_GB2312"/>
          <w:b/>
        </w:rPr>
        <w:t xml:space="preserve"> </w:t>
      </w:r>
      <w:r>
        <w:rPr>
          <w:rFonts w:hint="eastAsia" w:ascii="仿宋_GB2312" w:hAnsi="宋体" w:eastAsia="仿宋_GB2312"/>
          <w:szCs w:val="20"/>
        </w:rPr>
        <w:t>甲方开票信息为：</w:t>
      </w:r>
    </w:p>
    <w:p w14:paraId="6B4084AE">
      <w:pPr>
        <w:pStyle w:val="5"/>
        <w:ind w:left="420" w:leftChars="200"/>
        <w:rPr>
          <w:rFonts w:ascii="仿宋_GB2312" w:hAnsi="宋体" w:eastAsia="仿宋_GB2312"/>
          <w:szCs w:val="20"/>
        </w:rPr>
      </w:pPr>
      <w:r>
        <w:rPr>
          <w:rFonts w:hint="eastAsia" w:ascii="仿宋_GB2312" w:hAnsi="宋体" w:eastAsia="仿宋_GB2312"/>
          <w:szCs w:val="20"/>
        </w:rPr>
        <w:t>甲方名称：中国人民健康保险股份有限公司</w:t>
      </w:r>
    </w:p>
    <w:p w14:paraId="7E738A48">
      <w:pPr>
        <w:pStyle w:val="5"/>
        <w:ind w:left="420" w:leftChars="200"/>
        <w:rPr>
          <w:rFonts w:ascii="宋体" w:hAnsi="宋体"/>
          <w:szCs w:val="21"/>
        </w:rPr>
      </w:pPr>
      <w:r>
        <w:rPr>
          <w:rFonts w:hint="eastAsia" w:ascii="仿宋_GB2312" w:hAnsi="宋体" w:eastAsia="仿宋_GB2312"/>
          <w:szCs w:val="20"/>
        </w:rPr>
        <w:t>税号：</w:t>
      </w:r>
      <w:r>
        <w:rPr>
          <w:rFonts w:hint="eastAsia" w:ascii="宋体" w:hAnsi="宋体"/>
          <w:szCs w:val="21"/>
        </w:rPr>
        <w:t>91110000710933307T</w:t>
      </w:r>
    </w:p>
    <w:p w14:paraId="1700BCA9">
      <w:pPr>
        <w:pStyle w:val="5"/>
        <w:ind w:left="420" w:leftChars="200"/>
        <w:rPr>
          <w:rFonts w:hint="eastAsia" w:ascii="宋体" w:hAnsi="宋体"/>
          <w:szCs w:val="21"/>
          <w:lang w:val="en-US" w:eastAsia="zh-CN"/>
        </w:rPr>
      </w:pPr>
      <w:r>
        <w:rPr>
          <w:rFonts w:hint="eastAsia" w:ascii="仿宋_GB2312" w:hAnsi="宋体" w:eastAsia="仿宋_GB2312"/>
          <w:szCs w:val="20"/>
        </w:rPr>
        <w:t>地址：</w:t>
      </w:r>
      <w:r>
        <w:rPr>
          <w:rFonts w:hint="eastAsia" w:ascii="宋体" w:hAnsi="宋体"/>
          <w:szCs w:val="21"/>
        </w:rPr>
        <w:t>北京市西城区</w:t>
      </w:r>
      <w:r>
        <w:rPr>
          <w:rFonts w:hint="eastAsia" w:ascii="宋体" w:hAnsi="宋体"/>
          <w:szCs w:val="21"/>
          <w:lang w:eastAsia="zh-CN"/>
        </w:rPr>
        <w:t>丰汇园</w:t>
      </w:r>
      <w:r>
        <w:rPr>
          <w:rFonts w:hint="eastAsia" w:ascii="宋体" w:hAnsi="宋体"/>
          <w:szCs w:val="21"/>
          <w:lang w:val="en-US" w:eastAsia="zh-CN"/>
        </w:rPr>
        <w:t>11号丰汇时代大厦南翼7-10层、东翼17-18层</w:t>
      </w:r>
    </w:p>
    <w:p w14:paraId="5660CB07">
      <w:pPr>
        <w:pStyle w:val="5"/>
        <w:ind w:left="420" w:leftChars="200"/>
        <w:rPr>
          <w:rFonts w:hint="eastAsia" w:ascii="仿宋_GB2312" w:hAnsi="宋体" w:eastAsia="宋体"/>
          <w:szCs w:val="20"/>
          <w:lang w:val="en-US" w:eastAsia="zh-CN"/>
        </w:rPr>
      </w:pPr>
      <w:r>
        <w:rPr>
          <w:rFonts w:hint="eastAsia" w:ascii="仿宋_GB2312" w:hAnsi="宋体" w:eastAsia="仿宋_GB2312"/>
          <w:szCs w:val="20"/>
        </w:rPr>
        <w:t>联系电话：</w:t>
      </w:r>
      <w:r>
        <w:rPr>
          <w:rFonts w:hint="eastAsia" w:ascii="宋体" w:hAnsi="宋体"/>
          <w:szCs w:val="21"/>
        </w:rPr>
        <w:t>010-5833283</w:t>
      </w:r>
      <w:r>
        <w:rPr>
          <w:rFonts w:hint="eastAsia" w:ascii="宋体" w:hAnsi="宋体"/>
          <w:szCs w:val="21"/>
          <w:lang w:val="en-US" w:eastAsia="zh-CN"/>
        </w:rPr>
        <w:t>4</w:t>
      </w:r>
    </w:p>
    <w:p w14:paraId="67F5392D">
      <w:pPr>
        <w:pStyle w:val="5"/>
        <w:ind w:left="420" w:leftChars="200"/>
        <w:rPr>
          <w:rFonts w:ascii="仿宋_GB2312" w:hAnsi="宋体" w:eastAsia="仿宋_GB2312"/>
          <w:szCs w:val="20"/>
        </w:rPr>
      </w:pPr>
    </w:p>
    <w:p w14:paraId="3DD4FFC1">
      <w:pPr>
        <w:pStyle w:val="5"/>
        <w:ind w:firstLine="420" w:firstLineChars="200"/>
        <w:rPr>
          <w:rFonts w:ascii="仿宋_GB2312" w:hAnsi="宋体" w:eastAsia="仿宋_GB2312"/>
          <w:szCs w:val="20"/>
        </w:rPr>
      </w:pPr>
      <w:r>
        <w:rPr>
          <w:rFonts w:hint="eastAsia" w:ascii="仿宋_GB2312" w:hAnsi="宋体" w:eastAsia="仿宋_GB2312"/>
          <w:szCs w:val="20"/>
        </w:rPr>
        <w:t>乙方账户信息为：</w:t>
      </w:r>
    </w:p>
    <w:p w14:paraId="02056910">
      <w:pPr>
        <w:pStyle w:val="5"/>
        <w:ind w:left="420" w:leftChars="200"/>
        <w:rPr>
          <w:rFonts w:hint="default" w:ascii="仿宋_GB2312" w:hAnsi="宋体" w:eastAsia="仿宋_GB2312"/>
          <w:szCs w:val="20"/>
          <w:lang w:val="en-US" w:eastAsia="zh-CN"/>
        </w:rPr>
      </w:pPr>
      <w:r>
        <w:rPr>
          <w:rFonts w:hint="eastAsia" w:ascii="仿宋_GB2312" w:hAnsi="宋体" w:eastAsia="仿宋_GB2312"/>
          <w:szCs w:val="20"/>
        </w:rPr>
        <w:t>开户银行：</w:t>
      </w:r>
      <w:r>
        <w:rPr>
          <w:rFonts w:ascii="仿宋_GB2312" w:hAnsi="宋体" w:eastAsia="仿宋_GB2312"/>
          <w:szCs w:val="20"/>
        </w:rPr>
        <w:t xml:space="preserve"> </w:t>
      </w:r>
    </w:p>
    <w:p w14:paraId="76AFB105">
      <w:pPr>
        <w:pStyle w:val="5"/>
        <w:ind w:left="420" w:leftChars="200"/>
        <w:rPr>
          <w:rFonts w:ascii="仿宋_GB2312" w:hAnsi="宋体" w:eastAsia="仿宋_GB2312"/>
          <w:szCs w:val="20"/>
        </w:rPr>
      </w:pPr>
      <w:r>
        <w:rPr>
          <w:rFonts w:hint="eastAsia" w:ascii="仿宋_GB2312" w:hAnsi="宋体" w:eastAsia="仿宋_GB2312"/>
          <w:szCs w:val="20"/>
        </w:rPr>
        <w:t>单位名称：</w:t>
      </w:r>
      <w:r>
        <w:rPr>
          <w:rFonts w:ascii="仿宋_GB2312" w:hAnsi="宋体" w:eastAsia="仿宋_GB2312"/>
          <w:szCs w:val="20"/>
        </w:rPr>
        <w:t xml:space="preserve"> </w:t>
      </w:r>
    </w:p>
    <w:p w14:paraId="55607269">
      <w:pPr>
        <w:pStyle w:val="5"/>
        <w:ind w:left="420" w:leftChars="200"/>
        <w:rPr>
          <w:rFonts w:hint="default" w:ascii="仿宋_GB2312" w:hAnsi="宋体" w:eastAsia="仿宋_GB2312"/>
          <w:szCs w:val="20"/>
          <w:lang w:val="en-US" w:eastAsia="zh-CN"/>
        </w:rPr>
      </w:pPr>
      <w:r>
        <w:rPr>
          <w:rFonts w:hint="eastAsia" w:ascii="仿宋_GB2312" w:hAnsi="宋体" w:eastAsia="仿宋_GB2312"/>
          <w:szCs w:val="20"/>
        </w:rPr>
        <w:t>账号：</w:t>
      </w:r>
      <w:r>
        <w:rPr>
          <w:rFonts w:hint="eastAsia" w:ascii="仿宋_GB2312" w:hAnsi="宋体" w:eastAsia="仿宋_GB2312"/>
          <w:szCs w:val="20"/>
          <w:lang w:val="en-US" w:eastAsia="zh-CN"/>
        </w:rPr>
        <w:t xml:space="preserve"> </w:t>
      </w:r>
    </w:p>
    <w:p w14:paraId="0F8A8AA2">
      <w:pPr>
        <w:spacing w:line="360" w:lineRule="auto"/>
        <w:ind w:firstLine="420" w:firstLineChars="200"/>
        <w:rPr>
          <w:rFonts w:ascii="仿宋_GB2312" w:hAnsi="宋体" w:eastAsia="仿宋_GB2312"/>
        </w:rPr>
      </w:pPr>
    </w:p>
    <w:p w14:paraId="05E5F2BB">
      <w:pPr>
        <w:spacing w:line="360" w:lineRule="auto"/>
        <w:jc w:val="center"/>
        <w:rPr>
          <w:rFonts w:ascii="仿宋_GB2312" w:eastAsia="仿宋_GB2312"/>
          <w:b/>
        </w:rPr>
      </w:pPr>
      <w:r>
        <w:rPr>
          <w:rFonts w:hint="eastAsia" w:ascii="仿宋_GB2312" w:eastAsia="仿宋_GB2312"/>
          <w:b/>
        </w:rPr>
        <w:t xml:space="preserve">第六章  保密承诺 </w:t>
      </w:r>
    </w:p>
    <w:p w14:paraId="45B6F9BB">
      <w:pPr>
        <w:autoSpaceDE w:val="0"/>
        <w:autoSpaceDN w:val="0"/>
        <w:spacing w:line="360" w:lineRule="auto"/>
        <w:ind w:firstLine="413" w:firstLineChars="196"/>
        <w:rPr>
          <w:rFonts w:ascii="仿宋_GB2312" w:hAnsi="宋体" w:eastAsia="仿宋_GB2312"/>
        </w:rPr>
      </w:pPr>
      <w:r>
        <w:rPr>
          <w:rFonts w:hint="eastAsia" w:ascii="仿宋_GB2312" w:eastAsia="仿宋_GB2312"/>
          <w:b/>
        </w:rPr>
        <w:t>第九条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乙方应保证对本合同的所有相关内容及其因履行本合同所获知的各种甲方的具有保密性质的信息（包括但不限于经营、管理、商务、技术、营销、发展规划、客户信息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7E88501">
      <w:pPr>
        <w:autoSpaceDE w:val="0"/>
        <w:autoSpaceDN w:val="0"/>
        <w:spacing w:line="360" w:lineRule="auto"/>
        <w:ind w:firstLine="413" w:firstLineChars="196"/>
        <w:rPr>
          <w:rFonts w:ascii="仿宋_GB2312" w:hAnsi="宋体" w:eastAsia="仿宋_GB2312"/>
        </w:rPr>
      </w:pPr>
      <w:r>
        <w:rPr>
          <w:rFonts w:hint="eastAsia" w:ascii="仿宋_GB2312" w:eastAsia="仿宋_GB2312"/>
          <w:b/>
        </w:rPr>
        <w:t>第十条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乙方在本合同中所受领的保密信息应及时返还甲方或在甲方监督下予以销毁。乙方擅自留存备份信息，视为违反保密约定。</w:t>
      </w:r>
    </w:p>
    <w:p w14:paraId="76F1E068">
      <w:pPr>
        <w:autoSpaceDE w:val="0"/>
        <w:autoSpaceDN w:val="0"/>
        <w:spacing w:line="360" w:lineRule="auto"/>
        <w:ind w:firstLine="413" w:firstLineChars="196"/>
        <w:rPr>
          <w:rFonts w:ascii="仿宋_GB2312" w:hAnsi="宋体" w:eastAsia="仿宋_GB2312"/>
        </w:rPr>
      </w:pPr>
      <w:r>
        <w:rPr>
          <w:rFonts w:hint="eastAsia" w:ascii="仿宋_GB2312" w:eastAsia="仿宋_GB2312"/>
          <w:b/>
        </w:rPr>
        <w:t>第十一条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如乙方违反保密约定，应向甲方支付相当于本合同总金额</w:t>
      </w:r>
      <w:r>
        <w:rPr>
          <w:rFonts w:ascii="仿宋_GB2312" w:hAnsi="宋体" w:eastAsia="仿宋_GB2312"/>
          <w:u w:val="single"/>
        </w:rPr>
        <w:t>5</w:t>
      </w:r>
      <w:r>
        <w:rPr>
          <w:rFonts w:hint="eastAsia" w:ascii="仿宋_GB2312" w:hAnsi="宋体" w:eastAsia="仿宋_GB2312"/>
        </w:rPr>
        <w:t xml:space="preserve"> %的违约金，若违约金不足以弥补甲方损失的，乙方应负责补足该差额部分。</w:t>
      </w:r>
    </w:p>
    <w:p w14:paraId="6328EED6">
      <w:pPr>
        <w:autoSpaceDE w:val="0"/>
        <w:autoSpaceDN w:val="0"/>
        <w:spacing w:line="360" w:lineRule="auto"/>
        <w:ind w:firstLine="413" w:firstLineChars="196"/>
        <w:rPr>
          <w:rFonts w:ascii="楷体_GB2312" w:hAnsi="楷体_GB2312" w:eastAsia="楷体_GB2312" w:cs="Arial"/>
          <w:sz w:val="24"/>
        </w:rPr>
      </w:pPr>
      <w:r>
        <w:rPr>
          <w:rFonts w:hint="eastAsia" w:ascii="仿宋_GB2312" w:eastAsia="仿宋_GB2312"/>
          <w:b/>
        </w:rPr>
        <w:t>第十二条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无论本合同因何种原因终止，本保密条款依然有效。</w:t>
      </w:r>
    </w:p>
    <w:p w14:paraId="75DF1BAD">
      <w:pPr>
        <w:spacing w:line="360" w:lineRule="auto"/>
        <w:ind w:firstLine="420" w:firstLineChars="200"/>
        <w:rPr>
          <w:rFonts w:ascii="仿宋_GB2312" w:hAnsi="宋体" w:eastAsia="仿宋_GB2312"/>
        </w:rPr>
      </w:pPr>
    </w:p>
    <w:p w14:paraId="364E22EC">
      <w:pPr>
        <w:spacing w:line="360" w:lineRule="auto"/>
        <w:jc w:val="center"/>
        <w:rPr>
          <w:rFonts w:ascii="仿宋_GB2312" w:eastAsia="仿宋_GB2312"/>
          <w:b/>
        </w:rPr>
      </w:pPr>
      <w:r>
        <w:rPr>
          <w:rFonts w:hint="eastAsia" w:ascii="仿宋_GB2312" w:eastAsia="仿宋_GB2312"/>
          <w:b/>
        </w:rPr>
        <w:t>第七章  违约责任</w:t>
      </w:r>
    </w:p>
    <w:p w14:paraId="2EC3CA18">
      <w:pPr>
        <w:autoSpaceDE w:val="0"/>
        <w:autoSpaceDN w:val="0"/>
        <w:spacing w:line="360" w:lineRule="auto"/>
        <w:ind w:firstLine="413" w:firstLineChars="196"/>
        <w:rPr>
          <w:rFonts w:ascii="仿宋_GB2312" w:hAnsi="宋体" w:eastAsia="仿宋_GB2312"/>
        </w:rPr>
      </w:pPr>
      <w:r>
        <w:rPr>
          <w:rFonts w:hint="eastAsia" w:ascii="仿宋_GB2312" w:eastAsia="仿宋_GB2312"/>
          <w:b/>
        </w:rPr>
        <w:t>第十三条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由于乙方原因造成项目延迟的，每延迟</w:t>
      </w:r>
      <w:r>
        <w:rPr>
          <w:rFonts w:hint="eastAsia" w:ascii="仿宋_GB2312" w:hAnsi="宋体" w:eastAsia="仿宋_GB2312"/>
          <w:u w:val="single"/>
        </w:rPr>
        <w:t xml:space="preserve"> </w:t>
      </w:r>
      <w:r>
        <w:rPr>
          <w:rFonts w:ascii="仿宋_GB2312" w:hAnsi="宋体" w:eastAsia="仿宋_GB2312"/>
          <w:u w:val="single"/>
        </w:rPr>
        <w:t>2</w:t>
      </w:r>
      <w:r>
        <w:rPr>
          <w:rFonts w:hint="eastAsia" w:ascii="仿宋_GB2312" w:hAnsi="宋体" w:eastAsia="仿宋_GB2312"/>
        </w:rPr>
        <w:t>个工作日，乙方向甲方支付违约金为合同金额的</w:t>
      </w:r>
      <w:r>
        <w:rPr>
          <w:rFonts w:hint="eastAsia" w:ascii="仿宋_GB2312" w:hAnsi="宋体" w:eastAsia="仿宋_GB2312"/>
          <w:u w:val="single"/>
        </w:rPr>
        <w:t xml:space="preserve"> </w:t>
      </w:r>
      <w:r>
        <w:rPr>
          <w:rFonts w:ascii="仿宋_GB2312" w:hAnsi="宋体" w:eastAsia="仿宋_GB2312"/>
          <w:u w:val="single"/>
        </w:rPr>
        <w:t>5</w:t>
      </w:r>
      <w:r>
        <w:rPr>
          <w:rFonts w:hint="eastAsia" w:ascii="仿宋_GB2312" w:hAnsi="宋体" w:eastAsia="仿宋_GB2312"/>
        </w:rPr>
        <w:t xml:space="preserve"> %。</w:t>
      </w:r>
    </w:p>
    <w:p w14:paraId="419C5E94">
      <w:pPr>
        <w:autoSpaceDE w:val="0"/>
        <w:autoSpaceDN w:val="0"/>
        <w:spacing w:line="360" w:lineRule="auto"/>
        <w:ind w:firstLine="413" w:firstLineChars="196"/>
        <w:rPr>
          <w:rFonts w:ascii="仿宋_GB2312" w:hAnsi="宋体" w:eastAsia="仿宋_GB2312"/>
        </w:rPr>
      </w:pPr>
      <w:r>
        <w:rPr>
          <w:rFonts w:hint="eastAsia" w:ascii="仿宋_GB2312" w:eastAsia="仿宋_GB2312"/>
          <w:b/>
        </w:rPr>
        <w:t>第十四条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由于甲方原因不能按合同约定时间付款的，每延迟</w:t>
      </w:r>
      <w:r>
        <w:rPr>
          <w:rFonts w:hint="eastAsia" w:ascii="仿宋_GB2312" w:hAnsi="宋体" w:eastAsia="仿宋_GB2312"/>
          <w:u w:val="single"/>
        </w:rPr>
        <w:t xml:space="preserve"> </w:t>
      </w:r>
      <w:r>
        <w:rPr>
          <w:rFonts w:ascii="仿宋_GB2312" w:hAnsi="宋体" w:eastAsia="仿宋_GB2312"/>
          <w:u w:val="single"/>
        </w:rPr>
        <w:t>2</w:t>
      </w:r>
      <w:r>
        <w:rPr>
          <w:rFonts w:hint="eastAsia" w:ascii="仿宋_GB2312" w:hAnsi="宋体" w:eastAsia="仿宋_GB2312"/>
        </w:rPr>
        <w:t>个工作日，甲方按应付未付金额的</w:t>
      </w:r>
      <w:r>
        <w:rPr>
          <w:rFonts w:ascii="仿宋_GB2312" w:hAnsi="宋体" w:eastAsia="仿宋_GB2312"/>
          <w:u w:val="single"/>
        </w:rPr>
        <w:t>5</w:t>
      </w:r>
      <w:r>
        <w:rPr>
          <w:rFonts w:hint="eastAsia" w:ascii="仿宋_GB2312" w:hAnsi="宋体" w:eastAsia="仿宋_GB2312"/>
        </w:rPr>
        <w:t xml:space="preserve"> %向乙方支付违约金。</w:t>
      </w:r>
    </w:p>
    <w:p w14:paraId="7378BA02">
      <w:pPr>
        <w:autoSpaceDE w:val="0"/>
        <w:autoSpaceDN w:val="0"/>
        <w:spacing w:line="360" w:lineRule="auto"/>
        <w:ind w:firstLine="413" w:firstLineChars="196"/>
        <w:rPr>
          <w:rFonts w:ascii="楷体_GB2312" w:hAnsi="楷体_GB2312" w:eastAsia="楷体_GB2312" w:cs="Arial"/>
          <w:sz w:val="24"/>
        </w:rPr>
      </w:pPr>
      <w:r>
        <w:rPr>
          <w:rFonts w:hint="eastAsia" w:ascii="仿宋_GB2312" w:eastAsia="仿宋_GB2312"/>
          <w:b/>
        </w:rPr>
        <w:t xml:space="preserve">第十五条 </w:t>
      </w:r>
      <w:r>
        <w:rPr>
          <w:rFonts w:ascii="仿宋_GB2312" w:eastAsia="仿宋_GB2312"/>
          <w:b/>
        </w:rPr>
        <w:t xml:space="preserve"> </w:t>
      </w:r>
      <w:r>
        <w:rPr>
          <w:rFonts w:hint="eastAsia" w:ascii="仿宋_GB2312" w:hAnsi="宋体" w:eastAsia="仿宋_GB2312"/>
        </w:rPr>
        <w:t>由于乙方原因造成项目迟延，经甲方催促后乙方继续延误的，甲方有权单方面解除合同，乙方应按照合同金额的</w:t>
      </w:r>
      <w:r>
        <w:rPr>
          <w:rFonts w:ascii="仿宋_GB2312" w:hAnsi="宋体" w:eastAsia="仿宋_GB2312"/>
          <w:u w:val="single"/>
        </w:rPr>
        <w:t>5</w:t>
      </w:r>
      <w:r>
        <w:rPr>
          <w:rFonts w:hint="eastAsia" w:ascii="仿宋_GB2312" w:hAnsi="宋体" w:eastAsia="仿宋_GB2312"/>
        </w:rPr>
        <w:t xml:space="preserve"> %向甲方支付违约金，并赔偿由此引起的甲方的直接经济损失。</w:t>
      </w:r>
    </w:p>
    <w:p w14:paraId="0131F57C">
      <w:pPr>
        <w:spacing w:line="360" w:lineRule="auto"/>
        <w:ind w:firstLine="422" w:firstLineChars="200"/>
        <w:rPr>
          <w:rFonts w:ascii="仿宋_GB2312" w:hAnsi="宋体" w:eastAsia="仿宋_GB2312"/>
        </w:rPr>
      </w:pPr>
      <w:r>
        <w:rPr>
          <w:rFonts w:hint="eastAsia" w:ascii="仿宋_GB2312" w:eastAsia="仿宋_GB2312"/>
          <w:b/>
        </w:rPr>
        <w:t>第十六条</w:t>
      </w:r>
      <w:r>
        <w:rPr>
          <w:rFonts w:hint="eastAsia" w:ascii="楷体_GB2312" w:hAnsi="楷体_GB2312" w:eastAsia="楷体_GB2312" w:cs="Arial"/>
          <w:sz w:val="24"/>
        </w:rPr>
        <w:t xml:space="preserve"> </w:t>
      </w:r>
      <w:r>
        <w:rPr>
          <w:rFonts w:hint="eastAsia" w:ascii="仿宋_GB2312" w:hAnsi="宋体" w:eastAsia="仿宋_GB2312"/>
        </w:rPr>
        <w:t>乙方应确保提供的服务不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给第三方的赔偿）。</w:t>
      </w:r>
    </w:p>
    <w:p w14:paraId="12B85E4F">
      <w:pPr>
        <w:spacing w:line="360" w:lineRule="auto"/>
        <w:ind w:firstLine="422" w:firstLineChars="200"/>
        <w:rPr>
          <w:rFonts w:ascii="仿宋_GB2312" w:hAnsi="宋体" w:eastAsia="仿宋_GB2312"/>
        </w:rPr>
      </w:pPr>
      <w:r>
        <w:rPr>
          <w:rFonts w:hint="eastAsia" w:ascii="仿宋_GB2312" w:eastAsia="仿宋_GB2312"/>
          <w:b/>
        </w:rPr>
        <w:t>第十七条</w:t>
      </w:r>
      <w:r>
        <w:rPr>
          <w:rFonts w:ascii="楷体_GB2312" w:hAnsi="楷体_GB2312" w:eastAsia="楷体_GB2312" w:cs="Arial"/>
          <w:sz w:val="24"/>
        </w:rPr>
        <w:t xml:space="preserve"> </w:t>
      </w:r>
      <w:r>
        <w:rPr>
          <w:rFonts w:hint="eastAsia" w:ascii="仿宋_GB2312" w:hAnsi="宋体" w:eastAsia="仿宋_GB2312"/>
        </w:rPr>
        <w:t>甲方根据本合同第九章约定解除本合同的，乙方应按照甲方通知期限返还甲方已支付款项及利息（计息时间从甲方支付相应款项日期开始至乙方全额退还日期为止，利率以甲方通知还款时中国人民银行公布的同期贷款利率为准），并向甲方支付合同价</w:t>
      </w:r>
      <w:r>
        <w:rPr>
          <w:rFonts w:ascii="仿宋_GB2312" w:hAnsi="宋体" w:eastAsia="仿宋_GB2312"/>
          <w:u w:val="single"/>
        </w:rPr>
        <w:t>5</w:t>
      </w:r>
      <w:r>
        <w:rPr>
          <w:rFonts w:hint="eastAsia" w:ascii="仿宋_GB2312" w:hAnsi="宋体" w:eastAsia="仿宋_GB2312"/>
        </w:rPr>
        <w:t xml:space="preserve"> %作为违约金。若乙方逾期支付上述款项的，还应该按照逾期付款额的每日</w:t>
      </w:r>
      <w:r>
        <w:rPr>
          <w:rFonts w:ascii="仿宋_GB2312" w:hAnsi="宋体" w:eastAsia="仿宋_GB2312"/>
          <w:u w:val="single"/>
        </w:rPr>
        <w:t>5</w:t>
      </w:r>
      <w:r>
        <w:rPr>
          <w:rFonts w:hint="eastAsia" w:ascii="仿宋_GB2312" w:hAnsi="宋体" w:eastAsia="仿宋_GB2312"/>
          <w:u w:val="single"/>
        </w:rPr>
        <w:t xml:space="preserve"> </w:t>
      </w:r>
      <w:r>
        <w:rPr>
          <w:rFonts w:hint="eastAsia" w:ascii="仿宋_GB2312" w:hAnsi="宋体" w:eastAsia="仿宋_GB2312"/>
        </w:rPr>
        <w:t>％向甲方支付违约金。如实际损失超过违约金的，乙方还应就不足部分赔偿甲方经济损失。</w:t>
      </w:r>
    </w:p>
    <w:p w14:paraId="21C483FF">
      <w:pPr>
        <w:spacing w:line="360" w:lineRule="auto"/>
        <w:ind w:firstLine="422" w:firstLineChars="200"/>
        <w:rPr>
          <w:rFonts w:ascii="仿宋_GB2312" w:hAnsi="宋体" w:eastAsia="仿宋_GB2312"/>
        </w:rPr>
      </w:pPr>
      <w:r>
        <w:rPr>
          <w:rFonts w:hint="eastAsia" w:ascii="仿宋_GB2312" w:eastAsia="仿宋_GB2312"/>
          <w:b/>
        </w:rPr>
        <w:t>第十八条</w:t>
      </w:r>
      <w:r>
        <w:rPr>
          <w:rFonts w:ascii="楷体_GB2312" w:hAnsi="楷体_GB2312" w:eastAsia="楷体_GB2312" w:cs="Arial"/>
          <w:sz w:val="24"/>
        </w:rPr>
        <w:t xml:space="preserve"> </w:t>
      </w:r>
      <w:r>
        <w:rPr>
          <w:rFonts w:hint="eastAsia" w:ascii="仿宋_GB2312" w:hAnsi="宋体" w:eastAsia="仿宋_GB2312"/>
        </w:rPr>
        <w:t>乙方未经甲方事先书面同意，向第三方分包其应履行的本合同中的责任或义务的，应向甲方支付合同价</w:t>
      </w:r>
      <w:r>
        <w:rPr>
          <w:rFonts w:ascii="仿宋_GB2312" w:hAnsi="宋体" w:eastAsia="仿宋_GB2312"/>
          <w:u w:val="single"/>
        </w:rPr>
        <w:t>5</w:t>
      </w:r>
      <w:r>
        <w:rPr>
          <w:rFonts w:hint="eastAsia" w:ascii="仿宋_GB2312" w:hAnsi="宋体" w:eastAsia="仿宋_GB2312"/>
        </w:rPr>
        <w:t xml:space="preserve"> %作为违约金，并赔偿甲方所受全部损失。</w:t>
      </w:r>
    </w:p>
    <w:p w14:paraId="56B3AEB2">
      <w:pPr>
        <w:spacing w:line="360" w:lineRule="auto"/>
        <w:ind w:firstLine="422" w:firstLineChars="200"/>
        <w:rPr>
          <w:rFonts w:ascii="楷体_GB2312" w:hAnsi="楷体_GB2312" w:eastAsia="楷体_GB2312" w:cs="Arial"/>
          <w:sz w:val="24"/>
        </w:rPr>
      </w:pPr>
      <w:r>
        <w:rPr>
          <w:rFonts w:hint="eastAsia" w:ascii="仿宋_GB2312" w:eastAsia="仿宋_GB2312"/>
          <w:b/>
        </w:rPr>
        <w:t>第十九条</w:t>
      </w:r>
      <w:r>
        <w:rPr>
          <w:rFonts w:ascii="楷体_GB2312" w:hAnsi="楷体_GB2312" w:eastAsia="楷体_GB2312" w:cs="Arial"/>
          <w:sz w:val="24"/>
        </w:rPr>
        <w:t xml:space="preserve"> </w:t>
      </w:r>
      <w:r>
        <w:rPr>
          <w:rFonts w:hint="eastAsia" w:ascii="仿宋_GB2312" w:hAnsi="宋体" w:eastAsia="仿宋_GB2312"/>
        </w:rPr>
        <w:t>乙方未经甲方事先书面同意擅自更换服务人员，或者未按照甲方要求更换服务人员的，应按照每人次</w:t>
      </w:r>
      <w:r>
        <w:rPr>
          <w:rFonts w:hint="eastAsia" w:ascii="仿宋_GB2312" w:hAnsi="宋体" w:eastAsia="仿宋_GB2312"/>
          <w:u w:val="single"/>
        </w:rPr>
        <w:t xml:space="preserve"> </w:t>
      </w:r>
      <w:r>
        <w:rPr>
          <w:rFonts w:ascii="仿宋_GB2312" w:hAnsi="宋体" w:eastAsia="仿宋_GB2312"/>
          <w:u w:val="single"/>
        </w:rPr>
        <w:t>300</w:t>
      </w:r>
      <w:r>
        <w:rPr>
          <w:rFonts w:hint="eastAsia" w:ascii="仿宋_GB2312" w:hAnsi="宋体" w:eastAsia="仿宋_GB2312"/>
          <w:u w:val="single"/>
        </w:rPr>
        <w:t xml:space="preserve"> </w:t>
      </w:r>
      <w:r>
        <w:rPr>
          <w:rFonts w:hint="eastAsia" w:ascii="仿宋_GB2312" w:hAnsi="宋体" w:eastAsia="仿宋_GB2312"/>
        </w:rPr>
        <w:t>元的标准向甲方支付违约金。</w:t>
      </w:r>
    </w:p>
    <w:p w14:paraId="0FD62276">
      <w:pPr>
        <w:spacing w:line="360" w:lineRule="auto"/>
        <w:ind w:firstLine="422" w:firstLineChars="200"/>
        <w:rPr>
          <w:rFonts w:ascii="楷体_GB2312" w:hAnsi="楷体_GB2312" w:eastAsia="楷体_GB2312" w:cs="Arial"/>
          <w:sz w:val="24"/>
        </w:rPr>
      </w:pPr>
      <w:r>
        <w:rPr>
          <w:rFonts w:hint="eastAsia" w:ascii="仿宋_GB2312" w:eastAsia="仿宋_GB2312"/>
          <w:b/>
        </w:rPr>
        <w:t>第二十条</w:t>
      </w:r>
      <w:r>
        <w:rPr>
          <w:rFonts w:ascii="楷体_GB2312" w:hAnsi="楷体_GB2312" w:eastAsia="楷体_GB2312" w:cs="Arial"/>
          <w:sz w:val="24"/>
        </w:rPr>
        <w:t xml:space="preserve"> </w:t>
      </w:r>
      <w:r>
        <w:rPr>
          <w:rFonts w:hint="eastAsia" w:ascii="仿宋_GB2312" w:hAnsi="宋体" w:eastAsia="仿宋_GB2312"/>
        </w:rPr>
        <w:t>若乙方存在多项违约情形的，上述违约金可同时计取。</w:t>
      </w:r>
    </w:p>
    <w:p w14:paraId="45242F65">
      <w:pPr>
        <w:spacing w:line="360" w:lineRule="auto"/>
        <w:ind w:firstLine="480" w:firstLineChars="200"/>
        <w:rPr>
          <w:rFonts w:ascii="楷体_GB2312" w:hAnsi="楷体_GB2312" w:eastAsia="楷体_GB2312" w:cs="Arial"/>
          <w:sz w:val="24"/>
        </w:rPr>
      </w:pPr>
    </w:p>
    <w:p w14:paraId="59EFC897">
      <w:pPr>
        <w:spacing w:line="360" w:lineRule="auto"/>
        <w:jc w:val="center"/>
        <w:rPr>
          <w:rFonts w:ascii="仿宋_GB2312" w:eastAsia="仿宋_GB2312"/>
          <w:b/>
        </w:rPr>
      </w:pPr>
      <w:r>
        <w:rPr>
          <w:rFonts w:hint="eastAsia" w:ascii="仿宋_GB2312" w:eastAsia="仿宋_GB2312"/>
          <w:b/>
        </w:rPr>
        <w:t xml:space="preserve">第八章 </w:t>
      </w:r>
      <w:r>
        <w:rPr>
          <w:rFonts w:ascii="仿宋_GB2312" w:eastAsia="仿宋_GB2312"/>
          <w:b/>
        </w:rPr>
        <w:t xml:space="preserve"> </w:t>
      </w:r>
      <w:r>
        <w:rPr>
          <w:rFonts w:hint="eastAsia" w:ascii="仿宋_GB2312" w:eastAsia="仿宋_GB2312"/>
          <w:b/>
        </w:rPr>
        <w:t>不可抗力</w:t>
      </w:r>
    </w:p>
    <w:p w14:paraId="29963CE3">
      <w:pPr>
        <w:autoSpaceDE w:val="0"/>
        <w:autoSpaceDN w:val="0"/>
        <w:spacing w:line="360" w:lineRule="auto"/>
        <w:ind w:firstLine="413" w:firstLineChars="196"/>
        <w:rPr>
          <w:rFonts w:ascii="仿宋_GB2312" w:hAnsi="宋体" w:eastAsia="仿宋_GB2312"/>
        </w:rPr>
      </w:pPr>
      <w:r>
        <w:rPr>
          <w:rFonts w:hint="eastAsia" w:ascii="仿宋_GB2312" w:eastAsia="仿宋_GB2312"/>
          <w:b/>
        </w:rPr>
        <w:t>第二十一条</w:t>
      </w:r>
      <w:r>
        <w:rPr>
          <w:rFonts w:hint="eastAsia" w:ascii="仿宋_GB2312" w:hAnsi="宋体" w:eastAsia="仿宋_GB2312"/>
        </w:rPr>
        <w:t xml:space="preserve"> </w:t>
      </w:r>
      <w:r>
        <w:rPr>
          <w:rFonts w:ascii="仿宋_GB2312" w:hAnsi="宋体" w:eastAsia="仿宋_GB2312"/>
        </w:rPr>
        <w:t xml:space="preserve"> </w:t>
      </w:r>
      <w:r>
        <w:rPr>
          <w:rFonts w:hint="eastAsia" w:ascii="仿宋_GB2312" w:hAnsi="宋体" w:eastAsia="仿宋_GB2312"/>
        </w:rPr>
        <w:t>本合同任何一方因不可抗力不能履行本合同约定的全部或部分义务，应尽快通知另一方，并应在不可抗力发生后</w:t>
      </w:r>
      <w:r>
        <w:rPr>
          <w:rFonts w:hint="eastAsia" w:ascii="仿宋_GB2312" w:hAnsi="宋体" w:eastAsia="仿宋_GB2312"/>
          <w:u w:val="single"/>
        </w:rPr>
        <w:t xml:space="preserve"> </w:t>
      </w:r>
      <w:r>
        <w:rPr>
          <w:rFonts w:ascii="仿宋_GB2312" w:hAnsi="宋体" w:eastAsia="仿宋_GB2312"/>
          <w:u w:val="single"/>
        </w:rPr>
        <w:t>5</w:t>
      </w:r>
      <w:r>
        <w:rPr>
          <w:rFonts w:hint="eastAsia" w:ascii="仿宋_GB2312" w:hAnsi="宋体" w:eastAsia="仿宋_GB2312"/>
        </w:rPr>
        <w:t>日内以书面形式向对方提供详细情况报告及不可抗力对履行本合同影响程度的说明。甲、乙双方应根据不可抗力对合同履行的影响程度，协商确定是否终止合同，或继续履行本合同。</w:t>
      </w:r>
    </w:p>
    <w:p w14:paraId="069045A9">
      <w:pPr>
        <w:autoSpaceDE w:val="0"/>
        <w:autoSpaceDN w:val="0"/>
        <w:spacing w:line="360" w:lineRule="auto"/>
        <w:ind w:firstLine="413" w:firstLineChars="196"/>
        <w:rPr>
          <w:rFonts w:ascii="仿宋_GB2312" w:hAnsi="宋体" w:eastAsia="仿宋_GB2312"/>
        </w:rPr>
      </w:pPr>
      <w:r>
        <w:rPr>
          <w:rFonts w:hint="eastAsia" w:ascii="仿宋_GB2312" w:eastAsia="仿宋_GB2312"/>
          <w:b/>
        </w:rPr>
        <w:t xml:space="preserve">第二十二条 </w:t>
      </w:r>
      <w:r>
        <w:rPr>
          <w:rFonts w:hint="eastAsia" w:ascii="仿宋_GB2312" w:hAnsi="宋体" w:eastAsia="仿宋_GB2312"/>
        </w:rPr>
        <w:t xml:space="preserve">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5776A2CE">
      <w:pPr>
        <w:autoSpaceDE w:val="0"/>
        <w:autoSpaceDN w:val="0"/>
        <w:spacing w:line="360" w:lineRule="auto"/>
        <w:ind w:firstLine="413" w:firstLineChars="196"/>
        <w:rPr>
          <w:rFonts w:ascii="仿宋_GB2312" w:hAnsi="宋体" w:eastAsia="仿宋_GB2312"/>
        </w:rPr>
      </w:pPr>
      <w:r>
        <w:rPr>
          <w:rFonts w:hint="eastAsia" w:ascii="仿宋_GB2312" w:eastAsia="仿宋_GB2312"/>
          <w:b/>
        </w:rPr>
        <w:t xml:space="preserve">第二十三条 </w:t>
      </w:r>
      <w:r>
        <w:rPr>
          <w:rFonts w:ascii="仿宋_GB2312" w:eastAsia="仿宋_GB2312"/>
          <w:b/>
        </w:rPr>
        <w:t xml:space="preserve"> </w:t>
      </w:r>
      <w:r>
        <w:rPr>
          <w:rFonts w:hint="eastAsia" w:ascii="仿宋_GB2312" w:hAnsi="宋体" w:eastAsia="仿宋_GB2312"/>
        </w:rPr>
        <w:t>合同一方迟延履行后发生不可抗力的，不能免除其责任。</w:t>
      </w:r>
    </w:p>
    <w:p w14:paraId="439D62D0">
      <w:pPr>
        <w:autoSpaceDE w:val="0"/>
        <w:autoSpaceDN w:val="0"/>
        <w:spacing w:line="360" w:lineRule="auto"/>
        <w:ind w:firstLine="413" w:firstLineChars="196"/>
        <w:rPr>
          <w:rFonts w:ascii="仿宋_GB2312" w:hAnsi="宋体" w:eastAsia="仿宋_GB2312"/>
        </w:rPr>
      </w:pPr>
      <w:r>
        <w:rPr>
          <w:rFonts w:hint="eastAsia" w:ascii="仿宋_GB2312" w:eastAsia="仿宋_GB2312"/>
          <w:b/>
        </w:rPr>
        <w:t xml:space="preserve">第二十四条 </w:t>
      </w:r>
      <w:r>
        <w:rPr>
          <w:rFonts w:hint="eastAsia" w:ascii="仿宋_GB2312" w:hAnsi="宋体" w:eastAsia="仿宋_GB2312"/>
        </w:rPr>
        <w:t xml:space="preserve"> 不可抗力因素消除后，双方应立即进行磋商，就不可抗力所造成影响程度甲方有权决定是否继续履行或者终止本合同。如果甲方决定终止合同，如甲方已经付款，乙方应将未交付部分的款项在</w:t>
      </w:r>
      <w:r>
        <w:rPr>
          <w:rFonts w:hint="eastAsia" w:ascii="仿宋_GB2312" w:hAnsi="宋体" w:eastAsia="仿宋_GB2312"/>
          <w:u w:val="single"/>
        </w:rPr>
        <w:t xml:space="preserve"> </w:t>
      </w:r>
      <w:r>
        <w:rPr>
          <w:rFonts w:ascii="仿宋_GB2312" w:hAnsi="宋体" w:eastAsia="仿宋_GB2312"/>
          <w:u w:val="single"/>
        </w:rPr>
        <w:t>5</w:t>
      </w:r>
      <w:r>
        <w:rPr>
          <w:rFonts w:hint="eastAsia" w:ascii="仿宋_GB2312" w:hAnsi="宋体" w:eastAsia="仿宋_GB2312"/>
          <w:u w:val="single"/>
        </w:rPr>
        <w:t xml:space="preserve"> </w:t>
      </w:r>
      <w:r>
        <w:rPr>
          <w:rFonts w:hint="eastAsia" w:ascii="仿宋_GB2312" w:hAnsi="宋体" w:eastAsia="仿宋_GB2312"/>
        </w:rPr>
        <w:t xml:space="preserve">日内向甲方返还。 </w:t>
      </w:r>
    </w:p>
    <w:p w14:paraId="5A86BC49">
      <w:pPr>
        <w:autoSpaceDE w:val="0"/>
        <w:autoSpaceDN w:val="0"/>
        <w:spacing w:line="360" w:lineRule="auto"/>
        <w:ind w:firstLine="470" w:firstLineChars="196"/>
        <w:rPr>
          <w:rFonts w:ascii="楷体_GB2312" w:hAnsi="楷体_GB2312" w:eastAsia="楷体_GB2312" w:cs="Arial"/>
          <w:sz w:val="24"/>
        </w:rPr>
      </w:pPr>
    </w:p>
    <w:p w14:paraId="3133E3A7">
      <w:pPr>
        <w:spacing w:line="360" w:lineRule="auto"/>
        <w:jc w:val="center"/>
        <w:rPr>
          <w:rFonts w:ascii="仿宋_GB2312" w:eastAsia="仿宋_GB2312"/>
          <w:b/>
        </w:rPr>
      </w:pPr>
      <w:r>
        <w:rPr>
          <w:rFonts w:hint="eastAsia" w:ascii="仿宋_GB2312" w:eastAsia="仿宋_GB2312"/>
          <w:b/>
        </w:rPr>
        <w:t>第九章</w:t>
      </w:r>
      <w:r>
        <w:rPr>
          <w:rFonts w:ascii="仿宋_GB2312" w:eastAsia="仿宋_GB2312"/>
          <w:b/>
        </w:rPr>
        <w:t xml:space="preserve">  </w:t>
      </w:r>
      <w:r>
        <w:rPr>
          <w:rFonts w:hint="eastAsia" w:ascii="仿宋_GB2312" w:eastAsia="仿宋_GB2312"/>
          <w:b/>
        </w:rPr>
        <w:t>合同解除</w:t>
      </w:r>
    </w:p>
    <w:p w14:paraId="2D5F568A">
      <w:pPr>
        <w:autoSpaceDE w:val="0"/>
        <w:autoSpaceDN w:val="0"/>
        <w:spacing w:line="360" w:lineRule="auto"/>
        <w:ind w:firstLine="413" w:firstLineChars="196"/>
        <w:rPr>
          <w:rFonts w:ascii="仿宋_GB2312" w:hAnsi="宋体" w:eastAsia="仿宋_GB2312"/>
        </w:rPr>
      </w:pPr>
      <w:r>
        <w:rPr>
          <w:rFonts w:hint="eastAsia" w:ascii="仿宋_GB2312" w:eastAsia="仿宋_GB2312"/>
          <w:b/>
        </w:rPr>
        <w:t>第二十五条</w:t>
      </w:r>
      <w:r>
        <w:rPr>
          <w:rFonts w:hint="eastAsia" w:ascii="仿宋_GB2312" w:hAnsi="宋体" w:eastAsia="仿宋_GB2312"/>
        </w:rPr>
        <w:tab/>
      </w:r>
      <w:r>
        <w:rPr>
          <w:rFonts w:hint="eastAsia" w:ascii="仿宋_GB2312" w:hAnsi="宋体" w:eastAsia="仿宋_GB2312"/>
        </w:rPr>
        <w:t xml:space="preserve">发生下列情形之一时，甲方可解除本合同： </w:t>
      </w:r>
    </w:p>
    <w:p w14:paraId="7B0FB228">
      <w:pPr>
        <w:autoSpaceDE w:val="0"/>
        <w:autoSpaceDN w:val="0"/>
        <w:spacing w:line="360" w:lineRule="auto"/>
        <w:ind w:firstLine="621" w:firstLineChars="296"/>
        <w:rPr>
          <w:rFonts w:ascii="仿宋_GB2312" w:hAnsi="宋体" w:eastAsia="仿宋_GB2312"/>
        </w:rPr>
      </w:pPr>
      <w:r>
        <w:rPr>
          <w:rFonts w:hint="eastAsia" w:ascii="仿宋_GB2312" w:hAnsi="宋体" w:eastAsia="仿宋_GB2312"/>
        </w:rPr>
        <w:t>（一）乙方原因造成项目延迟超过【</w:t>
      </w:r>
      <w:r>
        <w:rPr>
          <w:rFonts w:ascii="仿宋_GB2312" w:hAnsi="宋体" w:eastAsia="仿宋_GB2312"/>
        </w:rPr>
        <w:t>5</w:t>
      </w:r>
      <w:r>
        <w:rPr>
          <w:rFonts w:hint="eastAsia" w:ascii="仿宋_GB2312" w:hAnsi="宋体" w:eastAsia="仿宋_GB2312"/>
        </w:rPr>
        <w:t>】日，且经甲方催促后乙方继续延误的。</w:t>
      </w:r>
    </w:p>
    <w:p w14:paraId="381D2C20">
      <w:pPr>
        <w:autoSpaceDE w:val="0"/>
        <w:autoSpaceDN w:val="0"/>
        <w:spacing w:line="360" w:lineRule="auto"/>
        <w:ind w:firstLine="621" w:firstLineChars="296"/>
        <w:rPr>
          <w:rFonts w:ascii="仿宋_GB2312" w:hAnsi="宋体" w:eastAsia="仿宋_GB2312"/>
        </w:rPr>
      </w:pPr>
      <w:r>
        <w:rPr>
          <w:rFonts w:hint="eastAsia" w:ascii="仿宋_GB2312" w:hAnsi="宋体" w:eastAsia="仿宋_GB2312"/>
        </w:rPr>
        <w:t>（二）乙方服务质量严重不符合合同标准，且经甲方提醒后仍未达到合同标准的。</w:t>
      </w:r>
    </w:p>
    <w:p w14:paraId="3BF7CCA7">
      <w:pPr>
        <w:autoSpaceDE w:val="0"/>
        <w:autoSpaceDN w:val="0"/>
        <w:spacing w:line="360" w:lineRule="auto"/>
        <w:ind w:firstLine="621" w:firstLineChars="296"/>
        <w:rPr>
          <w:rFonts w:ascii="仿宋_GB2312" w:hAnsi="宋体" w:eastAsia="仿宋_GB2312"/>
        </w:rPr>
      </w:pPr>
      <w:r>
        <w:rPr>
          <w:rFonts w:hint="eastAsia" w:ascii="仿宋_GB2312" w:hAnsi="宋体" w:eastAsia="仿宋_GB2312"/>
        </w:rPr>
        <w:t>（三）</w:t>
      </w:r>
      <w:r>
        <w:rPr>
          <w:rFonts w:hint="eastAsia" w:ascii="仿宋_GB2312" w:hAnsi="宋体" w:eastAsia="仿宋_GB2312"/>
        </w:rPr>
        <w:tab/>
      </w:r>
      <w:r>
        <w:rPr>
          <w:rFonts w:hint="eastAsia" w:ascii="仿宋_GB2312" w:hAnsi="宋体" w:eastAsia="仿宋_GB2312"/>
        </w:rPr>
        <w:t>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14:paraId="79DBF623">
      <w:pPr>
        <w:autoSpaceDE w:val="0"/>
        <w:autoSpaceDN w:val="0"/>
        <w:spacing w:line="360" w:lineRule="auto"/>
        <w:ind w:firstLine="621" w:firstLineChars="296"/>
        <w:rPr>
          <w:rFonts w:ascii="仿宋_GB2312" w:hAnsi="宋体" w:eastAsia="仿宋_GB2312"/>
        </w:rPr>
      </w:pPr>
      <w:r>
        <w:rPr>
          <w:rFonts w:hint="eastAsia" w:ascii="仿宋_GB2312" w:hAnsi="宋体" w:eastAsia="仿宋_GB2312"/>
        </w:rPr>
        <w:t>（四）</w:t>
      </w:r>
      <w:r>
        <w:rPr>
          <w:rFonts w:hint="eastAsia" w:ascii="仿宋_GB2312" w:hAnsi="宋体" w:eastAsia="仿宋_GB2312"/>
        </w:rPr>
        <w:tab/>
      </w:r>
      <w:r>
        <w:rPr>
          <w:rFonts w:hint="eastAsia" w:ascii="仿宋_GB2312" w:hAnsi="宋体" w:eastAsia="仿宋_GB2312"/>
        </w:rPr>
        <w:t>乙方整体或部分资产或企业本身被接管，或进行清算（除因合并或重组之目的外），或停止或似将停止经营或无履约能力的；</w:t>
      </w:r>
    </w:p>
    <w:p w14:paraId="604EEDE0">
      <w:pPr>
        <w:autoSpaceDE w:val="0"/>
        <w:autoSpaceDN w:val="0"/>
        <w:spacing w:line="360" w:lineRule="auto"/>
        <w:ind w:firstLine="621" w:firstLineChars="296"/>
        <w:rPr>
          <w:rFonts w:ascii="仿宋_GB2312" w:hAnsi="宋体" w:eastAsia="仿宋_GB2312"/>
        </w:rPr>
      </w:pPr>
      <w:r>
        <w:rPr>
          <w:rFonts w:hint="eastAsia" w:ascii="仿宋_GB2312" w:hAnsi="宋体" w:eastAsia="仿宋_GB2312"/>
        </w:rPr>
        <w:t>（五）乙方未履行合同约定的义务，且未能在甲方通知后10日内纠正的；</w:t>
      </w:r>
    </w:p>
    <w:p w14:paraId="727023DE">
      <w:pPr>
        <w:autoSpaceDE w:val="0"/>
        <w:autoSpaceDN w:val="0"/>
        <w:spacing w:line="360" w:lineRule="auto"/>
        <w:ind w:firstLine="413" w:firstLineChars="196"/>
        <w:rPr>
          <w:rFonts w:ascii="仿宋_GB2312" w:hAnsi="宋体" w:eastAsia="仿宋_GB2312"/>
        </w:rPr>
      </w:pPr>
      <w:r>
        <w:rPr>
          <w:rFonts w:hint="eastAsia" w:ascii="仿宋_GB2312" w:eastAsia="仿宋_GB2312"/>
          <w:b/>
        </w:rPr>
        <w:t>第二十六条</w:t>
      </w:r>
      <w:r>
        <w:rPr>
          <w:rFonts w:hint="eastAsia" w:ascii="仿宋_GB2312" w:hAnsi="宋体" w:eastAsia="仿宋_GB2312"/>
        </w:rPr>
        <w:tab/>
      </w:r>
      <w:r>
        <w:rPr>
          <w:rFonts w:hint="eastAsia" w:ascii="仿宋_GB2312" w:hAnsi="宋体" w:eastAsia="仿宋_GB2312"/>
        </w:rPr>
        <w:t>如果甲方依据上述情形解除本合同，乙方无权向甲方主张任何补偿，且不影响甲方采取本合同项下的其他补救措施，并按照合同约定追究乙方违约责任。</w:t>
      </w:r>
    </w:p>
    <w:p w14:paraId="3826B436">
      <w:pPr>
        <w:tabs>
          <w:tab w:val="left" w:pos="1080"/>
        </w:tabs>
        <w:snapToGrid w:val="0"/>
        <w:spacing w:line="360" w:lineRule="auto"/>
        <w:ind w:firstLine="480" w:firstLineChars="200"/>
        <w:rPr>
          <w:rFonts w:ascii="楷体_GB2312" w:hAnsi="楷体_GB2312" w:eastAsia="楷体_GB2312" w:cs="宋体"/>
          <w:bCs/>
          <w:color w:val="000000"/>
          <w:sz w:val="24"/>
        </w:rPr>
      </w:pPr>
    </w:p>
    <w:p w14:paraId="5AA38842">
      <w:pPr>
        <w:spacing w:line="360" w:lineRule="auto"/>
        <w:jc w:val="center"/>
        <w:rPr>
          <w:rFonts w:ascii="仿宋_GB2312" w:eastAsia="仿宋_GB2312"/>
          <w:b/>
        </w:rPr>
      </w:pPr>
      <w:r>
        <w:rPr>
          <w:rFonts w:hint="eastAsia" w:ascii="仿宋_GB2312" w:eastAsia="仿宋_GB2312"/>
          <w:b/>
        </w:rPr>
        <w:t>第十章　 法律适用与争议解决</w:t>
      </w:r>
    </w:p>
    <w:p w14:paraId="3994DC0B">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第二十七条</w:t>
      </w:r>
      <w:r>
        <w:rPr>
          <w:rFonts w:hint="eastAsia" w:ascii="仿宋_GB2312" w:hAnsi="宋体" w:eastAsia="仿宋_GB2312"/>
        </w:rPr>
        <w:t xml:space="preserve"> 本合同的订立、效力、解释、履行和争议的解决均适用中华人民共和国法律（不包括港澳台地区法律）。</w:t>
      </w:r>
    </w:p>
    <w:p w14:paraId="5D0B72D9">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第二十八条</w:t>
      </w:r>
      <w:r>
        <w:rPr>
          <w:rFonts w:hint="eastAsia" w:ascii="仿宋_GB2312" w:hAnsi="宋体" w:eastAsia="仿宋_GB2312"/>
        </w:rPr>
        <w:t xml:space="preserve"> 凡因本合同引起的或与本合同有关的任何争议，双方首先应友好协商解决。协商不成的，任何一方均有权向</w:t>
      </w:r>
      <w:r>
        <w:rPr>
          <w:rFonts w:ascii="仿宋_GB2312" w:hAnsi="宋体" w:eastAsia="仿宋_GB2312"/>
        </w:rPr>
        <w:t>甲方所在地人民法院提起诉讼</w:t>
      </w:r>
      <w:r>
        <w:rPr>
          <w:rFonts w:hint="eastAsia" w:ascii="仿宋_GB2312" w:hAnsi="宋体" w:eastAsia="仿宋_GB2312"/>
        </w:rPr>
        <w:t>。</w:t>
      </w:r>
    </w:p>
    <w:p w14:paraId="1DFB9AF2">
      <w:pPr>
        <w:tabs>
          <w:tab w:val="left" w:pos="1080"/>
        </w:tabs>
        <w:snapToGrid w:val="0"/>
        <w:spacing w:line="360" w:lineRule="auto"/>
        <w:ind w:firstLine="480" w:firstLineChars="200"/>
        <w:rPr>
          <w:rFonts w:ascii="楷体_GB2312" w:hAnsi="楷体_GB2312" w:eastAsia="楷体_GB2312" w:cs="宋体"/>
          <w:bCs/>
          <w:color w:val="000000"/>
          <w:sz w:val="24"/>
        </w:rPr>
      </w:pPr>
    </w:p>
    <w:p w14:paraId="78EAFA85">
      <w:pPr>
        <w:spacing w:line="360" w:lineRule="auto"/>
        <w:jc w:val="center"/>
        <w:rPr>
          <w:rFonts w:ascii="仿宋_GB2312" w:eastAsia="仿宋_GB2312"/>
          <w:b/>
        </w:rPr>
      </w:pPr>
      <w:r>
        <w:rPr>
          <w:rFonts w:hint="eastAsia" w:ascii="仿宋_GB2312" w:eastAsia="仿宋_GB2312"/>
          <w:b/>
        </w:rPr>
        <w:t>第十一章　 合同生效及其他</w:t>
      </w:r>
    </w:p>
    <w:p w14:paraId="625B5D51">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第二十九条</w:t>
      </w:r>
      <w:r>
        <w:rPr>
          <w:rFonts w:hint="eastAsia" w:ascii="仿宋_GB2312" w:hAnsi="宋体" w:eastAsia="仿宋_GB2312"/>
        </w:rPr>
        <w:t xml:space="preserve"> 本合同经甲乙双方法定代表人或授权代表签字并加盖公章后生效。</w:t>
      </w:r>
    </w:p>
    <w:p w14:paraId="02F5661F">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第三十条</w:t>
      </w:r>
      <w:r>
        <w:rPr>
          <w:rFonts w:hint="eastAsia" w:ascii="仿宋_GB2312" w:hAnsi="宋体" w:eastAsia="仿宋_GB2312"/>
        </w:rPr>
        <w:t xml:space="preserve"> 本合同一式</w:t>
      </w:r>
      <w:r>
        <w:rPr>
          <w:rFonts w:hint="eastAsia" w:ascii="仿宋_GB2312" w:hAnsi="宋体" w:eastAsia="仿宋_GB2312"/>
          <w:lang w:val="en-US" w:eastAsia="zh-CN"/>
        </w:rPr>
        <w:t>4</w:t>
      </w:r>
      <w:r>
        <w:rPr>
          <w:rFonts w:hint="eastAsia" w:ascii="仿宋_GB2312" w:hAnsi="宋体" w:eastAsia="仿宋_GB2312"/>
        </w:rPr>
        <w:t>份，甲方执</w:t>
      </w:r>
      <w:r>
        <w:rPr>
          <w:rFonts w:hint="eastAsia" w:ascii="仿宋_GB2312" w:hAnsi="宋体" w:eastAsia="仿宋_GB2312"/>
          <w:lang w:val="en-US" w:eastAsia="zh-CN"/>
        </w:rPr>
        <w:t>2</w:t>
      </w:r>
      <w:r>
        <w:rPr>
          <w:rFonts w:hint="eastAsia" w:ascii="仿宋_GB2312" w:hAnsi="宋体" w:eastAsia="仿宋_GB2312"/>
        </w:rPr>
        <w:t>份，乙方执</w:t>
      </w:r>
      <w:r>
        <w:rPr>
          <w:rFonts w:hint="eastAsia" w:ascii="仿宋_GB2312" w:hAnsi="宋体" w:eastAsia="仿宋_GB2312"/>
          <w:lang w:val="en-US" w:eastAsia="zh-CN"/>
        </w:rPr>
        <w:t>2</w:t>
      </w:r>
      <w:r>
        <w:rPr>
          <w:rFonts w:hint="eastAsia" w:ascii="仿宋_GB2312" w:hAnsi="宋体" w:eastAsia="仿宋_GB2312"/>
        </w:rPr>
        <w:t>份。</w:t>
      </w:r>
    </w:p>
    <w:p w14:paraId="03F23CC1">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第三十一条</w:t>
      </w:r>
      <w:r>
        <w:rPr>
          <w:rFonts w:hint="eastAsia" w:ascii="仿宋_GB2312" w:hAnsi="宋体" w:eastAsia="仿宋_GB2312"/>
        </w:rPr>
        <w:t xml:space="preserve"> 对本合同的任何变更或补充，须经甲乙双方协商一致，并另行签订书面补充协议。</w:t>
      </w:r>
    </w:p>
    <w:p w14:paraId="1D719326">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第三十二条</w:t>
      </w:r>
      <w:r>
        <w:rPr>
          <w:rFonts w:hint="eastAsia" w:ascii="仿宋_GB2312" w:hAnsi="宋体" w:eastAsia="仿宋_GB2312"/>
        </w:rPr>
        <w:t xml:space="preserve"> 本合同附件（如有）作为本合同的组成部分，与本合同具有同等的法律效力</w:t>
      </w:r>
      <w:r>
        <w:rPr>
          <w:rFonts w:ascii="仿宋_GB2312" w:hAnsi="宋体" w:eastAsia="仿宋_GB2312"/>
        </w:rPr>
        <w:t>，当附件条款与本合同条款发生冲突时，以本合同条款为准</w:t>
      </w:r>
      <w:r>
        <w:rPr>
          <w:rFonts w:hint="eastAsia" w:ascii="仿宋_GB2312" w:hAnsi="宋体" w:eastAsia="仿宋_GB2312"/>
        </w:rPr>
        <w:t>。</w:t>
      </w:r>
    </w:p>
    <w:p w14:paraId="34EDCCD1">
      <w:pPr>
        <w:autoSpaceDE w:val="0"/>
        <w:autoSpaceDN w:val="0"/>
        <w:spacing w:line="360" w:lineRule="auto"/>
        <w:ind w:firstLine="422" w:firstLineChars="200"/>
        <w:rPr>
          <w:rFonts w:ascii="仿宋_GB2312" w:hAnsi="宋体" w:eastAsia="仿宋_GB2312"/>
        </w:rPr>
      </w:pPr>
      <w:r>
        <w:rPr>
          <w:rFonts w:hint="eastAsia" w:ascii="仿宋_GB2312" w:eastAsia="仿宋_GB2312"/>
          <w:b/>
        </w:rPr>
        <w:t>第三十三条</w:t>
      </w:r>
      <w:r>
        <w:rPr>
          <w:rFonts w:hint="eastAsia" w:ascii="仿宋_GB2312" w:hAnsi="宋体" w:eastAsia="仿宋_GB2312"/>
        </w:rPr>
        <w:t xml:space="preserve"> 由于法律和法规而导致本合同任何条款无效或无法执行，则该条款无效，但不影响剩余其他条款的效力。</w:t>
      </w:r>
    </w:p>
    <w:p w14:paraId="713C4A9C">
      <w:pPr>
        <w:autoSpaceDE w:val="0"/>
        <w:autoSpaceDN w:val="0"/>
        <w:spacing w:line="360" w:lineRule="auto"/>
        <w:ind w:firstLine="480" w:firstLineChars="200"/>
        <w:rPr>
          <w:rFonts w:ascii="楷体_GB2312" w:hAnsi="楷体_GB2312" w:eastAsia="楷体_GB2312" w:cs="Arial"/>
          <w:sz w:val="24"/>
        </w:rPr>
      </w:pPr>
    </w:p>
    <w:p w14:paraId="563C979E">
      <w:pPr>
        <w:widowControl/>
        <w:jc w:val="left"/>
        <w:rPr>
          <w:rFonts w:ascii="仿宋_GB2312" w:eastAsia="仿宋_GB2312"/>
        </w:rPr>
      </w:pPr>
    </w:p>
    <w:p w14:paraId="65C48CC2">
      <w:pPr>
        <w:tabs>
          <w:tab w:val="left" w:pos="1080"/>
        </w:tabs>
        <w:spacing w:line="360" w:lineRule="auto"/>
        <w:rPr>
          <w:rFonts w:ascii="仿宋_GB2312" w:eastAsia="仿宋_GB2312"/>
        </w:rPr>
      </w:pPr>
    </w:p>
    <w:p w14:paraId="6519677E">
      <w:pPr>
        <w:spacing w:line="360" w:lineRule="auto"/>
        <w:ind w:right="-22"/>
        <w:rPr>
          <w:rFonts w:hint="default" w:ascii="仿宋_GB2312" w:eastAsia="仿宋_GB2312"/>
          <w:lang w:val="en-US" w:eastAsia="zh-CN"/>
        </w:rPr>
      </w:pPr>
      <w:r>
        <w:rPr>
          <w:rFonts w:hint="eastAsia" w:ascii="仿宋_GB2312" w:eastAsia="仿宋_GB2312"/>
        </w:rPr>
        <w:t xml:space="preserve">甲方：中国人民健康保险股份有限公司        乙方： </w:t>
      </w:r>
    </w:p>
    <w:p w14:paraId="4D0A8D69">
      <w:pPr>
        <w:spacing w:line="360" w:lineRule="auto"/>
        <w:ind w:right="828" w:firstLine="4086" w:firstLineChars="1946"/>
        <w:rPr>
          <w:rFonts w:ascii="仿宋_GB2312" w:eastAsia="仿宋_GB2312"/>
        </w:rPr>
      </w:pPr>
    </w:p>
    <w:p w14:paraId="6DC05745">
      <w:pPr>
        <w:spacing w:line="360" w:lineRule="auto"/>
        <w:ind w:right="828" w:firstLine="1041" w:firstLineChars="496"/>
        <w:rPr>
          <w:rFonts w:ascii="仿宋_GB2312" w:eastAsia="仿宋_GB2312"/>
        </w:rPr>
      </w:pPr>
      <w:r>
        <w:rPr>
          <w:rFonts w:hint="eastAsia" w:ascii="仿宋_GB2312" w:eastAsia="仿宋_GB2312"/>
        </w:rPr>
        <w:t>（盖章）                                    （盖章）</w:t>
      </w:r>
    </w:p>
    <w:p w14:paraId="2BBED7EE">
      <w:pPr>
        <w:spacing w:line="360" w:lineRule="auto"/>
        <w:ind w:right="828" w:firstLine="1041" w:firstLineChars="496"/>
        <w:rPr>
          <w:rFonts w:ascii="仿宋_GB2312" w:eastAsia="仿宋_GB2312"/>
        </w:rPr>
      </w:pPr>
    </w:p>
    <w:p w14:paraId="173041E4">
      <w:pPr>
        <w:tabs>
          <w:tab w:val="left" w:pos="5180"/>
        </w:tabs>
        <w:spacing w:line="360" w:lineRule="auto"/>
        <w:rPr>
          <w:rFonts w:ascii="仿宋_GB2312" w:eastAsia="仿宋_GB2312"/>
        </w:rPr>
      </w:pPr>
      <w:r>
        <w:rPr>
          <w:rFonts w:hint="eastAsia" w:ascii="仿宋_GB2312" w:eastAsia="仿宋_GB2312"/>
        </w:rPr>
        <w:t>法定代表人或授权代表：（签字）             法定代表人或授权代表：（签字）</w:t>
      </w:r>
    </w:p>
    <w:p w14:paraId="37E7F248">
      <w:pPr>
        <w:spacing w:line="360" w:lineRule="auto"/>
        <w:rPr>
          <w:rFonts w:ascii="仿宋_GB2312" w:eastAsia="仿宋_GB2312"/>
        </w:rPr>
      </w:pPr>
    </w:p>
    <w:p w14:paraId="3AC2C684">
      <w:pPr>
        <w:spacing w:line="360" w:lineRule="auto"/>
        <w:ind w:firstLine="630" w:firstLineChars="300"/>
        <w:rPr>
          <w:rFonts w:ascii="仿宋_GB2312" w:eastAsia="仿宋_GB2312"/>
        </w:rPr>
      </w:pPr>
      <w:r>
        <w:rPr>
          <w:rFonts w:hint="eastAsia" w:ascii="仿宋_GB2312" w:eastAsia="仿宋_GB2312"/>
        </w:rPr>
        <w:t>年    月    日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等线">
    <w:altName w:val="宋体"/>
    <w:panose1 w:val="02010600030101010101"/>
    <w:charset w:val="86"/>
    <w:family w:val="auto"/>
    <w:pitch w:val="default"/>
    <w:sig w:usb0="00000000" w:usb1="00000000" w:usb2="00000016" w:usb3="00000000" w:csb0="0004000F" w:csb1="00000000"/>
  </w:font>
  <w:font w:name="等线">
    <w:altName w:val="仿宋_GB2312"/>
    <w:panose1 w:val="00000000000000000000"/>
    <w:charset w:val="86"/>
    <w:family w:val="auto"/>
    <w:pitch w:val="default"/>
    <w:sig w:usb0="00000000" w:usb1="00000000" w:usb2="00000000" w:usb3="00000000" w:csb0="00000000" w:csb1="00000000"/>
  </w:font>
  <w:font w:name="等线">
    <w:altName w:val="仿宋_GB2312"/>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汉仪中宋简">
    <w:panose1 w:val="02010609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576897"/>
      <w:docPartObj>
        <w:docPartGallery w:val="autotext"/>
      </w:docPartObj>
    </w:sdtPr>
    <w:sdtContent>
      <w:p w14:paraId="008D842B">
        <w:pPr>
          <w:pStyle w:val="8"/>
          <w:jc w:val="center"/>
        </w:pPr>
        <w:r>
          <w:fldChar w:fldCharType="begin"/>
        </w:r>
        <w:r>
          <w:instrText xml:space="preserve">PAGE   \* MERGEFORMAT</w:instrText>
        </w:r>
        <w:r>
          <w:fldChar w:fldCharType="separate"/>
        </w:r>
        <w:r>
          <w:rPr>
            <w:lang w:val="zh-CN"/>
          </w:rPr>
          <w:t>8</w:t>
        </w:r>
        <w:r>
          <w:fldChar w:fldCharType="end"/>
        </w:r>
      </w:p>
    </w:sdtContent>
  </w:sdt>
  <w:p w14:paraId="37C95170">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D07"/>
    <w:rsid w:val="00040E29"/>
    <w:rsid w:val="000D38D8"/>
    <w:rsid w:val="00151CE8"/>
    <w:rsid w:val="001E23DB"/>
    <w:rsid w:val="00291AE2"/>
    <w:rsid w:val="002C3505"/>
    <w:rsid w:val="002E2FF4"/>
    <w:rsid w:val="00305B7D"/>
    <w:rsid w:val="00320522"/>
    <w:rsid w:val="003701F2"/>
    <w:rsid w:val="003A5F00"/>
    <w:rsid w:val="003D2C95"/>
    <w:rsid w:val="003F2D07"/>
    <w:rsid w:val="0045446B"/>
    <w:rsid w:val="00520679"/>
    <w:rsid w:val="00574C10"/>
    <w:rsid w:val="00576121"/>
    <w:rsid w:val="005A5BE3"/>
    <w:rsid w:val="006070F5"/>
    <w:rsid w:val="00634F47"/>
    <w:rsid w:val="0066181A"/>
    <w:rsid w:val="006A6817"/>
    <w:rsid w:val="00782DF5"/>
    <w:rsid w:val="00790DA0"/>
    <w:rsid w:val="0079363D"/>
    <w:rsid w:val="007C0CF3"/>
    <w:rsid w:val="00826C03"/>
    <w:rsid w:val="00835194"/>
    <w:rsid w:val="008F5A4F"/>
    <w:rsid w:val="00944D0C"/>
    <w:rsid w:val="0095732F"/>
    <w:rsid w:val="00A45AE9"/>
    <w:rsid w:val="00AF6427"/>
    <w:rsid w:val="00B21A00"/>
    <w:rsid w:val="00B84BE2"/>
    <w:rsid w:val="00BE0B39"/>
    <w:rsid w:val="00C46DBE"/>
    <w:rsid w:val="00CB2409"/>
    <w:rsid w:val="00CF365E"/>
    <w:rsid w:val="00E11BCF"/>
    <w:rsid w:val="00E22F4A"/>
    <w:rsid w:val="00E95A77"/>
    <w:rsid w:val="00F30380"/>
    <w:rsid w:val="0DA838CD"/>
    <w:rsid w:val="17963036"/>
    <w:rsid w:val="1C1C249F"/>
    <w:rsid w:val="24FC17FA"/>
    <w:rsid w:val="3E925CCD"/>
    <w:rsid w:val="42D01B60"/>
    <w:rsid w:val="44F851A8"/>
    <w:rsid w:val="501D0E28"/>
    <w:rsid w:val="58D927CC"/>
    <w:rsid w:val="5EAEDFDE"/>
    <w:rsid w:val="63B85556"/>
    <w:rsid w:val="6AEE17FB"/>
    <w:rsid w:val="79DE3B44"/>
    <w:rsid w:val="7DBA1259"/>
    <w:rsid w:val="7F6B1FC7"/>
    <w:rsid w:val="DBFCB310"/>
    <w:rsid w:val="EF93A767"/>
    <w:rsid w:val="FBFFC9DB"/>
    <w:rsid w:val="FFAFF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19"/>
    <w:qFormat/>
    <w:uiPriority w:val="0"/>
    <w:pPr>
      <w:keepNext/>
      <w:keepLines/>
      <w:adjustRightInd w:val="0"/>
      <w:spacing w:before="340" w:after="330" w:line="578" w:lineRule="atLeast"/>
      <w:jc w:val="left"/>
      <w:textAlignment w:val="baseline"/>
      <w:outlineLvl w:val="0"/>
    </w:pPr>
    <w:rPr>
      <w:b/>
      <w:bCs/>
      <w:kern w:val="44"/>
      <w:sz w:val="44"/>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pPr>
  </w:style>
  <w:style w:type="paragraph" w:styleId="4">
    <w:name w:val="annotation text"/>
    <w:basedOn w:val="1"/>
    <w:link w:val="16"/>
    <w:semiHidden/>
    <w:unhideWhenUsed/>
    <w:qFormat/>
    <w:uiPriority w:val="0"/>
    <w:pPr>
      <w:jc w:val="left"/>
    </w:pPr>
  </w:style>
  <w:style w:type="paragraph" w:styleId="5">
    <w:name w:val="Body Text"/>
    <w:basedOn w:val="1"/>
    <w:link w:val="20"/>
    <w:unhideWhenUsed/>
    <w:qFormat/>
    <w:uiPriority w:val="0"/>
    <w:pPr>
      <w:spacing w:after="120"/>
    </w:pPr>
    <w:rPr>
      <w:rFonts w:ascii="Calibri" w:hAnsi="Calibri"/>
      <w:szCs w:val="22"/>
    </w:rPr>
  </w:style>
  <w:style w:type="paragraph" w:styleId="6">
    <w:name w:val="Plain Text"/>
    <w:basedOn w:val="1"/>
    <w:qFormat/>
    <w:uiPriority w:val="0"/>
    <w:rPr>
      <w:rFonts w:ascii="宋体" w:hAnsi="Courier New"/>
    </w:rPr>
  </w:style>
  <w:style w:type="paragraph" w:styleId="7">
    <w:name w:val="Balloon Text"/>
    <w:basedOn w:val="1"/>
    <w:link w:val="17"/>
    <w:semiHidden/>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annotation reference"/>
    <w:semiHidden/>
    <w:unhideWhenUsed/>
    <w:qFormat/>
    <w:uiPriority w:val="0"/>
    <w:rPr>
      <w:sz w:val="21"/>
      <w:szCs w:val="21"/>
    </w:rPr>
  </w:style>
  <w:style w:type="character" w:customStyle="1" w:styleId="13">
    <w:name w:val="批注文字 字符"/>
    <w:basedOn w:val="11"/>
    <w:semiHidden/>
    <w:qFormat/>
    <w:uiPriority w:val="99"/>
    <w:rPr>
      <w:rFonts w:ascii="Times New Roman" w:hAnsi="Times New Roman" w:eastAsia="宋体" w:cs="Times New Roman"/>
      <w:szCs w:val="20"/>
    </w:rPr>
  </w:style>
  <w:style w:type="character" w:customStyle="1" w:styleId="14">
    <w:name w:val="纯文本 Char"/>
    <w:link w:val="15"/>
    <w:qFormat/>
    <w:locked/>
    <w:uiPriority w:val="0"/>
    <w:rPr>
      <w:rFonts w:ascii="宋体" w:hAnsi="Courier New" w:eastAsia="宋体"/>
      <w:szCs w:val="21"/>
    </w:rPr>
  </w:style>
  <w:style w:type="paragraph" w:customStyle="1" w:styleId="15">
    <w:name w:val="纯文本1"/>
    <w:basedOn w:val="1"/>
    <w:link w:val="14"/>
    <w:qFormat/>
    <w:uiPriority w:val="0"/>
    <w:rPr>
      <w:rFonts w:ascii="宋体" w:hAnsi="Courier New" w:cstheme="minorBidi"/>
      <w:szCs w:val="21"/>
    </w:rPr>
  </w:style>
  <w:style w:type="character" w:customStyle="1" w:styleId="16">
    <w:name w:val="批注文字 字符1"/>
    <w:link w:val="4"/>
    <w:semiHidden/>
    <w:qFormat/>
    <w:locked/>
    <w:uiPriority w:val="0"/>
    <w:rPr>
      <w:rFonts w:ascii="Times New Roman" w:hAnsi="Times New Roman" w:eastAsia="宋体" w:cs="Times New Roman"/>
      <w:szCs w:val="20"/>
    </w:rPr>
  </w:style>
  <w:style w:type="character" w:customStyle="1" w:styleId="17">
    <w:name w:val="批注框文本 字符"/>
    <w:basedOn w:val="11"/>
    <w:link w:val="7"/>
    <w:semiHidden/>
    <w:qFormat/>
    <w:uiPriority w:val="99"/>
    <w:rPr>
      <w:rFonts w:ascii="Times New Roman" w:hAnsi="Times New Roman" w:eastAsia="宋体" w:cs="Times New Roman"/>
      <w:sz w:val="18"/>
      <w:szCs w:val="18"/>
    </w:rPr>
  </w:style>
  <w:style w:type="character" w:customStyle="1" w:styleId="18">
    <w:name w:val="标题 1 字符"/>
    <w:basedOn w:val="11"/>
    <w:qFormat/>
    <w:uiPriority w:val="9"/>
    <w:rPr>
      <w:rFonts w:ascii="Times New Roman" w:hAnsi="Times New Roman" w:eastAsia="宋体" w:cs="Times New Roman"/>
      <w:b/>
      <w:bCs/>
      <w:kern w:val="44"/>
      <w:sz w:val="44"/>
      <w:szCs w:val="44"/>
    </w:rPr>
  </w:style>
  <w:style w:type="character" w:customStyle="1" w:styleId="19">
    <w:name w:val="标题 1 字符1"/>
    <w:link w:val="2"/>
    <w:qFormat/>
    <w:uiPriority w:val="0"/>
    <w:rPr>
      <w:rFonts w:ascii="Times New Roman" w:hAnsi="Times New Roman" w:eastAsia="宋体" w:cs="Times New Roman"/>
      <w:b/>
      <w:bCs/>
      <w:kern w:val="44"/>
      <w:sz w:val="44"/>
      <w:szCs w:val="44"/>
    </w:rPr>
  </w:style>
  <w:style w:type="character" w:customStyle="1" w:styleId="20">
    <w:name w:val="正文文本 字符"/>
    <w:basedOn w:val="11"/>
    <w:link w:val="5"/>
    <w:qFormat/>
    <w:uiPriority w:val="0"/>
    <w:rPr>
      <w:rFonts w:ascii="Calibri" w:hAnsi="Calibri" w:eastAsia="宋体" w:cs="Times New Roman"/>
    </w:rPr>
  </w:style>
  <w:style w:type="character" w:customStyle="1" w:styleId="21">
    <w:name w:val="纯文本 字符"/>
    <w:basedOn w:val="11"/>
    <w:semiHidden/>
    <w:qFormat/>
    <w:uiPriority w:val="99"/>
    <w:rPr>
      <w:rFonts w:hAnsi="Courier New" w:cs="Courier New" w:asciiTheme="minorEastAsia"/>
      <w:szCs w:val="20"/>
    </w:rPr>
  </w:style>
  <w:style w:type="character" w:customStyle="1" w:styleId="22">
    <w:name w:val="页眉 字符"/>
    <w:basedOn w:val="11"/>
    <w:link w:val="9"/>
    <w:qFormat/>
    <w:uiPriority w:val="99"/>
    <w:rPr>
      <w:rFonts w:ascii="Times New Roman" w:hAnsi="Times New Roman" w:eastAsia="宋体" w:cs="Times New Roman"/>
      <w:sz w:val="18"/>
      <w:szCs w:val="18"/>
    </w:rPr>
  </w:style>
  <w:style w:type="character" w:customStyle="1" w:styleId="23">
    <w:name w:val="页脚 字符"/>
    <w:basedOn w:val="11"/>
    <w:link w:val="8"/>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4751</Words>
  <Characters>5042</Characters>
  <Lines>33</Lines>
  <Paragraphs>9</Paragraphs>
  <TotalTime>1</TotalTime>
  <ScaleCrop>false</ScaleCrop>
  <LinksUpToDate>false</LinksUpToDate>
  <CharactersWithSpaces>5301</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2023-05-24T18:21:00Z</dcterms:created>
  <dc:creator>李享</dc:creator>
  <cp:lastModifiedBy>picc</cp:lastModifiedBy>
  <cp:lastPrinted>2024-04-12T18:18:00Z</cp:lastPrinted>
  <dcterms:modified xsi:type="dcterms:W3CDTF">2026-03-13T13:59:43Z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226DA0CEDABAAE666186A669C35AE47D_43</vt:lpwstr>
  </property>
</Properties>
</file>