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4BB5F">
      <w:pPr>
        <w:spacing w:line="360" w:lineRule="auto"/>
        <w:jc w:val="center"/>
        <w:rPr>
          <w:rFonts w:hint="eastAsia" w:ascii="华文中宋" w:hAnsi="华文中宋" w:eastAsia="华文中宋" w:cs="华文中宋"/>
          <w:b/>
          <w:bCs/>
          <w:sz w:val="44"/>
          <w:szCs w:val="44"/>
          <w:highlight w:val="none"/>
          <w:lang w:val="en-US" w:eastAsia="zh-CN"/>
        </w:rPr>
      </w:pPr>
      <w:r>
        <w:rPr>
          <w:rFonts w:hint="eastAsia" w:ascii="华文中宋" w:hAnsi="华文中宋" w:eastAsia="华文中宋" w:cs="华文中宋"/>
          <w:b/>
          <w:bCs/>
          <w:sz w:val="44"/>
          <w:szCs w:val="44"/>
          <w:highlight w:val="none"/>
          <w:lang w:val="en-US" w:eastAsia="zh-CN"/>
        </w:rPr>
        <w:t>人保投控（北京）运营管理有限公司安徽分公司新业态零食饮料自助售卖供应商采购项目比价公告</w:t>
      </w:r>
    </w:p>
    <w:p w14:paraId="3BEE23E6">
      <w:pPr>
        <w:rPr>
          <w:rFonts w:hint="eastAsia" w:ascii="黑体" w:hAnsi="黑体" w:eastAsia="黑体" w:cs="黑体"/>
          <w:b w:val="0"/>
          <w:bCs/>
          <w:sz w:val="44"/>
          <w:szCs w:val="44"/>
          <w:highlight w:val="none"/>
        </w:rPr>
      </w:pPr>
    </w:p>
    <w:p w14:paraId="35A8E76E">
      <w:pPr>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一、项目基本情况</w:t>
      </w:r>
    </w:p>
    <w:p w14:paraId="5DF990F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项目编号</w:t>
      </w:r>
      <w:r>
        <w:rPr>
          <w:rFonts w:hint="eastAsia" w:ascii="宋体" w:hAnsi="宋体" w:eastAsia="宋体" w:cs="宋体"/>
          <w:b/>
          <w:color w:val="auto"/>
          <w:sz w:val="28"/>
          <w:szCs w:val="28"/>
          <w:highlight w:val="none"/>
          <w:lang w:val="en-US" w:eastAsia="zh-CN"/>
        </w:rPr>
        <w:t>AH2026004E</w:t>
      </w:r>
    </w:p>
    <w:p w14:paraId="3BB399D4">
      <w:pPr>
        <w:widowControl/>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b w:val="0"/>
          <w:bCs/>
          <w:sz w:val="28"/>
          <w:szCs w:val="28"/>
          <w:highlight w:val="none"/>
        </w:rPr>
        <w:t>项目名称：</w:t>
      </w:r>
      <w:r>
        <w:rPr>
          <w:rFonts w:hint="eastAsia" w:ascii="仿宋_GB2312" w:hAnsi="仿宋_GB2312" w:eastAsia="仿宋_GB2312" w:cs="仿宋_GB2312"/>
          <w:sz w:val="32"/>
          <w:szCs w:val="32"/>
          <w:lang w:val="en-US" w:eastAsia="zh-CN"/>
        </w:rPr>
        <w:t>安徽</w:t>
      </w:r>
      <w:r>
        <w:rPr>
          <w:rFonts w:hint="eastAsia" w:ascii="仿宋_GB2312" w:hAnsi="仿宋_GB2312" w:eastAsia="仿宋_GB2312" w:cs="仿宋_GB2312"/>
          <w:sz w:val="32"/>
          <w:szCs w:val="32"/>
        </w:rPr>
        <w:t>分公司</w:t>
      </w:r>
      <w:r>
        <w:rPr>
          <w:rFonts w:hint="eastAsia" w:ascii="仿宋_GB2312" w:hAnsi="仿宋_GB2312" w:eastAsia="仿宋_GB2312" w:cs="仿宋_GB2312"/>
          <w:sz w:val="32"/>
          <w:szCs w:val="32"/>
          <w:highlight w:val="none"/>
          <w:lang w:val="en-US" w:eastAsia="zh-CN"/>
        </w:rPr>
        <w:t>新业态零食饮料自助售卖供应商</w:t>
      </w:r>
      <w:r>
        <w:rPr>
          <w:rFonts w:hint="eastAsia" w:ascii="仿宋_GB2312" w:hAnsi="仿宋_GB2312" w:eastAsia="仿宋_GB2312" w:cs="仿宋_GB2312"/>
          <w:sz w:val="32"/>
          <w:szCs w:val="32"/>
        </w:rPr>
        <w:t>采购项目</w:t>
      </w:r>
    </w:p>
    <w:p w14:paraId="11D30D0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采购方式：</w:t>
      </w:r>
      <w:r>
        <w:rPr>
          <w:rFonts w:hint="eastAsia" w:ascii="仿宋" w:hAnsi="仿宋" w:eastAsia="仿宋" w:cs="仿宋"/>
          <w:b w:val="0"/>
          <w:bCs/>
          <w:sz w:val="28"/>
          <w:szCs w:val="28"/>
          <w:highlight w:val="none"/>
          <w:lang w:val="en-US" w:eastAsia="zh-CN"/>
        </w:rPr>
        <w:t>比价</w:t>
      </w:r>
    </w:p>
    <w:p w14:paraId="5FB5B69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项目预算：</w:t>
      </w:r>
      <w:r>
        <w:rPr>
          <w:rFonts w:hint="eastAsia" w:ascii="仿宋" w:hAnsi="仿宋" w:eastAsia="仿宋" w:cs="仿宋"/>
          <w:sz w:val="28"/>
          <w:szCs w:val="28"/>
          <w:highlight w:val="none"/>
          <w:lang w:val="en-US" w:eastAsia="zh-CN"/>
        </w:rPr>
        <w:t>474644.00元（含税）</w:t>
      </w:r>
    </w:p>
    <w:p w14:paraId="5E74536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val="0"/>
          <w:bCs/>
          <w:sz w:val="28"/>
          <w:szCs w:val="28"/>
          <w:highlight w:val="none"/>
        </w:rPr>
        <w:t>最高限价：</w:t>
      </w:r>
      <w:r>
        <w:rPr>
          <w:rFonts w:hint="eastAsia" w:ascii="仿宋" w:hAnsi="仿宋" w:eastAsia="仿宋" w:cs="仿宋"/>
          <w:sz w:val="28"/>
          <w:szCs w:val="28"/>
          <w:highlight w:val="none"/>
          <w:lang w:val="en-US" w:eastAsia="zh-CN"/>
        </w:rPr>
        <w:t>474644.00元（含税）（总价上限包含137个品种市场平均价格，每个品种900份）</w:t>
      </w:r>
    </w:p>
    <w:p w14:paraId="65A6008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 w:val="0"/>
          <w:bCs/>
          <w:sz w:val="28"/>
          <w:szCs w:val="28"/>
          <w:highlight w:val="none"/>
        </w:rPr>
        <w:t>采购需求：</w:t>
      </w:r>
      <w:r>
        <w:rPr>
          <w:rFonts w:hint="eastAsia" w:ascii="仿宋" w:hAnsi="仿宋" w:eastAsia="仿宋" w:cs="仿宋"/>
          <w:sz w:val="28"/>
          <w:szCs w:val="28"/>
          <w:highlight w:val="none"/>
          <w:lang w:val="en-US" w:eastAsia="zh-CN"/>
        </w:rPr>
        <w:t>为更优质地服务我司核心主业，结合总部新业态工作相关部署，推动分公司业务多元化可持续发展，我司积极布局并推进新业态相关工作，</w:t>
      </w:r>
      <w:r>
        <w:rPr>
          <w:rFonts w:hint="eastAsia" w:ascii="仿宋" w:hAnsi="仿宋" w:eastAsia="仿宋" w:cs="仿宋"/>
          <w:sz w:val="28"/>
          <w:szCs w:val="28"/>
          <w:highlight w:val="none"/>
        </w:rPr>
        <w:t>本项目为人保投控（北京）运营管理有限公司</w:t>
      </w:r>
      <w:r>
        <w:rPr>
          <w:rFonts w:hint="eastAsia" w:ascii="仿宋" w:hAnsi="仿宋" w:eastAsia="仿宋" w:cs="仿宋"/>
          <w:sz w:val="28"/>
          <w:szCs w:val="28"/>
          <w:highlight w:val="none"/>
          <w:lang w:val="en-US" w:eastAsia="zh-CN"/>
        </w:rPr>
        <w:t>安徽</w:t>
      </w:r>
      <w:r>
        <w:rPr>
          <w:rFonts w:hint="eastAsia" w:ascii="仿宋" w:hAnsi="仿宋" w:eastAsia="仿宋" w:cs="仿宋"/>
          <w:sz w:val="28"/>
          <w:szCs w:val="28"/>
          <w:highlight w:val="none"/>
        </w:rPr>
        <w:t>分公司</w:t>
      </w:r>
      <w:r>
        <w:rPr>
          <w:rFonts w:hint="eastAsia" w:ascii="仿宋" w:hAnsi="仿宋" w:eastAsia="仿宋" w:cs="仿宋"/>
          <w:sz w:val="28"/>
          <w:szCs w:val="28"/>
          <w:highlight w:val="none"/>
          <w:lang w:val="en-US" w:eastAsia="zh-CN"/>
        </w:rPr>
        <w:t>新业态零食饮料自助售卖</w:t>
      </w:r>
      <w:r>
        <w:rPr>
          <w:rFonts w:hint="eastAsia" w:ascii="仿宋" w:hAnsi="仿宋" w:eastAsia="仿宋" w:cs="仿宋"/>
          <w:sz w:val="28"/>
          <w:szCs w:val="28"/>
          <w:highlight w:val="none"/>
        </w:rPr>
        <w:t>项目</w:t>
      </w:r>
    </w:p>
    <w:p w14:paraId="367BC9F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rPr>
        <w:t>合同履行期限：</w:t>
      </w:r>
      <w:r>
        <w:rPr>
          <w:rFonts w:hint="eastAsia" w:ascii="仿宋" w:hAnsi="仿宋" w:eastAsia="仿宋" w:cs="仿宋"/>
          <w:b w:val="0"/>
          <w:bCs/>
          <w:sz w:val="28"/>
          <w:szCs w:val="28"/>
          <w:highlight w:val="none"/>
          <w:lang w:val="en-US" w:eastAsia="zh-CN"/>
        </w:rPr>
        <w:t>签订合同起三年</w:t>
      </w:r>
    </w:p>
    <w:p w14:paraId="567E158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本项目不接受联合体</w:t>
      </w:r>
      <w:r>
        <w:rPr>
          <w:rFonts w:hint="eastAsia" w:ascii="仿宋" w:hAnsi="仿宋" w:eastAsia="仿宋" w:cs="仿宋"/>
          <w:b w:val="0"/>
          <w:bCs/>
          <w:sz w:val="28"/>
          <w:szCs w:val="28"/>
          <w:highlight w:val="none"/>
          <w:lang w:eastAsia="zh-CN"/>
        </w:rPr>
        <w:t>，</w:t>
      </w:r>
      <w:r>
        <w:rPr>
          <w:rFonts w:hint="eastAsia" w:ascii="仿宋" w:hAnsi="仿宋" w:eastAsia="仿宋" w:cs="仿宋"/>
          <w:b w:val="0"/>
          <w:bCs/>
          <w:sz w:val="28"/>
          <w:szCs w:val="28"/>
          <w:highlight w:val="none"/>
          <w:lang w:val="en-US" w:eastAsia="zh-CN"/>
        </w:rPr>
        <w:t>不允许分包、转包</w:t>
      </w:r>
      <w:r>
        <w:rPr>
          <w:rFonts w:hint="eastAsia" w:ascii="仿宋" w:hAnsi="仿宋" w:eastAsia="仿宋" w:cs="仿宋"/>
          <w:b w:val="0"/>
          <w:bCs/>
          <w:sz w:val="28"/>
          <w:szCs w:val="28"/>
          <w:highlight w:val="none"/>
        </w:rPr>
        <w:t>。</w:t>
      </w:r>
    </w:p>
    <w:p w14:paraId="682F1F07">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二、供应商资</w:t>
      </w:r>
      <w:r>
        <w:rPr>
          <w:rFonts w:hint="eastAsia" w:ascii="黑体" w:hAnsi="黑体" w:eastAsia="黑体" w:cs="黑体"/>
          <w:b w:val="0"/>
          <w:bCs/>
          <w:sz w:val="32"/>
          <w:szCs w:val="32"/>
          <w:highlight w:val="none"/>
          <w:lang w:val="en-US" w:eastAsia="zh-CN"/>
        </w:rPr>
        <w:t>质</w:t>
      </w:r>
      <w:r>
        <w:rPr>
          <w:rFonts w:hint="eastAsia" w:ascii="黑体" w:hAnsi="黑体" w:eastAsia="黑体" w:cs="黑体"/>
          <w:b w:val="0"/>
          <w:bCs/>
          <w:sz w:val="32"/>
          <w:szCs w:val="32"/>
          <w:highlight w:val="none"/>
        </w:rPr>
        <w:t>要求</w:t>
      </w:r>
    </w:p>
    <w:p w14:paraId="150612F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1.资格要求：在中华人民共和国境内依法登记的法人，合法运作并独立于采购人，需提供有效的营业执照；</w:t>
      </w:r>
    </w:p>
    <w:p w14:paraId="4BDA5C6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2</w:t>
      </w:r>
      <w:r>
        <w:rPr>
          <w:rFonts w:hint="eastAsia" w:ascii="仿宋" w:hAnsi="仿宋" w:eastAsia="仿宋" w:cs="仿宋"/>
          <w:b w:val="0"/>
          <w:bCs/>
          <w:sz w:val="28"/>
          <w:szCs w:val="28"/>
          <w:highlight w:val="none"/>
          <w:lang w:val="en-US" w:eastAsia="zh-CN"/>
        </w:rPr>
        <w:t>.</w:t>
      </w:r>
      <w:r>
        <w:rPr>
          <w:rFonts w:hint="eastAsia" w:ascii="仿宋" w:hAnsi="仿宋" w:eastAsia="仿宋" w:cs="仿宋"/>
          <w:b w:val="0"/>
          <w:bCs/>
          <w:sz w:val="28"/>
          <w:szCs w:val="28"/>
          <w:highlight w:val="none"/>
        </w:rPr>
        <w:t>具有良好的商业信誉和健全的财务会计制度，需提供</w:t>
      </w:r>
      <w:r>
        <w:rPr>
          <w:rFonts w:hint="eastAsia" w:ascii="仿宋" w:hAnsi="仿宋" w:eastAsia="仿宋" w:cs="仿宋"/>
          <w:b w:val="0"/>
          <w:bCs/>
          <w:sz w:val="28"/>
          <w:szCs w:val="28"/>
          <w:highlight w:val="none"/>
          <w:lang w:val="en-US" w:eastAsia="zh-CN"/>
        </w:rPr>
        <w:t>2024或</w:t>
      </w:r>
      <w:r>
        <w:rPr>
          <w:rFonts w:hint="eastAsia" w:ascii="仿宋" w:hAnsi="仿宋" w:eastAsia="仿宋" w:cs="仿宋"/>
          <w:b w:val="0"/>
          <w:bCs/>
          <w:sz w:val="28"/>
          <w:szCs w:val="28"/>
          <w:highlight w:val="none"/>
        </w:rPr>
        <w:t>202</w:t>
      </w:r>
      <w:r>
        <w:rPr>
          <w:rFonts w:hint="eastAsia" w:ascii="仿宋" w:hAnsi="仿宋" w:eastAsia="仿宋" w:cs="仿宋"/>
          <w:b w:val="0"/>
          <w:bCs/>
          <w:sz w:val="28"/>
          <w:szCs w:val="28"/>
          <w:highlight w:val="none"/>
          <w:lang w:val="en-US" w:eastAsia="zh-CN"/>
        </w:rPr>
        <w:t>5</w:t>
      </w:r>
      <w:r>
        <w:rPr>
          <w:rFonts w:hint="eastAsia" w:ascii="仿宋" w:hAnsi="仿宋" w:eastAsia="仿宋" w:cs="仿宋"/>
          <w:b w:val="0"/>
          <w:bCs/>
          <w:sz w:val="28"/>
          <w:szCs w:val="28"/>
          <w:highlight w:val="none"/>
        </w:rPr>
        <w:t>年度财务报表或响应文件递交截止时间前3个月内开具的银行资信证明；</w:t>
      </w:r>
    </w:p>
    <w:p w14:paraId="04B8E6B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3</w:t>
      </w:r>
      <w:r>
        <w:rPr>
          <w:rFonts w:hint="eastAsia" w:ascii="仿宋" w:hAnsi="仿宋" w:eastAsia="仿宋" w:cs="仿宋"/>
          <w:b w:val="0"/>
          <w:bCs/>
          <w:sz w:val="28"/>
          <w:szCs w:val="28"/>
          <w:highlight w:val="none"/>
          <w:lang w:val="en-US" w:eastAsia="zh-CN"/>
        </w:rPr>
        <w:t>.</w:t>
      </w:r>
      <w:r>
        <w:rPr>
          <w:rFonts w:hint="eastAsia" w:ascii="仿宋" w:hAnsi="仿宋" w:eastAsia="仿宋" w:cs="仿宋"/>
          <w:b w:val="0"/>
          <w:bCs/>
          <w:sz w:val="28"/>
          <w:szCs w:val="28"/>
          <w:highlight w:val="none"/>
        </w:rPr>
        <w:t>具有依法缴纳税收</w:t>
      </w:r>
      <w:r>
        <w:rPr>
          <w:rFonts w:hint="eastAsia" w:ascii="仿宋" w:hAnsi="仿宋" w:eastAsia="仿宋" w:cs="仿宋"/>
          <w:b w:val="0"/>
          <w:bCs/>
          <w:sz w:val="28"/>
          <w:szCs w:val="28"/>
          <w:highlight w:val="none"/>
          <w:lang w:val="en-US" w:eastAsia="zh-CN"/>
        </w:rPr>
        <w:t>的</w:t>
      </w:r>
      <w:r>
        <w:rPr>
          <w:rFonts w:hint="eastAsia" w:ascii="仿宋" w:hAnsi="仿宋" w:eastAsia="仿宋" w:cs="仿宋"/>
          <w:b w:val="0"/>
          <w:bCs/>
          <w:sz w:val="28"/>
          <w:szCs w:val="28"/>
          <w:highlight w:val="none"/>
        </w:rPr>
        <w:t>良好记录，提供近六个月任意一个月的企业税收缴纳凭证；</w:t>
      </w:r>
    </w:p>
    <w:p w14:paraId="12B8584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4.</w:t>
      </w:r>
      <w:r>
        <w:rPr>
          <w:rFonts w:hint="eastAsia" w:ascii="仿宋" w:hAnsi="仿宋" w:eastAsia="仿宋" w:cs="仿宋"/>
          <w:b w:val="0"/>
          <w:bCs/>
          <w:sz w:val="28"/>
          <w:szCs w:val="28"/>
          <w:highlight w:val="none"/>
        </w:rPr>
        <w:t>供应商应经营状况良好，且近三年内（2</w:t>
      </w:r>
      <w:r>
        <w:rPr>
          <w:rFonts w:hint="eastAsia" w:ascii="仿宋" w:hAnsi="仿宋" w:eastAsia="仿宋" w:cs="仿宋"/>
          <w:b w:val="0"/>
          <w:bCs/>
          <w:sz w:val="28"/>
          <w:szCs w:val="28"/>
          <w:highlight w:val="none"/>
          <w:lang w:val="en-US" w:eastAsia="zh-CN"/>
        </w:rPr>
        <w:t>023</w:t>
      </w:r>
      <w:r>
        <w:rPr>
          <w:rFonts w:hint="eastAsia" w:ascii="仿宋" w:hAnsi="仿宋" w:eastAsia="仿宋" w:cs="仿宋"/>
          <w:b w:val="0"/>
          <w:bCs/>
          <w:sz w:val="28"/>
          <w:szCs w:val="28"/>
          <w:highlight w:val="none"/>
        </w:rPr>
        <w:t>年1月1日至今）无违法违规记录。违法违规记录是指被“信用中国”列入失信被执行人、重大税收违法案件当事人名单、政府采购严重违法失信行为记录名单。供应商需提供谈判截止时间前15个工作日内对以上三项内容的查询截图并加盖公章。信用中国查询网址：</w:t>
      </w:r>
      <w:r>
        <w:rPr>
          <w:rFonts w:hint="eastAsia" w:ascii="仿宋" w:hAnsi="仿宋" w:eastAsia="仿宋" w:cs="仿宋"/>
          <w:b w:val="0"/>
          <w:bCs/>
          <w:sz w:val="28"/>
          <w:szCs w:val="28"/>
          <w:highlight w:val="none"/>
        </w:rPr>
        <w:fldChar w:fldCharType="begin"/>
      </w:r>
      <w:r>
        <w:rPr>
          <w:rFonts w:hint="eastAsia" w:ascii="仿宋" w:hAnsi="仿宋" w:eastAsia="仿宋" w:cs="仿宋"/>
          <w:b w:val="0"/>
          <w:bCs/>
          <w:sz w:val="28"/>
          <w:szCs w:val="28"/>
          <w:highlight w:val="none"/>
        </w:rPr>
        <w:instrText xml:space="preserve"> HYPERLINK "https://www.creditchina.gov.cn/xinyongfuwu/?navPage=5" </w:instrText>
      </w:r>
      <w:r>
        <w:rPr>
          <w:rFonts w:hint="eastAsia" w:ascii="仿宋" w:hAnsi="仿宋" w:eastAsia="仿宋" w:cs="仿宋"/>
          <w:b w:val="0"/>
          <w:bCs/>
          <w:sz w:val="28"/>
          <w:szCs w:val="28"/>
          <w:highlight w:val="none"/>
        </w:rPr>
        <w:fldChar w:fldCharType="separate"/>
      </w:r>
      <w:r>
        <w:rPr>
          <w:rFonts w:hint="eastAsia" w:ascii="仿宋" w:hAnsi="仿宋" w:eastAsia="仿宋" w:cs="仿宋"/>
          <w:b w:val="0"/>
          <w:bCs/>
          <w:sz w:val="28"/>
          <w:szCs w:val="28"/>
          <w:highlight w:val="none"/>
        </w:rPr>
        <w:t>https://www.creditchina.gov.cn/xinyongfuwu/?navPage=5</w:t>
      </w:r>
      <w:r>
        <w:rPr>
          <w:rFonts w:hint="eastAsia" w:ascii="仿宋" w:hAnsi="仿宋" w:eastAsia="仿宋" w:cs="仿宋"/>
          <w:b w:val="0"/>
          <w:bCs/>
          <w:sz w:val="28"/>
          <w:szCs w:val="28"/>
          <w:highlight w:val="none"/>
        </w:rPr>
        <w:fldChar w:fldCharType="end"/>
      </w:r>
      <w:r>
        <w:rPr>
          <w:rFonts w:hint="eastAsia" w:ascii="仿宋" w:hAnsi="仿宋" w:eastAsia="仿宋" w:cs="仿宋"/>
          <w:b w:val="0"/>
          <w:bCs/>
          <w:sz w:val="28"/>
          <w:szCs w:val="28"/>
          <w:highlight w:val="none"/>
        </w:rPr>
        <w:t>。</w:t>
      </w:r>
    </w:p>
    <w:p w14:paraId="61221FB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5.</w:t>
      </w:r>
      <w:r>
        <w:rPr>
          <w:rFonts w:hint="eastAsia" w:ascii="仿宋" w:hAnsi="仿宋" w:eastAsia="仿宋" w:cs="仿宋"/>
          <w:b w:val="0"/>
          <w:bCs/>
          <w:sz w:val="28"/>
          <w:szCs w:val="28"/>
          <w:highlight w:val="none"/>
        </w:rPr>
        <w:t>供应商需具有履行合同所必需的设备和专业技术能力。供应商近三年（20</w:t>
      </w:r>
      <w:r>
        <w:rPr>
          <w:rFonts w:hint="eastAsia" w:ascii="仿宋" w:hAnsi="仿宋" w:eastAsia="仿宋" w:cs="仿宋"/>
          <w:b w:val="0"/>
          <w:bCs/>
          <w:sz w:val="28"/>
          <w:szCs w:val="28"/>
          <w:highlight w:val="none"/>
          <w:lang w:val="en-US" w:eastAsia="zh-CN"/>
        </w:rPr>
        <w:t>23</w:t>
      </w:r>
      <w:r>
        <w:rPr>
          <w:rFonts w:hint="eastAsia" w:ascii="仿宋" w:hAnsi="仿宋" w:eastAsia="仿宋" w:cs="仿宋"/>
          <w:b w:val="0"/>
          <w:bCs/>
          <w:sz w:val="28"/>
          <w:szCs w:val="28"/>
          <w:highlight w:val="none"/>
        </w:rPr>
        <w:t>年1月1日至今）需具备至少</w:t>
      </w:r>
      <w:r>
        <w:rPr>
          <w:rFonts w:hint="eastAsia" w:ascii="仿宋" w:hAnsi="仿宋" w:eastAsia="仿宋" w:cs="仿宋"/>
          <w:b w:val="0"/>
          <w:bCs/>
          <w:sz w:val="28"/>
          <w:szCs w:val="28"/>
          <w:highlight w:val="none"/>
          <w:lang w:val="en-US" w:eastAsia="zh-CN"/>
        </w:rPr>
        <w:t>1</w:t>
      </w:r>
      <w:r>
        <w:rPr>
          <w:rFonts w:hint="eastAsia" w:ascii="仿宋" w:hAnsi="仿宋" w:eastAsia="仿宋" w:cs="仿宋"/>
          <w:b w:val="0"/>
          <w:bCs/>
          <w:sz w:val="28"/>
          <w:szCs w:val="28"/>
          <w:highlight w:val="none"/>
        </w:rPr>
        <w:t>个</w:t>
      </w:r>
      <w:r>
        <w:rPr>
          <w:rFonts w:hint="eastAsia" w:ascii="仿宋" w:hAnsi="仿宋" w:eastAsia="仿宋" w:cs="仿宋"/>
          <w:b w:val="0"/>
          <w:bCs/>
          <w:sz w:val="28"/>
          <w:szCs w:val="28"/>
          <w:highlight w:val="none"/>
          <w:lang w:val="en-US" w:eastAsia="zh-CN"/>
        </w:rPr>
        <w:t>相关类似</w:t>
      </w:r>
      <w:r>
        <w:rPr>
          <w:rFonts w:hint="eastAsia" w:ascii="仿宋" w:hAnsi="仿宋" w:eastAsia="仿宋" w:cs="仿宋"/>
          <w:b w:val="0"/>
          <w:bCs/>
          <w:sz w:val="28"/>
          <w:szCs w:val="28"/>
          <w:highlight w:val="none"/>
        </w:rPr>
        <w:t>项目实施案例，并提供符合上述要求的合同关键页或中</w:t>
      </w:r>
      <w:r>
        <w:rPr>
          <w:rFonts w:hint="eastAsia" w:ascii="仿宋" w:hAnsi="仿宋" w:eastAsia="仿宋" w:cs="仿宋"/>
          <w:b w:val="0"/>
          <w:bCs/>
          <w:sz w:val="28"/>
          <w:szCs w:val="28"/>
          <w:highlight w:val="none"/>
          <w:lang w:val="en-US" w:eastAsia="zh-CN"/>
        </w:rPr>
        <w:t>选</w:t>
      </w:r>
      <w:r>
        <w:rPr>
          <w:rFonts w:hint="eastAsia" w:ascii="仿宋" w:hAnsi="仿宋" w:eastAsia="仿宋" w:cs="仿宋"/>
          <w:b w:val="0"/>
          <w:bCs/>
          <w:sz w:val="28"/>
          <w:szCs w:val="28"/>
          <w:highlight w:val="none"/>
        </w:rPr>
        <w:t>通知书复印件作为有效的业绩证明材料。合同关键页包含但不限于合同首页、合同标的页、签署日期页及盖章页等。</w:t>
      </w:r>
      <w:bookmarkStart w:id="0" w:name="_GoBack"/>
      <w:bookmarkEnd w:id="0"/>
    </w:p>
    <w:p w14:paraId="60788F1D">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三、报名方式</w:t>
      </w:r>
    </w:p>
    <w:p w14:paraId="0FDEB76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截止时间：</w:t>
      </w:r>
      <w:r>
        <w:rPr>
          <w:rFonts w:hint="eastAsia" w:ascii="仿宋" w:hAnsi="仿宋" w:eastAsia="仿宋" w:cs="仿宋"/>
          <w:b w:val="0"/>
          <w:bCs/>
          <w:color w:val="auto"/>
          <w:sz w:val="28"/>
          <w:szCs w:val="28"/>
          <w:highlight w:val="none"/>
          <w:lang w:val="en-US" w:eastAsia="zh-CN"/>
        </w:rPr>
        <w:t xml:space="preserve">2026 </w:t>
      </w:r>
      <w:r>
        <w:rPr>
          <w:rFonts w:hint="eastAsia" w:ascii="仿宋" w:hAnsi="仿宋" w:eastAsia="仿宋" w:cs="仿宋"/>
          <w:b w:val="0"/>
          <w:bCs/>
          <w:color w:val="auto"/>
          <w:sz w:val="28"/>
          <w:szCs w:val="28"/>
          <w:highlight w:val="none"/>
        </w:rPr>
        <w:t>年</w:t>
      </w:r>
      <w:r>
        <w:rPr>
          <w:rFonts w:hint="eastAsia" w:ascii="仿宋" w:hAnsi="仿宋" w:eastAsia="仿宋" w:cs="仿宋"/>
          <w:b w:val="0"/>
          <w:bCs/>
          <w:color w:val="auto"/>
          <w:sz w:val="28"/>
          <w:szCs w:val="28"/>
          <w:highlight w:val="none"/>
          <w:lang w:val="en-US" w:eastAsia="zh-CN"/>
        </w:rPr>
        <w:t xml:space="preserve"> 4 </w:t>
      </w:r>
      <w:r>
        <w:rPr>
          <w:rFonts w:hint="eastAsia" w:ascii="仿宋" w:hAnsi="仿宋" w:eastAsia="仿宋" w:cs="仿宋"/>
          <w:b w:val="0"/>
          <w:bCs/>
          <w:color w:val="auto"/>
          <w:sz w:val="28"/>
          <w:szCs w:val="28"/>
          <w:highlight w:val="none"/>
        </w:rPr>
        <w:t>月</w:t>
      </w:r>
      <w:r>
        <w:rPr>
          <w:rFonts w:hint="eastAsia" w:ascii="仿宋" w:hAnsi="仿宋" w:eastAsia="仿宋" w:cs="仿宋"/>
          <w:b w:val="0"/>
          <w:bCs/>
          <w:color w:val="auto"/>
          <w:sz w:val="28"/>
          <w:szCs w:val="28"/>
          <w:highlight w:val="none"/>
          <w:lang w:val="en-US" w:eastAsia="zh-CN"/>
        </w:rPr>
        <w:t xml:space="preserve"> 6 </w:t>
      </w:r>
      <w:r>
        <w:rPr>
          <w:rFonts w:hint="eastAsia" w:ascii="仿宋" w:hAnsi="仿宋" w:eastAsia="仿宋" w:cs="仿宋"/>
          <w:b w:val="0"/>
          <w:bCs/>
          <w:color w:val="auto"/>
          <w:sz w:val="28"/>
          <w:szCs w:val="28"/>
          <w:highlight w:val="none"/>
        </w:rPr>
        <w:t>日</w:t>
      </w:r>
      <w:r>
        <w:rPr>
          <w:rFonts w:hint="eastAsia" w:ascii="仿宋" w:hAnsi="仿宋" w:eastAsia="仿宋" w:cs="仿宋"/>
          <w:b w:val="0"/>
          <w:bCs/>
          <w:sz w:val="28"/>
          <w:szCs w:val="28"/>
          <w:highlight w:val="none"/>
        </w:rPr>
        <w:t>17:30（北京时间，法定节假日除外）</w:t>
      </w:r>
    </w:p>
    <w:p w14:paraId="2BC3AC2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方式：供应商须将营业执照扫描件</w:t>
      </w:r>
      <w:r>
        <w:rPr>
          <w:rFonts w:hint="eastAsia" w:ascii="仿宋" w:hAnsi="仿宋" w:eastAsia="仿宋" w:cs="仿宋"/>
          <w:b w:val="0"/>
          <w:bCs/>
          <w:sz w:val="28"/>
          <w:szCs w:val="28"/>
          <w:highlight w:val="none"/>
          <w:lang w:val="en-US" w:eastAsia="zh-CN"/>
        </w:rPr>
        <w:t>及</w:t>
      </w:r>
      <w:r>
        <w:rPr>
          <w:rFonts w:hint="eastAsia" w:ascii="仿宋" w:hAnsi="仿宋" w:eastAsia="仿宋" w:cs="仿宋"/>
          <w:b w:val="0"/>
          <w:bCs/>
          <w:sz w:val="28"/>
          <w:szCs w:val="28"/>
          <w:highlight w:val="none"/>
        </w:rPr>
        <w:t>在邮件中备注公司名称、联系人、联系电话及邮箱，发送至</w:t>
      </w:r>
      <w:r>
        <w:rPr>
          <w:rFonts w:hint="eastAsia" w:ascii="仿宋" w:hAnsi="仿宋" w:eastAsia="仿宋" w:cs="仿宋"/>
          <w:b w:val="0"/>
          <w:bCs/>
          <w:sz w:val="28"/>
          <w:szCs w:val="28"/>
          <w:highlight w:val="none"/>
          <w:lang w:val="en-US" w:eastAsia="zh-CN"/>
        </w:rPr>
        <w:t>吴云（邮箱：wuyun@picc.com.cn）</w:t>
      </w:r>
    </w:p>
    <w:p w14:paraId="2A988568">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val="0"/>
          <w:bCs/>
          <w:sz w:val="28"/>
          <w:szCs w:val="28"/>
          <w:highlight w:val="none"/>
        </w:rPr>
      </w:pPr>
      <w:r>
        <w:rPr>
          <w:rFonts w:hint="eastAsia" w:ascii="黑体" w:hAnsi="黑体" w:eastAsia="黑体" w:cs="黑体"/>
          <w:b w:val="0"/>
          <w:bCs/>
          <w:sz w:val="32"/>
          <w:szCs w:val="32"/>
          <w:highlight w:val="none"/>
        </w:rPr>
        <w:t>四、获取采购文件</w:t>
      </w:r>
      <w:r>
        <w:rPr>
          <w:rFonts w:hint="eastAsia" w:ascii="黑体" w:hAnsi="黑体" w:eastAsia="黑体" w:cs="黑体"/>
          <w:b w:val="0"/>
          <w:bCs/>
          <w:sz w:val="32"/>
          <w:szCs w:val="32"/>
          <w:highlight w:val="none"/>
        </w:rPr>
        <w:tab/>
      </w:r>
    </w:p>
    <w:p w14:paraId="1FB6BBE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方式：电子文本获取：人保投控（北京）运营管理有限公司安徽分公司将</w:t>
      </w:r>
      <w:r>
        <w:rPr>
          <w:rFonts w:hint="eastAsia" w:ascii="仿宋" w:hAnsi="仿宋" w:eastAsia="仿宋" w:cs="仿宋"/>
          <w:sz w:val="28"/>
          <w:szCs w:val="28"/>
          <w:highlight w:val="none"/>
          <w:lang w:val="en-US" w:eastAsia="zh-CN"/>
        </w:rPr>
        <w:t>比价</w:t>
      </w:r>
      <w:r>
        <w:rPr>
          <w:rFonts w:hint="eastAsia" w:ascii="仿宋" w:hAnsi="仿宋" w:eastAsia="仿宋" w:cs="仿宋"/>
          <w:b w:val="0"/>
          <w:bCs/>
          <w:sz w:val="28"/>
          <w:szCs w:val="28"/>
          <w:highlight w:val="none"/>
        </w:rPr>
        <w:t>文件发送至参选人邮箱，请参选人收到</w:t>
      </w:r>
      <w:r>
        <w:rPr>
          <w:rFonts w:hint="eastAsia" w:ascii="仿宋" w:hAnsi="仿宋" w:eastAsia="仿宋" w:cs="仿宋"/>
          <w:sz w:val="28"/>
          <w:szCs w:val="28"/>
          <w:highlight w:val="none"/>
          <w:lang w:val="en-US" w:eastAsia="zh-CN"/>
        </w:rPr>
        <w:t>比价</w:t>
      </w:r>
      <w:r>
        <w:rPr>
          <w:rFonts w:hint="eastAsia" w:ascii="仿宋" w:hAnsi="仿宋" w:eastAsia="仿宋" w:cs="仿宋"/>
          <w:b w:val="0"/>
          <w:bCs/>
          <w:sz w:val="28"/>
          <w:szCs w:val="28"/>
          <w:highlight w:val="none"/>
        </w:rPr>
        <w:t>文件后通过邮件方式回复确认。</w:t>
      </w:r>
    </w:p>
    <w:p w14:paraId="227BD8ED">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五、响应文件提交</w:t>
      </w:r>
    </w:p>
    <w:p w14:paraId="17523C0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截止时间：采购人另行通知</w:t>
      </w:r>
    </w:p>
    <w:p w14:paraId="43A0833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递交方式：将响应文件在截止时间前递交或邮寄至安徽省</w:t>
      </w:r>
      <w:r>
        <w:rPr>
          <w:rFonts w:hint="eastAsia" w:ascii="仿宋" w:hAnsi="仿宋" w:eastAsia="仿宋" w:cs="仿宋"/>
          <w:b w:val="0"/>
          <w:bCs/>
          <w:color w:val="auto"/>
          <w:sz w:val="28"/>
          <w:szCs w:val="28"/>
          <w:highlight w:val="none"/>
          <w:lang w:val="en-US" w:eastAsia="zh-CN"/>
        </w:rPr>
        <w:t>合肥市包河区滨湖新区南京路人保大厦D座14楼</w:t>
      </w:r>
      <w:r>
        <w:rPr>
          <w:rFonts w:hint="eastAsia" w:ascii="仿宋" w:hAnsi="仿宋" w:eastAsia="仿宋" w:cs="仿宋"/>
          <w:b w:val="0"/>
          <w:bCs/>
          <w:color w:val="auto"/>
          <w:sz w:val="28"/>
          <w:szCs w:val="28"/>
          <w:highlight w:val="none"/>
        </w:rPr>
        <w:t>，超过规定时间以后送达的</w:t>
      </w:r>
      <w:r>
        <w:rPr>
          <w:rFonts w:hint="eastAsia" w:ascii="仿宋" w:hAnsi="仿宋" w:eastAsia="仿宋" w:cs="仿宋"/>
          <w:b w:val="0"/>
          <w:bCs/>
          <w:color w:val="auto"/>
          <w:sz w:val="28"/>
          <w:szCs w:val="28"/>
          <w:highlight w:val="none"/>
          <w:lang w:val="en-US" w:eastAsia="zh-CN"/>
        </w:rPr>
        <w:t>磋商</w:t>
      </w:r>
      <w:r>
        <w:rPr>
          <w:rFonts w:hint="eastAsia" w:ascii="仿宋" w:hAnsi="仿宋" w:eastAsia="仿宋" w:cs="仿宋"/>
          <w:b w:val="0"/>
          <w:bCs/>
          <w:color w:val="auto"/>
          <w:sz w:val="28"/>
          <w:szCs w:val="28"/>
          <w:highlight w:val="none"/>
        </w:rPr>
        <w:t>响应文件，将原封退给供应商。</w:t>
      </w:r>
    </w:p>
    <w:p w14:paraId="41EA2C5B">
      <w:pPr>
        <w:keepNext w:val="0"/>
        <w:keepLines w:val="0"/>
        <w:pageBreakBefore w:val="0"/>
        <w:widowControl w:val="0"/>
        <w:numPr>
          <w:ilvl w:val="0"/>
          <w:numId w:val="1"/>
        </w:numPr>
        <w:kinsoku/>
        <w:wordWrap/>
        <w:overflowPunct/>
        <w:topLinePunct w:val="0"/>
        <w:autoSpaceDE/>
        <w:autoSpaceDN/>
        <w:bidi w:val="0"/>
        <w:adjustRightInd/>
        <w:snapToGrid/>
        <w:textAlignment w:val="auto"/>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开启</w:t>
      </w:r>
    </w:p>
    <w:p w14:paraId="5F4AB358">
      <w:pPr>
        <w:spacing w:line="360" w:lineRule="auto"/>
        <w:ind w:firstLine="560" w:firstLineChars="200"/>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开启时间：</w:t>
      </w:r>
      <w:r>
        <w:rPr>
          <w:rFonts w:hint="eastAsia" w:ascii="仿宋" w:hAnsi="仿宋" w:eastAsia="仿宋" w:cs="仿宋"/>
          <w:b w:val="0"/>
          <w:bCs w:val="0"/>
          <w:sz w:val="28"/>
          <w:szCs w:val="28"/>
          <w:highlight w:val="none"/>
          <w:lang w:val="en-US" w:eastAsia="zh-CN"/>
        </w:rPr>
        <w:t>采购人另行通知</w:t>
      </w:r>
    </w:p>
    <w:p w14:paraId="7C6CD376">
      <w:pPr>
        <w:spacing w:line="360" w:lineRule="auto"/>
        <w:ind w:firstLine="560" w:firstLineChars="200"/>
        <w:rPr>
          <w:rFonts w:hint="default"/>
          <w:lang w:val="en-US" w:eastAsia="zh-CN"/>
        </w:rPr>
      </w:pPr>
      <w:r>
        <w:rPr>
          <w:rFonts w:hint="eastAsia" w:ascii="仿宋" w:hAnsi="仿宋" w:eastAsia="仿宋" w:cs="仿宋"/>
          <w:b w:val="0"/>
          <w:bCs w:val="0"/>
          <w:sz w:val="28"/>
          <w:szCs w:val="28"/>
          <w:highlight w:val="none"/>
        </w:rPr>
        <w:t>开启方式：</w:t>
      </w:r>
      <w:r>
        <w:rPr>
          <w:rFonts w:hint="eastAsia" w:ascii="仿宋" w:hAnsi="仿宋" w:eastAsia="仿宋" w:cs="仿宋"/>
          <w:b w:val="0"/>
          <w:bCs w:val="0"/>
          <w:sz w:val="28"/>
          <w:szCs w:val="28"/>
          <w:highlight w:val="none"/>
          <w:lang w:val="en-US" w:eastAsia="zh-CN"/>
        </w:rPr>
        <w:t>现场开启</w:t>
      </w:r>
      <w:r>
        <w:rPr>
          <w:rFonts w:hint="eastAsia" w:ascii="仿宋" w:hAnsi="仿宋" w:eastAsia="仿宋" w:cs="仿宋"/>
          <w:b w:val="0"/>
          <w:bCs w:val="0"/>
          <w:sz w:val="28"/>
          <w:szCs w:val="28"/>
          <w:highlight w:val="none"/>
        </w:rPr>
        <w:t>。</w:t>
      </w:r>
    </w:p>
    <w:p w14:paraId="5B62FB1D">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lang w:val="en-US" w:eastAsia="zh-CN"/>
        </w:rPr>
        <w:t>七、</w:t>
      </w:r>
      <w:r>
        <w:rPr>
          <w:rFonts w:hint="eastAsia" w:ascii="黑体" w:hAnsi="黑体" w:eastAsia="黑体" w:cs="黑体"/>
          <w:b w:val="0"/>
          <w:bCs/>
          <w:sz w:val="32"/>
          <w:szCs w:val="32"/>
          <w:highlight w:val="none"/>
        </w:rPr>
        <w:t>公告期限</w:t>
      </w:r>
    </w:p>
    <w:p w14:paraId="68F8C9F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自本公告自发布之日起</w:t>
      </w:r>
      <w:r>
        <w:rPr>
          <w:rFonts w:hint="eastAsia" w:ascii="仿宋" w:hAnsi="仿宋" w:eastAsia="仿宋" w:cs="仿宋"/>
          <w:b w:val="0"/>
          <w:bCs/>
          <w:sz w:val="28"/>
          <w:szCs w:val="28"/>
          <w:highlight w:val="none"/>
          <w:lang w:val="en-US" w:eastAsia="zh-CN"/>
        </w:rPr>
        <w:t>3</w:t>
      </w:r>
      <w:r>
        <w:rPr>
          <w:rFonts w:hint="eastAsia" w:ascii="仿宋" w:hAnsi="仿宋" w:eastAsia="仿宋" w:cs="仿宋"/>
          <w:b w:val="0"/>
          <w:bCs/>
          <w:sz w:val="28"/>
          <w:szCs w:val="28"/>
          <w:highlight w:val="none"/>
        </w:rPr>
        <w:t>个</w:t>
      </w:r>
      <w:r>
        <w:rPr>
          <w:rFonts w:hint="eastAsia" w:ascii="仿宋" w:hAnsi="仿宋" w:eastAsia="仿宋" w:cs="仿宋"/>
          <w:b w:val="0"/>
          <w:bCs/>
          <w:sz w:val="28"/>
          <w:szCs w:val="28"/>
          <w:highlight w:val="none"/>
          <w:lang w:val="en-US" w:eastAsia="zh-CN"/>
        </w:rPr>
        <w:t>自然</w:t>
      </w:r>
      <w:r>
        <w:rPr>
          <w:rFonts w:hint="eastAsia" w:ascii="仿宋" w:hAnsi="仿宋" w:eastAsia="仿宋" w:cs="仿宋"/>
          <w:b w:val="0"/>
          <w:bCs/>
          <w:sz w:val="28"/>
          <w:szCs w:val="28"/>
          <w:highlight w:val="none"/>
        </w:rPr>
        <w:t>日</w:t>
      </w:r>
    </w:p>
    <w:p w14:paraId="2BCC3CB2">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lang w:val="en-US" w:eastAsia="zh-CN"/>
        </w:rPr>
        <w:t>八</w:t>
      </w:r>
      <w:r>
        <w:rPr>
          <w:rFonts w:hint="eastAsia" w:ascii="黑体" w:hAnsi="黑体" w:eastAsia="黑体" w:cs="黑体"/>
          <w:b w:val="0"/>
          <w:bCs/>
          <w:sz w:val="32"/>
          <w:szCs w:val="32"/>
          <w:highlight w:val="none"/>
        </w:rPr>
        <w:t>、其他补充事宜</w:t>
      </w:r>
    </w:p>
    <w:p w14:paraId="51B0867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本项目通过网站 E采门户网站（https;//ec.picc.com）、安徽省招标投标信息网（http;//www.ahtba.org.cn）和中国采购与招标网（https;//www.chinabidding.cn）</w:t>
      </w:r>
      <w:r>
        <w:rPr>
          <w:rFonts w:hint="eastAsia" w:ascii="仿宋" w:hAnsi="仿宋" w:eastAsia="仿宋" w:cs="仿宋"/>
          <w:b w:val="0"/>
          <w:bCs/>
          <w:color w:val="auto"/>
          <w:sz w:val="28"/>
          <w:szCs w:val="28"/>
          <w:highlight w:val="none"/>
          <w:lang w:val="en-US" w:eastAsia="zh-CN"/>
        </w:rPr>
        <w:t>公开征集</w:t>
      </w:r>
      <w:r>
        <w:rPr>
          <w:rFonts w:hint="eastAsia" w:ascii="仿宋" w:hAnsi="仿宋" w:eastAsia="仿宋" w:cs="仿宋"/>
          <w:b w:val="0"/>
          <w:bCs/>
          <w:sz w:val="28"/>
          <w:szCs w:val="28"/>
          <w:highlight w:val="none"/>
        </w:rPr>
        <w:t>供应商。</w:t>
      </w:r>
    </w:p>
    <w:p w14:paraId="2BEA4068">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lang w:val="en-US" w:eastAsia="zh-CN"/>
        </w:rPr>
        <w:t>九</w:t>
      </w:r>
      <w:r>
        <w:rPr>
          <w:rFonts w:hint="eastAsia" w:ascii="黑体" w:hAnsi="黑体" w:eastAsia="黑体" w:cs="黑体"/>
          <w:b w:val="0"/>
          <w:bCs/>
          <w:sz w:val="32"/>
          <w:szCs w:val="32"/>
          <w:highlight w:val="none"/>
        </w:rPr>
        <w:t>、对本次采购提出询问，请按以下方式联系</w:t>
      </w:r>
    </w:p>
    <w:p w14:paraId="498F695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采购人信息</w:t>
      </w:r>
    </w:p>
    <w:p w14:paraId="56CE810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名  称：人保投控（北京）运营管理有限公司安徽分公司</w:t>
      </w:r>
    </w:p>
    <w:p w14:paraId="585E21D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sz w:val="28"/>
          <w:szCs w:val="28"/>
          <w:highlight w:val="none"/>
        </w:rPr>
        <w:t>地  址：</w:t>
      </w:r>
      <w:r>
        <w:rPr>
          <w:rFonts w:hint="eastAsia" w:ascii="仿宋" w:hAnsi="仿宋" w:eastAsia="仿宋" w:cs="仿宋"/>
          <w:b w:val="0"/>
          <w:bCs/>
          <w:color w:val="auto"/>
          <w:sz w:val="28"/>
          <w:szCs w:val="28"/>
          <w:highlight w:val="none"/>
        </w:rPr>
        <w:t>安徽省合肥市滨湖新区南京路2677号人保大厦</w:t>
      </w:r>
    </w:p>
    <w:p w14:paraId="5083A13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rPr>
        <w:t>项目联系人：</w:t>
      </w:r>
      <w:r>
        <w:rPr>
          <w:rFonts w:hint="eastAsia" w:ascii="仿宋" w:hAnsi="仿宋" w:eastAsia="仿宋" w:cs="仿宋"/>
          <w:b w:val="0"/>
          <w:bCs/>
          <w:sz w:val="28"/>
          <w:szCs w:val="28"/>
          <w:highlight w:val="none"/>
          <w:lang w:val="en-US" w:eastAsia="zh-CN"/>
        </w:rPr>
        <w:t>吴云</w:t>
      </w:r>
    </w:p>
    <w:p w14:paraId="435F1D3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rPr>
        <w:t>联系方式：</w:t>
      </w:r>
      <w:r>
        <w:rPr>
          <w:rFonts w:hint="eastAsia" w:ascii="仿宋" w:hAnsi="仿宋" w:eastAsia="仿宋" w:cs="仿宋"/>
          <w:b w:val="0"/>
          <w:bCs/>
          <w:sz w:val="28"/>
          <w:szCs w:val="28"/>
          <w:highlight w:val="none"/>
          <w:lang w:val="en-US" w:eastAsia="zh-CN"/>
        </w:rPr>
        <w:t>0551-62930106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C79EC9"/>
    <w:multiLevelType w:val="singleLevel"/>
    <w:tmpl w:val="03C79EC9"/>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1NGEwNjgwMjJjN2IyMmFiZGQ1OWRhYTA2NjExYjEifQ=="/>
  </w:docVars>
  <w:rsids>
    <w:rsidRoot w:val="48C055C4"/>
    <w:rsid w:val="03EF5526"/>
    <w:rsid w:val="05564875"/>
    <w:rsid w:val="065C2CF0"/>
    <w:rsid w:val="072C187A"/>
    <w:rsid w:val="07423879"/>
    <w:rsid w:val="08963C3F"/>
    <w:rsid w:val="0BB772BD"/>
    <w:rsid w:val="0BF916E9"/>
    <w:rsid w:val="0EFB4C2D"/>
    <w:rsid w:val="0F556705"/>
    <w:rsid w:val="103425A3"/>
    <w:rsid w:val="10A65B52"/>
    <w:rsid w:val="11812CD5"/>
    <w:rsid w:val="12FB56AD"/>
    <w:rsid w:val="149547D4"/>
    <w:rsid w:val="14F72E20"/>
    <w:rsid w:val="190434D5"/>
    <w:rsid w:val="1B4B5C73"/>
    <w:rsid w:val="1B541994"/>
    <w:rsid w:val="1C4C3AFB"/>
    <w:rsid w:val="1CDF3D76"/>
    <w:rsid w:val="1F544DF3"/>
    <w:rsid w:val="21BA58AC"/>
    <w:rsid w:val="21EA7A2A"/>
    <w:rsid w:val="237634C0"/>
    <w:rsid w:val="240923B7"/>
    <w:rsid w:val="25587DE6"/>
    <w:rsid w:val="288F025C"/>
    <w:rsid w:val="29BA46F0"/>
    <w:rsid w:val="2B4D3342"/>
    <w:rsid w:val="2C781ABD"/>
    <w:rsid w:val="2E340B4A"/>
    <w:rsid w:val="2E516A79"/>
    <w:rsid w:val="3003158A"/>
    <w:rsid w:val="36072A71"/>
    <w:rsid w:val="36F6663C"/>
    <w:rsid w:val="37DE3528"/>
    <w:rsid w:val="3AEB0AF2"/>
    <w:rsid w:val="3C6A5B02"/>
    <w:rsid w:val="3E045AE2"/>
    <w:rsid w:val="3F840B91"/>
    <w:rsid w:val="3FEB51AC"/>
    <w:rsid w:val="436F06B1"/>
    <w:rsid w:val="46546F3A"/>
    <w:rsid w:val="467632F5"/>
    <w:rsid w:val="47A472BC"/>
    <w:rsid w:val="47B80C0C"/>
    <w:rsid w:val="48C055C4"/>
    <w:rsid w:val="4A462381"/>
    <w:rsid w:val="4AB9577C"/>
    <w:rsid w:val="4E7D0E90"/>
    <w:rsid w:val="4FD65073"/>
    <w:rsid w:val="50A002DF"/>
    <w:rsid w:val="53CC4037"/>
    <w:rsid w:val="543A3986"/>
    <w:rsid w:val="5445704A"/>
    <w:rsid w:val="545443DD"/>
    <w:rsid w:val="55A734CB"/>
    <w:rsid w:val="55B41744"/>
    <w:rsid w:val="55F922A3"/>
    <w:rsid w:val="57E30287"/>
    <w:rsid w:val="5998364D"/>
    <w:rsid w:val="5AD52312"/>
    <w:rsid w:val="5BE63BB2"/>
    <w:rsid w:val="5C2B425F"/>
    <w:rsid w:val="5C35251B"/>
    <w:rsid w:val="5CC13AD7"/>
    <w:rsid w:val="5DD31646"/>
    <w:rsid w:val="62166BF1"/>
    <w:rsid w:val="63F53320"/>
    <w:rsid w:val="642342DE"/>
    <w:rsid w:val="65D42C8C"/>
    <w:rsid w:val="687A681D"/>
    <w:rsid w:val="6A0740E0"/>
    <w:rsid w:val="6AEF04C2"/>
    <w:rsid w:val="6CDB41CD"/>
    <w:rsid w:val="6E1E6FF1"/>
    <w:rsid w:val="6F020C34"/>
    <w:rsid w:val="6F795AAF"/>
    <w:rsid w:val="718F3E5B"/>
    <w:rsid w:val="71CF1988"/>
    <w:rsid w:val="73F70FAF"/>
    <w:rsid w:val="76016C28"/>
    <w:rsid w:val="7616663E"/>
    <w:rsid w:val="769E7B7B"/>
    <w:rsid w:val="7A3307B1"/>
    <w:rsid w:val="7AA9774B"/>
    <w:rsid w:val="7AF410CA"/>
    <w:rsid w:val="7B737EB2"/>
    <w:rsid w:val="7ECD6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仿宋_GB2312" w:eastAsia="@仿宋_GB2312" w:cs="@仿宋_GB2312"/>
      <w:kern w:val="2"/>
      <w:sz w:val="21"/>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Autospacing="1" w:afterAutospacing="1"/>
      <w:jc w:val="left"/>
    </w:pPr>
    <w:rPr>
      <w:rFonts w:cs="Times New Roman"/>
      <w:kern w:val="0"/>
      <w:sz w:val="24"/>
    </w:rPr>
  </w:style>
  <w:style w:type="paragraph" w:styleId="3">
    <w:name w:val="Title"/>
    <w:basedOn w:val="1"/>
    <w:next w:val="1"/>
    <w:autoRedefine/>
    <w:qFormat/>
    <w:uiPriority w:val="0"/>
    <w:pPr>
      <w:tabs>
        <w:tab w:val="left" w:pos="630"/>
      </w:tabs>
      <w:autoSpaceDE/>
      <w:autoSpaceDN/>
      <w:spacing w:before="240" w:after="60" w:line="360" w:lineRule="exact"/>
      <w:jc w:val="center"/>
      <w:outlineLvl w:val="0"/>
    </w:pPr>
    <w:rPr>
      <w:rFonts w:ascii="Cambria" w:hAnsi="Cambria" w:cs="Times New Roman"/>
      <w:b/>
      <w:bCs/>
      <w:color w:val="000000"/>
      <w:sz w:val="32"/>
      <w:szCs w:val="32"/>
      <w:lang w:eastAsia="en-US" w:bidi="ar-SA"/>
    </w:rPr>
  </w:style>
  <w:style w:type="character" w:styleId="6">
    <w:name w:val="Hyperlink"/>
    <w:unhideWhenUsed/>
    <w:qFormat/>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1128</Words>
  <Characters>1329</Characters>
  <Lines>0</Lines>
  <Paragraphs>0</Paragraphs>
  <TotalTime>10</TotalTime>
  <ScaleCrop>false</ScaleCrop>
  <LinksUpToDate>false</LinksUpToDate>
  <CharactersWithSpaces>1342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2024-02-19T07:38:00Z</dcterms:created>
  <dc:creator>张兵兵</dc:creator>
  <cp:lastModifiedBy>吴云</cp:lastModifiedBy>
  <dcterms:modified xsi:type="dcterms:W3CDTF">2026-04-03T01:11:40Z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7D87E80B099445498239949B00699DE5_13</vt:lpwstr>
  </property>
  <property fmtid="{D5CDD505-2E9C-101B-9397-08002B2CF9AE}" pid="4" name="KSOTemplateDocerSaveRecord">
    <vt:lpwstr>eyJoZGlkIjoiNWI5NmY1NjAwMTVkNmJjNmQ4ODE1MTg1MThmNDc3ODciLCJ1c2VySWQiOiI1OTY2OTQxNjEifQ==</vt:lpwstr>
  </property>
</Properties>
</file>