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D9CD37">
      <w:pPr>
        <w:pStyle w:val="3"/>
        <w:spacing w:before="0" w:after="0" w:line="480" w:lineRule="auto"/>
        <w:rPr>
          <w:rFonts w:hint="eastAsia" w:ascii="仿宋" w:hAnsi="仿宋" w:cs="宋体"/>
          <w:color w:val="auto"/>
          <w:highlight w:val="none"/>
        </w:rPr>
      </w:pPr>
      <w:bookmarkStart w:id="0" w:name="_Toc109124222"/>
      <w:bookmarkStart w:id="1" w:name="_Toc65682912"/>
      <w:bookmarkStart w:id="2" w:name="_Toc7914"/>
      <w:bookmarkStart w:id="3" w:name="_Toc17378"/>
      <w:r>
        <w:rPr>
          <w:rFonts w:hint="eastAsia" w:ascii="仿宋" w:hAnsi="仿宋" w:cs="宋体"/>
          <w:color w:val="auto"/>
          <w:highlight w:val="none"/>
          <w:lang w:eastAsia="zh-CN"/>
        </w:rPr>
        <w:t>人保财险安徽省</w:t>
      </w:r>
      <w:r>
        <w:rPr>
          <w:rFonts w:hint="eastAsia" w:ascii="仿宋" w:hAnsi="仿宋" w:cs="宋体"/>
          <w:color w:val="auto"/>
          <w:highlight w:val="none"/>
          <w:lang w:val="en-US" w:eastAsia="zh-CN"/>
        </w:rPr>
        <w:t>安庆</w:t>
      </w:r>
      <w:r>
        <w:rPr>
          <w:rFonts w:hint="eastAsia" w:ascii="仿宋" w:hAnsi="仿宋" w:cs="宋体"/>
          <w:color w:val="auto"/>
          <w:highlight w:val="none"/>
          <w:lang w:eastAsia="zh-CN"/>
        </w:rPr>
        <w:t>市分公司车辆定点维修保养服务采购项目</w:t>
      </w:r>
      <w:r>
        <w:rPr>
          <w:rFonts w:hint="eastAsia" w:ascii="仿宋" w:hAnsi="仿宋" w:cs="宋体"/>
          <w:color w:val="auto"/>
          <w:highlight w:val="none"/>
        </w:rPr>
        <w:t>招标公告</w:t>
      </w:r>
      <w:bookmarkEnd w:id="0"/>
      <w:bookmarkEnd w:id="1"/>
      <w:bookmarkEnd w:id="2"/>
      <w:bookmarkEnd w:id="3"/>
    </w:p>
    <w:p w14:paraId="51AD8B7E">
      <w:pPr>
        <w:pStyle w:val="2"/>
        <w:rPr>
          <w:rFonts w:hint="eastAsia" w:ascii="仿宋" w:hAnsi="仿宋" w:cs="宋体"/>
          <w:color w:val="auto"/>
          <w:szCs w:val="24"/>
          <w:highlight w:val="none"/>
        </w:rPr>
      </w:pPr>
      <w:bookmarkStart w:id="4" w:name="_Toc24950"/>
      <w:bookmarkStart w:id="5" w:name="_Toc25200"/>
      <w:bookmarkStart w:id="6" w:name="_Toc10131"/>
      <w:bookmarkStart w:id="7" w:name="_Toc109124223"/>
      <w:bookmarkStart w:id="8" w:name="_Toc23271"/>
      <w:bookmarkStart w:id="9" w:name="_Toc65682913"/>
      <w:bookmarkStart w:id="10" w:name="_Toc25160"/>
      <w:r>
        <w:rPr>
          <w:rFonts w:hint="eastAsia" w:ascii="仿宋" w:hAnsi="仿宋" w:cs="宋体"/>
          <w:color w:val="auto"/>
          <w:szCs w:val="24"/>
          <w:highlight w:val="none"/>
        </w:rPr>
        <w:t>一、</w:t>
      </w:r>
      <w:bookmarkEnd w:id="4"/>
      <w:bookmarkEnd w:id="5"/>
      <w:bookmarkEnd w:id="6"/>
      <w:r>
        <w:rPr>
          <w:rFonts w:hint="eastAsia" w:ascii="仿宋" w:hAnsi="仿宋" w:cs="宋体"/>
          <w:color w:val="auto"/>
          <w:szCs w:val="24"/>
          <w:highlight w:val="none"/>
        </w:rPr>
        <w:t>招标条件</w:t>
      </w:r>
      <w:bookmarkEnd w:id="7"/>
      <w:bookmarkEnd w:id="8"/>
      <w:bookmarkEnd w:id="9"/>
      <w:bookmarkEnd w:id="10"/>
    </w:p>
    <w:p w14:paraId="6A6EEF95">
      <w:pPr>
        <w:wordWrap w:val="0"/>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仿宋"/>
          <w:color w:val="auto"/>
          <w:sz w:val="24"/>
          <w:szCs w:val="24"/>
          <w:highlight w:val="none"/>
        </w:rPr>
        <w:t>本招标项</w:t>
      </w:r>
      <w:r>
        <w:rPr>
          <w:rFonts w:hint="eastAsia" w:ascii="仿宋" w:hAnsi="仿宋" w:eastAsia="仿宋" w:cs="仿宋"/>
          <w:b w:val="0"/>
          <w:bCs w:val="0"/>
          <w:color w:val="auto"/>
          <w:sz w:val="24"/>
          <w:szCs w:val="24"/>
          <w:highlight w:val="none"/>
        </w:rPr>
        <w:t>目</w:t>
      </w:r>
      <w:r>
        <w:rPr>
          <w:rFonts w:hint="eastAsia" w:ascii="仿宋" w:hAnsi="仿宋" w:eastAsia="仿宋" w:cs="仿宋"/>
          <w:b w:val="0"/>
          <w:bCs w:val="0"/>
          <w:color w:val="auto"/>
          <w:sz w:val="24"/>
          <w:szCs w:val="24"/>
          <w:highlight w:val="none"/>
          <w:u w:val="single"/>
          <w:lang w:eastAsia="zh-CN"/>
        </w:rPr>
        <w:t>人保财险安徽省</w:t>
      </w:r>
      <w:r>
        <w:rPr>
          <w:rFonts w:hint="eastAsia" w:ascii="仿宋" w:hAnsi="仿宋" w:eastAsia="仿宋" w:cs="仿宋"/>
          <w:b w:val="0"/>
          <w:bCs w:val="0"/>
          <w:color w:val="auto"/>
          <w:sz w:val="24"/>
          <w:szCs w:val="24"/>
          <w:highlight w:val="none"/>
          <w:u w:val="single"/>
          <w:lang w:val="en-US" w:eastAsia="zh-CN"/>
        </w:rPr>
        <w:t>安庆</w:t>
      </w:r>
      <w:r>
        <w:rPr>
          <w:rFonts w:hint="eastAsia" w:ascii="仿宋" w:hAnsi="仿宋" w:eastAsia="仿宋" w:cs="仿宋"/>
          <w:b w:val="0"/>
          <w:bCs w:val="0"/>
          <w:color w:val="auto"/>
          <w:sz w:val="24"/>
          <w:szCs w:val="24"/>
          <w:highlight w:val="none"/>
          <w:u w:val="single"/>
          <w:lang w:eastAsia="zh-CN"/>
        </w:rPr>
        <w:t>市分公司车辆定点维修保养服务采购项目</w:t>
      </w:r>
      <w:r>
        <w:rPr>
          <w:rFonts w:hint="eastAsia" w:ascii="仿宋" w:hAnsi="仿宋" w:eastAsia="仿宋" w:cs="仿宋"/>
          <w:b w:val="0"/>
          <w:bCs w:val="0"/>
          <w:color w:val="auto"/>
          <w:sz w:val="24"/>
          <w:szCs w:val="24"/>
          <w:highlight w:val="none"/>
        </w:rPr>
        <w:t>（招标代理项目编号：</w:t>
      </w:r>
      <w:r>
        <w:rPr>
          <w:rFonts w:hint="eastAsia" w:ascii="仿宋" w:hAnsi="仿宋" w:eastAsia="仿宋" w:cs="仿宋"/>
          <w:b w:val="0"/>
          <w:bCs w:val="0"/>
          <w:color w:val="auto"/>
          <w:sz w:val="24"/>
          <w:szCs w:val="24"/>
          <w:highlight w:val="none"/>
          <w:lang w:eastAsia="zh-CN"/>
        </w:rPr>
        <w:t>04-14-04A-2026-D-F-E09163</w:t>
      </w:r>
      <w:r>
        <w:rPr>
          <w:rFonts w:hint="eastAsia" w:ascii="仿宋" w:hAnsi="仿宋" w:eastAsia="仿宋" w:cs="仿宋"/>
          <w:b w:val="0"/>
          <w:bCs w:val="0"/>
          <w:color w:val="auto"/>
          <w:sz w:val="24"/>
          <w:szCs w:val="24"/>
          <w:highlight w:val="none"/>
        </w:rPr>
        <w:t xml:space="preserve"> ）</w:t>
      </w:r>
      <w:bookmarkStart w:id="11" w:name="_Hlk69906010"/>
      <w:r>
        <w:rPr>
          <w:rFonts w:hint="eastAsia" w:ascii="仿宋" w:hAnsi="仿宋" w:eastAsia="仿宋" w:cs="仿宋"/>
          <w:b w:val="0"/>
          <w:bCs w:val="0"/>
          <w:color w:val="auto"/>
          <w:sz w:val="24"/>
          <w:szCs w:val="24"/>
          <w:highlight w:val="none"/>
        </w:rPr>
        <w:t>由</w:t>
      </w:r>
      <w:r>
        <w:rPr>
          <w:rFonts w:hint="eastAsia" w:ascii="仿宋" w:hAnsi="仿宋" w:eastAsia="仿宋" w:cs="仿宋"/>
          <w:b w:val="0"/>
          <w:bCs w:val="0"/>
          <w:color w:val="auto"/>
          <w:sz w:val="24"/>
          <w:szCs w:val="24"/>
          <w:highlight w:val="none"/>
          <w:u w:val="single"/>
          <w:lang w:eastAsia="zh-CN"/>
        </w:rPr>
        <w:t>中国人民财产保险股份有限公司</w:t>
      </w:r>
      <w:r>
        <w:rPr>
          <w:rFonts w:hint="eastAsia" w:ascii="仿宋" w:hAnsi="仿宋" w:eastAsia="仿宋" w:cs="仿宋"/>
          <w:b w:val="0"/>
          <w:bCs w:val="0"/>
          <w:color w:val="auto"/>
          <w:sz w:val="24"/>
          <w:szCs w:val="24"/>
          <w:highlight w:val="none"/>
          <w:u w:val="single"/>
          <w:lang w:val="en-US" w:eastAsia="zh-CN"/>
        </w:rPr>
        <w:t>安庆</w:t>
      </w:r>
      <w:r>
        <w:rPr>
          <w:rFonts w:hint="eastAsia" w:ascii="仿宋" w:hAnsi="仿宋" w:eastAsia="仿宋" w:cs="仿宋"/>
          <w:b w:val="0"/>
          <w:bCs w:val="0"/>
          <w:color w:val="auto"/>
          <w:sz w:val="24"/>
          <w:szCs w:val="24"/>
          <w:highlight w:val="none"/>
          <w:u w:val="single"/>
          <w:lang w:eastAsia="zh-CN"/>
        </w:rPr>
        <w:t>市分公司</w:t>
      </w:r>
      <w:r>
        <w:rPr>
          <w:rFonts w:hint="eastAsia" w:ascii="仿宋" w:hAnsi="仿宋" w:eastAsia="仿宋" w:cs="仿宋"/>
          <w:b w:val="0"/>
          <w:bCs w:val="0"/>
          <w:color w:val="auto"/>
          <w:sz w:val="24"/>
          <w:szCs w:val="24"/>
          <w:highlight w:val="none"/>
        </w:rPr>
        <w:t>（以下简称“招标人”）批准并落实资金，组织本项目的相关招标工作，采购合同由</w:t>
      </w:r>
      <w:r>
        <w:rPr>
          <w:rFonts w:hint="eastAsia" w:ascii="仿宋" w:hAnsi="仿宋" w:eastAsia="仿宋" w:cs="仿宋"/>
          <w:b w:val="0"/>
          <w:bCs w:val="0"/>
          <w:color w:val="auto"/>
          <w:sz w:val="24"/>
          <w:szCs w:val="24"/>
          <w:highlight w:val="none"/>
          <w:u w:val="single"/>
          <w:lang w:eastAsia="zh-CN"/>
        </w:rPr>
        <w:t>中国人民财产保险股份有限公司</w:t>
      </w:r>
      <w:r>
        <w:rPr>
          <w:rFonts w:hint="eastAsia" w:ascii="仿宋" w:hAnsi="仿宋" w:eastAsia="仿宋" w:cs="仿宋"/>
          <w:b w:val="0"/>
          <w:bCs w:val="0"/>
          <w:color w:val="auto"/>
          <w:sz w:val="24"/>
          <w:szCs w:val="24"/>
          <w:highlight w:val="none"/>
          <w:u w:val="single"/>
          <w:lang w:val="en-US" w:eastAsia="zh-CN"/>
        </w:rPr>
        <w:t>安庆</w:t>
      </w:r>
      <w:r>
        <w:rPr>
          <w:rFonts w:hint="eastAsia" w:ascii="仿宋" w:hAnsi="仿宋" w:eastAsia="仿宋" w:cs="仿宋"/>
          <w:b w:val="0"/>
          <w:bCs w:val="0"/>
          <w:color w:val="auto"/>
          <w:sz w:val="24"/>
          <w:szCs w:val="24"/>
          <w:highlight w:val="none"/>
          <w:u w:val="single"/>
          <w:lang w:eastAsia="zh-CN"/>
        </w:rPr>
        <w:t>市分公司</w:t>
      </w:r>
      <w:r>
        <w:rPr>
          <w:rFonts w:hint="eastAsia" w:ascii="仿宋" w:hAnsi="仿宋" w:eastAsia="仿宋" w:cs="仿宋"/>
          <w:b w:val="0"/>
          <w:bCs w:val="0"/>
          <w:color w:val="auto"/>
          <w:sz w:val="24"/>
          <w:szCs w:val="24"/>
          <w:highlight w:val="none"/>
        </w:rPr>
        <w:t>（以下简称“人保</w:t>
      </w:r>
      <w:r>
        <w:rPr>
          <w:rFonts w:hint="eastAsia" w:ascii="仿宋" w:hAnsi="仿宋" w:eastAsia="仿宋" w:cs="仿宋"/>
          <w:b w:val="0"/>
          <w:bCs w:val="0"/>
          <w:color w:val="auto"/>
          <w:sz w:val="24"/>
          <w:szCs w:val="24"/>
          <w:highlight w:val="none"/>
          <w:lang w:val="en-US" w:eastAsia="zh-CN"/>
        </w:rPr>
        <w:t>财险安庆市分公司</w:t>
      </w:r>
      <w:r>
        <w:rPr>
          <w:rFonts w:hint="eastAsia" w:ascii="仿宋" w:hAnsi="仿宋" w:eastAsia="仿宋" w:cs="仿宋"/>
          <w:b w:val="0"/>
          <w:bCs w:val="0"/>
          <w:color w:val="auto"/>
          <w:sz w:val="24"/>
          <w:szCs w:val="24"/>
          <w:highlight w:val="none"/>
        </w:rPr>
        <w:t>”）根据中标结果与中标人签署。</w:t>
      </w:r>
      <w:bookmarkEnd w:id="11"/>
      <w:r>
        <w:rPr>
          <w:rFonts w:hint="eastAsia" w:ascii="仿宋" w:hAnsi="仿宋" w:eastAsia="仿宋" w:cs="仿宋"/>
          <w:b w:val="0"/>
          <w:bCs w:val="0"/>
          <w:color w:val="auto"/>
          <w:sz w:val="24"/>
          <w:szCs w:val="24"/>
          <w:highlight w:val="none"/>
        </w:rPr>
        <w:t>现委托</w:t>
      </w:r>
      <w:r>
        <w:rPr>
          <w:rFonts w:hint="eastAsia" w:ascii="仿宋" w:hAnsi="仿宋" w:eastAsia="仿宋" w:cs="仿宋"/>
          <w:b w:val="0"/>
          <w:bCs w:val="0"/>
          <w:color w:val="auto"/>
          <w:sz w:val="24"/>
          <w:szCs w:val="24"/>
          <w:highlight w:val="none"/>
          <w:u w:val="single"/>
        </w:rPr>
        <w:t xml:space="preserve">公诚管理咨询有限公司 </w:t>
      </w:r>
      <w:r>
        <w:rPr>
          <w:rFonts w:hint="eastAsia" w:ascii="仿宋" w:hAnsi="仿宋" w:eastAsia="仿宋" w:cs="仿宋"/>
          <w:b w:val="0"/>
          <w:bCs w:val="0"/>
          <w:color w:val="auto"/>
          <w:sz w:val="24"/>
          <w:szCs w:val="24"/>
          <w:highlight w:val="none"/>
        </w:rPr>
        <w:t>（以下简称“招标代理机构”）进行公开招标，有意向且具有提供标的物能力的潜在投标人（以下简称“投标人”）可前来</w:t>
      </w:r>
      <w:r>
        <w:rPr>
          <w:rFonts w:hint="eastAsia" w:ascii="仿宋" w:hAnsi="仿宋" w:eastAsia="仿宋" w:cs="仿宋"/>
          <w:color w:val="auto"/>
          <w:sz w:val="24"/>
          <w:szCs w:val="24"/>
          <w:highlight w:val="none"/>
        </w:rPr>
        <w:t>投标。</w:t>
      </w:r>
    </w:p>
    <w:p w14:paraId="025CF804">
      <w:pPr>
        <w:pStyle w:val="2"/>
        <w:rPr>
          <w:rFonts w:hint="eastAsia" w:ascii="仿宋" w:hAnsi="仿宋" w:cs="宋体"/>
          <w:color w:val="auto"/>
          <w:szCs w:val="24"/>
          <w:highlight w:val="none"/>
        </w:rPr>
      </w:pPr>
      <w:bookmarkStart w:id="12" w:name="_Toc65682914"/>
      <w:bookmarkStart w:id="13" w:name="_Toc18478"/>
      <w:bookmarkStart w:id="14" w:name="_Toc109124224"/>
      <w:bookmarkStart w:id="15" w:name="_Toc23136"/>
      <w:r>
        <w:rPr>
          <w:rFonts w:hint="eastAsia" w:ascii="仿宋" w:hAnsi="仿宋" w:cs="宋体"/>
          <w:color w:val="auto"/>
          <w:szCs w:val="24"/>
          <w:highlight w:val="none"/>
        </w:rPr>
        <w:t>二、项目概况与招标范围</w:t>
      </w:r>
      <w:bookmarkEnd w:id="12"/>
      <w:bookmarkEnd w:id="13"/>
      <w:bookmarkEnd w:id="14"/>
      <w:bookmarkEnd w:id="15"/>
    </w:p>
    <w:p w14:paraId="57C0F812">
      <w:pPr>
        <w:keepNext w:val="0"/>
        <w:keepLines w:val="0"/>
        <w:pageBreakBefore w:val="0"/>
        <w:kinsoku/>
        <w:wordWrap/>
        <w:overflowPunct/>
        <w:topLinePunct w:val="0"/>
        <w:autoSpaceDE/>
        <w:autoSpaceDN/>
        <w:bidi w:val="0"/>
        <w:adjustRightInd/>
        <w:spacing w:line="360" w:lineRule="auto"/>
        <w:ind w:firstLine="480" w:firstLineChars="200"/>
        <w:textAlignment w:val="baseline"/>
        <w:rPr>
          <w:rFonts w:hint="eastAsia" w:ascii="仿宋" w:hAnsi="仿宋" w:eastAsia="仿宋" w:cs="宋体"/>
          <w:b w:val="0"/>
          <w:bCs w:val="0"/>
          <w:color w:val="auto"/>
          <w:sz w:val="24"/>
          <w:szCs w:val="24"/>
          <w:highlight w:val="none"/>
        </w:rPr>
      </w:pPr>
      <w:bookmarkStart w:id="16" w:name="_Toc65682915"/>
      <w:bookmarkStart w:id="17" w:name="_Toc17299"/>
      <w:r>
        <w:rPr>
          <w:rFonts w:hint="eastAsia" w:ascii="仿宋" w:hAnsi="仿宋" w:eastAsia="仿宋" w:cs="宋体"/>
          <w:color w:val="auto"/>
          <w:sz w:val="24"/>
          <w:szCs w:val="24"/>
          <w:highlight w:val="none"/>
        </w:rPr>
        <w:t>2.1项目名称：</w:t>
      </w:r>
      <w:r>
        <w:rPr>
          <w:rFonts w:hint="eastAsia" w:ascii="仿宋" w:hAnsi="仿宋" w:eastAsia="仿宋" w:cs="仿宋"/>
          <w:b w:val="0"/>
          <w:bCs w:val="0"/>
          <w:color w:val="auto"/>
          <w:sz w:val="24"/>
          <w:highlight w:val="none"/>
          <w:lang w:eastAsia="zh-CN"/>
        </w:rPr>
        <w:t>人保财险安徽省安庆市分公司车辆定点维修保养服务采购项目</w:t>
      </w:r>
      <w:r>
        <w:rPr>
          <w:rFonts w:hint="eastAsia" w:ascii="仿宋" w:hAnsi="仿宋" w:eastAsia="仿宋" w:cs="宋体"/>
          <w:b w:val="0"/>
          <w:bCs w:val="0"/>
          <w:color w:val="auto"/>
          <w:sz w:val="24"/>
          <w:szCs w:val="24"/>
          <w:highlight w:val="none"/>
        </w:rPr>
        <w:t>。</w:t>
      </w:r>
    </w:p>
    <w:p w14:paraId="6CB7FF1F">
      <w:pPr>
        <w:pStyle w:val="5"/>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b w:val="0"/>
          <w:bCs w:val="0"/>
          <w:color w:val="auto"/>
          <w:kern w:val="2"/>
          <w:sz w:val="24"/>
          <w:szCs w:val="21"/>
          <w:highlight w:val="none"/>
          <w:lang w:val="en-US" w:eastAsia="zh-CN" w:bidi="ar-SA"/>
        </w:rPr>
      </w:pPr>
      <w:r>
        <w:rPr>
          <w:rFonts w:hint="eastAsia" w:ascii="仿宋" w:hAnsi="仿宋" w:eastAsia="仿宋" w:cs="宋体"/>
          <w:b w:val="0"/>
          <w:bCs w:val="0"/>
          <w:color w:val="auto"/>
          <w:sz w:val="24"/>
          <w:szCs w:val="24"/>
          <w:highlight w:val="none"/>
        </w:rPr>
        <w:t>2.2招标范围：本次采购拟选定1家供应商为</w:t>
      </w:r>
      <w:r>
        <w:rPr>
          <w:rFonts w:hint="eastAsia" w:ascii="仿宋" w:hAnsi="仿宋" w:eastAsia="仿宋" w:cs="宋体"/>
          <w:b w:val="0"/>
          <w:bCs w:val="0"/>
          <w:color w:val="auto"/>
          <w:sz w:val="24"/>
          <w:szCs w:val="24"/>
          <w:highlight w:val="none"/>
          <w:lang w:val="en-US" w:eastAsia="zh-CN"/>
        </w:rPr>
        <w:t>安庆</w:t>
      </w:r>
      <w:r>
        <w:rPr>
          <w:rFonts w:hint="eastAsia" w:ascii="仿宋" w:hAnsi="仿宋" w:eastAsia="仿宋" w:cs="宋体"/>
          <w:b w:val="0"/>
          <w:bCs w:val="0"/>
          <w:color w:val="auto"/>
          <w:sz w:val="24"/>
          <w:szCs w:val="24"/>
          <w:highlight w:val="none"/>
        </w:rPr>
        <w:t>市分公司</w:t>
      </w:r>
      <w:r>
        <w:rPr>
          <w:rFonts w:hint="eastAsia" w:ascii="仿宋" w:hAnsi="仿宋" w:eastAsia="仿宋" w:cs="宋体"/>
          <w:b w:val="0"/>
          <w:bCs w:val="0"/>
          <w:color w:val="auto"/>
          <w:sz w:val="24"/>
          <w:szCs w:val="24"/>
          <w:highlight w:val="none"/>
          <w:lang w:eastAsia="zh-CN"/>
        </w:rPr>
        <w:t>（</w:t>
      </w:r>
      <w:r>
        <w:rPr>
          <w:rFonts w:hint="eastAsia" w:ascii="仿宋" w:hAnsi="仿宋" w:eastAsia="仿宋" w:cs="宋体"/>
          <w:b w:val="0"/>
          <w:bCs w:val="0"/>
          <w:color w:val="auto"/>
          <w:sz w:val="24"/>
          <w:szCs w:val="24"/>
          <w:highlight w:val="none"/>
          <w:lang w:val="en-US" w:eastAsia="zh-CN"/>
        </w:rPr>
        <w:t>含7个县域</w:t>
      </w:r>
      <w:r>
        <w:rPr>
          <w:rFonts w:hint="eastAsia" w:ascii="仿宋" w:hAnsi="仿宋" w:eastAsia="仿宋" w:cs="宋体"/>
          <w:b w:val="0"/>
          <w:bCs w:val="0"/>
          <w:color w:val="auto"/>
          <w:sz w:val="24"/>
          <w:szCs w:val="24"/>
          <w:highlight w:val="none"/>
          <w:lang w:eastAsia="zh-CN"/>
        </w:rPr>
        <w:t>）</w:t>
      </w:r>
      <w:r>
        <w:rPr>
          <w:rFonts w:hint="eastAsia" w:ascii="仿宋" w:hAnsi="仿宋" w:eastAsia="仿宋" w:cs="宋体"/>
          <w:b w:val="0"/>
          <w:bCs w:val="0"/>
          <w:color w:val="auto"/>
          <w:sz w:val="24"/>
          <w:szCs w:val="24"/>
          <w:highlight w:val="none"/>
          <w:lang w:val="en-US" w:eastAsia="zh-CN"/>
        </w:rPr>
        <w:t>提供免费送取车、</w:t>
      </w:r>
      <w:r>
        <w:rPr>
          <w:rFonts w:hint="eastAsia" w:ascii="仿宋" w:hAnsi="仿宋" w:eastAsia="仿宋" w:cs="宋体"/>
          <w:b w:val="0"/>
          <w:bCs w:val="0"/>
          <w:color w:val="auto"/>
          <w:sz w:val="24"/>
          <w:szCs w:val="24"/>
          <w:highlight w:val="none"/>
        </w:rPr>
        <w:t>车辆</w:t>
      </w:r>
      <w:r>
        <w:rPr>
          <w:rFonts w:hint="eastAsia" w:ascii="仿宋" w:hAnsi="仿宋" w:eastAsia="仿宋" w:cs="宋体"/>
          <w:b w:val="0"/>
          <w:bCs w:val="0"/>
          <w:color w:val="auto"/>
          <w:sz w:val="24"/>
          <w:szCs w:val="24"/>
          <w:highlight w:val="none"/>
          <w:lang w:val="en-US" w:eastAsia="zh-CN"/>
        </w:rPr>
        <w:t>上门</w:t>
      </w:r>
      <w:r>
        <w:rPr>
          <w:rFonts w:hint="eastAsia" w:ascii="仿宋" w:hAnsi="仿宋" w:eastAsia="仿宋" w:cs="宋体"/>
          <w:b w:val="0"/>
          <w:bCs w:val="0"/>
          <w:color w:val="auto"/>
          <w:sz w:val="24"/>
          <w:szCs w:val="24"/>
          <w:highlight w:val="none"/>
        </w:rPr>
        <w:t>维修和保养服务，其中小轿车、越野车及商务车系列合计</w:t>
      </w:r>
      <w:r>
        <w:rPr>
          <w:rFonts w:hint="eastAsia" w:ascii="仿宋" w:hAnsi="仿宋" w:eastAsia="仿宋" w:cs="宋体"/>
          <w:b w:val="0"/>
          <w:bCs w:val="0"/>
          <w:color w:val="auto"/>
          <w:sz w:val="24"/>
          <w:szCs w:val="24"/>
          <w:highlight w:val="none"/>
          <w:lang w:val="en-US" w:eastAsia="zh-CN"/>
        </w:rPr>
        <w:t>49</w:t>
      </w:r>
      <w:r>
        <w:rPr>
          <w:rFonts w:hint="eastAsia" w:ascii="仿宋" w:hAnsi="仿宋" w:eastAsia="仿宋" w:cs="宋体"/>
          <w:b w:val="0"/>
          <w:bCs w:val="0"/>
          <w:color w:val="auto"/>
          <w:sz w:val="24"/>
          <w:szCs w:val="24"/>
          <w:highlight w:val="none"/>
        </w:rPr>
        <w:t>辆</w:t>
      </w:r>
      <w:r>
        <w:rPr>
          <w:rFonts w:hint="eastAsia" w:ascii="仿宋" w:hAnsi="仿宋" w:eastAsia="仿宋" w:cs="宋体"/>
          <w:b w:val="0"/>
          <w:bCs w:val="0"/>
          <w:color w:val="auto"/>
          <w:sz w:val="24"/>
          <w:szCs w:val="24"/>
          <w:highlight w:val="none"/>
          <w:lang w:eastAsia="zh-CN"/>
        </w:rPr>
        <w:t>。</w:t>
      </w:r>
    </w:p>
    <w:p w14:paraId="7C06F582">
      <w:pPr>
        <w:pStyle w:val="5"/>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b w:val="0"/>
          <w:bCs w:val="0"/>
          <w:color w:val="auto"/>
          <w:kern w:val="2"/>
          <w:sz w:val="24"/>
          <w:szCs w:val="21"/>
          <w:highlight w:val="none"/>
          <w:lang w:val="en-US" w:eastAsia="zh-CN" w:bidi="ar-SA"/>
        </w:rPr>
      </w:pPr>
      <w:r>
        <w:rPr>
          <w:rFonts w:hint="eastAsia" w:ascii="仿宋" w:hAnsi="仿宋" w:eastAsia="仿宋" w:cs="仿宋"/>
          <w:b w:val="0"/>
          <w:bCs w:val="0"/>
          <w:color w:val="auto"/>
          <w:kern w:val="2"/>
          <w:sz w:val="24"/>
          <w:szCs w:val="21"/>
          <w:highlight w:val="none"/>
          <w:lang w:val="en-US" w:eastAsia="zh-CN" w:bidi="ar-SA"/>
        </w:rPr>
        <w:t>项目一：车辆保养范围：小保养包括—更换机油机滤，空滤等日常检查；大保养包括—机油，变速箱油，三滤，火花塞， 刹车油，防冻液，积碳清洗等。</w:t>
      </w:r>
    </w:p>
    <w:p w14:paraId="2E33C61A">
      <w:pPr>
        <w:pStyle w:val="5"/>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b w:val="0"/>
          <w:bCs w:val="0"/>
          <w:color w:val="auto"/>
          <w:kern w:val="2"/>
          <w:sz w:val="24"/>
          <w:szCs w:val="21"/>
          <w:highlight w:val="none"/>
          <w:lang w:val="en-US" w:eastAsia="zh-CN" w:bidi="ar-SA"/>
        </w:rPr>
      </w:pPr>
      <w:r>
        <w:rPr>
          <w:rFonts w:hint="eastAsia" w:ascii="仿宋" w:hAnsi="仿宋" w:eastAsia="仿宋" w:cs="仿宋"/>
          <w:b w:val="0"/>
          <w:bCs w:val="0"/>
          <w:color w:val="auto"/>
          <w:kern w:val="2"/>
          <w:sz w:val="24"/>
          <w:szCs w:val="21"/>
          <w:highlight w:val="none"/>
          <w:lang w:val="en-US" w:eastAsia="zh-CN" w:bidi="ar-SA"/>
        </w:rPr>
        <w:t>项目二：车辆维修范围：包括整车修理、总成修理、二级维护、 整车及各级维护和小修， 救援工作，并免费提供洗车、内饰清洗、补胎、救援、搭火、充电、检测等服务。</w:t>
      </w:r>
    </w:p>
    <w:p w14:paraId="51B34D9A">
      <w:pPr>
        <w:pStyle w:val="5"/>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宋体"/>
          <w:color w:val="auto"/>
          <w:kern w:val="0"/>
          <w:sz w:val="24"/>
          <w:szCs w:val="24"/>
          <w:highlight w:val="none"/>
          <w:lang w:bidi="ar"/>
        </w:rPr>
      </w:pPr>
      <w:r>
        <w:rPr>
          <w:rFonts w:hint="eastAsia" w:ascii="仿宋" w:hAnsi="仿宋" w:eastAsia="仿宋" w:cs="仿宋"/>
          <w:b w:val="0"/>
          <w:bCs w:val="0"/>
          <w:color w:val="auto"/>
          <w:kern w:val="2"/>
          <w:sz w:val="24"/>
          <w:szCs w:val="21"/>
          <w:highlight w:val="none"/>
          <w:lang w:val="en-US" w:eastAsia="zh-CN" w:bidi="ar-SA"/>
        </w:rPr>
        <w:t>具体内容及要求见招标文件第五章技术规范书。</w:t>
      </w:r>
    </w:p>
    <w:p w14:paraId="7629E955">
      <w:pPr>
        <w:keepNext w:val="0"/>
        <w:keepLines w:val="0"/>
        <w:pageBreakBefore w:val="0"/>
        <w:kinsoku/>
        <w:wordWrap/>
        <w:overflowPunct/>
        <w:topLinePunct w:val="0"/>
        <w:autoSpaceDE/>
        <w:autoSpaceDN/>
        <w:bidi w:val="0"/>
        <w:adjustRightInd/>
        <w:spacing w:line="360" w:lineRule="auto"/>
        <w:ind w:firstLine="480" w:firstLineChars="200"/>
        <w:textAlignment w:val="baseline"/>
        <w:rPr>
          <w:rFonts w:hint="eastAsia" w:ascii="仿宋" w:hAnsi="仿宋" w:eastAsia="仿宋" w:cs="宋体"/>
          <w:color w:val="auto"/>
          <w:sz w:val="24"/>
          <w:szCs w:val="24"/>
          <w:highlight w:val="none"/>
        </w:rPr>
      </w:pPr>
      <w:bookmarkStart w:id="18" w:name="_Hlk69456893"/>
      <w:r>
        <w:rPr>
          <w:rFonts w:hint="eastAsia" w:ascii="仿宋" w:hAnsi="仿宋" w:eastAsia="仿宋" w:cs="宋体"/>
          <w:color w:val="auto"/>
          <w:sz w:val="24"/>
          <w:szCs w:val="24"/>
          <w:highlight w:val="none"/>
        </w:rPr>
        <w:t>2.3项目性质：</w:t>
      </w:r>
      <w:r>
        <w:rPr>
          <w:rFonts w:hint="eastAsia" w:ascii="仿宋" w:hAnsi="仿宋" w:eastAsia="仿宋" w:cs="宋体"/>
          <w:color w:val="auto"/>
          <w:sz w:val="24"/>
          <w:szCs w:val="24"/>
          <w:highlight w:val="none"/>
          <w:lang w:val="en-US" w:eastAsia="zh-CN"/>
        </w:rPr>
        <w:t>服务</w:t>
      </w:r>
      <w:r>
        <w:rPr>
          <w:rFonts w:hint="eastAsia" w:ascii="仿宋" w:hAnsi="仿宋" w:eastAsia="仿宋" w:cs="宋体"/>
          <w:color w:val="auto"/>
          <w:sz w:val="24"/>
          <w:szCs w:val="24"/>
          <w:highlight w:val="none"/>
        </w:rPr>
        <w:t>。</w:t>
      </w:r>
    </w:p>
    <w:p w14:paraId="4F6131D9">
      <w:pPr>
        <w:keepNext w:val="0"/>
        <w:keepLines w:val="0"/>
        <w:pageBreakBefore w:val="0"/>
        <w:kinsoku/>
        <w:wordWrap/>
        <w:overflowPunct/>
        <w:topLinePunct w:val="0"/>
        <w:autoSpaceDE/>
        <w:autoSpaceDN/>
        <w:bidi w:val="0"/>
        <w:adjustRightInd/>
        <w:spacing w:line="360" w:lineRule="auto"/>
        <w:ind w:firstLine="480" w:firstLineChars="200"/>
        <w:textAlignment w:val="baseline"/>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rPr>
        <w:t>2.4标包划分：本项目不划分标包</w:t>
      </w:r>
      <w:r>
        <w:rPr>
          <w:rFonts w:hint="eastAsia" w:ascii="仿宋" w:hAnsi="仿宋" w:eastAsia="仿宋" w:cs="宋体"/>
          <w:color w:val="auto"/>
          <w:sz w:val="24"/>
          <w:szCs w:val="24"/>
          <w:highlight w:val="none"/>
          <w:lang w:eastAsia="zh-CN"/>
        </w:rPr>
        <w:t>。</w:t>
      </w:r>
    </w:p>
    <w:p w14:paraId="0FE4340B">
      <w:pPr>
        <w:keepNext w:val="0"/>
        <w:keepLines w:val="0"/>
        <w:pageBreakBefore w:val="0"/>
        <w:kinsoku/>
        <w:wordWrap/>
        <w:overflowPunct/>
        <w:topLinePunct w:val="0"/>
        <w:autoSpaceDE/>
        <w:autoSpaceDN/>
        <w:bidi w:val="0"/>
        <w:adjustRightInd/>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2.5</w:t>
      </w:r>
      <w:r>
        <w:rPr>
          <w:rFonts w:hint="eastAsia" w:ascii="仿宋" w:hAnsi="仿宋" w:eastAsia="仿宋" w:cs="宋体"/>
          <w:color w:val="auto"/>
          <w:sz w:val="24"/>
          <w:szCs w:val="24"/>
          <w:highlight w:val="none"/>
          <w:lang w:val="en-US" w:eastAsia="zh-CN"/>
        </w:rPr>
        <w:t>服务期限：3年。</w:t>
      </w:r>
    </w:p>
    <w:p w14:paraId="7AA2E60D">
      <w:pPr>
        <w:keepNext w:val="0"/>
        <w:keepLines w:val="0"/>
        <w:pageBreakBefore w:val="0"/>
        <w:kinsoku/>
        <w:wordWrap/>
        <w:overflowPunct/>
        <w:topLinePunct w:val="0"/>
        <w:autoSpaceDE/>
        <w:autoSpaceDN/>
        <w:bidi w:val="0"/>
        <w:adjustRightInd/>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2.6</w:t>
      </w:r>
      <w:r>
        <w:rPr>
          <w:rFonts w:hint="eastAsia" w:ascii="仿宋" w:hAnsi="仿宋" w:eastAsia="仿宋" w:cs="宋体"/>
          <w:color w:val="auto"/>
          <w:sz w:val="24"/>
          <w:szCs w:val="24"/>
          <w:highlight w:val="none"/>
          <w:lang w:val="en-US" w:eastAsia="zh-CN"/>
        </w:rPr>
        <w:t>服务</w:t>
      </w:r>
      <w:r>
        <w:rPr>
          <w:rFonts w:hint="eastAsia" w:ascii="仿宋" w:hAnsi="仿宋" w:eastAsia="仿宋" w:cs="宋体"/>
          <w:color w:val="auto"/>
          <w:sz w:val="24"/>
          <w:szCs w:val="24"/>
          <w:highlight w:val="none"/>
        </w:rPr>
        <w:t>地点：</w:t>
      </w:r>
      <w:r>
        <w:rPr>
          <w:rFonts w:hint="eastAsia" w:ascii="仿宋" w:hAnsi="仿宋" w:eastAsia="仿宋" w:cs="宋体"/>
          <w:color w:val="auto"/>
          <w:sz w:val="24"/>
          <w:szCs w:val="24"/>
          <w:highlight w:val="none"/>
          <w:lang w:val="en-US" w:eastAsia="zh-CN"/>
        </w:rPr>
        <w:t>安徽省安庆市（含县域）</w:t>
      </w:r>
      <w:r>
        <w:rPr>
          <w:rFonts w:hint="eastAsia" w:ascii="仿宋" w:hAnsi="仿宋" w:eastAsia="仿宋" w:cs="宋体"/>
          <w:color w:val="auto"/>
          <w:sz w:val="24"/>
          <w:szCs w:val="24"/>
          <w:highlight w:val="none"/>
        </w:rPr>
        <w:t>。</w:t>
      </w:r>
      <w:bookmarkEnd w:id="18"/>
    </w:p>
    <w:p w14:paraId="73697919">
      <w:pPr>
        <w:keepNext w:val="0"/>
        <w:keepLines w:val="0"/>
        <w:pageBreakBefore w:val="0"/>
        <w:kinsoku/>
        <w:wordWrap/>
        <w:overflowPunct/>
        <w:topLinePunct w:val="0"/>
        <w:autoSpaceDE/>
        <w:autoSpaceDN/>
        <w:bidi w:val="0"/>
        <w:adjustRightInd/>
        <w:spacing w:line="360" w:lineRule="auto"/>
        <w:ind w:firstLine="480" w:firstLineChars="200"/>
        <w:textAlignment w:val="baseline"/>
        <w:rPr>
          <w:rFonts w:hint="eastAsia"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lang w:val="en-US" w:eastAsia="zh-CN"/>
        </w:rPr>
        <w:t>2.7项目预算：45万元。</w:t>
      </w:r>
    </w:p>
    <w:p w14:paraId="5BBBF197">
      <w:pPr>
        <w:pStyle w:val="5"/>
        <w:keepNext w:val="0"/>
        <w:keepLines w:val="0"/>
        <w:pageBreakBefore w:val="0"/>
        <w:kinsoku/>
        <w:wordWrap/>
        <w:overflowPunct/>
        <w:topLinePunct w:val="0"/>
        <w:autoSpaceDE/>
        <w:autoSpaceDN/>
        <w:bidi w:val="0"/>
        <w:adjustRightInd/>
        <w:snapToGrid w:val="0"/>
        <w:spacing w:line="360" w:lineRule="auto"/>
        <w:ind w:firstLine="480" w:firstLineChars="200"/>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2.8★最高限价：</w:t>
      </w:r>
      <w:r>
        <w:rPr>
          <w:rFonts w:hint="eastAsia" w:ascii="仿宋" w:hAnsi="仿宋" w:eastAsia="仿宋" w:cs="仿宋"/>
          <w:b/>
          <w:bCs/>
          <w:color w:val="auto"/>
          <w:kern w:val="2"/>
          <w:sz w:val="24"/>
          <w:szCs w:val="21"/>
          <w:highlight w:val="none"/>
          <w:lang w:val="en-US" w:eastAsia="zh-CN" w:bidi="ar-SA"/>
        </w:rPr>
        <w:t>本项目采用分项折扣率（含税）报价，项目一不得超过100%（折扣率，含税）；项目二不得超过80%（折扣率，含税）</w:t>
      </w:r>
      <w:r>
        <w:rPr>
          <w:rFonts w:hint="eastAsia" w:ascii="仿宋" w:hAnsi="仿宋" w:eastAsia="仿宋" w:cs="仿宋"/>
          <w:color w:val="auto"/>
          <w:kern w:val="2"/>
          <w:sz w:val="24"/>
          <w:szCs w:val="21"/>
          <w:highlight w:val="none"/>
          <w:lang w:val="en-US" w:eastAsia="zh-CN" w:bidi="ar-SA"/>
        </w:rPr>
        <w:t>，否则将被视为无效报价。</w:t>
      </w:r>
    </w:p>
    <w:p w14:paraId="4BD0218A">
      <w:pPr>
        <w:pStyle w:val="2"/>
        <w:rPr>
          <w:rFonts w:ascii="仿宋" w:hAnsi="仿宋" w:cs="宋体"/>
          <w:color w:val="auto"/>
          <w:szCs w:val="24"/>
          <w:highlight w:val="none"/>
        </w:rPr>
      </w:pPr>
      <w:bookmarkStart w:id="19" w:name="_Toc12911"/>
      <w:bookmarkStart w:id="20" w:name="_Toc109124225"/>
      <w:r>
        <w:rPr>
          <w:rFonts w:hint="eastAsia" w:ascii="仿宋" w:hAnsi="仿宋" w:cs="宋体"/>
          <w:color w:val="auto"/>
          <w:szCs w:val="24"/>
          <w:highlight w:val="none"/>
        </w:rPr>
        <w:t>三、投标人资格要求</w:t>
      </w:r>
      <w:bookmarkEnd w:id="16"/>
      <w:bookmarkEnd w:id="17"/>
      <w:bookmarkEnd w:id="19"/>
      <w:bookmarkEnd w:id="20"/>
    </w:p>
    <w:p w14:paraId="6D723B61">
      <w:pPr>
        <w:pStyle w:val="4"/>
        <w:ind w:firstLine="480" w:firstLineChars="200"/>
        <w:rPr>
          <w:rFonts w:hint="eastAsia" w:ascii="宋体" w:hAnsi="宋体"/>
          <w:color w:val="auto"/>
          <w:szCs w:val="21"/>
          <w:highlight w:val="none"/>
        </w:rPr>
      </w:pPr>
      <w:r>
        <w:rPr>
          <w:rFonts w:hint="eastAsia" w:ascii="仿宋" w:hAnsi="仿宋" w:eastAsia="仿宋" w:cs="宋体"/>
          <w:color w:val="auto"/>
          <w:sz w:val="24"/>
          <w:szCs w:val="24"/>
          <w:highlight w:val="none"/>
        </w:rPr>
        <w:t>3.1</w:t>
      </w:r>
      <w:r>
        <w:rPr>
          <w:rFonts w:hint="eastAsia" w:ascii="仿宋" w:hAnsi="仿宋" w:eastAsia="仿宋" w:cs="Monaco"/>
          <w:b/>
          <w:bCs/>
          <w:color w:val="auto"/>
          <w:sz w:val="24"/>
          <w:szCs w:val="24"/>
          <w:highlight w:val="none"/>
        </w:rPr>
        <w:t>在中华人民共和国境内依法登记的法人或其他组织，</w:t>
      </w:r>
      <w:r>
        <w:rPr>
          <w:rFonts w:hint="eastAsia" w:ascii="仿宋" w:hAnsi="仿宋" w:eastAsia="仿宋" w:cs="Monaco"/>
          <w:b/>
          <w:color w:val="auto"/>
          <w:sz w:val="24"/>
          <w:szCs w:val="24"/>
          <w:highlight w:val="none"/>
        </w:rPr>
        <w:t>具有独立承担民事责任的能力</w:t>
      </w:r>
      <w:r>
        <w:rPr>
          <w:rFonts w:hint="eastAsia" w:ascii="仿宋" w:hAnsi="仿宋" w:eastAsia="仿宋" w:cs="Monaco"/>
          <w:color w:val="auto"/>
          <w:sz w:val="24"/>
          <w:szCs w:val="24"/>
          <w:highlight w:val="none"/>
        </w:rPr>
        <w:t>，投标人如为企业法人，须提供企业法人营业执照</w:t>
      </w:r>
      <w:r>
        <w:rPr>
          <w:rFonts w:hint="eastAsia" w:ascii="仿宋" w:hAnsi="仿宋" w:eastAsia="仿宋" w:cs="Monaco"/>
          <w:color w:val="auto"/>
          <w:sz w:val="24"/>
          <w:highlight w:val="none"/>
        </w:rPr>
        <w:t>（复印件）</w:t>
      </w:r>
      <w:r>
        <w:rPr>
          <w:rFonts w:hint="eastAsia" w:ascii="仿宋" w:hAnsi="仿宋" w:eastAsia="仿宋" w:cs="Monaco"/>
          <w:color w:val="auto"/>
          <w:sz w:val="24"/>
          <w:szCs w:val="24"/>
          <w:highlight w:val="none"/>
        </w:rPr>
        <w:t>；投标人如为事业单位或其他组织，须提供事业单位法人证书或登记证或组织机构代码证或其他有效证明文件（复印件）。</w:t>
      </w:r>
    </w:p>
    <w:p w14:paraId="20421D10">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3.</w:t>
      </w:r>
      <w:r>
        <w:rPr>
          <w:rFonts w:ascii="仿宋" w:hAnsi="仿宋" w:eastAsia="仿宋" w:cs="宋体"/>
          <w:color w:val="auto"/>
          <w:sz w:val="24"/>
          <w:szCs w:val="24"/>
          <w:highlight w:val="none"/>
        </w:rPr>
        <w:t>2</w:t>
      </w:r>
      <w:r>
        <w:rPr>
          <w:rFonts w:hint="eastAsia" w:ascii="仿宋" w:hAnsi="仿宋" w:eastAsia="仿宋" w:cs="宋体"/>
          <w:b/>
          <w:color w:val="auto"/>
          <w:sz w:val="24"/>
          <w:szCs w:val="24"/>
          <w:highlight w:val="none"/>
        </w:rPr>
        <w:t>具有良好的商业信誉和健全的财务会计制度</w:t>
      </w:r>
      <w:r>
        <w:rPr>
          <w:rFonts w:hint="eastAsia" w:ascii="仿宋" w:hAnsi="仿宋" w:eastAsia="仿宋" w:cs="宋体"/>
          <w:color w:val="auto"/>
          <w:sz w:val="24"/>
          <w:szCs w:val="24"/>
          <w:highlight w:val="none"/>
        </w:rPr>
        <w:t>，需提供20</w:t>
      </w:r>
      <w:r>
        <w:rPr>
          <w:rFonts w:ascii="仿宋" w:hAnsi="仿宋" w:eastAsia="仿宋" w:cs="宋体"/>
          <w:color w:val="auto"/>
          <w:sz w:val="24"/>
          <w:szCs w:val="24"/>
          <w:highlight w:val="none"/>
        </w:rPr>
        <w:t>2</w:t>
      </w:r>
      <w:r>
        <w:rPr>
          <w:rFonts w:hint="eastAsia" w:ascii="仿宋" w:hAnsi="仿宋" w:eastAsia="仿宋" w:cs="宋体"/>
          <w:color w:val="auto"/>
          <w:sz w:val="24"/>
          <w:szCs w:val="24"/>
          <w:highlight w:val="none"/>
          <w:lang w:val="en-US" w:eastAsia="zh-CN"/>
        </w:rPr>
        <w:t>4</w:t>
      </w:r>
      <w:r>
        <w:rPr>
          <w:rFonts w:hint="eastAsia" w:ascii="仿宋" w:hAnsi="仿宋" w:eastAsia="仿宋" w:cs="宋体"/>
          <w:color w:val="auto"/>
          <w:sz w:val="24"/>
          <w:szCs w:val="24"/>
          <w:highlight w:val="none"/>
        </w:rPr>
        <w:t>年度经会计师事务所或审计机构审计的财务审计报告及财务报表（至少包含会计师事务所或审计机构签章页、资产负债表、现金流量表、损益表/利润表）或开标日前6个月内开具的银行资信证明。</w:t>
      </w:r>
    </w:p>
    <w:p w14:paraId="181CF645">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3.3 </w:t>
      </w:r>
      <w:r>
        <w:rPr>
          <w:rFonts w:hint="eastAsia" w:ascii="仿宋" w:hAnsi="仿宋" w:eastAsia="仿宋" w:cs="宋体"/>
          <w:b/>
          <w:bCs/>
          <w:color w:val="auto"/>
          <w:sz w:val="24"/>
          <w:szCs w:val="24"/>
          <w:highlight w:val="none"/>
        </w:rPr>
        <w:t>投标人应具有履行合同所必需的设备和专业技术能力</w:t>
      </w:r>
      <w:r>
        <w:rPr>
          <w:rFonts w:hint="eastAsia" w:ascii="仿宋" w:hAnsi="仿宋" w:eastAsia="仿宋" w:cs="宋体"/>
          <w:color w:val="auto"/>
          <w:sz w:val="24"/>
          <w:szCs w:val="24"/>
          <w:highlight w:val="none"/>
        </w:rPr>
        <w:t>，投标人</w:t>
      </w:r>
      <w:r>
        <w:rPr>
          <w:rFonts w:hint="eastAsia" w:ascii="仿宋" w:hAnsi="仿宋" w:eastAsia="仿宋" w:cs="宋体"/>
          <w:color w:val="auto"/>
          <w:sz w:val="24"/>
          <w:szCs w:val="24"/>
          <w:highlight w:val="none"/>
          <w:lang w:val="en-US" w:eastAsia="zh-CN"/>
        </w:rPr>
        <w:t>提供承诺函并加盖公章</w:t>
      </w:r>
      <w:r>
        <w:rPr>
          <w:rFonts w:hint="eastAsia" w:ascii="仿宋" w:hAnsi="仿宋" w:eastAsia="仿宋" w:cs="宋体"/>
          <w:color w:val="auto"/>
          <w:sz w:val="24"/>
          <w:szCs w:val="24"/>
          <w:highlight w:val="none"/>
        </w:rPr>
        <w:t>。</w:t>
      </w:r>
    </w:p>
    <w:p w14:paraId="482FF69E">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3.4</w:t>
      </w:r>
      <w:r>
        <w:rPr>
          <w:rFonts w:hint="eastAsia" w:ascii="仿宋" w:hAnsi="仿宋" w:eastAsia="仿宋" w:cs="宋体"/>
          <w:color w:val="auto"/>
          <w:sz w:val="24"/>
          <w:szCs w:val="24"/>
          <w:highlight w:val="none"/>
          <w:lang w:val="en-US" w:eastAsia="zh-CN"/>
        </w:rPr>
        <w:t xml:space="preserve"> </w:t>
      </w:r>
      <w:r>
        <w:rPr>
          <w:rFonts w:hint="eastAsia" w:ascii="仿宋" w:hAnsi="仿宋" w:eastAsia="仿宋" w:cs="宋体"/>
          <w:b/>
          <w:bCs/>
          <w:color w:val="auto"/>
          <w:sz w:val="24"/>
          <w:szCs w:val="24"/>
          <w:highlight w:val="none"/>
          <w:lang w:val="en-US" w:eastAsia="zh-CN"/>
        </w:rPr>
        <w:t>具有依法缴纳税收和社会保障资金的良好记录</w:t>
      </w:r>
      <w:r>
        <w:rPr>
          <w:rFonts w:hint="eastAsia" w:ascii="仿宋" w:hAnsi="仿宋" w:eastAsia="仿宋" w:cs="宋体"/>
          <w:color w:val="auto"/>
          <w:sz w:val="24"/>
          <w:szCs w:val="24"/>
          <w:highlight w:val="none"/>
          <w:lang w:val="en-US" w:eastAsia="zh-CN"/>
        </w:rPr>
        <w:t>，提供近6个月任意一个月的税收和社会保障资金缴纳凭证</w:t>
      </w:r>
      <w:r>
        <w:rPr>
          <w:rFonts w:hint="eastAsia" w:ascii="仿宋" w:hAnsi="仿宋" w:eastAsia="仿宋" w:cs="宋体"/>
          <w:color w:val="auto"/>
          <w:sz w:val="24"/>
          <w:szCs w:val="24"/>
          <w:highlight w:val="none"/>
        </w:rPr>
        <w:t>。</w:t>
      </w:r>
    </w:p>
    <w:p w14:paraId="5A27A709">
      <w:pPr>
        <w:spacing w:line="360" w:lineRule="auto"/>
        <w:ind w:firstLine="480" w:firstLineChars="200"/>
        <w:textAlignment w:val="baseline"/>
        <w:rPr>
          <w:rFonts w:hint="eastAsia" w:ascii="仿宋" w:hAnsi="仿宋" w:eastAsia="仿宋" w:cs="Monaco"/>
          <w:color w:val="auto"/>
          <w:sz w:val="24"/>
          <w:szCs w:val="24"/>
          <w:highlight w:val="none"/>
        </w:rPr>
      </w:pPr>
      <w:r>
        <w:rPr>
          <w:rFonts w:hint="eastAsia" w:ascii="仿宋" w:hAnsi="仿宋" w:eastAsia="仿宋" w:cs="宋体"/>
          <w:color w:val="auto"/>
          <w:sz w:val="24"/>
          <w:szCs w:val="24"/>
          <w:highlight w:val="none"/>
        </w:rPr>
        <w:t>3.5</w:t>
      </w:r>
      <w:r>
        <w:rPr>
          <w:rFonts w:hint="eastAsia" w:ascii="仿宋" w:hAnsi="仿宋" w:eastAsia="仿宋" w:cs="Monaco"/>
          <w:b/>
          <w:color w:val="auto"/>
          <w:sz w:val="24"/>
          <w:szCs w:val="24"/>
          <w:highlight w:val="none"/>
        </w:rPr>
        <w:t>投标人应经营状况良好，且近三年内（</w:t>
      </w:r>
      <w:r>
        <w:rPr>
          <w:rFonts w:hint="eastAsia" w:ascii="仿宋" w:hAnsi="仿宋" w:eastAsia="仿宋" w:cs="Monaco"/>
          <w:b/>
          <w:color w:val="auto"/>
          <w:sz w:val="24"/>
          <w:szCs w:val="24"/>
          <w:highlight w:val="none"/>
          <w:lang w:val="en-US" w:eastAsia="zh-CN"/>
        </w:rPr>
        <w:t>自本项目投标文件递交截止时间往前追溯</w:t>
      </w:r>
      <w:r>
        <w:rPr>
          <w:rFonts w:hint="eastAsia" w:ascii="仿宋" w:hAnsi="仿宋" w:eastAsia="仿宋" w:cs="Monaco"/>
          <w:b/>
          <w:color w:val="auto"/>
          <w:sz w:val="24"/>
          <w:szCs w:val="24"/>
          <w:highlight w:val="none"/>
        </w:rPr>
        <w:t>）无违法违规记录。</w:t>
      </w:r>
      <w:r>
        <w:rPr>
          <w:rFonts w:hint="eastAsia" w:ascii="仿宋" w:hAnsi="仿宋" w:eastAsia="仿宋" w:cs="Monaco"/>
          <w:color w:val="auto"/>
          <w:sz w:val="24"/>
          <w:szCs w:val="24"/>
          <w:highlight w:val="none"/>
        </w:rPr>
        <w:t>违法违规记录是指被“信用中国”列入失信被执行人、重大税收违法失信主体、政府采购严重违法失信行为记录名单。投标人需提供自招标公告发布之日至投标截止之日期间对以上三项内容的查询截图。</w:t>
      </w:r>
    </w:p>
    <w:p w14:paraId="5A9A7D3B">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baseline"/>
        <w:rPr>
          <w:rFonts w:hint="eastAsia" w:ascii="仿宋" w:hAnsi="仿宋" w:eastAsia="仿宋" w:cs="Monaco"/>
          <w:color w:val="auto"/>
          <w:sz w:val="24"/>
          <w:szCs w:val="24"/>
          <w:highlight w:val="none"/>
        </w:rPr>
      </w:pPr>
      <w:r>
        <w:rPr>
          <w:rFonts w:hint="eastAsia" w:ascii="仿宋" w:hAnsi="仿宋" w:eastAsia="仿宋" w:cs="Monaco"/>
          <w:color w:val="auto"/>
          <w:sz w:val="24"/>
          <w:szCs w:val="24"/>
          <w:highlight w:val="none"/>
        </w:rPr>
        <w:t>信用中国查询网址：https</w:t>
      </w:r>
      <w:r>
        <w:rPr>
          <w:rFonts w:hint="eastAsia" w:ascii="仿宋" w:hAnsi="仿宋" w:eastAsia="仿宋" w:cs="Monaco"/>
          <w:color w:val="auto"/>
          <w:sz w:val="24"/>
          <w:szCs w:val="24"/>
          <w:highlight w:val="none"/>
          <w:lang w:eastAsia="zh-CN"/>
        </w:rPr>
        <w:t>：</w:t>
      </w:r>
      <w:r>
        <w:rPr>
          <w:rFonts w:hint="eastAsia" w:ascii="仿宋" w:hAnsi="仿宋" w:eastAsia="仿宋" w:cs="Monaco"/>
          <w:color w:val="auto"/>
          <w:sz w:val="24"/>
          <w:szCs w:val="24"/>
          <w:highlight w:val="none"/>
        </w:rPr>
        <w:t>//www.creditchina.gov.cn/xinyongfuwu/?navPage=5</w:t>
      </w:r>
    </w:p>
    <w:p w14:paraId="5B6B60F5">
      <w:pPr>
        <w:spacing w:line="360" w:lineRule="auto"/>
        <w:ind w:firstLine="480" w:firstLineChars="200"/>
        <w:textAlignment w:val="baseline"/>
        <w:rPr>
          <w:rFonts w:ascii="仿宋" w:hAnsi="仿宋" w:eastAsia="仿宋" w:cs="宋体"/>
          <w:b/>
          <w:color w:val="auto"/>
          <w:sz w:val="24"/>
          <w:szCs w:val="24"/>
          <w:highlight w:val="none"/>
        </w:rPr>
      </w:pPr>
      <w:r>
        <w:rPr>
          <w:rFonts w:hint="eastAsia" w:ascii="仿宋" w:hAnsi="仿宋" w:eastAsia="仿宋" w:cs="宋体"/>
          <w:color w:val="auto"/>
          <w:sz w:val="24"/>
          <w:szCs w:val="24"/>
          <w:highlight w:val="none"/>
        </w:rPr>
        <w:t>3</w:t>
      </w:r>
      <w:r>
        <w:rPr>
          <w:rFonts w:ascii="仿宋" w:hAnsi="仿宋" w:eastAsia="仿宋" w:cs="宋体"/>
          <w:color w:val="auto"/>
          <w:sz w:val="24"/>
          <w:szCs w:val="24"/>
          <w:highlight w:val="none"/>
        </w:rPr>
        <w:t xml:space="preserve">.6 </w:t>
      </w:r>
      <w:r>
        <w:rPr>
          <w:rFonts w:hint="eastAsia" w:ascii="仿宋" w:hAnsi="仿宋" w:eastAsia="仿宋" w:cs="宋体"/>
          <w:b/>
          <w:color w:val="auto"/>
          <w:sz w:val="24"/>
          <w:szCs w:val="24"/>
          <w:highlight w:val="none"/>
        </w:rPr>
        <w:t>严禁列入招标人及其所隶属的中国人民保险各级机构的供应商黑名单且在禁入期内的供应商参与采购活动。</w:t>
      </w:r>
      <w:bookmarkStart w:id="41" w:name="_GoBack"/>
      <w:bookmarkEnd w:id="41"/>
    </w:p>
    <w:p w14:paraId="54ED779D">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3.</w:t>
      </w:r>
      <w:r>
        <w:rPr>
          <w:rFonts w:ascii="仿宋" w:hAnsi="仿宋" w:eastAsia="仿宋" w:cs="宋体"/>
          <w:color w:val="auto"/>
          <w:sz w:val="24"/>
          <w:szCs w:val="24"/>
          <w:highlight w:val="none"/>
        </w:rPr>
        <w:t>7</w:t>
      </w:r>
      <w:r>
        <w:rPr>
          <w:rFonts w:hint="eastAsia" w:ascii="仿宋" w:hAnsi="仿宋" w:eastAsia="仿宋" w:cs="宋体"/>
          <w:color w:val="auto"/>
          <w:sz w:val="24"/>
          <w:szCs w:val="24"/>
          <w:highlight w:val="none"/>
        </w:rPr>
        <w:t>单位负责人为同一人或存在控股、管理关系的不同单位，不得参加同一标段/标包投标或未划分标段/标包的同一招标项目投标，</w:t>
      </w:r>
      <w:r>
        <w:rPr>
          <w:rFonts w:hint="eastAsia" w:ascii="仿宋" w:hAnsi="仿宋" w:eastAsia="仿宋" w:cs="Monaco"/>
          <w:color w:val="auto"/>
          <w:sz w:val="24"/>
          <w:szCs w:val="24"/>
          <w:highlight w:val="none"/>
        </w:rPr>
        <w:t>需填写《投标人控股及管理关系情况申报表》。</w:t>
      </w:r>
    </w:p>
    <w:p w14:paraId="236927AE">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3.</w:t>
      </w:r>
      <w:r>
        <w:rPr>
          <w:rFonts w:hint="eastAsia" w:ascii="仿宋" w:hAnsi="仿宋" w:eastAsia="仿宋" w:cs="宋体"/>
          <w:color w:val="auto"/>
          <w:sz w:val="24"/>
          <w:szCs w:val="24"/>
          <w:highlight w:val="none"/>
          <w:lang w:val="en-US" w:eastAsia="zh-CN"/>
        </w:rPr>
        <w:t>8</w:t>
      </w:r>
      <w:r>
        <w:rPr>
          <w:rFonts w:ascii="仿宋" w:hAnsi="仿宋" w:eastAsia="仿宋" w:cs="宋体"/>
          <w:color w:val="auto"/>
          <w:sz w:val="24"/>
          <w:szCs w:val="24"/>
          <w:highlight w:val="none"/>
        </w:rPr>
        <w:t xml:space="preserve"> </w:t>
      </w:r>
      <w:r>
        <w:rPr>
          <w:rFonts w:hint="eastAsia" w:ascii="仿宋" w:hAnsi="仿宋" w:eastAsia="仿宋" w:cs="宋体"/>
          <w:color w:val="auto"/>
          <w:sz w:val="24"/>
          <w:szCs w:val="24"/>
          <w:highlight w:val="none"/>
        </w:rPr>
        <w:t>本项目不接受联合体投标，供应商不得将其承包的服务转包、分包至其他公司。</w:t>
      </w:r>
    </w:p>
    <w:p w14:paraId="7FAF867B">
      <w:pPr>
        <w:spacing w:line="360" w:lineRule="auto"/>
        <w:ind w:firstLine="480" w:firstLineChars="200"/>
        <w:textAlignment w:val="baseline"/>
        <w:rPr>
          <w:rFonts w:hint="eastAsia"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lang w:val="en-US" w:eastAsia="zh-CN"/>
        </w:rPr>
        <w:t>3</w:t>
      </w:r>
      <w:r>
        <w:rPr>
          <w:rFonts w:hint="eastAsia" w:ascii="仿宋" w:hAnsi="仿宋" w:eastAsia="仿宋" w:cs="宋体"/>
          <w:color w:val="auto"/>
          <w:sz w:val="24"/>
          <w:szCs w:val="24"/>
          <w:highlight w:val="none"/>
        </w:rPr>
        <w:t>.</w:t>
      </w:r>
      <w:r>
        <w:rPr>
          <w:rFonts w:hint="eastAsia" w:ascii="仿宋" w:hAnsi="仿宋" w:eastAsia="仿宋" w:cs="宋体"/>
          <w:color w:val="auto"/>
          <w:sz w:val="24"/>
          <w:szCs w:val="24"/>
          <w:highlight w:val="none"/>
          <w:lang w:val="en-US" w:eastAsia="zh-CN"/>
        </w:rPr>
        <w:t>9其它资格要求：</w:t>
      </w:r>
      <w:r>
        <w:rPr>
          <w:rFonts w:hint="eastAsia" w:ascii="仿宋" w:hAnsi="仿宋" w:eastAsia="仿宋" w:cs="宋体"/>
          <w:color w:val="auto"/>
          <w:sz w:val="24"/>
          <w:szCs w:val="24"/>
          <w:highlight w:val="none"/>
        </w:rPr>
        <w:t>投标人需具有行业三类或以上汽车修理资质</w:t>
      </w:r>
      <w:r>
        <w:rPr>
          <w:rFonts w:hint="eastAsia" w:ascii="仿宋" w:hAnsi="仿宋" w:eastAsia="仿宋" w:cs="宋体"/>
          <w:color w:val="auto"/>
          <w:sz w:val="24"/>
          <w:szCs w:val="24"/>
          <w:highlight w:val="none"/>
          <w:lang w:val="en-US" w:eastAsia="zh-CN"/>
        </w:rPr>
        <w:t>。</w:t>
      </w:r>
    </w:p>
    <w:p w14:paraId="526C4B0B">
      <w:pPr>
        <w:pStyle w:val="2"/>
        <w:rPr>
          <w:rFonts w:hint="eastAsia" w:ascii="仿宋" w:hAnsi="仿宋" w:cs="宋体"/>
          <w:color w:val="auto"/>
          <w:highlight w:val="none"/>
        </w:rPr>
      </w:pPr>
      <w:bookmarkStart w:id="21" w:name="_Toc109124226"/>
      <w:bookmarkStart w:id="22" w:name="_Toc31409"/>
      <w:bookmarkStart w:id="23" w:name="_Toc21224"/>
      <w:bookmarkStart w:id="24" w:name="_Toc65682916"/>
      <w:r>
        <w:rPr>
          <w:rFonts w:hint="eastAsia" w:ascii="仿宋" w:hAnsi="仿宋" w:cs="宋体"/>
          <w:color w:val="auto"/>
          <w:highlight w:val="none"/>
        </w:rPr>
        <w:t>四、资格审查方法</w:t>
      </w:r>
      <w:bookmarkEnd w:id="21"/>
      <w:bookmarkEnd w:id="22"/>
      <w:bookmarkEnd w:id="23"/>
      <w:bookmarkEnd w:id="24"/>
    </w:p>
    <w:p w14:paraId="385767DC">
      <w:pPr>
        <w:spacing w:line="360" w:lineRule="auto"/>
        <w:ind w:firstLine="480" w:firstLineChars="200"/>
        <w:textAlignment w:val="baseline"/>
        <w:rPr>
          <w:rFonts w:hint="eastAsia" w:ascii="仿宋" w:hAnsi="仿宋" w:eastAsia="仿宋" w:cs="宋体"/>
          <w:color w:val="auto"/>
          <w:sz w:val="24"/>
          <w:szCs w:val="24"/>
          <w:highlight w:val="none"/>
        </w:rPr>
      </w:pPr>
      <w:bookmarkStart w:id="25" w:name="_Toc32460"/>
      <w:bookmarkStart w:id="26" w:name="_Toc65682917"/>
      <w:r>
        <w:rPr>
          <w:rFonts w:hint="eastAsia" w:ascii="仿宋" w:hAnsi="仿宋" w:eastAsia="仿宋" w:cs="宋体"/>
          <w:color w:val="auto"/>
          <w:sz w:val="24"/>
          <w:szCs w:val="24"/>
          <w:highlight w:val="none"/>
        </w:rPr>
        <w:t>本项目将进行资格后审，资格审查方法为合格制，资格审查标准和内容见招标文件第三章“评标办法”。未通过资格后审的投标人，投标将被否决。</w:t>
      </w:r>
    </w:p>
    <w:p w14:paraId="11F4080C">
      <w:pPr>
        <w:pStyle w:val="2"/>
        <w:rPr>
          <w:rFonts w:hint="eastAsia" w:ascii="仿宋" w:hAnsi="仿宋" w:cs="宋体"/>
          <w:color w:val="auto"/>
          <w:szCs w:val="24"/>
          <w:highlight w:val="none"/>
        </w:rPr>
      </w:pPr>
      <w:bookmarkStart w:id="27" w:name="_Toc15438"/>
      <w:bookmarkStart w:id="28" w:name="_Toc109124227"/>
      <w:r>
        <w:rPr>
          <w:rFonts w:hint="eastAsia" w:ascii="仿宋" w:hAnsi="仿宋" w:cs="宋体"/>
          <w:color w:val="auto"/>
          <w:szCs w:val="24"/>
          <w:highlight w:val="none"/>
        </w:rPr>
        <w:t>五、招标文件的获取</w:t>
      </w:r>
      <w:bookmarkEnd w:id="25"/>
      <w:bookmarkEnd w:id="26"/>
      <w:bookmarkEnd w:id="27"/>
      <w:bookmarkEnd w:id="28"/>
    </w:p>
    <w:p w14:paraId="7AC3522F">
      <w:pP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5.1凡有意参加投标者，请于</w:t>
      </w:r>
      <w:r>
        <w:rPr>
          <w:rFonts w:hint="eastAsia" w:ascii="仿宋" w:hAnsi="仿宋" w:eastAsia="仿宋" w:cs="仿宋"/>
          <w:b/>
          <w:bCs/>
          <w:color w:val="auto"/>
          <w:sz w:val="24"/>
          <w:highlight w:val="none"/>
          <w:u w:val="single"/>
        </w:rPr>
        <w:t>202</w:t>
      </w:r>
      <w:r>
        <w:rPr>
          <w:rFonts w:hint="eastAsia" w:ascii="仿宋" w:hAnsi="仿宋" w:eastAsia="仿宋" w:cs="仿宋"/>
          <w:b/>
          <w:bCs/>
          <w:color w:val="auto"/>
          <w:sz w:val="24"/>
          <w:highlight w:val="none"/>
          <w:u w:val="single"/>
          <w:lang w:val="en-US" w:eastAsia="zh-CN"/>
        </w:rPr>
        <w:t>6</w:t>
      </w:r>
      <w:r>
        <w:rPr>
          <w:rFonts w:hint="eastAsia" w:ascii="仿宋" w:hAnsi="仿宋" w:eastAsia="仿宋" w:cs="仿宋"/>
          <w:b/>
          <w:bCs/>
          <w:color w:val="auto"/>
          <w:sz w:val="24"/>
          <w:highlight w:val="none"/>
        </w:rPr>
        <w:t>年</w:t>
      </w:r>
      <w:r>
        <w:rPr>
          <w:rFonts w:hint="eastAsia" w:ascii="仿宋" w:hAnsi="仿宋" w:eastAsia="仿宋" w:cs="仿宋"/>
          <w:b/>
          <w:bCs/>
          <w:color w:val="auto"/>
          <w:sz w:val="24"/>
          <w:highlight w:val="none"/>
          <w:u w:val="single"/>
          <w:lang w:val="en-US" w:eastAsia="zh-CN"/>
        </w:rPr>
        <w:t>4月14</w:t>
      </w:r>
      <w:r>
        <w:rPr>
          <w:rFonts w:hint="eastAsia" w:ascii="仿宋" w:hAnsi="仿宋" w:eastAsia="仿宋" w:cs="仿宋"/>
          <w:b/>
          <w:bCs/>
          <w:color w:val="auto"/>
          <w:sz w:val="24"/>
          <w:highlight w:val="none"/>
        </w:rPr>
        <w:t>日至</w:t>
      </w:r>
      <w:r>
        <w:rPr>
          <w:rFonts w:hint="eastAsia" w:ascii="仿宋" w:hAnsi="仿宋" w:eastAsia="仿宋" w:cs="仿宋"/>
          <w:b/>
          <w:bCs/>
          <w:color w:val="auto"/>
          <w:sz w:val="24"/>
          <w:highlight w:val="none"/>
          <w:u w:val="single"/>
          <w:lang w:val="en-US" w:eastAsia="zh-CN"/>
        </w:rPr>
        <w:t>2</w:t>
      </w:r>
      <w:r>
        <w:rPr>
          <w:rFonts w:hint="eastAsia" w:ascii="仿宋" w:hAnsi="仿宋" w:eastAsia="仿宋" w:cs="仿宋"/>
          <w:b/>
          <w:bCs/>
          <w:color w:val="auto"/>
          <w:sz w:val="24"/>
          <w:highlight w:val="none"/>
          <w:u w:val="single"/>
        </w:rPr>
        <w:t>02</w:t>
      </w:r>
      <w:r>
        <w:rPr>
          <w:rFonts w:hint="eastAsia" w:ascii="仿宋" w:hAnsi="仿宋" w:eastAsia="仿宋" w:cs="仿宋"/>
          <w:b/>
          <w:bCs/>
          <w:color w:val="auto"/>
          <w:sz w:val="24"/>
          <w:highlight w:val="none"/>
          <w:u w:val="single"/>
          <w:lang w:val="en-US" w:eastAsia="zh-CN"/>
        </w:rPr>
        <w:t>6</w:t>
      </w:r>
      <w:r>
        <w:rPr>
          <w:rFonts w:hint="eastAsia" w:ascii="仿宋" w:hAnsi="仿宋" w:eastAsia="仿宋" w:cs="仿宋"/>
          <w:b/>
          <w:bCs/>
          <w:color w:val="auto"/>
          <w:sz w:val="24"/>
          <w:highlight w:val="none"/>
        </w:rPr>
        <w:t>年</w:t>
      </w:r>
      <w:r>
        <w:rPr>
          <w:rFonts w:hint="eastAsia" w:ascii="仿宋" w:hAnsi="仿宋" w:eastAsia="仿宋" w:cs="仿宋"/>
          <w:b/>
          <w:bCs/>
          <w:color w:val="auto"/>
          <w:sz w:val="24"/>
          <w:highlight w:val="none"/>
          <w:u w:val="single"/>
          <w:lang w:val="en-US" w:eastAsia="zh-CN"/>
        </w:rPr>
        <w:t>4月21</w:t>
      </w:r>
      <w:r>
        <w:rPr>
          <w:rFonts w:hint="eastAsia" w:ascii="仿宋" w:hAnsi="仿宋" w:eastAsia="仿宋" w:cs="仿宋"/>
          <w:b/>
          <w:bCs/>
          <w:color w:val="auto"/>
          <w:sz w:val="24"/>
          <w:highlight w:val="none"/>
        </w:rPr>
        <w:t>日</w:t>
      </w:r>
      <w:r>
        <w:rPr>
          <w:rFonts w:hint="eastAsia" w:ascii="仿宋" w:hAnsi="仿宋" w:eastAsia="仿宋" w:cs="仿宋"/>
          <w:color w:val="auto"/>
          <w:sz w:val="24"/>
          <w:highlight w:val="none"/>
        </w:rPr>
        <w:t>，登录</w:t>
      </w:r>
      <w:r>
        <w:rPr>
          <w:rFonts w:hint="eastAsia" w:ascii="仿宋" w:hAnsi="仿宋" w:eastAsia="仿宋" w:cs="仿宋"/>
          <w:color w:val="auto"/>
          <w:sz w:val="24"/>
          <w:highlight w:val="none"/>
          <w:u w:val="single"/>
        </w:rPr>
        <w:t>诚E招电子采购交易平台（https</w:t>
      </w:r>
      <w:r>
        <w:rPr>
          <w:rFonts w:hint="eastAsia" w:ascii="仿宋" w:hAnsi="仿宋" w:eastAsia="仿宋" w:cs="仿宋"/>
          <w:color w:val="auto"/>
          <w:sz w:val="24"/>
          <w:highlight w:val="none"/>
          <w:u w:val="single"/>
          <w:lang w:eastAsia="zh-CN"/>
        </w:rPr>
        <w:t>：</w:t>
      </w:r>
      <w:r>
        <w:rPr>
          <w:rFonts w:hint="eastAsia" w:ascii="仿宋" w:hAnsi="仿宋" w:eastAsia="仿宋" w:cs="仿宋"/>
          <w:color w:val="auto"/>
          <w:sz w:val="24"/>
          <w:highlight w:val="none"/>
          <w:u w:val="single"/>
        </w:rPr>
        <w:t>//www.chengezhao.com/）</w:t>
      </w:r>
      <w:r>
        <w:rPr>
          <w:rFonts w:hint="eastAsia" w:ascii="仿宋" w:hAnsi="仿宋" w:eastAsia="仿宋" w:cs="仿宋"/>
          <w:color w:val="auto"/>
          <w:sz w:val="24"/>
          <w:highlight w:val="none"/>
        </w:rPr>
        <w:t>下载电子招标文件。请按以下步骤顺序进行操作：通过“诚E招电子采购交易平台”（网址：https</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//www.chengezhao.com/）完成本项目招标文件的费用支付并及时下载招标文件。</w:t>
      </w:r>
    </w:p>
    <w:p w14:paraId="6DBC1937">
      <w:pP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（1）输入网址，点击【新用户注册】（注册步骤详见门户网站：【投标人操作指南】-【注册指引】）。登陆账号后点击【常用文件】，下载《投标人&amp;供应商操作手册》（已注册供应商跳过本步）；</w:t>
      </w:r>
    </w:p>
    <w:p w14:paraId="66601074">
      <w:pP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（2）注册成功后登录平台，点击【商机发现】，检索本项目并直接支付；</w:t>
      </w:r>
    </w:p>
    <w:p w14:paraId="4224A489">
      <w:pP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注意：无论招标文件是否收费，投标人请务必在标书售卖截止时间前登录平台，选择招标项目进行招标文件购买操作；否则将无法正常投标。</w:t>
      </w:r>
    </w:p>
    <w:p w14:paraId="0783ACCE">
      <w:pP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（3）选择支付方式：①网上支付（微信扫码）、②电汇（须上传汇款凭证）、③钱包支付（点击“钱包管理”，充值后即可支付）。</w:t>
      </w:r>
    </w:p>
    <w:p w14:paraId="2B750FE5">
      <w:pP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（4）点击【我的项目】，进入项目后下载招标文件即完成文件获取。</w:t>
      </w:r>
    </w:p>
    <w:p w14:paraId="39835FCE">
      <w:pP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（5）疑问反馈：投标人针对投标人注册、招标文件获取、网上操作等相关业务的咨询，可查询平台首页“帮助中心”专区，或致电客服热线020-89524219，服务时间8</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30-17</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30（工作日）。</w:t>
      </w:r>
    </w:p>
    <w:p w14:paraId="4F7D7C60">
      <w:pP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（6）免责声明：“诚E招电子采购交易平台”（网址：https</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//www.chengezhao.com/）为本项目招标文件获取的唯一渠道，其他平台支付及获取文件均属无效。</w:t>
      </w:r>
    </w:p>
    <w:p w14:paraId="2234D64A">
      <w:pP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注意：招标文件的获取方式及操作步骤详见《投标人&amp;供应商操作手册》-“购买文件”等。</w:t>
      </w:r>
    </w:p>
    <w:p w14:paraId="0B6E9AF0">
      <w:pPr>
        <w:spacing w:line="360" w:lineRule="auto"/>
        <w:ind w:firstLine="480" w:firstLineChars="200"/>
        <w:rPr>
          <w:rFonts w:hint="default" w:ascii="仿宋" w:hAnsi="仿宋" w:eastAsia="仿宋" w:cs="宋体"/>
          <w:color w:val="auto"/>
          <w:sz w:val="24"/>
          <w:szCs w:val="24"/>
          <w:highlight w:val="none"/>
          <w:lang w:val="en-US" w:eastAsia="zh-CN"/>
        </w:rPr>
      </w:pPr>
      <w:r>
        <w:rPr>
          <w:rFonts w:hint="eastAsia" w:ascii="仿宋" w:hAnsi="仿宋" w:eastAsia="仿宋" w:cs="仿宋"/>
          <w:color w:val="auto"/>
          <w:sz w:val="24"/>
          <w:highlight w:val="none"/>
        </w:rPr>
        <w:t>5.2 招标文件每套售价</w:t>
      </w:r>
      <w:r>
        <w:rPr>
          <w:rFonts w:hint="eastAsia" w:ascii="仿宋" w:hAnsi="仿宋" w:eastAsia="仿宋" w:cs="仿宋"/>
          <w:color w:val="auto"/>
          <w:sz w:val="24"/>
          <w:highlight w:val="none"/>
          <w:u w:val="single"/>
        </w:rPr>
        <w:t xml:space="preserve"> 400 </w:t>
      </w:r>
      <w:r>
        <w:rPr>
          <w:rFonts w:hint="eastAsia" w:ascii="仿宋" w:hAnsi="仿宋" w:eastAsia="仿宋" w:cs="仿宋"/>
          <w:color w:val="auto"/>
          <w:sz w:val="24"/>
          <w:highlight w:val="none"/>
        </w:rPr>
        <w:t>元，售后不退。</w:t>
      </w:r>
    </w:p>
    <w:p w14:paraId="3AA4083A">
      <w:pPr>
        <w:pStyle w:val="2"/>
        <w:rPr>
          <w:rFonts w:hint="eastAsia" w:ascii="仿宋" w:hAnsi="仿宋" w:cs="宋体"/>
          <w:color w:val="auto"/>
          <w:highlight w:val="none"/>
        </w:rPr>
      </w:pPr>
      <w:bookmarkStart w:id="29" w:name="_Toc17727"/>
      <w:bookmarkStart w:id="30" w:name="_Toc7435"/>
      <w:bookmarkStart w:id="31" w:name="_Toc109124228"/>
      <w:r>
        <w:rPr>
          <w:rFonts w:hint="eastAsia" w:ascii="仿宋" w:hAnsi="仿宋" w:cs="宋体"/>
          <w:color w:val="auto"/>
          <w:highlight w:val="none"/>
        </w:rPr>
        <w:t>六、投标文件的递交</w:t>
      </w:r>
      <w:bookmarkEnd w:id="29"/>
      <w:bookmarkEnd w:id="30"/>
      <w:bookmarkEnd w:id="31"/>
    </w:p>
    <w:p w14:paraId="1322F114">
      <w:pPr>
        <w:spacing w:line="360" w:lineRule="auto"/>
        <w:ind w:firstLine="480" w:firstLineChars="200"/>
        <w:textAlignment w:val="baseline"/>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6.1投标</w:t>
      </w:r>
      <w:r>
        <w:rPr>
          <w:rFonts w:hint="eastAsia" w:ascii="仿宋" w:hAnsi="仿宋" w:eastAsia="仿宋" w:cs="宋体"/>
          <w:color w:val="auto"/>
          <w:sz w:val="24"/>
          <w:szCs w:val="24"/>
          <w:highlight w:val="none"/>
          <w:lang w:val="en-US" w:eastAsia="zh-CN"/>
        </w:rPr>
        <w:t>文件递交</w:t>
      </w:r>
      <w:r>
        <w:rPr>
          <w:rFonts w:hint="eastAsia" w:ascii="仿宋" w:hAnsi="仿宋" w:eastAsia="仿宋" w:cs="宋体"/>
          <w:color w:val="auto"/>
          <w:sz w:val="24"/>
          <w:szCs w:val="24"/>
          <w:highlight w:val="none"/>
        </w:rPr>
        <w:t>截止时间：</w:t>
      </w:r>
      <w:r>
        <w:rPr>
          <w:rFonts w:hint="eastAsia" w:ascii="仿宋" w:hAnsi="仿宋" w:eastAsia="仿宋" w:cs="宋体"/>
          <w:b/>
          <w:bCs/>
          <w:color w:val="auto"/>
          <w:sz w:val="24"/>
          <w:szCs w:val="24"/>
          <w:highlight w:val="none"/>
          <w:u w:val="single"/>
        </w:rPr>
        <w:t>20</w:t>
      </w:r>
      <w:r>
        <w:rPr>
          <w:rFonts w:hint="eastAsia" w:ascii="仿宋" w:hAnsi="仿宋" w:eastAsia="仿宋" w:cs="宋体"/>
          <w:b/>
          <w:bCs/>
          <w:color w:val="auto"/>
          <w:sz w:val="24"/>
          <w:szCs w:val="24"/>
          <w:highlight w:val="none"/>
          <w:u w:val="single"/>
          <w:lang w:val="en-US" w:eastAsia="zh-CN"/>
        </w:rPr>
        <w:t>26</w:t>
      </w:r>
      <w:r>
        <w:rPr>
          <w:rFonts w:hint="eastAsia" w:ascii="仿宋" w:hAnsi="仿宋" w:eastAsia="仿宋" w:cs="宋体"/>
          <w:b/>
          <w:bCs/>
          <w:color w:val="auto"/>
          <w:sz w:val="24"/>
          <w:szCs w:val="24"/>
          <w:highlight w:val="none"/>
          <w:u w:val="single"/>
        </w:rPr>
        <w:t>年</w:t>
      </w:r>
      <w:r>
        <w:rPr>
          <w:rFonts w:hint="eastAsia" w:ascii="仿宋" w:hAnsi="仿宋" w:eastAsia="仿宋" w:cs="宋体"/>
          <w:b/>
          <w:bCs/>
          <w:color w:val="auto"/>
          <w:sz w:val="24"/>
          <w:szCs w:val="24"/>
          <w:highlight w:val="none"/>
          <w:u w:val="single"/>
          <w:lang w:val="en-US" w:eastAsia="zh-CN"/>
        </w:rPr>
        <w:t>5月6</w:t>
      </w:r>
      <w:r>
        <w:rPr>
          <w:rFonts w:hint="eastAsia" w:ascii="仿宋" w:hAnsi="仿宋" w:eastAsia="仿宋" w:cs="宋体"/>
          <w:b/>
          <w:bCs/>
          <w:color w:val="auto"/>
          <w:sz w:val="24"/>
          <w:szCs w:val="24"/>
          <w:highlight w:val="none"/>
          <w:u w:val="single"/>
        </w:rPr>
        <w:t>日</w:t>
      </w:r>
      <w:r>
        <w:rPr>
          <w:rFonts w:hint="eastAsia" w:ascii="仿宋" w:hAnsi="仿宋" w:eastAsia="仿宋" w:cs="宋体"/>
          <w:b/>
          <w:bCs/>
          <w:color w:val="auto"/>
          <w:sz w:val="24"/>
          <w:szCs w:val="24"/>
          <w:highlight w:val="none"/>
          <w:u w:val="single"/>
          <w:lang w:val="en-US" w:eastAsia="zh-CN"/>
        </w:rPr>
        <w:t>10</w:t>
      </w:r>
      <w:r>
        <w:rPr>
          <w:rFonts w:hint="eastAsia" w:ascii="仿宋" w:hAnsi="仿宋" w:eastAsia="仿宋" w:cs="宋体"/>
          <w:b/>
          <w:bCs/>
          <w:color w:val="auto"/>
          <w:sz w:val="24"/>
          <w:szCs w:val="24"/>
          <w:highlight w:val="none"/>
          <w:u w:val="single"/>
        </w:rPr>
        <w:t>时</w:t>
      </w:r>
      <w:r>
        <w:rPr>
          <w:rFonts w:hint="eastAsia" w:ascii="仿宋" w:hAnsi="仿宋" w:eastAsia="仿宋" w:cs="宋体"/>
          <w:b/>
          <w:bCs/>
          <w:color w:val="auto"/>
          <w:sz w:val="24"/>
          <w:szCs w:val="24"/>
          <w:highlight w:val="none"/>
          <w:u w:val="single"/>
          <w:lang w:val="en-US" w:eastAsia="zh-CN"/>
        </w:rPr>
        <w:t>00</w:t>
      </w:r>
      <w:r>
        <w:rPr>
          <w:rFonts w:hint="eastAsia" w:ascii="仿宋" w:hAnsi="仿宋" w:eastAsia="仿宋" w:cs="宋体"/>
          <w:b/>
          <w:bCs/>
          <w:color w:val="auto"/>
          <w:sz w:val="24"/>
          <w:szCs w:val="24"/>
          <w:highlight w:val="none"/>
          <w:u w:val="single"/>
        </w:rPr>
        <w:t>分00秒</w:t>
      </w:r>
      <w:r>
        <w:rPr>
          <w:rFonts w:hint="eastAsia" w:ascii="仿宋" w:hAnsi="仿宋" w:eastAsia="仿宋" w:cs="宋体"/>
          <w:color w:val="auto"/>
          <w:sz w:val="24"/>
          <w:szCs w:val="24"/>
          <w:highlight w:val="none"/>
        </w:rPr>
        <w:t>。</w:t>
      </w:r>
    </w:p>
    <w:p w14:paraId="5D6C900E">
      <w:pPr>
        <w:spacing w:line="360" w:lineRule="auto"/>
        <w:ind w:firstLine="480" w:firstLineChars="200"/>
        <w:textAlignment w:val="baseline"/>
        <w:rPr>
          <w:rFonts w:hint="eastAsia" w:ascii="仿宋" w:hAnsi="仿宋" w:eastAsia="仿宋" w:cs="宋体"/>
          <w:b/>
          <w:bCs/>
          <w:color w:val="auto"/>
          <w:sz w:val="24"/>
          <w:szCs w:val="24"/>
          <w:highlight w:val="none"/>
        </w:rPr>
      </w:pPr>
      <w:r>
        <w:rPr>
          <w:rFonts w:hint="eastAsia" w:ascii="仿宋" w:hAnsi="仿宋" w:eastAsia="仿宋" w:cs="宋体"/>
          <w:color w:val="auto"/>
          <w:sz w:val="24"/>
          <w:szCs w:val="24"/>
          <w:highlight w:val="none"/>
        </w:rPr>
        <w:t>6.2投标文件递交</w:t>
      </w:r>
      <w:r>
        <w:rPr>
          <w:rFonts w:hint="eastAsia" w:ascii="仿宋" w:hAnsi="仿宋" w:eastAsia="仿宋" w:cs="宋体"/>
          <w:color w:val="auto"/>
          <w:sz w:val="24"/>
          <w:szCs w:val="24"/>
          <w:highlight w:val="none"/>
          <w:lang w:val="en-US" w:eastAsia="zh-CN"/>
        </w:rPr>
        <w:t>地点</w:t>
      </w:r>
      <w:r>
        <w:rPr>
          <w:rFonts w:hint="eastAsia" w:ascii="仿宋" w:hAnsi="仿宋" w:eastAsia="仿宋" w:cs="宋体"/>
          <w:color w:val="auto"/>
          <w:sz w:val="24"/>
          <w:szCs w:val="24"/>
          <w:highlight w:val="none"/>
        </w:rPr>
        <w:t>：须现场递交</w:t>
      </w:r>
      <w:r>
        <w:rPr>
          <w:rFonts w:hint="eastAsia" w:ascii="仿宋" w:hAnsi="仿宋" w:eastAsia="仿宋" w:cs="宋体"/>
          <w:color w:val="auto"/>
          <w:sz w:val="24"/>
          <w:szCs w:val="24"/>
          <w:highlight w:val="none"/>
          <w:lang w:eastAsia="zh-CN"/>
        </w:rPr>
        <w:t>（</w:t>
      </w:r>
      <w:r>
        <w:rPr>
          <w:rFonts w:hint="eastAsia" w:ascii="仿宋" w:hAnsi="仿宋" w:eastAsia="仿宋" w:cs="宋体"/>
          <w:color w:val="auto"/>
          <w:sz w:val="24"/>
          <w:szCs w:val="24"/>
          <w:highlight w:val="none"/>
          <w:lang w:val="en-US" w:eastAsia="zh-CN"/>
        </w:rPr>
        <w:t>不接受邮寄</w:t>
      </w:r>
      <w:r>
        <w:rPr>
          <w:rFonts w:hint="eastAsia" w:ascii="仿宋" w:hAnsi="仿宋" w:eastAsia="仿宋" w:cs="宋体"/>
          <w:color w:val="auto"/>
          <w:sz w:val="24"/>
          <w:szCs w:val="24"/>
          <w:highlight w:val="none"/>
          <w:lang w:eastAsia="zh-CN"/>
        </w:rPr>
        <w:t>）</w:t>
      </w:r>
      <w:r>
        <w:rPr>
          <w:rFonts w:hint="eastAsia" w:ascii="仿宋" w:hAnsi="仿宋" w:eastAsia="仿宋" w:cs="宋体"/>
          <w:color w:val="auto"/>
          <w:sz w:val="24"/>
          <w:szCs w:val="24"/>
          <w:highlight w:val="none"/>
        </w:rPr>
        <w:t>至</w:t>
      </w:r>
      <w:r>
        <w:rPr>
          <w:rFonts w:hint="eastAsia" w:ascii="仿宋" w:hAnsi="仿宋" w:eastAsia="仿宋" w:cs="仿宋"/>
          <w:b w:val="0"/>
          <w:bCs/>
          <w:color w:val="auto"/>
          <w:sz w:val="24"/>
          <w:highlight w:val="none"/>
          <w:u w:val="single"/>
        </w:rPr>
        <w:t>安徽省合肥市包河区宿松路与汤泉路交口绿地中心D座54F公诚管理咨询有限公司开标室</w:t>
      </w:r>
      <w:r>
        <w:rPr>
          <w:rFonts w:hint="eastAsia" w:ascii="仿宋" w:hAnsi="仿宋" w:eastAsia="仿宋" w:cs="宋体"/>
          <w:color w:val="auto"/>
          <w:sz w:val="24"/>
          <w:szCs w:val="24"/>
          <w:highlight w:val="none"/>
        </w:rPr>
        <w:t>，</w:t>
      </w:r>
      <w:r>
        <w:rPr>
          <w:rFonts w:hint="eastAsia" w:ascii="仿宋" w:hAnsi="仿宋" w:eastAsia="仿宋" w:cs="宋体"/>
          <w:b/>
          <w:bCs/>
          <w:color w:val="auto"/>
          <w:sz w:val="24"/>
          <w:szCs w:val="24"/>
          <w:highlight w:val="none"/>
        </w:rPr>
        <w:t>逾期送达或者未送达指定地点或者未按照招标文件要求封装的纸质投标文件不予接收。</w:t>
      </w:r>
      <w:bookmarkStart w:id="32" w:name="_Toc109124229"/>
      <w:bookmarkStart w:id="33" w:name="_Toc3941"/>
    </w:p>
    <w:p w14:paraId="0F92E302">
      <w:pPr>
        <w:spacing w:line="360" w:lineRule="auto"/>
        <w:ind w:firstLine="480" w:firstLineChars="200"/>
        <w:textAlignment w:val="baseline"/>
        <w:rPr>
          <w:rFonts w:hint="eastAsia" w:ascii="仿宋" w:hAnsi="仿宋" w:eastAsia="仿宋" w:cs="宋体"/>
          <w:b w:val="0"/>
          <w:bCs w:val="0"/>
          <w:color w:val="auto"/>
          <w:kern w:val="2"/>
          <w:sz w:val="24"/>
          <w:szCs w:val="24"/>
          <w:highlight w:val="none"/>
          <w:lang w:val="en-US" w:eastAsia="zh-CN" w:bidi="ar-SA"/>
        </w:rPr>
      </w:pPr>
      <w:r>
        <w:rPr>
          <w:rFonts w:hint="eastAsia" w:ascii="仿宋" w:hAnsi="仿宋" w:eastAsia="仿宋" w:cs="宋体"/>
          <w:b w:val="0"/>
          <w:color w:val="auto"/>
          <w:kern w:val="2"/>
          <w:sz w:val="24"/>
          <w:szCs w:val="24"/>
          <w:highlight w:val="none"/>
          <w:lang w:val="en-US" w:eastAsia="zh-CN" w:bidi="ar-SA"/>
        </w:rPr>
        <w:t>6.3</w:t>
      </w:r>
      <w:r>
        <w:rPr>
          <w:rFonts w:hint="eastAsia" w:ascii="仿宋" w:hAnsi="仿宋" w:eastAsia="仿宋" w:cs="宋体"/>
          <w:b/>
          <w:bCs/>
          <w:color w:val="auto"/>
          <w:kern w:val="2"/>
          <w:sz w:val="24"/>
          <w:szCs w:val="24"/>
          <w:highlight w:val="none"/>
          <w:lang w:val="en-US" w:eastAsia="zh-CN" w:bidi="ar-SA"/>
        </w:rPr>
        <w:t>本项目将于上述同一时间、地点进行开标</w:t>
      </w:r>
      <w:r>
        <w:rPr>
          <w:rFonts w:hint="eastAsia" w:ascii="仿宋" w:hAnsi="仿宋" w:eastAsia="仿宋" w:cs="宋体"/>
          <w:b w:val="0"/>
          <w:bCs w:val="0"/>
          <w:color w:val="auto"/>
          <w:kern w:val="2"/>
          <w:sz w:val="24"/>
          <w:szCs w:val="24"/>
          <w:highlight w:val="none"/>
          <w:lang w:val="en-US" w:eastAsia="zh-CN" w:bidi="ar-SA"/>
        </w:rPr>
        <w:t>，招标人/招标代理机构邀请投标人代表准时参加。</w:t>
      </w:r>
    </w:p>
    <w:p w14:paraId="46BBD0D0">
      <w:pPr>
        <w:spacing w:line="360" w:lineRule="auto"/>
        <w:ind w:firstLine="480" w:firstLineChars="200"/>
        <w:textAlignment w:val="baseline"/>
        <w:rPr>
          <w:rFonts w:hint="eastAsia" w:ascii="仿宋" w:hAnsi="仿宋" w:eastAsia="仿宋" w:cs="宋体"/>
          <w:b/>
          <w:bCs/>
          <w:color w:val="auto"/>
          <w:kern w:val="2"/>
          <w:sz w:val="24"/>
          <w:szCs w:val="24"/>
          <w:highlight w:val="none"/>
          <w:lang w:val="en-US" w:eastAsia="zh-CN" w:bidi="ar-SA"/>
        </w:rPr>
      </w:pPr>
      <w:r>
        <w:rPr>
          <w:rFonts w:hint="eastAsia" w:ascii="仿宋" w:hAnsi="仿宋" w:eastAsia="仿宋" w:cs="宋体"/>
          <w:b w:val="0"/>
          <w:color w:val="auto"/>
          <w:kern w:val="2"/>
          <w:sz w:val="24"/>
          <w:szCs w:val="24"/>
          <w:highlight w:val="none"/>
          <w:lang w:val="en-US" w:eastAsia="zh-CN" w:bidi="ar-SA"/>
        </w:rPr>
        <w:t>6.4</w:t>
      </w:r>
      <w:r>
        <w:rPr>
          <w:rFonts w:hint="eastAsia" w:ascii="仿宋" w:hAnsi="仿宋" w:eastAsia="仿宋" w:cs="宋体"/>
          <w:b/>
          <w:bCs/>
          <w:color w:val="auto"/>
          <w:kern w:val="2"/>
          <w:sz w:val="24"/>
          <w:szCs w:val="24"/>
          <w:highlight w:val="none"/>
          <w:lang w:val="en-US" w:eastAsia="zh-CN" w:bidi="ar-SA"/>
        </w:rPr>
        <w:t>出现以下情形之一时，招标人/招标代理机构不予接收投标文件：</w:t>
      </w:r>
    </w:p>
    <w:p w14:paraId="618CB026">
      <w:pPr>
        <w:spacing w:line="360" w:lineRule="auto"/>
        <w:ind w:firstLine="480" w:firstLineChars="200"/>
        <w:textAlignment w:val="baseline"/>
        <w:rPr>
          <w:rFonts w:hint="eastAsia" w:ascii="仿宋" w:hAnsi="仿宋" w:eastAsia="仿宋" w:cs="宋体"/>
          <w:b w:val="0"/>
          <w:color w:val="auto"/>
          <w:kern w:val="2"/>
          <w:sz w:val="24"/>
          <w:szCs w:val="24"/>
          <w:highlight w:val="none"/>
          <w:lang w:val="en-US" w:eastAsia="zh-CN" w:bidi="ar-SA"/>
        </w:rPr>
      </w:pPr>
      <w:r>
        <w:rPr>
          <w:rFonts w:hint="eastAsia" w:ascii="仿宋" w:hAnsi="仿宋" w:eastAsia="仿宋" w:cs="宋体"/>
          <w:b w:val="0"/>
          <w:color w:val="auto"/>
          <w:kern w:val="2"/>
          <w:sz w:val="24"/>
          <w:szCs w:val="24"/>
          <w:highlight w:val="none"/>
          <w:lang w:val="en-US" w:eastAsia="zh-CN" w:bidi="ar-SA"/>
        </w:rPr>
        <w:t>6.4.1  逾期送达或者未送达指定地点的；</w:t>
      </w:r>
    </w:p>
    <w:p w14:paraId="693B4B8E">
      <w:pPr>
        <w:spacing w:line="360" w:lineRule="auto"/>
        <w:ind w:firstLine="480" w:firstLineChars="200"/>
        <w:textAlignment w:val="baseline"/>
        <w:rPr>
          <w:rFonts w:hint="eastAsia" w:ascii="仿宋" w:hAnsi="仿宋" w:eastAsia="仿宋" w:cs="宋体"/>
          <w:b w:val="0"/>
          <w:color w:val="auto"/>
          <w:kern w:val="2"/>
          <w:sz w:val="24"/>
          <w:szCs w:val="24"/>
          <w:highlight w:val="none"/>
          <w:lang w:val="en-US" w:eastAsia="zh-CN" w:bidi="ar-SA"/>
        </w:rPr>
      </w:pPr>
      <w:r>
        <w:rPr>
          <w:rFonts w:hint="eastAsia" w:ascii="仿宋" w:hAnsi="仿宋" w:eastAsia="仿宋" w:cs="宋体"/>
          <w:b w:val="0"/>
          <w:color w:val="auto"/>
          <w:kern w:val="2"/>
          <w:sz w:val="24"/>
          <w:szCs w:val="24"/>
          <w:highlight w:val="none"/>
          <w:lang w:val="en-US" w:eastAsia="zh-CN" w:bidi="ar-SA"/>
        </w:rPr>
        <w:t>6.4.2  未按照招标文件要求密封的；</w:t>
      </w:r>
    </w:p>
    <w:p w14:paraId="39F2BF8F">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b w:val="0"/>
          <w:color w:val="auto"/>
          <w:kern w:val="2"/>
          <w:sz w:val="24"/>
          <w:szCs w:val="24"/>
          <w:highlight w:val="none"/>
          <w:lang w:val="en-US" w:eastAsia="zh-CN" w:bidi="ar-SA"/>
        </w:rPr>
        <w:t>6.4.3  未按照招标公告要求获取招标文件的。</w:t>
      </w:r>
    </w:p>
    <w:p w14:paraId="06FE2EF9">
      <w:pPr>
        <w:pStyle w:val="2"/>
        <w:rPr>
          <w:rFonts w:hint="eastAsia" w:ascii="仿宋" w:hAnsi="仿宋" w:cs="宋体"/>
          <w:color w:val="auto"/>
          <w:highlight w:val="none"/>
        </w:rPr>
      </w:pPr>
      <w:bookmarkStart w:id="34" w:name="_Toc10816"/>
      <w:r>
        <w:rPr>
          <w:rFonts w:hint="eastAsia" w:ascii="仿宋" w:hAnsi="仿宋" w:cs="宋体"/>
          <w:color w:val="auto"/>
          <w:highlight w:val="none"/>
          <w:lang w:val="en-US" w:eastAsia="zh-CN"/>
        </w:rPr>
        <w:t>七</w:t>
      </w:r>
      <w:r>
        <w:rPr>
          <w:rFonts w:hint="eastAsia" w:ascii="仿宋" w:hAnsi="仿宋" w:cs="宋体"/>
          <w:color w:val="auto"/>
          <w:highlight w:val="none"/>
        </w:rPr>
        <w:t>、发布公告的媒介</w:t>
      </w:r>
      <w:bookmarkEnd w:id="32"/>
      <w:bookmarkEnd w:id="33"/>
      <w:bookmarkEnd w:id="34"/>
    </w:p>
    <w:p w14:paraId="50C1AD7F">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color w:val="auto"/>
          <w:sz w:val="24"/>
          <w:szCs w:val="24"/>
          <w:highlight w:val="none"/>
        </w:rPr>
      </w:pPr>
      <w:r>
        <w:rPr>
          <w:rFonts w:hint="eastAsia" w:ascii="仿宋" w:hAnsi="仿宋" w:eastAsia="仿宋" w:cs="宋体"/>
          <w:color w:val="auto"/>
          <w:sz w:val="24"/>
          <w:szCs w:val="24"/>
          <w:highlight w:val="none"/>
        </w:rPr>
        <w:t>本项目招标公</w:t>
      </w:r>
      <w:r>
        <w:rPr>
          <w:rFonts w:hint="eastAsia" w:ascii="仿宋" w:hAnsi="仿宋" w:eastAsia="仿宋" w:cs="宋体"/>
          <w:color w:val="auto"/>
          <w:sz w:val="24"/>
          <w:szCs w:val="24"/>
          <w:highlight w:val="none"/>
          <w:u w:val="none"/>
        </w:rPr>
        <w:t>告同时在</w:t>
      </w:r>
      <w:r>
        <w:rPr>
          <w:rFonts w:hint="eastAsia" w:ascii="仿宋" w:hAnsi="仿宋" w:eastAsia="仿宋" w:cs="宋体"/>
          <w:color w:val="auto"/>
          <w:sz w:val="24"/>
          <w:highlight w:val="none"/>
          <w:u w:val="none"/>
        </w:rPr>
        <w:t>“人保e采”外网门户</w:t>
      </w:r>
      <w:r>
        <w:rPr>
          <w:rFonts w:hint="eastAsia" w:ascii="仿宋" w:hAnsi="仿宋" w:eastAsia="仿宋" w:cs="宋体"/>
          <w:color w:val="auto"/>
          <w:sz w:val="24"/>
          <w:szCs w:val="24"/>
          <w:highlight w:val="none"/>
        </w:rPr>
        <w:t>（https</w:t>
      </w:r>
      <w:r>
        <w:rPr>
          <w:rFonts w:hint="eastAsia" w:ascii="仿宋" w:hAnsi="仿宋" w:eastAsia="仿宋" w:cs="宋体"/>
          <w:color w:val="auto"/>
          <w:sz w:val="24"/>
          <w:szCs w:val="24"/>
          <w:highlight w:val="none"/>
          <w:lang w:eastAsia="zh-CN"/>
        </w:rPr>
        <w:t>：</w:t>
      </w:r>
      <w:r>
        <w:rPr>
          <w:rFonts w:hint="eastAsia" w:ascii="仿宋" w:hAnsi="仿宋" w:eastAsia="仿宋" w:cs="宋体"/>
          <w:color w:val="auto"/>
          <w:sz w:val="24"/>
          <w:szCs w:val="24"/>
          <w:highlight w:val="none"/>
        </w:rPr>
        <w:t>//ec.picc.com/）</w:t>
      </w:r>
      <w:r>
        <w:rPr>
          <w:rFonts w:hint="eastAsia" w:ascii="仿宋" w:hAnsi="仿宋" w:eastAsia="仿宋" w:cs="宋体"/>
          <w:color w:val="auto"/>
          <w:sz w:val="24"/>
          <w:szCs w:val="24"/>
          <w:highlight w:val="none"/>
          <w:lang w:eastAsia="zh-CN"/>
        </w:rPr>
        <w:t>、</w:t>
      </w:r>
      <w:r>
        <w:rPr>
          <w:rFonts w:hint="eastAsia" w:ascii="仿宋" w:hAnsi="仿宋" w:eastAsia="仿宋" w:cs="宋体"/>
          <w:color w:val="auto"/>
          <w:sz w:val="24"/>
          <w:szCs w:val="24"/>
          <w:highlight w:val="none"/>
          <w:lang w:val="en-US" w:eastAsia="zh-CN"/>
        </w:rPr>
        <w:t>中国招标投标公共服务平台（http：//www.cebpubservice.com/）、中国金融集中采购网（http：//www.cfcpn.com/）、</w:t>
      </w:r>
      <w:r>
        <w:rPr>
          <w:rFonts w:hint="eastAsia" w:ascii="仿宋" w:hAnsi="仿宋" w:eastAsia="仿宋" w:cs="宋体"/>
          <w:color w:val="auto"/>
          <w:sz w:val="24"/>
          <w:szCs w:val="24"/>
          <w:highlight w:val="none"/>
        </w:rPr>
        <w:t>中国采购与招标网（http</w:t>
      </w:r>
      <w:r>
        <w:rPr>
          <w:rFonts w:hint="eastAsia" w:ascii="仿宋" w:hAnsi="仿宋" w:eastAsia="仿宋" w:cs="宋体"/>
          <w:color w:val="auto"/>
          <w:sz w:val="24"/>
          <w:szCs w:val="24"/>
          <w:highlight w:val="none"/>
          <w:lang w:eastAsia="zh-CN"/>
        </w:rPr>
        <w:t>：</w:t>
      </w:r>
      <w:r>
        <w:rPr>
          <w:rFonts w:hint="eastAsia" w:ascii="仿宋" w:hAnsi="仿宋" w:eastAsia="仿宋" w:cs="宋体"/>
          <w:color w:val="auto"/>
          <w:sz w:val="24"/>
          <w:szCs w:val="24"/>
          <w:highlight w:val="none"/>
        </w:rPr>
        <w:t>//www.chinabid</w:t>
      </w:r>
      <w:r>
        <w:rPr>
          <w:rFonts w:hint="eastAsia" w:ascii="仿宋" w:hAnsi="仿宋" w:eastAsia="仿宋" w:cs="仿宋"/>
          <w:color w:val="auto"/>
          <w:sz w:val="24"/>
          <w:highlight w:val="none"/>
          <w:u w:val="none"/>
        </w:rPr>
        <w:t>ding.com.cn）</w:t>
      </w:r>
      <w:r>
        <w:rPr>
          <w:rFonts w:hint="eastAsia" w:ascii="仿宋" w:hAnsi="仿宋" w:eastAsia="仿宋" w:cs="宋体"/>
          <w:color w:val="auto"/>
          <w:sz w:val="24"/>
          <w:szCs w:val="24"/>
          <w:highlight w:val="none"/>
          <w:u w:val="none"/>
          <w:lang w:val="en-US" w:eastAsia="zh-CN"/>
        </w:rPr>
        <w:t>和</w:t>
      </w:r>
      <w:r>
        <w:rPr>
          <w:rFonts w:hint="eastAsia" w:ascii="仿宋" w:hAnsi="仿宋" w:eastAsia="仿宋" w:cs="仿宋"/>
          <w:color w:val="auto"/>
          <w:sz w:val="24"/>
          <w:highlight w:val="none"/>
          <w:u w:val="none"/>
        </w:rPr>
        <w:t>安徽省招标投标信息网（http</w:t>
      </w:r>
      <w:r>
        <w:rPr>
          <w:rFonts w:hint="eastAsia" w:ascii="仿宋" w:hAnsi="仿宋" w:eastAsia="仿宋" w:cs="仿宋"/>
          <w:color w:val="auto"/>
          <w:sz w:val="24"/>
          <w:highlight w:val="none"/>
          <w:u w:val="none"/>
          <w:lang w:eastAsia="zh-CN"/>
        </w:rPr>
        <w:t>：</w:t>
      </w:r>
      <w:r>
        <w:rPr>
          <w:rFonts w:hint="eastAsia" w:ascii="仿宋" w:hAnsi="仿宋" w:eastAsia="仿宋" w:cs="仿宋"/>
          <w:color w:val="auto"/>
          <w:sz w:val="24"/>
          <w:highlight w:val="none"/>
          <w:u w:val="none"/>
        </w:rPr>
        <w:t>//www.ahtba.org.cn）</w:t>
      </w:r>
      <w:r>
        <w:rPr>
          <w:rFonts w:hint="eastAsia" w:ascii="仿宋" w:hAnsi="仿宋" w:eastAsia="仿宋" w:cs="宋体"/>
          <w:color w:val="auto"/>
          <w:sz w:val="24"/>
          <w:szCs w:val="24"/>
          <w:highlight w:val="none"/>
          <w:u w:val="none"/>
        </w:rPr>
        <w:t>上发布，除上</w:t>
      </w:r>
      <w:r>
        <w:rPr>
          <w:rFonts w:hint="eastAsia" w:ascii="仿宋" w:hAnsi="仿宋" w:eastAsia="仿宋" w:cs="宋体"/>
          <w:color w:val="auto"/>
          <w:sz w:val="24"/>
          <w:szCs w:val="24"/>
          <w:highlight w:val="none"/>
        </w:rPr>
        <w:t>述外，招标人/招标代理机构不在其他任何网站、论坛等媒介上发布任何招标采购信息，其他任何媒介上转载的、以招标人/招标代理机构为采购主体的招标采购信息均为非</w:t>
      </w:r>
      <w:r>
        <w:rPr>
          <w:rFonts w:hint="eastAsia" w:ascii="仿宋" w:hAnsi="仿宋" w:eastAsia="仿宋" w:cs="仿宋"/>
          <w:color w:val="auto"/>
          <w:sz w:val="24"/>
          <w:szCs w:val="24"/>
          <w:highlight w:val="none"/>
        </w:rPr>
        <w:t>法转载，均为无效。对于非法转载、篡改招标公告信息的组织或个人，招标人/招标代理机构保留追究其法律责任的权利。</w:t>
      </w:r>
    </w:p>
    <w:p w14:paraId="2E3A945E">
      <w:pPr>
        <w:pStyle w:val="2"/>
        <w:rPr>
          <w:rFonts w:hint="eastAsia" w:ascii="仿宋" w:hAnsi="仿宋" w:eastAsia="仿宋" w:cs="仿宋"/>
          <w:color w:val="auto"/>
          <w:highlight w:val="none"/>
        </w:rPr>
      </w:pPr>
      <w:bookmarkStart w:id="35" w:name="_Toc43"/>
      <w:bookmarkStart w:id="36" w:name="_Toc24589"/>
      <w:bookmarkStart w:id="37" w:name="_Toc109124230"/>
      <w:bookmarkStart w:id="38" w:name="_Toc20415"/>
      <w:bookmarkStart w:id="39" w:name="_Toc26408"/>
      <w:bookmarkStart w:id="40" w:name="_Toc7046"/>
      <w:r>
        <w:rPr>
          <w:rFonts w:hint="eastAsia" w:ascii="仿宋" w:hAnsi="仿宋" w:eastAsia="仿宋" w:cs="仿宋"/>
          <w:color w:val="auto"/>
          <w:highlight w:val="none"/>
          <w:lang w:val="en-US" w:eastAsia="zh-CN"/>
        </w:rPr>
        <w:t>八</w:t>
      </w:r>
      <w:r>
        <w:rPr>
          <w:rFonts w:hint="eastAsia" w:ascii="仿宋" w:hAnsi="仿宋" w:eastAsia="仿宋" w:cs="仿宋"/>
          <w:color w:val="auto"/>
          <w:highlight w:val="none"/>
        </w:rPr>
        <w:t>、联系方式</w:t>
      </w:r>
      <w:bookmarkEnd w:id="35"/>
      <w:bookmarkEnd w:id="36"/>
      <w:bookmarkEnd w:id="37"/>
      <w:bookmarkEnd w:id="38"/>
      <w:bookmarkEnd w:id="39"/>
      <w:bookmarkEnd w:id="40"/>
    </w:p>
    <w:p w14:paraId="6C2F95E4">
      <w:pPr>
        <w:spacing w:line="360" w:lineRule="auto"/>
        <w:ind w:firstLine="480" w:firstLineChars="200"/>
        <w:rPr>
          <w:rFonts w:hint="eastAsia" w:ascii="仿宋" w:hAnsi="仿宋" w:eastAsia="仿宋" w:cs="仿宋"/>
          <w:color w:val="auto"/>
          <w:sz w:val="24"/>
          <w:highlight w:val="none"/>
          <w:lang w:val="en-US"/>
        </w:rPr>
      </w:pPr>
      <w:r>
        <w:rPr>
          <w:rFonts w:hint="eastAsia" w:ascii="仿宋" w:hAnsi="仿宋" w:eastAsia="仿宋" w:cs="仿宋"/>
          <w:color w:val="auto"/>
          <w:sz w:val="24"/>
          <w:highlight w:val="none"/>
          <w:lang w:val="en-US" w:eastAsia="zh-CN"/>
        </w:rPr>
        <w:t>招标人：中国人民财产保险股份有限公司安庆市分公司</w:t>
      </w:r>
    </w:p>
    <w:p w14:paraId="41D41FCE">
      <w:pPr>
        <w:spacing w:line="360" w:lineRule="auto"/>
        <w:ind w:firstLine="480" w:firstLineChars="200"/>
        <w:rPr>
          <w:rFonts w:hint="default" w:ascii="仿宋" w:hAnsi="仿宋" w:eastAsia="仿宋" w:cs="仿宋"/>
          <w:color w:val="auto"/>
          <w:sz w:val="24"/>
          <w:highlight w:val="none"/>
          <w:lang w:val="en-US"/>
        </w:rPr>
      </w:pPr>
      <w:r>
        <w:rPr>
          <w:rFonts w:hint="eastAsia" w:ascii="仿宋" w:hAnsi="仿宋" w:eastAsia="仿宋" w:cs="仿宋"/>
          <w:color w:val="auto"/>
          <w:sz w:val="24"/>
          <w:highlight w:val="none"/>
          <w:lang w:val="en-US" w:eastAsia="zh-CN"/>
        </w:rPr>
        <w:t>联系人：朱女士</w:t>
      </w:r>
    </w:p>
    <w:p w14:paraId="6931B715">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招标代理机构：公诚管理咨询有限公司</w:t>
      </w:r>
    </w:p>
    <w:p w14:paraId="398EB7F7">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地址：</w:t>
      </w:r>
      <w:r>
        <w:rPr>
          <w:rFonts w:hint="eastAsia" w:ascii="仿宋" w:hAnsi="仿宋" w:eastAsia="仿宋" w:cs="仿宋"/>
          <w:color w:val="auto"/>
          <w:sz w:val="24"/>
          <w:highlight w:val="none"/>
          <w:lang w:val="en-US" w:eastAsia="zh-CN"/>
        </w:rPr>
        <w:t>安徽省</w:t>
      </w:r>
      <w:r>
        <w:rPr>
          <w:rFonts w:hint="eastAsia" w:ascii="仿宋" w:hAnsi="仿宋" w:eastAsia="仿宋" w:cs="仿宋"/>
          <w:color w:val="auto"/>
          <w:kern w:val="2"/>
          <w:sz w:val="24"/>
          <w:szCs w:val="21"/>
          <w:highlight w:val="none"/>
          <w:lang w:val="en-US" w:eastAsia="zh-CN" w:bidi="ar"/>
        </w:rPr>
        <w:t>合肥市包河区宿松路与汤泉路交口绿地中心D座54F</w:t>
      </w:r>
    </w:p>
    <w:p w14:paraId="519F28ED">
      <w:pPr>
        <w:tabs>
          <w:tab w:val="left" w:pos="7453"/>
        </w:tabs>
        <w:spacing w:line="360" w:lineRule="auto"/>
        <w:ind w:firstLine="480" w:firstLineChars="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联系人：何云峰、</w:t>
      </w:r>
      <w:r>
        <w:rPr>
          <w:rFonts w:hint="eastAsia" w:ascii="仿宋" w:hAnsi="仿宋" w:eastAsia="仿宋" w:cs="仿宋"/>
          <w:color w:val="auto"/>
          <w:sz w:val="24"/>
          <w:highlight w:val="none"/>
          <w:lang w:val="en-US" w:eastAsia="zh-CN"/>
        </w:rPr>
        <w:t>王奕欢</w:t>
      </w:r>
      <w:r>
        <w:rPr>
          <w:rFonts w:hint="eastAsia" w:ascii="仿宋" w:hAnsi="仿宋" w:eastAsia="仿宋" w:cs="仿宋"/>
          <w:color w:val="auto"/>
          <w:sz w:val="24"/>
          <w:highlight w:val="none"/>
        </w:rPr>
        <w:t>、洪鹰群、庞文勇</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盛菲、李涛</w:t>
      </w:r>
    </w:p>
    <w:p w14:paraId="22FC0EC5">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联系电话：18160881208、18156772506</w:t>
      </w:r>
    </w:p>
    <w:p w14:paraId="5CAED0A3">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邮编：232000          </w:t>
      </w:r>
    </w:p>
    <w:p w14:paraId="1A791CD3">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账户名称：公诚管理咨询有限公司</w:t>
      </w:r>
    </w:p>
    <w:p w14:paraId="608CCF3D">
      <w:pPr>
        <w:spacing w:line="360" w:lineRule="auto"/>
        <w:ind w:firstLine="480" w:firstLineChars="200"/>
        <w:textAlignment w:val="baseline"/>
        <w:rPr>
          <w:rFonts w:hint="eastAsia" w:ascii="仿宋" w:hAnsi="仿宋" w:eastAsia="仿宋" w:cs="仿宋"/>
          <w:color w:val="auto"/>
          <w:sz w:val="24"/>
          <w:highlight w:val="none"/>
        </w:rPr>
      </w:pPr>
      <w:r>
        <w:rPr>
          <w:rFonts w:hint="eastAsia" w:ascii="仿宋" w:hAnsi="仿宋" w:eastAsia="仿宋" w:cs="仿宋"/>
          <w:color w:val="auto"/>
          <w:sz w:val="24"/>
          <w:highlight w:val="none"/>
        </w:rPr>
        <w:t>开户银行：中信银行广州花园支行</w:t>
      </w:r>
    </w:p>
    <w:p w14:paraId="56A51657">
      <w:pPr>
        <w:spacing w:line="360" w:lineRule="auto"/>
        <w:ind w:firstLine="480" w:firstLineChars="200"/>
        <w:textAlignment w:val="baseline"/>
        <w:rPr>
          <w:rFonts w:hint="default" w:ascii="仿宋" w:hAnsi="仿宋" w:eastAsia="仿宋" w:cs="宋体"/>
          <w:bCs/>
          <w:color w:val="auto"/>
          <w:sz w:val="24"/>
          <w:szCs w:val="24"/>
          <w:highlight w:val="none"/>
          <w:lang w:val="en-US"/>
        </w:rPr>
      </w:pPr>
      <w:r>
        <w:rPr>
          <w:rFonts w:hint="eastAsia" w:ascii="仿宋" w:hAnsi="仿宋" w:eastAsia="仿宋" w:cs="仿宋"/>
          <w:color w:val="auto"/>
          <w:sz w:val="24"/>
          <w:highlight w:val="none"/>
        </w:rPr>
        <w:t>银行帐号：</w:t>
      </w:r>
      <w:r>
        <w:rPr>
          <w:rFonts w:hint="eastAsia" w:ascii="仿宋" w:hAnsi="仿宋" w:eastAsia="仿宋" w:cs="仿宋"/>
          <w:color w:val="auto"/>
          <w:sz w:val="24"/>
          <w:highlight w:val="none"/>
          <w:lang w:eastAsia="zh-CN"/>
        </w:rPr>
        <w:t>3110910037672609163</w:t>
      </w:r>
    </w:p>
    <w:p w14:paraId="3FF50983">
      <w:pPr>
        <w:spacing w:line="360" w:lineRule="auto"/>
        <w:ind w:firstLine="420"/>
        <w:rPr>
          <w:rFonts w:ascii="仿宋" w:hAnsi="仿宋" w:eastAsia="仿宋" w:cs="宋体"/>
          <w:color w:val="auto"/>
          <w:sz w:val="24"/>
          <w:szCs w:val="24"/>
          <w:highlight w:val="none"/>
        </w:rPr>
      </w:pPr>
    </w:p>
    <w:p w14:paraId="560E8494">
      <w:pPr>
        <w:spacing w:line="360" w:lineRule="auto"/>
        <w:ind w:firstLine="480" w:firstLineChars="200"/>
        <w:jc w:val="right"/>
        <w:textAlignment w:val="baseline"/>
        <w:rPr>
          <w:rFonts w:hint="eastAsia" w:ascii="仿宋" w:hAnsi="仿宋" w:eastAsia="仿宋" w:cs="宋体"/>
          <w:color w:val="auto"/>
          <w:sz w:val="24"/>
          <w:szCs w:val="24"/>
          <w:highlight w:val="none"/>
        </w:rPr>
      </w:pPr>
    </w:p>
    <w:p w14:paraId="1F2ACA6D">
      <w:pPr>
        <w:spacing w:line="360" w:lineRule="auto"/>
        <w:ind w:firstLine="480" w:firstLineChars="200"/>
        <w:jc w:val="right"/>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招标人：中国人民财产保险股份有限公司</w:t>
      </w:r>
      <w:r>
        <w:rPr>
          <w:rFonts w:hint="eastAsia" w:ascii="仿宋" w:hAnsi="仿宋" w:eastAsia="仿宋" w:cs="宋体"/>
          <w:color w:val="auto"/>
          <w:sz w:val="24"/>
          <w:szCs w:val="24"/>
          <w:highlight w:val="none"/>
          <w:lang w:val="en-US" w:eastAsia="zh-CN"/>
        </w:rPr>
        <w:t>安庆</w:t>
      </w:r>
      <w:r>
        <w:rPr>
          <w:rFonts w:hint="eastAsia" w:ascii="仿宋" w:hAnsi="仿宋" w:eastAsia="仿宋" w:cs="宋体"/>
          <w:color w:val="auto"/>
          <w:sz w:val="24"/>
          <w:szCs w:val="24"/>
          <w:highlight w:val="none"/>
        </w:rPr>
        <w:t>分公司</w:t>
      </w:r>
    </w:p>
    <w:p w14:paraId="784C20E1">
      <w:pPr>
        <w:spacing w:line="360" w:lineRule="auto"/>
        <w:ind w:firstLine="480" w:firstLineChars="200"/>
        <w:jc w:val="right"/>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招标代理机构：</w:t>
      </w:r>
      <w:r>
        <w:rPr>
          <w:rFonts w:hint="eastAsia" w:ascii="仿宋" w:hAnsi="仿宋" w:eastAsia="仿宋" w:cs="仿宋"/>
          <w:color w:val="auto"/>
          <w:sz w:val="24"/>
          <w:highlight w:val="none"/>
        </w:rPr>
        <w:t>公诚管理咨询有限公司</w:t>
      </w:r>
    </w:p>
    <w:p w14:paraId="69B70CB0">
      <w:pPr>
        <w:spacing w:line="360" w:lineRule="auto"/>
        <w:ind w:firstLine="480" w:firstLineChars="200"/>
        <w:jc w:val="right"/>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20</w:t>
      </w:r>
      <w:r>
        <w:rPr>
          <w:rFonts w:hint="eastAsia" w:ascii="仿宋" w:hAnsi="仿宋" w:eastAsia="仿宋" w:cs="宋体"/>
          <w:color w:val="auto"/>
          <w:sz w:val="24"/>
          <w:szCs w:val="24"/>
          <w:highlight w:val="none"/>
          <w:lang w:val="en-US" w:eastAsia="zh-CN"/>
        </w:rPr>
        <w:t>26</w:t>
      </w:r>
      <w:r>
        <w:rPr>
          <w:rFonts w:hint="eastAsia" w:ascii="仿宋" w:hAnsi="仿宋" w:eastAsia="仿宋" w:cs="宋体"/>
          <w:color w:val="auto"/>
          <w:sz w:val="24"/>
          <w:szCs w:val="24"/>
          <w:highlight w:val="none"/>
        </w:rPr>
        <w:t>年</w:t>
      </w:r>
      <w:r>
        <w:rPr>
          <w:rFonts w:hint="eastAsia" w:ascii="仿宋" w:hAnsi="仿宋" w:eastAsia="仿宋" w:cs="宋体"/>
          <w:color w:val="auto"/>
          <w:sz w:val="24"/>
          <w:szCs w:val="24"/>
          <w:highlight w:val="none"/>
          <w:lang w:val="en-US" w:eastAsia="zh-CN"/>
        </w:rPr>
        <w:t>4月14</w:t>
      </w:r>
      <w:r>
        <w:rPr>
          <w:rFonts w:hint="eastAsia" w:ascii="仿宋" w:hAnsi="仿宋" w:eastAsia="仿宋" w:cs="宋体"/>
          <w:color w:val="auto"/>
          <w:sz w:val="24"/>
          <w:szCs w:val="24"/>
          <w:highlight w:val="none"/>
        </w:rPr>
        <w:t>日</w:t>
      </w:r>
    </w:p>
    <w:p w14:paraId="5BC03EAA"/>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Monaco">
    <w:altName w:val="Courier New"/>
    <w:panose1 w:val="00000000000000000000"/>
    <w:charset w:val="00"/>
    <w:family w:val="modern"/>
    <w:pitch w:val="default"/>
    <w:sig w:usb0="00000000" w:usb1="00000000" w:usb2="00000000"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12" w:lineRule="auto"/>
      </w:pPr>
      <w:r>
        <w:separator/>
      </w:r>
    </w:p>
  </w:footnote>
  <w:footnote w:type="continuationSeparator" w:id="1">
    <w:p>
      <w:pPr>
        <w:spacing w:line="312"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0DE7567"/>
    <w:rsid w:val="50DE7567"/>
    <w:rsid w:val="5B2149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12" w:lineRule="auto"/>
      <w:jc w:val="both"/>
    </w:pPr>
    <w:rPr>
      <w:rFonts w:ascii="Calibri" w:hAnsi="Calibri" w:eastAsia="宋体" w:cs="Calibri"/>
      <w:kern w:val="2"/>
      <w:sz w:val="21"/>
      <w:lang w:val="en-US" w:eastAsia="zh-CN" w:bidi="ar-SA"/>
    </w:rPr>
  </w:style>
  <w:style w:type="paragraph" w:styleId="3">
    <w:name w:val="heading 1"/>
    <w:basedOn w:val="1"/>
    <w:next w:val="1"/>
    <w:qFormat/>
    <w:uiPriority w:val="0"/>
    <w:pPr>
      <w:keepNext/>
      <w:keepLines/>
      <w:spacing w:before="340" w:after="330" w:line="576" w:lineRule="auto"/>
      <w:jc w:val="center"/>
      <w:outlineLvl w:val="0"/>
    </w:pPr>
    <w:rPr>
      <w:rFonts w:eastAsia="仿宋"/>
      <w:b/>
      <w:kern w:val="44"/>
      <w:sz w:val="28"/>
    </w:rPr>
  </w:style>
  <w:style w:type="paragraph" w:styleId="2">
    <w:name w:val="heading 2"/>
    <w:basedOn w:val="1"/>
    <w:next w:val="1"/>
    <w:qFormat/>
    <w:uiPriority w:val="0"/>
    <w:pPr>
      <w:keepNext/>
      <w:keepLines/>
      <w:adjustRightInd w:val="0"/>
      <w:snapToGrid w:val="0"/>
      <w:spacing w:before="120" w:after="120" w:line="360" w:lineRule="auto"/>
      <w:jc w:val="left"/>
      <w:outlineLvl w:val="1"/>
    </w:pPr>
    <w:rPr>
      <w:rFonts w:ascii="宋体" w:hAnsi="Arial" w:eastAsia="仿宋"/>
      <w:b/>
      <w:sz w:val="24"/>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4">
    <w:name w:val="Body Text"/>
    <w:basedOn w:val="1"/>
    <w:unhideWhenUsed/>
    <w:qFormat/>
    <w:uiPriority w:val="99"/>
    <w:pPr>
      <w:spacing w:after="120"/>
    </w:pPr>
  </w:style>
  <w:style w:type="paragraph" w:styleId="5">
    <w:name w:val="Plain Text"/>
    <w:basedOn w:val="1"/>
    <w:qFormat/>
    <w:uiPriority w:val="0"/>
    <w:pPr>
      <w:spacing w:line="240" w:lineRule="auto"/>
    </w:pPr>
    <w:rPr>
      <w:rFonts w:ascii="宋体" w:hAnsi="Courier New"/>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2026-04-14T06:16:00Z</dcterms:created>
  <dc:creator>harry</dc:creator>
  <cp:lastModifiedBy>harry</cp:lastModifiedBy>
  <dcterms:modified xsi:type="dcterms:W3CDTF">2026-04-14T06:20:41Z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0230F15A4C284CBB93074B2AAAC39985_11</vt:lpwstr>
  </property>
  <property fmtid="{D5CDD505-2E9C-101B-9397-08002B2CF9AE}" pid="4" name="KSOTemplateDocerSaveRecord">
    <vt:lpwstr>eyJoZGlkIjoiODYwMmIyZDRjOTk2NzNmYmE5ZTJhNTMxNmI1NDAyNjkiLCJ1c2VySWQiOiIzMDgyNjI4NzkifQ==</vt:lpwstr>
  </property>
</Properties>
</file>