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tabs>
          <w:tab w:val="left" w:pos="1800"/>
          <w:tab w:val="left" w:pos="2268"/>
          <w:tab w:val="left" w:pos="4032"/>
        </w:tabs>
        <w:spacing w:line="600" w:lineRule="exact"/>
        <w:ind w:firstLine="880"/>
        <w:jc w:val="center"/>
        <w:rPr>
          <w:rFonts w:hint="eastAsia" w:ascii="黑体" w:hAnsi="黑体" w:eastAsia="黑体" w:cs="宋体"/>
          <w:kern w:val="0"/>
          <w:sz w:val="32"/>
          <w:szCs w:val="32"/>
          <w:lang w:val="en-US" w:eastAsia="zh-CN" w:bidi="ar-SA"/>
        </w:rPr>
      </w:pPr>
      <w:r>
        <w:rPr>
          <w:rFonts w:hint="eastAsia" w:ascii="黑体" w:hAnsi="黑体" w:eastAsia="黑体" w:cs="宋体"/>
          <w:kern w:val="0"/>
          <w:sz w:val="32"/>
          <w:szCs w:val="32"/>
          <w:lang w:val="en-US" w:eastAsia="zh-CN" w:bidi="ar-SA"/>
        </w:rPr>
        <w:t>人保财险上海分公司个渠部2026年度修理厂门店管理模块采购项目比选邀请文件</w:t>
      </w:r>
    </w:p>
    <w:p>
      <w:pPr>
        <w:pStyle w:val="9"/>
        <w:tabs>
          <w:tab w:val="left" w:pos="1800"/>
          <w:tab w:val="left" w:pos="2268"/>
          <w:tab w:val="left" w:pos="4032"/>
        </w:tabs>
        <w:spacing w:line="600" w:lineRule="exact"/>
        <w:ind w:firstLine="880"/>
        <w:jc w:val="center"/>
        <w:rPr>
          <w:rFonts w:hint="eastAsia" w:ascii="黑体" w:hAnsi="黑体" w:eastAsia="黑体" w:cs="宋体"/>
          <w:kern w:val="0"/>
          <w:sz w:val="32"/>
          <w:szCs w:val="32"/>
          <w:lang w:val="en-US" w:eastAsia="zh-CN" w:bidi="ar-SA"/>
        </w:rPr>
      </w:pPr>
    </w:p>
    <w:p>
      <w:pPr>
        <w:widowControl/>
        <w:adjustRightInd w:val="0"/>
        <w:snapToGrid w:val="0"/>
        <w:spacing w:line="360" w:lineRule="auto"/>
        <w:jc w:val="both"/>
        <w:rPr>
          <w:rFonts w:ascii="宋体" w:hAnsi="宋体" w:eastAsia="宋体" w:cs="宋体"/>
          <w:b/>
          <w:bCs/>
          <w:kern w:val="0"/>
          <w:sz w:val="28"/>
          <w:szCs w:val="28"/>
          <w:lang w:val="en-US" w:eastAsia="zh-CN" w:bidi="ar-SA"/>
        </w:rPr>
      </w:pPr>
      <w:r>
        <w:rPr>
          <w:rFonts w:hint="eastAsia" w:ascii="宋体" w:hAnsi="宋体" w:eastAsia="宋体" w:cs="宋体"/>
          <w:b/>
          <w:bCs/>
          <w:kern w:val="0"/>
          <w:sz w:val="28"/>
          <w:szCs w:val="28"/>
          <w:lang w:val="en-US" w:eastAsia="zh-CN" w:bidi="ar-SA"/>
        </w:rPr>
        <w:t>__________________</w:t>
      </w:r>
      <w:r>
        <w:rPr>
          <w:rFonts w:hint="eastAsia" w:ascii="宋体" w:hAnsi="宋体" w:eastAsia="宋体" w:cs="宋体"/>
          <w:kern w:val="0"/>
          <w:sz w:val="28"/>
          <w:szCs w:val="28"/>
          <w:lang w:val="en-US" w:eastAsia="zh-CN" w:bidi="ar-SA"/>
        </w:rPr>
        <w:t>公司</w:t>
      </w:r>
      <w:r>
        <w:rPr>
          <w:rFonts w:hint="eastAsia" w:ascii="宋体" w:hAnsi="宋体" w:eastAsia="宋体" w:cs="宋体"/>
          <w:b/>
          <w:bCs/>
          <w:kern w:val="0"/>
          <w:sz w:val="28"/>
          <w:szCs w:val="28"/>
          <w:lang w:val="en-US" w:eastAsia="zh-CN" w:bidi="ar-SA"/>
        </w:rPr>
        <w:t>：</w:t>
      </w:r>
    </w:p>
    <w:p>
      <w:pPr>
        <w:widowControl/>
        <w:adjustRightInd w:val="0"/>
        <w:snapToGrid w:val="0"/>
        <w:spacing w:line="360" w:lineRule="auto"/>
        <w:ind w:firstLine="560"/>
        <w:jc w:val="both"/>
        <w:rPr>
          <w:rFonts w:ascii="黑体" w:hAnsi="黑体" w:eastAsia="黑体" w:cs="宋体"/>
          <w:kern w:val="0"/>
          <w:sz w:val="28"/>
          <w:szCs w:val="28"/>
          <w:lang w:val="en-US" w:eastAsia="zh-CN" w:bidi="ar-SA"/>
        </w:rPr>
      </w:pPr>
      <w:r>
        <w:rPr>
          <w:rFonts w:hint="eastAsia" w:ascii="宋体" w:hAnsi="宋体" w:eastAsia="宋体" w:cs="宋体"/>
          <w:kern w:val="0"/>
          <w:sz w:val="28"/>
          <w:szCs w:val="28"/>
          <w:lang w:val="en-US" w:eastAsia="zh-CN" w:bidi="ar-SA"/>
        </w:rPr>
        <w:t>我公司拟通过</w:t>
      </w:r>
      <w:r>
        <w:rPr>
          <w:rFonts w:hint="eastAsia" w:ascii="宋体" w:hAnsi="宋体" w:eastAsia="宋体" w:cs="宋体"/>
          <w:b/>
          <w:bCs/>
          <w:kern w:val="0"/>
          <w:sz w:val="28"/>
          <w:szCs w:val="28"/>
          <w:lang w:val="en-US" w:eastAsia="zh-CN" w:bidi="ar-SA"/>
        </w:rPr>
        <w:t>比选方式</w:t>
      </w:r>
      <w:r>
        <w:rPr>
          <w:rFonts w:hint="eastAsia" w:ascii="宋体" w:hAnsi="宋体" w:eastAsia="宋体" w:cs="宋体"/>
          <w:kern w:val="0"/>
          <w:sz w:val="28"/>
          <w:szCs w:val="28"/>
          <w:lang w:val="en-US" w:eastAsia="zh-CN" w:bidi="ar-SA"/>
        </w:rPr>
        <w:t>选择人保财险上海分公司个渠部2026年度修理厂门店管理模块采购项目供应商，特邀请贵公司参加本次比选。</w:t>
      </w:r>
    </w:p>
    <w:p>
      <w:pPr>
        <w:widowControl/>
        <w:adjustRightInd w:val="0"/>
        <w:snapToGrid w:val="0"/>
        <w:spacing w:line="360" w:lineRule="auto"/>
        <w:ind w:firstLine="560"/>
        <w:jc w:val="both"/>
        <w:rPr>
          <w:rFonts w:ascii="宋体" w:hAnsi="宋体" w:eastAsia="宋体" w:cs="宋体"/>
          <w:kern w:val="0"/>
          <w:sz w:val="28"/>
          <w:szCs w:val="28"/>
          <w:lang w:val="en-US" w:eastAsia="zh-CN" w:bidi="ar-SA"/>
        </w:rPr>
      </w:pPr>
      <w:r>
        <w:rPr>
          <w:rFonts w:hint="eastAsia" w:ascii="宋体" w:hAnsi="宋体" w:eastAsia="宋体" w:cs="宋体"/>
          <w:color w:val="000000"/>
          <w:kern w:val="0"/>
          <w:sz w:val="28"/>
          <w:szCs w:val="28"/>
          <w:lang w:val="en-US" w:eastAsia="zh-CN" w:bidi="ar-SA"/>
        </w:rPr>
        <w:t>如贵公司有意参与，</w:t>
      </w:r>
      <w:r>
        <w:rPr>
          <w:rFonts w:hint="eastAsia" w:ascii="宋体" w:hAnsi="宋体" w:eastAsia="宋体" w:cs="宋体"/>
          <w:b/>
          <w:bCs/>
          <w:color w:val="000000"/>
          <w:kern w:val="0"/>
          <w:sz w:val="28"/>
          <w:szCs w:val="28"/>
          <w:lang w:val="en-US" w:eastAsia="zh-CN" w:bidi="ar-SA"/>
        </w:rPr>
        <w:t>严格</w:t>
      </w:r>
      <w:r>
        <w:rPr>
          <w:rFonts w:hint="eastAsia" w:ascii="宋体" w:hAnsi="宋体" w:eastAsia="宋体" w:cs="宋体"/>
          <w:color w:val="000000"/>
          <w:kern w:val="0"/>
          <w:sz w:val="28"/>
          <w:szCs w:val="28"/>
          <w:lang w:val="en-US" w:eastAsia="zh-CN" w:bidi="ar-SA"/>
        </w:rPr>
        <w:t>按本邀请文件之规定准备</w:t>
      </w:r>
      <w:r>
        <w:rPr>
          <w:rFonts w:hint="eastAsia" w:ascii="宋体" w:hAnsi="宋体" w:eastAsia="宋体" w:cs="宋体"/>
          <w:b/>
          <w:color w:val="000000"/>
          <w:kern w:val="0"/>
          <w:sz w:val="28"/>
          <w:szCs w:val="28"/>
          <w:lang w:val="en-US" w:eastAsia="zh-CN" w:bidi="ar-SA"/>
        </w:rPr>
        <w:t>响应文件</w:t>
      </w:r>
      <w:r>
        <w:rPr>
          <w:rFonts w:hint="eastAsia" w:ascii="宋体" w:hAnsi="宋体" w:eastAsia="宋体" w:cs="宋体"/>
          <w:kern w:val="0"/>
          <w:sz w:val="28"/>
          <w:szCs w:val="28"/>
          <w:lang w:val="en-US" w:eastAsia="zh-CN" w:bidi="ar-SA"/>
        </w:rPr>
        <w:t>并参加比选会议，比选相关事宜详见正文。</w:t>
      </w:r>
    </w:p>
    <w:p>
      <w:pPr>
        <w:widowControl/>
        <w:adjustRightInd w:val="0"/>
        <w:snapToGrid w:val="0"/>
        <w:spacing w:line="360" w:lineRule="auto"/>
        <w:ind w:firstLine="560"/>
        <w:jc w:val="both"/>
        <w:rPr>
          <w:rFonts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 xml:space="preserve"> </w:t>
      </w:r>
    </w:p>
    <w:p>
      <w:pPr>
        <w:widowControl/>
        <w:adjustRightInd w:val="0"/>
        <w:snapToGrid w:val="0"/>
        <w:spacing w:line="360" w:lineRule="auto"/>
        <w:ind w:firstLine="420"/>
        <w:jc w:val="both"/>
        <w:rPr>
          <w:rFonts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采购机构名称：中国人民财产保险股份有限公司上海市分公司</w:t>
      </w:r>
    </w:p>
    <w:p>
      <w:pPr>
        <w:widowControl/>
        <w:adjustRightInd w:val="0"/>
        <w:snapToGrid w:val="0"/>
        <w:spacing w:line="360" w:lineRule="auto"/>
        <w:ind w:firstLine="420"/>
        <w:jc w:val="both"/>
        <w:rPr>
          <w:rFonts w:hint="default"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地址：</w:t>
      </w:r>
      <w:r>
        <w:rPr>
          <w:rFonts w:hint="eastAsia"/>
          <w:sz w:val="28"/>
          <w:szCs w:val="28"/>
        </w:rPr>
        <w:t>上海市</w:t>
      </w:r>
      <w:r>
        <w:rPr>
          <w:rFonts w:hint="eastAsia"/>
          <w:sz w:val="28"/>
          <w:szCs w:val="28"/>
          <w:lang w:val="en-US" w:eastAsia="zh-CN"/>
        </w:rPr>
        <w:t>中山南</w:t>
      </w:r>
      <w:r>
        <w:rPr>
          <w:rFonts w:hint="eastAsia" w:ascii="宋体" w:hAnsi="宋体" w:eastAsia="宋体" w:cs="宋体"/>
          <w:kern w:val="0"/>
          <w:sz w:val="28"/>
          <w:szCs w:val="28"/>
          <w:lang w:val="en-US" w:eastAsia="zh-CN" w:bidi="ar-SA"/>
        </w:rPr>
        <w:t>路700号</w:t>
      </w:r>
    </w:p>
    <w:p>
      <w:pPr>
        <w:widowControl/>
        <w:adjustRightInd w:val="0"/>
        <w:snapToGrid w:val="0"/>
        <w:spacing w:line="360" w:lineRule="auto"/>
        <w:ind w:firstLine="420"/>
        <w:jc w:val="both"/>
        <w:rPr>
          <w:rFonts w:hint="default"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电话：13636381951</w:t>
      </w:r>
    </w:p>
    <w:p>
      <w:pPr>
        <w:widowControl/>
        <w:adjustRightInd w:val="0"/>
        <w:snapToGrid w:val="0"/>
        <w:spacing w:line="360" w:lineRule="auto"/>
        <w:ind w:firstLine="420"/>
        <w:jc w:val="both"/>
        <w:rPr>
          <w:rFonts w:hint="default"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联系人：马凌</w:t>
      </w:r>
    </w:p>
    <w:p>
      <w:pPr>
        <w:widowControl/>
        <w:adjustRightInd w:val="0"/>
        <w:snapToGrid w:val="0"/>
        <w:spacing w:line="360" w:lineRule="auto"/>
        <w:jc w:val="both"/>
        <w:rPr>
          <w:rFonts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 xml:space="preserve"> </w:t>
      </w:r>
    </w:p>
    <w:p>
      <w:pPr>
        <w:widowControl/>
        <w:adjustRightInd w:val="0"/>
        <w:snapToGrid w:val="0"/>
        <w:spacing w:line="360" w:lineRule="auto"/>
        <w:jc w:val="both"/>
        <w:rPr>
          <w:rFonts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 xml:space="preserve"> </w:t>
      </w:r>
    </w:p>
    <w:p>
      <w:pPr>
        <w:widowControl/>
        <w:adjustRightInd w:val="0"/>
        <w:snapToGrid w:val="0"/>
        <w:spacing w:line="360" w:lineRule="auto"/>
        <w:ind w:firstLine="3080" w:firstLineChars="1100"/>
        <w:jc w:val="both"/>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中国人民财产保险股份有限公司上海市分公司</w:t>
      </w:r>
    </w:p>
    <w:p>
      <w:pPr>
        <w:widowControl/>
        <w:adjustRightInd w:val="0"/>
        <w:snapToGrid w:val="0"/>
        <w:spacing w:line="360" w:lineRule="auto"/>
        <w:ind w:left="3780" w:right="620" w:hanging="3780"/>
        <w:jc w:val="right"/>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2026年4月</w:t>
      </w:r>
    </w:p>
    <w:p>
      <w:pPr>
        <w:widowControl/>
        <w:adjustRightInd w:val="0"/>
        <w:snapToGrid w:val="0"/>
        <w:spacing w:line="360" w:lineRule="auto"/>
        <w:ind w:left="3780" w:right="620" w:hanging="3780"/>
        <w:jc w:val="right"/>
        <w:rPr>
          <w:rFonts w:ascii="宋体" w:hAnsi="宋体" w:eastAsia="宋体" w:cs="宋体"/>
          <w:kern w:val="0"/>
          <w:sz w:val="28"/>
          <w:szCs w:val="28"/>
          <w:lang w:val="en-US" w:eastAsia="zh-CN" w:bidi="ar-SA"/>
        </w:rPr>
      </w:pPr>
    </w:p>
    <w:p>
      <w:pPr>
        <w:widowControl/>
        <w:adjustRightInd w:val="0"/>
        <w:snapToGrid w:val="0"/>
        <w:spacing w:line="360" w:lineRule="auto"/>
        <w:ind w:left="3780" w:right="620" w:hanging="3780"/>
        <w:jc w:val="right"/>
        <w:rPr>
          <w:rFonts w:ascii="宋体" w:hAnsi="宋体" w:eastAsia="宋体" w:cs="宋体"/>
          <w:kern w:val="0"/>
          <w:sz w:val="28"/>
          <w:szCs w:val="28"/>
          <w:lang w:val="en-US" w:eastAsia="zh-CN" w:bidi="ar-SA"/>
        </w:rPr>
      </w:pPr>
    </w:p>
    <w:p>
      <w:pPr>
        <w:widowControl/>
        <w:adjustRightInd w:val="0"/>
        <w:snapToGrid w:val="0"/>
        <w:spacing w:line="360" w:lineRule="auto"/>
        <w:jc w:val="center"/>
        <w:rPr>
          <w:rFonts w:ascii="宋体" w:hAnsi="宋体" w:eastAsia="宋体" w:cs="宋体"/>
          <w:b/>
          <w:bCs/>
          <w:kern w:val="0"/>
          <w:sz w:val="36"/>
          <w:szCs w:val="36"/>
          <w:lang w:val="en-US" w:eastAsia="zh-CN" w:bidi="ar-SA"/>
        </w:rPr>
      </w:pPr>
    </w:p>
    <w:p>
      <w:pPr>
        <w:adjustRightInd w:val="0"/>
        <w:snapToGrid w:val="0"/>
        <w:jc w:val="center"/>
        <w:rPr>
          <w:b/>
          <w:bCs/>
          <w:sz w:val="36"/>
          <w:szCs w:val="36"/>
        </w:rPr>
      </w:pPr>
      <w:r>
        <w:rPr>
          <w:b/>
          <w:bCs/>
          <w:sz w:val="36"/>
          <w:szCs w:val="36"/>
        </w:rPr>
        <w:br w:type="page"/>
      </w:r>
    </w:p>
    <w:p>
      <w:pPr>
        <w:widowControl/>
        <w:adjustRightInd w:val="0"/>
        <w:snapToGrid w:val="0"/>
        <w:spacing w:line="360" w:lineRule="auto"/>
        <w:jc w:val="center"/>
        <w:rPr>
          <w:rFonts w:ascii="宋体" w:hAnsi="宋体" w:eastAsia="宋体" w:cs="宋体"/>
          <w:b/>
          <w:bCs/>
          <w:kern w:val="0"/>
          <w:sz w:val="36"/>
          <w:szCs w:val="36"/>
          <w:lang w:val="en-US" w:eastAsia="zh-CN" w:bidi="ar-SA"/>
        </w:rPr>
      </w:pPr>
    </w:p>
    <w:p>
      <w:pPr>
        <w:widowControl/>
        <w:adjustRightInd w:val="0"/>
        <w:snapToGrid w:val="0"/>
        <w:spacing w:line="360" w:lineRule="auto"/>
        <w:jc w:val="center"/>
        <w:rPr>
          <w:rFonts w:ascii="宋体" w:hAnsi="宋体" w:eastAsia="宋体" w:cs="宋体"/>
          <w:b/>
          <w:bCs/>
          <w:kern w:val="0"/>
          <w:sz w:val="56"/>
          <w:szCs w:val="56"/>
          <w:lang w:val="en-US" w:eastAsia="zh-CN" w:bidi="ar-SA"/>
        </w:rPr>
      </w:pPr>
      <w:r>
        <w:rPr>
          <w:rFonts w:hint="eastAsia" w:ascii="宋体" w:hAnsi="宋体" w:eastAsia="宋体" w:cs="宋体"/>
          <w:b/>
          <w:bCs/>
          <w:kern w:val="0"/>
          <w:sz w:val="56"/>
          <w:szCs w:val="56"/>
          <w:lang w:val="en-US" w:eastAsia="zh-CN" w:bidi="ar-SA"/>
        </w:rPr>
        <w:t>目 录</w:t>
      </w:r>
    </w:p>
    <w:p>
      <w:pPr>
        <w:widowControl/>
        <w:adjustRightInd w:val="0"/>
        <w:snapToGrid w:val="0"/>
        <w:spacing w:line="360" w:lineRule="auto"/>
        <w:jc w:val="distribute"/>
        <w:rPr>
          <w:rFonts w:hint="eastAsia" w:ascii="宋体" w:hAnsi="宋体" w:eastAsia="宋体" w:cs="宋体"/>
          <w:b/>
          <w:bCs/>
          <w:color w:val="000000"/>
          <w:kern w:val="0"/>
          <w:sz w:val="32"/>
          <w:szCs w:val="32"/>
          <w:u w:val="none"/>
          <w:lang w:val="en-US" w:eastAsia="zh-CN" w:bidi="ar-SA"/>
        </w:rPr>
      </w:pPr>
      <w:r>
        <w:rPr>
          <w:rFonts w:ascii="宋体" w:hAnsi="宋体" w:eastAsia="宋体" w:cs="宋体"/>
          <w:b/>
          <w:bCs/>
          <w:kern w:val="0"/>
          <w:sz w:val="32"/>
          <w:szCs w:val="32"/>
          <w:lang w:val="en-US" w:eastAsia="zh-CN" w:bidi="ar-SA"/>
        </w:rPr>
        <w:fldChar w:fldCharType="begin"/>
      </w:r>
      <w:r>
        <w:rPr>
          <w:rFonts w:ascii="宋体" w:hAnsi="宋体" w:eastAsia="宋体" w:cs="宋体"/>
          <w:b/>
          <w:bCs/>
          <w:kern w:val="0"/>
          <w:sz w:val="32"/>
          <w:szCs w:val="32"/>
          <w:lang w:val="en-US" w:eastAsia="zh-CN" w:bidi="ar-SA"/>
        </w:rPr>
        <w:instrText xml:space="preserve"> HYPERLINK \l "_Toc327863035#_Toc327863035#_Toc3278630" \o "blocked::#_Toc327863035" </w:instrText>
      </w:r>
      <w:r>
        <w:rPr>
          <w:rFonts w:ascii="宋体" w:hAnsi="宋体" w:eastAsia="宋体" w:cs="宋体"/>
          <w:b/>
          <w:bCs/>
          <w:kern w:val="0"/>
          <w:sz w:val="32"/>
          <w:szCs w:val="32"/>
          <w:lang w:val="en-US" w:eastAsia="zh-CN" w:bidi="ar-SA"/>
        </w:rPr>
        <w:fldChar w:fldCharType="separate"/>
      </w:r>
      <w:r>
        <w:rPr>
          <w:rFonts w:hint="eastAsia" w:ascii="Times New Roman" w:hAnsi="Times New Roman" w:eastAsia="宋体" w:cs="Times New Roman"/>
          <w:b/>
          <w:bCs/>
          <w:color w:val="000000"/>
          <w:kern w:val="2"/>
          <w:sz w:val="32"/>
          <w:szCs w:val="32"/>
          <w:u w:val="none"/>
          <w:lang w:val="en-US" w:eastAsia="zh-CN" w:bidi="ar-SA"/>
        </w:rPr>
        <w:t>第一章 比选事项说明……………………………………………3</w:t>
      </w:r>
      <w:r>
        <w:rPr>
          <w:rFonts w:hint="eastAsia" w:ascii="Times New Roman" w:hAnsi="Times New Roman" w:eastAsia="宋体" w:cs="Times New Roman"/>
          <w:b/>
          <w:bCs/>
          <w:color w:val="000000"/>
          <w:kern w:val="2"/>
          <w:sz w:val="32"/>
          <w:szCs w:val="32"/>
          <w:u w:val="none"/>
          <w:lang w:val="en-US" w:eastAsia="zh-CN" w:bidi="ar-SA"/>
        </w:rPr>
        <w:fldChar w:fldCharType="end"/>
      </w:r>
    </w:p>
    <w:p>
      <w:pPr>
        <w:widowControl/>
        <w:adjustRightInd w:val="0"/>
        <w:snapToGrid w:val="0"/>
        <w:spacing w:line="360" w:lineRule="auto"/>
        <w:jc w:val="distribute"/>
        <w:rPr>
          <w:rFonts w:hint="eastAsia" w:ascii="宋体" w:hAnsi="宋体" w:eastAsia="宋体" w:cs="宋体"/>
          <w:b/>
          <w:bCs/>
          <w:color w:val="000000"/>
          <w:kern w:val="0"/>
          <w:sz w:val="32"/>
          <w:szCs w:val="32"/>
          <w:u w:val="none"/>
          <w:lang w:val="en-US" w:eastAsia="zh-CN" w:bidi="ar-SA"/>
        </w:rPr>
      </w:pPr>
    </w:p>
    <w:p>
      <w:pPr>
        <w:widowControl/>
        <w:adjustRightInd w:val="0"/>
        <w:snapToGrid w:val="0"/>
        <w:spacing w:line="360" w:lineRule="auto"/>
        <w:jc w:val="distribute"/>
        <w:rPr>
          <w:rFonts w:ascii="宋体" w:hAnsi="宋体" w:eastAsia="宋体" w:cs="宋体"/>
          <w:b/>
          <w:bCs/>
          <w:kern w:val="0"/>
          <w:sz w:val="32"/>
          <w:szCs w:val="32"/>
          <w:lang w:val="en-US" w:eastAsia="zh-CN" w:bidi="ar-SA"/>
        </w:rPr>
      </w:pPr>
      <w:r>
        <w:rPr>
          <w:rFonts w:ascii="宋体" w:hAnsi="宋体" w:eastAsia="宋体" w:cs="宋体"/>
          <w:b/>
          <w:bCs/>
          <w:kern w:val="0"/>
          <w:sz w:val="32"/>
          <w:szCs w:val="32"/>
          <w:lang w:val="en-US" w:eastAsia="zh-CN" w:bidi="ar-SA"/>
        </w:rPr>
        <w:fldChar w:fldCharType="begin"/>
      </w:r>
      <w:r>
        <w:rPr>
          <w:rFonts w:ascii="宋体" w:hAnsi="宋体" w:eastAsia="宋体" w:cs="宋体"/>
          <w:b/>
          <w:bCs/>
          <w:kern w:val="0"/>
          <w:sz w:val="32"/>
          <w:szCs w:val="32"/>
          <w:lang w:val="en-US" w:eastAsia="zh-CN" w:bidi="ar-SA"/>
        </w:rPr>
        <w:instrText xml:space="preserve"> HYPERLINK \l "_Toc327863042#_Toc327863042#_Toc3278630" \o "blocked::#_Toc327863042" </w:instrText>
      </w:r>
      <w:r>
        <w:rPr>
          <w:rFonts w:ascii="宋体" w:hAnsi="宋体" w:eastAsia="宋体" w:cs="宋体"/>
          <w:b/>
          <w:bCs/>
          <w:kern w:val="0"/>
          <w:sz w:val="32"/>
          <w:szCs w:val="32"/>
          <w:lang w:val="en-US" w:eastAsia="zh-CN" w:bidi="ar-SA"/>
        </w:rPr>
        <w:fldChar w:fldCharType="separate"/>
      </w:r>
      <w:r>
        <w:rPr>
          <w:rFonts w:hint="eastAsia" w:ascii="宋体" w:hAnsi="宋体" w:eastAsia="宋体" w:cs="宋体"/>
          <w:b/>
          <w:bCs/>
          <w:kern w:val="0"/>
          <w:sz w:val="32"/>
          <w:szCs w:val="32"/>
          <w:lang w:val="en-US" w:eastAsia="zh-CN" w:bidi="ar-SA"/>
        </w:rPr>
        <w:t>第二章</w:t>
      </w:r>
      <w:r>
        <w:rPr>
          <w:rFonts w:hint="eastAsia" w:ascii="Times New Roman" w:hAnsi="Times New Roman" w:eastAsia="宋体" w:cs="Times New Roman"/>
          <w:b/>
          <w:bCs/>
          <w:color w:val="000000"/>
          <w:kern w:val="2"/>
          <w:sz w:val="32"/>
          <w:szCs w:val="32"/>
          <w:u w:val="none"/>
          <w:lang w:val="en-US" w:eastAsia="zh-CN" w:bidi="ar-SA"/>
        </w:rPr>
        <w:t xml:space="preserve"> 响应文件格式和表格…………………………………</w:t>
      </w:r>
      <w:r>
        <w:rPr>
          <w:rFonts w:hint="eastAsia" w:ascii="Times New Roman" w:hAnsi="Times New Roman" w:eastAsia="宋体" w:cs="Times New Roman"/>
          <w:b/>
          <w:bCs/>
          <w:color w:val="000000"/>
          <w:kern w:val="2"/>
          <w:sz w:val="32"/>
          <w:szCs w:val="32"/>
          <w:u w:val="none"/>
          <w:lang w:val="en-US" w:eastAsia="zh-CN" w:bidi="ar-SA"/>
        </w:rPr>
        <w:fldChar w:fldCharType="end"/>
      </w:r>
      <w:r>
        <w:rPr>
          <w:rFonts w:ascii="宋体" w:hAnsi="宋体" w:eastAsia="宋体" w:cs="宋体"/>
          <w:b/>
          <w:bCs/>
          <w:kern w:val="0"/>
          <w:sz w:val="32"/>
          <w:szCs w:val="32"/>
          <w:lang w:val="en-US" w:eastAsia="zh-CN" w:bidi="ar-SA"/>
        </w:rPr>
        <w:t>9</w:t>
      </w:r>
    </w:p>
    <w:p>
      <w:pPr>
        <w:widowControl/>
        <w:adjustRightInd w:val="0"/>
        <w:snapToGrid w:val="0"/>
        <w:spacing w:line="360" w:lineRule="auto"/>
        <w:jc w:val="distribute"/>
        <w:rPr>
          <w:rFonts w:ascii="宋体" w:hAnsi="宋体" w:eastAsia="宋体" w:cs="宋体"/>
          <w:b/>
          <w:bCs/>
          <w:color w:val="auto"/>
          <w:kern w:val="0"/>
          <w:sz w:val="32"/>
          <w:szCs w:val="32"/>
          <w:lang w:val="en-US" w:eastAsia="zh-CN" w:bidi="ar-SA"/>
        </w:rPr>
      </w:pPr>
    </w:p>
    <w:p>
      <w:pPr>
        <w:widowControl/>
        <w:adjustRightInd w:val="0"/>
        <w:snapToGrid w:val="0"/>
        <w:spacing w:line="360" w:lineRule="auto"/>
        <w:jc w:val="distribute"/>
        <w:rPr>
          <w:rFonts w:hint="eastAsia" w:ascii="宋体" w:hAnsi="宋体" w:eastAsia="宋体" w:cs="宋体"/>
          <w:b/>
          <w:bCs/>
          <w:kern w:val="0"/>
          <w:sz w:val="32"/>
          <w:szCs w:val="32"/>
          <w:lang w:val="en-US" w:eastAsia="zh-CN" w:bidi="ar-SA"/>
        </w:rPr>
      </w:pPr>
      <w:r>
        <w:rPr>
          <w:rFonts w:ascii="宋体" w:hAnsi="宋体" w:eastAsia="宋体" w:cs="宋体"/>
          <w:b/>
          <w:bCs/>
          <w:kern w:val="0"/>
          <w:sz w:val="32"/>
          <w:szCs w:val="32"/>
          <w:lang w:val="en-US" w:eastAsia="zh-CN" w:bidi="ar-SA"/>
        </w:rPr>
        <w:fldChar w:fldCharType="begin"/>
      </w:r>
      <w:r>
        <w:rPr>
          <w:rFonts w:ascii="宋体" w:hAnsi="宋体" w:eastAsia="宋体" w:cs="宋体"/>
          <w:b/>
          <w:bCs/>
          <w:kern w:val="0"/>
          <w:sz w:val="32"/>
          <w:szCs w:val="32"/>
          <w:lang w:val="en-US" w:eastAsia="zh-CN" w:bidi="ar-SA"/>
        </w:rPr>
        <w:instrText xml:space="preserve"> HYPERLINK \l "_Toc327863047#_Toc327863047#_Toc3278630" \o "blocked::#_Toc327863047" </w:instrText>
      </w:r>
      <w:r>
        <w:rPr>
          <w:rFonts w:ascii="宋体" w:hAnsi="宋体" w:eastAsia="宋体" w:cs="宋体"/>
          <w:b/>
          <w:bCs/>
          <w:kern w:val="0"/>
          <w:sz w:val="32"/>
          <w:szCs w:val="32"/>
          <w:lang w:val="en-US" w:eastAsia="zh-CN" w:bidi="ar-SA"/>
        </w:rPr>
        <w:fldChar w:fldCharType="separate"/>
      </w:r>
      <w:r>
        <w:rPr>
          <w:rFonts w:hint="eastAsia" w:ascii="Times New Roman" w:hAnsi="Times New Roman" w:eastAsia="宋体" w:cs="Times New Roman"/>
          <w:b/>
          <w:bCs/>
          <w:color w:val="000000"/>
          <w:kern w:val="2"/>
          <w:sz w:val="32"/>
          <w:szCs w:val="32"/>
          <w:u w:val="none"/>
          <w:lang w:val="en-US" w:eastAsia="zh-CN" w:bidi="ar-SA"/>
        </w:rPr>
        <w:t>第三章 资格证明文件…………………………………………</w:t>
      </w:r>
      <w:r>
        <w:rPr>
          <w:rFonts w:hint="eastAsia" w:ascii="Times New Roman" w:hAnsi="Times New Roman" w:eastAsia="宋体" w:cs="Times New Roman"/>
          <w:b/>
          <w:bCs/>
          <w:color w:val="000000"/>
          <w:kern w:val="2"/>
          <w:sz w:val="32"/>
          <w:szCs w:val="32"/>
          <w:u w:val="none"/>
          <w:lang w:val="en-US" w:eastAsia="zh-CN" w:bidi="ar-SA"/>
        </w:rPr>
        <w:fldChar w:fldCharType="end"/>
      </w:r>
      <w:r>
        <w:rPr>
          <w:rFonts w:ascii="Times New Roman" w:hAnsi="Times New Roman" w:eastAsia="宋体" w:cs="Times New Roman"/>
          <w:b/>
          <w:bCs/>
          <w:color w:val="000000"/>
          <w:kern w:val="2"/>
          <w:sz w:val="32"/>
          <w:szCs w:val="32"/>
          <w:u w:val="none"/>
          <w:lang w:val="en-US" w:eastAsia="zh-CN" w:bidi="ar-SA"/>
        </w:rPr>
        <w:t>2</w:t>
      </w:r>
      <w:r>
        <w:rPr>
          <w:rFonts w:hint="eastAsia" w:ascii="宋体" w:hAnsi="宋体" w:eastAsia="宋体" w:cs="宋体"/>
          <w:b/>
          <w:bCs/>
          <w:kern w:val="0"/>
          <w:sz w:val="32"/>
          <w:szCs w:val="32"/>
          <w:lang w:val="en-US" w:eastAsia="zh-CN" w:bidi="ar-SA"/>
        </w:rPr>
        <w:t>4</w:t>
      </w:r>
    </w:p>
    <w:p>
      <w:pPr>
        <w:widowControl/>
        <w:adjustRightInd w:val="0"/>
        <w:snapToGrid w:val="0"/>
        <w:spacing w:line="360" w:lineRule="auto"/>
        <w:jc w:val="distribute"/>
        <w:rPr>
          <w:rFonts w:ascii="宋体" w:hAnsi="宋体" w:eastAsia="宋体" w:cs="宋体"/>
          <w:b/>
          <w:bCs/>
          <w:color w:val="auto"/>
          <w:kern w:val="0"/>
          <w:sz w:val="32"/>
          <w:szCs w:val="32"/>
          <w:lang w:val="en-US" w:eastAsia="zh-CN" w:bidi="ar-SA"/>
        </w:rPr>
      </w:pPr>
    </w:p>
    <w:p>
      <w:pPr>
        <w:widowControl/>
        <w:adjustRightInd w:val="0"/>
        <w:snapToGrid w:val="0"/>
        <w:spacing w:line="360" w:lineRule="auto"/>
        <w:jc w:val="distribute"/>
        <w:rPr>
          <w:rFonts w:hint="eastAsia" w:ascii="宋体" w:hAnsi="宋体" w:eastAsia="宋体" w:cs="宋体"/>
          <w:b/>
          <w:bCs/>
          <w:color w:val="000000"/>
          <w:kern w:val="0"/>
          <w:sz w:val="32"/>
          <w:szCs w:val="32"/>
          <w:lang w:val="en-US" w:eastAsia="zh-CN" w:bidi="ar-SA"/>
        </w:rPr>
      </w:pPr>
      <w:r>
        <w:rPr>
          <w:rFonts w:ascii="宋体" w:hAnsi="宋体" w:eastAsia="宋体" w:cs="宋体"/>
          <w:b/>
          <w:bCs/>
          <w:kern w:val="0"/>
          <w:sz w:val="32"/>
          <w:szCs w:val="32"/>
          <w:lang w:val="en-US" w:eastAsia="zh-CN" w:bidi="ar-SA"/>
        </w:rPr>
        <w:fldChar w:fldCharType="begin"/>
      </w:r>
      <w:r>
        <w:rPr>
          <w:rFonts w:ascii="宋体" w:hAnsi="宋体" w:eastAsia="宋体" w:cs="宋体"/>
          <w:b/>
          <w:bCs/>
          <w:kern w:val="0"/>
          <w:sz w:val="32"/>
          <w:szCs w:val="32"/>
          <w:lang w:val="en-US" w:eastAsia="zh-CN" w:bidi="ar-SA"/>
        </w:rPr>
        <w:instrText xml:space="preserve"> HYPERLINK \l "_Toc327863057#_Toc327863057#_Toc3278630" \o "blocked::#_Toc327863057" </w:instrText>
      </w:r>
      <w:r>
        <w:rPr>
          <w:rFonts w:ascii="宋体" w:hAnsi="宋体" w:eastAsia="宋体" w:cs="宋体"/>
          <w:b/>
          <w:bCs/>
          <w:kern w:val="0"/>
          <w:sz w:val="32"/>
          <w:szCs w:val="32"/>
          <w:lang w:val="en-US" w:eastAsia="zh-CN" w:bidi="ar-SA"/>
        </w:rPr>
        <w:fldChar w:fldCharType="separate"/>
      </w:r>
      <w:r>
        <w:rPr>
          <w:rFonts w:hint="eastAsia" w:ascii="宋体" w:hAnsi="宋体" w:eastAsia="宋体" w:cs="宋体"/>
          <w:b/>
          <w:bCs/>
          <w:kern w:val="0"/>
          <w:sz w:val="32"/>
          <w:szCs w:val="32"/>
          <w:lang w:val="en-US" w:eastAsia="zh-CN" w:bidi="ar-SA"/>
        </w:rPr>
        <w:t>第四章</w:t>
      </w:r>
      <w:r>
        <w:rPr>
          <w:rFonts w:hint="eastAsia" w:ascii="Times New Roman" w:hAnsi="Times New Roman" w:eastAsia="宋体" w:cs="Times New Roman"/>
          <w:b/>
          <w:bCs/>
          <w:color w:val="000000"/>
          <w:kern w:val="2"/>
          <w:sz w:val="32"/>
          <w:szCs w:val="32"/>
          <w:u w:val="none"/>
          <w:lang w:val="en-US" w:eastAsia="zh-CN" w:bidi="ar-SA"/>
        </w:rPr>
        <w:t xml:space="preserve"> 项目采购需求及服务要求……………………………</w:t>
      </w:r>
      <w:r>
        <w:rPr>
          <w:rFonts w:hint="eastAsia" w:ascii="Times New Roman" w:hAnsi="Times New Roman" w:eastAsia="宋体" w:cs="Times New Roman"/>
          <w:b/>
          <w:bCs/>
          <w:color w:val="000000"/>
          <w:kern w:val="2"/>
          <w:sz w:val="32"/>
          <w:szCs w:val="32"/>
          <w:u w:val="none"/>
          <w:lang w:val="en-US" w:eastAsia="zh-CN" w:bidi="ar-SA"/>
        </w:rPr>
        <w:fldChar w:fldCharType="end"/>
      </w:r>
      <w:r>
        <w:rPr>
          <w:rFonts w:ascii="Times New Roman" w:hAnsi="Times New Roman" w:eastAsia="宋体" w:cs="Times New Roman"/>
          <w:b/>
          <w:bCs/>
          <w:color w:val="000000"/>
          <w:kern w:val="2"/>
          <w:sz w:val="32"/>
          <w:szCs w:val="32"/>
          <w:u w:val="none"/>
          <w:lang w:val="en-US" w:eastAsia="zh-CN" w:bidi="ar-SA"/>
        </w:rPr>
        <w:t>2</w:t>
      </w:r>
      <w:r>
        <w:rPr>
          <w:rFonts w:hint="eastAsia" w:ascii="Times New Roman" w:hAnsi="Times New Roman" w:eastAsia="宋体" w:cs="Times New Roman"/>
          <w:b/>
          <w:bCs/>
          <w:color w:val="000000"/>
          <w:kern w:val="2"/>
          <w:sz w:val="32"/>
          <w:szCs w:val="32"/>
          <w:u w:val="none"/>
          <w:lang w:val="en-US" w:eastAsia="zh-CN" w:bidi="ar-SA"/>
        </w:rPr>
        <w:t>9</w:t>
      </w:r>
    </w:p>
    <w:p>
      <w:pPr>
        <w:widowControl/>
        <w:adjustRightInd w:val="0"/>
        <w:snapToGrid w:val="0"/>
        <w:spacing w:line="360" w:lineRule="auto"/>
        <w:ind w:left="3240" w:right="740" w:hanging="3240"/>
        <w:jc w:val="left"/>
        <w:rPr>
          <w:rFonts w:ascii="宋体" w:hAnsi="宋体" w:cs="宋体"/>
          <w:b/>
          <w:bCs/>
          <w:kern w:val="0"/>
          <w:sz w:val="32"/>
          <w:szCs w:val="32"/>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snapToGrid/>
        <w:spacing w:line="240" w:lineRule="auto"/>
        <w:ind w:left="0" w:right="0" w:firstLine="0"/>
        <w:jc w:val="left"/>
        <w:rPr>
          <w:rFonts w:ascii="宋体" w:hAnsi="宋体" w:cs="宋体"/>
          <w:b/>
          <w:bCs/>
          <w:kern w:val="0"/>
          <w:sz w:val="28"/>
          <w:szCs w:val="28"/>
        </w:rPr>
      </w:pPr>
      <w:r>
        <w:rPr>
          <w:rFonts w:ascii="宋体" w:hAnsi="宋体" w:cs="宋体"/>
          <w:b/>
          <w:bCs/>
          <w:kern w:val="0"/>
          <w:sz w:val="28"/>
          <w:szCs w:val="28"/>
        </w:rPr>
        <w:br w:type="page"/>
      </w:r>
    </w:p>
    <w:p>
      <w:pPr>
        <w:keepNext/>
        <w:widowControl/>
        <w:numPr>
          <w:ilvl w:val="0"/>
          <w:numId w:val="0"/>
        </w:numPr>
        <w:adjustRightInd w:val="0"/>
        <w:snapToGrid w:val="0"/>
        <w:spacing w:line="360" w:lineRule="auto"/>
        <w:jc w:val="center"/>
        <w:outlineLvl w:val="0"/>
        <w:rPr>
          <w:rFonts w:ascii="宋体" w:hAnsi="宋体" w:eastAsia="宋体" w:cs="宋体"/>
          <w:b/>
          <w:bCs/>
          <w:kern w:val="36"/>
          <w:sz w:val="30"/>
          <w:szCs w:val="30"/>
          <w:lang w:val="en-US" w:eastAsia="zh-CN" w:bidi="ar-SA"/>
        </w:rPr>
      </w:pPr>
      <w:r>
        <w:rPr>
          <w:rFonts w:hint="eastAsia" w:ascii="宋体" w:hAnsi="宋体" w:eastAsia="宋体" w:cs="宋体"/>
          <w:b/>
          <w:bCs/>
          <w:kern w:val="36"/>
          <w:sz w:val="30"/>
          <w:szCs w:val="30"/>
          <w:lang w:val="en-US" w:eastAsia="zh-CN" w:bidi="ar-SA"/>
        </w:rPr>
        <w:t>第一章  比选事项说明</w:t>
      </w:r>
    </w:p>
    <w:p>
      <w:pPr>
        <w:keepNext/>
        <w:keepLines/>
        <w:widowControl w:val="0"/>
        <w:numPr>
          <w:ilvl w:val="0"/>
          <w:numId w:val="0"/>
        </w:numPr>
        <w:adjustRightInd w:val="0"/>
        <w:snapToGrid w:val="0"/>
        <w:spacing w:before="0" w:after="0" w:line="360" w:lineRule="auto"/>
        <w:ind w:firstLine="482" w:firstLineChars="200"/>
        <w:jc w:val="both"/>
        <w:outlineLvl w:val="1"/>
        <w:rPr>
          <w:rFonts w:hint="eastAsia"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一、供应商资格要求</w:t>
      </w:r>
    </w:p>
    <w:p>
      <w:pPr>
        <w:widowControl/>
        <w:adjustRightInd w:val="0"/>
        <w:snapToGrid w:val="0"/>
        <w:spacing w:line="360" w:lineRule="auto"/>
        <w:ind w:firstLine="482"/>
        <w:rPr>
          <w:rFonts w:ascii="宋体" w:hAnsi="宋体" w:eastAsia="宋体" w:cs="宋体"/>
          <w:i/>
          <w:color w:val="FF0000"/>
          <w:kern w:val="0"/>
          <w:sz w:val="24"/>
          <w:szCs w:val="24"/>
        </w:rPr>
      </w:pPr>
      <w:r>
        <w:rPr>
          <w:rFonts w:hint="eastAsia" w:ascii="宋体" w:hAnsi="宋体" w:cs="宋体"/>
          <w:color w:val="000000"/>
          <w:kern w:val="0"/>
          <w:sz w:val="24"/>
          <w:szCs w:val="24"/>
        </w:rPr>
        <w:t>1.在中华人民共和国境内依照《中华人民共和国公司法》注册的、具有法人资格、符合本</w:t>
      </w:r>
      <w:r>
        <w:rPr>
          <w:rFonts w:hint="eastAsia" w:ascii="宋体" w:hAnsi="宋体" w:cs="宋体"/>
          <w:color w:val="000000"/>
          <w:kern w:val="0"/>
          <w:sz w:val="24"/>
          <w:szCs w:val="24"/>
          <w:lang w:eastAsia="zh-CN"/>
        </w:rPr>
        <w:t>比选</w:t>
      </w:r>
      <w:r>
        <w:rPr>
          <w:rFonts w:hint="eastAsia" w:ascii="宋体" w:hAnsi="宋体" w:cs="宋体"/>
          <w:color w:val="000000"/>
          <w:kern w:val="0"/>
          <w:sz w:val="24"/>
          <w:szCs w:val="24"/>
        </w:rPr>
        <w:t>文件的要求并承诺提供本次服务的企业，</w:t>
      </w:r>
      <w:r>
        <w:rPr>
          <w:rFonts w:hint="eastAsia" w:ascii="宋体" w:hAnsi="宋体" w:eastAsia="宋体" w:cs="宋体"/>
          <w:color w:val="000000"/>
          <w:kern w:val="0"/>
          <w:sz w:val="24"/>
          <w:szCs w:val="24"/>
        </w:rPr>
        <w:t>需</w:t>
      </w:r>
      <w:r>
        <w:rPr>
          <w:rFonts w:hint="eastAsia" w:ascii="宋体" w:hAnsi="宋体" w:eastAsia="宋体" w:cs="Arial"/>
          <w:sz w:val="24"/>
          <w:szCs w:val="24"/>
        </w:rPr>
        <w:t>提供营业执照复印件</w:t>
      </w:r>
      <w:r>
        <w:rPr>
          <w:rFonts w:hint="eastAsia" w:ascii="宋体" w:hAnsi="宋体" w:eastAsia="宋体" w:cs="宋体"/>
          <w:color w:val="000000"/>
          <w:kern w:val="0"/>
          <w:sz w:val="24"/>
          <w:szCs w:val="24"/>
        </w:rPr>
        <w:t>；</w:t>
      </w:r>
    </w:p>
    <w:p>
      <w:pPr>
        <w:widowControl/>
        <w:adjustRightInd w:val="0"/>
        <w:snapToGrid w:val="0"/>
        <w:spacing w:line="360" w:lineRule="auto"/>
        <w:ind w:firstLine="482"/>
        <w:rPr>
          <w:rFonts w:ascii="宋体" w:hAnsi="宋体" w:cs="宋体"/>
          <w:color w:val="000000"/>
          <w:kern w:val="0"/>
          <w:sz w:val="24"/>
          <w:szCs w:val="24"/>
        </w:rPr>
      </w:pPr>
      <w:r>
        <w:rPr>
          <w:rFonts w:hint="eastAsia" w:ascii="宋体" w:hAnsi="宋体" w:cs="宋体"/>
          <w:color w:val="000000"/>
          <w:kern w:val="0"/>
          <w:sz w:val="24"/>
          <w:szCs w:val="24"/>
        </w:rPr>
        <w:t>2.</w:t>
      </w:r>
      <w:r>
        <w:rPr>
          <w:rFonts w:hint="eastAsia" w:ascii="宋体" w:hAnsi="宋体" w:eastAsia="宋体" w:cs="Arial"/>
          <w:sz w:val="24"/>
        </w:rPr>
        <w:t>具有良好的商业信誉和健全的财务会计制度；</w:t>
      </w:r>
      <w:r>
        <w:rPr>
          <w:rFonts w:hint="eastAsia" w:ascii="宋体" w:hAnsi="宋体" w:cs="宋体"/>
          <w:color w:val="000000"/>
          <w:kern w:val="0"/>
          <w:sz w:val="24"/>
          <w:szCs w:val="24"/>
        </w:rPr>
        <w:t xml:space="preserve"> </w:t>
      </w:r>
    </w:p>
    <w:p>
      <w:pPr>
        <w:widowControl/>
        <w:adjustRightInd w:val="0"/>
        <w:snapToGrid w:val="0"/>
        <w:spacing w:line="360" w:lineRule="auto"/>
        <w:ind w:firstLine="482"/>
        <w:rPr>
          <w:rFonts w:ascii="宋体" w:hAnsi="宋体" w:cs="宋体"/>
          <w:color w:val="000000"/>
          <w:kern w:val="0"/>
          <w:sz w:val="24"/>
          <w:szCs w:val="24"/>
        </w:rPr>
      </w:pPr>
      <w:r>
        <w:rPr>
          <w:rFonts w:ascii="宋体" w:hAnsi="宋体" w:cs="宋体"/>
          <w:color w:val="000000"/>
          <w:kern w:val="0"/>
          <w:sz w:val="24"/>
          <w:szCs w:val="24"/>
        </w:rPr>
        <w:t>3</w:t>
      </w:r>
      <w:r>
        <w:rPr>
          <w:rFonts w:hint="eastAsia" w:ascii="宋体" w:hAnsi="宋体" w:cs="宋体"/>
          <w:color w:val="000000"/>
          <w:kern w:val="0"/>
          <w:sz w:val="24"/>
          <w:szCs w:val="24"/>
        </w:rPr>
        <w:t>.具有履行合同所必需的设备和专业技术能力；</w:t>
      </w:r>
    </w:p>
    <w:p>
      <w:pPr>
        <w:widowControl/>
        <w:adjustRightInd w:val="0"/>
        <w:snapToGrid w:val="0"/>
        <w:spacing w:line="360" w:lineRule="auto"/>
        <w:ind w:firstLine="482"/>
        <w:rPr>
          <w:rFonts w:ascii="宋体" w:hAnsi="宋体" w:cs="宋体"/>
          <w:color w:val="000000"/>
          <w:kern w:val="0"/>
          <w:sz w:val="24"/>
          <w:szCs w:val="24"/>
        </w:rPr>
      </w:pPr>
      <w:r>
        <w:rPr>
          <w:rFonts w:ascii="宋体" w:hAnsi="宋体" w:cs="宋体"/>
          <w:color w:val="000000"/>
          <w:kern w:val="0"/>
          <w:sz w:val="24"/>
          <w:szCs w:val="24"/>
        </w:rPr>
        <w:t>4</w:t>
      </w:r>
      <w:r>
        <w:rPr>
          <w:rFonts w:hint="eastAsia" w:ascii="宋体" w:hAnsi="宋体" w:cs="宋体"/>
          <w:color w:val="000000"/>
          <w:kern w:val="0"/>
          <w:sz w:val="24"/>
          <w:szCs w:val="24"/>
        </w:rPr>
        <w:t>.有依法缴纳税收和社会保障资金的良好记录；</w:t>
      </w:r>
    </w:p>
    <w:p>
      <w:pPr>
        <w:widowControl/>
        <w:adjustRightInd w:val="0"/>
        <w:snapToGrid w:val="0"/>
        <w:spacing w:line="360" w:lineRule="auto"/>
        <w:ind w:firstLine="482"/>
        <w:rPr>
          <w:rFonts w:ascii="宋体" w:hAnsi="宋体" w:cs="宋体"/>
          <w:color w:val="000000"/>
          <w:kern w:val="0"/>
          <w:sz w:val="24"/>
          <w:szCs w:val="24"/>
        </w:rPr>
      </w:pPr>
      <w:r>
        <w:rPr>
          <w:rFonts w:ascii="宋体" w:hAnsi="宋体" w:cs="宋体"/>
          <w:color w:val="000000"/>
          <w:kern w:val="0"/>
          <w:sz w:val="24"/>
          <w:szCs w:val="24"/>
        </w:rPr>
        <w:t>5</w:t>
      </w:r>
      <w:r>
        <w:rPr>
          <w:rFonts w:hint="eastAsia" w:ascii="宋体" w:hAnsi="宋体" w:cs="宋体"/>
          <w:color w:val="000000"/>
          <w:kern w:val="0"/>
          <w:sz w:val="24"/>
          <w:szCs w:val="24"/>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kern w:val="0"/>
          <w:sz w:val="24"/>
          <w:szCs w:val="24"/>
        </w:rPr>
      </w:pPr>
      <w:r>
        <w:rPr>
          <w:rFonts w:ascii="宋体" w:hAnsi="宋体" w:cs="宋体"/>
          <w:color w:val="000000"/>
          <w:kern w:val="0"/>
          <w:sz w:val="24"/>
          <w:szCs w:val="24"/>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kern w:val="0"/>
          <w:sz w:val="24"/>
          <w:szCs w:val="24"/>
        </w:rPr>
      </w:pPr>
      <w:r>
        <w:rPr>
          <w:rFonts w:ascii="宋体" w:hAnsi="宋体" w:cs="宋体"/>
          <w:color w:val="000000"/>
          <w:kern w:val="0"/>
          <w:sz w:val="24"/>
          <w:szCs w:val="24"/>
        </w:rPr>
        <w:t>7.</w:t>
      </w:r>
      <w:r>
        <w:rPr>
          <w:rFonts w:hint="eastAsia" w:ascii="Arial" w:hAnsi="Arial" w:cs="Arial"/>
          <w:sz w:val="24"/>
          <w:szCs w:val="24"/>
        </w:rPr>
        <w:t>本项目不接受联合体。</w:t>
      </w:r>
    </w:p>
    <w:p>
      <w:pPr>
        <w:widowControl/>
        <w:adjustRightInd w:val="0"/>
        <w:snapToGrid w:val="0"/>
        <w:spacing w:line="360" w:lineRule="auto"/>
        <w:ind w:firstLine="482"/>
        <w:rPr>
          <w:rFonts w:hint="eastAsia" w:ascii="宋体" w:hAnsi="宋体" w:cs="宋体"/>
          <w:color w:val="000000"/>
          <w:kern w:val="0"/>
          <w:sz w:val="24"/>
          <w:szCs w:val="24"/>
        </w:rPr>
      </w:pPr>
      <w:r>
        <w:rPr>
          <w:rFonts w:hint="eastAsia" w:ascii="宋体" w:hAnsi="宋体" w:cs="宋体"/>
          <w:color w:val="000000"/>
          <w:kern w:val="0"/>
          <w:sz w:val="24"/>
          <w:szCs w:val="24"/>
        </w:rPr>
        <w:t>上述资格要求</w:t>
      </w:r>
      <w:r>
        <w:rPr>
          <w:rFonts w:ascii="宋体" w:hAnsi="宋体" w:cs="宋体"/>
          <w:color w:val="000000"/>
          <w:kern w:val="0"/>
          <w:sz w:val="24"/>
          <w:szCs w:val="24"/>
        </w:rPr>
        <w:t>证明文件</w:t>
      </w:r>
      <w:r>
        <w:rPr>
          <w:rFonts w:hint="eastAsia" w:ascii="宋体" w:hAnsi="宋体" w:cs="宋体"/>
          <w:color w:val="000000"/>
          <w:kern w:val="0"/>
          <w:sz w:val="24"/>
          <w:szCs w:val="24"/>
        </w:rPr>
        <w:t>详细</w:t>
      </w:r>
      <w:r>
        <w:rPr>
          <w:rFonts w:ascii="宋体" w:hAnsi="宋体" w:cs="宋体"/>
          <w:color w:val="000000"/>
          <w:kern w:val="0"/>
          <w:sz w:val="24"/>
          <w:szCs w:val="24"/>
        </w:rPr>
        <w:t>要求请见附件三</w:t>
      </w:r>
      <w:r>
        <w:rPr>
          <w:rFonts w:hint="eastAsia" w:ascii="宋体" w:hAnsi="宋体" w:cs="宋体"/>
          <w:color w:val="000000"/>
          <w:kern w:val="0"/>
          <w:sz w:val="24"/>
          <w:szCs w:val="24"/>
        </w:rPr>
        <w:t>。</w:t>
      </w:r>
    </w:p>
    <w:p>
      <w:pPr>
        <w:widowControl/>
        <w:adjustRightInd w:val="0"/>
        <w:snapToGrid w:val="0"/>
        <w:spacing w:line="360" w:lineRule="auto"/>
        <w:ind w:firstLine="482"/>
        <w:rPr>
          <w:rFonts w:hint="eastAsia" w:ascii="宋体" w:hAnsi="宋体" w:cs="宋体"/>
          <w:color w:val="000000"/>
          <w:kern w:val="0"/>
          <w:sz w:val="24"/>
          <w:szCs w:val="24"/>
        </w:rPr>
      </w:pPr>
    </w:p>
    <w:p>
      <w:pPr>
        <w:keepNext/>
        <w:keepLines/>
        <w:widowControl w:val="0"/>
        <w:numPr>
          <w:ilvl w:val="0"/>
          <w:numId w:val="0"/>
        </w:numPr>
        <w:adjustRightInd w:val="0"/>
        <w:snapToGrid w:val="0"/>
        <w:spacing w:before="0" w:after="0" w:line="360" w:lineRule="auto"/>
        <w:ind w:firstLine="482" w:firstLineChars="200"/>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二、评审方法</w:t>
      </w:r>
    </w:p>
    <w:p>
      <w:pPr>
        <w:tabs>
          <w:tab w:val="right" w:pos="8306"/>
        </w:tabs>
        <w:spacing w:line="60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由评审小组采用综合评分法对价格、技术和商务三部分进行综合打分，按照综合评分由高到低的原则确定中选候选人。</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评审标准如下：</w:t>
      </w:r>
    </w:p>
    <w:tbl>
      <w:tblPr>
        <w:tblStyle w:val="11"/>
        <w:tblW w:w="10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792"/>
        <w:gridCol w:w="6748"/>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061"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 目</w:t>
            </w: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评审因素</w:t>
            </w: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评分内容</w:t>
            </w: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价格部分得分（50）</w:t>
            </w: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投标报价</w:t>
            </w: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评分法中的价格分采用低价优先法计算</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评标价：各有效投标人的含税投标总价；</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评标基准价：满足招标文件要求且最低的有效评标价；</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价格分计算公式：供应商报价得分＝（评标基准价/评审价格）×50；</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分值精确到小数点后两位</w:t>
            </w: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Merge w:val="restart"/>
            <w:shd w:val="clear" w:color="auto" w:fill="auto"/>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技术部分得分</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（40）</w:t>
            </w: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服务保障</w:t>
            </w: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优秀（10-15分）：服务方案完整性极强，覆盖项目全生命周期（包括开发、测试、部署、验收、培训、质保等阶段），各阶段工作内容、交付物、责任人、时间节点明确具体。服务计划科学合理，与项目工期高度匹配，资源配置充分。应急方案针对性、可操作性强，对不同级别的故障（如系统崩溃、数据丢失、性能骤降等）均有明确的响应流程、响应时间、升级机制及备选方案。整体方案体现出供应商丰富的同类项目经验和严谨的服务意识。</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良好（5-9分）：服务计划基本合理，能够满足项目工期要求，但计划安排较为常规，缺乏针对性优化。应急方案具备基本框架，明确了故障响应流程，但响应时间、升级机制、具体操作步骤等描述不够具体，可操作性有待提升。整体方案能够保障项目基本完成，但精细化程度不足。</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般（0-4分）：服务方案内容不完整，遗漏重要实施阶段（如缺少测试方案、培训方案、验收标准等），或方案内容与本项目关联性弱（如套用其他项目模板未作针对性修改）。服务计划不合理，存在明显逻辑漏洞或与工期要求冲突。应急方案严重缺失或过于简略，仅有“出现问题及时解决”等空泛表述，无具体流程、时限和责任人。整体方案缺乏系统性和可执行性，难以保障项目顺利实施。</w:t>
            </w: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Merge w:val="continue"/>
            <w:shd w:val="clear" w:color="auto" w:fill="auto"/>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需求分析和响应</w:t>
            </w: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优秀（10-15分）：投标人对项目需求理解精准透彻，能够清晰识别项目的关键节点和潜在风险。项目团队对需求的响应程度积极。</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良好（5-9分）：投标人对项目需求有基本准确的理解。服务方案较为完整，覆盖了项目实施的主要环节，但部分细节（如具体交付物标准、人员配置、培训安排等）不够明确或略显笼统。项目团队对需求的响应程度及时。</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一般（0-4分）：投标人对项目需求理解存在偏差或缺失，未能准确识别项目关键要求。项目团队对需求的响应程度不及时或无响应。</w:t>
            </w: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Merge w:val="continue"/>
            <w:shd w:val="clear" w:color="auto" w:fill="auto"/>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技术优化</w:t>
            </w: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供应商在投标文件中提供独立章节阐述技术增值方案：</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优秀（9-10分）：方案不仅覆盖当前模块开发需求，还基于采购方现有技术架构，提出至少2项实质性的技术优化建议（如性能调优、架构重构、代码质量提升、自动化运维等）。建议具体可行，有明确的实施路径、预期收益及风险评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良好（7-8分）：方案提出了1项技术优化建议，具备一定的合理性和可行性，但深度不足或未形成完整实施计划。</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一般（4-6分）：方案仅笼统提及“未来可升级”等概念性内容，未提供具体建议或实施路径。</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差（0-3分）：未提供技术增值方案，或方案内容与本项目无关、明显敷衍。</w:t>
            </w: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Merge w:val="restart"/>
            <w:shd w:val="clear" w:color="auto" w:fill="auto"/>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商务部分得分</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c>
          <w:tcPr>
            <w:tcW w:w="1792" w:type="dxa"/>
            <w:shd w:val="clear" w:color="auto" w:fill="auto"/>
            <w:vAlign w:val="center"/>
          </w:tcPr>
          <w:p>
            <w:pPr>
              <w:tabs>
                <w:tab w:val="right" w:pos="8306"/>
              </w:tabs>
              <w:spacing w:line="600" w:lineRule="exac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综合实力</w:t>
            </w:r>
          </w:p>
        </w:tc>
        <w:tc>
          <w:tcPr>
            <w:tcW w:w="6748" w:type="dxa"/>
            <w:shd w:val="clear" w:color="auto" w:fill="auto"/>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优秀（4-5分）：投标人财务状况优秀，近三年营业收入、净利润持续增长或保持较高水平，资产负债结构合理，无经营性亏损记录。信誉状况良好，无重大违法记录、无政府采购或招投标领域不良行为记录，具有权威机构颁发的AAA级信用等级证书或同等信誉证明。人员储备充足，在册员工数量、技术人员占比、人才梯队建设均处于行业领先水平，能够为本项目提供充分的人力资源保障。</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良好（2-3分）：投标人财务状况良好，近三年营业收入稳定，净利润为正或偶有波动但整体可控，具备正常的经营运转能力。信誉状况较好，无重大违法记录，无严重失信行为，信誉记录基本良好。人员储备基本满足，在册员工数量及技术人员配置能够支撑本项目实施，但人才储备深度或专业结构有待加强。</w:t>
            </w:r>
          </w:p>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般（0-1分）：投标人财务状况较差或信息不透明，近三年存在连续亏损、资产负债率过高、现金流紧张等情形，或未按要求提供经审计的财务报表。信誉状况存在瑕疵，有不良信用记录、行政处罚记录、或被列入经营异常名录、严重违法失信企业名单等情形。人员储备严重不足，在册员工数量少、技术人员比例低，难以保障项目正常实施的人力需求。</w:t>
            </w:r>
          </w:p>
        </w:tc>
        <w:tc>
          <w:tcPr>
            <w:tcW w:w="1128" w:type="dxa"/>
            <w:shd w:val="clear" w:color="auto" w:fill="auto"/>
            <w:vAlign w:val="center"/>
          </w:tcPr>
          <w:p>
            <w:pPr>
              <w:tabs>
                <w:tab w:val="right" w:pos="8306"/>
              </w:tabs>
              <w:spacing w:line="600" w:lineRule="exac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Merge w:val="continue"/>
            <w:shd w:val="clear" w:color="auto" w:fill="auto"/>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同类业绩</w:t>
            </w: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人近一年（2025年1月1日至开标日）具有1个以上软件开发项目实施案例，并提供符合上述要求的合同/协议关键页作为有效的业绩证明材料。合同/协议关键页包含但不限于合同/协议首页、体现项目内容页、签署日期页及盖章页等。在满足资格条件1个案例的得1分，在此基础上，每再增加1个有效案例得1分，最多得5分。</w:t>
            </w: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61"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合计</w:t>
            </w:r>
          </w:p>
        </w:tc>
        <w:tc>
          <w:tcPr>
            <w:tcW w:w="1792"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p>
        </w:tc>
        <w:tc>
          <w:tcPr>
            <w:tcW w:w="674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p>
        </w:tc>
        <w:tc>
          <w:tcPr>
            <w:tcW w:w="1128" w:type="dxa"/>
            <w:vAlign w:val="center"/>
          </w:tcPr>
          <w:p>
            <w:pPr>
              <w:tabs>
                <w:tab w:val="right" w:pos="8306"/>
              </w:tabs>
              <w:spacing w:line="6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100</w:t>
            </w:r>
          </w:p>
        </w:tc>
      </w:tr>
    </w:tbl>
    <w:p/>
    <w:p>
      <w:pPr>
        <w:keepNext/>
        <w:keepLines/>
        <w:widowControl w:val="0"/>
        <w:numPr>
          <w:ilvl w:val="0"/>
          <w:numId w:val="0"/>
        </w:numPr>
        <w:adjustRightInd w:val="0"/>
        <w:snapToGrid w:val="0"/>
        <w:spacing w:before="0" w:after="0" w:line="360" w:lineRule="auto"/>
        <w:ind w:firstLine="420" w:firstLineChars="0"/>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w:t>
      </w:r>
      <w:r>
        <w:rPr>
          <w:rFonts w:hint="eastAsia" w:ascii="宋体" w:hAnsi="宋体" w:cs="宋体"/>
          <w:kern w:val="0"/>
          <w:sz w:val="24"/>
          <w:szCs w:val="24"/>
          <w:lang w:eastAsia="zh-CN"/>
        </w:rPr>
        <w:t>比选</w:t>
      </w:r>
      <w:r>
        <w:rPr>
          <w:rFonts w:hint="eastAsia" w:ascii="宋体" w:hAnsi="宋体" w:cs="宋体"/>
          <w:kern w:val="0"/>
          <w:sz w:val="24"/>
          <w:szCs w:val="24"/>
        </w:rPr>
        <w:t>的供应商应按一式4份（正本1份，副本2份,电子文档1份）准备纸质响应文件并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w:t>
      </w:r>
      <w:r>
        <w:rPr>
          <w:rFonts w:hint="eastAsia" w:ascii="宋体" w:hAnsi="宋体" w:cs="宋体"/>
          <w:kern w:val="0"/>
          <w:sz w:val="24"/>
          <w:szCs w:val="24"/>
          <w:lang w:eastAsia="zh-CN"/>
        </w:rPr>
        <w:t>比选</w:t>
      </w:r>
      <w:r>
        <w:rPr>
          <w:rFonts w:hint="eastAsia" w:ascii="宋体" w:hAnsi="宋体" w:cs="宋体"/>
          <w:kern w:val="0"/>
          <w:sz w:val="24"/>
          <w:szCs w:val="24"/>
        </w:rPr>
        <w:t>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（1）承诺与声明</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（2）法人代表授权书</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（3）投标函</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（4）报价一览表</w:t>
      </w:r>
      <w:r>
        <w:rPr>
          <w:rFonts w:hint="eastAsia" w:ascii="Arial" w:hAnsi="Arial" w:cs="Arial"/>
          <w:color w:val="000000"/>
          <w:sz w:val="24"/>
          <w:szCs w:val="24"/>
        </w:rPr>
        <w:t>（单独密封）</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（5）分项报价表</w:t>
      </w:r>
      <w:r>
        <w:rPr>
          <w:rFonts w:hint="eastAsia" w:ascii="Arial" w:hAnsi="Arial" w:cs="Arial"/>
          <w:color w:val="000000"/>
          <w:sz w:val="24"/>
          <w:szCs w:val="24"/>
        </w:rPr>
        <w:t>（单独密封）</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（6）商务偏离表</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（7）技术偏离表</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（8）技术响应文件</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（9）资格证明文件（格式</w:t>
      </w:r>
      <w:r>
        <w:rPr>
          <w:rFonts w:ascii="宋体" w:hAnsi="宋体" w:cs="宋体"/>
          <w:color w:val="000000"/>
          <w:kern w:val="0"/>
          <w:sz w:val="24"/>
          <w:szCs w:val="24"/>
        </w:rPr>
        <w:t>详见</w:t>
      </w:r>
      <w:r>
        <w:rPr>
          <w:rFonts w:hint="eastAsia" w:ascii="宋体" w:hAnsi="宋体" w:cs="宋体"/>
          <w:color w:val="000000"/>
          <w:kern w:val="0"/>
          <w:sz w:val="24"/>
          <w:szCs w:val="24"/>
          <w:lang w:eastAsia="zh-CN"/>
        </w:rPr>
        <w:t>第三章</w:t>
      </w:r>
      <w:r>
        <w:rPr>
          <w:rFonts w:ascii="宋体" w:hAnsi="宋体" w:cs="宋体"/>
          <w:color w:val="000000"/>
          <w:kern w:val="0"/>
          <w:sz w:val="24"/>
          <w:szCs w:val="24"/>
        </w:rPr>
        <w:t>）</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（10</w:t>
      </w:r>
      <w:r>
        <w:rPr>
          <w:rFonts w:ascii="宋体" w:hAnsi="宋体" w:cs="宋体"/>
          <w:color w:val="000000"/>
          <w:kern w:val="0"/>
          <w:sz w:val="24"/>
          <w:szCs w:val="24"/>
        </w:rPr>
        <w:t>）</w:t>
      </w:r>
      <w:r>
        <w:rPr>
          <w:rFonts w:hint="eastAsia" w:ascii="宋体" w:hAnsi="宋体" w:cs="宋体"/>
          <w:color w:val="000000"/>
          <w:kern w:val="0"/>
          <w:sz w:val="24"/>
          <w:szCs w:val="24"/>
        </w:rPr>
        <w:t>信息</w:t>
      </w:r>
      <w:r>
        <w:rPr>
          <w:rFonts w:ascii="宋体" w:hAnsi="宋体" w:cs="宋体"/>
          <w:color w:val="000000"/>
          <w:kern w:val="0"/>
          <w:sz w:val="24"/>
          <w:szCs w:val="24"/>
        </w:rPr>
        <w:t>安全采购要求承诺函</w:t>
      </w:r>
    </w:p>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（11）供应商行为准则承诺书</w:t>
      </w:r>
    </w:p>
    <w:p>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（12）供应商廉洁诚信承诺书</w:t>
      </w:r>
    </w:p>
    <w:p>
      <w:pPr>
        <w:widowControl/>
        <w:adjustRightInd w:val="0"/>
        <w:snapToGrid w:val="0"/>
        <w:spacing w:line="360" w:lineRule="auto"/>
        <w:ind w:firstLine="480"/>
        <w:rPr>
          <w:rFonts w:ascii="宋体" w:hAnsi="宋体" w:cs="宋体"/>
          <w:color w:val="000000"/>
          <w:kern w:val="0"/>
          <w:sz w:val="24"/>
          <w:szCs w:val="24"/>
        </w:rPr>
      </w:pPr>
      <w:r>
        <w:rPr>
          <w:rFonts w:hint="eastAsia" w:ascii="宋体" w:hAnsi="宋体" w:cs="宋体"/>
          <w:color w:val="000000"/>
          <w:kern w:val="0"/>
          <w:sz w:val="24"/>
          <w:szCs w:val="24"/>
        </w:rPr>
        <w:t>（1</w:t>
      </w:r>
      <w:r>
        <w:rPr>
          <w:rFonts w:hint="eastAsia" w:ascii="宋体" w:hAnsi="宋体" w:cs="宋体"/>
          <w:color w:val="000000"/>
          <w:kern w:val="0"/>
          <w:sz w:val="24"/>
          <w:szCs w:val="24"/>
          <w:lang w:val="en-US" w:eastAsia="zh-CN"/>
        </w:rPr>
        <w:t>3</w:t>
      </w:r>
      <w:r>
        <w:rPr>
          <w:rFonts w:ascii="宋体" w:hAnsi="宋体" w:cs="宋体"/>
          <w:color w:val="000000"/>
          <w:kern w:val="0"/>
          <w:sz w:val="24"/>
          <w:szCs w:val="24"/>
        </w:rPr>
        <w:t>）</w:t>
      </w:r>
      <w:r>
        <w:rPr>
          <w:rFonts w:hint="eastAsia" w:ascii="宋体" w:hAnsi="宋体" w:cs="宋体"/>
          <w:color w:val="000000"/>
          <w:kern w:val="0"/>
          <w:sz w:val="24"/>
          <w:szCs w:val="24"/>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w:t>
      </w:r>
      <w:r>
        <w:rPr>
          <w:rFonts w:hint="eastAsia" w:ascii="宋体" w:hAnsi="宋体" w:cs="宋体"/>
          <w:kern w:val="0"/>
          <w:sz w:val="24"/>
          <w:szCs w:val="24"/>
          <w:lang w:eastAsia="zh-CN"/>
        </w:rPr>
        <w:t>比选</w:t>
      </w:r>
      <w:r>
        <w:rPr>
          <w:rFonts w:hint="eastAsia" w:ascii="宋体" w:hAnsi="宋体" w:cs="宋体"/>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ascii="宋体" w:hAnsi="宋体" w:eastAsia="宋体" w:cs="Arial"/>
          <w:b/>
          <w:sz w:val="24"/>
          <w:szCs w:val="24"/>
        </w:rPr>
      </w:pPr>
      <w:r>
        <w:rPr>
          <w:rFonts w:hint="eastAsia" w:ascii="宋体" w:hAnsi="宋体" w:eastAsia="宋体" w:cs="Arial"/>
          <w:b/>
          <w:sz w:val="24"/>
          <w:szCs w:val="24"/>
        </w:rPr>
        <w:t>4</w:t>
      </w:r>
      <w:r>
        <w:rPr>
          <w:rFonts w:ascii="宋体" w:hAnsi="宋体" w:eastAsia="宋体" w:cs="Arial"/>
          <w:b/>
          <w:sz w:val="24"/>
          <w:szCs w:val="24"/>
        </w:rPr>
        <w:t>.</w:t>
      </w:r>
      <w:r>
        <w:rPr>
          <w:rFonts w:hint="eastAsia" w:ascii="宋体" w:hAnsi="宋体" w:eastAsia="宋体" w:cs="Arial"/>
          <w:b/>
          <w:sz w:val="24"/>
          <w:szCs w:val="24"/>
        </w:rPr>
        <w:t>《响应文件》的式样和签署</w:t>
      </w:r>
    </w:p>
    <w:p>
      <w:pPr>
        <w:tabs>
          <w:tab w:val="left" w:pos="0"/>
        </w:tabs>
        <w:adjustRightInd/>
        <w:spacing w:line="360" w:lineRule="auto"/>
        <w:ind w:firstLine="480" w:firstLineChars="200"/>
        <w:jc w:val="both"/>
        <w:textAlignment w:val="auto"/>
        <w:rPr>
          <w:rFonts w:ascii="Arial" w:hAnsi="Arial" w:cs="Arial"/>
          <w:sz w:val="24"/>
          <w:szCs w:val="24"/>
        </w:rPr>
      </w:pPr>
      <w:r>
        <w:rPr>
          <w:rFonts w:hint="eastAsia" w:ascii="宋体" w:hAnsi="宋体" w:eastAsia="宋体" w:cs="Arial"/>
          <w:sz w:val="24"/>
          <w:szCs w:val="24"/>
        </w:rPr>
        <w:t>4</w:t>
      </w:r>
      <w:r>
        <w:rPr>
          <w:rFonts w:ascii="宋体" w:hAnsi="宋体" w:eastAsia="宋体" w:cs="Arial"/>
          <w:sz w:val="24"/>
          <w:szCs w:val="24"/>
        </w:rPr>
        <w:t>.1</w:t>
      </w:r>
      <w:r>
        <w:rPr>
          <w:rFonts w:ascii="Arial" w:hAnsi="Arial" w:cs="Arial"/>
          <w:sz w:val="24"/>
          <w:szCs w:val="24"/>
        </w:rPr>
        <w:t>响应文件规格幅面使用A4规格纸张，按照</w:t>
      </w:r>
      <w:r>
        <w:rPr>
          <w:rFonts w:hint="eastAsia" w:ascii="Arial" w:hAnsi="Arial" w:cs="Arial"/>
          <w:sz w:val="24"/>
          <w:szCs w:val="24"/>
          <w:lang w:eastAsia="zh-CN"/>
        </w:rPr>
        <w:t>比选</w:t>
      </w:r>
      <w:r>
        <w:rPr>
          <w:rFonts w:ascii="Arial" w:hAnsi="Arial" w:cs="Arial"/>
          <w:sz w:val="24"/>
          <w:szCs w:val="24"/>
        </w:rPr>
        <w:t>文件规定的顺序，统一编目编码装订。除封面及技术彩页外，每一页都应标有连续页码，装订须牢固不易拆散和换页，不得采用活页方式装订</w:t>
      </w:r>
      <w:r>
        <w:rPr>
          <w:rFonts w:hint="eastAsia" w:ascii="Arial" w:hAnsi="Arial" w:cs="Arial"/>
          <w:sz w:val="24"/>
          <w:szCs w:val="24"/>
          <w:lang w:eastAsia="zh-CN"/>
        </w:rPr>
        <w:t>，</w:t>
      </w:r>
      <w:r>
        <w:rPr>
          <w:rFonts w:ascii="Arial" w:hAnsi="Arial" w:cs="Arial"/>
          <w:sz w:val="24"/>
          <w:szCs w:val="24"/>
        </w:rPr>
        <w:t>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ascii="宋体" w:hAnsi="宋体" w:eastAsia="宋体" w:cs="Arial"/>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宋体" w:hAnsi="宋体" w:eastAsia="宋体"/>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宋体" w:hAnsi="宋体" w:eastAsia="宋体"/>
          <w:sz w:val="24"/>
        </w:rPr>
        <w:t>供应商在</w:t>
      </w:r>
      <w:r>
        <w:rPr>
          <w:rFonts w:hint="eastAsia" w:ascii="宋体" w:hAnsi="宋体" w:eastAsia="宋体"/>
          <w:sz w:val="24"/>
          <w:lang w:eastAsia="zh-CN"/>
        </w:rPr>
        <w:t>比选</w:t>
      </w:r>
      <w:r>
        <w:rPr>
          <w:rFonts w:hint="eastAsia" w:ascii="宋体" w:hAnsi="宋体" w:eastAsia="宋体"/>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宋体" w:hAnsi="宋体" w:eastAsia="宋体"/>
          <w:sz w:val="24"/>
        </w:rPr>
      </w:pPr>
      <w:r>
        <w:rPr>
          <w:rFonts w:hint="eastAsia" w:ascii="宋体" w:hAnsi="宋体" w:eastAsia="宋体"/>
          <w:sz w:val="24"/>
        </w:rPr>
        <w:t>（1）特别说明函须声明：针对本次项目，供应商投标专用章作为直接参与</w:t>
      </w:r>
      <w:r>
        <w:rPr>
          <w:rFonts w:hint="eastAsia" w:ascii="宋体" w:hAnsi="宋体" w:eastAsia="宋体"/>
          <w:sz w:val="24"/>
          <w:lang w:eastAsia="zh-CN"/>
        </w:rPr>
        <w:t>比选</w:t>
      </w:r>
      <w:r>
        <w:rPr>
          <w:rFonts w:hint="eastAsia" w:ascii="宋体" w:hAnsi="宋体" w:eastAsia="宋体"/>
          <w:sz w:val="24"/>
        </w:rPr>
        <w:t>时相关投标文件的签章、及业务合作伙伴参与</w:t>
      </w:r>
      <w:r>
        <w:rPr>
          <w:rFonts w:hint="eastAsia" w:ascii="宋体" w:hAnsi="宋体" w:eastAsia="宋体"/>
          <w:sz w:val="24"/>
          <w:lang w:eastAsia="zh-CN"/>
        </w:rPr>
        <w:t>比选</w:t>
      </w:r>
      <w:r>
        <w:rPr>
          <w:rFonts w:hint="eastAsia" w:ascii="宋体" w:hAnsi="宋体" w:eastAsia="宋体"/>
          <w:sz w:val="24"/>
        </w:rPr>
        <w:t>时授权函的签章，其效力等同于公章；</w:t>
      </w:r>
    </w:p>
    <w:p>
      <w:pPr>
        <w:widowControl/>
        <w:adjustRightInd w:val="0"/>
        <w:snapToGrid w:val="0"/>
        <w:spacing w:line="360" w:lineRule="auto"/>
        <w:ind w:firstLine="480"/>
        <w:rPr>
          <w:rFonts w:ascii="宋体" w:hAnsi="宋体" w:eastAsia="宋体"/>
          <w:sz w:val="24"/>
        </w:rPr>
      </w:pPr>
      <w:r>
        <w:rPr>
          <w:rFonts w:hint="eastAsia" w:ascii="宋体" w:hAnsi="宋体" w:eastAsia="宋体"/>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宋体" w:hAnsi="宋体" w:eastAsia="宋体"/>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widowControl/>
        <w:adjustRightInd w:val="0"/>
        <w:snapToGrid w:val="0"/>
        <w:spacing w:line="360" w:lineRule="auto"/>
        <w:ind w:firstLine="480"/>
        <w:rPr>
          <w:rFonts w:hint="eastAsia" w:ascii="宋体" w:hAnsi="宋体" w:cs="宋体"/>
          <w:kern w:val="0"/>
          <w:sz w:val="24"/>
          <w:szCs w:val="24"/>
        </w:rPr>
      </w:pPr>
    </w:p>
    <w:p>
      <w:pPr>
        <w:keepNext/>
        <w:keepLines/>
        <w:widowControl w:val="0"/>
        <w:numPr>
          <w:ilvl w:val="0"/>
          <w:numId w:val="0"/>
        </w:numPr>
        <w:adjustRightInd w:val="0"/>
        <w:snapToGrid w:val="0"/>
        <w:spacing w:before="0" w:after="0" w:line="360" w:lineRule="auto"/>
        <w:ind w:firstLine="482" w:firstLineChars="200"/>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四、比选时间和地点</w:t>
      </w:r>
    </w:p>
    <w:p>
      <w:pPr>
        <w:widowControl/>
        <w:adjustRightInd w:val="0"/>
        <w:snapToGrid w:val="0"/>
        <w:spacing w:line="360" w:lineRule="auto"/>
        <w:ind w:firstLine="480"/>
        <w:rPr>
          <w:rFonts w:hint="eastAsia" w:ascii="宋体" w:hAnsi="宋体" w:eastAsia="宋体" w:cs="宋体"/>
          <w:kern w:val="0"/>
          <w:sz w:val="24"/>
          <w:szCs w:val="24"/>
        </w:rPr>
      </w:pPr>
      <w:bookmarkStart w:id="0" w:name="OLE_LINK4"/>
      <w:bookmarkEnd w:id="0"/>
      <w:bookmarkStart w:id="1" w:name="OLE_LINK3"/>
      <w:bookmarkEnd w:id="1"/>
      <w:r>
        <w:rPr>
          <w:rFonts w:hint="eastAsia" w:ascii="宋体" w:hAnsi="宋体" w:eastAsia="宋体" w:cs="宋体"/>
          <w:kern w:val="0"/>
          <w:sz w:val="24"/>
          <w:szCs w:val="24"/>
        </w:rPr>
        <w:t>20</w:t>
      </w:r>
      <w:r>
        <w:rPr>
          <w:rFonts w:hint="eastAsia" w:ascii="宋体" w:hAnsi="宋体" w:eastAsia="宋体" w:cs="宋体"/>
          <w:kern w:val="0"/>
          <w:sz w:val="24"/>
          <w:szCs w:val="24"/>
          <w:lang w:val="en-US" w:eastAsia="zh-CN"/>
        </w:rPr>
        <w:t>26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日</w:t>
      </w:r>
      <w:r>
        <w:rPr>
          <w:rFonts w:hint="eastAsia" w:ascii="宋体" w:hAnsi="宋体" w:eastAsia="宋体" w:cs="宋体"/>
          <w:kern w:val="0"/>
          <w:sz w:val="24"/>
          <w:szCs w:val="24"/>
          <w:lang w:val="en-US" w:eastAsia="zh-CN"/>
        </w:rPr>
        <w:t>14</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00</w:t>
      </w:r>
      <w:r>
        <w:rPr>
          <w:rFonts w:hint="eastAsia" w:ascii="宋体" w:hAnsi="宋体" w:eastAsia="宋体" w:cs="宋体"/>
          <w:kern w:val="0"/>
          <w:sz w:val="24"/>
          <w:szCs w:val="24"/>
        </w:rPr>
        <w:t>，上海市</w:t>
      </w:r>
      <w:r>
        <w:rPr>
          <w:rFonts w:hint="eastAsia" w:ascii="宋体" w:hAnsi="宋体" w:eastAsia="宋体" w:cs="宋体"/>
          <w:kern w:val="0"/>
          <w:sz w:val="24"/>
          <w:szCs w:val="24"/>
          <w:lang w:val="en-US" w:eastAsia="zh-CN"/>
        </w:rPr>
        <w:t>中山南路700</w:t>
      </w:r>
      <w:r>
        <w:rPr>
          <w:rFonts w:hint="eastAsia" w:ascii="宋体" w:hAnsi="宋体" w:eastAsia="宋体" w:cs="宋体"/>
          <w:kern w:val="0"/>
          <w:sz w:val="24"/>
          <w:szCs w:val="24"/>
        </w:rPr>
        <w:t>号中国人民财产保险股份有限公司上海市分公司</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楼会议室（时间、地点如有变化，将另行提前通知）。</w:t>
      </w:r>
    </w:p>
    <w:p>
      <w:pPr>
        <w:spacing w:line="360" w:lineRule="auto"/>
        <w:ind w:firstLine="480" w:firstLineChars="200"/>
        <w:rPr>
          <w:rFonts w:hint="eastAsia" w:ascii="宋体" w:hAnsi="宋体" w:eastAsia="宋体" w:cs="宋体"/>
          <w:color w:val="FF0000"/>
          <w:kern w:val="0"/>
          <w:sz w:val="24"/>
          <w:szCs w:val="24"/>
          <w:lang w:eastAsia="zh-CN"/>
        </w:rPr>
      </w:pPr>
    </w:p>
    <w:p>
      <w:pPr>
        <w:keepNext/>
        <w:keepLines/>
        <w:widowControl w:val="0"/>
        <w:numPr>
          <w:ilvl w:val="0"/>
          <w:numId w:val="0"/>
        </w:numPr>
        <w:adjustRightInd w:val="0"/>
        <w:snapToGrid w:val="0"/>
        <w:spacing w:before="0" w:after="0" w:line="360" w:lineRule="auto"/>
        <w:ind w:firstLine="482" w:firstLineChars="200"/>
        <w:jc w:val="both"/>
        <w:outlineLvl w:val="1"/>
        <w:rPr>
          <w:rFonts w:hint="eastAsia"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五、比选流程说明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lang w:eastAsia="zh-CN"/>
        </w:rPr>
        <w:t>比选</w:t>
      </w:r>
      <w:r>
        <w:rPr>
          <w:rFonts w:hint="eastAsia" w:ascii="宋体" w:hAnsi="宋体" w:cs="宋体"/>
          <w:b/>
          <w:bCs/>
          <w:kern w:val="0"/>
          <w:sz w:val="24"/>
          <w:szCs w:val="24"/>
        </w:rPr>
        <w:t>流程</w:t>
      </w:r>
    </w:p>
    <w:p>
      <w:pPr>
        <w:tabs>
          <w:tab w:val="left" w:pos="588"/>
        </w:tabs>
        <w:adjustRightIn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w:t>
      </w:r>
      <w:r>
        <w:rPr>
          <w:rFonts w:hint="eastAsia" w:ascii="宋体" w:hAnsi="宋体"/>
          <w:sz w:val="24"/>
          <w:szCs w:val="24"/>
        </w:rPr>
        <w:t>本项目可不进行公开报价。</w:t>
      </w:r>
    </w:p>
    <w:p>
      <w:pPr>
        <w:widowControl/>
        <w:adjustRightInd w:val="0"/>
        <w:snapToGrid w:val="0"/>
        <w:spacing w:line="360" w:lineRule="auto"/>
        <w:ind w:firstLine="480"/>
        <w:rPr>
          <w:rFonts w:hint="eastAsia" w:ascii="宋体" w:hAnsi="宋体" w:eastAsia="宋体" w:cs="Arial"/>
          <w:sz w:val="24"/>
          <w:szCs w:val="24"/>
          <w:lang w:eastAsia="zh-CN"/>
        </w:rPr>
      </w:pPr>
      <w:r>
        <w:rPr>
          <w:rFonts w:hint="eastAsia" w:ascii="宋体" w:hAnsi="宋体" w:eastAsia="宋体" w:cs="Arial"/>
          <w:sz w:val="24"/>
          <w:szCs w:val="24"/>
        </w:rPr>
        <w:t>2.</w:t>
      </w:r>
      <w:r>
        <w:rPr>
          <w:rFonts w:hint="eastAsia" w:ascii="宋体" w:hAnsi="宋体" w:eastAsia="宋体" w:cs="Arial"/>
          <w:sz w:val="24"/>
          <w:szCs w:val="24"/>
          <w:lang w:eastAsia="zh-CN"/>
        </w:rPr>
        <w:t>评审小组对响应文件进行初审，包括资格性检查和符合性检查。未通过初审的供应商将被拒绝，不得参与比选谈判流程。</w:t>
      </w:r>
    </w:p>
    <w:p>
      <w:pPr>
        <w:tabs>
          <w:tab w:val="left" w:pos="588"/>
        </w:tabs>
        <w:adjustRightInd/>
        <w:spacing w:line="360" w:lineRule="auto"/>
        <w:ind w:firstLine="480" w:firstLineChars="200"/>
        <w:jc w:val="both"/>
        <w:textAlignment w:val="auto"/>
        <w:rPr>
          <w:rFonts w:hint="eastAsia" w:ascii="宋体" w:hAnsi="宋体" w:cs="宋体"/>
          <w:kern w:val="0"/>
          <w:sz w:val="24"/>
          <w:szCs w:val="24"/>
        </w:rPr>
      </w:pPr>
      <w:r>
        <w:rPr>
          <w:rFonts w:hint="eastAsia" w:ascii="宋体" w:hAnsi="宋体" w:cs="宋体"/>
          <w:kern w:val="0"/>
          <w:sz w:val="24"/>
          <w:szCs w:val="24"/>
          <w:lang w:val="en-US" w:eastAsia="zh-CN"/>
        </w:rPr>
        <w:t>2.1</w:t>
      </w:r>
      <w:r>
        <w:rPr>
          <w:rFonts w:hint="eastAsia" w:ascii="宋体" w:hAnsi="宋体" w:cs="宋体"/>
          <w:kern w:val="0"/>
          <w:sz w:val="24"/>
          <w:szCs w:val="24"/>
        </w:rPr>
        <w:t>资格性检查：评审小组依据</w:t>
      </w:r>
      <w:r>
        <w:rPr>
          <w:rFonts w:hint="eastAsia" w:ascii="宋体" w:hAnsi="宋体" w:cs="宋体"/>
          <w:kern w:val="0"/>
          <w:sz w:val="24"/>
          <w:szCs w:val="24"/>
          <w:lang w:eastAsia="zh-CN"/>
        </w:rPr>
        <w:t>比选采购文件</w:t>
      </w:r>
      <w:r>
        <w:rPr>
          <w:rFonts w:hint="eastAsia" w:ascii="宋体" w:hAnsi="宋体" w:cs="宋体"/>
          <w:kern w:val="0"/>
          <w:sz w:val="24"/>
          <w:szCs w:val="24"/>
        </w:rPr>
        <w:t>，对</w:t>
      </w:r>
      <w:r>
        <w:rPr>
          <w:rFonts w:hint="eastAsia" w:ascii="宋体" w:hAnsi="宋体" w:cs="宋体"/>
          <w:kern w:val="0"/>
          <w:sz w:val="24"/>
          <w:szCs w:val="24"/>
          <w:lang w:eastAsia="zh-CN"/>
        </w:rPr>
        <w:t>响应</w:t>
      </w:r>
      <w:r>
        <w:rPr>
          <w:rFonts w:hint="eastAsia" w:ascii="宋体" w:hAnsi="宋体" w:cs="宋体"/>
          <w:kern w:val="0"/>
          <w:sz w:val="24"/>
          <w:szCs w:val="24"/>
        </w:rPr>
        <w:t>文件中的资格证明文件等进行审查，以确定</w:t>
      </w:r>
      <w:r>
        <w:rPr>
          <w:rFonts w:hint="eastAsia" w:ascii="宋体" w:hAnsi="宋体" w:cs="宋体"/>
          <w:kern w:val="0"/>
          <w:sz w:val="24"/>
          <w:szCs w:val="24"/>
          <w:lang w:eastAsia="zh-CN"/>
        </w:rPr>
        <w:t>响应</w:t>
      </w:r>
      <w:r>
        <w:rPr>
          <w:rFonts w:hint="eastAsia" w:ascii="宋体" w:hAnsi="宋体" w:cs="宋体"/>
          <w:kern w:val="0"/>
          <w:sz w:val="24"/>
          <w:szCs w:val="24"/>
        </w:rPr>
        <w:t>方是否具备</w:t>
      </w:r>
      <w:r>
        <w:rPr>
          <w:rFonts w:hint="eastAsia" w:ascii="宋体" w:hAnsi="宋体" w:cs="宋体"/>
          <w:kern w:val="0"/>
          <w:sz w:val="24"/>
          <w:szCs w:val="24"/>
          <w:lang w:eastAsia="zh-CN"/>
        </w:rPr>
        <w:t>谈判</w:t>
      </w:r>
      <w:r>
        <w:rPr>
          <w:rFonts w:hint="eastAsia" w:ascii="宋体" w:hAnsi="宋体" w:cs="宋体"/>
          <w:kern w:val="0"/>
          <w:sz w:val="24"/>
          <w:szCs w:val="24"/>
        </w:rPr>
        <w:t>资格。</w:t>
      </w:r>
    </w:p>
    <w:p>
      <w:pPr>
        <w:tabs>
          <w:tab w:val="left" w:pos="588"/>
        </w:tabs>
        <w:adjustRightInd/>
        <w:spacing w:line="360" w:lineRule="auto"/>
        <w:ind w:firstLine="480" w:firstLineChars="200"/>
        <w:jc w:val="both"/>
        <w:textAlignment w:val="auto"/>
        <w:rPr>
          <w:rFonts w:hint="eastAsia" w:ascii="宋体" w:hAnsi="宋体" w:cs="宋体"/>
          <w:kern w:val="0"/>
          <w:sz w:val="24"/>
          <w:szCs w:val="24"/>
        </w:rPr>
      </w:pPr>
      <w:r>
        <w:rPr>
          <w:rFonts w:hint="eastAsia" w:ascii="宋体" w:hAnsi="宋体" w:cs="宋体"/>
          <w:kern w:val="0"/>
          <w:sz w:val="24"/>
          <w:szCs w:val="24"/>
        </w:rPr>
        <w:t>2.2符合性检查：评审小组依据</w:t>
      </w:r>
      <w:r>
        <w:rPr>
          <w:rFonts w:hint="eastAsia" w:ascii="宋体" w:hAnsi="宋体" w:cs="宋体"/>
          <w:kern w:val="0"/>
          <w:sz w:val="24"/>
          <w:szCs w:val="24"/>
          <w:lang w:eastAsia="zh-CN"/>
        </w:rPr>
        <w:t>比选采购文件</w:t>
      </w:r>
      <w:r>
        <w:rPr>
          <w:rFonts w:hint="eastAsia" w:ascii="宋体" w:hAnsi="宋体" w:cs="宋体"/>
          <w:kern w:val="0"/>
          <w:sz w:val="24"/>
          <w:szCs w:val="24"/>
        </w:rPr>
        <w:t>，对</w:t>
      </w:r>
      <w:r>
        <w:rPr>
          <w:rFonts w:hint="eastAsia" w:ascii="宋体" w:hAnsi="宋体" w:cs="宋体"/>
          <w:kern w:val="0"/>
          <w:sz w:val="24"/>
          <w:szCs w:val="24"/>
          <w:lang w:eastAsia="zh-CN"/>
        </w:rPr>
        <w:t>响应</w:t>
      </w:r>
      <w:r>
        <w:rPr>
          <w:rFonts w:hint="eastAsia" w:ascii="宋体" w:hAnsi="宋体" w:cs="宋体"/>
          <w:kern w:val="0"/>
          <w:sz w:val="24"/>
          <w:szCs w:val="24"/>
        </w:rPr>
        <w:t>文件的有效性、完整性和对</w:t>
      </w:r>
      <w:r>
        <w:rPr>
          <w:rFonts w:hint="eastAsia" w:ascii="宋体" w:hAnsi="宋体" w:cs="宋体"/>
          <w:kern w:val="0"/>
          <w:sz w:val="24"/>
          <w:szCs w:val="24"/>
          <w:lang w:eastAsia="zh-CN"/>
        </w:rPr>
        <w:t>比选采购文件</w:t>
      </w:r>
      <w:r>
        <w:rPr>
          <w:rFonts w:hint="eastAsia" w:ascii="宋体" w:hAnsi="宋体" w:cs="宋体"/>
          <w:kern w:val="0"/>
          <w:sz w:val="24"/>
          <w:szCs w:val="24"/>
        </w:rPr>
        <w:t>的</w:t>
      </w:r>
      <w:r>
        <w:rPr>
          <w:rFonts w:hint="eastAsia" w:ascii="宋体" w:hAnsi="宋体" w:cs="宋体"/>
          <w:kern w:val="0"/>
          <w:sz w:val="24"/>
          <w:szCs w:val="24"/>
          <w:lang w:eastAsia="zh-CN"/>
        </w:rPr>
        <w:t>响应</w:t>
      </w:r>
      <w:r>
        <w:rPr>
          <w:rFonts w:hint="eastAsia" w:ascii="宋体" w:hAnsi="宋体" w:cs="宋体"/>
          <w:kern w:val="0"/>
          <w:sz w:val="24"/>
          <w:szCs w:val="24"/>
        </w:rPr>
        <w:t>程度进行审查，以确定</w:t>
      </w:r>
      <w:r>
        <w:rPr>
          <w:rFonts w:hint="eastAsia" w:ascii="宋体" w:hAnsi="宋体" w:cs="宋体"/>
          <w:kern w:val="0"/>
          <w:sz w:val="24"/>
          <w:szCs w:val="24"/>
          <w:lang w:eastAsia="zh-CN"/>
        </w:rPr>
        <w:t>响应</w:t>
      </w:r>
      <w:r>
        <w:rPr>
          <w:rFonts w:hint="eastAsia" w:ascii="宋体" w:hAnsi="宋体" w:cs="宋体"/>
          <w:kern w:val="0"/>
          <w:sz w:val="24"/>
          <w:szCs w:val="24"/>
        </w:rPr>
        <w:t>方是否对</w:t>
      </w:r>
      <w:r>
        <w:rPr>
          <w:rFonts w:hint="eastAsia" w:ascii="宋体" w:hAnsi="宋体" w:cs="宋体"/>
          <w:kern w:val="0"/>
          <w:sz w:val="24"/>
          <w:szCs w:val="24"/>
          <w:lang w:eastAsia="zh-CN"/>
        </w:rPr>
        <w:t>比选采购文件</w:t>
      </w:r>
      <w:r>
        <w:rPr>
          <w:rFonts w:hint="eastAsia" w:ascii="宋体" w:hAnsi="宋体" w:cs="宋体"/>
          <w:kern w:val="0"/>
          <w:sz w:val="24"/>
          <w:szCs w:val="24"/>
        </w:rPr>
        <w:t>的实质性要求做出</w:t>
      </w:r>
      <w:r>
        <w:rPr>
          <w:rFonts w:hint="eastAsia" w:ascii="宋体" w:hAnsi="宋体" w:cs="宋体"/>
          <w:kern w:val="0"/>
          <w:sz w:val="24"/>
          <w:szCs w:val="24"/>
          <w:lang w:eastAsia="zh-CN"/>
        </w:rPr>
        <w:t>响应</w:t>
      </w:r>
      <w:r>
        <w:rPr>
          <w:rFonts w:hint="eastAsia" w:ascii="宋体" w:hAnsi="宋体" w:cs="宋体"/>
          <w:kern w:val="0"/>
          <w:sz w:val="24"/>
          <w:szCs w:val="24"/>
        </w:rPr>
        <w:t>。</w:t>
      </w:r>
    </w:p>
    <w:p>
      <w:pPr>
        <w:tabs>
          <w:tab w:val="left" w:pos="588"/>
        </w:tabs>
        <w:adjustRightInd/>
        <w:spacing w:line="360" w:lineRule="auto"/>
        <w:ind w:firstLine="480" w:firstLineChars="200"/>
        <w:jc w:val="both"/>
        <w:textAlignment w:val="auto"/>
        <w:rPr>
          <w:rFonts w:ascii="宋体" w:hAnsi="宋体"/>
          <w:sz w:val="24"/>
          <w:szCs w:val="24"/>
          <w:highlight w:val="none"/>
        </w:rPr>
      </w:pPr>
      <w:r>
        <w:rPr>
          <w:rFonts w:hint="eastAsia" w:ascii="宋体" w:hAnsi="宋体" w:cs="宋体"/>
          <w:kern w:val="0"/>
          <w:sz w:val="24"/>
          <w:szCs w:val="24"/>
          <w:lang w:val="en-US" w:eastAsia="zh-CN"/>
        </w:rPr>
        <w:t>3</w:t>
      </w:r>
      <w:r>
        <w:rPr>
          <w:rFonts w:hint="eastAsia" w:ascii="宋体" w:hAnsi="宋体" w:cs="宋体"/>
          <w:kern w:val="0"/>
          <w:sz w:val="24"/>
          <w:szCs w:val="24"/>
        </w:rPr>
        <w:t>.</w:t>
      </w:r>
      <w:r>
        <w:rPr>
          <w:rFonts w:hint="eastAsia" w:ascii="宋体" w:hAnsi="宋体"/>
          <w:sz w:val="24"/>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 w:val="24"/>
          <w:szCs w:val="24"/>
          <w:highlight w:val="none"/>
        </w:rPr>
        <w:t>并给予所有</w:t>
      </w:r>
      <w:r>
        <w:rPr>
          <w:rFonts w:hint="eastAsia" w:ascii="宋体" w:hAnsi="宋体"/>
          <w:sz w:val="24"/>
          <w:szCs w:val="24"/>
          <w:highlight w:val="none"/>
        </w:rPr>
        <w:t>参加</w:t>
      </w:r>
      <w:r>
        <w:rPr>
          <w:rFonts w:hint="eastAsia" w:ascii="宋体" w:hAnsi="宋体"/>
          <w:sz w:val="24"/>
          <w:szCs w:val="24"/>
          <w:highlight w:val="none"/>
          <w:lang w:eastAsia="zh-CN"/>
        </w:rPr>
        <w:t>谈判</w:t>
      </w:r>
      <w:r>
        <w:rPr>
          <w:rFonts w:hint="eastAsia" w:ascii="宋体" w:hAnsi="宋体"/>
          <w:sz w:val="24"/>
          <w:szCs w:val="24"/>
          <w:highlight w:val="none"/>
        </w:rPr>
        <w:t>并通过初审的</w:t>
      </w:r>
      <w:r>
        <w:rPr>
          <w:rFonts w:hint="eastAsia" w:ascii="宋体" w:hAnsi="宋体"/>
          <w:sz w:val="24"/>
          <w:szCs w:val="24"/>
          <w:highlight w:val="none"/>
          <w:lang w:eastAsia="zh-CN"/>
        </w:rPr>
        <w:t>响应</w:t>
      </w:r>
      <w:r>
        <w:rPr>
          <w:rFonts w:hint="eastAsia" w:ascii="宋体" w:hAnsi="宋体"/>
          <w:sz w:val="24"/>
          <w:szCs w:val="24"/>
          <w:highlight w:val="none"/>
        </w:rPr>
        <w:t>方平等的</w:t>
      </w:r>
      <w:r>
        <w:rPr>
          <w:rFonts w:hint="eastAsia" w:ascii="宋体" w:hAnsi="宋体"/>
          <w:sz w:val="24"/>
          <w:szCs w:val="24"/>
          <w:highlight w:val="none"/>
          <w:lang w:eastAsia="zh-CN"/>
        </w:rPr>
        <w:t>谈判</w:t>
      </w:r>
      <w:r>
        <w:rPr>
          <w:rFonts w:hint="eastAsia" w:ascii="宋体" w:hAnsi="宋体"/>
          <w:sz w:val="24"/>
          <w:szCs w:val="24"/>
          <w:highlight w:val="none"/>
        </w:rPr>
        <w:t>机会。</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w:t>
      </w:r>
      <w:r>
        <w:rPr>
          <w:rFonts w:hint="eastAsia" w:ascii="宋体" w:hAnsi="宋体" w:eastAsia="宋体" w:cs="Arial"/>
          <w:sz w:val="24"/>
          <w:szCs w:val="24"/>
          <w:lang w:eastAsia="zh-CN"/>
        </w:rPr>
        <w:t>评审</w:t>
      </w:r>
      <w:r>
        <w:rPr>
          <w:rFonts w:ascii="宋体" w:hAnsi="宋体" w:eastAsia="宋体" w:cs="Arial"/>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.第一轮报价结束后，</w:t>
      </w:r>
      <w:r>
        <w:rPr>
          <w:rFonts w:hint="eastAsia" w:ascii="宋体" w:hAnsi="宋体" w:cs="宋体"/>
          <w:kern w:val="0"/>
          <w:sz w:val="24"/>
          <w:szCs w:val="24"/>
          <w:lang w:eastAsia="zh-CN"/>
        </w:rPr>
        <w:t>评审小组</w:t>
      </w:r>
      <w:r>
        <w:rPr>
          <w:rFonts w:hint="eastAsia" w:ascii="宋体" w:hAnsi="宋体" w:cs="宋体"/>
          <w:kern w:val="0"/>
          <w:sz w:val="24"/>
          <w:szCs w:val="24"/>
        </w:rPr>
        <w:t>邀请项目报价高价者首先进入</w:t>
      </w:r>
      <w:r>
        <w:rPr>
          <w:rFonts w:hint="eastAsia" w:ascii="宋体" w:hAnsi="宋体" w:cs="宋体"/>
          <w:kern w:val="0"/>
          <w:sz w:val="24"/>
          <w:szCs w:val="24"/>
          <w:lang w:eastAsia="zh-CN"/>
        </w:rPr>
        <w:t>谈判</w:t>
      </w:r>
      <w:r>
        <w:rPr>
          <w:rFonts w:hint="eastAsia" w:ascii="宋体" w:hAnsi="宋体" w:cs="宋体"/>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w:t>
      </w:r>
      <w:r>
        <w:rPr>
          <w:rFonts w:hint="eastAsia" w:ascii="宋体" w:hAnsi="宋体" w:cs="宋体"/>
          <w:kern w:val="0"/>
          <w:sz w:val="24"/>
          <w:szCs w:val="24"/>
          <w:lang w:eastAsia="zh-CN"/>
        </w:rPr>
        <w:t>谈判</w:t>
      </w:r>
      <w:r>
        <w:rPr>
          <w:rFonts w:hint="eastAsia" w:ascii="宋体" w:hAnsi="宋体" w:cs="宋体"/>
          <w:kern w:val="0"/>
          <w:sz w:val="24"/>
          <w:szCs w:val="24"/>
        </w:rPr>
        <w:t>会场再次出价，如此进行反复。</w:t>
      </w:r>
    </w:p>
    <w:p>
      <w:pPr>
        <w:widowControl w:val="0"/>
        <w:spacing w:line="360" w:lineRule="auto"/>
        <w:ind w:firstLine="480" w:firstLineChars="200"/>
        <w:jc w:val="left"/>
        <w:rPr>
          <w:rFonts w:ascii="宋体" w:hAnsi="宋体" w:eastAsia="楷体" w:cs="宋体"/>
          <w:kern w:val="0"/>
          <w:sz w:val="24"/>
          <w:szCs w:val="24"/>
          <w:lang w:val="en-US" w:eastAsia="zh-CN" w:bidi="ar-SA"/>
        </w:rPr>
      </w:pPr>
      <w:r>
        <w:rPr>
          <w:rFonts w:ascii="宋体" w:hAnsi="宋体" w:eastAsia="楷体" w:cs="宋体"/>
          <w:kern w:val="0"/>
          <w:sz w:val="24"/>
          <w:szCs w:val="24"/>
          <w:lang w:val="en-US" w:eastAsia="zh-CN" w:bidi="ar-SA"/>
        </w:rPr>
        <w:t>7</w:t>
      </w:r>
      <w:r>
        <w:rPr>
          <w:rFonts w:hint="eastAsia" w:ascii="宋体" w:hAnsi="宋体" w:eastAsia="楷体" w:cs="宋体"/>
          <w:kern w:val="0"/>
          <w:sz w:val="24"/>
          <w:szCs w:val="24"/>
          <w:lang w:val="en-US" w:eastAsia="zh-CN" w:bidi="ar-SA"/>
        </w:rPr>
        <w:t>.</w:t>
      </w:r>
      <w:r>
        <w:rPr>
          <w:rFonts w:hint="eastAsia" w:ascii="宋体" w:hAnsi="宋体" w:eastAsia="宋体" w:cs="宋体"/>
          <w:kern w:val="0"/>
          <w:sz w:val="24"/>
          <w:szCs w:val="24"/>
          <w:lang w:val="en-US" w:eastAsia="zh-CN" w:bidi="ar-SA"/>
        </w:rPr>
        <w:t>若供应商都不再出价或评审小组认为竞价已达到预期效果，则要求所有参加谈判的受邀公司在规定的时间内进行最后报价并签字或盖章，提交最后报价的响应方不得少于2家。</w:t>
      </w:r>
    </w:p>
    <w:p>
      <w:pPr>
        <w:widowControl/>
        <w:adjustRightInd w:val="0"/>
        <w:snapToGrid w:val="0"/>
        <w:spacing w:line="360" w:lineRule="auto"/>
        <w:ind w:firstLine="480"/>
        <w:rPr>
          <w:rFonts w:hint="eastAsia" w:ascii="宋体" w:hAnsi="宋体" w:cs="宋体"/>
          <w:sz w:val="24"/>
          <w:szCs w:val="24"/>
          <w:highlight w:val="none"/>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sz w:val="24"/>
          <w:szCs w:val="24"/>
          <w:highlight w:val="none"/>
          <w:lang w:val="en-US" w:eastAsia="zh-CN"/>
        </w:rPr>
        <w:t>如本项目开启谈判流程，</w:t>
      </w:r>
      <w:r>
        <w:rPr>
          <w:rFonts w:hint="eastAsia" w:ascii="宋体" w:hAnsi="宋体" w:cs="宋体"/>
          <w:sz w:val="24"/>
          <w:szCs w:val="24"/>
          <w:highlight w:val="none"/>
        </w:rPr>
        <w:t>经</w:t>
      </w:r>
      <w:r>
        <w:rPr>
          <w:rFonts w:hint="eastAsia" w:ascii="宋体" w:hAnsi="宋体" w:cs="宋体"/>
          <w:sz w:val="24"/>
          <w:szCs w:val="24"/>
          <w:highlight w:val="none"/>
          <w:lang w:eastAsia="zh-CN"/>
        </w:rPr>
        <w:t>谈判</w:t>
      </w:r>
      <w:r>
        <w:rPr>
          <w:rFonts w:hint="eastAsia" w:ascii="宋体" w:hAnsi="宋体" w:cs="宋体"/>
          <w:sz w:val="24"/>
          <w:szCs w:val="24"/>
          <w:highlight w:val="none"/>
        </w:rPr>
        <w:t>确定最终采购需求和提交最后报价的</w:t>
      </w:r>
      <w:r>
        <w:rPr>
          <w:rFonts w:hint="eastAsia" w:ascii="宋体" w:hAnsi="宋体" w:cs="宋体"/>
          <w:sz w:val="24"/>
          <w:szCs w:val="24"/>
          <w:highlight w:val="none"/>
          <w:lang w:eastAsia="zh-CN"/>
        </w:rPr>
        <w:t>响应</w:t>
      </w:r>
      <w:r>
        <w:rPr>
          <w:rFonts w:hint="eastAsia" w:ascii="宋体" w:hAnsi="宋体" w:cs="宋体"/>
          <w:sz w:val="24"/>
          <w:szCs w:val="24"/>
          <w:highlight w:val="none"/>
        </w:rPr>
        <w:t>方后，由评审小组采用综合评分法对提交最后报价的</w:t>
      </w:r>
      <w:r>
        <w:rPr>
          <w:rFonts w:hint="eastAsia" w:ascii="宋体" w:hAnsi="宋体" w:cs="宋体"/>
          <w:sz w:val="24"/>
          <w:szCs w:val="24"/>
          <w:highlight w:val="none"/>
          <w:lang w:eastAsia="zh-CN"/>
        </w:rPr>
        <w:t>响应</w:t>
      </w:r>
      <w:r>
        <w:rPr>
          <w:rFonts w:hint="eastAsia" w:ascii="宋体" w:hAnsi="宋体" w:cs="宋体"/>
          <w:sz w:val="24"/>
          <w:szCs w:val="24"/>
          <w:highlight w:val="none"/>
        </w:rPr>
        <w:t>方的</w:t>
      </w:r>
      <w:r>
        <w:rPr>
          <w:rFonts w:hint="eastAsia" w:ascii="宋体" w:hAnsi="宋体" w:cs="宋体"/>
          <w:sz w:val="24"/>
          <w:szCs w:val="24"/>
          <w:highlight w:val="none"/>
          <w:lang w:eastAsia="zh-CN"/>
        </w:rPr>
        <w:t>响应</w:t>
      </w:r>
      <w:r>
        <w:rPr>
          <w:rFonts w:hint="eastAsia" w:ascii="宋体" w:hAnsi="宋体" w:cs="宋体"/>
          <w:sz w:val="24"/>
          <w:szCs w:val="24"/>
          <w:highlight w:val="none"/>
        </w:rPr>
        <w:t>文件和最后报价进行综合评分。</w:t>
      </w:r>
      <w:r>
        <w:rPr>
          <w:rFonts w:hint="eastAsia" w:ascii="宋体" w:hAnsi="宋体" w:cs="宋体"/>
          <w:sz w:val="24"/>
          <w:szCs w:val="24"/>
          <w:highlight w:val="none"/>
          <w:lang w:val="en-US" w:eastAsia="zh-CN"/>
        </w:rPr>
        <w:t>如本项目不开启谈判流程，则</w:t>
      </w:r>
      <w:r>
        <w:rPr>
          <w:rFonts w:hint="eastAsia" w:ascii="宋体" w:hAnsi="宋体" w:cs="宋体"/>
          <w:sz w:val="24"/>
          <w:szCs w:val="24"/>
          <w:highlight w:val="none"/>
        </w:rPr>
        <w:t>评审小组采用综合评分法对</w:t>
      </w:r>
      <w:r>
        <w:rPr>
          <w:rFonts w:hint="eastAsia" w:ascii="宋体" w:hAnsi="宋体" w:cs="宋体"/>
          <w:sz w:val="24"/>
          <w:szCs w:val="24"/>
          <w:highlight w:val="none"/>
          <w:lang w:val="en-US" w:eastAsia="zh-CN"/>
        </w:rPr>
        <w:t>所有进入详细评审环节的满足实质性响应的供应商</w:t>
      </w:r>
      <w:r>
        <w:rPr>
          <w:rFonts w:hint="eastAsia" w:ascii="宋体" w:hAnsi="宋体" w:cs="宋体"/>
          <w:sz w:val="24"/>
          <w:szCs w:val="24"/>
          <w:highlight w:val="none"/>
        </w:rPr>
        <w:t>的</w:t>
      </w:r>
      <w:r>
        <w:rPr>
          <w:rFonts w:hint="eastAsia" w:ascii="宋体" w:hAnsi="宋体" w:cs="宋体"/>
          <w:sz w:val="24"/>
          <w:szCs w:val="24"/>
          <w:highlight w:val="none"/>
          <w:lang w:eastAsia="zh-CN"/>
        </w:rPr>
        <w:t>响应</w:t>
      </w:r>
      <w:r>
        <w:rPr>
          <w:rFonts w:hint="eastAsia" w:ascii="宋体" w:hAnsi="宋体" w:cs="宋体"/>
          <w:sz w:val="24"/>
          <w:szCs w:val="24"/>
          <w:highlight w:val="none"/>
        </w:rPr>
        <w:t>文件和报价进行综合评分。</w:t>
      </w:r>
    </w:p>
    <w:p>
      <w:pPr>
        <w:widowControl/>
        <w:adjustRightInd w:val="0"/>
        <w:snapToGrid w:val="0"/>
        <w:spacing w:line="360" w:lineRule="auto"/>
        <w:ind w:firstLine="480"/>
        <w:rPr>
          <w:rFonts w:hint="eastAsia" w:ascii="宋体" w:hAnsi="宋体" w:cs="宋体"/>
          <w:sz w:val="24"/>
          <w:szCs w:val="24"/>
          <w:highlight w:val="none"/>
        </w:rPr>
      </w:pPr>
    </w:p>
    <w:p>
      <w:pPr>
        <w:keepNext/>
        <w:keepLines/>
        <w:widowControl w:val="0"/>
        <w:numPr>
          <w:ilvl w:val="0"/>
          <w:numId w:val="0"/>
        </w:numPr>
        <w:adjustRightInd w:val="0"/>
        <w:snapToGrid w:val="0"/>
        <w:spacing w:before="0" w:after="0" w:line="360" w:lineRule="auto"/>
        <w:ind w:firstLine="482" w:firstLineChars="200"/>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w:t>
      </w:r>
      <w:r>
        <w:rPr>
          <w:rFonts w:hint="eastAsia" w:ascii="宋体" w:hAnsi="宋体" w:cs="宋体"/>
          <w:kern w:val="0"/>
          <w:sz w:val="24"/>
          <w:szCs w:val="24"/>
          <w:lang w:eastAsia="zh-CN"/>
        </w:rPr>
        <w:t>比选</w:t>
      </w:r>
      <w:r>
        <w:rPr>
          <w:rFonts w:hint="eastAsia" w:ascii="宋体" w:hAnsi="宋体" w:cs="宋体"/>
          <w:kern w:val="0"/>
          <w:sz w:val="24"/>
          <w:szCs w:val="24"/>
        </w:rPr>
        <w:t>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w:t>
      </w:r>
      <w:r>
        <w:rPr>
          <w:rFonts w:hint="eastAsia" w:ascii="宋体" w:hAnsi="宋体" w:cs="宋体"/>
          <w:kern w:val="0"/>
          <w:sz w:val="24"/>
          <w:szCs w:val="24"/>
          <w:lang w:eastAsia="zh-CN"/>
        </w:rPr>
        <w:t>比选</w:t>
      </w:r>
      <w:r>
        <w:rPr>
          <w:rFonts w:hint="eastAsia" w:ascii="宋体" w:hAnsi="宋体" w:cs="宋体"/>
          <w:kern w:val="0"/>
          <w:sz w:val="24"/>
          <w:szCs w:val="24"/>
        </w:rPr>
        <w:t>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w:t>
      </w:r>
      <w:r>
        <w:rPr>
          <w:rFonts w:hint="eastAsia" w:ascii="宋体" w:hAnsi="宋体" w:cs="宋体"/>
          <w:kern w:val="0"/>
          <w:sz w:val="24"/>
          <w:szCs w:val="24"/>
          <w:lang w:eastAsia="zh-CN"/>
        </w:rPr>
        <w:t>比选</w:t>
      </w:r>
      <w:r>
        <w:rPr>
          <w:rFonts w:hint="eastAsia" w:ascii="宋体" w:hAnsi="宋体" w:cs="宋体"/>
          <w:kern w:val="0"/>
          <w:sz w:val="24"/>
          <w:szCs w:val="24"/>
        </w:rPr>
        <w:t>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w:t>
      </w:r>
      <w:r>
        <w:rPr>
          <w:rFonts w:hint="eastAsia" w:ascii="宋体" w:hAnsi="宋体" w:cs="宋体"/>
          <w:kern w:val="0"/>
          <w:sz w:val="24"/>
          <w:szCs w:val="24"/>
          <w:lang w:eastAsia="zh-CN"/>
        </w:rPr>
        <w:t>比选</w:t>
      </w:r>
      <w:r>
        <w:rPr>
          <w:rFonts w:hint="eastAsia" w:ascii="宋体" w:hAnsi="宋体" w:cs="宋体"/>
          <w:kern w:val="0"/>
          <w:sz w:val="24"/>
          <w:szCs w:val="24"/>
        </w:rPr>
        <w:t>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w:t>
      </w:r>
      <w:r>
        <w:rPr>
          <w:rFonts w:hint="eastAsia" w:ascii="宋体" w:hAnsi="宋体" w:cs="宋体"/>
          <w:kern w:val="0"/>
          <w:sz w:val="24"/>
          <w:szCs w:val="24"/>
          <w:lang w:eastAsia="zh-CN"/>
        </w:rPr>
        <w:t>比选</w:t>
      </w:r>
      <w:r>
        <w:rPr>
          <w:rFonts w:hint="eastAsia" w:ascii="宋体" w:hAnsi="宋体" w:cs="宋体"/>
          <w:kern w:val="0"/>
          <w:sz w:val="24"/>
          <w:szCs w:val="24"/>
        </w:rPr>
        <w:t>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w:t>
      </w:r>
      <w:r>
        <w:rPr>
          <w:rFonts w:hint="eastAsia" w:ascii="宋体" w:hAnsi="宋体" w:cs="宋体"/>
          <w:kern w:val="0"/>
          <w:sz w:val="24"/>
          <w:szCs w:val="24"/>
          <w:lang w:eastAsia="zh-CN"/>
        </w:rPr>
        <w:t>比选</w:t>
      </w:r>
      <w:r>
        <w:rPr>
          <w:rFonts w:hint="eastAsia" w:ascii="宋体" w:hAnsi="宋体" w:cs="宋体"/>
          <w:kern w:val="0"/>
          <w:sz w:val="24"/>
          <w:szCs w:val="24"/>
        </w:rPr>
        <w:t>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hint="eastAsia" w:ascii="宋体" w:hAnsi="宋体" w:cs="宋体"/>
          <w:kern w:val="0"/>
          <w:sz w:val="24"/>
          <w:szCs w:val="24"/>
        </w:rPr>
      </w:pPr>
      <w:r>
        <w:rPr>
          <w:rFonts w:hint="eastAsia" w:ascii="宋体" w:hAnsi="宋体" w:cs="宋体"/>
          <w:kern w:val="0"/>
          <w:sz w:val="24"/>
          <w:szCs w:val="24"/>
        </w:rPr>
        <w:t>11.有国家法律法规规定废标的其他情况的。</w:t>
      </w:r>
    </w:p>
    <w:p>
      <w:pPr>
        <w:widowControl/>
        <w:adjustRightInd w:val="0"/>
        <w:snapToGrid w:val="0"/>
        <w:spacing w:line="360" w:lineRule="auto"/>
        <w:ind w:firstLine="480"/>
        <w:rPr>
          <w:rFonts w:hint="eastAsia" w:ascii="宋体" w:hAnsi="宋体" w:cs="宋体"/>
          <w:kern w:val="0"/>
          <w:sz w:val="24"/>
          <w:szCs w:val="24"/>
        </w:rPr>
      </w:pPr>
    </w:p>
    <w:p>
      <w:pPr>
        <w:keepNext/>
        <w:keepLines/>
        <w:widowControl w:val="0"/>
        <w:numPr>
          <w:ilvl w:val="0"/>
          <w:numId w:val="0"/>
        </w:numPr>
        <w:adjustRightInd w:val="0"/>
        <w:snapToGrid w:val="0"/>
        <w:spacing w:before="0" w:after="0" w:line="360" w:lineRule="auto"/>
        <w:ind w:firstLine="482" w:firstLineChars="200"/>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w:t>
      </w:r>
      <w:r>
        <w:rPr>
          <w:rFonts w:hint="eastAsia" w:ascii="宋体" w:hAnsi="宋体" w:cs="宋体"/>
          <w:kern w:val="0"/>
          <w:sz w:val="24"/>
          <w:szCs w:val="24"/>
          <w:lang w:eastAsia="zh-CN"/>
        </w:rPr>
        <w:t>比选</w:t>
      </w:r>
      <w:r>
        <w:rPr>
          <w:rFonts w:hint="eastAsia" w:ascii="宋体" w:hAnsi="宋体" w:cs="宋体"/>
          <w:kern w:val="0"/>
          <w:sz w:val="24"/>
          <w:szCs w:val="24"/>
        </w:rPr>
        <w:t>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w:t>
      </w:r>
      <w:r>
        <w:rPr>
          <w:rFonts w:hint="eastAsia" w:ascii="宋体" w:hAnsi="宋体" w:cs="宋体"/>
          <w:kern w:val="0"/>
          <w:sz w:val="24"/>
          <w:szCs w:val="24"/>
          <w:lang w:eastAsia="zh-CN"/>
        </w:rPr>
        <w:t>比选</w:t>
      </w:r>
      <w:r>
        <w:rPr>
          <w:rFonts w:hint="eastAsia" w:ascii="宋体" w:hAnsi="宋体" w:cs="宋体"/>
          <w:kern w:val="0"/>
          <w:sz w:val="24"/>
          <w:szCs w:val="24"/>
        </w:rPr>
        <w:t>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w:t>
      </w:r>
      <w:r>
        <w:rPr>
          <w:rFonts w:hint="eastAsia" w:ascii="宋体" w:hAnsi="宋体" w:cs="宋体"/>
          <w:kern w:val="0"/>
          <w:sz w:val="24"/>
          <w:szCs w:val="24"/>
          <w:lang w:eastAsia="zh-CN"/>
        </w:rPr>
        <w:t>比选</w:t>
      </w:r>
      <w:r>
        <w:rPr>
          <w:rFonts w:hint="eastAsia" w:ascii="宋体" w:hAnsi="宋体" w:cs="宋体"/>
          <w:kern w:val="0"/>
          <w:sz w:val="24"/>
          <w:szCs w:val="24"/>
        </w:rPr>
        <w:t>使用，任何用于其他目的之复制或引用均应事先获得采购方书面许可。</w:t>
      </w:r>
    </w:p>
    <w:p>
      <w:pPr>
        <w:keepNext/>
        <w:widowControl/>
        <w:numPr>
          <w:ilvl w:val="0"/>
          <w:numId w:val="0"/>
        </w:numPr>
        <w:spacing w:line="360" w:lineRule="auto"/>
        <w:ind w:left="432" w:hanging="432"/>
        <w:jc w:val="center"/>
        <w:outlineLvl w:val="0"/>
        <w:rPr>
          <w:rFonts w:ascii="宋体" w:hAnsi="宋体" w:eastAsia="宋体" w:cs="宋体"/>
          <w:b w:val="0"/>
          <w:bCs w:val="0"/>
          <w:kern w:val="0"/>
          <w:sz w:val="28"/>
          <w:szCs w:val="28"/>
          <w:lang w:val="en-US" w:eastAsia="zh-CN" w:bidi="ar-SA"/>
        </w:rPr>
      </w:pPr>
      <w:r>
        <w:rPr>
          <w:rFonts w:hint="eastAsia" w:ascii="宋体" w:hAnsi="宋体" w:eastAsia="宋体" w:cs="宋体"/>
          <w:b/>
          <w:bCs/>
          <w:kern w:val="0"/>
          <w:sz w:val="24"/>
          <w:szCs w:val="24"/>
          <w:lang w:val="en-US" w:eastAsia="zh-CN" w:bidi="ar-SA"/>
        </w:rPr>
        <w:br w:type="page"/>
      </w:r>
      <w:bookmarkStart w:id="2" w:name="_Toc125183154"/>
      <w:bookmarkEnd w:id="2"/>
      <w:bookmarkStart w:id="3" w:name="_Toc104714652"/>
      <w:bookmarkEnd w:id="3"/>
      <w:bookmarkStart w:id="4" w:name="_Toc137965295"/>
      <w:r>
        <w:rPr>
          <w:rFonts w:hint="eastAsia" w:ascii="宋体" w:hAnsi="宋体" w:eastAsia="宋体" w:cs="宋体"/>
          <w:b/>
          <w:bCs/>
          <w:kern w:val="36"/>
          <w:sz w:val="30"/>
          <w:szCs w:val="30"/>
          <w:lang w:val="en-US" w:eastAsia="zh-CN" w:bidi="ar-SA"/>
        </w:rPr>
        <w:t>第二章 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widowControl/>
        <w:adjustRightInd w:val="0"/>
        <w:snapToGrid w:val="0"/>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附件</w:t>
      </w:r>
      <w:r>
        <w:rPr>
          <w:rFonts w:hint="eastAsia" w:ascii="宋体" w:hAnsi="宋体" w:cs="宋体"/>
          <w:kern w:val="0"/>
          <w:sz w:val="24"/>
          <w:szCs w:val="24"/>
          <w:lang w:val="en-US" w:eastAsia="zh-CN"/>
        </w:rPr>
        <w:t>2.9供应商行为准则承诺书</w:t>
      </w:r>
    </w:p>
    <w:p>
      <w:pPr>
        <w:widowControl/>
        <w:adjustRightInd w:val="0"/>
        <w:snapToGrid w:val="0"/>
        <w:spacing w:line="360" w:lineRule="auto"/>
        <w:rPr>
          <w:rFonts w:hint="default" w:ascii="宋体" w:hAnsi="宋体" w:cs="宋体"/>
          <w:kern w:val="0"/>
          <w:sz w:val="24"/>
          <w:szCs w:val="24"/>
          <w:lang w:val="en-US" w:eastAsia="zh-CN"/>
        </w:rPr>
      </w:pPr>
      <w:r>
        <w:rPr>
          <w:rFonts w:hint="eastAsia" w:ascii="宋体" w:hAnsi="宋体" w:cs="宋体"/>
          <w:kern w:val="0"/>
          <w:sz w:val="24"/>
          <w:szCs w:val="24"/>
          <w:lang w:eastAsia="zh-CN"/>
        </w:rPr>
        <w:t>附件</w:t>
      </w:r>
      <w:r>
        <w:rPr>
          <w:rFonts w:hint="eastAsia" w:ascii="宋体" w:hAnsi="宋体" w:cs="宋体"/>
          <w:kern w:val="0"/>
          <w:sz w:val="24"/>
          <w:szCs w:val="24"/>
          <w:lang w:val="en-US" w:eastAsia="zh-CN"/>
        </w:rPr>
        <w:t>2.10供应商廉洁诚信承诺书</w:t>
      </w:r>
    </w:p>
    <w:p>
      <w:pPr>
        <w:widowControl/>
        <w:adjustRightInd w:val="0"/>
        <w:snapToGrid w:val="0"/>
        <w:spacing w:line="360" w:lineRule="auto"/>
        <w:rPr>
          <w:rFonts w:hint="eastAsia" w:ascii="宋体" w:hAnsi="宋体" w:cs="宋体"/>
          <w:kern w:val="0"/>
          <w:sz w:val="24"/>
          <w:szCs w:val="24"/>
        </w:rPr>
      </w:pPr>
    </w:p>
    <w:p>
      <w:pPr>
        <w:keepNext/>
        <w:keepLines/>
        <w:widowControl w:val="0"/>
        <w:numPr>
          <w:ilvl w:val="0"/>
          <w:numId w:val="0"/>
        </w:numPr>
        <w:spacing w:before="260" w:after="260" w:line="416" w:lineRule="auto"/>
        <w:jc w:val="both"/>
        <w:outlineLvl w:val="1"/>
        <w:rPr>
          <w:rFonts w:ascii="Calibri Light" w:hAnsi="Calibri Light" w:eastAsia="宋体" w:cs="Times New Roman"/>
          <w:b/>
          <w:bCs/>
          <w:kern w:val="0"/>
          <w:sz w:val="24"/>
          <w:szCs w:val="24"/>
          <w:lang w:val="en-US" w:eastAsia="zh-CN" w:bidi="ar-SA"/>
        </w:rPr>
      </w:pPr>
      <w:r>
        <w:rPr>
          <w:rFonts w:hint="eastAsia" w:ascii="Calibri Light" w:hAnsi="Calibri Light" w:eastAsia="宋体" w:cs="Times New Roman"/>
          <w:b/>
          <w:bCs/>
          <w:kern w:val="0"/>
          <w:sz w:val="24"/>
          <w:szCs w:val="24"/>
          <w:lang w:val="en-US" w:eastAsia="zh-CN" w:bidi="ar-SA"/>
        </w:rPr>
        <w:br w:type="page"/>
      </w:r>
      <w:r>
        <w:rPr>
          <w:rFonts w:hint="eastAsia" w:ascii="Calibri Light" w:hAnsi="Calibri Light" w:eastAsia="宋体" w:cs="Times New Roman"/>
          <w:b/>
          <w:bCs/>
          <w:kern w:val="2"/>
          <w:sz w:val="24"/>
          <w:szCs w:val="24"/>
          <w:lang w:val="en-US" w:eastAsia="zh-CN" w:bidi="ar-SA"/>
        </w:rPr>
        <w:t>附件2.1</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eastAsia" w:ascii="宋体" w:hAnsi="宋体" w:eastAsia="宋体" w:cs="宋体"/>
          <w:color w:val="000000"/>
          <w:kern w:val="0"/>
          <w:sz w:val="24"/>
          <w:szCs w:val="24"/>
          <w:lang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上海市分公司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w:t>
      </w:r>
      <w:r>
        <w:rPr>
          <w:rFonts w:hint="eastAsia" w:ascii="宋体" w:hAnsi="宋体" w:cs="宋体"/>
          <w:kern w:val="0"/>
          <w:sz w:val="24"/>
          <w:szCs w:val="24"/>
          <w:lang w:eastAsia="zh-CN"/>
        </w:rPr>
        <w:t>磋商</w:t>
      </w:r>
      <w:r>
        <w:rPr>
          <w:rFonts w:hint="eastAsia" w:ascii="宋体" w:hAnsi="宋体" w:cs="宋体"/>
          <w:kern w:val="0"/>
          <w:sz w:val="24"/>
          <w:szCs w:val="24"/>
        </w:rPr>
        <w:t>。</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keepNext/>
        <w:keepLines/>
        <w:widowControl w:val="0"/>
        <w:numPr>
          <w:ilvl w:val="0"/>
          <w:numId w:val="0"/>
        </w:numPr>
        <w:spacing w:before="260" w:after="260" w:line="416" w:lineRule="auto"/>
        <w:jc w:val="both"/>
        <w:outlineLvl w:val="1"/>
        <w:rPr>
          <w:rFonts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br w:type="page"/>
      </w:r>
      <w:bookmarkStart w:id="5" w:name="_Toc104714658"/>
      <w:bookmarkEnd w:id="5"/>
      <w:bookmarkStart w:id="6" w:name="_Toc125183169"/>
      <w:bookmarkEnd w:id="6"/>
      <w:bookmarkStart w:id="7" w:name="_Toc137965305"/>
      <w:r>
        <w:rPr>
          <w:rFonts w:hint="eastAsia" w:ascii="Calibri Light" w:hAnsi="Calibri Light" w:eastAsia="宋体" w:cs="Times New Roman"/>
          <w:b/>
          <w:bCs/>
          <w:kern w:val="2"/>
          <w:sz w:val="24"/>
          <w:szCs w:val="24"/>
          <w:lang w:val="en-US" w:eastAsia="zh-CN" w:bidi="ar-SA"/>
        </w:rPr>
        <w:t>附件2.2</w:t>
      </w:r>
      <w:bookmarkEnd w:id="7"/>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kern w:val="0"/>
          <w:sz w:val="24"/>
          <w:szCs w:val="24"/>
        </w:rPr>
      </w:pPr>
      <w:r>
        <w:rPr>
          <w:rFonts w:hint="eastAsia" w:ascii="宋体" w:hAnsi="宋体" w:cs="宋体"/>
          <w:b/>
          <w:bCs/>
          <w:i/>
          <w:iCs/>
          <w:color w:val="000000"/>
          <w:kern w:val="0"/>
          <w:sz w:val="24"/>
          <w:szCs w:val="24"/>
        </w:rPr>
        <w:t>注：此授权书需用带供应商抬头的格式纸出具或提供。</w:t>
      </w:r>
    </w:p>
    <w:p>
      <w:pPr>
        <w:keepNext/>
        <w:keepLines/>
        <w:widowControl/>
        <w:numPr>
          <w:ilvl w:val="0"/>
          <w:numId w:val="0"/>
        </w:numPr>
        <w:adjustRightInd w:val="0"/>
        <w:snapToGrid w:val="0"/>
        <w:spacing w:before="260" w:after="260" w:line="416" w:lineRule="auto"/>
        <w:jc w:val="both"/>
        <w:outlineLvl w:val="1"/>
        <w:rPr>
          <w:rFonts w:ascii="宋体" w:hAnsi="宋体" w:eastAsia="宋体" w:cs="宋体"/>
          <w:b/>
          <w:bCs/>
          <w:kern w:val="0"/>
          <w:sz w:val="24"/>
          <w:szCs w:val="24"/>
          <w:lang w:val="en-US" w:eastAsia="zh-CN" w:bidi="ar-SA"/>
        </w:rPr>
      </w:pPr>
      <w:r>
        <w:rPr>
          <w:rFonts w:hint="eastAsia" w:ascii="宋体" w:hAnsi="宋体" w:eastAsia="宋体" w:cs="宋体"/>
          <w:b/>
          <w:bCs/>
          <w:i/>
          <w:iCs/>
          <w:kern w:val="0"/>
          <w:sz w:val="24"/>
          <w:szCs w:val="24"/>
          <w:lang w:val="en-US" w:eastAsia="zh-CN" w:bidi="ar-SA"/>
        </w:rPr>
        <w:br w:type="page"/>
      </w:r>
      <w:r>
        <w:rPr>
          <w:rFonts w:hint="eastAsia" w:ascii="Calibri Light" w:hAnsi="Calibri Light" w:eastAsia="宋体" w:cs="Times New Roman"/>
          <w:b/>
          <w:bCs/>
          <w:kern w:val="2"/>
          <w:sz w:val="24"/>
          <w:szCs w:val="24"/>
          <w:lang w:val="en-US" w:eastAsia="zh-CN" w:bidi="ar-SA"/>
        </w:rPr>
        <w:t>附件2.3</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投标函格式</w:t>
      </w: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上海市分公司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w:t>
      </w:r>
      <w:r>
        <w:rPr>
          <w:rFonts w:hint="eastAsia" w:ascii="宋体" w:hAnsi="宋体" w:cs="宋体"/>
          <w:kern w:val="0"/>
          <w:sz w:val="24"/>
          <w:szCs w:val="24"/>
          <w:lang w:eastAsia="zh-CN"/>
        </w:rPr>
        <w:t>比选</w:t>
      </w:r>
      <w:r>
        <w:rPr>
          <w:rFonts w:hint="eastAsia" w:ascii="宋体" w:hAnsi="宋体" w:cs="宋体"/>
          <w:kern w:val="0"/>
          <w:sz w:val="24"/>
          <w:szCs w:val="24"/>
        </w:rPr>
        <w:t>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2"/>
        </w:numPr>
        <w:adjustRightInd w:val="0"/>
        <w:snapToGrid w:val="0"/>
        <w:spacing w:line="360" w:lineRule="auto"/>
        <w:ind w:left="705" w:hanging="285"/>
        <w:rPr>
          <w:rFonts w:ascii="宋体" w:hAnsi="宋体" w:cs="宋体"/>
          <w:color w:val="000000"/>
          <w:kern w:val="0"/>
          <w:sz w:val="24"/>
          <w:szCs w:val="24"/>
        </w:rPr>
      </w:pPr>
      <w:r>
        <w:rPr>
          <w:rFonts w:hint="eastAsia" w:ascii="宋体" w:hAnsi="宋体" w:cs="宋体"/>
          <w:kern w:val="0"/>
          <w:sz w:val="24"/>
          <w:szCs w:val="24"/>
        </w:rPr>
        <w:t>报价一览表</w:t>
      </w:r>
      <w:r>
        <w:rPr>
          <w:rFonts w:hint="eastAsia" w:ascii="Arial" w:hAnsi="Arial" w:cs="Arial"/>
          <w:color w:val="000000"/>
          <w:sz w:val="24"/>
          <w:szCs w:val="24"/>
        </w:rPr>
        <w:t>（单独密封）</w:t>
      </w:r>
    </w:p>
    <w:p>
      <w:pPr>
        <w:widowControl/>
        <w:numPr>
          <w:ilvl w:val="0"/>
          <w:numId w:val="2"/>
        </w:numPr>
        <w:adjustRightInd w:val="0"/>
        <w:snapToGrid w:val="0"/>
        <w:spacing w:line="360" w:lineRule="auto"/>
        <w:ind w:left="705" w:hanging="285"/>
        <w:rPr>
          <w:rFonts w:ascii="宋体" w:hAnsi="宋体" w:cs="宋体"/>
          <w:color w:val="000000"/>
          <w:kern w:val="0"/>
          <w:sz w:val="24"/>
          <w:szCs w:val="24"/>
        </w:rPr>
      </w:pPr>
      <w:r>
        <w:rPr>
          <w:rFonts w:hint="eastAsia" w:ascii="宋体" w:hAnsi="宋体" w:cs="宋体"/>
          <w:color w:val="000000"/>
          <w:kern w:val="0"/>
          <w:sz w:val="24"/>
          <w:szCs w:val="24"/>
        </w:rPr>
        <w:t>分项报价表</w:t>
      </w:r>
      <w:r>
        <w:rPr>
          <w:rFonts w:hint="eastAsia" w:ascii="Arial" w:hAnsi="Arial" w:cs="Arial"/>
          <w:color w:val="000000"/>
          <w:sz w:val="24"/>
          <w:szCs w:val="24"/>
        </w:rPr>
        <w:t>（单独密封）</w:t>
      </w:r>
    </w:p>
    <w:p>
      <w:pPr>
        <w:widowControl/>
        <w:numPr>
          <w:ilvl w:val="0"/>
          <w:numId w:val="2"/>
        </w:numPr>
        <w:adjustRightInd w:val="0"/>
        <w:snapToGrid w:val="0"/>
        <w:spacing w:line="360" w:lineRule="auto"/>
        <w:ind w:left="705" w:hanging="285"/>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2"/>
        </w:numPr>
        <w:adjustRightInd w:val="0"/>
        <w:snapToGrid w:val="0"/>
        <w:spacing w:line="360" w:lineRule="auto"/>
        <w:ind w:left="705" w:hanging="285"/>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2"/>
        </w:numPr>
        <w:adjustRightInd w:val="0"/>
        <w:snapToGrid w:val="0"/>
        <w:spacing w:line="360" w:lineRule="auto"/>
        <w:ind w:left="705" w:hanging="285"/>
        <w:rPr>
          <w:rFonts w:ascii="宋体" w:hAnsi="宋体" w:cs="宋体"/>
          <w:kern w:val="0"/>
          <w:sz w:val="24"/>
          <w:szCs w:val="24"/>
        </w:rPr>
      </w:pPr>
      <w:r>
        <w:rPr>
          <w:rFonts w:hint="eastAsia" w:ascii="宋体" w:hAnsi="宋体" w:cs="宋体"/>
          <w:kern w:val="0"/>
          <w:sz w:val="24"/>
          <w:szCs w:val="24"/>
        </w:rPr>
        <w:t>按</w:t>
      </w:r>
      <w:r>
        <w:rPr>
          <w:rFonts w:hint="eastAsia" w:ascii="宋体" w:hAnsi="宋体" w:cs="宋体"/>
          <w:kern w:val="0"/>
          <w:sz w:val="24"/>
          <w:szCs w:val="24"/>
          <w:lang w:eastAsia="zh-CN"/>
        </w:rPr>
        <w:t>比选</w:t>
      </w:r>
      <w:r>
        <w:rPr>
          <w:rFonts w:hint="eastAsia" w:ascii="宋体" w:hAnsi="宋体" w:cs="宋体"/>
          <w:kern w:val="0"/>
          <w:sz w:val="24"/>
          <w:szCs w:val="24"/>
        </w:rPr>
        <w:t>文件要求提供的有关文件</w:t>
      </w:r>
    </w:p>
    <w:p>
      <w:pPr>
        <w:widowControl/>
        <w:numPr>
          <w:ilvl w:val="0"/>
          <w:numId w:val="2"/>
        </w:numPr>
        <w:adjustRightInd w:val="0"/>
        <w:snapToGrid w:val="0"/>
        <w:spacing w:line="360" w:lineRule="auto"/>
        <w:ind w:left="705" w:hanging="285"/>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w:t>
      </w:r>
      <w:r>
        <w:rPr>
          <w:rFonts w:hint="eastAsia" w:ascii="宋体" w:hAnsi="宋体" w:cs="宋体"/>
          <w:kern w:val="0"/>
          <w:sz w:val="24"/>
          <w:szCs w:val="24"/>
          <w:lang w:eastAsia="zh-CN"/>
        </w:rPr>
        <w:t>比选</w:t>
      </w:r>
      <w:r>
        <w:rPr>
          <w:rFonts w:hint="eastAsia" w:ascii="宋体" w:hAnsi="宋体" w:cs="宋体"/>
          <w:kern w:val="0"/>
          <w:sz w:val="24"/>
          <w:szCs w:val="24"/>
        </w:rPr>
        <w:t>价格表中规定的应提交和提供的货物和服务</w:t>
      </w:r>
      <w:r>
        <w:rPr>
          <w:rFonts w:hint="eastAsia" w:ascii="宋体" w:hAnsi="宋体" w:cs="宋体"/>
          <w:kern w:val="0"/>
          <w:sz w:val="24"/>
          <w:szCs w:val="24"/>
          <w:lang w:eastAsia="zh-CN"/>
        </w:rPr>
        <w:t>比选</w:t>
      </w:r>
      <w:r>
        <w:rPr>
          <w:rFonts w:hint="eastAsia" w:ascii="宋体" w:hAnsi="宋体" w:cs="宋体"/>
          <w:kern w:val="0"/>
          <w:sz w:val="24"/>
          <w:szCs w:val="24"/>
        </w:rPr>
        <w:t>总价为</w:t>
      </w:r>
      <w:r>
        <w:rPr>
          <w:rFonts w:hint="eastAsia" w:ascii="宋体" w:hAnsi="宋体" w:cs="宋体"/>
          <w:kern w:val="0"/>
          <w:sz w:val="24"/>
          <w:szCs w:val="24"/>
          <w:u w:val="single"/>
        </w:rPr>
        <w:t>（注明币种，并用文字和数字表示的</w:t>
      </w:r>
      <w:r>
        <w:rPr>
          <w:rFonts w:hint="eastAsia" w:ascii="宋体" w:hAnsi="宋体" w:cs="宋体"/>
          <w:kern w:val="0"/>
          <w:sz w:val="24"/>
          <w:szCs w:val="24"/>
          <w:u w:val="single"/>
          <w:lang w:eastAsia="zh-CN"/>
        </w:rPr>
        <w:t>比选</w:t>
      </w:r>
      <w:r>
        <w:rPr>
          <w:rFonts w:hint="eastAsia" w:ascii="宋体" w:hAnsi="宋体" w:cs="宋体"/>
          <w:kern w:val="0"/>
          <w:sz w:val="24"/>
          <w:szCs w:val="24"/>
          <w:u w:val="single"/>
        </w:rPr>
        <w:t>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w:t>
      </w:r>
      <w:r>
        <w:rPr>
          <w:rFonts w:hint="eastAsia" w:ascii="宋体" w:hAnsi="宋体" w:cs="宋体"/>
          <w:kern w:val="0"/>
          <w:sz w:val="24"/>
          <w:szCs w:val="24"/>
          <w:lang w:eastAsia="zh-CN"/>
        </w:rPr>
        <w:t>比选</w:t>
      </w:r>
      <w:r>
        <w:rPr>
          <w:rFonts w:hint="eastAsia" w:ascii="宋体" w:hAnsi="宋体" w:cs="宋体"/>
          <w:kern w:val="0"/>
          <w:sz w:val="24"/>
          <w:szCs w:val="24"/>
        </w:rPr>
        <w:t>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w:t>
      </w:r>
      <w:r>
        <w:rPr>
          <w:rFonts w:hint="eastAsia" w:ascii="宋体" w:hAnsi="宋体" w:cs="宋体"/>
          <w:kern w:val="0"/>
          <w:sz w:val="24"/>
          <w:szCs w:val="24"/>
          <w:lang w:eastAsia="zh-CN"/>
        </w:rPr>
        <w:t>比选</w:t>
      </w:r>
      <w:r>
        <w:rPr>
          <w:rFonts w:hint="eastAsia" w:ascii="宋体" w:hAnsi="宋体" w:cs="宋体"/>
          <w:kern w:val="0"/>
          <w:sz w:val="24"/>
          <w:szCs w:val="24"/>
        </w:rPr>
        <w:t>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w:t>
      </w:r>
      <w:r>
        <w:rPr>
          <w:rFonts w:hint="eastAsia" w:ascii="宋体" w:hAnsi="宋体" w:cs="宋体"/>
          <w:kern w:val="0"/>
          <w:sz w:val="24"/>
          <w:szCs w:val="24"/>
          <w:lang w:eastAsia="zh-CN"/>
        </w:rPr>
        <w:t>比选</w:t>
      </w:r>
      <w:r>
        <w:rPr>
          <w:rFonts w:hint="eastAsia" w:ascii="宋体" w:hAnsi="宋体" w:cs="宋体"/>
          <w:kern w:val="0"/>
          <w:sz w:val="24"/>
          <w:szCs w:val="24"/>
        </w:rPr>
        <w:t>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r>
        <w:rPr>
          <w:rFonts w:hint="eastAsia" w:ascii="宋体" w:hAnsi="宋体" w:cs="宋体"/>
          <w:kern w:val="0"/>
          <w:sz w:val="24"/>
          <w:szCs w:val="24"/>
          <w:lang w:val="en-US" w:eastAsia="zh-CN"/>
        </w:rPr>
        <w:t xml:space="preserve">          </w:t>
      </w: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r>
        <w:rPr>
          <w:rFonts w:hint="eastAsia" w:ascii="宋体" w:hAnsi="宋体" w:cs="宋体"/>
          <w:kern w:val="0"/>
          <w:sz w:val="24"/>
          <w:szCs w:val="24"/>
          <w:lang w:val="en-US" w:eastAsia="zh-CN"/>
        </w:rPr>
        <w:t xml:space="preserve">                </w:t>
      </w: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r>
        <w:rPr>
          <w:rFonts w:hint="eastAsia" w:ascii="宋体" w:hAnsi="宋体" w:cs="宋体"/>
          <w:kern w:val="0"/>
          <w:sz w:val="24"/>
          <w:szCs w:val="24"/>
          <w:lang w:val="en-US" w:eastAsia="zh-CN"/>
        </w:rPr>
        <w:t xml:space="preserve">                </w:t>
      </w: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r>
        <w:rPr>
          <w:rFonts w:hint="eastAsia" w:ascii="宋体" w:hAnsi="宋体" w:cs="宋体"/>
          <w:kern w:val="0"/>
          <w:sz w:val="24"/>
          <w:szCs w:val="24"/>
          <w:lang w:val="en-US" w:eastAsia="zh-CN"/>
        </w:rPr>
        <w:t xml:space="preserve">                </w:t>
      </w:r>
      <w:r>
        <w:rPr>
          <w:rFonts w:hint="eastAsia" w:ascii="宋体" w:hAnsi="宋体" w:cs="宋体"/>
          <w:kern w:val="0"/>
          <w:sz w:val="24"/>
          <w:szCs w:val="24"/>
        </w:rPr>
        <w:t>公章：_________________</w:t>
      </w:r>
    </w:p>
    <w:p>
      <w:pPr>
        <w:widowControl/>
        <w:adjustRightInd w:val="0"/>
        <w:snapToGrid w:val="0"/>
        <w:spacing w:line="360" w:lineRule="auto"/>
        <w:rPr>
          <w:rFonts w:hint="default" w:ascii="宋体" w:hAnsi="宋体" w:eastAsia="宋体" w:cs="宋体"/>
          <w:kern w:val="0"/>
          <w:sz w:val="24"/>
          <w:szCs w:val="24"/>
          <w:lang w:val="en-US" w:eastAsia="zh-CN"/>
        </w:rPr>
      </w:pPr>
    </w:p>
    <w:p>
      <w:pPr>
        <w:keepNext/>
        <w:keepLines/>
        <w:widowControl w:val="0"/>
        <w:numPr>
          <w:ilvl w:val="0"/>
          <w:numId w:val="0"/>
        </w:numPr>
        <w:spacing w:before="260" w:after="260" w:line="416" w:lineRule="auto"/>
        <w:jc w:val="both"/>
        <w:outlineLvl w:val="1"/>
        <w:rPr>
          <w:rFonts w:ascii="宋体" w:hAnsi="宋体" w:eastAsia="宋体" w:cs="宋体"/>
          <w:b/>
          <w:bCs/>
          <w:kern w:val="0"/>
          <w:sz w:val="24"/>
          <w:szCs w:val="24"/>
          <w:lang w:val="en-US" w:eastAsia="zh-CN" w:bidi="ar-SA"/>
        </w:rPr>
      </w:pPr>
      <w:r>
        <w:rPr>
          <w:rFonts w:hint="eastAsia" w:ascii="Calibri Light" w:hAnsi="Calibri Light" w:eastAsia="宋体" w:cs="Times New Roman"/>
          <w:b/>
          <w:bCs/>
          <w:kern w:val="2"/>
          <w:sz w:val="24"/>
          <w:szCs w:val="24"/>
          <w:lang w:val="en-US" w:eastAsia="zh-CN" w:bidi="ar-SA"/>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kern w:val="0"/>
          <w:sz w:val="24"/>
          <w:szCs w:val="24"/>
          <w:highlight w:val="yellow"/>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color w:val="000000"/>
          <w:kern w:val="0"/>
          <w:sz w:val="24"/>
          <w:szCs w:val="24"/>
        </w:rPr>
        <w:t>供应商名称：</w:t>
      </w:r>
      <w:r>
        <w:rPr>
          <w:rFonts w:hint="eastAsia" w:ascii="宋体" w:hAnsi="宋体" w:cs="宋体"/>
          <w:color w:val="000000"/>
          <w:kern w:val="0"/>
          <w:sz w:val="24"/>
          <w:szCs w:val="24"/>
          <w:u w:val="single"/>
        </w:rPr>
        <w:t xml:space="preserve"> </w:t>
      </w:r>
    </w:p>
    <w:p>
      <w:pPr>
        <w:widowControl/>
        <w:adjustRightInd w:val="0"/>
        <w:snapToGrid w:val="0"/>
        <w:spacing w:line="360" w:lineRule="auto"/>
        <w:rPr>
          <w:rFonts w:ascii="黑体" w:hAnsi="黑体" w:eastAsia="黑体" w:cs="宋体"/>
          <w:color w:val="000000"/>
          <w:kern w:val="0"/>
          <w:sz w:val="32"/>
          <w:szCs w:val="32"/>
        </w:rPr>
      </w:pPr>
      <w:r>
        <w:rPr>
          <w:rFonts w:hint="eastAsia" w:ascii="宋体" w:hAnsi="宋体" w:cs="宋体"/>
          <w:color w:val="000000"/>
          <w:kern w:val="0"/>
          <w:sz w:val="24"/>
          <w:szCs w:val="24"/>
        </w:rPr>
        <w:t>项目名称：</w:t>
      </w:r>
    </w:p>
    <w:tbl>
      <w:tblPr>
        <w:tblStyle w:val="11"/>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ascii="宋体" w:hAnsi="宋体" w:eastAsia="宋体" w:cs="Arial"/>
          <w:color w:val="auto"/>
          <w:sz w:val="24"/>
        </w:rPr>
      </w:pPr>
      <w:r>
        <w:rPr>
          <w:rFonts w:hint="eastAsia" w:ascii="宋体" w:hAnsi="宋体" w:eastAsia="宋体" w:cs="Arial"/>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kern w:val="0"/>
          <w:sz w:val="24"/>
          <w:szCs w:val="24"/>
        </w:rPr>
      </w:pPr>
    </w:p>
    <w:p>
      <w:pPr>
        <w:widowControl/>
        <w:adjustRightInd w:val="0"/>
        <w:snapToGrid w:val="0"/>
        <w:spacing w:line="360" w:lineRule="auto"/>
        <w:rPr>
          <w:rFonts w:ascii="宋体" w:hAnsi="宋体" w:cs="宋体"/>
          <w:color w:val="000000"/>
          <w:kern w:val="0"/>
          <w:sz w:val="24"/>
          <w:szCs w:val="24"/>
          <w:u w:val="single"/>
        </w:rPr>
      </w:pPr>
      <w:r>
        <w:rPr>
          <w:rFonts w:hint="eastAsia" w:ascii="宋体" w:hAnsi="宋体" w:cs="宋体"/>
          <w:color w:val="000000"/>
          <w:kern w:val="0"/>
          <w:sz w:val="24"/>
          <w:szCs w:val="24"/>
        </w:rPr>
        <w:t>授权代表签字并加盖公章</w:t>
      </w:r>
      <w:r>
        <w:rPr>
          <w:rFonts w:hint="eastAsia" w:ascii="宋体" w:hAnsi="宋体" w:cs="宋体"/>
          <w:color w:val="000000"/>
          <w:kern w:val="0"/>
          <w:sz w:val="24"/>
          <w:szCs w:val="24"/>
          <w:u w:val="single"/>
        </w:rPr>
        <w:t xml:space="preserve"> </w:t>
      </w:r>
    </w:p>
    <w:p>
      <w:pPr>
        <w:widowControl/>
        <w:adjustRightInd w:val="0"/>
        <w:snapToGrid w:val="0"/>
        <w:spacing w:line="360" w:lineRule="auto"/>
        <w:rPr>
          <w:rFonts w:ascii="宋体" w:hAnsi="宋体" w:cs="宋体"/>
          <w:color w:val="000000"/>
          <w:kern w:val="0"/>
          <w:sz w:val="24"/>
          <w:szCs w:val="24"/>
          <w:u w:val="single"/>
        </w:rPr>
      </w:pPr>
      <w:r>
        <w:rPr>
          <w:rFonts w:hint="eastAsia" w:ascii="宋体" w:hAnsi="宋体" w:cs="宋体"/>
          <w:color w:val="000000"/>
          <w:kern w:val="0"/>
          <w:sz w:val="24"/>
          <w:szCs w:val="24"/>
        </w:rPr>
        <w:t>日期：</w:t>
      </w:r>
      <w:r>
        <w:rPr>
          <w:rFonts w:hint="eastAsia" w:ascii="宋体" w:hAnsi="宋体" w:cs="宋体"/>
          <w:color w:val="000000"/>
          <w:kern w:val="0"/>
          <w:sz w:val="24"/>
          <w:szCs w:val="24"/>
          <w:u w:val="single"/>
        </w:rPr>
        <w:t xml:space="preserve"> </w:t>
      </w:r>
    </w:p>
    <w:p>
      <w:pPr>
        <w:widowControl/>
        <w:adjustRightInd w:val="0"/>
        <w:snapToGrid w:val="0"/>
        <w:spacing w:line="360" w:lineRule="auto"/>
        <w:rPr>
          <w:rFonts w:ascii="宋体" w:hAnsi="宋体" w:cs="宋体"/>
          <w:color w:val="000000"/>
          <w:kern w:val="0"/>
          <w:sz w:val="24"/>
          <w:szCs w:val="24"/>
        </w:rPr>
      </w:pPr>
    </w:p>
    <w:p>
      <w:pPr>
        <w:adjustRightInd w:val="0"/>
        <w:snapToGrid w:val="0"/>
        <w:spacing w:line="360" w:lineRule="auto"/>
        <w:rPr>
          <w:rFonts w:ascii="宋体" w:hAnsi="宋体" w:cs="宋体"/>
          <w:color w:val="FF0000"/>
          <w:kern w:val="0"/>
          <w:sz w:val="24"/>
          <w:szCs w:val="24"/>
        </w:rPr>
      </w:pPr>
    </w:p>
    <w:p>
      <w:pPr>
        <w:keepNext/>
        <w:keepLines/>
        <w:widowControl w:val="0"/>
        <w:numPr>
          <w:ilvl w:val="0"/>
          <w:numId w:val="0"/>
        </w:numPr>
        <w:spacing w:before="260" w:after="260" w:line="416" w:lineRule="auto"/>
        <w:jc w:val="both"/>
        <w:outlineLvl w:val="1"/>
        <w:rPr>
          <w:rFonts w:ascii="宋体" w:hAnsi="宋体" w:eastAsia="宋体" w:cs="宋体"/>
          <w:b/>
          <w:bCs/>
          <w:kern w:val="0"/>
          <w:sz w:val="24"/>
          <w:szCs w:val="24"/>
          <w:lang w:val="en-US" w:eastAsia="zh-CN" w:bidi="ar-SA"/>
        </w:rPr>
      </w:pPr>
      <w:r>
        <w:rPr>
          <w:rFonts w:hint="eastAsia" w:ascii="宋体" w:hAnsi="宋体" w:eastAsia="宋体" w:cs="宋体"/>
          <w:b/>
          <w:bCs/>
          <w:kern w:val="0"/>
          <w:sz w:val="24"/>
          <w:szCs w:val="24"/>
          <w:u w:val="single"/>
          <w:lang w:val="en-US" w:eastAsia="zh-CN" w:bidi="ar-SA"/>
        </w:rPr>
        <w:br w:type="page"/>
      </w:r>
      <w:r>
        <w:rPr>
          <w:rFonts w:hint="eastAsia" w:ascii="Calibri Light" w:hAnsi="Calibri Light" w:eastAsia="宋体" w:cs="Times New Roman"/>
          <w:b/>
          <w:bCs/>
          <w:kern w:val="2"/>
          <w:sz w:val="24"/>
          <w:szCs w:val="24"/>
          <w:lang w:val="en-US" w:eastAsia="zh-CN" w:bidi="ar-SA"/>
        </w:rPr>
        <w:t>附件2.5</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11"/>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ascii="宋体" w:hAnsi="宋体" w:eastAsia="宋体" w:cs="Arial"/>
          <w:color w:val="auto"/>
          <w:sz w:val="24"/>
        </w:rPr>
      </w:pPr>
      <w:r>
        <w:rPr>
          <w:rFonts w:hint="eastAsia" w:ascii="宋体" w:hAnsi="宋体" w:eastAsia="宋体" w:cs="Arial"/>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kern w:val="0"/>
          <w:sz w:val="24"/>
          <w:szCs w:val="24"/>
          <w:u w:val="single"/>
        </w:rPr>
      </w:pPr>
      <w:r>
        <w:rPr>
          <w:rFonts w:hint="eastAsia" w:ascii="宋体" w:hAnsi="宋体" w:cs="宋体"/>
          <w:color w:val="000000"/>
          <w:kern w:val="0"/>
          <w:sz w:val="24"/>
          <w:szCs w:val="24"/>
        </w:rPr>
        <w:t>授权代表签字并加盖公章</w:t>
      </w:r>
      <w:r>
        <w:rPr>
          <w:rFonts w:hint="eastAsia" w:ascii="宋体" w:hAnsi="宋体" w:cs="宋体"/>
          <w:color w:val="000000"/>
          <w:kern w:val="0"/>
          <w:sz w:val="24"/>
          <w:szCs w:val="24"/>
          <w:u w:val="single"/>
        </w:rPr>
        <w:t xml:space="preserve"> </w:t>
      </w:r>
    </w:p>
    <w:p>
      <w:pPr>
        <w:widowControl/>
        <w:adjustRightInd w:val="0"/>
        <w:snapToGrid w:val="0"/>
        <w:spacing w:line="360" w:lineRule="auto"/>
        <w:rPr>
          <w:rFonts w:ascii="宋体" w:hAnsi="宋体" w:cs="宋体"/>
          <w:b/>
          <w:bCs/>
          <w:color w:val="000000"/>
          <w:kern w:val="0"/>
          <w:sz w:val="24"/>
          <w:szCs w:val="24"/>
        </w:rPr>
      </w:pPr>
      <w:r>
        <w:rPr>
          <w:rFonts w:hint="eastAsia" w:ascii="宋体" w:hAnsi="宋体" w:cs="宋体"/>
          <w:color w:val="000000"/>
          <w:kern w:val="0"/>
          <w:sz w:val="24"/>
          <w:szCs w:val="24"/>
        </w:rPr>
        <w:t>日期：</w:t>
      </w:r>
      <w:r>
        <w:rPr>
          <w:rFonts w:hint="eastAsia" w:ascii="宋体" w:hAnsi="宋体" w:cs="宋体"/>
          <w:color w:val="000000"/>
          <w:kern w:val="0"/>
          <w:sz w:val="24"/>
          <w:szCs w:val="24"/>
          <w:u w:val="single"/>
        </w:rPr>
        <w:t xml:space="preserve"> </w:t>
      </w:r>
      <w:bookmarkStart w:id="8" w:name="_Toc125183170"/>
      <w:bookmarkEnd w:id="8"/>
      <w:bookmarkStart w:id="9" w:name="_Toc127761806"/>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keepNext/>
        <w:keepLines/>
        <w:widowControl w:val="0"/>
        <w:numPr>
          <w:ilvl w:val="0"/>
          <w:numId w:val="0"/>
        </w:numPr>
        <w:spacing w:before="260" w:after="260" w:line="416"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附件2.</w:t>
      </w:r>
      <w:r>
        <w:rPr>
          <w:rFonts w:ascii="Calibri Light" w:hAnsi="Calibri Light" w:eastAsia="宋体" w:cs="Times New Roman"/>
          <w:b/>
          <w:bCs/>
          <w:kern w:val="2"/>
          <w:sz w:val="24"/>
          <w:szCs w:val="24"/>
          <w:lang w:val="en-US" w:eastAsia="zh-CN" w:bidi="ar-SA"/>
        </w:rPr>
        <w:t xml:space="preserve">6 </w:t>
      </w:r>
      <w:r>
        <w:rPr>
          <w:rFonts w:hint="eastAsia" w:ascii="Calibri Light" w:hAnsi="Calibri Light" w:eastAsia="宋体" w:cs="Times New Roman"/>
          <w:b/>
          <w:bCs/>
          <w:kern w:val="2"/>
          <w:sz w:val="24"/>
          <w:szCs w:val="24"/>
          <w:lang w:val="en-US" w:eastAsia="zh-CN" w:bidi="ar-SA"/>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1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keepNext/>
        <w:keepLines/>
        <w:widowControl w:val="0"/>
        <w:numPr>
          <w:ilvl w:val="0"/>
          <w:numId w:val="0"/>
        </w:numPr>
        <w:spacing w:before="260" w:after="260" w:line="416" w:lineRule="auto"/>
        <w:jc w:val="both"/>
        <w:outlineLvl w:val="1"/>
        <w:rPr>
          <w:rFonts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br w:type="page"/>
      </w:r>
      <w:r>
        <w:rPr>
          <w:rFonts w:hint="eastAsia" w:ascii="Calibri Light" w:hAnsi="Calibri Light" w:eastAsia="宋体" w:cs="Times New Roman"/>
          <w:b/>
          <w:bCs/>
          <w:kern w:val="2"/>
          <w:sz w:val="24"/>
          <w:szCs w:val="24"/>
          <w:lang w:val="en-US" w:eastAsia="zh-CN" w:bidi="ar-SA"/>
        </w:rPr>
        <w:t>附件2.7</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1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eastAsia="zh-CN"/>
              </w:rPr>
              <w:t>比选</w:t>
            </w:r>
            <w:r>
              <w:rPr>
                <w:rFonts w:hint="eastAsia" w:ascii="宋体" w:hAnsi="宋体" w:cs="宋体"/>
                <w:kern w:val="0"/>
                <w:sz w:val="24"/>
                <w:szCs w:val="24"/>
              </w:rPr>
              <w:t>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keepNext/>
        <w:keepLines/>
        <w:widowControl w:val="0"/>
        <w:numPr>
          <w:ilvl w:val="0"/>
          <w:numId w:val="0"/>
        </w:numPr>
        <w:spacing w:before="260" w:after="260" w:line="240"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w:t>
      </w:r>
      <w:r>
        <w:rPr>
          <w:rFonts w:ascii="Calibri Light" w:hAnsi="Calibri Light" w:eastAsia="宋体" w:cs="Times New Roman"/>
          <w:b/>
          <w:bCs/>
          <w:kern w:val="2"/>
          <w:sz w:val="24"/>
          <w:szCs w:val="24"/>
          <w:lang w:val="en-US" w:eastAsia="zh-CN" w:bidi="ar-SA"/>
        </w:rPr>
        <w:t xml:space="preserve">2.8 </w:t>
      </w:r>
      <w:r>
        <w:rPr>
          <w:rFonts w:hint="eastAsia" w:ascii="Calibri Light" w:hAnsi="Calibri Light" w:eastAsia="宋体" w:cs="Times New Roman"/>
          <w:b/>
          <w:bCs/>
          <w:kern w:val="2"/>
          <w:sz w:val="24"/>
          <w:szCs w:val="24"/>
          <w:lang w:val="en-US" w:eastAsia="zh-CN" w:bidi="ar-SA"/>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sz w:val="24"/>
        </w:rPr>
      </w:pPr>
      <w:r>
        <w:rPr>
          <w:rFonts w:hint="eastAsia" w:ascii="仿宋_GB2312" w:hAnsi="楷体_GB2312" w:eastAsia="仿宋_GB2312"/>
          <w:bCs/>
          <w:color w:val="000000"/>
          <w:sz w:val="24"/>
        </w:rPr>
        <w:t>致：中国人民财产保险股份有限公司</w:t>
      </w:r>
      <w:r>
        <w:rPr>
          <w:rFonts w:hint="eastAsia" w:ascii="仿宋_GB2312" w:hAnsi="楷体_GB2312" w:eastAsia="仿宋_GB2312"/>
          <w:bCs/>
          <w:color w:val="000000"/>
          <w:sz w:val="24"/>
          <w:lang w:eastAsia="zh-CN"/>
        </w:rPr>
        <w:t>上海市分公司</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2.根据实际情况，投标人在A\B两项之间择一承诺</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A投标人向招标人提供的产品或服务，不需要任何外国实体提供技术支持。</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3.根据实际情况，投标人在A\B两项之间择一承诺</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sz w:val="24"/>
        </w:rPr>
      </w:pPr>
    </w:p>
    <w:p>
      <w:pPr>
        <w:spacing w:line="360" w:lineRule="auto"/>
        <w:jc w:val="left"/>
        <w:rPr>
          <w:rFonts w:ascii="仿宋_GB2312" w:hAnsi="宋体" w:eastAsia="仿宋_GB2312"/>
          <w:color w:val="000000"/>
          <w:sz w:val="24"/>
        </w:rPr>
      </w:pPr>
    </w:p>
    <w:p>
      <w:pPr>
        <w:tabs>
          <w:tab w:val="left" w:pos="5580"/>
        </w:tabs>
        <w:spacing w:before="120" w:line="22" w:lineRule="atLeast"/>
        <w:rPr>
          <w:rFonts w:ascii="仿宋_GB2312" w:hAnsi="宋体" w:eastAsia="仿宋_GB2312"/>
          <w:color w:val="000000"/>
          <w:kern w:val="0"/>
          <w:sz w:val="24"/>
        </w:rPr>
      </w:pPr>
      <w:r>
        <w:rPr>
          <w:rFonts w:hint="eastAsia" w:ascii="仿宋_GB2312" w:hAnsi="宋体" w:eastAsia="仿宋_GB2312"/>
          <w:color w:val="000000"/>
          <w:kern w:val="0"/>
          <w:sz w:val="24"/>
        </w:rPr>
        <w:t xml:space="preserve">投标人名称（盖章）：                       </w:t>
      </w:r>
    </w:p>
    <w:p>
      <w:pPr>
        <w:tabs>
          <w:tab w:val="left" w:pos="5580"/>
        </w:tabs>
        <w:spacing w:before="120" w:line="22" w:lineRule="atLeast"/>
        <w:rPr>
          <w:rFonts w:ascii="仿宋_GB2312" w:hAnsi="宋体" w:eastAsia="仿宋_GB2312"/>
          <w:color w:val="000000"/>
          <w:kern w:val="0"/>
          <w:sz w:val="24"/>
        </w:rPr>
      </w:pPr>
      <w:r>
        <w:rPr>
          <w:rFonts w:hint="eastAsia" w:ascii="仿宋_GB2312" w:hAnsi="宋体" w:eastAsia="仿宋_GB2312"/>
          <w:color w:val="000000"/>
          <w:kern w:val="0"/>
          <w:sz w:val="24"/>
        </w:rPr>
        <w:t>投标人授权代表(签字):</w:t>
      </w:r>
      <w:r>
        <w:rPr>
          <w:rFonts w:hint="eastAsia" w:ascii="仿宋_GB2312" w:hAnsi="宋体" w:eastAsia="仿宋_GB2312"/>
          <w:color w:val="000000"/>
          <w:kern w:val="0"/>
          <w:sz w:val="24"/>
        </w:rPr>
        <w:tab/>
      </w:r>
    </w:p>
    <w:p>
      <w:pPr>
        <w:tabs>
          <w:tab w:val="left" w:pos="5580"/>
        </w:tabs>
        <w:spacing w:before="120" w:line="22" w:lineRule="atLeast"/>
        <w:rPr>
          <w:rFonts w:ascii="仿宋_GB2312" w:hAnsi="宋体" w:eastAsia="仿宋_GB2312"/>
          <w:color w:val="000000"/>
          <w:kern w:val="0"/>
          <w:sz w:val="24"/>
        </w:rPr>
      </w:pPr>
      <w:r>
        <w:rPr>
          <w:rFonts w:hint="eastAsia" w:ascii="仿宋_GB2312" w:hAnsi="宋体" w:eastAsia="仿宋_GB2312"/>
          <w:color w:val="000000"/>
          <w:kern w:val="0"/>
          <w:sz w:val="24"/>
        </w:rPr>
        <w:t>日期：</w:t>
      </w:r>
    </w:p>
    <w:p>
      <w:pPr>
        <w:widowControl/>
        <w:adjustRightInd w:val="0"/>
        <w:snapToGrid w:val="0"/>
        <w:spacing w:line="360" w:lineRule="auto"/>
        <w:ind w:firstLine="480" w:firstLineChars="200"/>
        <w:rPr>
          <w:rFonts w:ascii="仿宋_GB2312" w:hAnsi="宋体" w:eastAsia="仿宋_GB2312" w:cs="宋体"/>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snapToGrid/>
        <w:spacing w:line="240" w:lineRule="auto"/>
        <w:rPr>
          <w:b/>
          <w:bCs/>
          <w:kern w:val="0"/>
          <w:sz w:val="24"/>
          <w:szCs w:val="24"/>
        </w:rPr>
      </w:pPr>
      <w:r>
        <w:rPr>
          <w:b/>
          <w:bCs/>
          <w:kern w:val="0"/>
          <w:sz w:val="24"/>
          <w:szCs w:val="24"/>
        </w:rPr>
        <w:br w:type="page"/>
      </w:r>
    </w:p>
    <w:p>
      <w:pPr>
        <w:keepNext w:val="0"/>
        <w:keepLines w:val="0"/>
        <w:widowControl/>
        <w:suppressLineNumbers w:val="0"/>
        <w:adjustRightInd/>
        <w:spacing w:before="0" w:beforeAutospacing="0" w:after="0" w:afterAutospacing="0" w:line="240" w:lineRule="auto"/>
        <w:ind w:left="0" w:right="0" w:firstLine="0"/>
        <w:jc w:val="left"/>
        <w:textAlignment w:val="auto"/>
        <w:rPr>
          <w:rFonts w:ascii="宋体" w:hAnsi="宋体" w:eastAsia="宋体" w:cs="Times New Roman"/>
          <w:b/>
          <w:bCs/>
          <w:kern w:val="2"/>
          <w:sz w:val="24"/>
          <w:szCs w:val="24"/>
          <w:lang w:val="en-US" w:eastAsia="en-US" w:bidi="ar-SA"/>
        </w:rPr>
      </w:pPr>
      <w:r>
        <w:rPr>
          <w:rFonts w:hint="eastAsia" w:ascii="宋体" w:hAnsi="宋体" w:eastAsia="宋体" w:cs="Times New Roman"/>
          <w:b/>
          <w:bCs/>
          <w:kern w:val="2"/>
          <w:sz w:val="24"/>
          <w:szCs w:val="24"/>
          <w:lang w:val="en-US" w:eastAsia="zh-CN" w:bidi="ar-SA"/>
        </w:rPr>
        <w:t xml:space="preserve">附件2.9 </w:t>
      </w:r>
      <w:r>
        <w:rPr>
          <w:rFonts w:ascii="宋体" w:hAnsi="宋体" w:eastAsia="宋体" w:cs="Times New Roman"/>
          <w:b/>
          <w:bCs/>
          <w:kern w:val="2"/>
          <w:sz w:val="24"/>
          <w:szCs w:val="24"/>
          <w:lang w:val="en-US" w:eastAsia="en-US" w:bidi="ar-SA"/>
        </w:rPr>
        <w:t>供应商行为准则承诺书</w:t>
      </w:r>
    </w:p>
    <w:p>
      <w:pPr>
        <w:spacing w:line="240" w:lineRule="auto"/>
        <w:jc w:val="center"/>
        <w:rPr>
          <w:rFonts w:hint="eastAsia" w:ascii="宋体" w:hAnsi="宋体" w:eastAsia="宋体" w:cs="宋体"/>
          <w:b/>
          <w:bCs/>
          <w:color w:val="000000"/>
          <w:sz w:val="28"/>
          <w:szCs w:val="28"/>
          <w:highlight w:val="none"/>
        </w:rPr>
      </w:pPr>
    </w:p>
    <w:p>
      <w:pPr>
        <w:spacing w:line="24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供应商行为准则承诺书</w:t>
      </w:r>
    </w:p>
    <w:p>
      <w:pPr>
        <w:widowControl w:val="0"/>
        <w:adjustRightInd/>
        <w:spacing w:line="240" w:lineRule="auto"/>
        <w:jc w:val="both"/>
        <w:textAlignment w:val="auto"/>
        <w:rPr>
          <w:rFonts w:hint="eastAsia" w:ascii="Times New Roman" w:hAnsi="Times New Roman" w:eastAsia="宋体" w:cs="Times New Roman"/>
          <w:kern w:val="2"/>
          <w:sz w:val="28"/>
          <w:szCs w:val="20"/>
          <w:lang w:val="en-US" w:eastAsia="zh-CN" w:bidi="ar-SA"/>
        </w:rPr>
      </w:pP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一、参加</w:t>
      </w:r>
      <w:r>
        <w:rPr>
          <w:rFonts w:hint="eastAsia" w:ascii="宋体" w:hAnsi="宋体" w:eastAsia="宋体" w:cs="宋体"/>
          <w:color w:val="000000"/>
          <w:sz w:val="24"/>
          <w:lang w:eastAsia="zh-CN"/>
        </w:rPr>
        <w:t>中国人民财产保险股份有限</w:t>
      </w:r>
      <w:r>
        <w:rPr>
          <w:rFonts w:hint="eastAsia" w:ascii="宋体" w:hAnsi="宋体" w:eastAsia="宋体" w:cs="宋体"/>
          <w:color w:val="000000"/>
          <w:sz w:val="24"/>
        </w:rPr>
        <w:t>公司、各子公司以及各级分支机构（以下简称“</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”）采购项目的供应商，不属于禁止交易的中国人民保险集团干部员工关系企业，必须维护</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的核心价值，在与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合作时必须坚守对道德、社会及环境保护负责任的原则，促进公平和可持续发展。所有供应商（包括供应商及其员工、附属公司、关联企业及供应商分包的任何第三方在内）在与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进行业务往来或参与任何与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有关的活动时，都应遵守供应商行为准则（以下简称“本准则”）。</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供应商经营业务时必须遵守所有适用的法律法规及相关政策等规定。如因违反任何适用的法律、法规而可能影响其按照本准则向</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提供产品及服务的能力时，应立即通知</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二、供应商应有道德地从事商业活动，坚持公平竞争原则，遵守其经营所在地及国家所有适用的反腐败法律、法规，不得有贿赂、腐败、恶意串通、恶意欺诈或其他损害</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利益的不良行为。</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五、供应商必须遵守信息隐私保护的法律及法规。由</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提供的所有信息，或与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的业务往来期间所获取的所有信息（以下简称“</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的信息”），应被视为商业秘密、敏感及专有信息。供应商只有经授权或按照法律规定方可披露</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的信息，且不得向未经授权的第三方或公众披露</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的信息。未经</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的事先书面同意，供应商不得聘请或授权任何第三方服务的供应商处理</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的信息。涉及国家秘密的，严格遵守国家和</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相关规定。</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六、供应商在运营过程中以及为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提供服务的过程中，不得有违反知识产权保护法规的行为。供应商应承认且尊重与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相关的商标、版权、设计及专利上的知识产权，不得从事可能会侵犯</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知识产权或损坏</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声誉的任何活动。</w:t>
      </w:r>
    </w:p>
    <w:p>
      <w:pPr>
        <w:spacing w:line="360" w:lineRule="auto"/>
        <w:ind w:firstLine="470" w:firstLineChars="196"/>
        <w:rPr>
          <w:rFonts w:hint="eastAsia" w:ascii="宋体" w:hAnsi="宋体" w:eastAsia="宋体" w:cs="宋体"/>
          <w:color w:val="000000"/>
          <w:sz w:val="24"/>
        </w:rPr>
      </w:pPr>
      <w:r>
        <w:rPr>
          <w:rFonts w:hint="eastAsia" w:ascii="宋体" w:hAnsi="宋体" w:eastAsia="宋体" w:cs="宋体"/>
          <w:color w:val="000000"/>
          <w:sz w:val="24"/>
        </w:rPr>
        <w:t>七、供应商应采取适当行动以确保其员工了解并遵守本守则的理念，并应用于其供应链（如适用）。在给予供应商合理通知的情况下，</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八、供应商承诺遵守</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有关采购管理和供应商管理的相关规定、履行相应义务。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九、供应商参与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采购过程中，将认真阅读并理解邀请文件的内容，并保证严格保密文件内容，不泄露</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任何信息。</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十一、供应商承诺根据</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的要求提供供应产品的市场参考价格，并保证该数据的真实性与时效性；如提供不实或虚假数据的，自愿接受录入</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供应商诚信档案记录的不利后果。</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十二、如果供应商（包括咨询顾问、董事、雇员、代理人和代表）违反或未履行本承诺下的任何规定、保证及陈述，将自愿对因违反或未履行承诺书的规定而对</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造成的直接损失进行赔偿。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十三、采购过程中涉及函件往来的，使用供应商以下地址及联系方式：</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公司名称（全称、盖章）：________________</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法定代表人（负责人）姓名、职务：__________________</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地址：__________________</w:t>
      </w:r>
      <w:r>
        <w:rPr>
          <w:rFonts w:hint="eastAsia" w:ascii="宋体" w:hAnsi="宋体" w:cs="宋体"/>
          <w:color w:val="000000"/>
          <w:sz w:val="24"/>
          <w:lang w:val="en-US" w:eastAsia="zh-CN"/>
        </w:rPr>
        <w:t xml:space="preserve">   </w:t>
      </w:r>
      <w:r>
        <w:rPr>
          <w:rFonts w:hint="eastAsia" w:ascii="宋体" w:hAnsi="宋体" w:eastAsia="宋体" w:cs="宋体"/>
          <w:color w:val="000000"/>
          <w:sz w:val="24"/>
        </w:rPr>
        <w:t>电话：__________</w:t>
      </w:r>
    </w:p>
    <w:p>
      <w:pPr>
        <w:keepNext/>
        <w:widowControl/>
        <w:numPr>
          <w:ilvl w:val="0"/>
          <w:numId w:val="0"/>
        </w:numPr>
        <w:tabs>
          <w:tab w:val="left" w:pos="3060"/>
        </w:tabs>
        <w:adjustRightInd/>
        <w:spacing w:beforeLines="100" w:after="0" w:line="360" w:lineRule="auto"/>
        <w:ind w:left="-25" w:firstLine="480"/>
        <w:jc w:val="both"/>
        <w:textAlignment w:val="auto"/>
        <w:outlineLvl w:val="0"/>
        <w:rPr>
          <w:rFonts w:hint="eastAsia" w:ascii="宋体" w:hAnsi="宋体" w:eastAsia="宋体" w:cs="宋体"/>
          <w:b/>
          <w:bCs/>
          <w:kern w:val="36"/>
          <w:sz w:val="36"/>
          <w:szCs w:val="36"/>
          <w:lang w:val="en-US" w:eastAsia="zh-CN" w:bidi="ar-SA"/>
        </w:rPr>
      </w:pPr>
      <w:r>
        <w:rPr>
          <w:rFonts w:hint="eastAsia" w:ascii="宋体" w:hAnsi="宋体" w:eastAsia="宋体" w:cs="宋体"/>
          <w:b w:val="0"/>
          <w:bCs/>
          <w:color w:val="000000"/>
          <w:kern w:val="36"/>
          <w:sz w:val="24"/>
          <w:szCs w:val="36"/>
          <w:lang w:val="en-US" w:eastAsia="zh-CN" w:bidi="ar-SA"/>
        </w:rPr>
        <w:t>法定代表人（负责人）或授权代表签字：______________</w:t>
      </w:r>
    </w:p>
    <w:p>
      <w:pPr>
        <w:spacing w:line="600" w:lineRule="exact"/>
        <w:jc w:val="left"/>
        <w:rPr>
          <w:rFonts w:hint="eastAsia" w:ascii="仿宋" w:hAnsi="仿宋" w:eastAsia="仿宋" w:cs="宋体"/>
          <w:b/>
          <w:bCs/>
          <w:color w:val="000000"/>
          <w:sz w:val="28"/>
          <w:szCs w:val="28"/>
          <w:highlight w:val="none"/>
        </w:rPr>
      </w:pPr>
      <w:r>
        <w:rPr>
          <w:rFonts w:ascii="宋体" w:hAnsi="宋体"/>
          <w:b/>
          <w:sz w:val="28"/>
          <w:szCs w:val="28"/>
        </w:rPr>
        <w:br w:type="page"/>
      </w:r>
      <w:r>
        <w:rPr>
          <w:rFonts w:hint="eastAsia" w:ascii="宋体" w:hAnsi="宋体" w:eastAsia="宋体" w:cs="宋体"/>
          <w:b/>
          <w:sz w:val="24"/>
          <w:szCs w:val="24"/>
          <w:lang w:eastAsia="zh-CN"/>
        </w:rPr>
        <w:t>附件</w:t>
      </w:r>
      <w:r>
        <w:rPr>
          <w:rFonts w:hint="eastAsia" w:ascii="宋体" w:hAnsi="宋体" w:cs="宋体"/>
          <w:b/>
          <w:sz w:val="24"/>
          <w:szCs w:val="24"/>
          <w:lang w:val="en-US" w:eastAsia="zh-CN"/>
        </w:rPr>
        <w:t>2.10</w:t>
      </w:r>
      <w:r>
        <w:rPr>
          <w:rFonts w:hint="eastAsia" w:ascii="宋体" w:hAnsi="宋体" w:eastAsia="宋体" w:cs="宋体"/>
          <w:b/>
          <w:bCs/>
          <w:color w:val="000000"/>
          <w:sz w:val="24"/>
          <w:szCs w:val="24"/>
          <w:highlight w:val="none"/>
        </w:rPr>
        <w:t>供应商廉洁诚信承诺书</w:t>
      </w:r>
    </w:p>
    <w:p>
      <w:pPr>
        <w:spacing w:line="600" w:lineRule="exact"/>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供应商廉洁诚信承诺书</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为维护公平竞争的市场秩序和公正透明的商业环境，保证与中国人民</w:t>
      </w:r>
      <w:r>
        <w:rPr>
          <w:rFonts w:hint="eastAsia" w:ascii="宋体" w:hAnsi="宋体" w:eastAsia="宋体" w:cs="宋体"/>
          <w:color w:val="000000"/>
          <w:sz w:val="24"/>
          <w:lang w:eastAsia="zh-CN"/>
        </w:rPr>
        <w:t>财产</w:t>
      </w:r>
      <w:r>
        <w:rPr>
          <w:rFonts w:hint="eastAsia" w:ascii="宋体" w:hAnsi="宋体" w:eastAsia="宋体" w:cs="宋体"/>
          <w:color w:val="000000"/>
          <w:sz w:val="24"/>
        </w:rPr>
        <w:t>保险</w:t>
      </w:r>
      <w:r>
        <w:rPr>
          <w:rFonts w:hint="eastAsia" w:ascii="宋体" w:hAnsi="宋体" w:eastAsia="宋体" w:cs="宋体"/>
          <w:color w:val="000000"/>
          <w:sz w:val="24"/>
          <w:lang w:eastAsia="zh-CN"/>
        </w:rPr>
        <w:t>股份有限公司</w:t>
      </w:r>
      <w:r>
        <w:rPr>
          <w:rFonts w:hint="eastAsia" w:ascii="宋体" w:hAnsi="宋体" w:eastAsia="宋体" w:cs="宋体"/>
          <w:color w:val="000000"/>
          <w:sz w:val="24"/>
        </w:rPr>
        <w:t>公司、各子公司以及各级分支机构（以下简称“</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”）合作项目的顺利进行，我方作为参与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的合作过程中郑重承诺如下：</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一、遵守法律法规承诺。我们将严格遵守《中华人民共和国反不正当竞争法》《关于禁止商业贿赂行为的暂行规定》等国家法律法规和</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采购管理、供应商管理相关制度要求，坚决不从事任何违法违规违纪行为。</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二、避免利害关系承诺。我们将在采购过程中主动申报与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及相关主体的关联及利害关系，包括我们的相关主体与</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三、廉洁自律承诺。我们坚决不以任何形式为获取或意图获取交易机会、竞争优势或谋取不正当利益而向</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或相关主体实施商业贿赂或营私舞弊行为，包括但不限于：</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（2）为其安排有可能影响公平、公正交易的宴请、健身、娱乐等活动；</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（3）为其投资入股、个人借款或买卖股票、债券等提供方便；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（4）为其购买或装修住房、婚丧嫁娶、配偶子女上学或工作安排以及出国出境、旅游等提供方便；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（5）违反规定为其在我方相关企业工作、挂名兼职、合伙经营、介绍承揽业务等提供方便；</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（6）向其提供借款、融资、担保等；</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（7）给予或承诺给予其不正当利益的其他行为；</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（8）其他违反国家法律法规或商业道德准则的影响公正交易的行为。</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我们也不会以任何方式向</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四、诚实信用承诺。我们坚决不进行任何违背诚实信用原则的行为，包括但不限于：</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出借、转让资质证书；</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伙同他人串标、围标或非法排挤竞争对手；</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（4）隐瞒任何可能对贵方利益造成影响的信息，不配合贵方的审计。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（3）建立举报制度：鼓励员工积极举报违规行为，对举报人予以保护并给予奖励。</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七、配合监督承诺。我们将积极配合</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八、如违反上述承诺，我方自愿承担以下法律责任：</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（1）如我方及我方工作人员违反本承诺书承诺，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（2）如我方及我方工作人员违反本承诺书承诺，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及其子公司等所有关联主体有权限制或取消我方在</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参与</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项目的资格；</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（3）如我方及我方工作人员违反本承诺书承诺，</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（4）如我方及我方工作人员违反本承诺书承诺，除承担前述（1）（2）（3）项责任外，</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宋体" w:hAnsi="宋体" w:eastAsia="宋体" w:cs="宋体"/>
          <w:color w:val="000000"/>
          <w:sz w:val="24"/>
        </w:rPr>
      </w:pP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本承诺书自承诺方签字和盖章之日起生效。如我方成功中选</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采购项目，将按</w:t>
      </w:r>
      <w:r>
        <w:rPr>
          <w:rFonts w:hint="eastAsia" w:ascii="宋体" w:hAnsi="宋体" w:eastAsia="宋体" w:cs="宋体"/>
          <w:color w:val="000000"/>
          <w:sz w:val="24"/>
          <w:lang w:eastAsia="zh-CN"/>
        </w:rPr>
        <w:t>人保财险</w:t>
      </w:r>
      <w:r>
        <w:rPr>
          <w:rFonts w:hint="eastAsia" w:ascii="宋体" w:hAnsi="宋体" w:eastAsia="宋体" w:cs="宋体"/>
          <w:color w:val="000000"/>
          <w:sz w:val="24"/>
        </w:rPr>
        <w:t>管理要求签署廉洁诚信协议作为采购合同附件，并严格遵守协议相关条款。</w:t>
      </w:r>
    </w:p>
    <w:p>
      <w:pPr>
        <w:spacing w:line="360" w:lineRule="auto"/>
        <w:ind w:firstLine="480" w:firstLineChars="200"/>
        <w:rPr>
          <w:rFonts w:hint="eastAsia" w:ascii="宋体" w:hAnsi="宋体" w:eastAsia="宋体" w:cs="宋体"/>
          <w:color w:val="000000"/>
          <w:sz w:val="24"/>
        </w:rPr>
      </w:pPr>
    </w:p>
    <w:p>
      <w:pPr>
        <w:tabs>
          <w:tab w:val="left" w:pos="458"/>
        </w:tabs>
        <w:spacing w:line="360" w:lineRule="auto"/>
        <w:ind w:firstLine="3578" w:firstLineChars="1491"/>
        <w:rPr>
          <w:rFonts w:hint="eastAsia" w:ascii="宋体" w:hAnsi="宋体" w:eastAsia="宋体" w:cs="宋体"/>
          <w:color w:val="000000"/>
          <w:sz w:val="24"/>
        </w:rPr>
      </w:pPr>
      <w:r>
        <w:rPr>
          <w:rFonts w:hint="eastAsia" w:ascii="宋体" w:hAnsi="宋体" w:eastAsia="宋体" w:cs="宋体"/>
          <w:color w:val="000000"/>
          <w:sz w:val="24"/>
        </w:rPr>
        <w:t>公司名称（全称、盖章）：________________</w:t>
      </w:r>
    </w:p>
    <w:p>
      <w:pPr>
        <w:spacing w:line="360" w:lineRule="auto"/>
        <w:ind w:firstLine="3578" w:firstLineChars="1491"/>
        <w:rPr>
          <w:rFonts w:hint="eastAsia" w:ascii="宋体" w:hAnsi="宋体" w:eastAsia="宋体" w:cs="宋体"/>
          <w:color w:val="000000"/>
          <w:sz w:val="24"/>
        </w:rPr>
      </w:pPr>
      <w:r>
        <w:rPr>
          <w:rFonts w:hint="eastAsia" w:ascii="宋体" w:hAnsi="宋体" w:eastAsia="宋体" w:cs="宋体"/>
          <w:color w:val="000000"/>
          <w:sz w:val="24"/>
        </w:rPr>
        <w:t>法定代表人姓名、职务：__________________</w:t>
      </w:r>
    </w:p>
    <w:p>
      <w:pPr>
        <w:spacing w:line="360" w:lineRule="auto"/>
        <w:ind w:firstLine="3578" w:firstLineChars="1491"/>
        <w:rPr>
          <w:rFonts w:hint="eastAsia" w:ascii="宋体" w:hAnsi="宋体" w:eastAsia="宋体" w:cs="宋体"/>
          <w:color w:val="000000"/>
          <w:sz w:val="24"/>
        </w:rPr>
      </w:pPr>
      <w:r>
        <w:rPr>
          <w:rFonts w:hint="eastAsia" w:ascii="宋体" w:hAnsi="宋体" w:eastAsia="宋体" w:cs="宋体"/>
          <w:color w:val="000000"/>
          <w:sz w:val="24"/>
        </w:rPr>
        <w:t>法定代表人或授权代表签字：______________</w:t>
      </w:r>
    </w:p>
    <w:p>
      <w:pPr>
        <w:spacing w:line="360" w:lineRule="auto"/>
        <w:ind w:firstLine="3578" w:firstLineChars="1491"/>
        <w:rPr>
          <w:rFonts w:hint="eastAsia" w:ascii="宋体" w:hAnsi="宋体" w:eastAsia="宋体" w:cs="宋体"/>
          <w:vanish/>
          <w:sz w:val="24"/>
        </w:rPr>
      </w:pPr>
      <w:r>
        <w:rPr>
          <w:rFonts w:hint="eastAsia" w:ascii="宋体" w:hAnsi="宋体" w:eastAsia="宋体" w:cs="宋体"/>
          <w:color w:val="000000"/>
          <w:sz w:val="24"/>
        </w:rPr>
        <w:t>日期：__________________________________</w:t>
      </w:r>
    </w:p>
    <w:p>
      <w:pPr>
        <w:tabs>
          <w:tab w:val="left" w:pos="458"/>
        </w:tabs>
        <w:spacing w:line="600" w:lineRule="exact"/>
        <w:ind w:firstLine="3578" w:firstLineChars="1491"/>
        <w:rPr>
          <w:rFonts w:hint="eastAsia" w:ascii="宋体" w:hAnsi="宋体" w:eastAsia="宋体" w:cs="宋体"/>
          <w:color w:val="000000"/>
          <w:sz w:val="24"/>
          <w:highlight w:val="none"/>
        </w:rPr>
      </w:pPr>
    </w:p>
    <w:p>
      <w:pPr>
        <w:widowControl/>
        <w:adjustRightInd w:val="0"/>
        <w:snapToGrid w:val="0"/>
        <w:spacing w:line="360" w:lineRule="auto"/>
        <w:rPr>
          <w:rFonts w:ascii="宋体" w:hAnsi="宋体" w:cs="宋体"/>
          <w:kern w:val="0"/>
          <w:sz w:val="24"/>
          <w:szCs w:val="24"/>
          <w:u w:val="single"/>
        </w:rPr>
      </w:pPr>
    </w:p>
    <w:p>
      <w:pPr>
        <w:widowControl/>
        <w:numPr>
          <w:ilvl w:val="0"/>
          <w:numId w:val="0"/>
        </w:numPr>
        <w:shd w:val="clear" w:color="auto" w:fill="FFFFFF"/>
        <w:snapToGrid w:val="0"/>
        <w:spacing w:line="360" w:lineRule="auto"/>
        <w:jc w:val="center"/>
        <w:textAlignment w:val="auto"/>
        <w:rPr>
          <w:rFonts w:hint="eastAsia" w:eastAsia="宋体"/>
          <w:b w:val="0"/>
          <w:bCs w:val="0"/>
          <w:i w:val="0"/>
          <w:iCs w:val="0"/>
          <w:color w:val="FF0000"/>
          <w:kern w:val="0"/>
          <w:sz w:val="24"/>
          <w:szCs w:val="24"/>
          <w:lang w:eastAsia="zh-CN"/>
        </w:rPr>
      </w:pPr>
      <w:r>
        <w:rPr>
          <w:rFonts w:hint="eastAsia" w:ascii="宋体" w:hAnsi="宋体" w:eastAsia="宋体" w:cs="宋体"/>
          <w:b/>
          <w:bCs/>
          <w:kern w:val="0"/>
          <w:sz w:val="28"/>
          <w:szCs w:val="28"/>
          <w:lang w:val="en-US" w:eastAsia="zh-CN" w:bidi="ar-SA"/>
        </w:rPr>
        <w:br w:type="page"/>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eastAsia="宋体" w:cs="宋体"/>
          <w:b/>
          <w:bCs/>
          <w:kern w:val="36"/>
          <w:sz w:val="30"/>
          <w:szCs w:val="30"/>
          <w:lang w:val="en-US" w:eastAsia="zh-CN" w:bidi="ar-SA"/>
        </w:rPr>
        <w:t>第三章 资格证明文件</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供应商应具有良好的商业信誉和健全的财务会计制度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 xml:space="preserve">6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 xml:space="preserve">7 </w:t>
      </w:r>
      <w:r>
        <w:rPr>
          <w:rFonts w:hint="eastAsia" w:ascii="宋体" w:hAnsi="宋体" w:cs="宋体"/>
          <w:kern w:val="0"/>
          <w:sz w:val="24"/>
          <w:szCs w:val="24"/>
        </w:rPr>
        <w:t>与本次采购有关的其他资质证明文件</w:t>
      </w:r>
    </w:p>
    <w:p>
      <w:pPr>
        <w:keepNext/>
        <w:keepLines/>
        <w:widowControl w:val="0"/>
        <w:numPr>
          <w:ilvl w:val="0"/>
          <w:numId w:val="0"/>
        </w:numPr>
        <w:spacing w:before="260" w:after="260" w:line="416" w:lineRule="auto"/>
        <w:jc w:val="both"/>
        <w:outlineLvl w:val="1"/>
        <w:rPr>
          <w:rFonts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br w:type="page"/>
      </w:r>
      <w:r>
        <w:rPr>
          <w:rFonts w:hint="eastAsia" w:ascii="Calibri Light" w:hAnsi="Calibri Light" w:eastAsia="宋体" w:cs="Times New Roman"/>
          <w:b/>
          <w:bCs/>
          <w:kern w:val="2"/>
          <w:sz w:val="24"/>
          <w:szCs w:val="24"/>
          <w:lang w:val="en-US" w:eastAsia="zh-CN" w:bidi="ar-SA"/>
        </w:rPr>
        <w:t>附件3.1</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keepNext/>
        <w:keepLines/>
        <w:widowControl w:val="0"/>
        <w:numPr>
          <w:ilvl w:val="0"/>
          <w:numId w:val="0"/>
        </w:numPr>
        <w:adjustRightInd w:val="0"/>
        <w:snapToGrid w:val="0"/>
        <w:spacing w:before="0" w:after="0" w:line="360"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附件3.2</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供应商应具有良好的商业信誉和健全的财务会计制度。</w:t>
      </w:r>
    </w:p>
    <w:p>
      <w:pPr>
        <w:adjustRightInd w:val="0"/>
        <w:snapToGrid w:val="0"/>
        <w:spacing w:line="360" w:lineRule="auto"/>
        <w:rPr>
          <w:rFonts w:ascii="宋体" w:hAnsi="宋体" w:eastAsia="宋体"/>
          <w:sz w:val="24"/>
          <w:szCs w:val="24"/>
        </w:rPr>
      </w:pPr>
      <w:r>
        <w:rPr>
          <w:rFonts w:hint="eastAsia" w:ascii="宋体" w:hAnsi="宋体" w:eastAsia="宋体"/>
          <w:sz w:val="24"/>
          <w:szCs w:val="24"/>
        </w:rPr>
        <w:t>需提供经会计师事务所审计的2</w:t>
      </w:r>
      <w:r>
        <w:rPr>
          <w:rFonts w:hint="eastAsia" w:ascii="宋体" w:hAnsi="宋体"/>
          <w:sz w:val="24"/>
          <w:szCs w:val="24"/>
          <w:lang w:val="en-US" w:eastAsia="zh-CN"/>
        </w:rPr>
        <w:t>024</w:t>
      </w:r>
      <w:r>
        <w:rPr>
          <w:rFonts w:hint="eastAsia" w:ascii="宋体" w:hAnsi="宋体" w:eastAsia="宋体"/>
          <w:sz w:val="24"/>
          <w:szCs w:val="24"/>
        </w:rPr>
        <w:t>年度或202</w:t>
      </w:r>
      <w:r>
        <w:rPr>
          <w:rFonts w:hint="eastAsia" w:ascii="宋体" w:hAnsi="宋体"/>
          <w:sz w:val="24"/>
          <w:szCs w:val="24"/>
          <w:lang w:val="en-US" w:eastAsia="zh-CN"/>
        </w:rPr>
        <w:t>5</w:t>
      </w:r>
      <w:r>
        <w:rPr>
          <w:rFonts w:hint="eastAsia" w:ascii="宋体" w:hAnsi="宋体" w:eastAsia="宋体"/>
          <w:sz w:val="24"/>
          <w:szCs w:val="24"/>
        </w:rPr>
        <w:t>年度财务审计报告复印件或</w:t>
      </w:r>
      <w:r>
        <w:rPr>
          <w:rFonts w:hint="eastAsia" w:ascii="宋体" w:hAnsi="宋体" w:eastAsia="宋体"/>
          <w:sz w:val="24"/>
          <w:szCs w:val="24"/>
          <w:lang w:eastAsia="zh-CN"/>
        </w:rPr>
        <w:t>比选</w:t>
      </w:r>
      <w:r>
        <w:rPr>
          <w:rFonts w:hint="eastAsia" w:ascii="宋体" w:hAnsi="宋体" w:eastAsia="宋体"/>
          <w:sz w:val="24"/>
          <w:szCs w:val="24"/>
        </w:rPr>
        <w:t>日前3个月内供应商银行出具的资信证明（除开具银行明确表示复印无效的，银行资信证明可以是复印件加盖本单位公章）；</w:t>
      </w:r>
    </w:p>
    <w:p>
      <w:pPr>
        <w:keepNext/>
        <w:keepLines/>
        <w:widowControl w:val="0"/>
        <w:numPr>
          <w:ilvl w:val="0"/>
          <w:numId w:val="0"/>
        </w:numPr>
        <w:adjustRightInd w:val="0"/>
        <w:snapToGrid w:val="0"/>
        <w:spacing w:before="0" w:after="0" w:line="360"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附件3.</w:t>
      </w:r>
      <w:r>
        <w:rPr>
          <w:rFonts w:ascii="Calibri Light" w:hAnsi="Calibri Light" w:eastAsia="宋体" w:cs="Times New Roman"/>
          <w:b/>
          <w:bCs/>
          <w:kern w:val="2"/>
          <w:sz w:val="24"/>
          <w:szCs w:val="24"/>
          <w:lang w:val="en-US" w:eastAsia="zh-CN" w:bidi="ar-SA"/>
        </w:rPr>
        <w:t xml:space="preserve">3 </w:t>
      </w:r>
      <w:r>
        <w:rPr>
          <w:rFonts w:hint="eastAsia" w:ascii="Calibri Light" w:hAnsi="Calibri Light" w:eastAsia="宋体" w:cs="Times New Roman"/>
          <w:b/>
          <w:bCs/>
          <w:kern w:val="2"/>
          <w:sz w:val="24"/>
          <w:szCs w:val="24"/>
          <w:lang w:val="en-US" w:eastAsia="zh-CN" w:bidi="ar-SA"/>
        </w:rPr>
        <w:t>法人营业执照（复印件）</w:t>
      </w:r>
    </w:p>
    <w:p>
      <w:pPr>
        <w:keepNext/>
        <w:keepLines/>
        <w:widowControl w:val="0"/>
        <w:numPr>
          <w:ilvl w:val="0"/>
          <w:numId w:val="0"/>
        </w:numPr>
        <w:adjustRightInd w:val="0"/>
        <w:snapToGrid w:val="0"/>
        <w:spacing w:before="0" w:after="0" w:line="360" w:lineRule="auto"/>
        <w:jc w:val="both"/>
        <w:outlineLvl w:val="1"/>
        <w:rPr>
          <w:rFonts w:ascii="Calibri Light" w:hAnsi="Calibri Light" w:eastAsia="宋体" w:cs="Times New Roman"/>
          <w:b w:val="0"/>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附件3</w:t>
      </w:r>
      <w:r>
        <w:rPr>
          <w:rFonts w:ascii="Calibri Light" w:hAnsi="Calibri Light" w:eastAsia="宋体" w:cs="Times New Roman"/>
          <w:b/>
          <w:bCs/>
          <w:kern w:val="2"/>
          <w:sz w:val="24"/>
          <w:szCs w:val="24"/>
          <w:lang w:val="en-US" w:eastAsia="zh-CN" w:bidi="ar-SA"/>
        </w:rPr>
        <w:t xml:space="preserve">.4 </w:t>
      </w:r>
      <w:r>
        <w:rPr>
          <w:rFonts w:hint="eastAsia" w:ascii="Calibri Light" w:hAnsi="Calibri Light" w:eastAsia="宋体" w:cs="Times New Roman"/>
          <w:b/>
          <w:bCs/>
          <w:kern w:val="2"/>
          <w:sz w:val="24"/>
          <w:szCs w:val="24"/>
          <w:lang w:val="en-US" w:eastAsia="zh-CN" w:bidi="ar-SA"/>
        </w:rPr>
        <w:t>依法缴纳税收的相关材料：</w:t>
      </w:r>
      <w:r>
        <w:rPr>
          <w:rFonts w:ascii="Calibri Light" w:hAnsi="Calibri Light" w:eastAsia="宋体" w:cs="Times New Roman"/>
          <w:b/>
          <w:bCs/>
          <w:kern w:val="2"/>
          <w:sz w:val="24"/>
          <w:szCs w:val="24"/>
          <w:lang w:val="en-US" w:eastAsia="zh-CN" w:bidi="ar-SA"/>
        </w:rPr>
        <w:br w:type="textWrapping"/>
      </w:r>
      <w:r>
        <w:rPr>
          <w:rFonts w:hint="eastAsia" w:ascii="Calibri Light" w:hAnsi="Calibri Light" w:eastAsia="宋体" w:cs="Times New Roman"/>
          <w:b w:val="0"/>
          <w:bCs/>
          <w:kern w:val="2"/>
          <w:sz w:val="24"/>
          <w:szCs w:val="24"/>
          <w:lang w:val="en-US" w:eastAsia="zh-CN" w:bidi="ar-SA"/>
        </w:rPr>
        <w:t>比选当日前6个月内任意一月缴纳税收的凭证复印件；</w:t>
      </w:r>
      <w:r>
        <w:rPr>
          <w:rFonts w:ascii="Calibri Light" w:hAnsi="Calibri Light" w:eastAsia="宋体" w:cs="Times New Roman"/>
          <w:b w:val="0"/>
          <w:bCs/>
          <w:kern w:val="2"/>
          <w:sz w:val="24"/>
          <w:szCs w:val="24"/>
          <w:lang w:val="en-US" w:eastAsia="zh-CN" w:bidi="ar-SA"/>
        </w:rPr>
        <w:br w:type="textWrapping"/>
      </w:r>
      <w:r>
        <w:rPr>
          <w:rFonts w:hint="eastAsia" w:ascii="Calibri Light" w:hAnsi="Calibri Light" w:eastAsia="宋体" w:cs="Times New Roman"/>
          <w:b w:val="0"/>
          <w:bCs/>
          <w:kern w:val="2"/>
          <w:sz w:val="24"/>
          <w:szCs w:val="24"/>
          <w:lang w:val="en-US" w:eastAsia="zh-CN" w:bidi="ar-SA"/>
        </w:rPr>
        <w:t>缴纳凭证复印件须清晰可辨，并能显示出税种种类，单位代扣代缴的个人所得税不能作为单位纳税的凭证；</w:t>
      </w:r>
      <w:r>
        <w:rPr>
          <w:rFonts w:ascii="Calibri Light" w:hAnsi="Calibri Light" w:eastAsia="宋体" w:cs="Times New Roman"/>
          <w:b w:val="0"/>
          <w:bCs/>
          <w:kern w:val="2"/>
          <w:sz w:val="24"/>
          <w:szCs w:val="24"/>
          <w:lang w:val="en-US" w:eastAsia="zh-CN" w:bidi="ar-SA"/>
        </w:rPr>
        <w:br w:type="textWrapping"/>
      </w:r>
      <w:r>
        <w:rPr>
          <w:rFonts w:hint="eastAsia" w:ascii="Calibri Light" w:hAnsi="Calibri Light" w:eastAsia="宋体" w:cs="Times New Roman"/>
          <w:b w:val="0"/>
          <w:bCs/>
          <w:kern w:val="2"/>
          <w:sz w:val="24"/>
          <w:szCs w:val="24"/>
          <w:lang w:val="en-US" w:eastAsia="zh-CN" w:bidi="ar-SA"/>
        </w:rPr>
        <w:t>依法免税的供应商，应提供相应文件证明其依法免税；</w:t>
      </w:r>
    </w:p>
    <w:p>
      <w:pPr>
        <w:keepNext/>
        <w:keepLines/>
        <w:widowControl w:val="0"/>
        <w:numPr>
          <w:ilvl w:val="0"/>
          <w:numId w:val="0"/>
        </w:numPr>
        <w:adjustRightInd w:val="0"/>
        <w:snapToGrid w:val="0"/>
        <w:spacing w:before="0" w:after="0" w:line="360" w:lineRule="auto"/>
        <w:jc w:val="both"/>
        <w:outlineLvl w:val="1"/>
        <w:rPr>
          <w:rFonts w:ascii="Calibri Light" w:hAnsi="Calibri Light" w:eastAsia="宋体" w:cs="Times New Roman"/>
          <w:b w:val="0"/>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附件3</w:t>
      </w:r>
      <w:r>
        <w:rPr>
          <w:rFonts w:ascii="Calibri Light" w:hAnsi="Calibri Light" w:eastAsia="宋体" w:cs="Times New Roman"/>
          <w:b/>
          <w:bCs/>
          <w:kern w:val="2"/>
          <w:sz w:val="24"/>
          <w:szCs w:val="24"/>
          <w:lang w:val="en-US" w:eastAsia="zh-CN" w:bidi="ar-SA"/>
        </w:rPr>
        <w:t xml:space="preserve">.5 </w:t>
      </w:r>
      <w:r>
        <w:rPr>
          <w:rFonts w:hint="eastAsia" w:ascii="Calibri Light" w:hAnsi="Calibri Light" w:eastAsia="宋体" w:cs="Times New Roman"/>
          <w:b/>
          <w:bCs/>
          <w:kern w:val="2"/>
          <w:sz w:val="24"/>
          <w:szCs w:val="24"/>
          <w:lang w:val="en-US" w:eastAsia="zh-CN" w:bidi="ar-SA"/>
        </w:rPr>
        <w:t>依法缴纳社会保障资金的相关材料：</w:t>
      </w:r>
      <w:r>
        <w:rPr>
          <w:rFonts w:ascii="Calibri Light" w:hAnsi="Calibri Light" w:eastAsia="宋体" w:cs="Times New Roman"/>
          <w:b/>
          <w:bCs/>
          <w:kern w:val="2"/>
          <w:sz w:val="24"/>
          <w:szCs w:val="24"/>
          <w:lang w:val="en-US" w:eastAsia="zh-CN" w:bidi="ar-SA"/>
        </w:rPr>
        <w:br w:type="textWrapping"/>
      </w:r>
      <w:r>
        <w:rPr>
          <w:rFonts w:hint="eastAsia" w:ascii="Calibri Light" w:hAnsi="Calibri Light" w:eastAsia="宋体" w:cs="Times New Roman"/>
          <w:b w:val="0"/>
          <w:bCs/>
          <w:kern w:val="2"/>
          <w:sz w:val="24"/>
          <w:szCs w:val="24"/>
          <w:lang w:val="en-US" w:eastAsia="zh-CN" w:bidi="ar-SA"/>
        </w:rPr>
        <w:t>比选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widowControl/>
        <w:jc w:val="left"/>
        <w:rPr>
          <w:sz w:val="24"/>
          <w:szCs w:val="24"/>
        </w:rPr>
      </w:pPr>
    </w:p>
    <w:p>
      <w:pPr>
        <w:keepNext/>
        <w:keepLines/>
        <w:widowControl w:val="0"/>
        <w:numPr>
          <w:ilvl w:val="0"/>
          <w:numId w:val="0"/>
        </w:numPr>
        <w:adjustRightInd w:val="0"/>
        <w:snapToGrid w:val="0"/>
        <w:spacing w:before="0" w:after="0" w:line="360"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附件3.6</w:t>
      </w:r>
      <w:r>
        <w:rPr>
          <w:rFonts w:ascii="Calibri Light" w:hAnsi="Calibri Light" w:eastAsia="宋体" w:cs="Times New Roman"/>
          <w:b/>
          <w:bCs/>
          <w:kern w:val="2"/>
          <w:sz w:val="24"/>
          <w:szCs w:val="24"/>
          <w:lang w:val="en-US" w:eastAsia="zh-CN" w:bidi="ar-SA"/>
        </w:rPr>
        <w:t xml:space="preserve"> </w:t>
      </w:r>
      <w:r>
        <w:rPr>
          <w:rFonts w:hint="eastAsia" w:ascii="Calibri Light" w:hAnsi="Calibri Light" w:eastAsia="宋体" w:cs="Times New Roman"/>
          <w:b/>
          <w:bCs/>
          <w:kern w:val="2"/>
          <w:sz w:val="24"/>
          <w:szCs w:val="24"/>
          <w:lang w:val="en-US" w:eastAsia="zh-CN" w:bidi="ar-SA"/>
        </w:rPr>
        <w:t>提供书面声明函</w:t>
      </w:r>
      <w:r>
        <w:rPr>
          <w:rFonts w:ascii="Calibri Light" w:hAnsi="Calibri Light" w:eastAsia="宋体" w:cs="Times New Roman"/>
          <w:b/>
          <w:bCs/>
          <w:kern w:val="2"/>
          <w:sz w:val="24"/>
          <w:szCs w:val="24"/>
          <w:lang w:val="en-US" w:eastAsia="zh-CN" w:bidi="ar-SA"/>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上海市分公司</w:t>
      </w:r>
      <w:bookmarkStart w:id="16" w:name="_GoBack"/>
      <w:bookmarkEnd w:id="16"/>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widowControl w:val="0"/>
        <w:adjustRightInd/>
        <w:snapToGrid/>
        <w:spacing w:after="0" w:line="360" w:lineRule="auto"/>
        <w:jc w:val="both"/>
        <w:rPr>
          <w:rFonts w:ascii="Arial" w:hAnsi="Arial" w:eastAsia="宋体" w:cs="Arial"/>
          <w:kern w:val="2"/>
          <w:sz w:val="24"/>
          <w:szCs w:val="24"/>
          <w:u w:val="single"/>
          <w:lang w:val="en-US" w:eastAsia="zh-CN" w:bidi="ar-SA"/>
        </w:rPr>
      </w:pPr>
      <w:r>
        <w:rPr>
          <w:rFonts w:ascii="Arial" w:hAnsi="Arial" w:eastAsia="宋体" w:cs="Arial"/>
          <w:kern w:val="2"/>
          <w:sz w:val="24"/>
          <w:szCs w:val="24"/>
          <w:lang w:val="en-US" w:eastAsia="zh-CN" w:bidi="ar-SA"/>
        </w:rPr>
        <w:t>供应商名称：</w:t>
      </w:r>
      <w:r>
        <w:rPr>
          <w:rFonts w:ascii="Arial" w:hAnsi="Arial" w:eastAsia="宋体" w:cs="Arial"/>
          <w:kern w:val="2"/>
          <w:sz w:val="24"/>
          <w:szCs w:val="24"/>
          <w:u w:val="single"/>
          <w:lang w:val="en-US" w:eastAsia="zh-CN" w:bidi="ar-SA"/>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keepNext/>
        <w:keepLines/>
        <w:widowControl w:val="0"/>
        <w:numPr>
          <w:ilvl w:val="0"/>
          <w:numId w:val="0"/>
        </w:numPr>
        <w:spacing w:before="260" w:after="260" w:line="240" w:lineRule="auto"/>
        <w:jc w:val="both"/>
        <w:outlineLvl w:val="1"/>
        <w:rPr>
          <w:rFonts w:ascii="Calibri Light" w:hAnsi="Calibri Light" w:eastAsia="宋体" w:cs="Times New Roman"/>
          <w:b/>
          <w:bCs/>
          <w:kern w:val="0"/>
          <w:sz w:val="24"/>
          <w:szCs w:val="24"/>
          <w:lang w:val="en-US" w:eastAsia="zh-CN" w:bidi="ar-SA"/>
        </w:rPr>
      </w:pPr>
      <w:r>
        <w:rPr>
          <w:rFonts w:hint="eastAsia" w:ascii="Calibri Light" w:hAnsi="Calibri Light" w:eastAsia="宋体" w:cs="Times New Roman"/>
          <w:b/>
          <w:bCs/>
          <w:kern w:val="2"/>
          <w:sz w:val="24"/>
          <w:szCs w:val="24"/>
          <w:lang w:val="en-US" w:eastAsia="zh-CN" w:bidi="ar-SA"/>
        </w:rPr>
        <w:t>附件3.7与本次采购有关的其他资质证明文件</w:t>
      </w:r>
      <w:r>
        <w:rPr>
          <w:rFonts w:hint="eastAsia" w:ascii="Calibri Light" w:hAnsi="Calibri Light" w:eastAsia="宋体" w:cs="Times New Roman"/>
          <w:b/>
          <w:bCs/>
          <w:kern w:val="0"/>
          <w:sz w:val="24"/>
          <w:szCs w:val="24"/>
          <w:lang w:val="en-US" w:eastAsia="zh-CN" w:bidi="ar-SA"/>
        </w:rPr>
        <w:br w:type="page"/>
      </w:r>
    </w:p>
    <w:p>
      <w:pPr>
        <w:keepNext/>
        <w:widowControl/>
        <w:numPr>
          <w:ilvl w:val="0"/>
          <w:numId w:val="0"/>
        </w:numPr>
        <w:adjustRightInd w:val="0"/>
        <w:snapToGrid w:val="0"/>
        <w:spacing w:line="360" w:lineRule="auto"/>
        <w:ind w:left="432" w:hanging="432"/>
        <w:jc w:val="center"/>
        <w:outlineLvl w:val="0"/>
        <w:rPr>
          <w:rFonts w:ascii="宋体" w:hAnsi="宋体" w:eastAsia="宋体" w:cs="宋体"/>
          <w:b/>
          <w:bCs/>
          <w:kern w:val="36"/>
          <w:sz w:val="30"/>
          <w:szCs w:val="30"/>
          <w:lang w:val="en-US" w:eastAsia="zh-CN" w:bidi="ar-SA"/>
        </w:rPr>
      </w:pPr>
      <w:r>
        <w:rPr>
          <w:rFonts w:hint="eastAsia" w:ascii="宋体" w:hAnsi="宋体" w:eastAsia="宋体" w:cs="宋体"/>
          <w:b/>
          <w:bCs/>
          <w:kern w:val="36"/>
          <w:sz w:val="30"/>
          <w:szCs w:val="30"/>
          <w:lang w:val="en-US" w:eastAsia="zh-CN" w:bidi="ar-SA"/>
        </w:rPr>
        <w:t>第四章  项目采购需求</w:t>
      </w:r>
      <w:bookmarkStart w:id="11" w:name="_Toc125183171"/>
      <w:bookmarkEnd w:id="11"/>
      <w:bookmarkStart w:id="12" w:name="_Toc190852156"/>
      <w:bookmarkEnd w:id="12"/>
      <w:bookmarkStart w:id="13" w:name="_Toc137965307"/>
      <w:bookmarkEnd w:id="13"/>
      <w:r>
        <w:rPr>
          <w:rFonts w:hint="eastAsia" w:ascii="宋体" w:hAnsi="宋体" w:eastAsia="宋体" w:cs="宋体"/>
          <w:b/>
          <w:bCs/>
          <w:kern w:val="36"/>
          <w:sz w:val="30"/>
          <w:szCs w:val="30"/>
          <w:lang w:val="en-US" w:eastAsia="zh-CN" w:bidi="ar-SA"/>
        </w:rPr>
        <w:t>及服务要求</w:t>
      </w:r>
    </w:p>
    <w:p>
      <w:pPr>
        <w:widowControl w:val="0"/>
        <w:spacing w:line="360" w:lineRule="auto"/>
        <w:ind w:left="0" w:leftChars="0" w:firstLine="0" w:firstLineChars="0"/>
        <w:jc w:val="left"/>
        <w:rPr>
          <w:rFonts w:hint="eastAsia" w:ascii="宋体" w:hAnsi="宋体" w:eastAsia="宋体" w:cs="宋体"/>
          <w:kern w:val="0"/>
          <w:sz w:val="24"/>
          <w:szCs w:val="24"/>
        </w:rPr>
      </w:pPr>
      <w:r>
        <w:rPr>
          <w:rFonts w:hint="eastAsia" w:ascii="宋体" w:hAnsi="宋体" w:eastAsia="宋体" w:cs="宋体"/>
          <w:b/>
          <w:bCs/>
          <w:kern w:val="2"/>
          <w:sz w:val="24"/>
          <w:szCs w:val="24"/>
          <w:lang w:val="en-US" w:eastAsia="zh-CN" w:bidi="ar-SA"/>
        </w:rPr>
        <w:t>附件4.</w:t>
      </w:r>
      <w:bookmarkStart w:id="14" w:name="_Toc169079576"/>
      <w:bookmarkStart w:id="15" w:name="_Toc104714603"/>
      <w:r>
        <w:rPr>
          <w:rFonts w:hint="eastAsia" w:ascii="宋体" w:hAnsi="宋体" w:eastAsia="宋体" w:cs="宋体"/>
          <w:b/>
          <w:bCs/>
          <w:kern w:val="2"/>
          <w:sz w:val="24"/>
          <w:szCs w:val="24"/>
          <w:lang w:val="en-US" w:eastAsia="zh-CN" w:bidi="ar-SA"/>
        </w:rPr>
        <w:t>1 合同条款</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1"/>
          <w:szCs w:val="21"/>
        </w:rPr>
      </w:pPr>
      <w:r>
        <w:rPr>
          <w:rFonts w:hint="eastAsia" w:ascii="宋体" w:hAnsi="宋体" w:eastAsia="宋体" w:cs="宋体"/>
          <w:b/>
          <w:bCs/>
          <w:kern w:val="0"/>
          <w:sz w:val="21"/>
          <w:szCs w:val="21"/>
        </w:rPr>
        <w:t>商务部分</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第一条 </w:t>
      </w:r>
      <w:r>
        <w:rPr>
          <w:rFonts w:hint="eastAsia" w:ascii="宋体" w:hAnsi="宋体" w:eastAsia="宋体" w:cs="宋体"/>
          <w:b/>
          <w:bCs/>
          <w:kern w:val="0"/>
          <w:sz w:val="21"/>
          <w:szCs w:val="21"/>
        </w:rPr>
        <w:t>项目内容及要求</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本合同项下甲乙双方约定的项目内容及要求见本合同【附件】。</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甲乙双方同意涉及本合同的一切事宜均应以书面形式提交，双方应及时响应。</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为使系统能够高效、可靠地运行，乙方应保证在系统开发、实施及后续服务阶段向甲方进行技术转移。技术转移必须有完整的文档说明（包括但不限于总体设计、详细设计、配置说明、测试说明、系统使用说明等项目管理各个阶段的全部文档）。</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（1）本项目期限内，乙方除提供系统的可执行版本外，还需在每次版本更新或客户化后适时更新并提供给甲方;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（2）部署到测试环境和生产环境的软件可执行版本必须根据源代码生成，以保持源代码和执行代码的一致性;</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（3）乙方应当提供业务数据模型说明及数据库结构表，便于甲方进行系统维护;</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（4）乙方提供的各种文档应与其提供的系统功能相一致，技术文档应该全面、详细、准确;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（5）乙方应提供项目实施总结文档，对项目实施过程中的主要技术问题给出详细解答;</w:t>
      </w:r>
      <w:r>
        <w:rPr>
          <w:rFonts w:hint="eastAsia" w:ascii="宋体" w:hAnsi="宋体" w:eastAsia="宋体" w:cs="宋体"/>
          <w:kern w:val="0"/>
          <w:sz w:val="21"/>
          <w:szCs w:val="21"/>
        </w:rPr>
        <w:br w:type="textWrapping"/>
      </w:r>
      <w:r>
        <w:rPr>
          <w:rFonts w:hint="eastAsia" w:ascii="宋体" w:hAnsi="宋体" w:eastAsia="宋体" w:cs="宋体"/>
          <w:kern w:val="0"/>
          <w:sz w:val="21"/>
          <w:szCs w:val="21"/>
        </w:rPr>
        <w:t>（6）乙方提供的文档应能够满足甲方对乙方所提供系统的安装、使用、维护的需要，乙方提供的技术文档包括但不限于：</w:t>
      </w:r>
      <w:r>
        <w:rPr>
          <w:rFonts w:hint="eastAsia" w:ascii="宋体" w:hAnsi="宋体" w:eastAsia="宋体" w:cs="宋体"/>
          <w:kern w:val="0"/>
          <w:sz w:val="21"/>
          <w:szCs w:val="21"/>
        </w:rPr>
        <w:br w:type="textWrapping"/>
      </w:r>
      <w:r>
        <w:rPr>
          <w:rFonts w:hint="eastAsia" w:ascii="宋体" w:hAnsi="宋体" w:eastAsia="宋体" w:cs="宋体"/>
          <w:kern w:val="0"/>
          <w:sz w:val="21"/>
          <w:szCs w:val="21"/>
        </w:rPr>
        <w:t>（A）技术手册；</w:t>
      </w:r>
      <w:r>
        <w:rPr>
          <w:rFonts w:hint="eastAsia" w:ascii="宋体" w:hAnsi="宋体" w:eastAsia="宋体" w:cs="宋体"/>
          <w:kern w:val="0"/>
          <w:sz w:val="21"/>
          <w:szCs w:val="21"/>
        </w:rPr>
        <w:br w:type="textWrapping"/>
      </w:r>
      <w:r>
        <w:rPr>
          <w:rFonts w:hint="eastAsia" w:ascii="宋体" w:hAnsi="宋体" w:eastAsia="宋体" w:cs="宋体"/>
          <w:kern w:val="0"/>
          <w:sz w:val="21"/>
          <w:szCs w:val="21"/>
        </w:rPr>
        <w:t>（B）用户操作手册；</w:t>
      </w:r>
      <w:r>
        <w:rPr>
          <w:rFonts w:hint="eastAsia" w:ascii="宋体" w:hAnsi="宋体" w:eastAsia="宋体" w:cs="宋体"/>
          <w:kern w:val="0"/>
          <w:sz w:val="21"/>
          <w:szCs w:val="21"/>
        </w:rPr>
        <w:br w:type="textWrapping"/>
      </w:r>
      <w:r>
        <w:rPr>
          <w:rFonts w:hint="eastAsia" w:ascii="宋体" w:hAnsi="宋体" w:eastAsia="宋体" w:cs="宋体"/>
          <w:kern w:val="0"/>
          <w:sz w:val="21"/>
          <w:szCs w:val="21"/>
        </w:rPr>
        <w:t>（C）系统配置及发布手册；</w:t>
      </w:r>
      <w:r>
        <w:rPr>
          <w:rFonts w:hint="eastAsia" w:ascii="宋体" w:hAnsi="宋体" w:eastAsia="宋体" w:cs="宋体"/>
          <w:kern w:val="0"/>
          <w:sz w:val="21"/>
          <w:szCs w:val="21"/>
        </w:rPr>
        <w:br w:type="textWrapping"/>
      </w:r>
      <w:r>
        <w:rPr>
          <w:rFonts w:hint="eastAsia" w:ascii="宋体" w:hAnsi="宋体" w:eastAsia="宋体" w:cs="宋体"/>
          <w:kern w:val="0"/>
          <w:sz w:val="21"/>
          <w:szCs w:val="21"/>
        </w:rPr>
        <w:t>（D）培训手册。</w:t>
      </w:r>
      <w:r>
        <w:rPr>
          <w:rFonts w:hint="eastAsia" w:ascii="宋体" w:hAnsi="宋体" w:eastAsia="宋体" w:cs="宋体"/>
          <w:kern w:val="0"/>
          <w:sz w:val="21"/>
          <w:szCs w:val="21"/>
        </w:rPr>
        <w:br w:type="textWrapping"/>
      </w:r>
      <w:r>
        <w:rPr>
          <w:rFonts w:hint="eastAsia" w:ascii="宋体" w:hAnsi="宋体" w:eastAsia="宋体" w:cs="宋体"/>
          <w:kern w:val="0"/>
          <w:sz w:val="21"/>
          <w:szCs w:val="21"/>
        </w:rPr>
        <w:t>（7）乙方在任何时候向甲方提供系统升级和增加客户化功能时，都应提供相应的技术文档;</w:t>
      </w:r>
      <w:r>
        <w:rPr>
          <w:rFonts w:hint="eastAsia" w:ascii="宋体" w:hAnsi="宋体" w:eastAsia="宋体" w:cs="宋体"/>
          <w:kern w:val="0"/>
          <w:sz w:val="21"/>
          <w:szCs w:val="21"/>
        </w:rPr>
        <w:br w:type="textWrapping"/>
      </w:r>
      <w:r>
        <w:rPr>
          <w:rFonts w:hint="eastAsia" w:ascii="宋体" w:hAnsi="宋体" w:eastAsia="宋体" w:cs="宋体"/>
          <w:kern w:val="0"/>
          <w:sz w:val="21"/>
          <w:szCs w:val="21"/>
        </w:rPr>
        <w:t>（8）乙方向甲方提供的所有技术资料应以中文为准;</w:t>
      </w:r>
      <w:r>
        <w:rPr>
          <w:rFonts w:hint="eastAsia" w:ascii="宋体" w:hAnsi="宋体" w:eastAsia="宋体" w:cs="宋体"/>
          <w:kern w:val="0"/>
          <w:sz w:val="21"/>
          <w:szCs w:val="21"/>
        </w:rPr>
        <w:br w:type="textWrapping"/>
      </w:r>
      <w:r>
        <w:rPr>
          <w:rFonts w:hint="eastAsia" w:ascii="宋体" w:hAnsi="宋体" w:eastAsia="宋体" w:cs="宋体"/>
          <w:kern w:val="0"/>
          <w:sz w:val="21"/>
          <w:szCs w:val="21"/>
        </w:rPr>
        <w:t>（9）乙方提供的文档和资料均应以磁介质（或光盘）和纸张为载体，文件格式为Word文档或PDF文档或其他可视化文件;</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（10）乙方提供系统版本及文档的同时，应推荐相应的版本管理工具;</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（11）乙方应就技术转移中涉及知识产权的内容给予说明，并提出相应的方案。</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第二条 </w:t>
      </w:r>
      <w:r>
        <w:rPr>
          <w:rFonts w:hint="eastAsia" w:ascii="宋体" w:hAnsi="宋体" w:eastAsia="宋体" w:cs="宋体"/>
          <w:b/>
          <w:bCs/>
          <w:kern w:val="0"/>
          <w:sz w:val="21"/>
          <w:szCs w:val="21"/>
        </w:rPr>
        <w:t>合同价格</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本合同总价款为_______元（大写：_______）。合同价格明细见【附件】。</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（二） 合同费用为甲方购买乙方提供的本合同项下软件技术开发及约定服务所发生的一切费用，包括但不限于软件开发价款、所涉知识产权费用、运费、服务费用、乙方报酬及乙方应负税金等；除此之外，甲方不再就本合同项下乙方提供的产品及服务另行支付任何其他费用。 </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本合同付款安排见【附件】。</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（五） 如甲方在本合同期满后选择继续购买乙方开发服务，乙方承诺对本合同项下项目的后续三年开发服务，在保证相关技术质量的同时，人月单价标准不超过人民币_______元/人月，具体费用以实际投入人月数为准。</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（六） 由甲方视具体情况组织项目评估，相关评估费用（专家费用、交通住宿费用等）由乙方承担，评估费用不超过人民币_______元。</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第三条 </w:t>
      </w:r>
      <w:r>
        <w:rPr>
          <w:rFonts w:hint="eastAsia" w:ascii="宋体" w:hAnsi="宋体" w:eastAsia="宋体" w:cs="宋体"/>
          <w:b/>
          <w:bCs/>
          <w:kern w:val="0"/>
          <w:sz w:val="21"/>
          <w:szCs w:val="21"/>
        </w:rPr>
        <w:t>双方的权利和义务</w:t>
      </w:r>
      <w:r>
        <w:rPr>
          <w:rFonts w:hint="eastAsia" w:ascii="宋体" w:hAnsi="宋体" w:eastAsia="宋体" w:cs="宋体"/>
          <w:kern w:val="0"/>
          <w:sz w:val="21"/>
          <w:szCs w:val="21"/>
        </w:rPr>
        <w:br w:type="textWrapping"/>
      </w:r>
      <w:r>
        <w:rPr>
          <w:rFonts w:hint="eastAsia" w:ascii="宋体" w:hAnsi="宋体" w:eastAsia="宋体" w:cs="宋体"/>
          <w:kern w:val="0"/>
          <w:sz w:val="21"/>
          <w:szCs w:val="21"/>
          <w:lang w:val="en-US" w:eastAsia="zh-CN"/>
        </w:rPr>
        <w:tab/>
      </w:r>
      <w:r>
        <w:rPr>
          <w:rFonts w:hint="eastAsia" w:ascii="宋体" w:hAnsi="宋体" w:eastAsia="宋体" w:cs="宋体"/>
          <w:kern w:val="0"/>
          <w:sz w:val="21"/>
          <w:szCs w:val="21"/>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第四条 </w:t>
      </w:r>
      <w:r>
        <w:rPr>
          <w:rFonts w:hint="eastAsia" w:ascii="宋体" w:hAnsi="宋体" w:eastAsia="宋体" w:cs="宋体"/>
          <w:b/>
          <w:bCs/>
          <w:kern w:val="0"/>
          <w:sz w:val="21"/>
          <w:szCs w:val="21"/>
        </w:rPr>
        <w:t>保修维护服务</w:t>
      </w:r>
      <w:r>
        <w:rPr>
          <w:rFonts w:hint="eastAsia" w:ascii="宋体" w:hAnsi="宋体" w:eastAsia="宋体" w:cs="宋体"/>
          <w:kern w:val="0"/>
          <w:sz w:val="21"/>
          <w:szCs w:val="21"/>
        </w:rPr>
        <w:br w:type="textWrapping"/>
      </w:r>
      <w:r>
        <w:rPr>
          <w:rFonts w:hint="eastAsia" w:ascii="宋体" w:hAnsi="宋体" w:eastAsia="宋体" w:cs="宋体"/>
          <w:kern w:val="0"/>
          <w:sz w:val="21"/>
          <w:szCs w:val="21"/>
          <w:lang w:val="en-US" w:eastAsia="zh-CN"/>
        </w:rPr>
        <w:tab/>
      </w:r>
      <w:r>
        <w:rPr>
          <w:rFonts w:hint="eastAsia" w:ascii="宋体" w:hAnsi="宋体" w:eastAsia="宋体" w:cs="宋体"/>
          <w:kern w:val="0"/>
          <w:sz w:val="21"/>
          <w:szCs w:val="21"/>
        </w:rPr>
        <w:t>保修期内乙方对甲方提供技术支持和保修维护服务，具体内容及方式见【附件】，甲方不再就此支付任何费用。</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第五条 </w:t>
      </w:r>
      <w:r>
        <w:rPr>
          <w:rFonts w:hint="eastAsia" w:ascii="宋体" w:hAnsi="宋体" w:eastAsia="宋体" w:cs="宋体"/>
          <w:b/>
          <w:bCs/>
          <w:kern w:val="0"/>
          <w:sz w:val="21"/>
          <w:szCs w:val="21"/>
        </w:rPr>
        <w:t>违约责任</w:t>
      </w:r>
      <w:r>
        <w:rPr>
          <w:rFonts w:hint="eastAsia" w:ascii="宋体" w:hAnsi="宋体" w:eastAsia="宋体" w:cs="宋体"/>
          <w:kern w:val="0"/>
          <w:sz w:val="21"/>
          <w:szCs w:val="21"/>
        </w:rPr>
        <w:br w:type="textWrapping"/>
      </w:r>
      <w:r>
        <w:rPr>
          <w:rFonts w:hint="eastAsia" w:ascii="宋体" w:hAnsi="宋体" w:eastAsia="宋体" w:cs="宋体"/>
          <w:kern w:val="0"/>
          <w:sz w:val="21"/>
          <w:szCs w:val="21"/>
          <w:lang w:val="en-US" w:eastAsia="zh-CN"/>
        </w:rPr>
        <w:tab/>
      </w:r>
      <w:r>
        <w:rPr>
          <w:rFonts w:hint="eastAsia" w:ascii="宋体" w:hAnsi="宋体" w:eastAsia="宋体" w:cs="宋体"/>
          <w:kern w:val="0"/>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第六条 </w:t>
      </w:r>
      <w:r>
        <w:rPr>
          <w:rFonts w:hint="eastAsia" w:ascii="宋体" w:hAnsi="宋体" w:eastAsia="宋体" w:cs="宋体"/>
          <w:b/>
          <w:bCs/>
          <w:kern w:val="0"/>
          <w:sz w:val="21"/>
          <w:szCs w:val="21"/>
        </w:rPr>
        <w:t>交付和验收</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（1）根据甲方相关规定，甲、乙双方联合组成一个统一的验收小组对项目进行验收，并形成验收报告；验收不合格的，甲方应提出书面异议。如甲乙双方对验收有不同意见的，以甲方意见为准。</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（2）乙方根据合同约定，在项目全部完成后，向甲方提出项目初步验收的书面申请和验收方案，经甲方确定后进行验收，验收后出具《初步验收报告》。</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（3）项目初步验收即日起进入试运行期，试运行期为_______个月。试运行期间，乙方应继续免费修改设计或编程方面的错误和其他方面的技术错误，并根据甲方要求对项目进行修改完善。</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（4）试运行后由甲方出具《正式验收报告》，正式验收后进入维护期。</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如果正式验收不合格，双方商定重新确定正式验收的时间，在重新验收前乙方负责继续免费对项目进行修改和完善，并在双方商定的期限内达到验收标准，其验收过程和方式不变。由此导致延误项目进度的，费用和责任由乙方承担。</w:t>
      </w:r>
      <w:r>
        <w:rPr>
          <w:rFonts w:hint="eastAsia" w:ascii="宋体" w:hAnsi="宋体" w:eastAsia="宋体" w:cs="宋体"/>
          <w:kern w:val="0"/>
          <w:sz w:val="21"/>
          <w:szCs w:val="21"/>
        </w:rPr>
        <w:br w:type="textWrapping"/>
      </w:r>
      <w:r>
        <w:rPr>
          <w:rFonts w:hint="eastAsia" w:ascii="宋体" w:hAnsi="宋体" w:eastAsia="宋体" w:cs="宋体"/>
          <w:kern w:val="0"/>
          <w:sz w:val="21"/>
          <w:szCs w:val="21"/>
        </w:rPr>
        <w:t>（6）在乙方正式向甲方发出验收通知后_______个工作日内，甲方应该予以验收。如甲方因故不能验收的，应以书面形式通知乙方。双方另行约定时间进行验收。</w:t>
      </w:r>
      <w:r>
        <w:rPr>
          <w:rFonts w:hint="eastAsia" w:ascii="宋体" w:hAnsi="宋体" w:eastAsia="宋体" w:cs="宋体"/>
          <w:kern w:val="0"/>
          <w:sz w:val="21"/>
          <w:szCs w:val="21"/>
        </w:rPr>
        <w:br w:type="textWrapping"/>
      </w:r>
      <w:r>
        <w:rPr>
          <w:rFonts w:hint="eastAsia" w:ascii="宋体" w:hAnsi="宋体" w:eastAsia="宋体" w:cs="宋体"/>
          <w:kern w:val="0"/>
          <w:sz w:val="21"/>
          <w:szCs w:val="21"/>
        </w:rPr>
        <w:t>（7）项目验收过程中，系统源代码存在高风险漏洞，或中风险漏洞个数大于5个/万行代码，视为项目验收不合格。</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1"/>
          <w:szCs w:val="21"/>
        </w:rPr>
      </w:pPr>
      <w:r>
        <w:rPr>
          <w:rFonts w:hint="eastAsia" w:ascii="宋体" w:hAnsi="宋体" w:eastAsia="宋体" w:cs="宋体"/>
          <w:b/>
          <w:bCs/>
          <w:kern w:val="0"/>
          <w:sz w:val="21"/>
          <w:szCs w:val="21"/>
        </w:rPr>
        <w:t>通用部分</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第七条 </w:t>
      </w:r>
      <w:r>
        <w:rPr>
          <w:rFonts w:hint="eastAsia" w:ascii="宋体" w:hAnsi="宋体" w:eastAsia="宋体" w:cs="宋体"/>
          <w:b/>
          <w:bCs/>
          <w:kern w:val="0"/>
          <w:sz w:val="21"/>
          <w:szCs w:val="21"/>
        </w:rPr>
        <w:t>双方的权利和义务</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甲方的权利和义务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（1）甲方应成立专门的工作小组，在相关规则制度的要求下组织领导系统开发服务的整个过程；</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（2）甲方负责内部的协调工作，准备软件运行的环境，确定专门的配合人员；</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（3）甲方应提供与本系统开发有关的业务需求报告，并组织研讨确定本项目所包含系统的规格定义及有关重大事项；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（4）甲方对乙方针对“项目”所作的总体设计、详细设计进行验收确认，并有权提出修改意见，乙方应按照甲方签字确认的意见进行修改；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（5）甲方有权对乙方的开发、编码、测试、部署、维护工作进行监督，并提出相关改正建议；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（6）甲方负责在维护期中系统的运行；</w:t>
      </w:r>
      <w:r>
        <w:rPr>
          <w:rFonts w:hint="eastAsia" w:ascii="宋体" w:hAnsi="宋体" w:eastAsia="宋体" w:cs="宋体"/>
          <w:kern w:val="0"/>
          <w:sz w:val="21"/>
          <w:szCs w:val="21"/>
        </w:rPr>
        <w:br w:type="textWrapping"/>
      </w:r>
      <w:r>
        <w:rPr>
          <w:rFonts w:hint="eastAsia" w:ascii="宋体" w:hAnsi="宋体" w:eastAsia="宋体" w:cs="宋体"/>
          <w:kern w:val="0"/>
          <w:sz w:val="21"/>
          <w:szCs w:val="21"/>
        </w:rPr>
        <w:t>（7）甲方负责在维护期中协调系统适应性修改的内容与要求，通告乙方进行系统的适应性修改并验收；</w:t>
      </w:r>
      <w:r>
        <w:rPr>
          <w:rFonts w:hint="eastAsia" w:ascii="宋体" w:hAnsi="宋体" w:eastAsia="宋体" w:cs="宋体"/>
          <w:kern w:val="0"/>
          <w:sz w:val="21"/>
          <w:szCs w:val="21"/>
        </w:rPr>
        <w:br w:type="textWrapping"/>
      </w:r>
      <w:r>
        <w:rPr>
          <w:rFonts w:hint="eastAsia" w:ascii="宋体" w:hAnsi="宋体" w:eastAsia="宋体" w:cs="宋体"/>
          <w:kern w:val="0"/>
          <w:sz w:val="21"/>
          <w:szCs w:val="21"/>
        </w:rPr>
        <w:t>（8）甲方负责协调系统故障中涉及第三方的问题（硬件及系统软件方面）；</w:t>
      </w:r>
      <w:r>
        <w:rPr>
          <w:rFonts w:hint="eastAsia" w:ascii="宋体" w:hAnsi="宋体" w:eastAsia="宋体" w:cs="宋体"/>
          <w:kern w:val="0"/>
          <w:sz w:val="21"/>
          <w:szCs w:val="21"/>
        </w:rPr>
        <w:br w:type="textWrapping"/>
      </w:r>
      <w:r>
        <w:rPr>
          <w:rFonts w:hint="eastAsia" w:ascii="宋体" w:hAnsi="宋体" w:eastAsia="宋体" w:cs="宋体"/>
          <w:kern w:val="0"/>
          <w:sz w:val="21"/>
          <w:szCs w:val="21"/>
        </w:rPr>
        <w:t>（9）甲方对乙方项目组成员工作进行考评，有权给出奖惩建议；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（10）在项目实施过程中，如因乙方原因造成项目出现异常且在规定时间内乙方未改变问题项目现状，导致给甲方带来损失的，甲方有权终止该项目并拒绝支付剩余款项，并保留追偿损失的权利；</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（11）甲方项目管理部门在项目正式验收后采用客户满意度调查表的方式向甲方（总公司及各分支机构）对乙方的服务质量进行调查，并根据调查结果确定对乙方的末期付款金额；</w:t>
      </w:r>
      <w:r>
        <w:rPr>
          <w:rFonts w:hint="eastAsia" w:ascii="宋体" w:hAnsi="宋体" w:eastAsia="宋体" w:cs="宋体"/>
          <w:kern w:val="0"/>
          <w:sz w:val="21"/>
          <w:szCs w:val="21"/>
        </w:rPr>
        <w:br w:type="textWrapping"/>
      </w:r>
      <w:r>
        <w:rPr>
          <w:rFonts w:hint="eastAsia" w:ascii="宋体" w:hAnsi="宋体" w:eastAsia="宋体" w:cs="宋体"/>
          <w:kern w:val="0"/>
          <w:sz w:val="21"/>
          <w:szCs w:val="21"/>
        </w:rPr>
        <w:t xml:space="preserve">（12）甲方享有其它双方约定的权利、承担其它双方约定的义务。 </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乙方的权利和义务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乙方完成本合同所定义的“项目”的组织管理、需求分析、总体设计、详细设计、开发、编码、测试、部署、推广运行及维护支持工作。负责需求的分析和文档化，划分阶段开发任务，确定阶段性开发进度；进行需求分析和系统设计工作；对开发任务进行细化，有效安排开发资源，制定详细的开发任务计划。对项目开发、编码、测试、部署、推广及维护支持工作负责；对产品开发质量负责；</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（2）乙方向甲方免费提供符合本合同所定义的“项目”的源代码和可执行代码；</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（3）乙方向甲方免费提供符合本合同所定义的“项目”的需求说明书、总体设计及详细设计说明书、测试报告、试运行报告、变更轨迹记录、交接联系单、用户手册、系统管理员手册；</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（4）乙方负责系统运行环境技术标准的制订；</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（5）乙方负责系统的故障诊断与排除；</w:t>
      </w:r>
      <w:r>
        <w:rPr>
          <w:rFonts w:hint="eastAsia" w:ascii="宋体" w:hAnsi="宋体" w:eastAsia="宋体" w:cs="宋体"/>
          <w:kern w:val="0"/>
          <w:sz w:val="21"/>
          <w:szCs w:val="21"/>
        </w:rPr>
        <w:br w:type="textWrapping"/>
      </w:r>
      <w:r>
        <w:rPr>
          <w:rFonts w:hint="eastAsia" w:ascii="宋体" w:hAnsi="宋体" w:eastAsia="宋体" w:cs="宋体"/>
          <w:kern w:val="0"/>
          <w:sz w:val="21"/>
          <w:szCs w:val="21"/>
        </w:rPr>
        <w:t>（6）乙方免费提供与系统有关的技术咨询服务；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（7）对于除附件约定的后续需求开发以外的项目开发，如新增功能模块等，不包含在本合同中，由此所产生的费用未计入本合同,此费用需经双方友好协商另行签订书面补充合同或协议；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（8）系统免费维护期仅限于系统问题的调整（功能性的升级除外）；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9）为履行本合同组成专门的项目组，且项目组全部成员均应经甲方认可。如乙方技术人员到甲方指定的地点办公，应服从甲方统一合理管理，乙方应保证其指派的所有技术人员严格遵守国家法律、法规、规章的规定以及甲方规章制度和纪律；</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（10）乙方应保证项目组全部人员的稳定性，包括研发、实施及维护团队，如因乙方人员流失导致项目出现重大问题，甲方有终止合同并按实施进度扣除合同款项的权利；</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（11）乙方应保证项目组的核心人员不得离开本合同下的项目，如核心人员从乙方离职并离开项目组，则乙方应保证离岗率不得高于_______%，否则乙方应对由此造成的项目延误及其它后果承担全部法律责任；</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（12）乙方未按要求如期完成项目，须承担违约责任。如工程进度延期，应制作书面的延期确认书，由双方代表签名确认。双方签署延期确认书，不代表甲方认可乙方的延期行为，乙方仍应对延期承担违约责任；</w:t>
      </w:r>
      <w:r>
        <w:rPr>
          <w:rFonts w:hint="eastAsia" w:ascii="宋体" w:hAnsi="宋体" w:eastAsia="宋体" w:cs="宋体"/>
          <w:kern w:val="0"/>
          <w:sz w:val="21"/>
          <w:szCs w:val="21"/>
        </w:rPr>
        <w:br w:type="textWrapping"/>
      </w:r>
      <w:r>
        <w:rPr>
          <w:rFonts w:hint="eastAsia" w:ascii="宋体" w:hAnsi="宋体" w:eastAsia="宋体" w:cs="宋体"/>
          <w:kern w:val="0"/>
          <w:sz w:val="21"/>
          <w:szCs w:val="21"/>
        </w:rPr>
        <w:t xml:space="preserve">（13）乙方享有其它双方约定的权利、承担其它双方约定的义务。 </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kern w:val="0"/>
          <w:sz w:val="21"/>
          <w:szCs w:val="21"/>
        </w:rPr>
        <w:t>第八条 数据安全</w:t>
      </w:r>
      <w:r>
        <w:rPr>
          <w:rFonts w:hint="eastAsia" w:ascii="宋体" w:hAnsi="宋体" w:eastAsia="宋体" w:cs="宋体"/>
          <w:kern w:val="0"/>
          <w:sz w:val="21"/>
          <w:szCs w:val="21"/>
        </w:rPr>
        <w:br w:type="textWrapping"/>
      </w:r>
      <w:r>
        <w:rPr>
          <w:rFonts w:hint="eastAsia" w:ascii="宋体" w:hAnsi="宋体" w:eastAsia="宋体" w:cs="宋体"/>
          <w:b/>
          <w:bCs/>
          <w:kern w:val="0"/>
          <w:sz w:val="21"/>
          <w:szCs w:val="21"/>
        </w:rPr>
        <w:t>数据安全（接收外部数据和对外传输数据）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1.乙方应妥善留存信息主体的授权文件，甲方如须对乙方的授权文件进行抽查、核查、备份时，乙方应予配合。</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3.乙方需取得信息主体在充分知情的前提下自愿、明确作出的合法有效授权。乙方与信息主体因授权、使用信息等问题引起的争议与甲方无关。</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（二）涉及非个人信息的，乙方承诺其提供数据来源的合法合规性；且不涉及第三方商业秘密且已获得数据所有权、使用权人的合法授权。</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（四）双方数据处理活动的地域限于中国境内（为本合同履行之目的，不包含香港、澳门、台湾地区），不得将数据传输至境外。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（五）乙方应当按照合同约定使用数据，遵循最小化原则。乙方应保证数据及信息的处理(包括收集、存储、使用、加工、传输、提供、公开、删除等)的安全，防止数据及信息被篡改或丢失、泄漏。</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（六）乙方应保证数据使用不以垄断经营和不正当竞争为目的，不发生误导、欺诈、胁迫或者干扰等限制个人或者组织正当选择与决策的行为，遵循社会公德伦理。</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（八）数据及信息的保存期限应符合实现本协议业务处理目的所必要的最短时间。乙方应在合作期满或终止后，及时删除各种介质上所存储的甲方提供的数据及信息。</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（十）若需开展数据测试，乙方的测试环境应与生产系统隔离，未经脱敏处理不得进入测试环境。</w:t>
      </w:r>
      <w:r>
        <w:rPr>
          <w:rFonts w:hint="eastAsia" w:ascii="宋体" w:hAnsi="宋体" w:eastAsia="宋体" w:cs="宋体"/>
          <w:kern w:val="0"/>
          <w:sz w:val="21"/>
          <w:szCs w:val="21"/>
        </w:rPr>
        <w:br w:type="textWrapping"/>
      </w:r>
      <w:r>
        <w:rPr>
          <w:rFonts w:hint="eastAsia" w:ascii="宋体" w:hAnsi="宋体" w:eastAsia="宋体" w:cs="宋体"/>
          <w:b/>
          <w:bCs/>
          <w:kern w:val="0"/>
          <w:sz w:val="21"/>
          <w:szCs w:val="21"/>
        </w:rPr>
        <w:t>数据安全（接收外部数据）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1.乙方应妥善留存信息主体的授权文件，甲方如须对乙方的授权文件进行抽查、核查、备份时，乙方应予配合。</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3.乙方需取得信息主体在充分知情的前提下自愿、明确作出的合法有效授权。乙方与信息主体因授权、使用信息等问题引起的争议与甲方无关。</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（二）涉及非个人信息的，乙方承诺其提供数据来源的合法合规性；且不涉及第三方商业秘密且已获得数据所有权、使用权人的合法授权。</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（四）双方数据处理活动的地域限于中国境内（为本合同履行之目的，不包含香港、澳门、台湾地区），不得将数据传输至境外。</w:t>
      </w:r>
      <w:r>
        <w:rPr>
          <w:rFonts w:hint="eastAsia" w:ascii="宋体" w:hAnsi="宋体" w:eastAsia="宋体" w:cs="宋体"/>
          <w:kern w:val="0"/>
          <w:sz w:val="21"/>
          <w:szCs w:val="21"/>
        </w:rPr>
        <w:br w:type="textWrapping"/>
      </w:r>
      <w:r>
        <w:rPr>
          <w:rFonts w:hint="eastAsia" w:ascii="宋体" w:hAnsi="宋体" w:eastAsia="宋体" w:cs="宋体"/>
          <w:b/>
          <w:bCs/>
          <w:kern w:val="0"/>
          <w:sz w:val="21"/>
          <w:szCs w:val="21"/>
        </w:rPr>
        <w:t>数据安全（对外传输数据）</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（一）乙方应当按照合同约定使用数据，遵循最小化原则。乙方应保证数据及信息的处理(包括收集、存储、使用、加工、传输、提供、公开、删除等)的安全，防止数据及信息被篡改或丢失、泄漏。</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（二）乙方应保证数据使用不以垄断经营和不正当竞争为目的，不发生误导、欺诈、胁迫或者干扰等限制个人或者组织正当选择与决策的行为，遵循社会公德伦理。</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（四）数据及信息的保存期限应符合实现本协议业务处理目的所必要的最短时间。乙方应在合作期满或终止后，及时删除各种介质上所存储的甲方提供的数据及信息。</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（六）若需开展数据测试，乙方的测试环境应与生产系统隔离，未经脱敏处理不得进入测试环境。</w:t>
      </w:r>
    </w:p>
    <w:p>
      <w:pPr>
        <w:keepNext w:val="0"/>
        <w:keepLines w:val="0"/>
        <w:widowControl/>
        <w:numPr>
          <w:ilvl w:val="0"/>
          <w:numId w:val="3"/>
        </w:numPr>
        <w:suppressLineNumbers w:val="0"/>
        <w:spacing w:before="0" w:beforeAutospacing="1" w:after="0" w:afterAutospacing="1" w:line="600" w:lineRule="exact"/>
        <w:ind w:left="0" w:right="0" w:firstLine="525"/>
        <w:jc w:val="left"/>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禁止转让</w:t>
      </w:r>
    </w:p>
    <w:p>
      <w:pPr>
        <w:keepNext w:val="0"/>
        <w:keepLines w:val="0"/>
        <w:widowControl/>
        <w:numPr>
          <w:ilvl w:val="0"/>
          <w:numId w:val="0"/>
        </w:numPr>
        <w:suppressLineNumbers w:val="0"/>
        <w:spacing w:before="0" w:beforeAutospacing="1" w:after="0" w:afterAutospacing="1" w:line="600" w:lineRule="exact"/>
        <w:ind w:right="0" w:rightChars="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第十条 商标使用</w:t>
      </w:r>
      <w:r>
        <w:rPr>
          <w:rFonts w:hint="eastAsia" w:ascii="宋体" w:hAnsi="宋体" w:eastAsia="宋体" w:cs="宋体"/>
          <w:kern w:val="0"/>
          <w:sz w:val="21"/>
          <w:szCs w:val="21"/>
        </w:rPr>
        <w:br w:type="textWrapping"/>
      </w:r>
      <w:r>
        <w:rPr>
          <w:rFonts w:hint="eastAsia" w:ascii="宋体" w:hAnsi="宋体" w:eastAsia="宋体" w:cs="宋体"/>
          <w:kern w:val="0"/>
          <w:sz w:val="21"/>
          <w:szCs w:val="21"/>
          <w:lang w:val="en-US" w:eastAsia="zh-CN"/>
        </w:rPr>
        <w:tab/>
      </w:r>
      <w:r>
        <w:rPr>
          <w:rFonts w:hint="eastAsia" w:ascii="宋体" w:hAnsi="宋体" w:eastAsia="宋体" w:cs="宋体"/>
          <w:kern w:val="0"/>
          <w:sz w:val="21"/>
          <w:szCs w:val="21"/>
        </w:rPr>
        <w:t>未经甲方书面许可，乙方不得将甲方的商标、公司名称、标识等用于宣传和/或展示。</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第十一条 </w:t>
      </w:r>
      <w:r>
        <w:rPr>
          <w:rFonts w:hint="eastAsia" w:ascii="宋体" w:hAnsi="宋体" w:eastAsia="宋体" w:cs="宋体"/>
          <w:b/>
          <w:bCs/>
          <w:kern w:val="0"/>
          <w:sz w:val="21"/>
          <w:szCs w:val="21"/>
        </w:rPr>
        <w:t>知识产权保障及权利保证</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知识产权保障</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双方确认，本合同项下乙方为履行本合同义务而向甲方提交的项目成果（包括但不限于总体设计、详细设计、源代码、可执行代码、需求说明书、技术文档以及乙方提交给甲方的所有文档、资料等）的全部知识产权归属于甲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不得以任何形式对前述属于甲方知识产权的项目成果主张任何权利，未经甲方事先书面同意，乙方不得将前述属于甲方知识产权的项目成果的全部或部分转让给任何第三方或许可任何第三方使用，也不得进行任何形式的复制、改编、传播等行为，亦不得在为其他第三方提供项目开发时再次使用以及实施任何其他可能对甲方知识产权造成侵害的行为，否则乙方将负责赔偿由此引致的甲方全部实际损失。</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不得以任何形式和名义在中国及其他国家、地区提出对甲方知识产权的注册或登记申请，并不得采用分拆、合并等形式申请著作权登记、企业名称注册、域名注册、商标注册以及进行其他侵害甲方权益的行为，否则乙方将负责赔偿由此引致的甲方全部实际损失。</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（4）乙方发现任何侵害甲方知识产权的行为，应当及时向甲方书面报告。</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第十二条 </w:t>
      </w:r>
      <w:r>
        <w:rPr>
          <w:rFonts w:hint="eastAsia" w:ascii="宋体" w:hAnsi="宋体" w:eastAsia="宋体" w:cs="宋体"/>
          <w:b/>
          <w:bCs/>
          <w:kern w:val="0"/>
          <w:sz w:val="21"/>
          <w:szCs w:val="21"/>
        </w:rPr>
        <w:t>违约责任</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由于甲方不能按合同规定时间付款，每延迟1个工作日，甲方向乙方支付违约金为延期支付金额的_______%。</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由于乙方原因造成项目延迟的，每延迟1个工作日，乙方向甲方支付违约金为费用总额的_______%；如延期超过合同约定的期限10天，甲方有权解除合同，乙方除应全额退还甲方所支付的合同价款外，仍须向甲方支付自违约之日起至归还甲方全部付款期间的违约金。</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乙方瑕疵履行的违约责任</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（1）完全由于乙方原因使软件无法上线，或乙方无正当理由单方面终止协议，乙方除应返还已经收取的合同价款外，还应向甲方支付相当于本合同总价款_______%的违约金，并赔偿由此引起的甲方的直接经济损失。</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未履行合同义务，或履行合同义务不符合合同的要求，甲方有权选择要求乙方继续履行义务，或者解除合同。甲方要求乙方继续履行的，乙方除继续履行合同义务外，还应自违约之日起每日按照本合同总价款的_______%向甲方支付违约金，至乙方实际付清之日为止，本合同另有约定的除外。如甲方选择解除合同，则乙方除返还已经收取的合同价款外，还应向甲方支付相当于本合同总价款_______%的违约金，并赔偿由此引起的甲方的直接经济损失。</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（四） 乙方违反本合同约定的知识产权保障条款的，乙方应向甲方支付相当于本合同总价款_______%的违约金，该违约金不足以弥补甲方损失的，乙方还应赔偿甲方的损失，同时甲方有权选择解除本合同。</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（五）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（六） 若乙方将本合同项目全部或部分工作分包或转包第三方承担，甲方有权单方面解除合同并要求乙方返还甲方已经支付的所有款项，同时乙方同意按合同金额的_______％向甲方支付违约金。</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（七）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第十三条 </w:t>
      </w:r>
      <w:r>
        <w:rPr>
          <w:rFonts w:hint="eastAsia" w:ascii="宋体" w:hAnsi="宋体" w:eastAsia="宋体" w:cs="宋体"/>
          <w:b/>
          <w:bCs/>
          <w:kern w:val="0"/>
          <w:sz w:val="21"/>
          <w:szCs w:val="21"/>
        </w:rPr>
        <w:t>保密义务</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第十四条 </w:t>
      </w:r>
      <w:r>
        <w:rPr>
          <w:rFonts w:hint="eastAsia" w:ascii="宋体" w:hAnsi="宋体" w:eastAsia="宋体" w:cs="宋体"/>
          <w:b/>
          <w:bCs/>
          <w:kern w:val="0"/>
          <w:sz w:val="21"/>
          <w:szCs w:val="21"/>
        </w:rPr>
        <w:t>不可抗力</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第十五条 </w:t>
      </w:r>
      <w:r>
        <w:rPr>
          <w:rFonts w:hint="eastAsia" w:ascii="宋体" w:hAnsi="宋体" w:eastAsia="宋体" w:cs="宋体"/>
          <w:b/>
          <w:bCs/>
          <w:kern w:val="0"/>
          <w:sz w:val="21"/>
          <w:szCs w:val="21"/>
        </w:rPr>
        <w:t>合同变更</w:t>
      </w:r>
      <w:r>
        <w:rPr>
          <w:rFonts w:hint="eastAsia" w:ascii="宋体" w:hAnsi="宋体" w:eastAsia="宋体" w:cs="宋体"/>
          <w:kern w:val="0"/>
          <w:sz w:val="21"/>
          <w:szCs w:val="21"/>
        </w:rPr>
        <w:br w:type="textWrapping"/>
      </w:r>
      <w:r>
        <w:rPr>
          <w:rFonts w:hint="eastAsia" w:ascii="宋体" w:hAnsi="宋体" w:eastAsia="宋体" w:cs="宋体"/>
          <w:kern w:val="0"/>
          <w:sz w:val="21"/>
          <w:szCs w:val="21"/>
          <w:lang w:val="en-US" w:eastAsia="zh-CN"/>
        </w:rPr>
        <w:tab/>
      </w:r>
      <w:r>
        <w:rPr>
          <w:rFonts w:hint="eastAsia" w:ascii="宋体" w:hAnsi="宋体" w:eastAsia="宋体" w:cs="宋体"/>
          <w:kern w:val="0"/>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第十六条 </w:t>
      </w:r>
      <w:r>
        <w:rPr>
          <w:rFonts w:hint="eastAsia" w:ascii="宋体" w:hAnsi="宋体" w:eastAsia="宋体" w:cs="宋体"/>
          <w:b/>
          <w:bCs/>
          <w:kern w:val="0"/>
          <w:sz w:val="21"/>
          <w:szCs w:val="21"/>
        </w:rPr>
        <w:t>合同特别终止</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（1）乙方破产、解散（包括但不限于乙方股东会决议解散、乙方被吊销营业执照、被责令关闭、被撤销、被司法机关裁决解散等情形）；</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第十七条 </w:t>
      </w:r>
      <w:r>
        <w:rPr>
          <w:rFonts w:hint="eastAsia" w:ascii="宋体" w:hAnsi="宋体" w:eastAsia="宋体" w:cs="宋体"/>
          <w:b/>
          <w:bCs/>
          <w:kern w:val="0"/>
          <w:sz w:val="21"/>
          <w:szCs w:val="21"/>
        </w:rPr>
        <w:t>法律适用与争议解决</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第十八条 </w:t>
      </w:r>
      <w:r>
        <w:rPr>
          <w:rFonts w:hint="eastAsia" w:ascii="宋体" w:hAnsi="宋体" w:eastAsia="宋体" w:cs="宋体"/>
          <w:b/>
          <w:bCs/>
          <w:kern w:val="0"/>
          <w:sz w:val="21"/>
          <w:szCs w:val="21"/>
        </w:rPr>
        <w:t>合同生效及其他</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第十九条 </w:t>
      </w:r>
      <w:r>
        <w:rPr>
          <w:rFonts w:hint="eastAsia" w:ascii="宋体" w:hAnsi="宋体" w:eastAsia="宋体" w:cs="宋体"/>
          <w:b/>
          <w:bCs/>
          <w:kern w:val="0"/>
          <w:sz w:val="21"/>
          <w:szCs w:val="21"/>
        </w:rPr>
        <w:t>合同效力</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val="0"/>
          <w:kern w:val="0"/>
          <w:sz w:val="21"/>
          <w:szCs w:val="21"/>
        </w:rPr>
        <w:t xml:space="preserve">第二十条 </w:t>
      </w:r>
      <w:r>
        <w:rPr>
          <w:rFonts w:hint="eastAsia" w:ascii="宋体" w:hAnsi="宋体" w:eastAsia="宋体" w:cs="宋体"/>
          <w:b/>
          <w:bCs/>
          <w:kern w:val="0"/>
          <w:sz w:val="21"/>
          <w:szCs w:val="21"/>
        </w:rPr>
        <w:t>附件的组成</w:t>
      </w:r>
    </w:p>
    <w:p>
      <w:pPr>
        <w:keepNext w:val="0"/>
        <w:keepLines w:val="0"/>
        <w:widowControl/>
        <w:suppressLineNumbers w:val="0"/>
        <w:jc w:val="left"/>
        <w:rPr>
          <w:rFonts w:hint="eastAsia" w:eastAsia="宋体"/>
          <w:lang w:eastAsia="zh-CN"/>
        </w:rPr>
      </w:pPr>
      <w:r>
        <w:rPr>
          <w:rFonts w:hint="eastAsia" w:eastAsia="宋体"/>
          <w:lang w:eastAsia="zh-CN"/>
        </w:rPr>
        <w:object>
          <v:shape id="_x0000_i1025" o:spt="75" type="#_x0000_t75" style="height:296.4pt;width:427.8pt;" o:ole="t" filled="f" o:preferrelative="t" stroked="f" coordsize="21600,21600">
            <v:path/>
            <v:fill on="f" focussize="0,0"/>
            <v:stroke on="f"/>
            <v:imagedata r:id="rId7" o:title=""/>
            <o:lock v:ext="edit" aspectratio="t"/>
            <w10:wrap type="none"/>
            <w10:anchorlock/>
          </v:shape>
          <o:OLEObject Type="Embed" ProgID="Word.Document.12" ShapeID="_x0000_i1025" DrawAspect="Content" ObjectID="_1468075725" r:id="rId6">
            <o:LockedField>false</o:LockedField>
          </o:OLEObject>
        </w:object>
      </w: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pPr>
    </w:p>
    <w:bookmarkEnd w:id="14"/>
    <w:bookmarkEnd w:id="15"/>
    <w:p>
      <w:pPr>
        <w:keepNext/>
        <w:keepLines/>
        <w:widowControl w:val="0"/>
        <w:numPr>
          <w:ilvl w:val="0"/>
          <w:numId w:val="0"/>
        </w:numPr>
        <w:spacing w:before="260" w:after="260" w:line="240"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附件4.2 采购需求及技术服务要求</w:t>
      </w:r>
    </w:p>
    <w:p>
      <w:pPr>
        <w:spacing w:line="360" w:lineRule="auto"/>
        <w:ind w:firstLine="482" w:firstLineChars="200"/>
        <w:rPr>
          <w:rFonts w:hint="default" w:ascii="Arial" w:hAnsi="Arial" w:cs="Arial"/>
          <w:b/>
          <w:bCs/>
          <w:color w:val="000000"/>
          <w:sz w:val="24"/>
          <w:lang w:val="en-US" w:eastAsia="zh-CN"/>
        </w:rPr>
      </w:pPr>
      <w:r>
        <w:rPr>
          <w:rFonts w:hint="eastAsia" w:ascii="Arial" w:hAnsi="Arial" w:cs="Arial"/>
          <w:b/>
          <w:bCs/>
          <w:color w:val="000000"/>
          <w:sz w:val="24"/>
          <w:lang w:val="en-US" w:eastAsia="zh-CN"/>
        </w:rPr>
        <w:t>1.项目基本情况</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t>为全面提升修理厂团队在渠道管理与数据分析方面的能力，进一步推动业务运营的智能化与高效化，增强组织整体竞争力、创新能力与决策水平，本系统基础版本已于2023年下半年顺利上线，初步实现了对修理厂关键运营指标的跟踪监测及定级策略的有效落地。</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t>经过一年多的实际应用，修理厂团队对系统功能提出了更深层次的需求，希望进一步拓展数据的广度与深度，优化增值服务关联策略，并增强与店端之间的任务下达与沟通机制。具体升级方向包括：</w:t>
      </w:r>
    </w:p>
    <w:p>
      <w:pPr>
        <w:spacing w:line="360" w:lineRule="auto"/>
        <w:ind w:firstLine="480" w:firstLineChars="200"/>
        <w:rPr>
          <w:rFonts w:hint="eastAsia" w:ascii="Arial" w:hAnsi="Arial" w:cs="Arial"/>
          <w:color w:val="000000"/>
          <w:sz w:val="24"/>
        </w:rPr>
      </w:pPr>
      <w:r>
        <w:rPr>
          <w:rFonts w:hint="eastAsia" w:ascii="Arial" w:hAnsi="Arial" w:cs="Arial"/>
          <w:color w:val="000000"/>
          <w:sz w:val="24"/>
          <w:lang w:val="en-US" w:eastAsia="zh-CN"/>
        </w:rPr>
        <w:t>1、</w:t>
      </w:r>
      <w:r>
        <w:rPr>
          <w:rFonts w:hint="eastAsia" w:ascii="Arial" w:hAnsi="Arial" w:cs="Arial"/>
          <w:color w:val="000000"/>
          <w:sz w:val="24"/>
        </w:rPr>
        <w:t>深化数据分析维度：增加更多关键业务指标的跟踪与展示，接入商团</w:t>
      </w:r>
      <w:r>
        <w:rPr>
          <w:rFonts w:hint="eastAsia" w:ascii="Arial" w:hAnsi="Arial" w:cs="Arial"/>
          <w:color w:val="000000"/>
          <w:sz w:val="24"/>
          <w:lang w:eastAsia="zh-CN"/>
        </w:rPr>
        <w:t>、</w:t>
      </w:r>
      <w:r>
        <w:rPr>
          <w:rFonts w:hint="eastAsia" w:ascii="Arial" w:hAnsi="Arial" w:cs="Arial"/>
          <w:color w:val="000000"/>
          <w:sz w:val="24"/>
        </w:rPr>
        <w:t>总流送修相关数据，并新增可视化数据看板，辅助决策分析。</w:t>
      </w:r>
    </w:p>
    <w:p>
      <w:pPr>
        <w:spacing w:line="360" w:lineRule="auto"/>
        <w:ind w:firstLine="480" w:firstLineChars="200"/>
        <w:rPr>
          <w:rFonts w:hint="eastAsia" w:ascii="Arial" w:hAnsi="Arial" w:cs="Arial"/>
          <w:color w:val="000000"/>
          <w:sz w:val="24"/>
        </w:rPr>
      </w:pPr>
      <w:r>
        <w:rPr>
          <w:rFonts w:hint="eastAsia" w:ascii="Arial" w:hAnsi="Arial" w:cs="Arial"/>
          <w:color w:val="000000"/>
          <w:sz w:val="24"/>
          <w:lang w:val="en-US" w:eastAsia="zh-CN"/>
        </w:rPr>
        <w:t>2、</w:t>
      </w:r>
      <w:r>
        <w:rPr>
          <w:rFonts w:hint="eastAsia" w:ascii="Arial" w:hAnsi="Arial" w:cs="Arial"/>
          <w:color w:val="000000"/>
          <w:sz w:val="24"/>
        </w:rPr>
        <w:t>优化评级策略与模型：升级评级机制，实现动态评级模式，并与差异化权益匹配。</w:t>
      </w:r>
    </w:p>
    <w:p>
      <w:pPr>
        <w:spacing w:line="360" w:lineRule="auto"/>
        <w:ind w:firstLine="480" w:firstLineChars="200"/>
        <w:rPr>
          <w:rFonts w:hint="eastAsia" w:ascii="Arial" w:hAnsi="Arial" w:cs="Arial"/>
          <w:color w:val="000000"/>
          <w:sz w:val="24"/>
        </w:rPr>
      </w:pPr>
      <w:r>
        <w:rPr>
          <w:rFonts w:hint="eastAsia" w:ascii="Arial" w:hAnsi="Arial" w:cs="Arial"/>
          <w:color w:val="000000"/>
          <w:sz w:val="24"/>
          <w:lang w:val="en-US" w:eastAsia="zh-CN"/>
        </w:rPr>
        <w:t>3、</w:t>
      </w:r>
      <w:r>
        <w:rPr>
          <w:rFonts w:hint="eastAsia" w:ascii="Arial" w:hAnsi="Arial" w:cs="Arial"/>
          <w:color w:val="000000"/>
          <w:sz w:val="24"/>
        </w:rPr>
        <w:t>更新店端展示界面：为修理厂提供集成化数据看板、评级详情展示及店面信息维护查看功能，提升信息透明度与操作便捷性。</w:t>
      </w:r>
    </w:p>
    <w:p>
      <w:pPr>
        <w:spacing w:line="360" w:lineRule="auto"/>
        <w:ind w:firstLine="480" w:firstLineChars="200"/>
        <w:rPr>
          <w:rFonts w:hint="eastAsia" w:ascii="Arial" w:hAnsi="Arial" w:cs="Arial"/>
          <w:color w:val="000000"/>
          <w:sz w:val="24"/>
          <w:lang w:val="en-US" w:eastAsia="zh-CN"/>
        </w:rPr>
      </w:pPr>
      <w:r>
        <w:rPr>
          <w:rFonts w:hint="eastAsia" w:ascii="Arial" w:hAnsi="Arial" w:cs="Arial"/>
          <w:color w:val="000000"/>
          <w:sz w:val="24"/>
          <w:lang w:val="en-US" w:eastAsia="zh-CN"/>
        </w:rPr>
        <w:t>4、</w:t>
      </w:r>
      <w:r>
        <w:rPr>
          <w:rFonts w:hint="eastAsia" w:ascii="Arial" w:hAnsi="Arial" w:cs="Arial"/>
          <w:color w:val="000000"/>
          <w:sz w:val="24"/>
        </w:rPr>
        <w:t>完善增值服务审批流程：支持修理厂在线提交增值服务合作调整申请，并配置灵活的多级审批流程，提升处理效率。</w:t>
      </w:r>
    </w:p>
    <w:p>
      <w:pPr>
        <w:spacing w:line="360" w:lineRule="auto"/>
        <w:ind w:firstLine="480" w:firstLineChars="200"/>
        <w:rPr>
          <w:rFonts w:hint="eastAsia" w:ascii="Arial" w:hAnsi="Arial" w:cs="Arial"/>
          <w:color w:val="000000"/>
          <w:sz w:val="24"/>
        </w:rPr>
      </w:pPr>
      <w:r>
        <w:rPr>
          <w:rFonts w:hint="eastAsia" w:ascii="Arial" w:hAnsi="Arial" w:cs="Arial"/>
          <w:color w:val="000000"/>
          <w:sz w:val="24"/>
          <w:lang w:val="en-US" w:eastAsia="zh-CN"/>
        </w:rPr>
        <w:t>5、</w:t>
      </w:r>
      <w:r>
        <w:rPr>
          <w:rFonts w:hint="eastAsia" w:ascii="Arial" w:hAnsi="Arial" w:cs="Arial"/>
          <w:color w:val="000000"/>
          <w:sz w:val="24"/>
        </w:rPr>
        <w:t>强化团队管理能力：提供子账号权限管理及团队层级绩效指标统计功能，便于修理厂优化内部分工与协作管理。</w:t>
      </w:r>
    </w:p>
    <w:p>
      <w:pPr>
        <w:spacing w:line="360" w:lineRule="auto"/>
        <w:ind w:firstLine="480" w:firstLineChars="200"/>
        <w:rPr>
          <w:rFonts w:hint="eastAsia" w:ascii="Arial" w:hAnsi="Arial" w:cs="Arial"/>
          <w:color w:val="000000"/>
          <w:sz w:val="24"/>
        </w:rPr>
      </w:pPr>
      <w:r>
        <w:rPr>
          <w:rFonts w:hint="eastAsia" w:ascii="Arial" w:hAnsi="Arial" w:cs="Arial"/>
          <w:color w:val="000000"/>
          <w:sz w:val="24"/>
          <w:lang w:val="en-US" w:eastAsia="zh-CN"/>
        </w:rPr>
        <w:t>6、</w:t>
      </w:r>
      <w:r>
        <w:rPr>
          <w:rFonts w:hint="eastAsia" w:ascii="Arial" w:hAnsi="Arial" w:cs="Arial"/>
          <w:color w:val="000000"/>
          <w:sz w:val="24"/>
        </w:rPr>
        <w:t>增强任务协同与通讯功能：支持店端发起协办任务、个渠下达督办任务，并提供任务进度跟踪功能，同时集成内部通讯工具，有效提升跨端协作效率。</w:t>
      </w:r>
    </w:p>
    <w:p>
      <w:pPr>
        <w:spacing w:line="360" w:lineRule="auto"/>
        <w:ind w:firstLine="480" w:firstLineChars="200"/>
        <w:rPr>
          <w:rFonts w:hint="eastAsia" w:ascii="Arial" w:hAnsi="Arial" w:cs="Arial"/>
          <w:color w:val="000000"/>
          <w:sz w:val="24"/>
        </w:rPr>
      </w:pPr>
      <w:r>
        <w:rPr>
          <w:rFonts w:hint="eastAsia" w:ascii="Arial" w:hAnsi="Arial" w:cs="Arial"/>
          <w:color w:val="000000"/>
          <w:sz w:val="24"/>
          <w:lang w:val="en-US" w:eastAsia="zh-CN"/>
        </w:rPr>
        <w:t>7、</w:t>
      </w:r>
      <w:r>
        <w:rPr>
          <w:rFonts w:hint="eastAsia" w:ascii="Arial" w:hAnsi="Arial" w:cs="Arial"/>
          <w:color w:val="000000"/>
          <w:sz w:val="24"/>
        </w:rPr>
        <w:t>保障系统安全合规</w:t>
      </w:r>
      <w:r>
        <w:rPr>
          <w:rFonts w:hint="eastAsia" w:ascii="Arial" w:hAnsi="Arial" w:cs="Arial"/>
          <w:color w:val="000000"/>
          <w:sz w:val="24"/>
          <w:lang w:eastAsia="zh-CN"/>
        </w:rPr>
        <w:t>：</w:t>
      </w:r>
      <w:r>
        <w:rPr>
          <w:rFonts w:hint="eastAsia" w:ascii="Arial" w:hAnsi="Arial" w:cs="Arial"/>
          <w:color w:val="000000"/>
          <w:sz w:val="24"/>
        </w:rPr>
        <w:t>进一步加强数据加密与访问权限控制体系，严格遵循《个人信息保护法》相关规定，切实保障修理厂及车主数据安全，并建立完善的审计日志机制，以满足合规与监管要求。</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t>综上所述，修理厂门店管理平台将在现有成效基础上，持续推进系统优化与功能升级，以更好地满足分公司车险部及个人渠道业务部的精细化管理需求，为业务持续高质量发展提供坚实支撑。</w:t>
      </w:r>
    </w:p>
    <w:p>
      <w:pPr>
        <w:spacing w:line="360" w:lineRule="auto"/>
        <w:ind w:firstLine="480" w:firstLineChars="200"/>
        <w:rPr>
          <w:rFonts w:hint="eastAsia" w:ascii="Arial" w:hAnsi="Arial" w:cs="Arial"/>
          <w:color w:val="000000"/>
          <w:sz w:val="24"/>
        </w:rPr>
      </w:pPr>
    </w:p>
    <w:p>
      <w:pPr>
        <w:numPr>
          <w:ilvl w:val="0"/>
          <w:numId w:val="4"/>
        </w:numPr>
        <w:spacing w:line="360" w:lineRule="auto"/>
        <w:ind w:firstLine="482" w:firstLineChars="200"/>
        <w:rPr>
          <w:rFonts w:hint="eastAsia" w:ascii="Arial" w:hAnsi="Arial" w:cs="Arial"/>
          <w:b/>
          <w:bCs/>
          <w:color w:val="000000"/>
          <w:sz w:val="24"/>
          <w:lang w:val="en-US" w:eastAsia="zh-CN"/>
        </w:rPr>
      </w:pPr>
      <w:r>
        <w:rPr>
          <w:rFonts w:hint="eastAsia" w:ascii="Arial" w:hAnsi="Arial" w:cs="Arial"/>
          <w:b/>
          <w:bCs/>
          <w:color w:val="000000"/>
          <w:sz w:val="24"/>
          <w:lang w:val="en-US" w:eastAsia="zh-CN"/>
        </w:rPr>
        <w:t>项目采购范围</w:t>
      </w:r>
    </w:p>
    <w:tbl>
      <w:tblPr>
        <w:tblStyle w:val="11"/>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1"/>
        <w:gridCol w:w="1176"/>
        <w:gridCol w:w="1195"/>
        <w:gridCol w:w="5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tcBorders>
              <w:top w:val="single" w:color="000000" w:sz="4" w:space="0"/>
              <w:left w:val="single" w:color="000000" w:sz="4" w:space="0"/>
              <w:bottom w:val="single" w:color="000000" w:sz="4" w:space="0"/>
              <w:right w:val="single" w:color="000000" w:sz="4" w:space="0"/>
            </w:tcBorders>
            <w:shd w:val="clear" w:color="auto" w:fill="BDD7EE"/>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系统</w:t>
            </w:r>
          </w:p>
        </w:tc>
        <w:tc>
          <w:tcPr>
            <w:tcW w:w="548" w:type="pct"/>
            <w:tcBorders>
              <w:top w:val="single" w:color="000000" w:sz="4" w:space="0"/>
              <w:left w:val="single" w:color="000000" w:sz="4" w:space="0"/>
              <w:bottom w:val="single" w:color="000000" w:sz="4" w:space="0"/>
              <w:right w:val="single" w:color="000000" w:sz="4" w:space="0"/>
            </w:tcBorders>
            <w:shd w:val="clear" w:color="auto" w:fill="BDD7EE"/>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功能模块</w:t>
            </w:r>
          </w:p>
        </w:tc>
        <w:tc>
          <w:tcPr>
            <w:tcW w:w="694" w:type="pct"/>
            <w:tcBorders>
              <w:top w:val="single" w:color="000000" w:sz="4" w:space="0"/>
              <w:left w:val="single" w:color="000000" w:sz="4" w:space="0"/>
              <w:bottom w:val="single" w:color="000000" w:sz="4" w:space="0"/>
              <w:right w:val="single" w:color="000000" w:sz="4" w:space="0"/>
            </w:tcBorders>
            <w:shd w:val="clear" w:color="auto" w:fill="BDD7EE"/>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子模块</w:t>
            </w:r>
          </w:p>
        </w:tc>
        <w:tc>
          <w:tcPr>
            <w:tcW w:w="3330" w:type="pct"/>
            <w:tcBorders>
              <w:top w:val="single" w:color="000000" w:sz="4" w:space="0"/>
              <w:left w:val="single" w:color="000000" w:sz="4" w:space="0"/>
              <w:bottom w:val="single" w:color="000000" w:sz="4" w:space="0"/>
              <w:right w:val="single" w:color="000000" w:sz="4" w:space="0"/>
            </w:tcBorders>
            <w:shd w:val="clear" w:color="auto" w:fill="BDD7EE"/>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需求功能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427"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修理厂门店管理平台</w:t>
            </w:r>
          </w:p>
        </w:tc>
        <w:tc>
          <w:tcPr>
            <w:tcW w:w="54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基础信息</w:t>
            </w: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修理厂</w:t>
            </w:r>
          </w:p>
        </w:tc>
        <w:tc>
          <w:tcPr>
            <w:tcW w:w="3330"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修理厂：送修渠道名称、星级、专营机构、销售责任人(门店经理)、当月签单、当月生效、累计签单、累计生效、当年定损、定保比、预警数据、操作等</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洗美店：送修渠道名称、专营机构、销售责任人(门店经理)、当月签单、当月生效、累计签单、累计生效、随车个非、转保率、预警、操作等</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4S店：送修渠道名称、星级、专营机构、销售责任人(门店经理)、当月签单、当月生效、累计签单、累计生效、当年定损、定保比、预警数据、操作等</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结合从总公司系统同步的门店信息，区分分公司维护信息与门店经理维护信息。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分公司维护门店信息（系统带出结合人工维护）：推荐送修码、推荐送修码渠道名称、子渠道类型、总公司修理厂分类、是否厂电联呼白名单、归属支公司、归属团队、销售责任人(门店经理)、定保比目标值、是否低产能门店；</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修理厂门店经理维护信息：店面地址、店面信息、店面类型、店面照片、店面资质影像；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洗美店门店经理维护信息：店面地址、店面信息、店面照片、店面资质影像；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同时展示修理厂星级、理赔政策等理赔部维护的信息属性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洗美店</w:t>
            </w:r>
          </w:p>
        </w:tc>
        <w:tc>
          <w:tcPr>
            <w:tcW w:w="3330"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Theme="minorEastAsia" w:hAnsiTheme="minorEastAsia" w:eastAsiaTheme="minorEastAsia" w:cstheme="minorEastAsia"/>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4S店</w:t>
            </w:r>
          </w:p>
        </w:tc>
        <w:tc>
          <w:tcPr>
            <w:tcW w:w="3330"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Theme="minorEastAsia" w:hAnsiTheme="minorEastAsia" w:eastAsiaTheme="minorEastAsia" w:cstheme="minorEastAsia"/>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商团业务合作</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单条或导入的方式维护门店的商团保单号，根据规则做校验，符合条件的允许导入并在详情中列表展示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业务审批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(合作权限)</w:t>
            </w: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增值服务系统状态同步</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系统自动同步增值服务系统服务商的服务权限及容客量数据，如流程审批完成后，增值服务系统按照数据平台调整后，自动同步业务审批状态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划痕补漆</w:t>
            </w:r>
          </w:p>
        </w:tc>
        <w:tc>
          <w:tcPr>
            <w:tcW w:w="3330"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建立修理厂与洗美店的业务审批流程，对于需要维护门店划痕补漆/洗美权限建立业务审批流程，审核通过后通知车险部在增值服务系统进行变更，变更完成后流程状态完成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洗美</w:t>
            </w:r>
          </w:p>
        </w:tc>
        <w:tc>
          <w:tcPr>
            <w:tcW w:w="3330"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Theme="minorEastAsia" w:hAnsiTheme="minorEastAsia" w:eastAsiaTheme="minorEastAsia" w:cstheme="minorEastAsia"/>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沟通协作</w:t>
            </w: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单店沟通</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针对单店提交问题功能，包含问题类型、问题描述、相关证明等；</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沟通进度查询，查询个渠、理赔等部门的反馈意见，单一问题可重复发起或办结，区分已办结与待办任务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任务协作</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由个渠、理赔等管理部门向下发起，主要核心目的是收集支公司需要上报的一些材料，通过线上化方式进行，减少线下督导的工作压力。</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分公司：单条任务可针对所有支公司或者某些支公司，报案协作任务名称、协作任务描述、相关附件，具体某一附件可选择不同的支公司，待支公司填报完成后由分公司进行审核，审核打回需要分公司重新填报，审核通过这一个分公司任务视为办结，所有分公司都办结后任务办结。分公司可以一键导出所有分公司提交的附件压缩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支公司：对分公司下发的任务进行处理，处理完成后任务办结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统计分析</w:t>
            </w: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单店报表</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区分修理厂与洗美店，展示数据包含 签单保费、生效保费、定损金额、定保比、自续续保率、转保率，星级评定情况、另外需要通过折线图展示上述数据、饼状图等展示能源类型保费占比、业务类型保费占比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团队报表</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团队业务发展情况（团队整体数据展示，分管领导与团队长查阅）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7"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548"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个人报表</w:t>
            </w:r>
          </w:p>
        </w:tc>
        <w:tc>
          <w:tcPr>
            <w:tcW w:w="333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个人业务发展情况，服务经理作为销售责任人下所有门店的整理数据展示，分管领导、团队长、服务经理查阅</w:t>
            </w:r>
          </w:p>
        </w:tc>
      </w:tr>
    </w:tbl>
    <w:p>
      <w:pPr>
        <w:spacing w:line="360" w:lineRule="auto"/>
        <w:ind w:firstLine="482" w:firstLineChars="200"/>
        <w:rPr>
          <w:rFonts w:hint="eastAsia" w:ascii="Arial" w:hAnsi="Arial" w:cs="Arial"/>
          <w:b/>
          <w:bCs/>
          <w:color w:val="000000"/>
          <w:sz w:val="24"/>
        </w:rPr>
      </w:pPr>
    </w:p>
    <w:p>
      <w:pPr>
        <w:spacing w:line="360" w:lineRule="auto"/>
        <w:ind w:firstLine="482" w:firstLineChars="200"/>
        <w:rPr>
          <w:rFonts w:hint="eastAsia" w:asciiTheme="minorEastAsia" w:hAnsiTheme="minorEastAsia" w:eastAsiaTheme="minorEastAsia" w:cstheme="minorEastAsia"/>
          <w:b/>
          <w:bCs/>
          <w:color w:val="000000"/>
          <w:sz w:val="24"/>
          <w:lang w:val="en-US" w:eastAsia="zh-CN"/>
        </w:rPr>
      </w:pPr>
      <w:r>
        <w:rPr>
          <w:rFonts w:hint="eastAsia" w:ascii="Arial" w:hAnsi="Arial" w:cs="Arial"/>
          <w:b/>
          <w:bCs/>
          <w:color w:val="000000"/>
          <w:sz w:val="24"/>
        </w:rPr>
        <w:t>3. 技术要求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行业标准：系统建设应符合国家及金融行业信息安全、数据保护相关标准，遵循《个人信息保护法》及相关监管要求。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技术性能：系统应具备高可用性、可扩展性，支持并发访问，页面响应时间不超过3秒，数据同步延迟不超过5分钟。</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业务功能：实现本项目请示中所述的基础信息管理、业务审批、沟通协作、统计分析等全部功能模块，支持多角色权限管理、动态评级、任务协同、数据可视化展示等。</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软硬件配置：本项目不含硬件采购，但软件系统应兼容主流浏览器（如Chrome、Edge）及移动端访问，支持与总公司系统、增值服务系统等对接。</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质量目标：系统上线后运行稳定，功能完整，用户满意度不低于90%，数据准确率</w:t>
      </w:r>
      <w:r>
        <w:rPr>
          <w:rFonts w:hint="eastAsia" w:ascii="Arial" w:hAnsi="Arial" w:cs="Arial"/>
          <w:color w:val="000000"/>
          <w:sz w:val="24"/>
          <w:lang w:val="en-US" w:eastAsia="zh-CN"/>
        </w:rPr>
        <w:t>97</w:t>
      </w:r>
      <w:r>
        <w:rPr>
          <w:rFonts w:hint="eastAsia" w:ascii="Arial" w:hAnsi="Arial" w:cs="Arial"/>
          <w:color w:val="000000"/>
          <w:sz w:val="24"/>
        </w:rPr>
        <w:t>%</w:t>
      </w:r>
      <w:r>
        <w:rPr>
          <w:rFonts w:hint="eastAsia" w:ascii="Arial" w:hAnsi="Arial" w:cs="Arial"/>
          <w:color w:val="000000"/>
          <w:sz w:val="24"/>
          <w:lang w:val="en-US" w:eastAsia="zh-CN"/>
        </w:rPr>
        <w:t>以上</w:t>
      </w:r>
      <w:r>
        <w:rPr>
          <w:rFonts w:hint="eastAsia" w:ascii="Arial" w:hAnsi="Arial" w:cs="Arial"/>
          <w:color w:val="000000"/>
          <w:sz w:val="24"/>
        </w:rPr>
        <w:t>。</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提交物：包括但不限于需求分析文档、系统设计文档、数据库设计文档、接口文档、部署手册、用户操作手册、测试报告、上线验收报告等。</w:t>
      </w:r>
      <w:r>
        <w:rPr>
          <w:rFonts w:hint="eastAsia" w:ascii="Arial" w:hAnsi="Arial" w:cs="Arial"/>
          <w:color w:val="000000"/>
          <w:sz w:val="24"/>
        </w:rPr>
        <w:br w:type="textWrapping"/>
      </w:r>
      <w:r>
        <w:rPr>
          <w:rFonts w:hint="eastAsia" w:asciiTheme="minorEastAsia" w:hAnsiTheme="minorEastAsia" w:eastAsiaTheme="minorEastAsia" w:cstheme="minorEastAsia"/>
          <w:b/>
          <w:bCs/>
          <w:color w:val="000000"/>
          <w:sz w:val="24"/>
          <w:lang w:val="en-US" w:eastAsia="zh-CN"/>
        </w:rPr>
        <w:tab/>
      </w:r>
    </w:p>
    <w:p>
      <w:pPr>
        <w:spacing w:line="360" w:lineRule="auto"/>
        <w:ind w:firstLine="482" w:firstLineChars="200"/>
        <w:rPr>
          <w:rFonts w:hint="eastAsia" w:ascii="Arial" w:hAnsi="Arial" w:cs="Arial"/>
          <w:color w:val="000000"/>
          <w:sz w:val="24"/>
        </w:rPr>
      </w:pPr>
      <w:r>
        <w:rPr>
          <w:rFonts w:hint="eastAsia" w:asciiTheme="minorEastAsia" w:hAnsiTheme="minorEastAsia" w:eastAsiaTheme="minorEastAsia" w:cstheme="minorEastAsia"/>
          <w:b/>
          <w:bCs/>
          <w:color w:val="000000"/>
          <w:sz w:val="24"/>
        </w:rPr>
        <w:t>4.服务要求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驻场要求：系统上线初期需安排至少1名技术人员驻场支持不少于2周，协助用户培训与问题处理。</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服务响应时限：提供7×24小时技术支持服务，一般问题响应时间不超过2小时，重大问题响应时间不超过30分钟。</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巡检服务：每季度提供一次系统巡检服务，并出具巡检报告。</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售后维保承诺：自系统上线验收之日起提供至少1年免费维保期，包含故障修复、功能优化、数据备份、系统迁移等。</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培训计划：提供不少于3场次集中培训，覆盖系统管理员、业务操作人员等不同角色，并录制培训视频、提供操作手册。</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br w:type="textWrapping"/>
      </w:r>
      <w:r>
        <w:rPr>
          <w:rFonts w:hint="eastAsia" w:asciiTheme="minorEastAsia" w:hAnsiTheme="minorEastAsia" w:eastAsiaTheme="minorEastAsia" w:cstheme="minorEastAsia"/>
          <w:b/>
          <w:bCs/>
          <w:color w:val="000000"/>
          <w:sz w:val="24"/>
          <w:lang w:val="en-US" w:eastAsia="zh-CN"/>
        </w:rPr>
        <w:tab/>
      </w:r>
      <w:r>
        <w:rPr>
          <w:rFonts w:hint="eastAsia" w:asciiTheme="minorEastAsia" w:hAnsiTheme="minorEastAsia" w:eastAsiaTheme="minorEastAsia" w:cstheme="minorEastAsia"/>
          <w:b/>
          <w:bCs/>
          <w:color w:val="000000"/>
          <w:sz w:val="24"/>
        </w:rPr>
        <w:t>5.人员团队要求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团队结构：应组建包含项目经理、产品经理、开发工程师、测试工程师、运维工程师在内的专职项目团队。</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人员数量：核心成员不少于5人，其中项目经理需具备5年以上项目管理经验。</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人员资质：开发人员应具备相关技术认证，测试人员需具备系统测试经验，运维人员需具备信息安全相关资质。</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类似项目经验：团队应具备至少1个同类保险或金融行业系统开发项目经验，并提供相关证明。</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Theme="minorEastAsia" w:hAnsiTheme="minorEastAsia" w:eastAsiaTheme="minorEastAsia" w:cstheme="minorEastAsia"/>
          <w:b/>
          <w:bCs/>
          <w:color w:val="000000"/>
          <w:sz w:val="24"/>
        </w:rPr>
        <w:t>6.项目进度要求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项目整体周期不超过</w:t>
      </w:r>
      <w:r>
        <w:rPr>
          <w:rFonts w:hint="eastAsia" w:ascii="Arial" w:hAnsi="Arial" w:cs="Arial"/>
          <w:color w:val="000000"/>
          <w:sz w:val="24"/>
          <w:lang w:val="en-US" w:eastAsia="zh-CN"/>
        </w:rPr>
        <w:t>7</w:t>
      </w:r>
      <w:r>
        <w:rPr>
          <w:rFonts w:hint="eastAsia" w:ascii="Arial" w:hAnsi="Arial" w:cs="Arial"/>
          <w:color w:val="000000"/>
          <w:sz w:val="24"/>
        </w:rPr>
        <w:t>个月，具体节点如下：</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合同签订后</w:t>
      </w:r>
      <w:r>
        <w:rPr>
          <w:rFonts w:hint="eastAsia" w:ascii="Arial" w:hAnsi="Arial" w:cs="Arial"/>
          <w:color w:val="000000"/>
          <w:sz w:val="24"/>
          <w:lang w:val="en-US" w:eastAsia="zh-CN"/>
        </w:rPr>
        <w:t>20</w:t>
      </w:r>
      <w:r>
        <w:rPr>
          <w:rFonts w:hint="eastAsia" w:ascii="Arial" w:hAnsi="Arial" w:cs="Arial"/>
          <w:color w:val="000000"/>
          <w:sz w:val="24"/>
        </w:rPr>
        <w:t>个工作日内完成需求确认；</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lang w:val="en-US" w:eastAsia="zh-CN"/>
        </w:rPr>
        <w:t>100</w:t>
      </w:r>
      <w:r>
        <w:rPr>
          <w:rFonts w:hint="eastAsia" w:ascii="Arial" w:hAnsi="Arial" w:cs="Arial"/>
          <w:color w:val="000000"/>
          <w:sz w:val="24"/>
        </w:rPr>
        <w:t>个工作日内完成系统开发与内部测试；</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10个工作日内完成系统验收。</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br w:type="textWrapping"/>
      </w:r>
      <w:r>
        <w:rPr>
          <w:rFonts w:hint="eastAsia" w:ascii="Arial" w:hAnsi="Arial" w:cs="Arial"/>
          <w:b/>
          <w:bCs/>
          <w:color w:val="000000"/>
          <w:sz w:val="24"/>
          <w:lang w:val="en-US" w:eastAsia="zh-CN"/>
        </w:rPr>
        <w:tab/>
      </w:r>
      <w:r>
        <w:rPr>
          <w:rFonts w:hint="eastAsia" w:ascii="Arial" w:hAnsi="Arial" w:cs="Arial"/>
          <w:b/>
          <w:bCs/>
          <w:color w:val="000000"/>
          <w:sz w:val="24"/>
          <w:lang w:val="en-US" w:eastAsia="zh-CN"/>
        </w:rPr>
        <w:t>7. 项目验收考核要求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系统上线后稳定运行不少于</w:t>
      </w:r>
      <w:r>
        <w:rPr>
          <w:rFonts w:hint="eastAsia" w:ascii="Arial" w:hAnsi="Arial" w:cs="Arial"/>
          <w:color w:val="000000"/>
          <w:sz w:val="24"/>
          <w:lang w:val="en-US" w:eastAsia="zh-CN"/>
        </w:rPr>
        <w:t>30</w:t>
      </w:r>
      <w:r>
        <w:rPr>
          <w:rFonts w:hint="eastAsia" w:ascii="Arial" w:hAnsi="Arial" w:cs="Arial"/>
          <w:color w:val="000000"/>
          <w:sz w:val="24"/>
        </w:rPr>
        <w:t>个工作日，无重大功能缺陷；</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完成所有功能模块交付，并通过用户验收测试；</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提交全部约定的项目文档；</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用户培训覆盖率达100%，培训满意度不低于85%；</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提供维保承诺函并启动售后服务体系。</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br w:type="textWrapping"/>
      </w:r>
      <w:r>
        <w:rPr>
          <w:rFonts w:hint="eastAsia" w:asciiTheme="minorEastAsia" w:hAnsiTheme="minorEastAsia" w:eastAsiaTheme="minorEastAsia" w:cstheme="minorEastAsia"/>
          <w:b/>
          <w:bCs/>
          <w:color w:val="000000"/>
          <w:sz w:val="24"/>
          <w:lang w:val="en-US" w:eastAsia="zh-CN"/>
        </w:rPr>
        <w:tab/>
      </w:r>
      <w:r>
        <w:rPr>
          <w:rFonts w:hint="eastAsia" w:asciiTheme="minorEastAsia" w:hAnsiTheme="minorEastAsia" w:eastAsiaTheme="minorEastAsia" w:cstheme="minorEastAsia"/>
          <w:b/>
          <w:bCs/>
          <w:color w:val="000000"/>
          <w:sz w:val="24"/>
        </w:rPr>
        <w:t>8.成果版权要求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本项目产生的所有软件成果、源代码、技术文档、设计图纸等知识产权归采购方所有；</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供应商不得将本项目相关成果用于其他项目或向第三方提供；</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供应商需承诺所交付成果不侵犯任何第三方知识产权。</w:t>
      </w:r>
    </w:p>
    <w:p>
      <w:pPr>
        <w:spacing w:line="360" w:lineRule="auto"/>
        <w:ind w:firstLine="480" w:firstLineChars="200"/>
        <w:rPr>
          <w:rFonts w:hint="eastAsia" w:ascii="Arial" w:hAnsi="Arial" w:cs="Arial"/>
          <w:color w:val="000000"/>
          <w:sz w:val="24"/>
        </w:rPr>
      </w:pP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Theme="minorEastAsia" w:hAnsiTheme="minorEastAsia" w:eastAsiaTheme="minorEastAsia" w:cstheme="minorEastAsia"/>
          <w:b/>
          <w:bCs/>
          <w:color w:val="000000"/>
          <w:sz w:val="24"/>
        </w:rPr>
        <w:t>9.响应方资格要求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在中国境内注册，具有独立法人资格，具备软件开发相关经营范围；</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近三年内无重大违法违规记录，未被列入失信被执行人、重大税收违法案件当事人名单；</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原厂授权函：如使用第三方组件或平台，需提供原厂授权或合法使用证明；</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其他要求：具备ISO9001质量管理体系认证或CMMI3级以上认证优先；</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本项目不接受联合体响应；</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供应商需具备金融行业相关系统开发经验，并提供至少1个同类项目案例证明。</w:t>
      </w:r>
    </w:p>
    <w:p>
      <w:pPr>
        <w:spacing w:line="360" w:lineRule="auto"/>
        <w:ind w:firstLine="480" w:firstLineChars="200"/>
        <w:rPr>
          <w:rFonts w:hint="eastAsia" w:ascii="Arial" w:hAnsi="Arial" w:cs="Arial"/>
          <w:color w:val="000000"/>
          <w:sz w:val="24"/>
          <w:lang w:val="en-US" w:eastAsia="zh-CN"/>
        </w:rPr>
      </w:pP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b/>
          <w:bCs/>
          <w:color w:val="000000"/>
          <w:sz w:val="24"/>
        </w:rPr>
        <w:t>10. 违约责任要求</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如供应商未按合同约定时间交付，每延迟一天，按合同总金额的0.1%支付违约金；</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如交付成果存在重大缺陷或不符合验收标准，采购方有权拒绝验收并要求整改，整改后仍不合格的，采购方有权解除合同并追究违约责任；</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供应商若违反知识产权约定，需承担全部法律责任并赔偿采购方因此遭受的全部损失；</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未经采购方书面同意，供应商不得将项目分包、转包，否则采购方有权立即解除合同，并追究违约责任。</w:t>
      </w:r>
    </w:p>
    <w:p>
      <w:pPr>
        <w:spacing w:line="360" w:lineRule="auto"/>
        <w:rPr>
          <w:rFonts w:hint="eastAsia" w:ascii="Arial" w:hAnsi="Arial" w:cs="Arial"/>
          <w:color w:val="000000"/>
          <w:sz w:val="24"/>
        </w:rPr>
      </w:pPr>
    </w:p>
    <w:p>
      <w:pPr>
        <w:spacing w:line="360" w:lineRule="auto"/>
        <w:ind w:firstLine="482" w:firstLineChars="200"/>
        <w:rPr>
          <w:rFonts w:hint="eastAsia" w:ascii="Arial" w:hAnsi="Arial" w:cs="Arial"/>
          <w:b/>
          <w:bCs/>
          <w:color w:val="000000"/>
          <w:sz w:val="24"/>
        </w:rPr>
      </w:pPr>
      <w:r>
        <w:rPr>
          <w:rFonts w:hint="eastAsia" w:ascii="Arial" w:hAnsi="Arial" w:cs="Arial"/>
          <w:b/>
          <w:bCs/>
          <w:color w:val="000000"/>
          <w:sz w:val="24"/>
          <w:lang w:val="en-US" w:eastAsia="zh-CN"/>
        </w:rPr>
        <w:t>11.</w:t>
      </w:r>
      <w:r>
        <w:rPr>
          <w:rFonts w:hint="eastAsia" w:ascii="Arial" w:hAnsi="Arial" w:cs="Arial"/>
          <w:b/>
          <w:bCs/>
          <w:color w:val="000000"/>
          <w:sz w:val="24"/>
        </w:rPr>
        <w:t> 分包、转包要求</w:t>
      </w:r>
    </w:p>
    <w:p>
      <w:pPr>
        <w:spacing w:line="360" w:lineRule="auto"/>
        <w:ind w:firstLine="420" w:firstLineChars="0"/>
        <w:rPr>
          <w:rFonts w:hint="eastAsia" w:ascii="Arial" w:hAnsi="Arial" w:cs="Arial"/>
          <w:color w:val="000000"/>
          <w:sz w:val="24"/>
        </w:rPr>
      </w:pPr>
      <w:r>
        <w:rPr>
          <w:rFonts w:hint="eastAsia" w:ascii="Arial" w:hAnsi="Arial" w:cs="Arial"/>
          <w:color w:val="000000"/>
          <w:sz w:val="24"/>
        </w:rPr>
        <w:t>本项目不接受联合体响应。</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本项目不得以任何形式将项目整体或部分分包、转包给第三方。</w:t>
      </w:r>
      <w:r>
        <w:rPr>
          <w:rFonts w:hint="eastAsia" w:ascii="Arial" w:hAnsi="Arial" w:cs="Arial"/>
          <w:color w:val="000000"/>
          <w:sz w:val="24"/>
        </w:rPr>
        <w:br w:type="textWrapping"/>
      </w:r>
      <w:r>
        <w:rPr>
          <w:rFonts w:hint="eastAsia" w:ascii="Arial" w:hAnsi="Arial" w:cs="Arial"/>
          <w:color w:val="000000"/>
          <w:sz w:val="24"/>
          <w:lang w:val="en-US" w:eastAsia="zh-CN"/>
        </w:rPr>
        <w:tab/>
      </w:r>
      <w:r>
        <w:rPr>
          <w:rFonts w:hint="eastAsia" w:ascii="Arial" w:hAnsi="Arial" w:cs="Arial"/>
          <w:color w:val="000000"/>
          <w:sz w:val="24"/>
        </w:rPr>
        <w:t>如供应商违反上述约定，采购方有权立即终止合同，取消其成交资格，并追究其违约责任，供应商应承担由此给采购方造成的一切损失。</w:t>
      </w:r>
    </w:p>
    <w:p>
      <w:pPr>
        <w:spacing w:line="360" w:lineRule="auto"/>
        <w:ind w:firstLine="420" w:firstLineChars="0"/>
        <w:rPr>
          <w:rFonts w:hint="eastAsia" w:ascii="Arial" w:hAnsi="Arial" w:cs="Arial"/>
          <w:color w:val="000000"/>
          <w:sz w:val="24"/>
        </w:rPr>
      </w:pPr>
    </w:p>
    <w:p>
      <w:pPr>
        <w:numPr>
          <w:ilvl w:val="0"/>
          <w:numId w:val="5"/>
        </w:numPr>
        <w:spacing w:line="360" w:lineRule="auto"/>
        <w:ind w:firstLine="482" w:firstLineChars="200"/>
        <w:rPr>
          <w:rFonts w:hint="eastAsia" w:ascii="Arial" w:hAnsi="Arial" w:cs="Arial"/>
          <w:b/>
          <w:bCs/>
          <w:color w:val="000000"/>
          <w:sz w:val="24"/>
          <w:lang w:val="en-US" w:eastAsia="zh-CN"/>
        </w:rPr>
      </w:pPr>
      <w:r>
        <w:rPr>
          <w:rFonts w:hint="eastAsia" w:ascii="Arial" w:hAnsi="Arial" w:cs="Arial"/>
          <w:b/>
          <w:bCs/>
          <w:color w:val="000000"/>
          <w:sz w:val="24"/>
        </w:rPr>
        <w:t> </w:t>
      </w:r>
      <w:r>
        <w:rPr>
          <w:rFonts w:hint="eastAsia" w:ascii="Arial" w:hAnsi="Arial" w:cs="Arial"/>
          <w:b/>
          <w:bCs/>
          <w:color w:val="000000"/>
          <w:sz w:val="24"/>
          <w:lang w:val="en-US" w:eastAsia="zh-CN"/>
        </w:rPr>
        <w:t>预算金额</w:t>
      </w:r>
    </w:p>
    <w:p>
      <w:pPr>
        <w:spacing w:line="360" w:lineRule="auto"/>
        <w:ind w:firstLine="420" w:firstLineChars="0"/>
        <w:rPr>
          <w:rFonts w:hint="default" w:ascii="Arial" w:hAnsi="Arial" w:cs="Arial"/>
          <w:color w:val="000000"/>
          <w:sz w:val="24"/>
          <w:lang w:val="en-US" w:eastAsia="zh-CN"/>
        </w:rPr>
      </w:pPr>
      <w:r>
        <w:rPr>
          <w:rFonts w:hint="eastAsia" w:ascii="Arial" w:hAnsi="Arial" w:cs="Arial"/>
          <w:color w:val="000000"/>
          <w:sz w:val="24"/>
        </w:rPr>
        <w:t>本项目预算总金额为人民币</w:t>
      </w:r>
      <w:r>
        <w:rPr>
          <w:rFonts w:hint="eastAsia" w:ascii="Arial" w:hAnsi="Arial" w:cs="Arial"/>
          <w:color w:val="000000"/>
          <w:sz w:val="24"/>
          <w:lang w:val="en-US" w:eastAsia="zh-CN"/>
        </w:rPr>
        <w:t>29.9</w:t>
      </w:r>
      <w:r>
        <w:rPr>
          <w:rFonts w:hint="eastAsia" w:ascii="Arial" w:hAnsi="Arial" w:cs="Arial"/>
          <w:color w:val="000000"/>
          <w:sz w:val="24"/>
        </w:rPr>
        <w:t>万元整（¥</w:t>
      </w:r>
      <w:r>
        <w:rPr>
          <w:rFonts w:hint="eastAsia" w:ascii="Arial" w:hAnsi="Arial" w:cs="Arial"/>
          <w:color w:val="000000"/>
          <w:sz w:val="24"/>
          <w:lang w:val="en-US" w:eastAsia="zh-CN"/>
        </w:rPr>
        <w:t>299</w:t>
      </w:r>
      <w:r>
        <w:rPr>
          <w:rFonts w:hint="eastAsia" w:ascii="Arial" w:hAnsi="Arial" w:cs="Arial"/>
          <w:color w:val="000000"/>
          <w:sz w:val="24"/>
        </w:rPr>
        <w:t>,000.00）。供应商的报价不得超过此预算金额，凡报价超过人民币</w:t>
      </w:r>
      <w:r>
        <w:rPr>
          <w:rFonts w:hint="eastAsia" w:ascii="Arial" w:hAnsi="Arial" w:cs="Arial"/>
          <w:color w:val="000000"/>
          <w:sz w:val="24"/>
          <w:lang w:val="en-US" w:eastAsia="zh-CN"/>
        </w:rPr>
        <w:t>29.9</w:t>
      </w:r>
      <w:r>
        <w:rPr>
          <w:rFonts w:hint="eastAsia" w:ascii="Arial" w:hAnsi="Arial" w:cs="Arial"/>
          <w:color w:val="000000"/>
          <w:sz w:val="24"/>
        </w:rPr>
        <w:t>万元的，其响应文件将被视为无效投标（或无效评审），不进入下一阶段评审。供应商应根据采购需求，在预算范围内合理报价，确保技术方案的完整性、可行性与经济性。</w:t>
      </w:r>
    </w:p>
    <w:p>
      <w:pPr>
        <w:spacing w:line="360" w:lineRule="auto"/>
        <w:ind w:firstLine="420" w:firstLineChars="0"/>
        <w:rPr>
          <w:rFonts w:hint="eastAsia" w:ascii="Arial" w:hAnsi="Arial" w:cs="Arial"/>
          <w:color w:val="000000"/>
          <w:sz w:val="24"/>
        </w:rPr>
      </w:pPr>
    </w:p>
    <w:p>
      <w:pPr>
        <w:widowControl/>
        <w:jc w:val="left"/>
        <w:rPr>
          <w:rFonts w:ascii="宋体" w:hAnsi="宋体" w:eastAsia="宋体"/>
          <w:sz w:val="24"/>
          <w:szCs w:val="24"/>
        </w:rPr>
      </w:pPr>
      <w:r>
        <w:rPr>
          <w:rFonts w:ascii="宋体" w:hAnsi="宋体" w:eastAsia="宋体"/>
          <w:sz w:val="24"/>
          <w:szCs w:val="24"/>
        </w:rPr>
        <w:br w:type="page"/>
      </w:r>
    </w:p>
    <w:p>
      <w:pPr>
        <w:keepNext/>
        <w:keepLines/>
        <w:widowControl w:val="0"/>
        <w:numPr>
          <w:ilvl w:val="0"/>
          <w:numId w:val="0"/>
        </w:numPr>
        <w:spacing w:before="260" w:after="260" w:line="240" w:lineRule="auto"/>
        <w:jc w:val="both"/>
        <w:outlineLvl w:val="1"/>
        <w:rPr>
          <w:rFonts w:ascii="Calibri Light" w:hAnsi="Calibri Light" w:eastAsia="宋体" w:cs="Times New Roman"/>
          <w:b/>
          <w:bCs/>
          <w:kern w:val="2"/>
          <w:sz w:val="24"/>
          <w:szCs w:val="24"/>
          <w:lang w:val="en-US" w:eastAsia="zh-CN" w:bidi="ar-SA"/>
        </w:rPr>
      </w:pPr>
      <w:r>
        <w:rPr>
          <w:rFonts w:hint="eastAsia" w:ascii="Calibri Light" w:hAnsi="Calibri Light" w:eastAsia="宋体" w:cs="Times New Roman"/>
          <w:b/>
          <w:bCs/>
          <w:kern w:val="2"/>
          <w:sz w:val="24"/>
          <w:szCs w:val="24"/>
          <w:lang w:val="en-US" w:eastAsia="zh-CN" w:bidi="ar-SA"/>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3"/>
      </w:rPr>
    </w:pPr>
    <w:r>
      <w:fldChar w:fldCharType="begin"/>
    </w:r>
    <w:r>
      <w:rPr>
        <w:rStyle w:val="13"/>
      </w:rPr>
      <w:instrText xml:space="preserve">PAGE  </w:instrText>
    </w:r>
    <w:r>
      <w:fldChar w:fldCharType="separate"/>
    </w:r>
    <w:r>
      <w:rPr>
        <w:rStyle w:val="13"/>
      </w:rPr>
      <w:t>21</w:t>
    </w:r>
    <w: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3"/>
      </w:rPr>
    </w:pPr>
    <w:r>
      <w:fldChar w:fldCharType="begin"/>
    </w:r>
    <w:r>
      <w:rPr>
        <w:rStyle w:val="13"/>
      </w:rPr>
      <w:instrText xml:space="preserve">PAGE  </w:instrText>
    </w:r>
    <w: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B85A38"/>
    <w:multiLevelType w:val="singleLevel"/>
    <w:tmpl w:val="B6B85A38"/>
    <w:lvl w:ilvl="0" w:tentative="0">
      <w:start w:val="12"/>
      <w:numFmt w:val="decimal"/>
      <w:lvlText w:val="%1."/>
      <w:lvlJc w:val="left"/>
      <w:pPr>
        <w:tabs>
          <w:tab w:val="left" w:pos="312"/>
        </w:tabs>
      </w:pPr>
    </w:lvl>
  </w:abstractNum>
  <w:abstractNum w:abstractNumId="1">
    <w:nsid w:val="CB65470E"/>
    <w:multiLevelType w:val="singleLevel"/>
    <w:tmpl w:val="CB65470E"/>
    <w:lvl w:ilvl="0" w:tentative="0">
      <w:start w:val="2"/>
      <w:numFmt w:val="decimal"/>
      <w:lvlText w:val="%1."/>
      <w:lvlJc w:val="left"/>
      <w:pPr>
        <w:tabs>
          <w:tab w:val="left" w:pos="312"/>
        </w:tabs>
      </w:p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77D027E4"/>
    <w:multiLevelType w:val="singleLevel"/>
    <w:tmpl w:val="77D027E4"/>
    <w:lvl w:ilvl="0" w:tentative="0">
      <w:start w:val="9"/>
      <w:numFmt w:val="chineseCounting"/>
      <w:suff w:val="space"/>
      <w:lvlText w:val="第%1条"/>
      <w:lvlJc w:val="left"/>
      <w:rPr>
        <w:rFonts w:hint="eastAsia"/>
      </w:rPr>
    </w:lvl>
  </w:abstractNum>
  <w:num w:numId="1">
    <w:abstractNumId w:val="3"/>
  </w:num>
  <w:num w:numId="2">
    <w:abstractNumId w:val="2"/>
    <w:lvlOverride w:ilvl="0">
      <w:startOverride w:val="1"/>
    </w:lvlOverride>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B60B2"/>
    <w:rsid w:val="03065425"/>
    <w:rsid w:val="048B5BE2"/>
    <w:rsid w:val="084762C4"/>
    <w:rsid w:val="09420839"/>
    <w:rsid w:val="09BF662F"/>
    <w:rsid w:val="15357EA3"/>
    <w:rsid w:val="1B5C39DD"/>
    <w:rsid w:val="2462216B"/>
    <w:rsid w:val="28201C28"/>
    <w:rsid w:val="28D23530"/>
    <w:rsid w:val="2BA051BE"/>
    <w:rsid w:val="2F7074B2"/>
    <w:rsid w:val="2F866E22"/>
    <w:rsid w:val="332130AB"/>
    <w:rsid w:val="37EB761E"/>
    <w:rsid w:val="3E7B5510"/>
    <w:rsid w:val="45CB3C16"/>
    <w:rsid w:val="47395243"/>
    <w:rsid w:val="49EC224C"/>
    <w:rsid w:val="4FD06E11"/>
    <w:rsid w:val="570A31DD"/>
    <w:rsid w:val="57FD3E2B"/>
    <w:rsid w:val="59605E6B"/>
    <w:rsid w:val="59651087"/>
    <w:rsid w:val="5CAB1AF3"/>
    <w:rsid w:val="5DF11787"/>
    <w:rsid w:val="5F3B5406"/>
    <w:rsid w:val="5F7A57AC"/>
    <w:rsid w:val="60285208"/>
    <w:rsid w:val="611C6AD5"/>
    <w:rsid w:val="63343EC4"/>
    <w:rsid w:val="63F7561D"/>
    <w:rsid w:val="65F4122C"/>
    <w:rsid w:val="67CC0B6F"/>
    <w:rsid w:val="6BC93D43"/>
    <w:rsid w:val="6C3513D9"/>
    <w:rsid w:val="71201B03"/>
    <w:rsid w:val="74D3416F"/>
    <w:rsid w:val="74FE79D1"/>
    <w:rsid w:val="764D1B7C"/>
    <w:rsid w:val="77F9150C"/>
    <w:rsid w:val="78DA7590"/>
    <w:rsid w:val="79FC495B"/>
    <w:rsid w:val="7B5F523F"/>
    <w:rsid w:val="7F537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5">
    <w:name w:val="annotation text"/>
    <w:basedOn w:val="1"/>
    <w:unhideWhenUsed/>
    <w:qFormat/>
    <w:uiPriority w:val="99"/>
    <w:pPr>
      <w:spacing w:line="360" w:lineRule="auto"/>
      <w:ind w:firstLine="200" w:firstLineChars="200"/>
      <w:jc w:val="left"/>
    </w:pPr>
    <w:rPr>
      <w:rFonts w:ascii="Calibri" w:hAnsi="Calibri" w:eastAsia="楷体"/>
      <w:sz w:val="24"/>
      <w:szCs w:val="22"/>
    </w:rPr>
  </w:style>
  <w:style w:type="paragraph" w:styleId="6">
    <w:name w:val="Body Text"/>
    <w:basedOn w:val="1"/>
    <w:next w:val="1"/>
    <w:qFormat/>
    <w:uiPriority w:val="99"/>
    <w:pPr>
      <w:adjustRightInd/>
      <w:spacing w:line="240" w:lineRule="auto"/>
      <w:jc w:val="both"/>
      <w:textAlignment w:val="auto"/>
    </w:pPr>
    <w:rPr>
      <w:kern w:val="2"/>
      <w:sz w:val="28"/>
    </w:rPr>
  </w:style>
  <w:style w:type="paragraph" w:styleId="7">
    <w:name w:val="Body Text Indent 2"/>
    <w:basedOn w:val="1"/>
    <w:qFormat/>
    <w:uiPriority w:val="0"/>
    <w:pPr>
      <w:spacing w:line="240" w:lineRule="auto"/>
      <w:ind w:firstLine="586" w:firstLineChars="244"/>
    </w:pPr>
    <w:rPr>
      <w:rFonts w:ascii="宋体" w:hAnsi="宋体"/>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paragraph" w:styleId="10">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character" w:styleId="13">
    <w:name w:val="page number"/>
    <w:basedOn w:val="12"/>
    <w:qFormat/>
    <w:uiPriority w:val="0"/>
  </w:style>
  <w:style w:type="character" w:styleId="14">
    <w:name w:val="Hyperlink"/>
    <w:qFormat/>
    <w:uiPriority w:val="99"/>
    <w:rPr>
      <w:color w:val="0000FF"/>
      <w:u w:val="single"/>
    </w:rPr>
  </w:style>
  <w:style w:type="paragraph" w:customStyle="1" w:styleId="15">
    <w:name w:val="p0"/>
    <w:basedOn w:val="1"/>
    <w:qFormat/>
    <w:uiPriority w:val="0"/>
    <w:pPr>
      <w:widowControl/>
    </w:pPr>
    <w:rPr>
      <w:rFonts w:ascii="宋体" w:hAnsi="宋体" w:cs="宋体"/>
      <w:kern w:val="0"/>
      <w:szCs w:val="21"/>
    </w:rPr>
  </w:style>
  <w:style w:type="paragraph" w:customStyle="1" w:styleId="16">
    <w:name w:val="1"/>
    <w:basedOn w:val="2"/>
    <w:next w:val="7"/>
    <w:qFormat/>
    <w:uiPriority w:val="0"/>
    <w:pPr>
      <w:widowControl/>
      <w:numPr>
        <w:ilvl w:val="0"/>
        <w:numId w:val="0"/>
      </w:numPr>
      <w:adjustRightInd/>
      <w:spacing w:beforeLines="100" w:after="0" w:line="360" w:lineRule="auto"/>
      <w:ind w:left="-25"/>
      <w:textAlignment w:val="auto"/>
    </w:pPr>
    <w:rPr>
      <w:rFonts w:ascii="Calibri" w:hAnsi="Calibri"/>
      <w:sz w:val="36"/>
      <w:szCs w:val="36"/>
    </w:rPr>
  </w:style>
  <w:style w:type="paragraph" w:customStyle="1" w:styleId="17">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19924</Words>
  <Characters>20711</Characters>
  <Lines>0</Lines>
  <Paragraphs>0</Paragraphs>
  <TotalTime>2</TotalTime>
  <ScaleCrop>false</ScaleCrop>
  <LinksUpToDate>false</LinksUpToDate>
  <CharactersWithSpaces>21011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2026-03-23T08:34:00Z</dcterms:created>
  <dc:creator>vip</dc:creator>
  <cp:lastModifiedBy>顾安妮</cp:lastModifiedBy>
  <dcterms:modified xsi:type="dcterms:W3CDTF">2026-04-15T01:24:26Z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eyJoZGlkIjoiMmExYmU5NDc4YzE3MjlhMjE2Mzk2YWE4MDU3Mzc0YjAiLCJ1c2VySWQiOiIxMTk4NjQ1NTI1In0=</vt:lpwstr>
  </property>
  <property fmtid="{D5CDD505-2E9C-101B-9397-08002B2CF9AE}" pid="4" name="ICV">
    <vt:lpwstr>80236058B4CF45809BB2CE32DF322C02_12</vt:lpwstr>
  </property>
</Properties>
</file>