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2985893">
      <w:pPr>
        <w:spacing w:line="400" w:lineRule="exact"/>
        <w:jc w:val="center"/>
        <w:rPr>
          <w:rFonts w:hint="eastAsia" w:ascii="仿宋" w:hAnsi="仿宋" w:eastAsia="仿宋" w:cs="宋体"/>
          <w:color w:val="000000"/>
          <w:spacing w:val="40"/>
          <w:highlight w:val="none"/>
        </w:rPr>
      </w:pPr>
    </w:p>
    <w:p w14:paraId="294B1855">
      <w:pPr>
        <w:jc w:val="both"/>
        <w:rPr>
          <w:rFonts w:hint="eastAsia" w:ascii="仿宋" w:hAnsi="仿宋" w:eastAsia="仿宋" w:cs="宋体"/>
          <w:b/>
          <w:color w:val="000000"/>
          <w:highlight w:val="none"/>
          <w:u w:val="single"/>
        </w:rPr>
      </w:pPr>
    </w:p>
    <w:p w14:paraId="43AEC3BF">
      <w:pPr>
        <w:jc w:val="center"/>
        <w:rPr>
          <w:rStyle w:val="42"/>
          <w:color w:val="FF0000"/>
          <w:highlight w:val="none"/>
        </w:rPr>
      </w:pPr>
      <w:r>
        <w:rPr>
          <w:rFonts w:hint="eastAsia" w:ascii="华文中宋" w:hAnsi="华文中宋" w:eastAsia="华文中宋" w:cs="华文中宋"/>
          <w:sz w:val="44"/>
          <w:szCs w:val="44"/>
        </w:rPr>
        <w:t>人保</w:t>
      </w:r>
      <w:r>
        <w:rPr>
          <w:rFonts w:hint="eastAsia" w:ascii="华文中宋" w:hAnsi="华文中宋" w:eastAsia="华文中宋" w:cs="华文中宋"/>
          <w:sz w:val="44"/>
          <w:szCs w:val="44"/>
          <w:lang w:val="en-US" w:eastAsia="zh-CN"/>
        </w:rPr>
        <w:t>财险</w:t>
      </w:r>
      <w:r>
        <w:rPr>
          <w:rFonts w:hint="eastAsia" w:ascii="华文中宋" w:hAnsi="华文中宋" w:eastAsia="华文中宋" w:cs="华文中宋"/>
          <w:sz w:val="44"/>
          <w:szCs w:val="44"/>
        </w:rPr>
        <w:t>2026年度武汉本部食堂</w:t>
      </w:r>
      <w:r>
        <w:rPr>
          <w:rFonts w:hint="eastAsia" w:ascii="华文中宋" w:hAnsi="华文中宋" w:eastAsia="华文中宋" w:cs="华文中宋"/>
          <w:sz w:val="44"/>
          <w:szCs w:val="44"/>
        </w:rPr>
        <w:br w:type="textWrapping"/>
      </w:r>
      <w:r>
        <w:rPr>
          <w:rFonts w:hint="eastAsia" w:ascii="华文中宋" w:hAnsi="华文中宋" w:eastAsia="华文中宋" w:cs="华文中宋"/>
          <w:sz w:val="44"/>
          <w:szCs w:val="44"/>
        </w:rPr>
        <w:t>及理赔中心食堂供应商项目</w:t>
      </w:r>
      <w:r>
        <w:rPr>
          <w:rFonts w:hint="eastAsia" w:ascii="华文中宋" w:hAnsi="华文中宋" w:eastAsia="华文中宋" w:cs="华文中宋"/>
          <w:sz w:val="44"/>
          <w:szCs w:val="44"/>
        </w:rPr>
        <w:br w:type="textWrapping"/>
      </w:r>
    </w:p>
    <w:p w14:paraId="6537FA8A">
      <w:pPr>
        <w:jc w:val="center"/>
        <w:rPr>
          <w:rFonts w:hint="eastAsia" w:ascii="仿宋" w:hAnsi="仿宋" w:eastAsia="仿宋" w:cs="宋体"/>
          <w:b/>
          <w:color w:val="000000"/>
          <w:spacing w:val="40"/>
          <w:sz w:val="36"/>
          <w:szCs w:val="36"/>
          <w:highlight w:val="none"/>
        </w:rPr>
      </w:pPr>
    </w:p>
    <w:p w14:paraId="2C312FAE">
      <w:pPr>
        <w:jc w:val="center"/>
        <w:rPr>
          <w:rFonts w:hint="eastAsia" w:ascii="仿宋" w:hAnsi="仿宋" w:eastAsia="仿宋" w:cs="宋体"/>
          <w:b/>
          <w:color w:val="000000"/>
          <w:sz w:val="28"/>
          <w:szCs w:val="28"/>
          <w:highlight w:val="none"/>
        </w:rPr>
      </w:pPr>
    </w:p>
    <w:p w14:paraId="2BEB1C92">
      <w:pPr>
        <w:jc w:val="center"/>
        <w:rPr>
          <w:rFonts w:hint="eastAsia" w:ascii="仿宋" w:hAnsi="仿宋" w:eastAsia="仿宋" w:cs="宋体"/>
          <w:b/>
          <w:color w:val="000000"/>
          <w:sz w:val="28"/>
          <w:szCs w:val="28"/>
          <w:highlight w:val="none"/>
        </w:rPr>
      </w:pPr>
    </w:p>
    <w:p w14:paraId="3C4D5221">
      <w:pPr>
        <w:jc w:val="center"/>
        <w:rPr>
          <w:rFonts w:hint="default" w:ascii="仿宋" w:hAnsi="仿宋" w:eastAsia="仿宋" w:cs="仿宋"/>
          <w:sz w:val="28"/>
          <w:szCs w:val="28"/>
          <w:lang w:val="en-US" w:eastAsia="zh-CN"/>
        </w:rPr>
      </w:pPr>
      <w:r>
        <w:rPr>
          <w:rFonts w:hint="eastAsia" w:ascii="仿宋" w:hAnsi="仿宋" w:eastAsia="仿宋" w:cs="仿宋"/>
          <w:sz w:val="28"/>
          <w:szCs w:val="28"/>
        </w:rPr>
        <w:t>项目编号：</w:t>
      </w:r>
      <w:r>
        <w:rPr>
          <w:rFonts w:hint="eastAsia" w:ascii="仿宋" w:hAnsi="仿宋" w:eastAsia="仿宋" w:cs="仿宋"/>
          <w:sz w:val="28"/>
          <w:szCs w:val="28"/>
          <w:lang w:val="en-US" w:eastAsia="zh-CN"/>
        </w:rPr>
        <w:t>HBYFF-2026-C04016</w:t>
      </w:r>
    </w:p>
    <w:p w14:paraId="1BFFBC04">
      <w:pPr>
        <w:jc w:val="center"/>
        <w:rPr>
          <w:rFonts w:hint="eastAsia" w:ascii="仿宋" w:hAnsi="仿宋" w:eastAsia="仿宋" w:cs="宋体"/>
          <w:b/>
          <w:color w:val="000000"/>
          <w:sz w:val="28"/>
          <w:szCs w:val="28"/>
          <w:highlight w:val="none"/>
          <w:u w:val="single"/>
        </w:rPr>
      </w:pPr>
    </w:p>
    <w:p w14:paraId="17DDC356">
      <w:pPr>
        <w:jc w:val="center"/>
        <w:rPr>
          <w:rFonts w:hint="eastAsia" w:ascii="仿宋" w:hAnsi="仿宋" w:eastAsia="仿宋" w:cs="宋体"/>
          <w:b/>
          <w:color w:val="000000"/>
          <w:sz w:val="28"/>
          <w:szCs w:val="28"/>
          <w:highlight w:val="none"/>
          <w:u w:val="single"/>
        </w:rPr>
      </w:pPr>
    </w:p>
    <w:p w14:paraId="2BFDCE1C">
      <w:pPr>
        <w:jc w:val="center"/>
        <w:rPr>
          <w:rFonts w:hint="eastAsia" w:ascii="仿宋" w:hAnsi="仿宋" w:eastAsia="仿宋" w:cs="宋体"/>
          <w:b/>
          <w:color w:val="000000"/>
          <w:spacing w:val="40"/>
          <w:sz w:val="72"/>
          <w:szCs w:val="72"/>
          <w:highlight w:val="none"/>
        </w:rPr>
      </w:pPr>
      <w:r>
        <w:rPr>
          <w:rFonts w:hint="eastAsia" w:ascii="仿宋" w:hAnsi="仿宋" w:eastAsia="仿宋" w:cs="宋体"/>
          <w:b/>
          <w:color w:val="000000"/>
          <w:spacing w:val="40"/>
          <w:sz w:val="72"/>
          <w:szCs w:val="72"/>
          <w:highlight w:val="none"/>
        </w:rPr>
        <w:t>招标文件</w:t>
      </w:r>
    </w:p>
    <w:p w14:paraId="2963633B">
      <w:pPr>
        <w:spacing w:after="120" w:line="400" w:lineRule="exact"/>
        <w:jc w:val="center"/>
        <w:rPr>
          <w:rFonts w:hint="eastAsia" w:ascii="仿宋" w:hAnsi="仿宋" w:eastAsia="仿宋" w:cs="宋体"/>
          <w:b/>
          <w:color w:val="000000"/>
          <w:sz w:val="28"/>
          <w:szCs w:val="28"/>
          <w:highlight w:val="none"/>
        </w:rPr>
      </w:pPr>
    </w:p>
    <w:p w14:paraId="4813C4E4">
      <w:pPr>
        <w:spacing w:after="120" w:line="400" w:lineRule="exact"/>
        <w:jc w:val="center"/>
        <w:rPr>
          <w:rFonts w:hint="eastAsia" w:ascii="仿宋" w:hAnsi="仿宋" w:eastAsia="仿宋" w:cs="宋体"/>
          <w:b/>
          <w:color w:val="000000"/>
          <w:sz w:val="28"/>
          <w:szCs w:val="28"/>
          <w:highlight w:val="none"/>
        </w:rPr>
      </w:pPr>
    </w:p>
    <w:p w14:paraId="63753AC3">
      <w:pPr>
        <w:spacing w:after="120" w:line="400" w:lineRule="exact"/>
        <w:jc w:val="center"/>
        <w:rPr>
          <w:rFonts w:hint="eastAsia" w:ascii="仿宋" w:hAnsi="仿宋" w:eastAsia="仿宋" w:cs="宋体"/>
          <w:b/>
          <w:color w:val="000000"/>
          <w:sz w:val="28"/>
          <w:szCs w:val="28"/>
          <w:highlight w:val="none"/>
        </w:rPr>
      </w:pPr>
    </w:p>
    <w:p w14:paraId="186F82BC">
      <w:pPr>
        <w:spacing w:after="120" w:line="400" w:lineRule="exact"/>
        <w:jc w:val="center"/>
        <w:rPr>
          <w:rFonts w:hint="eastAsia" w:ascii="仿宋" w:hAnsi="仿宋" w:eastAsia="仿宋" w:cs="宋体"/>
          <w:b/>
          <w:color w:val="000000"/>
          <w:sz w:val="28"/>
          <w:szCs w:val="28"/>
          <w:highlight w:val="none"/>
        </w:rPr>
      </w:pPr>
    </w:p>
    <w:p w14:paraId="48B2654D">
      <w:pPr>
        <w:spacing w:after="120" w:line="400" w:lineRule="exact"/>
        <w:jc w:val="center"/>
        <w:rPr>
          <w:rFonts w:hint="eastAsia" w:ascii="仿宋" w:hAnsi="仿宋" w:eastAsia="仿宋" w:cs="宋体"/>
          <w:b/>
          <w:color w:val="000000"/>
          <w:sz w:val="28"/>
          <w:szCs w:val="28"/>
          <w:highlight w:val="none"/>
        </w:rPr>
      </w:pPr>
    </w:p>
    <w:p w14:paraId="6B7A09F6">
      <w:pPr>
        <w:spacing w:after="120" w:line="400" w:lineRule="exact"/>
        <w:jc w:val="center"/>
        <w:rPr>
          <w:rFonts w:hint="eastAsia" w:ascii="仿宋" w:hAnsi="仿宋" w:eastAsia="仿宋" w:cs="宋体"/>
          <w:b/>
          <w:color w:val="000000"/>
          <w:sz w:val="28"/>
          <w:szCs w:val="28"/>
          <w:highlight w:val="none"/>
        </w:rPr>
      </w:pPr>
    </w:p>
    <w:p w14:paraId="6372B721">
      <w:pPr>
        <w:spacing w:after="120" w:line="400" w:lineRule="exact"/>
        <w:jc w:val="center"/>
        <w:rPr>
          <w:rFonts w:hint="eastAsia" w:ascii="仿宋" w:hAnsi="仿宋" w:eastAsia="仿宋" w:cs="宋体"/>
          <w:b/>
          <w:color w:val="000000"/>
          <w:sz w:val="28"/>
          <w:szCs w:val="28"/>
          <w:highlight w:val="none"/>
        </w:rPr>
      </w:pPr>
    </w:p>
    <w:p w14:paraId="3D9F4BF8">
      <w:pPr>
        <w:jc w:val="center"/>
        <w:rPr>
          <w:rFonts w:hint="default" w:ascii="仿宋" w:hAnsi="仿宋" w:eastAsia="仿宋" w:cs="仿宋"/>
          <w:sz w:val="28"/>
          <w:szCs w:val="28"/>
          <w:lang w:val="en-US" w:eastAsia="zh-CN"/>
        </w:rPr>
      </w:pPr>
      <w:r>
        <w:rPr>
          <w:rFonts w:hint="eastAsia" w:ascii="仿宋" w:hAnsi="仿宋" w:eastAsia="仿宋" w:cs="仿宋"/>
          <w:sz w:val="28"/>
          <w:szCs w:val="28"/>
        </w:rPr>
        <w:t>招标人：中国人民财产保险股份有限公司湖北省分公司</w:t>
      </w:r>
    </w:p>
    <w:p w14:paraId="031A64A4">
      <w:pPr>
        <w:jc w:val="center"/>
        <w:rPr>
          <w:rFonts w:hint="default" w:ascii="仿宋" w:hAnsi="仿宋" w:eastAsia="仿宋" w:cs="仿宋"/>
          <w:sz w:val="28"/>
          <w:szCs w:val="28"/>
          <w:lang w:val="en-US" w:eastAsia="zh-CN"/>
        </w:rPr>
      </w:pPr>
      <w:r>
        <w:rPr>
          <w:rFonts w:hint="eastAsia" w:ascii="仿宋" w:hAnsi="仿宋" w:eastAsia="仿宋" w:cs="仿宋"/>
          <w:sz w:val="28"/>
          <w:szCs w:val="28"/>
        </w:rPr>
        <w:t>招标代理机构：</w:t>
      </w:r>
      <w:r>
        <w:rPr>
          <w:rFonts w:hint="eastAsia" w:ascii="仿宋" w:hAnsi="仿宋" w:eastAsia="仿宋" w:cs="仿宋"/>
          <w:sz w:val="28"/>
          <w:szCs w:val="28"/>
          <w:lang w:val="en-US" w:eastAsia="zh-CN"/>
        </w:rPr>
        <w:t>湖北引发管理咨询有限公司</w:t>
      </w:r>
    </w:p>
    <w:p w14:paraId="0AA3DFB8">
      <w:pPr>
        <w:jc w:val="center"/>
        <w:rPr>
          <w:rFonts w:hint="eastAsia" w:ascii="仿宋" w:hAnsi="仿宋" w:eastAsia="仿宋" w:cs="仿宋"/>
          <w:sz w:val="28"/>
          <w:szCs w:val="28"/>
        </w:rPr>
        <w:sectPr>
          <w:footerReference r:id="rId7" w:type="first"/>
          <w:headerReference r:id="rId5" w:type="default"/>
          <w:footerReference r:id="rId6" w:type="default"/>
          <w:pgSz w:w="11906" w:h="16838"/>
          <w:pgMar w:top="1417" w:right="1134" w:bottom="1134" w:left="1134" w:header="851" w:footer="992" w:gutter="0"/>
          <w:cols w:space="720" w:num="1"/>
          <w:titlePg/>
          <w:docGrid w:type="lines" w:linePitch="312" w:charSpace="0"/>
        </w:sectPr>
      </w:pPr>
      <w:r>
        <w:rPr>
          <w:rFonts w:hint="eastAsia" w:ascii="仿宋" w:hAnsi="仿宋" w:eastAsia="仿宋" w:cs="仿宋"/>
          <w:sz w:val="28"/>
          <w:szCs w:val="28"/>
        </w:rPr>
        <w:t>日期：</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5</w:t>
      </w:r>
      <w:r>
        <w:rPr>
          <w:rFonts w:hint="eastAsia" w:ascii="仿宋" w:hAnsi="仿宋" w:eastAsia="仿宋" w:cs="仿宋"/>
          <w:sz w:val="28"/>
          <w:szCs w:val="28"/>
        </w:rPr>
        <w:t>月</w:t>
      </w:r>
    </w:p>
    <w:p w14:paraId="75D63DEC">
      <w:pPr>
        <w:jc w:val="center"/>
        <w:rPr>
          <w:rFonts w:hint="eastAsia" w:ascii="仿宋" w:hAnsi="仿宋" w:eastAsia="仿宋" w:cs="宋体"/>
          <w:b/>
          <w:color w:val="000000"/>
          <w:sz w:val="32"/>
          <w:szCs w:val="32"/>
          <w:highlight w:val="none"/>
        </w:rPr>
      </w:pPr>
      <w:r>
        <w:rPr>
          <w:rFonts w:hint="eastAsia" w:ascii="仿宋" w:hAnsi="仿宋" w:eastAsia="仿宋" w:cs="宋体"/>
          <w:b/>
          <w:color w:val="000000"/>
          <w:sz w:val="32"/>
          <w:szCs w:val="32"/>
          <w:highlight w:val="none"/>
        </w:rPr>
        <w:t>目  录</w:t>
      </w:r>
    </w:p>
    <w:p w14:paraId="5F5BFBCF">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color w:val="000000"/>
          <w:szCs w:val="21"/>
          <w:highlight w:val="none"/>
        </w:rPr>
        <w:instrText xml:space="preserve">TOC \o "1-3" \h  \u </w:instrText>
      </w:r>
      <w:r>
        <w:rPr>
          <w:rFonts w:hint="eastAsia" w:ascii="仿宋" w:hAnsi="仿宋" w:eastAsia="仿宋" w:cs="宋体"/>
          <w:color w:val="000000"/>
          <w:szCs w:val="21"/>
          <w:highlight w:val="none"/>
        </w:rPr>
        <w:fldChar w:fldCharType="separate"/>
      </w: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_Toc8790 </w:instrText>
      </w:r>
      <w:r>
        <w:rPr>
          <w:rFonts w:hint="eastAsia" w:ascii="仿宋" w:hAnsi="仿宋" w:eastAsia="仿宋" w:cs="宋体"/>
          <w:szCs w:val="21"/>
          <w:highlight w:val="none"/>
        </w:rPr>
        <w:fldChar w:fldCharType="separate"/>
      </w:r>
      <w:r>
        <w:rPr>
          <w:rFonts w:hint="eastAsia" w:ascii="仿宋" w:hAnsi="仿宋" w:cs="宋体"/>
          <w:highlight w:val="none"/>
        </w:rPr>
        <w:t>第一章 招标公告</w:t>
      </w:r>
      <w:r>
        <w:tab/>
      </w:r>
      <w:r>
        <w:fldChar w:fldCharType="begin"/>
      </w:r>
      <w:r>
        <w:instrText xml:space="preserve"> PAGEREF _Toc8790 \h </w:instrText>
      </w:r>
      <w:r>
        <w:fldChar w:fldCharType="separate"/>
      </w:r>
      <w:r>
        <w:t>5</w:t>
      </w:r>
      <w:r>
        <w:fldChar w:fldCharType="end"/>
      </w:r>
      <w:r>
        <w:rPr>
          <w:rFonts w:hint="eastAsia" w:ascii="仿宋" w:hAnsi="仿宋" w:eastAsia="仿宋" w:cs="宋体"/>
          <w:color w:val="000000"/>
          <w:szCs w:val="21"/>
          <w:highlight w:val="none"/>
        </w:rPr>
        <w:fldChar w:fldCharType="end"/>
      </w:r>
    </w:p>
    <w:p w14:paraId="0B6B4A2C">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_Toc13923 </w:instrText>
      </w:r>
      <w:r>
        <w:rPr>
          <w:rFonts w:hint="eastAsia" w:ascii="仿宋" w:hAnsi="仿宋" w:eastAsia="仿宋" w:cs="宋体"/>
          <w:szCs w:val="21"/>
          <w:highlight w:val="none"/>
        </w:rPr>
        <w:fldChar w:fldCharType="separate"/>
      </w:r>
      <w:r>
        <w:rPr>
          <w:rFonts w:hint="eastAsia" w:ascii="仿宋" w:hAnsi="仿宋" w:cs="宋体"/>
          <w:szCs w:val="24"/>
          <w:highlight w:val="none"/>
        </w:rPr>
        <w:t>一、招标条件</w:t>
      </w:r>
      <w:r>
        <w:tab/>
      </w:r>
      <w:r>
        <w:fldChar w:fldCharType="begin"/>
      </w:r>
      <w:r>
        <w:instrText xml:space="preserve"> PAGEREF _Toc13923 \h </w:instrText>
      </w:r>
      <w:r>
        <w:fldChar w:fldCharType="separate"/>
      </w:r>
      <w:r>
        <w:t>5</w:t>
      </w:r>
      <w:r>
        <w:fldChar w:fldCharType="end"/>
      </w:r>
      <w:r>
        <w:rPr>
          <w:rFonts w:hint="eastAsia" w:ascii="仿宋" w:hAnsi="仿宋" w:eastAsia="仿宋" w:cs="宋体"/>
          <w:color w:val="000000"/>
          <w:szCs w:val="21"/>
          <w:highlight w:val="none"/>
        </w:rPr>
        <w:fldChar w:fldCharType="end"/>
      </w:r>
    </w:p>
    <w:p w14:paraId="66F4D4AA">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_Toc30531 </w:instrText>
      </w:r>
      <w:r>
        <w:rPr>
          <w:rFonts w:hint="eastAsia" w:ascii="仿宋" w:hAnsi="仿宋" w:eastAsia="仿宋" w:cs="宋体"/>
          <w:szCs w:val="21"/>
          <w:highlight w:val="none"/>
        </w:rPr>
        <w:fldChar w:fldCharType="separate"/>
      </w:r>
      <w:r>
        <w:rPr>
          <w:rFonts w:hint="eastAsia" w:ascii="仿宋" w:hAnsi="仿宋" w:cs="宋体"/>
          <w:szCs w:val="24"/>
          <w:highlight w:val="none"/>
        </w:rPr>
        <w:t>二、项目概况与招标范围</w:t>
      </w:r>
      <w:r>
        <w:tab/>
      </w:r>
      <w:r>
        <w:fldChar w:fldCharType="begin"/>
      </w:r>
      <w:r>
        <w:instrText xml:space="preserve"> PAGEREF _Toc30531 \h </w:instrText>
      </w:r>
      <w:r>
        <w:fldChar w:fldCharType="separate"/>
      </w:r>
      <w:r>
        <w:t>5</w:t>
      </w:r>
      <w:r>
        <w:fldChar w:fldCharType="end"/>
      </w:r>
      <w:r>
        <w:rPr>
          <w:rFonts w:hint="eastAsia" w:ascii="仿宋" w:hAnsi="仿宋" w:eastAsia="仿宋" w:cs="宋体"/>
          <w:color w:val="000000"/>
          <w:szCs w:val="21"/>
          <w:highlight w:val="none"/>
        </w:rPr>
        <w:fldChar w:fldCharType="end"/>
      </w:r>
    </w:p>
    <w:p w14:paraId="1F08D0D6">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_Toc6528 </w:instrText>
      </w:r>
      <w:r>
        <w:rPr>
          <w:rFonts w:hint="eastAsia" w:ascii="仿宋" w:hAnsi="仿宋" w:eastAsia="仿宋" w:cs="宋体"/>
          <w:szCs w:val="21"/>
          <w:highlight w:val="none"/>
        </w:rPr>
        <w:fldChar w:fldCharType="separate"/>
      </w:r>
      <w:r>
        <w:rPr>
          <w:rFonts w:hint="eastAsia" w:ascii="仿宋" w:hAnsi="仿宋" w:cs="宋体"/>
          <w:szCs w:val="24"/>
          <w:highlight w:val="none"/>
        </w:rPr>
        <w:t>三、投标人资格要求</w:t>
      </w:r>
      <w:r>
        <w:tab/>
      </w:r>
      <w:r>
        <w:fldChar w:fldCharType="begin"/>
      </w:r>
      <w:r>
        <w:instrText xml:space="preserve"> PAGEREF _Toc6528 \h </w:instrText>
      </w:r>
      <w:r>
        <w:fldChar w:fldCharType="separate"/>
      </w:r>
      <w:r>
        <w:t>5</w:t>
      </w:r>
      <w:r>
        <w:fldChar w:fldCharType="end"/>
      </w:r>
      <w:r>
        <w:rPr>
          <w:rFonts w:hint="eastAsia" w:ascii="仿宋" w:hAnsi="仿宋" w:eastAsia="仿宋" w:cs="宋体"/>
          <w:color w:val="000000"/>
          <w:szCs w:val="21"/>
          <w:highlight w:val="none"/>
        </w:rPr>
        <w:fldChar w:fldCharType="end"/>
      </w:r>
    </w:p>
    <w:p w14:paraId="083ED7F5">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_Toc12385 </w:instrText>
      </w:r>
      <w:r>
        <w:rPr>
          <w:rFonts w:hint="eastAsia" w:ascii="仿宋" w:hAnsi="仿宋" w:eastAsia="仿宋" w:cs="宋体"/>
          <w:szCs w:val="21"/>
          <w:highlight w:val="none"/>
        </w:rPr>
        <w:fldChar w:fldCharType="separate"/>
      </w:r>
      <w:r>
        <w:rPr>
          <w:rFonts w:hint="eastAsia" w:ascii="仿宋" w:hAnsi="仿宋" w:cs="宋体"/>
          <w:highlight w:val="none"/>
        </w:rPr>
        <w:t>四、资格审查方法</w:t>
      </w:r>
      <w:r>
        <w:tab/>
      </w:r>
      <w:r>
        <w:fldChar w:fldCharType="begin"/>
      </w:r>
      <w:r>
        <w:instrText xml:space="preserve"> PAGEREF _Toc12385 \h </w:instrText>
      </w:r>
      <w:r>
        <w:fldChar w:fldCharType="separate"/>
      </w:r>
      <w:r>
        <w:t>6</w:t>
      </w:r>
      <w:r>
        <w:fldChar w:fldCharType="end"/>
      </w:r>
      <w:r>
        <w:rPr>
          <w:rFonts w:hint="eastAsia" w:ascii="仿宋" w:hAnsi="仿宋" w:eastAsia="仿宋" w:cs="宋体"/>
          <w:color w:val="000000"/>
          <w:szCs w:val="21"/>
          <w:highlight w:val="none"/>
        </w:rPr>
        <w:fldChar w:fldCharType="end"/>
      </w:r>
    </w:p>
    <w:p w14:paraId="39F69307">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_Toc11877 </w:instrText>
      </w:r>
      <w:r>
        <w:rPr>
          <w:rFonts w:hint="eastAsia" w:ascii="仿宋" w:hAnsi="仿宋" w:eastAsia="仿宋" w:cs="宋体"/>
          <w:szCs w:val="21"/>
          <w:highlight w:val="none"/>
        </w:rPr>
        <w:fldChar w:fldCharType="separate"/>
      </w:r>
      <w:r>
        <w:rPr>
          <w:rFonts w:hint="eastAsia" w:ascii="仿宋" w:hAnsi="仿宋" w:cs="宋体"/>
          <w:szCs w:val="24"/>
          <w:highlight w:val="none"/>
        </w:rPr>
        <w:t>五、招标文件的获取</w:t>
      </w:r>
      <w:r>
        <w:tab/>
      </w:r>
      <w:r>
        <w:fldChar w:fldCharType="begin"/>
      </w:r>
      <w:r>
        <w:instrText xml:space="preserve"> PAGEREF _Toc11877 \h </w:instrText>
      </w:r>
      <w:r>
        <w:fldChar w:fldCharType="separate"/>
      </w:r>
      <w:r>
        <w:t>6</w:t>
      </w:r>
      <w:r>
        <w:fldChar w:fldCharType="end"/>
      </w:r>
      <w:r>
        <w:rPr>
          <w:rFonts w:hint="eastAsia" w:ascii="仿宋" w:hAnsi="仿宋" w:eastAsia="仿宋" w:cs="宋体"/>
          <w:color w:val="000000"/>
          <w:szCs w:val="21"/>
          <w:highlight w:val="none"/>
        </w:rPr>
        <w:fldChar w:fldCharType="end"/>
      </w:r>
    </w:p>
    <w:p w14:paraId="6F388DF5">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_Toc31250 </w:instrText>
      </w:r>
      <w:r>
        <w:rPr>
          <w:rFonts w:hint="eastAsia" w:ascii="仿宋" w:hAnsi="仿宋" w:eastAsia="仿宋" w:cs="宋体"/>
          <w:szCs w:val="21"/>
          <w:highlight w:val="none"/>
        </w:rPr>
        <w:fldChar w:fldCharType="separate"/>
      </w:r>
      <w:r>
        <w:rPr>
          <w:rFonts w:hint="eastAsia" w:ascii="仿宋" w:hAnsi="仿宋" w:cs="宋体"/>
          <w:highlight w:val="none"/>
        </w:rPr>
        <w:t>六、投标文件的递交</w:t>
      </w:r>
      <w:r>
        <w:tab/>
      </w:r>
      <w:r>
        <w:fldChar w:fldCharType="begin"/>
      </w:r>
      <w:r>
        <w:instrText xml:space="preserve"> PAGEREF _Toc31250 \h </w:instrText>
      </w:r>
      <w:r>
        <w:fldChar w:fldCharType="separate"/>
      </w:r>
      <w:r>
        <w:t>7</w:t>
      </w:r>
      <w:r>
        <w:fldChar w:fldCharType="end"/>
      </w:r>
      <w:r>
        <w:rPr>
          <w:rFonts w:hint="eastAsia" w:ascii="仿宋" w:hAnsi="仿宋" w:eastAsia="仿宋" w:cs="宋体"/>
          <w:color w:val="000000"/>
          <w:szCs w:val="21"/>
          <w:highlight w:val="none"/>
        </w:rPr>
        <w:fldChar w:fldCharType="end"/>
      </w:r>
    </w:p>
    <w:p w14:paraId="002F62C8">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_Toc23758 </w:instrText>
      </w:r>
      <w:r>
        <w:rPr>
          <w:rFonts w:hint="eastAsia" w:ascii="仿宋" w:hAnsi="仿宋" w:eastAsia="仿宋" w:cs="宋体"/>
          <w:szCs w:val="21"/>
          <w:highlight w:val="none"/>
        </w:rPr>
        <w:fldChar w:fldCharType="separate"/>
      </w:r>
      <w:r>
        <w:rPr>
          <w:rFonts w:hint="eastAsia" w:ascii="仿宋" w:hAnsi="仿宋" w:cs="宋体"/>
          <w:highlight w:val="none"/>
          <w:lang w:val="en-US" w:eastAsia="zh-CN"/>
        </w:rPr>
        <w:t>七</w:t>
      </w:r>
      <w:r>
        <w:rPr>
          <w:rFonts w:hint="eastAsia" w:ascii="仿宋" w:hAnsi="仿宋" w:cs="宋体"/>
          <w:highlight w:val="none"/>
        </w:rPr>
        <w:t>、发布公告的媒介</w:t>
      </w:r>
      <w:r>
        <w:tab/>
      </w:r>
      <w:r>
        <w:fldChar w:fldCharType="begin"/>
      </w:r>
      <w:r>
        <w:instrText xml:space="preserve"> PAGEREF _Toc23758 \h </w:instrText>
      </w:r>
      <w:r>
        <w:fldChar w:fldCharType="separate"/>
      </w:r>
      <w:r>
        <w:t>7</w:t>
      </w:r>
      <w:r>
        <w:fldChar w:fldCharType="end"/>
      </w:r>
      <w:r>
        <w:rPr>
          <w:rFonts w:hint="eastAsia" w:ascii="仿宋" w:hAnsi="仿宋" w:eastAsia="仿宋" w:cs="宋体"/>
          <w:color w:val="000000"/>
          <w:szCs w:val="21"/>
          <w:highlight w:val="none"/>
        </w:rPr>
        <w:fldChar w:fldCharType="end"/>
      </w:r>
    </w:p>
    <w:p w14:paraId="26F8A21B">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_Toc24187 </w:instrText>
      </w:r>
      <w:r>
        <w:rPr>
          <w:rFonts w:hint="eastAsia" w:ascii="仿宋" w:hAnsi="仿宋" w:eastAsia="仿宋" w:cs="宋体"/>
          <w:szCs w:val="21"/>
          <w:highlight w:val="none"/>
        </w:rPr>
        <w:fldChar w:fldCharType="separate"/>
      </w:r>
      <w:r>
        <w:rPr>
          <w:rFonts w:hint="eastAsia" w:ascii="仿宋" w:hAnsi="仿宋" w:cs="宋体"/>
          <w:highlight w:val="none"/>
          <w:lang w:val="en-US" w:eastAsia="zh-CN"/>
        </w:rPr>
        <w:t>八</w:t>
      </w:r>
      <w:r>
        <w:rPr>
          <w:rFonts w:hint="eastAsia" w:ascii="仿宋" w:hAnsi="仿宋" w:cs="宋体"/>
          <w:highlight w:val="none"/>
        </w:rPr>
        <w:t>、联系方式</w:t>
      </w:r>
      <w:r>
        <w:tab/>
      </w:r>
      <w:r>
        <w:fldChar w:fldCharType="begin"/>
      </w:r>
      <w:r>
        <w:instrText xml:space="preserve"> PAGEREF _Toc24187 \h </w:instrText>
      </w:r>
      <w:r>
        <w:fldChar w:fldCharType="separate"/>
      </w:r>
      <w:r>
        <w:t>7</w:t>
      </w:r>
      <w:r>
        <w:fldChar w:fldCharType="end"/>
      </w:r>
      <w:r>
        <w:rPr>
          <w:rFonts w:hint="eastAsia" w:ascii="仿宋" w:hAnsi="仿宋" w:eastAsia="仿宋" w:cs="宋体"/>
          <w:color w:val="000000"/>
          <w:szCs w:val="21"/>
          <w:highlight w:val="none"/>
        </w:rPr>
        <w:fldChar w:fldCharType="end"/>
      </w:r>
    </w:p>
    <w:p w14:paraId="2DFAB3CF">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_Toc10818 </w:instrText>
      </w:r>
      <w:r>
        <w:rPr>
          <w:rFonts w:hint="eastAsia" w:ascii="仿宋" w:hAnsi="仿宋" w:eastAsia="仿宋" w:cs="宋体"/>
          <w:szCs w:val="21"/>
          <w:highlight w:val="none"/>
        </w:rPr>
        <w:fldChar w:fldCharType="separate"/>
      </w:r>
      <w:r>
        <w:rPr>
          <w:rFonts w:hint="eastAsia" w:ascii="仿宋" w:hAnsi="仿宋" w:cs="宋体"/>
          <w:highlight w:val="none"/>
        </w:rPr>
        <w:t>第二章 投标人须知</w:t>
      </w:r>
      <w:r>
        <w:tab/>
      </w:r>
      <w:r>
        <w:fldChar w:fldCharType="begin"/>
      </w:r>
      <w:r>
        <w:instrText xml:space="preserve"> PAGEREF _Toc10818 \h </w:instrText>
      </w:r>
      <w:r>
        <w:fldChar w:fldCharType="separate"/>
      </w:r>
      <w:r>
        <w:t>9</w:t>
      </w:r>
      <w:r>
        <w:fldChar w:fldCharType="end"/>
      </w:r>
      <w:r>
        <w:rPr>
          <w:rFonts w:hint="eastAsia" w:ascii="仿宋" w:hAnsi="仿宋" w:eastAsia="仿宋" w:cs="宋体"/>
          <w:color w:val="000000"/>
          <w:szCs w:val="21"/>
          <w:highlight w:val="none"/>
        </w:rPr>
        <w:fldChar w:fldCharType="end"/>
      </w:r>
    </w:p>
    <w:p w14:paraId="64FA59A9">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_Toc10551 </w:instrText>
      </w:r>
      <w:r>
        <w:rPr>
          <w:rFonts w:hint="eastAsia" w:ascii="仿宋" w:hAnsi="仿宋" w:eastAsia="仿宋" w:cs="宋体"/>
          <w:szCs w:val="21"/>
          <w:highlight w:val="none"/>
        </w:rPr>
        <w:fldChar w:fldCharType="separate"/>
      </w:r>
      <w:r>
        <w:rPr>
          <w:rFonts w:hint="eastAsia" w:ascii="仿宋" w:hAnsi="仿宋" w:cs="宋体"/>
          <w:szCs w:val="24"/>
          <w:highlight w:val="none"/>
        </w:rPr>
        <w:t>投标人须知前附表</w:t>
      </w:r>
      <w:r>
        <w:tab/>
      </w:r>
      <w:r>
        <w:fldChar w:fldCharType="begin"/>
      </w:r>
      <w:r>
        <w:instrText xml:space="preserve"> PAGEREF _Toc10551 \h </w:instrText>
      </w:r>
      <w:r>
        <w:fldChar w:fldCharType="separate"/>
      </w:r>
      <w:r>
        <w:t>9</w:t>
      </w:r>
      <w:r>
        <w:fldChar w:fldCharType="end"/>
      </w:r>
      <w:r>
        <w:rPr>
          <w:rFonts w:hint="eastAsia" w:ascii="仿宋" w:hAnsi="仿宋" w:eastAsia="仿宋" w:cs="宋体"/>
          <w:color w:val="000000"/>
          <w:szCs w:val="21"/>
          <w:highlight w:val="none"/>
        </w:rPr>
        <w:fldChar w:fldCharType="end"/>
      </w:r>
    </w:p>
    <w:p w14:paraId="040870C2">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_Toc18287 </w:instrText>
      </w:r>
      <w:r>
        <w:rPr>
          <w:rFonts w:hint="eastAsia" w:ascii="仿宋" w:hAnsi="仿宋" w:eastAsia="仿宋" w:cs="宋体"/>
          <w:szCs w:val="21"/>
          <w:highlight w:val="none"/>
        </w:rPr>
        <w:fldChar w:fldCharType="separate"/>
      </w:r>
      <w:r>
        <w:rPr>
          <w:rFonts w:hint="eastAsia" w:ascii="仿宋" w:hAnsi="仿宋" w:cs="宋体"/>
          <w:szCs w:val="24"/>
          <w:highlight w:val="none"/>
        </w:rPr>
        <w:t>1.总则</w:t>
      </w:r>
      <w:r>
        <w:tab/>
      </w:r>
      <w:r>
        <w:fldChar w:fldCharType="begin"/>
      </w:r>
      <w:r>
        <w:instrText xml:space="preserve"> PAGEREF _Toc18287 \h </w:instrText>
      </w:r>
      <w:r>
        <w:fldChar w:fldCharType="separate"/>
      </w:r>
      <w:r>
        <w:t>14</w:t>
      </w:r>
      <w:r>
        <w:fldChar w:fldCharType="end"/>
      </w:r>
      <w:r>
        <w:rPr>
          <w:rFonts w:hint="eastAsia" w:ascii="仿宋" w:hAnsi="仿宋" w:eastAsia="仿宋" w:cs="宋体"/>
          <w:color w:val="000000"/>
          <w:szCs w:val="21"/>
          <w:highlight w:val="none"/>
        </w:rPr>
        <w:fldChar w:fldCharType="end"/>
      </w:r>
    </w:p>
    <w:p w14:paraId="7E004FF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_Toc5548 </w:instrText>
      </w:r>
      <w:r>
        <w:rPr>
          <w:rFonts w:hint="eastAsia" w:ascii="仿宋" w:hAnsi="仿宋" w:eastAsia="仿宋" w:cs="宋体"/>
          <w:szCs w:val="21"/>
          <w:highlight w:val="none"/>
        </w:rPr>
        <w:fldChar w:fldCharType="separate"/>
      </w:r>
      <w:r>
        <w:rPr>
          <w:rFonts w:ascii="仿宋" w:hAnsi="仿宋" w:cs="宋体"/>
          <w:highlight w:val="none"/>
        </w:rPr>
        <w:t>1.1 项目概况</w:t>
      </w:r>
      <w:r>
        <w:tab/>
      </w:r>
      <w:r>
        <w:fldChar w:fldCharType="begin"/>
      </w:r>
      <w:r>
        <w:instrText xml:space="preserve"> PAGEREF _Toc5548 \h </w:instrText>
      </w:r>
      <w:r>
        <w:fldChar w:fldCharType="separate"/>
      </w:r>
      <w:r>
        <w:t>14</w:t>
      </w:r>
      <w:r>
        <w:fldChar w:fldCharType="end"/>
      </w:r>
      <w:r>
        <w:rPr>
          <w:rFonts w:hint="eastAsia" w:ascii="仿宋" w:hAnsi="仿宋" w:eastAsia="仿宋" w:cs="宋体"/>
          <w:color w:val="000000"/>
          <w:szCs w:val="21"/>
          <w:highlight w:val="none"/>
        </w:rPr>
        <w:fldChar w:fldCharType="end"/>
      </w:r>
    </w:p>
    <w:p w14:paraId="355E8396">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_Toc438 </w:instrText>
      </w:r>
      <w:r>
        <w:rPr>
          <w:rFonts w:hint="eastAsia" w:ascii="仿宋" w:hAnsi="仿宋" w:eastAsia="仿宋" w:cs="宋体"/>
          <w:szCs w:val="21"/>
          <w:highlight w:val="none"/>
        </w:rPr>
        <w:fldChar w:fldCharType="separate"/>
      </w:r>
      <w:r>
        <w:rPr>
          <w:rFonts w:ascii="仿宋" w:hAnsi="仿宋" w:cs="宋体"/>
          <w:highlight w:val="none"/>
        </w:rPr>
        <w:t>1.2 资金来源和落实情况</w:t>
      </w:r>
      <w:r>
        <w:tab/>
      </w:r>
      <w:r>
        <w:fldChar w:fldCharType="begin"/>
      </w:r>
      <w:r>
        <w:instrText xml:space="preserve"> PAGEREF _Toc438 \h </w:instrText>
      </w:r>
      <w:r>
        <w:fldChar w:fldCharType="separate"/>
      </w:r>
      <w:r>
        <w:t>14</w:t>
      </w:r>
      <w:r>
        <w:fldChar w:fldCharType="end"/>
      </w:r>
      <w:r>
        <w:rPr>
          <w:rFonts w:hint="eastAsia" w:ascii="仿宋" w:hAnsi="仿宋" w:eastAsia="仿宋" w:cs="宋体"/>
          <w:color w:val="000000"/>
          <w:szCs w:val="21"/>
          <w:highlight w:val="none"/>
        </w:rPr>
        <w:fldChar w:fldCharType="end"/>
      </w:r>
    </w:p>
    <w:p w14:paraId="37BA3A5E">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_Toc1291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3</w:t>
      </w:r>
      <w:r>
        <w:rPr>
          <w:rFonts w:ascii="仿宋" w:hAnsi="仿宋" w:cs="宋体"/>
          <w:highlight w:val="none"/>
        </w:rPr>
        <w:t>招标方式</w:t>
      </w:r>
      <w:r>
        <w:tab/>
      </w:r>
      <w:r>
        <w:fldChar w:fldCharType="begin"/>
      </w:r>
      <w:r>
        <w:instrText xml:space="preserve"> PAGEREF _Toc1291 \h </w:instrText>
      </w:r>
      <w:r>
        <w:fldChar w:fldCharType="separate"/>
      </w:r>
      <w:r>
        <w:t>14</w:t>
      </w:r>
      <w:r>
        <w:fldChar w:fldCharType="end"/>
      </w:r>
      <w:r>
        <w:rPr>
          <w:rFonts w:hint="eastAsia" w:ascii="仿宋" w:hAnsi="仿宋" w:eastAsia="仿宋" w:cs="宋体"/>
          <w:color w:val="000000"/>
          <w:szCs w:val="21"/>
          <w:highlight w:val="none"/>
        </w:rPr>
        <w:fldChar w:fldCharType="end"/>
      </w:r>
    </w:p>
    <w:p w14:paraId="28308E67">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_Toc421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4</w:t>
      </w:r>
      <w:r>
        <w:rPr>
          <w:rFonts w:ascii="仿宋" w:hAnsi="仿宋" w:cs="宋体"/>
          <w:highlight w:val="none"/>
        </w:rPr>
        <w:t>招标组织形式</w:t>
      </w:r>
      <w:r>
        <w:tab/>
      </w:r>
      <w:r>
        <w:fldChar w:fldCharType="begin"/>
      </w:r>
      <w:r>
        <w:instrText xml:space="preserve"> PAGEREF _Toc421 \h </w:instrText>
      </w:r>
      <w:r>
        <w:fldChar w:fldCharType="separate"/>
      </w:r>
      <w:r>
        <w:t>14</w:t>
      </w:r>
      <w:r>
        <w:fldChar w:fldCharType="end"/>
      </w:r>
      <w:r>
        <w:rPr>
          <w:rFonts w:hint="eastAsia" w:ascii="仿宋" w:hAnsi="仿宋" w:eastAsia="仿宋" w:cs="宋体"/>
          <w:color w:val="000000"/>
          <w:szCs w:val="21"/>
          <w:highlight w:val="none"/>
        </w:rPr>
        <w:fldChar w:fldCharType="end"/>
      </w:r>
    </w:p>
    <w:p w14:paraId="7B580052">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_Toc8509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5</w:t>
      </w:r>
      <w:r>
        <w:rPr>
          <w:rFonts w:ascii="仿宋" w:hAnsi="仿宋" w:cs="宋体"/>
          <w:highlight w:val="none"/>
        </w:rPr>
        <w:t>资格审查</w:t>
      </w:r>
      <w:r>
        <w:tab/>
      </w:r>
      <w:r>
        <w:fldChar w:fldCharType="begin"/>
      </w:r>
      <w:r>
        <w:instrText xml:space="preserve"> PAGEREF _Toc8509 \h </w:instrText>
      </w:r>
      <w:r>
        <w:fldChar w:fldCharType="separate"/>
      </w:r>
      <w:r>
        <w:t>15</w:t>
      </w:r>
      <w:r>
        <w:fldChar w:fldCharType="end"/>
      </w:r>
      <w:r>
        <w:rPr>
          <w:rFonts w:hint="eastAsia" w:ascii="仿宋" w:hAnsi="仿宋" w:eastAsia="仿宋" w:cs="宋体"/>
          <w:color w:val="000000"/>
          <w:szCs w:val="21"/>
          <w:highlight w:val="none"/>
        </w:rPr>
        <w:fldChar w:fldCharType="end"/>
      </w:r>
    </w:p>
    <w:p w14:paraId="4AB587C2">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_Toc18097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6</w:t>
      </w:r>
      <w:r>
        <w:rPr>
          <w:rFonts w:ascii="仿宋" w:hAnsi="仿宋" w:cs="宋体"/>
          <w:highlight w:val="none"/>
        </w:rPr>
        <w:t>投标费用</w:t>
      </w:r>
      <w:r>
        <w:tab/>
      </w:r>
      <w:r>
        <w:fldChar w:fldCharType="begin"/>
      </w:r>
      <w:r>
        <w:instrText xml:space="preserve"> PAGEREF _Toc18097 \h </w:instrText>
      </w:r>
      <w:r>
        <w:fldChar w:fldCharType="separate"/>
      </w:r>
      <w:r>
        <w:t>15</w:t>
      </w:r>
      <w:r>
        <w:fldChar w:fldCharType="end"/>
      </w:r>
      <w:r>
        <w:rPr>
          <w:rFonts w:hint="eastAsia" w:ascii="仿宋" w:hAnsi="仿宋" w:eastAsia="仿宋" w:cs="宋体"/>
          <w:color w:val="000000"/>
          <w:szCs w:val="21"/>
          <w:highlight w:val="none"/>
        </w:rPr>
        <w:fldChar w:fldCharType="end"/>
      </w:r>
    </w:p>
    <w:p w14:paraId="12B91AB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_Toc15437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7</w:t>
      </w:r>
      <w:r>
        <w:rPr>
          <w:rFonts w:ascii="仿宋" w:hAnsi="仿宋" w:cs="宋体"/>
          <w:highlight w:val="none"/>
        </w:rPr>
        <w:t>保密</w:t>
      </w:r>
      <w:r>
        <w:tab/>
      </w:r>
      <w:r>
        <w:fldChar w:fldCharType="begin"/>
      </w:r>
      <w:r>
        <w:instrText xml:space="preserve"> PAGEREF _Toc15437 \h </w:instrText>
      </w:r>
      <w:r>
        <w:fldChar w:fldCharType="separate"/>
      </w:r>
      <w:r>
        <w:t>15</w:t>
      </w:r>
      <w:r>
        <w:fldChar w:fldCharType="end"/>
      </w:r>
      <w:r>
        <w:rPr>
          <w:rFonts w:hint="eastAsia" w:ascii="仿宋" w:hAnsi="仿宋" w:eastAsia="仿宋" w:cs="宋体"/>
          <w:color w:val="000000"/>
          <w:szCs w:val="21"/>
          <w:highlight w:val="none"/>
        </w:rPr>
        <w:fldChar w:fldCharType="end"/>
      </w:r>
    </w:p>
    <w:p w14:paraId="27884362">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_Toc4477 </w:instrText>
      </w:r>
      <w:r>
        <w:rPr>
          <w:rFonts w:hint="eastAsia" w:ascii="仿宋" w:hAnsi="仿宋" w:eastAsia="仿宋" w:cs="宋体"/>
          <w:szCs w:val="21"/>
          <w:highlight w:val="none"/>
        </w:rPr>
        <w:fldChar w:fldCharType="separate"/>
      </w:r>
      <w:r>
        <w:rPr>
          <w:rFonts w:ascii="仿宋" w:hAnsi="仿宋" w:cs="宋体"/>
          <w:highlight w:val="none"/>
        </w:rPr>
        <w:t>1.</w:t>
      </w:r>
      <w:r>
        <w:rPr>
          <w:rFonts w:hint="default" w:ascii="仿宋" w:hAnsi="仿宋" w:cs="宋体"/>
          <w:highlight w:val="none"/>
        </w:rPr>
        <w:t>8</w:t>
      </w:r>
      <w:r>
        <w:rPr>
          <w:rFonts w:ascii="仿宋" w:hAnsi="仿宋" w:cs="宋体"/>
          <w:highlight w:val="none"/>
        </w:rPr>
        <w:t>计量单位</w:t>
      </w:r>
      <w:r>
        <w:tab/>
      </w:r>
      <w:r>
        <w:fldChar w:fldCharType="begin"/>
      </w:r>
      <w:r>
        <w:instrText xml:space="preserve"> PAGEREF _Toc4477 \h </w:instrText>
      </w:r>
      <w:r>
        <w:fldChar w:fldCharType="separate"/>
      </w:r>
      <w:r>
        <w:t>15</w:t>
      </w:r>
      <w:r>
        <w:fldChar w:fldCharType="end"/>
      </w:r>
      <w:r>
        <w:rPr>
          <w:rFonts w:hint="eastAsia" w:ascii="仿宋" w:hAnsi="仿宋" w:eastAsia="仿宋" w:cs="宋体"/>
          <w:color w:val="000000"/>
          <w:szCs w:val="21"/>
          <w:highlight w:val="none"/>
        </w:rPr>
        <w:fldChar w:fldCharType="end"/>
      </w:r>
    </w:p>
    <w:p w14:paraId="3F965DBC">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_Toc30737 </w:instrText>
      </w:r>
      <w:r>
        <w:rPr>
          <w:rFonts w:hint="eastAsia" w:ascii="仿宋" w:hAnsi="仿宋" w:eastAsia="仿宋" w:cs="宋体"/>
          <w:szCs w:val="21"/>
          <w:highlight w:val="none"/>
        </w:rPr>
        <w:fldChar w:fldCharType="separate"/>
      </w:r>
      <w:r>
        <w:rPr>
          <w:rFonts w:hint="eastAsia"/>
        </w:rPr>
        <w:t>2.招标文件</w:t>
      </w:r>
      <w:r>
        <w:tab/>
      </w:r>
      <w:r>
        <w:fldChar w:fldCharType="begin"/>
      </w:r>
      <w:r>
        <w:instrText xml:space="preserve"> PAGEREF _Toc30737 \h </w:instrText>
      </w:r>
      <w:r>
        <w:fldChar w:fldCharType="separate"/>
      </w:r>
      <w:r>
        <w:t>15</w:t>
      </w:r>
      <w:r>
        <w:fldChar w:fldCharType="end"/>
      </w:r>
      <w:r>
        <w:rPr>
          <w:rFonts w:hint="eastAsia" w:ascii="仿宋" w:hAnsi="仿宋" w:eastAsia="仿宋" w:cs="宋体"/>
          <w:color w:val="000000"/>
          <w:szCs w:val="21"/>
          <w:highlight w:val="none"/>
        </w:rPr>
        <w:fldChar w:fldCharType="end"/>
      </w:r>
    </w:p>
    <w:p w14:paraId="611818C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_Toc14683 </w:instrText>
      </w:r>
      <w:r>
        <w:rPr>
          <w:rFonts w:hint="eastAsia" w:ascii="仿宋" w:hAnsi="仿宋" w:eastAsia="仿宋" w:cs="宋体"/>
          <w:szCs w:val="21"/>
          <w:highlight w:val="none"/>
        </w:rPr>
        <w:fldChar w:fldCharType="separate"/>
      </w:r>
      <w:r>
        <w:rPr>
          <w:rFonts w:ascii="仿宋" w:hAnsi="仿宋" w:cs="宋体"/>
          <w:highlight w:val="none"/>
        </w:rPr>
        <w:t>2.1招标文件的组成</w:t>
      </w:r>
      <w:r>
        <w:tab/>
      </w:r>
      <w:r>
        <w:fldChar w:fldCharType="begin"/>
      </w:r>
      <w:r>
        <w:instrText xml:space="preserve"> PAGEREF _Toc14683 \h </w:instrText>
      </w:r>
      <w:r>
        <w:fldChar w:fldCharType="separate"/>
      </w:r>
      <w:r>
        <w:t>15</w:t>
      </w:r>
      <w:r>
        <w:fldChar w:fldCharType="end"/>
      </w:r>
      <w:r>
        <w:rPr>
          <w:rFonts w:hint="eastAsia" w:ascii="仿宋" w:hAnsi="仿宋" w:eastAsia="仿宋" w:cs="宋体"/>
          <w:color w:val="000000"/>
          <w:szCs w:val="21"/>
          <w:highlight w:val="none"/>
        </w:rPr>
        <w:fldChar w:fldCharType="end"/>
      </w:r>
    </w:p>
    <w:p w14:paraId="6572824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_Toc24602 </w:instrText>
      </w:r>
      <w:r>
        <w:rPr>
          <w:rFonts w:hint="eastAsia" w:ascii="仿宋" w:hAnsi="仿宋" w:eastAsia="仿宋" w:cs="宋体"/>
          <w:szCs w:val="21"/>
          <w:highlight w:val="none"/>
        </w:rPr>
        <w:fldChar w:fldCharType="separate"/>
      </w:r>
      <w:r>
        <w:rPr>
          <w:rFonts w:ascii="仿宋" w:hAnsi="仿宋" w:cs="宋体"/>
          <w:highlight w:val="none"/>
        </w:rPr>
        <w:t>2.2踏勘现场</w:t>
      </w:r>
      <w:r>
        <w:tab/>
      </w:r>
      <w:r>
        <w:fldChar w:fldCharType="begin"/>
      </w:r>
      <w:r>
        <w:instrText xml:space="preserve"> PAGEREF _Toc24602 \h </w:instrText>
      </w:r>
      <w:r>
        <w:fldChar w:fldCharType="separate"/>
      </w:r>
      <w:r>
        <w:t>15</w:t>
      </w:r>
      <w:r>
        <w:fldChar w:fldCharType="end"/>
      </w:r>
      <w:r>
        <w:rPr>
          <w:rFonts w:hint="eastAsia" w:ascii="仿宋" w:hAnsi="仿宋" w:eastAsia="仿宋" w:cs="宋体"/>
          <w:color w:val="000000"/>
          <w:szCs w:val="21"/>
          <w:highlight w:val="none"/>
        </w:rPr>
        <w:fldChar w:fldCharType="end"/>
      </w:r>
    </w:p>
    <w:p w14:paraId="2CEB9E0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_Toc3833 </w:instrText>
      </w:r>
      <w:r>
        <w:rPr>
          <w:rFonts w:hint="eastAsia" w:ascii="仿宋" w:hAnsi="仿宋" w:eastAsia="仿宋" w:cs="宋体"/>
          <w:szCs w:val="21"/>
          <w:highlight w:val="none"/>
        </w:rPr>
        <w:fldChar w:fldCharType="separate"/>
      </w:r>
      <w:r>
        <w:rPr>
          <w:rFonts w:ascii="仿宋" w:hAnsi="仿宋" w:cs="宋体"/>
          <w:highlight w:val="none"/>
        </w:rPr>
        <w:t>2.3投标预备会</w:t>
      </w:r>
      <w:r>
        <w:tab/>
      </w:r>
      <w:r>
        <w:fldChar w:fldCharType="begin"/>
      </w:r>
      <w:r>
        <w:instrText xml:space="preserve"> PAGEREF _Toc3833 \h </w:instrText>
      </w:r>
      <w:r>
        <w:fldChar w:fldCharType="separate"/>
      </w:r>
      <w:r>
        <w:t>16</w:t>
      </w:r>
      <w:r>
        <w:fldChar w:fldCharType="end"/>
      </w:r>
      <w:r>
        <w:rPr>
          <w:rFonts w:hint="eastAsia" w:ascii="仿宋" w:hAnsi="仿宋" w:eastAsia="仿宋" w:cs="宋体"/>
          <w:color w:val="000000"/>
          <w:szCs w:val="21"/>
          <w:highlight w:val="none"/>
        </w:rPr>
        <w:fldChar w:fldCharType="end"/>
      </w:r>
    </w:p>
    <w:p w14:paraId="7674C6F5">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_Toc12345 </w:instrText>
      </w:r>
      <w:r>
        <w:rPr>
          <w:rFonts w:hint="eastAsia" w:ascii="仿宋" w:hAnsi="仿宋" w:eastAsia="仿宋" w:cs="宋体"/>
          <w:szCs w:val="21"/>
          <w:highlight w:val="none"/>
        </w:rPr>
        <w:fldChar w:fldCharType="separate"/>
      </w:r>
      <w:r>
        <w:rPr>
          <w:rFonts w:ascii="仿宋" w:hAnsi="仿宋" w:cs="宋体"/>
          <w:highlight w:val="none"/>
        </w:rPr>
        <w:t>2.4招标文件的修改</w:t>
      </w:r>
      <w:r>
        <w:tab/>
      </w:r>
      <w:r>
        <w:fldChar w:fldCharType="begin"/>
      </w:r>
      <w:r>
        <w:instrText xml:space="preserve"> PAGEREF _Toc12345 \h </w:instrText>
      </w:r>
      <w:r>
        <w:fldChar w:fldCharType="separate"/>
      </w:r>
      <w:r>
        <w:t>16</w:t>
      </w:r>
      <w:r>
        <w:fldChar w:fldCharType="end"/>
      </w:r>
      <w:r>
        <w:rPr>
          <w:rFonts w:hint="eastAsia" w:ascii="仿宋" w:hAnsi="仿宋" w:eastAsia="仿宋" w:cs="宋体"/>
          <w:color w:val="000000"/>
          <w:szCs w:val="21"/>
          <w:highlight w:val="none"/>
        </w:rPr>
        <w:fldChar w:fldCharType="end"/>
      </w:r>
    </w:p>
    <w:p w14:paraId="0EE7A100">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_Toc15701 </w:instrText>
      </w:r>
      <w:r>
        <w:rPr>
          <w:rFonts w:hint="eastAsia" w:ascii="仿宋" w:hAnsi="仿宋" w:eastAsia="仿宋" w:cs="宋体"/>
          <w:szCs w:val="21"/>
          <w:highlight w:val="none"/>
        </w:rPr>
        <w:fldChar w:fldCharType="separate"/>
      </w:r>
      <w:r>
        <w:rPr>
          <w:rFonts w:ascii="仿宋" w:hAnsi="仿宋" w:cs="宋体"/>
          <w:highlight w:val="none"/>
        </w:rPr>
        <w:t>2.5招标文件的异议</w:t>
      </w:r>
      <w:r>
        <w:tab/>
      </w:r>
      <w:r>
        <w:fldChar w:fldCharType="begin"/>
      </w:r>
      <w:r>
        <w:instrText xml:space="preserve"> PAGEREF _Toc15701 \h </w:instrText>
      </w:r>
      <w:r>
        <w:fldChar w:fldCharType="separate"/>
      </w:r>
      <w:r>
        <w:t>16</w:t>
      </w:r>
      <w:r>
        <w:fldChar w:fldCharType="end"/>
      </w:r>
      <w:r>
        <w:rPr>
          <w:rFonts w:hint="eastAsia" w:ascii="仿宋" w:hAnsi="仿宋" w:eastAsia="仿宋" w:cs="宋体"/>
          <w:color w:val="000000"/>
          <w:szCs w:val="21"/>
          <w:highlight w:val="none"/>
        </w:rPr>
        <w:fldChar w:fldCharType="end"/>
      </w:r>
    </w:p>
    <w:p w14:paraId="4C9BE13F">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_Toc5145 </w:instrText>
      </w:r>
      <w:r>
        <w:rPr>
          <w:rFonts w:hint="eastAsia" w:ascii="仿宋" w:hAnsi="仿宋" w:eastAsia="仿宋" w:cs="宋体"/>
          <w:szCs w:val="21"/>
          <w:highlight w:val="none"/>
        </w:rPr>
        <w:fldChar w:fldCharType="separate"/>
      </w:r>
      <w:r>
        <w:rPr>
          <w:rFonts w:hint="eastAsia"/>
        </w:rPr>
        <w:t>3.投标文件</w:t>
      </w:r>
      <w:r>
        <w:tab/>
      </w:r>
      <w:r>
        <w:fldChar w:fldCharType="begin"/>
      </w:r>
      <w:r>
        <w:instrText xml:space="preserve"> PAGEREF _Toc5145 \h </w:instrText>
      </w:r>
      <w:r>
        <w:fldChar w:fldCharType="separate"/>
      </w:r>
      <w:r>
        <w:t>16</w:t>
      </w:r>
      <w:r>
        <w:fldChar w:fldCharType="end"/>
      </w:r>
      <w:r>
        <w:rPr>
          <w:rFonts w:hint="eastAsia" w:ascii="仿宋" w:hAnsi="仿宋" w:eastAsia="仿宋" w:cs="宋体"/>
          <w:color w:val="000000"/>
          <w:szCs w:val="21"/>
          <w:highlight w:val="none"/>
        </w:rPr>
        <w:fldChar w:fldCharType="end"/>
      </w:r>
    </w:p>
    <w:p w14:paraId="31BE27B6">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_Toc25453 </w:instrText>
      </w:r>
      <w:r>
        <w:rPr>
          <w:rFonts w:hint="eastAsia" w:ascii="仿宋" w:hAnsi="仿宋" w:eastAsia="仿宋" w:cs="宋体"/>
          <w:szCs w:val="21"/>
          <w:highlight w:val="none"/>
        </w:rPr>
        <w:fldChar w:fldCharType="separate"/>
      </w:r>
      <w:r>
        <w:rPr>
          <w:rFonts w:ascii="仿宋" w:hAnsi="仿宋" w:cs="宋体"/>
          <w:highlight w:val="none"/>
        </w:rPr>
        <w:t>3.1 投标文件的组成</w:t>
      </w:r>
      <w:r>
        <w:tab/>
      </w:r>
      <w:r>
        <w:fldChar w:fldCharType="begin"/>
      </w:r>
      <w:r>
        <w:instrText xml:space="preserve"> PAGEREF _Toc25453 \h </w:instrText>
      </w:r>
      <w:r>
        <w:fldChar w:fldCharType="separate"/>
      </w:r>
      <w:r>
        <w:t>16</w:t>
      </w:r>
      <w:r>
        <w:fldChar w:fldCharType="end"/>
      </w:r>
      <w:r>
        <w:rPr>
          <w:rFonts w:hint="eastAsia" w:ascii="仿宋" w:hAnsi="仿宋" w:eastAsia="仿宋" w:cs="宋体"/>
          <w:color w:val="000000"/>
          <w:szCs w:val="21"/>
          <w:highlight w:val="none"/>
        </w:rPr>
        <w:fldChar w:fldCharType="end"/>
      </w:r>
    </w:p>
    <w:p w14:paraId="3689D27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_Toc20674 </w:instrText>
      </w:r>
      <w:r>
        <w:rPr>
          <w:rFonts w:hint="eastAsia" w:ascii="仿宋" w:hAnsi="仿宋" w:eastAsia="仿宋" w:cs="宋体"/>
          <w:szCs w:val="21"/>
          <w:highlight w:val="none"/>
        </w:rPr>
        <w:fldChar w:fldCharType="separate"/>
      </w:r>
      <w:r>
        <w:rPr>
          <w:rFonts w:ascii="仿宋" w:hAnsi="仿宋" w:cs="宋体"/>
          <w:highlight w:val="none"/>
        </w:rPr>
        <w:t>3.2 投标文件的编制</w:t>
      </w:r>
      <w:r>
        <w:tab/>
      </w:r>
      <w:r>
        <w:fldChar w:fldCharType="begin"/>
      </w:r>
      <w:r>
        <w:instrText xml:space="preserve"> PAGEREF _Toc20674 \h </w:instrText>
      </w:r>
      <w:r>
        <w:fldChar w:fldCharType="separate"/>
      </w:r>
      <w:r>
        <w:t>17</w:t>
      </w:r>
      <w:r>
        <w:fldChar w:fldCharType="end"/>
      </w:r>
      <w:r>
        <w:rPr>
          <w:rFonts w:hint="eastAsia" w:ascii="仿宋" w:hAnsi="仿宋" w:eastAsia="仿宋" w:cs="宋体"/>
          <w:color w:val="000000"/>
          <w:szCs w:val="21"/>
          <w:highlight w:val="none"/>
        </w:rPr>
        <w:fldChar w:fldCharType="end"/>
      </w:r>
    </w:p>
    <w:p w14:paraId="7BC82C2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_Toc13378 </w:instrText>
      </w:r>
      <w:r>
        <w:rPr>
          <w:rFonts w:hint="eastAsia" w:ascii="仿宋" w:hAnsi="仿宋" w:eastAsia="仿宋" w:cs="宋体"/>
          <w:szCs w:val="21"/>
          <w:highlight w:val="none"/>
        </w:rPr>
        <w:fldChar w:fldCharType="separate"/>
      </w:r>
      <w:r>
        <w:rPr>
          <w:rFonts w:ascii="仿宋" w:hAnsi="仿宋" w:cs="宋体"/>
          <w:highlight w:val="none"/>
        </w:rPr>
        <w:t>3.3 投标报价</w:t>
      </w:r>
      <w:r>
        <w:tab/>
      </w:r>
      <w:r>
        <w:fldChar w:fldCharType="begin"/>
      </w:r>
      <w:r>
        <w:instrText xml:space="preserve"> PAGEREF _Toc13378 \h </w:instrText>
      </w:r>
      <w:r>
        <w:fldChar w:fldCharType="separate"/>
      </w:r>
      <w:r>
        <w:t>17</w:t>
      </w:r>
      <w:r>
        <w:fldChar w:fldCharType="end"/>
      </w:r>
      <w:r>
        <w:rPr>
          <w:rFonts w:hint="eastAsia" w:ascii="仿宋" w:hAnsi="仿宋" w:eastAsia="仿宋" w:cs="宋体"/>
          <w:color w:val="000000"/>
          <w:szCs w:val="21"/>
          <w:highlight w:val="none"/>
        </w:rPr>
        <w:fldChar w:fldCharType="end"/>
      </w:r>
    </w:p>
    <w:p w14:paraId="60173CFC">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_Toc3831 </w:instrText>
      </w:r>
      <w:r>
        <w:rPr>
          <w:rFonts w:hint="eastAsia" w:ascii="仿宋" w:hAnsi="仿宋" w:eastAsia="仿宋" w:cs="宋体"/>
          <w:szCs w:val="21"/>
          <w:highlight w:val="none"/>
        </w:rPr>
        <w:fldChar w:fldCharType="separate"/>
      </w:r>
      <w:r>
        <w:rPr>
          <w:rFonts w:ascii="仿宋" w:hAnsi="仿宋" w:cs="宋体"/>
          <w:highlight w:val="none"/>
        </w:rPr>
        <w:t>3.4 投标有效期</w:t>
      </w:r>
      <w:r>
        <w:tab/>
      </w:r>
      <w:r>
        <w:fldChar w:fldCharType="begin"/>
      </w:r>
      <w:r>
        <w:instrText xml:space="preserve"> PAGEREF _Toc3831 \h </w:instrText>
      </w:r>
      <w:r>
        <w:fldChar w:fldCharType="separate"/>
      </w:r>
      <w:r>
        <w:t>17</w:t>
      </w:r>
      <w:r>
        <w:fldChar w:fldCharType="end"/>
      </w:r>
      <w:r>
        <w:rPr>
          <w:rFonts w:hint="eastAsia" w:ascii="仿宋" w:hAnsi="仿宋" w:eastAsia="仿宋" w:cs="宋体"/>
          <w:color w:val="000000"/>
          <w:szCs w:val="21"/>
          <w:highlight w:val="none"/>
        </w:rPr>
        <w:fldChar w:fldCharType="end"/>
      </w:r>
    </w:p>
    <w:p w14:paraId="58CC0B5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_Toc6186 </w:instrText>
      </w:r>
      <w:r>
        <w:rPr>
          <w:rFonts w:hint="eastAsia" w:ascii="仿宋" w:hAnsi="仿宋" w:eastAsia="仿宋" w:cs="宋体"/>
          <w:szCs w:val="21"/>
          <w:highlight w:val="none"/>
        </w:rPr>
        <w:fldChar w:fldCharType="separate"/>
      </w:r>
      <w:r>
        <w:rPr>
          <w:rFonts w:ascii="仿宋" w:hAnsi="仿宋" w:cs="宋体"/>
          <w:highlight w:val="none"/>
        </w:rPr>
        <w:t>3.5 投标保证金</w:t>
      </w:r>
      <w:r>
        <w:tab/>
      </w:r>
      <w:r>
        <w:fldChar w:fldCharType="begin"/>
      </w:r>
      <w:r>
        <w:instrText xml:space="preserve"> PAGEREF _Toc6186 \h </w:instrText>
      </w:r>
      <w:r>
        <w:fldChar w:fldCharType="separate"/>
      </w:r>
      <w:r>
        <w:t>18</w:t>
      </w:r>
      <w:r>
        <w:fldChar w:fldCharType="end"/>
      </w:r>
      <w:r>
        <w:rPr>
          <w:rFonts w:hint="eastAsia" w:ascii="仿宋" w:hAnsi="仿宋" w:eastAsia="仿宋" w:cs="宋体"/>
          <w:color w:val="000000"/>
          <w:szCs w:val="21"/>
          <w:highlight w:val="none"/>
        </w:rPr>
        <w:fldChar w:fldCharType="end"/>
      </w:r>
    </w:p>
    <w:p w14:paraId="0A474C9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_Toc30161 </w:instrText>
      </w:r>
      <w:r>
        <w:rPr>
          <w:rFonts w:hint="eastAsia" w:ascii="仿宋" w:hAnsi="仿宋" w:eastAsia="仿宋" w:cs="宋体"/>
          <w:szCs w:val="21"/>
          <w:highlight w:val="none"/>
        </w:rPr>
        <w:fldChar w:fldCharType="separate"/>
      </w:r>
      <w:r>
        <w:rPr>
          <w:rFonts w:ascii="仿宋" w:hAnsi="仿宋" w:cs="宋体"/>
          <w:highlight w:val="none"/>
        </w:rPr>
        <w:t>3.6 备选投标方案</w:t>
      </w:r>
      <w:r>
        <w:tab/>
      </w:r>
      <w:r>
        <w:fldChar w:fldCharType="begin"/>
      </w:r>
      <w:r>
        <w:instrText xml:space="preserve"> PAGEREF _Toc30161 \h </w:instrText>
      </w:r>
      <w:r>
        <w:fldChar w:fldCharType="separate"/>
      </w:r>
      <w:r>
        <w:t>18</w:t>
      </w:r>
      <w:r>
        <w:fldChar w:fldCharType="end"/>
      </w:r>
      <w:r>
        <w:rPr>
          <w:rFonts w:hint="eastAsia" w:ascii="仿宋" w:hAnsi="仿宋" w:eastAsia="仿宋" w:cs="宋体"/>
          <w:color w:val="000000"/>
          <w:szCs w:val="21"/>
          <w:highlight w:val="none"/>
        </w:rPr>
        <w:fldChar w:fldCharType="end"/>
      </w:r>
    </w:p>
    <w:p w14:paraId="3CA12BEA">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_Toc24967 </w:instrText>
      </w:r>
      <w:r>
        <w:rPr>
          <w:rFonts w:hint="eastAsia" w:ascii="仿宋" w:hAnsi="仿宋" w:eastAsia="仿宋" w:cs="宋体"/>
          <w:szCs w:val="21"/>
          <w:highlight w:val="none"/>
        </w:rPr>
        <w:fldChar w:fldCharType="separate"/>
      </w:r>
      <w:r>
        <w:rPr>
          <w:rFonts w:ascii="仿宋" w:hAnsi="仿宋" w:cs="宋体"/>
          <w:highlight w:val="none"/>
        </w:rPr>
        <w:t>3.7 纸质投标文件的式样、密封和标记</w:t>
      </w:r>
      <w:r>
        <w:tab/>
      </w:r>
      <w:r>
        <w:fldChar w:fldCharType="begin"/>
      </w:r>
      <w:r>
        <w:instrText xml:space="preserve"> PAGEREF _Toc24967 \h </w:instrText>
      </w:r>
      <w:r>
        <w:fldChar w:fldCharType="separate"/>
      </w:r>
      <w:r>
        <w:t>18</w:t>
      </w:r>
      <w:r>
        <w:fldChar w:fldCharType="end"/>
      </w:r>
      <w:r>
        <w:rPr>
          <w:rFonts w:hint="eastAsia" w:ascii="仿宋" w:hAnsi="仿宋" w:eastAsia="仿宋" w:cs="宋体"/>
          <w:color w:val="000000"/>
          <w:szCs w:val="21"/>
          <w:highlight w:val="none"/>
        </w:rPr>
        <w:fldChar w:fldCharType="end"/>
      </w:r>
    </w:p>
    <w:p w14:paraId="2746D5C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_Toc32531 </w:instrText>
      </w:r>
      <w:r>
        <w:rPr>
          <w:rFonts w:hint="eastAsia" w:ascii="仿宋" w:hAnsi="仿宋" w:eastAsia="仿宋" w:cs="宋体"/>
          <w:szCs w:val="21"/>
          <w:highlight w:val="none"/>
        </w:rPr>
        <w:fldChar w:fldCharType="separate"/>
      </w:r>
      <w:r>
        <w:rPr>
          <w:rFonts w:ascii="仿宋" w:hAnsi="仿宋" w:cs="宋体"/>
          <w:highlight w:val="none"/>
        </w:rPr>
        <w:t>3.8 电子招投标的投标文件上传形式</w:t>
      </w:r>
      <w:r>
        <w:tab/>
      </w:r>
      <w:r>
        <w:fldChar w:fldCharType="begin"/>
      </w:r>
      <w:r>
        <w:instrText xml:space="preserve"> PAGEREF _Toc32531 \h </w:instrText>
      </w:r>
      <w:r>
        <w:fldChar w:fldCharType="separate"/>
      </w:r>
      <w:r>
        <w:t>19</w:t>
      </w:r>
      <w:r>
        <w:fldChar w:fldCharType="end"/>
      </w:r>
      <w:r>
        <w:rPr>
          <w:rFonts w:hint="eastAsia" w:ascii="仿宋" w:hAnsi="仿宋" w:eastAsia="仿宋" w:cs="宋体"/>
          <w:color w:val="000000"/>
          <w:szCs w:val="21"/>
          <w:highlight w:val="none"/>
        </w:rPr>
        <w:fldChar w:fldCharType="end"/>
      </w:r>
    </w:p>
    <w:p w14:paraId="417E4BA5">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_Toc30810 </w:instrText>
      </w:r>
      <w:r>
        <w:rPr>
          <w:rFonts w:hint="eastAsia" w:ascii="仿宋" w:hAnsi="仿宋" w:eastAsia="仿宋" w:cs="宋体"/>
          <w:szCs w:val="21"/>
          <w:highlight w:val="none"/>
        </w:rPr>
        <w:fldChar w:fldCharType="separate"/>
      </w:r>
      <w:r>
        <w:rPr>
          <w:rFonts w:hint="eastAsia"/>
        </w:rPr>
        <w:t>4.投标</w:t>
      </w:r>
      <w:r>
        <w:tab/>
      </w:r>
      <w:r>
        <w:fldChar w:fldCharType="begin"/>
      </w:r>
      <w:r>
        <w:instrText xml:space="preserve"> PAGEREF _Toc30810 \h </w:instrText>
      </w:r>
      <w:r>
        <w:fldChar w:fldCharType="separate"/>
      </w:r>
      <w:r>
        <w:t>19</w:t>
      </w:r>
      <w:r>
        <w:fldChar w:fldCharType="end"/>
      </w:r>
      <w:r>
        <w:rPr>
          <w:rFonts w:hint="eastAsia" w:ascii="仿宋" w:hAnsi="仿宋" w:eastAsia="仿宋" w:cs="宋体"/>
          <w:color w:val="000000"/>
          <w:szCs w:val="21"/>
          <w:highlight w:val="none"/>
        </w:rPr>
        <w:fldChar w:fldCharType="end"/>
      </w:r>
    </w:p>
    <w:p w14:paraId="66353464">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_Toc31475 </w:instrText>
      </w:r>
      <w:r>
        <w:rPr>
          <w:rFonts w:hint="eastAsia" w:ascii="仿宋" w:hAnsi="仿宋" w:eastAsia="仿宋" w:cs="宋体"/>
          <w:szCs w:val="21"/>
          <w:highlight w:val="none"/>
        </w:rPr>
        <w:fldChar w:fldCharType="separate"/>
      </w:r>
      <w:r>
        <w:rPr>
          <w:rFonts w:ascii="仿宋" w:hAnsi="仿宋" w:cs="宋体"/>
          <w:highlight w:val="none"/>
        </w:rPr>
        <w:t>4.1 投标文件的递交</w:t>
      </w:r>
      <w:r>
        <w:tab/>
      </w:r>
      <w:r>
        <w:fldChar w:fldCharType="begin"/>
      </w:r>
      <w:r>
        <w:instrText xml:space="preserve"> PAGEREF _Toc31475 \h </w:instrText>
      </w:r>
      <w:r>
        <w:fldChar w:fldCharType="separate"/>
      </w:r>
      <w:r>
        <w:t>19</w:t>
      </w:r>
      <w:r>
        <w:fldChar w:fldCharType="end"/>
      </w:r>
      <w:r>
        <w:rPr>
          <w:rFonts w:hint="eastAsia" w:ascii="仿宋" w:hAnsi="仿宋" w:eastAsia="仿宋" w:cs="宋体"/>
          <w:color w:val="000000"/>
          <w:szCs w:val="21"/>
          <w:highlight w:val="none"/>
        </w:rPr>
        <w:fldChar w:fldCharType="end"/>
      </w:r>
    </w:p>
    <w:p w14:paraId="221F6DA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_Toc15182 </w:instrText>
      </w:r>
      <w:r>
        <w:rPr>
          <w:rFonts w:hint="eastAsia" w:ascii="仿宋" w:hAnsi="仿宋" w:eastAsia="仿宋" w:cs="宋体"/>
          <w:szCs w:val="21"/>
          <w:highlight w:val="none"/>
        </w:rPr>
        <w:fldChar w:fldCharType="separate"/>
      </w:r>
      <w:r>
        <w:rPr>
          <w:rFonts w:ascii="仿宋" w:hAnsi="仿宋" w:cs="宋体"/>
          <w:highlight w:val="none"/>
        </w:rPr>
        <w:t>4.2 投标文件的修改</w:t>
      </w:r>
      <w:r>
        <w:rPr>
          <w:rFonts w:hint="eastAsia" w:ascii="仿宋" w:hAnsi="仿宋" w:cs="宋体"/>
          <w:highlight w:val="none"/>
          <w:lang w:eastAsia="zh-CN"/>
        </w:rPr>
        <w:t>、</w:t>
      </w:r>
      <w:r>
        <w:rPr>
          <w:rFonts w:hint="eastAsia" w:ascii="仿宋" w:hAnsi="仿宋" w:cs="宋体"/>
          <w:highlight w:val="none"/>
          <w:lang w:val="en-US" w:eastAsia="zh-CN"/>
        </w:rPr>
        <w:t>撤回</w:t>
      </w:r>
      <w:r>
        <w:rPr>
          <w:rFonts w:ascii="仿宋" w:hAnsi="仿宋" w:cs="宋体"/>
          <w:highlight w:val="none"/>
        </w:rPr>
        <w:t>和撤销</w:t>
      </w:r>
      <w:r>
        <w:tab/>
      </w:r>
      <w:r>
        <w:fldChar w:fldCharType="begin"/>
      </w:r>
      <w:r>
        <w:instrText xml:space="preserve"> PAGEREF _Toc15182 \h </w:instrText>
      </w:r>
      <w:r>
        <w:fldChar w:fldCharType="separate"/>
      </w:r>
      <w:r>
        <w:t>19</w:t>
      </w:r>
      <w:r>
        <w:fldChar w:fldCharType="end"/>
      </w:r>
      <w:r>
        <w:rPr>
          <w:rFonts w:hint="eastAsia" w:ascii="仿宋" w:hAnsi="仿宋" w:eastAsia="仿宋" w:cs="宋体"/>
          <w:color w:val="000000"/>
          <w:szCs w:val="21"/>
          <w:highlight w:val="none"/>
        </w:rPr>
        <w:fldChar w:fldCharType="end"/>
      </w:r>
    </w:p>
    <w:p w14:paraId="3E774E46">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_Toc10106 </w:instrText>
      </w:r>
      <w:r>
        <w:rPr>
          <w:rFonts w:hint="eastAsia" w:ascii="仿宋" w:hAnsi="仿宋" w:eastAsia="仿宋" w:cs="宋体"/>
          <w:szCs w:val="21"/>
          <w:highlight w:val="none"/>
        </w:rPr>
        <w:fldChar w:fldCharType="separate"/>
      </w:r>
      <w:r>
        <w:rPr>
          <w:rFonts w:hint="eastAsia"/>
        </w:rPr>
        <w:t>5.开标</w:t>
      </w:r>
      <w:r>
        <w:tab/>
      </w:r>
      <w:r>
        <w:fldChar w:fldCharType="begin"/>
      </w:r>
      <w:r>
        <w:instrText xml:space="preserve"> PAGEREF _Toc10106 \h </w:instrText>
      </w:r>
      <w:r>
        <w:fldChar w:fldCharType="separate"/>
      </w:r>
      <w:r>
        <w:t>19</w:t>
      </w:r>
      <w:r>
        <w:fldChar w:fldCharType="end"/>
      </w:r>
      <w:r>
        <w:rPr>
          <w:rFonts w:hint="eastAsia" w:ascii="仿宋" w:hAnsi="仿宋" w:eastAsia="仿宋" w:cs="宋体"/>
          <w:color w:val="000000"/>
          <w:szCs w:val="21"/>
          <w:highlight w:val="none"/>
        </w:rPr>
        <w:fldChar w:fldCharType="end"/>
      </w:r>
    </w:p>
    <w:p w14:paraId="059E82D7">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_Toc2603 </w:instrText>
      </w:r>
      <w:r>
        <w:rPr>
          <w:rFonts w:hint="eastAsia" w:ascii="仿宋" w:hAnsi="仿宋" w:eastAsia="仿宋" w:cs="宋体"/>
          <w:szCs w:val="21"/>
          <w:highlight w:val="none"/>
        </w:rPr>
        <w:fldChar w:fldCharType="separate"/>
      </w:r>
      <w:r>
        <w:rPr>
          <w:rFonts w:ascii="仿宋" w:hAnsi="仿宋" w:cs="宋体"/>
          <w:highlight w:val="none"/>
        </w:rPr>
        <w:t>5.1 开标时间</w:t>
      </w:r>
      <w:r>
        <w:tab/>
      </w:r>
      <w:r>
        <w:fldChar w:fldCharType="begin"/>
      </w:r>
      <w:r>
        <w:instrText xml:space="preserve"> PAGEREF _Toc2603 \h </w:instrText>
      </w:r>
      <w:r>
        <w:fldChar w:fldCharType="separate"/>
      </w:r>
      <w:r>
        <w:t>19</w:t>
      </w:r>
      <w:r>
        <w:fldChar w:fldCharType="end"/>
      </w:r>
      <w:r>
        <w:rPr>
          <w:rFonts w:hint="eastAsia" w:ascii="仿宋" w:hAnsi="仿宋" w:eastAsia="仿宋" w:cs="宋体"/>
          <w:color w:val="000000"/>
          <w:szCs w:val="21"/>
          <w:highlight w:val="none"/>
        </w:rPr>
        <w:fldChar w:fldCharType="end"/>
      </w:r>
    </w:p>
    <w:p w14:paraId="118E303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_Toc8110 </w:instrText>
      </w:r>
      <w:r>
        <w:rPr>
          <w:rFonts w:hint="eastAsia" w:ascii="仿宋" w:hAnsi="仿宋" w:eastAsia="仿宋" w:cs="宋体"/>
          <w:szCs w:val="21"/>
          <w:highlight w:val="none"/>
        </w:rPr>
        <w:fldChar w:fldCharType="separate"/>
      </w:r>
      <w:r>
        <w:rPr>
          <w:rFonts w:ascii="仿宋" w:hAnsi="仿宋" w:cs="宋体"/>
          <w:highlight w:val="none"/>
        </w:rPr>
        <w:t>5.2 开标程序</w:t>
      </w:r>
      <w:r>
        <w:tab/>
      </w:r>
      <w:r>
        <w:fldChar w:fldCharType="begin"/>
      </w:r>
      <w:r>
        <w:instrText xml:space="preserve"> PAGEREF _Toc8110 \h </w:instrText>
      </w:r>
      <w:r>
        <w:fldChar w:fldCharType="separate"/>
      </w:r>
      <w:r>
        <w:t>19</w:t>
      </w:r>
      <w:r>
        <w:fldChar w:fldCharType="end"/>
      </w:r>
      <w:r>
        <w:rPr>
          <w:rFonts w:hint="eastAsia" w:ascii="仿宋" w:hAnsi="仿宋" w:eastAsia="仿宋" w:cs="宋体"/>
          <w:color w:val="000000"/>
          <w:szCs w:val="21"/>
          <w:highlight w:val="none"/>
        </w:rPr>
        <w:fldChar w:fldCharType="end"/>
      </w:r>
    </w:p>
    <w:p w14:paraId="22282B2D">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_Toc19665 </w:instrText>
      </w:r>
      <w:r>
        <w:rPr>
          <w:rFonts w:hint="eastAsia" w:ascii="仿宋" w:hAnsi="仿宋" w:eastAsia="仿宋" w:cs="宋体"/>
          <w:szCs w:val="21"/>
          <w:highlight w:val="none"/>
        </w:rPr>
        <w:fldChar w:fldCharType="separate"/>
      </w:r>
      <w:r>
        <w:rPr>
          <w:rFonts w:ascii="仿宋" w:hAnsi="仿宋" w:cs="宋体"/>
          <w:highlight w:val="none"/>
        </w:rPr>
        <w:t>5.3 开标异议</w:t>
      </w:r>
      <w:r>
        <w:tab/>
      </w:r>
      <w:r>
        <w:fldChar w:fldCharType="begin"/>
      </w:r>
      <w:r>
        <w:instrText xml:space="preserve"> PAGEREF _Toc19665 \h </w:instrText>
      </w:r>
      <w:r>
        <w:fldChar w:fldCharType="separate"/>
      </w:r>
      <w:r>
        <w:t>20</w:t>
      </w:r>
      <w:r>
        <w:fldChar w:fldCharType="end"/>
      </w:r>
      <w:r>
        <w:rPr>
          <w:rFonts w:hint="eastAsia" w:ascii="仿宋" w:hAnsi="仿宋" w:eastAsia="仿宋" w:cs="宋体"/>
          <w:color w:val="000000"/>
          <w:szCs w:val="21"/>
          <w:highlight w:val="none"/>
        </w:rPr>
        <w:fldChar w:fldCharType="end"/>
      </w:r>
    </w:p>
    <w:p w14:paraId="2C00821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_Toc18709 </w:instrText>
      </w:r>
      <w:r>
        <w:rPr>
          <w:rFonts w:hint="eastAsia" w:ascii="仿宋" w:hAnsi="仿宋" w:eastAsia="仿宋" w:cs="宋体"/>
          <w:szCs w:val="21"/>
          <w:highlight w:val="none"/>
        </w:rPr>
        <w:fldChar w:fldCharType="separate"/>
      </w:r>
      <w:r>
        <w:rPr>
          <w:rFonts w:ascii="仿宋" w:hAnsi="仿宋" w:cs="宋体"/>
          <w:highlight w:val="none"/>
        </w:rPr>
        <w:t>5.4 电子招投标的其他开标要求及异常处理</w:t>
      </w:r>
      <w:r>
        <w:tab/>
      </w:r>
      <w:r>
        <w:fldChar w:fldCharType="begin"/>
      </w:r>
      <w:r>
        <w:instrText xml:space="preserve"> PAGEREF _Toc18709 \h </w:instrText>
      </w:r>
      <w:r>
        <w:fldChar w:fldCharType="separate"/>
      </w:r>
      <w:r>
        <w:t>20</w:t>
      </w:r>
      <w:r>
        <w:fldChar w:fldCharType="end"/>
      </w:r>
      <w:r>
        <w:rPr>
          <w:rFonts w:hint="eastAsia" w:ascii="仿宋" w:hAnsi="仿宋" w:eastAsia="仿宋" w:cs="宋体"/>
          <w:color w:val="000000"/>
          <w:szCs w:val="21"/>
          <w:highlight w:val="none"/>
        </w:rPr>
        <w:fldChar w:fldCharType="end"/>
      </w:r>
    </w:p>
    <w:p w14:paraId="59305C63">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_Toc9008 </w:instrText>
      </w:r>
      <w:r>
        <w:rPr>
          <w:rFonts w:hint="eastAsia" w:ascii="仿宋" w:hAnsi="仿宋" w:eastAsia="仿宋" w:cs="宋体"/>
          <w:szCs w:val="21"/>
          <w:highlight w:val="none"/>
        </w:rPr>
        <w:fldChar w:fldCharType="separate"/>
      </w:r>
      <w:r>
        <w:rPr>
          <w:rFonts w:ascii="仿宋" w:hAnsi="仿宋" w:cs="宋体"/>
          <w:highlight w:val="none"/>
        </w:rPr>
        <w:t>5.5不得开标的情形</w:t>
      </w:r>
      <w:r>
        <w:tab/>
      </w:r>
      <w:r>
        <w:fldChar w:fldCharType="begin"/>
      </w:r>
      <w:r>
        <w:instrText xml:space="preserve"> PAGEREF _Toc9008 \h </w:instrText>
      </w:r>
      <w:r>
        <w:fldChar w:fldCharType="separate"/>
      </w:r>
      <w:r>
        <w:t>20</w:t>
      </w:r>
      <w:r>
        <w:fldChar w:fldCharType="end"/>
      </w:r>
      <w:r>
        <w:rPr>
          <w:rFonts w:hint="eastAsia" w:ascii="仿宋" w:hAnsi="仿宋" w:eastAsia="仿宋" w:cs="宋体"/>
          <w:color w:val="000000"/>
          <w:szCs w:val="21"/>
          <w:highlight w:val="none"/>
        </w:rPr>
        <w:fldChar w:fldCharType="end"/>
      </w:r>
    </w:p>
    <w:p w14:paraId="7DE3E951">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_Toc23132 </w:instrText>
      </w:r>
      <w:r>
        <w:rPr>
          <w:rFonts w:hint="eastAsia" w:ascii="仿宋" w:hAnsi="仿宋" w:eastAsia="仿宋" w:cs="宋体"/>
          <w:szCs w:val="21"/>
          <w:highlight w:val="none"/>
        </w:rPr>
        <w:fldChar w:fldCharType="separate"/>
      </w:r>
      <w:r>
        <w:rPr>
          <w:rFonts w:hint="eastAsia"/>
        </w:rPr>
        <w:t>6.评标</w:t>
      </w:r>
      <w:r>
        <w:tab/>
      </w:r>
      <w:r>
        <w:fldChar w:fldCharType="begin"/>
      </w:r>
      <w:r>
        <w:instrText xml:space="preserve"> PAGEREF _Toc23132 \h </w:instrText>
      </w:r>
      <w:r>
        <w:fldChar w:fldCharType="separate"/>
      </w:r>
      <w:r>
        <w:t>20</w:t>
      </w:r>
      <w:r>
        <w:fldChar w:fldCharType="end"/>
      </w:r>
      <w:r>
        <w:rPr>
          <w:rFonts w:hint="eastAsia" w:ascii="仿宋" w:hAnsi="仿宋" w:eastAsia="仿宋" w:cs="宋体"/>
          <w:color w:val="000000"/>
          <w:szCs w:val="21"/>
          <w:highlight w:val="none"/>
        </w:rPr>
        <w:fldChar w:fldCharType="end"/>
      </w:r>
    </w:p>
    <w:p w14:paraId="212003E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_Toc3541 </w:instrText>
      </w:r>
      <w:r>
        <w:rPr>
          <w:rFonts w:hint="eastAsia" w:ascii="仿宋" w:hAnsi="仿宋" w:eastAsia="仿宋" w:cs="宋体"/>
          <w:szCs w:val="21"/>
          <w:highlight w:val="none"/>
        </w:rPr>
        <w:fldChar w:fldCharType="separate"/>
      </w:r>
      <w:r>
        <w:rPr>
          <w:rFonts w:ascii="仿宋" w:hAnsi="仿宋" w:cs="宋体"/>
          <w:highlight w:val="none"/>
        </w:rPr>
        <w:t>6.1 评标委员会</w:t>
      </w:r>
      <w:r>
        <w:tab/>
      </w:r>
      <w:r>
        <w:fldChar w:fldCharType="begin"/>
      </w:r>
      <w:r>
        <w:instrText xml:space="preserve"> PAGEREF _Toc3541 \h </w:instrText>
      </w:r>
      <w:r>
        <w:fldChar w:fldCharType="separate"/>
      </w:r>
      <w:r>
        <w:t>20</w:t>
      </w:r>
      <w:r>
        <w:fldChar w:fldCharType="end"/>
      </w:r>
      <w:r>
        <w:rPr>
          <w:rFonts w:hint="eastAsia" w:ascii="仿宋" w:hAnsi="仿宋" w:eastAsia="仿宋" w:cs="宋体"/>
          <w:color w:val="000000"/>
          <w:szCs w:val="21"/>
          <w:highlight w:val="none"/>
        </w:rPr>
        <w:fldChar w:fldCharType="end"/>
      </w:r>
    </w:p>
    <w:p w14:paraId="386730DA">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_Toc11297 </w:instrText>
      </w:r>
      <w:r>
        <w:rPr>
          <w:rFonts w:hint="eastAsia" w:ascii="仿宋" w:hAnsi="仿宋" w:eastAsia="仿宋" w:cs="宋体"/>
          <w:szCs w:val="21"/>
          <w:highlight w:val="none"/>
        </w:rPr>
        <w:fldChar w:fldCharType="separate"/>
      </w:r>
      <w:r>
        <w:rPr>
          <w:rFonts w:ascii="仿宋" w:hAnsi="仿宋" w:cs="宋体"/>
          <w:highlight w:val="none"/>
        </w:rPr>
        <w:t>6.2 评标原则</w:t>
      </w:r>
      <w:r>
        <w:tab/>
      </w:r>
      <w:r>
        <w:fldChar w:fldCharType="begin"/>
      </w:r>
      <w:r>
        <w:instrText xml:space="preserve"> PAGEREF _Toc11297 \h </w:instrText>
      </w:r>
      <w:r>
        <w:fldChar w:fldCharType="separate"/>
      </w:r>
      <w:r>
        <w:t>20</w:t>
      </w:r>
      <w:r>
        <w:fldChar w:fldCharType="end"/>
      </w:r>
      <w:r>
        <w:rPr>
          <w:rFonts w:hint="eastAsia" w:ascii="仿宋" w:hAnsi="仿宋" w:eastAsia="仿宋" w:cs="宋体"/>
          <w:color w:val="000000"/>
          <w:szCs w:val="21"/>
          <w:highlight w:val="none"/>
        </w:rPr>
        <w:fldChar w:fldCharType="end"/>
      </w:r>
    </w:p>
    <w:p w14:paraId="0918FF50">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_Toc7172 </w:instrText>
      </w:r>
      <w:r>
        <w:rPr>
          <w:rFonts w:hint="eastAsia" w:ascii="仿宋" w:hAnsi="仿宋" w:eastAsia="仿宋" w:cs="宋体"/>
          <w:szCs w:val="21"/>
          <w:highlight w:val="none"/>
        </w:rPr>
        <w:fldChar w:fldCharType="separate"/>
      </w:r>
      <w:r>
        <w:rPr>
          <w:rFonts w:ascii="仿宋" w:hAnsi="仿宋" w:cs="宋体"/>
          <w:highlight w:val="none"/>
        </w:rPr>
        <w:t>6.3 评标方法</w:t>
      </w:r>
      <w:r>
        <w:tab/>
      </w:r>
      <w:r>
        <w:fldChar w:fldCharType="begin"/>
      </w:r>
      <w:r>
        <w:instrText xml:space="preserve"> PAGEREF _Toc7172 \h </w:instrText>
      </w:r>
      <w:r>
        <w:fldChar w:fldCharType="separate"/>
      </w:r>
      <w:r>
        <w:t>21</w:t>
      </w:r>
      <w:r>
        <w:fldChar w:fldCharType="end"/>
      </w:r>
      <w:r>
        <w:rPr>
          <w:rFonts w:hint="eastAsia" w:ascii="仿宋" w:hAnsi="仿宋" w:eastAsia="仿宋" w:cs="宋体"/>
          <w:color w:val="000000"/>
          <w:szCs w:val="21"/>
          <w:highlight w:val="none"/>
        </w:rPr>
        <w:fldChar w:fldCharType="end"/>
      </w:r>
    </w:p>
    <w:p w14:paraId="12000CA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_Toc19769 </w:instrText>
      </w:r>
      <w:r>
        <w:rPr>
          <w:rFonts w:hint="eastAsia" w:ascii="仿宋" w:hAnsi="仿宋" w:eastAsia="仿宋" w:cs="宋体"/>
          <w:szCs w:val="21"/>
          <w:highlight w:val="none"/>
        </w:rPr>
        <w:fldChar w:fldCharType="separate"/>
      </w:r>
      <w:r>
        <w:rPr>
          <w:rFonts w:ascii="仿宋" w:hAnsi="仿宋" w:cs="宋体"/>
          <w:highlight w:val="none"/>
        </w:rPr>
        <w:t>6.4 中标候选人推荐原则</w:t>
      </w:r>
      <w:r>
        <w:tab/>
      </w:r>
      <w:r>
        <w:fldChar w:fldCharType="begin"/>
      </w:r>
      <w:r>
        <w:instrText xml:space="preserve"> PAGEREF _Toc19769 \h </w:instrText>
      </w:r>
      <w:r>
        <w:fldChar w:fldCharType="separate"/>
      </w:r>
      <w:r>
        <w:t>21</w:t>
      </w:r>
      <w:r>
        <w:fldChar w:fldCharType="end"/>
      </w:r>
      <w:r>
        <w:rPr>
          <w:rFonts w:hint="eastAsia" w:ascii="仿宋" w:hAnsi="仿宋" w:eastAsia="仿宋" w:cs="宋体"/>
          <w:color w:val="000000"/>
          <w:szCs w:val="21"/>
          <w:highlight w:val="none"/>
        </w:rPr>
        <w:fldChar w:fldCharType="end"/>
      </w:r>
    </w:p>
    <w:p w14:paraId="231B82D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_Toc21364 </w:instrText>
      </w:r>
      <w:r>
        <w:rPr>
          <w:rFonts w:hint="eastAsia" w:ascii="仿宋" w:hAnsi="仿宋" w:eastAsia="仿宋" w:cs="宋体"/>
          <w:szCs w:val="21"/>
          <w:highlight w:val="none"/>
        </w:rPr>
        <w:fldChar w:fldCharType="separate"/>
      </w:r>
      <w:r>
        <w:rPr>
          <w:rFonts w:ascii="仿宋" w:hAnsi="仿宋" w:cs="宋体"/>
          <w:highlight w:val="none"/>
        </w:rPr>
        <w:t>6.5 评标报告</w:t>
      </w:r>
      <w:r>
        <w:tab/>
      </w:r>
      <w:r>
        <w:fldChar w:fldCharType="begin"/>
      </w:r>
      <w:r>
        <w:instrText xml:space="preserve"> PAGEREF _Toc21364 \h </w:instrText>
      </w:r>
      <w:r>
        <w:fldChar w:fldCharType="separate"/>
      </w:r>
      <w:r>
        <w:t>21</w:t>
      </w:r>
      <w:r>
        <w:fldChar w:fldCharType="end"/>
      </w:r>
      <w:r>
        <w:rPr>
          <w:rFonts w:hint="eastAsia" w:ascii="仿宋" w:hAnsi="仿宋" w:eastAsia="仿宋" w:cs="宋体"/>
          <w:color w:val="000000"/>
          <w:szCs w:val="21"/>
          <w:highlight w:val="none"/>
        </w:rPr>
        <w:fldChar w:fldCharType="end"/>
      </w:r>
    </w:p>
    <w:p w14:paraId="5C49B030">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_Toc24032 </w:instrText>
      </w:r>
      <w:r>
        <w:rPr>
          <w:rFonts w:hint="eastAsia" w:ascii="仿宋" w:hAnsi="仿宋" w:eastAsia="仿宋" w:cs="宋体"/>
          <w:szCs w:val="21"/>
          <w:highlight w:val="none"/>
        </w:rPr>
        <w:fldChar w:fldCharType="separate"/>
      </w:r>
      <w:r>
        <w:rPr>
          <w:rFonts w:hint="eastAsia"/>
        </w:rPr>
        <w:t>7.中标</w:t>
      </w:r>
      <w:r>
        <w:tab/>
      </w:r>
      <w:r>
        <w:fldChar w:fldCharType="begin"/>
      </w:r>
      <w:r>
        <w:instrText xml:space="preserve"> PAGEREF _Toc24032 \h </w:instrText>
      </w:r>
      <w:r>
        <w:fldChar w:fldCharType="separate"/>
      </w:r>
      <w:r>
        <w:t>21</w:t>
      </w:r>
      <w:r>
        <w:fldChar w:fldCharType="end"/>
      </w:r>
      <w:r>
        <w:rPr>
          <w:rFonts w:hint="eastAsia" w:ascii="仿宋" w:hAnsi="仿宋" w:eastAsia="仿宋" w:cs="宋体"/>
          <w:color w:val="000000"/>
          <w:szCs w:val="21"/>
          <w:highlight w:val="none"/>
        </w:rPr>
        <w:fldChar w:fldCharType="end"/>
      </w:r>
    </w:p>
    <w:p w14:paraId="45DA303B">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_Toc26416 </w:instrText>
      </w:r>
      <w:r>
        <w:rPr>
          <w:rFonts w:hint="eastAsia" w:ascii="仿宋" w:hAnsi="仿宋" w:eastAsia="仿宋" w:cs="宋体"/>
          <w:szCs w:val="21"/>
          <w:highlight w:val="none"/>
        </w:rPr>
        <w:fldChar w:fldCharType="separate"/>
      </w:r>
      <w:r>
        <w:rPr>
          <w:rFonts w:ascii="仿宋" w:hAnsi="仿宋" w:cs="宋体"/>
          <w:highlight w:val="none"/>
        </w:rPr>
        <w:t>7.1 中标候选人公示</w:t>
      </w:r>
      <w:r>
        <w:tab/>
      </w:r>
      <w:r>
        <w:fldChar w:fldCharType="begin"/>
      </w:r>
      <w:r>
        <w:instrText xml:space="preserve"> PAGEREF _Toc26416 \h </w:instrText>
      </w:r>
      <w:r>
        <w:fldChar w:fldCharType="separate"/>
      </w:r>
      <w:r>
        <w:t>21</w:t>
      </w:r>
      <w:r>
        <w:fldChar w:fldCharType="end"/>
      </w:r>
      <w:r>
        <w:rPr>
          <w:rFonts w:hint="eastAsia" w:ascii="仿宋" w:hAnsi="仿宋" w:eastAsia="仿宋" w:cs="宋体"/>
          <w:color w:val="000000"/>
          <w:szCs w:val="21"/>
          <w:highlight w:val="none"/>
        </w:rPr>
        <w:fldChar w:fldCharType="end"/>
      </w:r>
    </w:p>
    <w:p w14:paraId="5C6282D4">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_Toc4538 </w:instrText>
      </w:r>
      <w:r>
        <w:rPr>
          <w:rFonts w:hint="eastAsia" w:ascii="仿宋" w:hAnsi="仿宋" w:eastAsia="仿宋" w:cs="宋体"/>
          <w:szCs w:val="21"/>
          <w:highlight w:val="none"/>
        </w:rPr>
        <w:fldChar w:fldCharType="separate"/>
      </w:r>
      <w:r>
        <w:rPr>
          <w:rFonts w:ascii="仿宋" w:hAnsi="仿宋" w:cs="宋体"/>
          <w:highlight w:val="none"/>
        </w:rPr>
        <w:t>7.2 确定中标人</w:t>
      </w:r>
      <w:r>
        <w:tab/>
      </w:r>
      <w:r>
        <w:fldChar w:fldCharType="begin"/>
      </w:r>
      <w:r>
        <w:instrText xml:space="preserve"> PAGEREF _Toc4538 \h </w:instrText>
      </w:r>
      <w:r>
        <w:fldChar w:fldCharType="separate"/>
      </w:r>
      <w:r>
        <w:t>22</w:t>
      </w:r>
      <w:r>
        <w:fldChar w:fldCharType="end"/>
      </w:r>
      <w:r>
        <w:rPr>
          <w:rFonts w:hint="eastAsia" w:ascii="仿宋" w:hAnsi="仿宋" w:eastAsia="仿宋" w:cs="宋体"/>
          <w:color w:val="000000"/>
          <w:szCs w:val="21"/>
          <w:highlight w:val="none"/>
        </w:rPr>
        <w:fldChar w:fldCharType="end"/>
      </w:r>
    </w:p>
    <w:p w14:paraId="56883097">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_Toc15904 </w:instrText>
      </w:r>
      <w:r>
        <w:rPr>
          <w:rFonts w:hint="eastAsia" w:ascii="仿宋" w:hAnsi="仿宋" w:eastAsia="仿宋" w:cs="宋体"/>
          <w:szCs w:val="21"/>
          <w:highlight w:val="none"/>
        </w:rPr>
        <w:fldChar w:fldCharType="separate"/>
      </w:r>
      <w:r>
        <w:rPr>
          <w:rFonts w:ascii="仿宋" w:hAnsi="仿宋" w:cs="宋体"/>
          <w:highlight w:val="none"/>
        </w:rPr>
        <w:t>7.3 中标结果公示</w:t>
      </w:r>
      <w:r>
        <w:tab/>
      </w:r>
      <w:r>
        <w:fldChar w:fldCharType="begin"/>
      </w:r>
      <w:r>
        <w:instrText xml:space="preserve"> PAGEREF _Toc15904 \h </w:instrText>
      </w:r>
      <w:r>
        <w:fldChar w:fldCharType="separate"/>
      </w:r>
      <w:r>
        <w:t>22</w:t>
      </w:r>
      <w:r>
        <w:fldChar w:fldCharType="end"/>
      </w:r>
      <w:r>
        <w:rPr>
          <w:rFonts w:hint="eastAsia" w:ascii="仿宋" w:hAnsi="仿宋" w:eastAsia="仿宋" w:cs="宋体"/>
          <w:color w:val="000000"/>
          <w:szCs w:val="21"/>
          <w:highlight w:val="none"/>
        </w:rPr>
        <w:fldChar w:fldCharType="end"/>
      </w:r>
    </w:p>
    <w:p w14:paraId="15134DDC">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_Toc30350 </w:instrText>
      </w:r>
      <w:r>
        <w:rPr>
          <w:rFonts w:hint="eastAsia" w:ascii="仿宋" w:hAnsi="仿宋" w:eastAsia="仿宋" w:cs="宋体"/>
          <w:szCs w:val="21"/>
          <w:highlight w:val="none"/>
        </w:rPr>
        <w:fldChar w:fldCharType="separate"/>
      </w:r>
      <w:r>
        <w:rPr>
          <w:rFonts w:ascii="仿宋" w:hAnsi="仿宋" w:cs="宋体"/>
          <w:highlight w:val="none"/>
        </w:rPr>
        <w:t>7.4 中标通知</w:t>
      </w:r>
      <w:r>
        <w:tab/>
      </w:r>
      <w:r>
        <w:fldChar w:fldCharType="begin"/>
      </w:r>
      <w:r>
        <w:instrText xml:space="preserve"> PAGEREF _Toc30350 \h </w:instrText>
      </w:r>
      <w:r>
        <w:fldChar w:fldCharType="separate"/>
      </w:r>
      <w:r>
        <w:t>22</w:t>
      </w:r>
      <w:r>
        <w:fldChar w:fldCharType="end"/>
      </w:r>
      <w:r>
        <w:rPr>
          <w:rFonts w:hint="eastAsia" w:ascii="仿宋" w:hAnsi="仿宋" w:eastAsia="仿宋" w:cs="宋体"/>
          <w:color w:val="000000"/>
          <w:szCs w:val="21"/>
          <w:highlight w:val="none"/>
        </w:rPr>
        <w:fldChar w:fldCharType="end"/>
      </w:r>
    </w:p>
    <w:p w14:paraId="4641C179">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_Toc3918 </w:instrText>
      </w:r>
      <w:r>
        <w:rPr>
          <w:rFonts w:hint="eastAsia" w:ascii="仿宋" w:hAnsi="仿宋" w:eastAsia="仿宋" w:cs="宋体"/>
          <w:szCs w:val="21"/>
          <w:highlight w:val="none"/>
        </w:rPr>
        <w:fldChar w:fldCharType="separate"/>
      </w:r>
      <w:r>
        <w:rPr>
          <w:rFonts w:hint="eastAsia"/>
        </w:rPr>
        <w:t>8.合同签订</w:t>
      </w:r>
      <w:r>
        <w:tab/>
      </w:r>
      <w:r>
        <w:fldChar w:fldCharType="begin"/>
      </w:r>
      <w:r>
        <w:instrText xml:space="preserve"> PAGEREF _Toc3918 \h </w:instrText>
      </w:r>
      <w:r>
        <w:fldChar w:fldCharType="separate"/>
      </w:r>
      <w:r>
        <w:t>23</w:t>
      </w:r>
      <w:r>
        <w:fldChar w:fldCharType="end"/>
      </w:r>
      <w:r>
        <w:rPr>
          <w:rFonts w:hint="eastAsia" w:ascii="仿宋" w:hAnsi="仿宋" w:eastAsia="仿宋" w:cs="宋体"/>
          <w:color w:val="000000"/>
          <w:szCs w:val="21"/>
          <w:highlight w:val="none"/>
        </w:rPr>
        <w:fldChar w:fldCharType="end"/>
      </w:r>
    </w:p>
    <w:p w14:paraId="636A637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_Toc20000 </w:instrText>
      </w:r>
      <w:r>
        <w:rPr>
          <w:rFonts w:hint="eastAsia" w:ascii="仿宋" w:hAnsi="仿宋" w:eastAsia="仿宋" w:cs="宋体"/>
          <w:szCs w:val="21"/>
          <w:highlight w:val="none"/>
        </w:rPr>
        <w:fldChar w:fldCharType="separate"/>
      </w:r>
      <w:r>
        <w:rPr>
          <w:rFonts w:ascii="仿宋" w:hAnsi="仿宋" w:cs="宋体"/>
          <w:highlight w:val="none"/>
        </w:rPr>
        <w:t>8.1 履约保证金</w:t>
      </w:r>
      <w:r>
        <w:tab/>
      </w:r>
      <w:r>
        <w:fldChar w:fldCharType="begin"/>
      </w:r>
      <w:r>
        <w:instrText xml:space="preserve"> PAGEREF _Toc20000 \h </w:instrText>
      </w:r>
      <w:r>
        <w:fldChar w:fldCharType="separate"/>
      </w:r>
      <w:r>
        <w:t>23</w:t>
      </w:r>
      <w:r>
        <w:fldChar w:fldCharType="end"/>
      </w:r>
      <w:r>
        <w:rPr>
          <w:rFonts w:hint="eastAsia" w:ascii="仿宋" w:hAnsi="仿宋" w:eastAsia="仿宋" w:cs="宋体"/>
          <w:color w:val="000000"/>
          <w:szCs w:val="21"/>
          <w:highlight w:val="none"/>
        </w:rPr>
        <w:fldChar w:fldCharType="end"/>
      </w:r>
    </w:p>
    <w:p w14:paraId="6F3B29A3">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_Toc18661 </w:instrText>
      </w:r>
      <w:r>
        <w:rPr>
          <w:rFonts w:hint="eastAsia" w:ascii="仿宋" w:hAnsi="仿宋" w:eastAsia="仿宋" w:cs="宋体"/>
          <w:szCs w:val="21"/>
          <w:highlight w:val="none"/>
        </w:rPr>
        <w:fldChar w:fldCharType="separate"/>
      </w:r>
      <w:r>
        <w:rPr>
          <w:rFonts w:ascii="仿宋" w:hAnsi="仿宋" w:cs="宋体"/>
          <w:highlight w:val="none"/>
        </w:rPr>
        <w:t>8.2 合同签订</w:t>
      </w:r>
      <w:r>
        <w:tab/>
      </w:r>
      <w:r>
        <w:fldChar w:fldCharType="begin"/>
      </w:r>
      <w:r>
        <w:instrText xml:space="preserve"> PAGEREF _Toc18661 \h </w:instrText>
      </w:r>
      <w:r>
        <w:fldChar w:fldCharType="separate"/>
      </w:r>
      <w:r>
        <w:t>23</w:t>
      </w:r>
      <w:r>
        <w:fldChar w:fldCharType="end"/>
      </w:r>
      <w:r>
        <w:rPr>
          <w:rFonts w:hint="eastAsia" w:ascii="仿宋" w:hAnsi="仿宋" w:eastAsia="仿宋" w:cs="宋体"/>
          <w:color w:val="000000"/>
          <w:szCs w:val="21"/>
          <w:highlight w:val="none"/>
        </w:rPr>
        <w:fldChar w:fldCharType="end"/>
      </w:r>
    </w:p>
    <w:p w14:paraId="66E94682">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_Toc31639 </w:instrText>
      </w:r>
      <w:r>
        <w:rPr>
          <w:rFonts w:hint="eastAsia" w:ascii="仿宋" w:hAnsi="仿宋" w:eastAsia="仿宋" w:cs="宋体"/>
          <w:szCs w:val="21"/>
          <w:highlight w:val="none"/>
        </w:rPr>
        <w:fldChar w:fldCharType="separate"/>
      </w:r>
      <w:r>
        <w:rPr>
          <w:rFonts w:hint="eastAsia"/>
        </w:rPr>
        <w:t>9.招标代理服务费</w:t>
      </w:r>
      <w:r>
        <w:tab/>
      </w:r>
      <w:r>
        <w:fldChar w:fldCharType="begin"/>
      </w:r>
      <w:r>
        <w:instrText xml:space="preserve"> PAGEREF _Toc31639 \h </w:instrText>
      </w:r>
      <w:r>
        <w:fldChar w:fldCharType="separate"/>
      </w:r>
      <w:r>
        <w:t>23</w:t>
      </w:r>
      <w:r>
        <w:fldChar w:fldCharType="end"/>
      </w:r>
      <w:r>
        <w:rPr>
          <w:rFonts w:hint="eastAsia" w:ascii="仿宋" w:hAnsi="仿宋" w:eastAsia="仿宋" w:cs="宋体"/>
          <w:color w:val="000000"/>
          <w:szCs w:val="21"/>
          <w:highlight w:val="none"/>
        </w:rPr>
        <w:fldChar w:fldCharType="end"/>
      </w:r>
    </w:p>
    <w:p w14:paraId="0D120F04">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_Toc24687 </w:instrText>
      </w:r>
      <w:r>
        <w:rPr>
          <w:rFonts w:hint="eastAsia" w:ascii="仿宋" w:hAnsi="仿宋" w:eastAsia="仿宋" w:cs="宋体"/>
          <w:szCs w:val="21"/>
          <w:highlight w:val="none"/>
        </w:rPr>
        <w:fldChar w:fldCharType="separate"/>
      </w:r>
      <w:r>
        <w:rPr>
          <w:rFonts w:hint="eastAsia"/>
        </w:rPr>
        <w:t>10.纪律和监督</w:t>
      </w:r>
      <w:r>
        <w:tab/>
      </w:r>
      <w:r>
        <w:fldChar w:fldCharType="begin"/>
      </w:r>
      <w:r>
        <w:instrText xml:space="preserve"> PAGEREF _Toc24687 \h </w:instrText>
      </w:r>
      <w:r>
        <w:fldChar w:fldCharType="separate"/>
      </w:r>
      <w:r>
        <w:t>23</w:t>
      </w:r>
      <w:r>
        <w:fldChar w:fldCharType="end"/>
      </w:r>
      <w:r>
        <w:rPr>
          <w:rFonts w:hint="eastAsia" w:ascii="仿宋" w:hAnsi="仿宋" w:eastAsia="仿宋" w:cs="宋体"/>
          <w:color w:val="000000"/>
          <w:szCs w:val="21"/>
          <w:highlight w:val="none"/>
        </w:rPr>
        <w:fldChar w:fldCharType="end"/>
      </w:r>
    </w:p>
    <w:p w14:paraId="33C6D8EC">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_Toc18766 </w:instrText>
      </w:r>
      <w:r>
        <w:rPr>
          <w:rFonts w:hint="eastAsia" w:ascii="仿宋" w:hAnsi="仿宋" w:eastAsia="仿宋" w:cs="宋体"/>
          <w:szCs w:val="21"/>
          <w:highlight w:val="none"/>
        </w:rPr>
        <w:fldChar w:fldCharType="separate"/>
      </w:r>
      <w:r>
        <w:rPr>
          <w:rFonts w:ascii="仿宋" w:hAnsi="仿宋" w:cs="宋体"/>
          <w:highlight w:val="none"/>
        </w:rPr>
        <w:t>10.1 对招标人的纪律要求</w:t>
      </w:r>
      <w:r>
        <w:tab/>
      </w:r>
      <w:r>
        <w:fldChar w:fldCharType="begin"/>
      </w:r>
      <w:r>
        <w:instrText xml:space="preserve"> PAGEREF _Toc18766 \h </w:instrText>
      </w:r>
      <w:r>
        <w:fldChar w:fldCharType="separate"/>
      </w:r>
      <w:r>
        <w:t>23</w:t>
      </w:r>
      <w:r>
        <w:fldChar w:fldCharType="end"/>
      </w:r>
      <w:r>
        <w:rPr>
          <w:rFonts w:hint="eastAsia" w:ascii="仿宋" w:hAnsi="仿宋" w:eastAsia="仿宋" w:cs="宋体"/>
          <w:color w:val="000000"/>
          <w:szCs w:val="21"/>
          <w:highlight w:val="none"/>
        </w:rPr>
        <w:fldChar w:fldCharType="end"/>
      </w:r>
    </w:p>
    <w:p w14:paraId="69E807B6">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_Toc24046 </w:instrText>
      </w:r>
      <w:r>
        <w:rPr>
          <w:rFonts w:hint="eastAsia" w:ascii="仿宋" w:hAnsi="仿宋" w:eastAsia="仿宋" w:cs="宋体"/>
          <w:szCs w:val="21"/>
          <w:highlight w:val="none"/>
        </w:rPr>
        <w:fldChar w:fldCharType="separate"/>
      </w:r>
      <w:r>
        <w:rPr>
          <w:rFonts w:ascii="仿宋" w:hAnsi="仿宋" w:cs="宋体"/>
          <w:highlight w:val="none"/>
        </w:rPr>
        <w:t>10.2 对投标人的纪律要求</w:t>
      </w:r>
      <w:r>
        <w:tab/>
      </w:r>
      <w:r>
        <w:fldChar w:fldCharType="begin"/>
      </w:r>
      <w:r>
        <w:instrText xml:space="preserve"> PAGEREF _Toc24046 \h </w:instrText>
      </w:r>
      <w:r>
        <w:fldChar w:fldCharType="separate"/>
      </w:r>
      <w:r>
        <w:t>24</w:t>
      </w:r>
      <w:r>
        <w:fldChar w:fldCharType="end"/>
      </w:r>
      <w:r>
        <w:rPr>
          <w:rFonts w:hint="eastAsia" w:ascii="仿宋" w:hAnsi="仿宋" w:eastAsia="仿宋" w:cs="宋体"/>
          <w:color w:val="000000"/>
          <w:szCs w:val="21"/>
          <w:highlight w:val="none"/>
        </w:rPr>
        <w:fldChar w:fldCharType="end"/>
      </w:r>
    </w:p>
    <w:p w14:paraId="2FF559AE">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_Toc12807 </w:instrText>
      </w:r>
      <w:r>
        <w:rPr>
          <w:rFonts w:hint="eastAsia" w:ascii="仿宋" w:hAnsi="仿宋" w:eastAsia="仿宋" w:cs="宋体"/>
          <w:szCs w:val="21"/>
          <w:highlight w:val="none"/>
        </w:rPr>
        <w:fldChar w:fldCharType="separate"/>
      </w:r>
      <w:r>
        <w:rPr>
          <w:rFonts w:ascii="仿宋" w:hAnsi="仿宋" w:cs="宋体"/>
          <w:highlight w:val="none"/>
        </w:rPr>
        <w:t>10.3 对评标委员会成员的纪律要求</w:t>
      </w:r>
      <w:r>
        <w:tab/>
      </w:r>
      <w:r>
        <w:fldChar w:fldCharType="begin"/>
      </w:r>
      <w:r>
        <w:instrText xml:space="preserve"> PAGEREF _Toc12807 \h </w:instrText>
      </w:r>
      <w:r>
        <w:fldChar w:fldCharType="separate"/>
      </w:r>
      <w:r>
        <w:t>24</w:t>
      </w:r>
      <w:r>
        <w:fldChar w:fldCharType="end"/>
      </w:r>
      <w:r>
        <w:rPr>
          <w:rFonts w:hint="eastAsia" w:ascii="仿宋" w:hAnsi="仿宋" w:eastAsia="仿宋" w:cs="宋体"/>
          <w:color w:val="000000"/>
          <w:szCs w:val="21"/>
          <w:highlight w:val="none"/>
        </w:rPr>
        <w:fldChar w:fldCharType="end"/>
      </w:r>
    </w:p>
    <w:p w14:paraId="2C43CA87">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_Toc16571 </w:instrText>
      </w:r>
      <w:r>
        <w:rPr>
          <w:rFonts w:hint="eastAsia" w:ascii="仿宋" w:hAnsi="仿宋" w:eastAsia="仿宋" w:cs="宋体"/>
          <w:szCs w:val="21"/>
          <w:highlight w:val="none"/>
        </w:rPr>
        <w:fldChar w:fldCharType="separate"/>
      </w:r>
      <w:r>
        <w:rPr>
          <w:rFonts w:ascii="仿宋" w:hAnsi="仿宋" w:cs="宋体"/>
          <w:highlight w:val="none"/>
        </w:rPr>
        <w:t>10.4 对招标代理机构的纪律要求</w:t>
      </w:r>
      <w:r>
        <w:tab/>
      </w:r>
      <w:r>
        <w:fldChar w:fldCharType="begin"/>
      </w:r>
      <w:r>
        <w:instrText xml:space="preserve"> PAGEREF _Toc16571 \h </w:instrText>
      </w:r>
      <w:r>
        <w:fldChar w:fldCharType="separate"/>
      </w:r>
      <w:r>
        <w:t>24</w:t>
      </w:r>
      <w:r>
        <w:fldChar w:fldCharType="end"/>
      </w:r>
      <w:r>
        <w:rPr>
          <w:rFonts w:hint="eastAsia" w:ascii="仿宋" w:hAnsi="仿宋" w:eastAsia="仿宋" w:cs="宋体"/>
          <w:color w:val="000000"/>
          <w:szCs w:val="21"/>
          <w:highlight w:val="none"/>
        </w:rPr>
        <w:fldChar w:fldCharType="end"/>
      </w:r>
    </w:p>
    <w:p w14:paraId="7465D6E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_Toc28887 </w:instrText>
      </w:r>
      <w:r>
        <w:rPr>
          <w:rFonts w:hint="eastAsia" w:ascii="仿宋" w:hAnsi="仿宋" w:eastAsia="仿宋" w:cs="宋体"/>
          <w:szCs w:val="21"/>
          <w:highlight w:val="none"/>
        </w:rPr>
        <w:fldChar w:fldCharType="separate"/>
      </w:r>
      <w:r>
        <w:rPr>
          <w:rFonts w:ascii="仿宋" w:hAnsi="仿宋" w:cs="宋体"/>
          <w:highlight w:val="none"/>
        </w:rPr>
        <w:t>10.5 对与评标活动有关的工作人员的纪律要求</w:t>
      </w:r>
      <w:r>
        <w:tab/>
      </w:r>
      <w:r>
        <w:fldChar w:fldCharType="begin"/>
      </w:r>
      <w:r>
        <w:instrText xml:space="preserve"> PAGEREF _Toc28887 \h </w:instrText>
      </w:r>
      <w:r>
        <w:fldChar w:fldCharType="separate"/>
      </w:r>
      <w:r>
        <w:t>25</w:t>
      </w:r>
      <w:r>
        <w:fldChar w:fldCharType="end"/>
      </w:r>
      <w:r>
        <w:rPr>
          <w:rFonts w:hint="eastAsia" w:ascii="仿宋" w:hAnsi="仿宋" w:eastAsia="仿宋" w:cs="宋体"/>
          <w:color w:val="000000"/>
          <w:szCs w:val="21"/>
          <w:highlight w:val="none"/>
        </w:rPr>
        <w:fldChar w:fldCharType="end"/>
      </w:r>
    </w:p>
    <w:p w14:paraId="3C738765">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_Toc5195 </w:instrText>
      </w:r>
      <w:r>
        <w:rPr>
          <w:rFonts w:hint="eastAsia" w:ascii="仿宋" w:hAnsi="仿宋" w:eastAsia="仿宋" w:cs="宋体"/>
          <w:szCs w:val="21"/>
          <w:highlight w:val="none"/>
        </w:rPr>
        <w:fldChar w:fldCharType="separate"/>
      </w:r>
      <w:r>
        <w:rPr>
          <w:rFonts w:hint="eastAsia"/>
        </w:rPr>
        <w:t>11. 需要补充的其他内容</w:t>
      </w:r>
      <w:r>
        <w:tab/>
      </w:r>
      <w:r>
        <w:fldChar w:fldCharType="begin"/>
      </w:r>
      <w:r>
        <w:instrText xml:space="preserve"> PAGEREF _Toc5195 \h </w:instrText>
      </w:r>
      <w:r>
        <w:fldChar w:fldCharType="separate"/>
      </w:r>
      <w:r>
        <w:t>25</w:t>
      </w:r>
      <w:r>
        <w:fldChar w:fldCharType="end"/>
      </w:r>
      <w:r>
        <w:rPr>
          <w:rFonts w:hint="eastAsia" w:ascii="仿宋" w:hAnsi="仿宋" w:eastAsia="仿宋" w:cs="宋体"/>
          <w:color w:val="000000"/>
          <w:szCs w:val="21"/>
          <w:highlight w:val="none"/>
        </w:rPr>
        <w:fldChar w:fldCharType="end"/>
      </w:r>
    </w:p>
    <w:p w14:paraId="32C8EE72">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_Toc30018 </w:instrText>
      </w:r>
      <w:r>
        <w:rPr>
          <w:rFonts w:hint="eastAsia" w:ascii="仿宋" w:hAnsi="仿宋" w:eastAsia="仿宋" w:cs="宋体"/>
          <w:szCs w:val="21"/>
          <w:highlight w:val="none"/>
        </w:rPr>
        <w:fldChar w:fldCharType="separate"/>
      </w:r>
      <w:r>
        <w:rPr>
          <w:rFonts w:hint="eastAsia" w:ascii="仿宋" w:hAnsi="仿宋" w:cs="宋体"/>
          <w:highlight w:val="none"/>
        </w:rPr>
        <w:t>第三章 评标办法</w:t>
      </w:r>
      <w:r>
        <w:tab/>
      </w:r>
      <w:r>
        <w:fldChar w:fldCharType="begin"/>
      </w:r>
      <w:r>
        <w:instrText xml:space="preserve"> PAGEREF _Toc30018 \h </w:instrText>
      </w:r>
      <w:r>
        <w:fldChar w:fldCharType="separate"/>
      </w:r>
      <w:r>
        <w:t>26</w:t>
      </w:r>
      <w:r>
        <w:fldChar w:fldCharType="end"/>
      </w:r>
      <w:r>
        <w:rPr>
          <w:rFonts w:hint="eastAsia" w:ascii="仿宋" w:hAnsi="仿宋" w:eastAsia="仿宋" w:cs="宋体"/>
          <w:color w:val="000000"/>
          <w:szCs w:val="21"/>
          <w:highlight w:val="none"/>
        </w:rPr>
        <w:fldChar w:fldCharType="end"/>
      </w:r>
    </w:p>
    <w:p w14:paraId="79493CB4">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_Toc31831 </w:instrText>
      </w:r>
      <w:r>
        <w:rPr>
          <w:rFonts w:hint="eastAsia" w:ascii="仿宋" w:hAnsi="仿宋" w:eastAsia="仿宋" w:cs="宋体"/>
          <w:szCs w:val="21"/>
          <w:highlight w:val="none"/>
        </w:rPr>
        <w:fldChar w:fldCharType="separate"/>
      </w:r>
      <w:r>
        <w:rPr>
          <w:rFonts w:hint="eastAsia" w:ascii="仿宋" w:hAnsi="仿宋" w:cs="宋体"/>
          <w:szCs w:val="24"/>
          <w:highlight w:val="none"/>
        </w:rPr>
        <w:t>评标办法前附表</w:t>
      </w:r>
      <w:r>
        <w:tab/>
      </w:r>
      <w:r>
        <w:fldChar w:fldCharType="begin"/>
      </w:r>
      <w:r>
        <w:instrText xml:space="preserve"> PAGEREF _Toc31831 \h </w:instrText>
      </w:r>
      <w:r>
        <w:fldChar w:fldCharType="separate"/>
      </w:r>
      <w:r>
        <w:t>26</w:t>
      </w:r>
      <w:r>
        <w:fldChar w:fldCharType="end"/>
      </w:r>
      <w:r>
        <w:rPr>
          <w:rFonts w:hint="eastAsia" w:ascii="仿宋" w:hAnsi="仿宋" w:eastAsia="仿宋" w:cs="宋体"/>
          <w:color w:val="000000"/>
          <w:szCs w:val="21"/>
          <w:highlight w:val="none"/>
        </w:rPr>
        <w:fldChar w:fldCharType="end"/>
      </w:r>
    </w:p>
    <w:p w14:paraId="4820041E">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_Toc1372 </w:instrText>
      </w:r>
      <w:r>
        <w:rPr>
          <w:rFonts w:hint="eastAsia" w:ascii="仿宋" w:hAnsi="仿宋" w:eastAsia="仿宋" w:cs="宋体"/>
          <w:szCs w:val="21"/>
          <w:highlight w:val="none"/>
        </w:rPr>
        <w:fldChar w:fldCharType="separate"/>
      </w:r>
      <w:r>
        <w:t>1、初步评审标准</w:t>
      </w:r>
      <w:r>
        <w:tab/>
      </w:r>
      <w:r>
        <w:fldChar w:fldCharType="begin"/>
      </w:r>
      <w:r>
        <w:instrText xml:space="preserve"> PAGEREF _Toc1372 \h </w:instrText>
      </w:r>
      <w:r>
        <w:fldChar w:fldCharType="separate"/>
      </w:r>
      <w:r>
        <w:t>26</w:t>
      </w:r>
      <w:r>
        <w:fldChar w:fldCharType="end"/>
      </w:r>
      <w:r>
        <w:rPr>
          <w:rFonts w:hint="eastAsia" w:ascii="仿宋" w:hAnsi="仿宋" w:eastAsia="仿宋" w:cs="宋体"/>
          <w:color w:val="000000"/>
          <w:szCs w:val="21"/>
          <w:highlight w:val="none"/>
        </w:rPr>
        <w:fldChar w:fldCharType="end"/>
      </w:r>
    </w:p>
    <w:p w14:paraId="7ABA41F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_Toc31474 </w:instrText>
      </w:r>
      <w:r>
        <w:rPr>
          <w:rFonts w:hint="eastAsia" w:ascii="仿宋" w:hAnsi="仿宋" w:eastAsia="仿宋" w:cs="宋体"/>
          <w:szCs w:val="21"/>
          <w:highlight w:val="none"/>
        </w:rPr>
        <w:fldChar w:fldCharType="separate"/>
      </w:r>
      <w:r>
        <w:t>2、否决投标情形汇总</w:t>
      </w:r>
      <w:r>
        <w:tab/>
      </w:r>
      <w:r>
        <w:fldChar w:fldCharType="begin"/>
      </w:r>
      <w:r>
        <w:instrText xml:space="preserve"> PAGEREF _Toc31474 \h </w:instrText>
      </w:r>
      <w:r>
        <w:fldChar w:fldCharType="separate"/>
      </w:r>
      <w:r>
        <w:t>28</w:t>
      </w:r>
      <w:r>
        <w:fldChar w:fldCharType="end"/>
      </w:r>
      <w:r>
        <w:rPr>
          <w:rFonts w:hint="eastAsia" w:ascii="仿宋" w:hAnsi="仿宋" w:eastAsia="仿宋" w:cs="宋体"/>
          <w:color w:val="000000"/>
          <w:szCs w:val="21"/>
          <w:highlight w:val="none"/>
        </w:rPr>
        <w:fldChar w:fldCharType="end"/>
      </w:r>
    </w:p>
    <w:p w14:paraId="7DC111B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_Toc26101 </w:instrText>
      </w:r>
      <w:r>
        <w:rPr>
          <w:rFonts w:hint="eastAsia" w:ascii="仿宋" w:hAnsi="仿宋" w:eastAsia="仿宋" w:cs="宋体"/>
          <w:szCs w:val="21"/>
          <w:highlight w:val="none"/>
        </w:rPr>
        <w:fldChar w:fldCharType="separate"/>
      </w:r>
      <w:r>
        <w:rPr>
          <w:rFonts w:hint="eastAsia"/>
          <w:lang w:val="en-US" w:eastAsia="zh-CN"/>
        </w:rPr>
        <w:t>3、</w:t>
      </w:r>
      <w:r>
        <w:t>详细评审标准</w:t>
      </w:r>
      <w:r>
        <w:tab/>
      </w:r>
      <w:r>
        <w:fldChar w:fldCharType="begin"/>
      </w:r>
      <w:r>
        <w:instrText xml:space="preserve"> PAGEREF _Toc26101 \h </w:instrText>
      </w:r>
      <w:r>
        <w:fldChar w:fldCharType="separate"/>
      </w:r>
      <w:r>
        <w:t>30</w:t>
      </w:r>
      <w:r>
        <w:fldChar w:fldCharType="end"/>
      </w:r>
      <w:r>
        <w:rPr>
          <w:rFonts w:hint="eastAsia" w:ascii="仿宋" w:hAnsi="仿宋" w:eastAsia="仿宋" w:cs="宋体"/>
          <w:color w:val="000000"/>
          <w:szCs w:val="21"/>
          <w:highlight w:val="none"/>
        </w:rPr>
        <w:fldChar w:fldCharType="end"/>
      </w:r>
    </w:p>
    <w:p w14:paraId="119500FD">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_Toc2188 </w:instrText>
      </w:r>
      <w:r>
        <w:rPr>
          <w:rFonts w:hint="eastAsia" w:ascii="仿宋" w:hAnsi="仿宋" w:eastAsia="仿宋" w:cs="宋体"/>
          <w:szCs w:val="21"/>
          <w:highlight w:val="none"/>
        </w:rPr>
        <w:fldChar w:fldCharType="separate"/>
      </w:r>
      <w:r>
        <w:rPr>
          <w:rFonts w:hint="eastAsia" w:ascii="仿宋" w:hAnsi="仿宋" w:cs="宋体"/>
          <w:szCs w:val="24"/>
          <w:highlight w:val="none"/>
        </w:rPr>
        <w:t>一、评标方法</w:t>
      </w:r>
      <w:r>
        <w:tab/>
      </w:r>
      <w:r>
        <w:fldChar w:fldCharType="begin"/>
      </w:r>
      <w:r>
        <w:instrText xml:space="preserve"> PAGEREF _Toc2188 \h </w:instrText>
      </w:r>
      <w:r>
        <w:fldChar w:fldCharType="separate"/>
      </w:r>
      <w:r>
        <w:t>31</w:t>
      </w:r>
      <w:r>
        <w:fldChar w:fldCharType="end"/>
      </w:r>
      <w:r>
        <w:rPr>
          <w:rFonts w:hint="eastAsia" w:ascii="仿宋" w:hAnsi="仿宋" w:eastAsia="仿宋" w:cs="宋体"/>
          <w:color w:val="000000"/>
          <w:szCs w:val="21"/>
          <w:highlight w:val="none"/>
        </w:rPr>
        <w:fldChar w:fldCharType="end"/>
      </w:r>
    </w:p>
    <w:p w14:paraId="6656E9D1">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_Toc24853 </w:instrText>
      </w:r>
      <w:r>
        <w:rPr>
          <w:rFonts w:hint="eastAsia" w:ascii="仿宋" w:hAnsi="仿宋" w:eastAsia="仿宋" w:cs="宋体"/>
          <w:szCs w:val="21"/>
          <w:highlight w:val="none"/>
        </w:rPr>
        <w:fldChar w:fldCharType="separate"/>
      </w:r>
      <w:r>
        <w:rPr>
          <w:rFonts w:hint="eastAsia" w:ascii="仿宋" w:hAnsi="仿宋" w:cs="宋体"/>
          <w:szCs w:val="24"/>
          <w:highlight w:val="none"/>
        </w:rPr>
        <w:t>二、评审标准</w:t>
      </w:r>
      <w:r>
        <w:tab/>
      </w:r>
      <w:r>
        <w:fldChar w:fldCharType="begin"/>
      </w:r>
      <w:r>
        <w:instrText xml:space="preserve"> PAGEREF _Toc24853 \h </w:instrText>
      </w:r>
      <w:r>
        <w:fldChar w:fldCharType="separate"/>
      </w:r>
      <w:r>
        <w:t>31</w:t>
      </w:r>
      <w:r>
        <w:fldChar w:fldCharType="end"/>
      </w:r>
      <w:r>
        <w:rPr>
          <w:rFonts w:hint="eastAsia" w:ascii="仿宋" w:hAnsi="仿宋" w:eastAsia="仿宋" w:cs="宋体"/>
          <w:color w:val="000000"/>
          <w:szCs w:val="21"/>
          <w:highlight w:val="none"/>
        </w:rPr>
        <w:fldChar w:fldCharType="end"/>
      </w:r>
    </w:p>
    <w:p w14:paraId="4265FC7F">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_Toc5379 </w:instrText>
      </w:r>
      <w:r>
        <w:rPr>
          <w:rFonts w:hint="eastAsia" w:ascii="仿宋" w:hAnsi="仿宋" w:eastAsia="仿宋" w:cs="宋体"/>
          <w:szCs w:val="21"/>
          <w:highlight w:val="none"/>
        </w:rPr>
        <w:fldChar w:fldCharType="separate"/>
      </w:r>
      <w:r>
        <w:rPr>
          <w:rFonts w:hint="eastAsia" w:ascii="仿宋" w:hAnsi="仿宋" w:cs="宋体"/>
          <w:szCs w:val="24"/>
          <w:highlight w:val="none"/>
        </w:rPr>
        <w:t>三、评标程序</w:t>
      </w:r>
      <w:r>
        <w:tab/>
      </w:r>
      <w:r>
        <w:fldChar w:fldCharType="begin"/>
      </w:r>
      <w:r>
        <w:instrText xml:space="preserve"> PAGEREF _Toc5379 \h </w:instrText>
      </w:r>
      <w:r>
        <w:fldChar w:fldCharType="separate"/>
      </w:r>
      <w:r>
        <w:t>31</w:t>
      </w:r>
      <w:r>
        <w:fldChar w:fldCharType="end"/>
      </w:r>
      <w:r>
        <w:rPr>
          <w:rFonts w:hint="eastAsia" w:ascii="仿宋" w:hAnsi="仿宋" w:eastAsia="仿宋" w:cs="宋体"/>
          <w:color w:val="000000"/>
          <w:szCs w:val="21"/>
          <w:highlight w:val="none"/>
        </w:rPr>
        <w:fldChar w:fldCharType="end"/>
      </w:r>
    </w:p>
    <w:p w14:paraId="66FABBE5">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_Toc1356 </w:instrText>
      </w:r>
      <w:r>
        <w:rPr>
          <w:rFonts w:hint="eastAsia" w:ascii="仿宋" w:hAnsi="仿宋" w:eastAsia="仿宋" w:cs="宋体"/>
          <w:szCs w:val="21"/>
          <w:highlight w:val="none"/>
        </w:rPr>
        <w:fldChar w:fldCharType="separate"/>
      </w:r>
      <w:r>
        <w:rPr>
          <w:rFonts w:hint="eastAsia"/>
        </w:rPr>
        <w:t>3.1初步评审</w:t>
      </w:r>
      <w:r>
        <w:tab/>
      </w:r>
      <w:r>
        <w:fldChar w:fldCharType="begin"/>
      </w:r>
      <w:r>
        <w:instrText xml:space="preserve"> PAGEREF _Toc1356 \h </w:instrText>
      </w:r>
      <w:r>
        <w:fldChar w:fldCharType="separate"/>
      </w:r>
      <w:r>
        <w:t>31</w:t>
      </w:r>
      <w:r>
        <w:fldChar w:fldCharType="end"/>
      </w:r>
      <w:r>
        <w:rPr>
          <w:rFonts w:hint="eastAsia" w:ascii="仿宋" w:hAnsi="仿宋" w:eastAsia="仿宋" w:cs="宋体"/>
          <w:color w:val="000000"/>
          <w:szCs w:val="21"/>
          <w:highlight w:val="none"/>
        </w:rPr>
        <w:fldChar w:fldCharType="end"/>
      </w:r>
    </w:p>
    <w:p w14:paraId="0E583C26">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_Toc549 </w:instrText>
      </w:r>
      <w:r>
        <w:rPr>
          <w:rFonts w:hint="eastAsia" w:ascii="仿宋" w:hAnsi="仿宋" w:eastAsia="仿宋" w:cs="宋体"/>
          <w:szCs w:val="21"/>
          <w:highlight w:val="none"/>
        </w:rPr>
        <w:fldChar w:fldCharType="separate"/>
      </w:r>
      <w:r>
        <w:rPr>
          <w:rFonts w:hint="eastAsia"/>
        </w:rPr>
        <w:t>3.2 详细评审</w:t>
      </w:r>
      <w:r>
        <w:tab/>
      </w:r>
      <w:r>
        <w:fldChar w:fldCharType="begin"/>
      </w:r>
      <w:r>
        <w:instrText xml:space="preserve"> PAGEREF _Toc549 \h </w:instrText>
      </w:r>
      <w:r>
        <w:fldChar w:fldCharType="separate"/>
      </w:r>
      <w:r>
        <w:t>32</w:t>
      </w:r>
      <w:r>
        <w:fldChar w:fldCharType="end"/>
      </w:r>
      <w:r>
        <w:rPr>
          <w:rFonts w:hint="eastAsia" w:ascii="仿宋" w:hAnsi="仿宋" w:eastAsia="仿宋" w:cs="宋体"/>
          <w:color w:val="000000"/>
          <w:szCs w:val="21"/>
          <w:highlight w:val="none"/>
        </w:rPr>
        <w:fldChar w:fldCharType="end"/>
      </w:r>
    </w:p>
    <w:p w14:paraId="6463B3EC">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_Toc3245 </w:instrText>
      </w:r>
      <w:r>
        <w:rPr>
          <w:rFonts w:hint="eastAsia" w:ascii="仿宋" w:hAnsi="仿宋" w:eastAsia="仿宋" w:cs="宋体"/>
          <w:szCs w:val="21"/>
          <w:highlight w:val="none"/>
        </w:rPr>
        <w:fldChar w:fldCharType="separate"/>
      </w:r>
      <w:r>
        <w:rPr>
          <w:rFonts w:hint="eastAsia"/>
        </w:rPr>
        <w:t>3.3 投标文件的澄清、说明</w:t>
      </w:r>
      <w:r>
        <w:tab/>
      </w:r>
      <w:r>
        <w:fldChar w:fldCharType="begin"/>
      </w:r>
      <w:r>
        <w:instrText xml:space="preserve"> PAGEREF _Toc3245 \h </w:instrText>
      </w:r>
      <w:r>
        <w:fldChar w:fldCharType="separate"/>
      </w:r>
      <w:r>
        <w:t>32</w:t>
      </w:r>
      <w:r>
        <w:fldChar w:fldCharType="end"/>
      </w:r>
      <w:r>
        <w:rPr>
          <w:rFonts w:hint="eastAsia" w:ascii="仿宋" w:hAnsi="仿宋" w:eastAsia="仿宋" w:cs="宋体"/>
          <w:color w:val="000000"/>
          <w:szCs w:val="21"/>
          <w:highlight w:val="none"/>
        </w:rPr>
        <w:fldChar w:fldCharType="end"/>
      </w:r>
    </w:p>
    <w:p w14:paraId="468E8293">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_Toc27472 </w:instrText>
      </w:r>
      <w:r>
        <w:rPr>
          <w:rFonts w:hint="eastAsia" w:ascii="仿宋" w:hAnsi="仿宋" w:eastAsia="仿宋" w:cs="宋体"/>
          <w:szCs w:val="21"/>
          <w:highlight w:val="none"/>
        </w:rPr>
        <w:fldChar w:fldCharType="separate"/>
      </w:r>
      <w:r>
        <w:rPr>
          <w:rFonts w:hint="eastAsia"/>
        </w:rPr>
        <w:t>3.4 中标候选人推荐原则</w:t>
      </w:r>
      <w:r>
        <w:tab/>
      </w:r>
      <w:r>
        <w:fldChar w:fldCharType="begin"/>
      </w:r>
      <w:r>
        <w:instrText xml:space="preserve"> PAGEREF _Toc27472 \h </w:instrText>
      </w:r>
      <w:r>
        <w:fldChar w:fldCharType="separate"/>
      </w:r>
      <w:r>
        <w:t>33</w:t>
      </w:r>
      <w:r>
        <w:fldChar w:fldCharType="end"/>
      </w:r>
      <w:r>
        <w:rPr>
          <w:rFonts w:hint="eastAsia" w:ascii="仿宋" w:hAnsi="仿宋" w:eastAsia="仿宋" w:cs="宋体"/>
          <w:color w:val="000000"/>
          <w:szCs w:val="21"/>
          <w:highlight w:val="none"/>
        </w:rPr>
        <w:fldChar w:fldCharType="end"/>
      </w:r>
    </w:p>
    <w:p w14:paraId="7DA85163">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_Toc4198 </w:instrText>
      </w:r>
      <w:r>
        <w:rPr>
          <w:rFonts w:hint="eastAsia" w:ascii="仿宋" w:hAnsi="仿宋" w:eastAsia="仿宋" w:cs="宋体"/>
          <w:szCs w:val="21"/>
          <w:highlight w:val="none"/>
        </w:rPr>
        <w:fldChar w:fldCharType="separate"/>
      </w:r>
      <w:r>
        <w:rPr>
          <w:rFonts w:hint="eastAsia"/>
        </w:rPr>
        <w:t>3.5 评标结果</w:t>
      </w:r>
      <w:r>
        <w:tab/>
      </w:r>
      <w:r>
        <w:fldChar w:fldCharType="begin"/>
      </w:r>
      <w:r>
        <w:instrText xml:space="preserve"> PAGEREF _Toc4198 \h </w:instrText>
      </w:r>
      <w:r>
        <w:fldChar w:fldCharType="separate"/>
      </w:r>
      <w:r>
        <w:t>33</w:t>
      </w:r>
      <w:r>
        <w:fldChar w:fldCharType="end"/>
      </w:r>
      <w:r>
        <w:rPr>
          <w:rFonts w:hint="eastAsia" w:ascii="仿宋" w:hAnsi="仿宋" w:eastAsia="仿宋" w:cs="宋体"/>
          <w:color w:val="000000"/>
          <w:szCs w:val="21"/>
          <w:highlight w:val="none"/>
        </w:rPr>
        <w:fldChar w:fldCharType="end"/>
      </w:r>
    </w:p>
    <w:p w14:paraId="613E220E">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_Toc27416 </w:instrText>
      </w:r>
      <w:r>
        <w:rPr>
          <w:rFonts w:hint="eastAsia" w:ascii="仿宋" w:hAnsi="仿宋" w:eastAsia="仿宋" w:cs="宋体"/>
          <w:szCs w:val="21"/>
          <w:highlight w:val="none"/>
        </w:rPr>
        <w:fldChar w:fldCharType="separate"/>
      </w:r>
      <w:r>
        <w:rPr>
          <w:rFonts w:hint="eastAsia" w:ascii="仿宋" w:hAnsi="仿宋" w:cs="宋体"/>
          <w:highlight w:val="none"/>
        </w:rPr>
        <w:t>第四章 合同条款</w:t>
      </w:r>
      <w:r>
        <w:tab/>
      </w:r>
      <w:r>
        <w:fldChar w:fldCharType="begin"/>
      </w:r>
      <w:r>
        <w:instrText xml:space="preserve"> PAGEREF _Toc27416 \h </w:instrText>
      </w:r>
      <w:r>
        <w:fldChar w:fldCharType="separate"/>
      </w:r>
      <w:r>
        <w:t>34</w:t>
      </w:r>
      <w:r>
        <w:fldChar w:fldCharType="end"/>
      </w:r>
      <w:r>
        <w:rPr>
          <w:rFonts w:hint="eastAsia" w:ascii="仿宋" w:hAnsi="仿宋" w:eastAsia="仿宋" w:cs="宋体"/>
          <w:color w:val="000000"/>
          <w:szCs w:val="21"/>
          <w:highlight w:val="none"/>
        </w:rPr>
        <w:fldChar w:fldCharType="end"/>
      </w:r>
    </w:p>
    <w:p w14:paraId="66F01194">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_Toc5715 </w:instrText>
      </w:r>
      <w:r>
        <w:rPr>
          <w:rFonts w:hint="eastAsia" w:ascii="仿宋" w:hAnsi="仿宋" w:eastAsia="仿宋" w:cs="宋体"/>
          <w:szCs w:val="21"/>
          <w:highlight w:val="none"/>
        </w:rPr>
        <w:fldChar w:fldCharType="separate"/>
      </w:r>
      <w:r>
        <w:rPr>
          <w:rFonts w:hint="eastAsia" w:ascii="仿宋" w:hAnsi="仿宋" w:cs="宋体"/>
          <w:highlight w:val="none"/>
        </w:rPr>
        <w:t>第五章 技术规范书</w:t>
      </w:r>
      <w:r>
        <w:tab/>
      </w:r>
      <w:r>
        <w:fldChar w:fldCharType="begin"/>
      </w:r>
      <w:r>
        <w:instrText xml:space="preserve"> PAGEREF _Toc5715 \h </w:instrText>
      </w:r>
      <w:r>
        <w:fldChar w:fldCharType="separate"/>
      </w:r>
      <w:r>
        <w:t>35</w:t>
      </w:r>
      <w:r>
        <w:fldChar w:fldCharType="end"/>
      </w:r>
      <w:r>
        <w:rPr>
          <w:rFonts w:hint="eastAsia" w:ascii="仿宋" w:hAnsi="仿宋" w:eastAsia="仿宋" w:cs="宋体"/>
          <w:color w:val="000000"/>
          <w:szCs w:val="21"/>
          <w:highlight w:val="none"/>
        </w:rPr>
        <w:fldChar w:fldCharType="end"/>
      </w:r>
    </w:p>
    <w:p w14:paraId="38369981">
      <w:pPr>
        <w:pStyle w:val="23"/>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_Toc22300 </w:instrText>
      </w:r>
      <w:r>
        <w:rPr>
          <w:rFonts w:hint="eastAsia" w:ascii="仿宋" w:hAnsi="仿宋" w:eastAsia="仿宋" w:cs="宋体"/>
          <w:szCs w:val="21"/>
          <w:highlight w:val="none"/>
        </w:rPr>
        <w:fldChar w:fldCharType="separate"/>
      </w:r>
      <w:r>
        <w:rPr>
          <w:rFonts w:hint="eastAsia" w:ascii="仿宋" w:hAnsi="仿宋"/>
          <w:szCs w:val="21"/>
          <w:highlight w:val="none"/>
        </w:rPr>
        <w:t>第六章 投标文件格式</w:t>
      </w:r>
      <w:r>
        <w:tab/>
      </w:r>
      <w:r>
        <w:fldChar w:fldCharType="begin"/>
      </w:r>
      <w:r>
        <w:instrText xml:space="preserve"> PAGEREF _Toc22300 \h </w:instrText>
      </w:r>
      <w:r>
        <w:fldChar w:fldCharType="separate"/>
      </w:r>
      <w:r>
        <w:t>36</w:t>
      </w:r>
      <w:r>
        <w:fldChar w:fldCharType="end"/>
      </w:r>
      <w:r>
        <w:rPr>
          <w:rFonts w:hint="eastAsia" w:ascii="仿宋" w:hAnsi="仿宋" w:eastAsia="仿宋" w:cs="宋体"/>
          <w:color w:val="000000"/>
          <w:szCs w:val="21"/>
          <w:highlight w:val="none"/>
        </w:rPr>
        <w:fldChar w:fldCharType="end"/>
      </w:r>
    </w:p>
    <w:p w14:paraId="76E4BC7A">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_Toc12294 </w:instrText>
      </w:r>
      <w:r>
        <w:rPr>
          <w:rFonts w:hint="eastAsia" w:ascii="仿宋" w:hAnsi="仿宋" w:eastAsia="仿宋" w:cs="宋体"/>
          <w:szCs w:val="21"/>
          <w:highlight w:val="none"/>
        </w:rPr>
        <w:fldChar w:fldCharType="separate"/>
      </w:r>
      <w:r>
        <w:rPr>
          <w:rFonts w:hint="eastAsia" w:ascii="仿宋" w:hAnsi="仿宋" w:cs="宋体"/>
          <w:highlight w:val="none"/>
        </w:rPr>
        <w:t>一、商务文件</w:t>
      </w:r>
      <w:r>
        <w:tab/>
      </w:r>
      <w:r>
        <w:fldChar w:fldCharType="begin"/>
      </w:r>
      <w:r>
        <w:instrText xml:space="preserve"> PAGEREF _Toc12294 \h </w:instrText>
      </w:r>
      <w:r>
        <w:fldChar w:fldCharType="separate"/>
      </w:r>
      <w:r>
        <w:t>37</w:t>
      </w:r>
      <w:r>
        <w:fldChar w:fldCharType="end"/>
      </w:r>
      <w:r>
        <w:rPr>
          <w:rFonts w:hint="eastAsia" w:ascii="仿宋" w:hAnsi="仿宋" w:eastAsia="仿宋" w:cs="宋体"/>
          <w:color w:val="000000"/>
          <w:szCs w:val="21"/>
          <w:highlight w:val="none"/>
        </w:rPr>
        <w:fldChar w:fldCharType="end"/>
      </w:r>
    </w:p>
    <w:p w14:paraId="1A94ADFC">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_Toc27497 </w:instrText>
      </w:r>
      <w:r>
        <w:rPr>
          <w:rFonts w:hint="eastAsia" w:ascii="仿宋" w:hAnsi="仿宋" w:eastAsia="仿宋" w:cs="宋体"/>
          <w:szCs w:val="21"/>
          <w:highlight w:val="none"/>
        </w:rPr>
        <w:fldChar w:fldCharType="separate"/>
      </w:r>
      <w:r>
        <w:rPr>
          <w:rFonts w:ascii="仿宋" w:hAnsi="仿宋" w:cs="宋体"/>
          <w:highlight w:val="none"/>
        </w:rPr>
        <w:t>初步评审索引表</w:t>
      </w:r>
      <w:r>
        <w:tab/>
      </w:r>
      <w:r>
        <w:fldChar w:fldCharType="begin"/>
      </w:r>
      <w:r>
        <w:instrText xml:space="preserve"> PAGEREF _Toc27497 \h </w:instrText>
      </w:r>
      <w:r>
        <w:fldChar w:fldCharType="separate"/>
      </w:r>
      <w:r>
        <w:t>37</w:t>
      </w:r>
      <w:r>
        <w:fldChar w:fldCharType="end"/>
      </w:r>
      <w:r>
        <w:rPr>
          <w:rFonts w:hint="eastAsia" w:ascii="仿宋" w:hAnsi="仿宋" w:eastAsia="仿宋" w:cs="宋体"/>
          <w:color w:val="000000"/>
          <w:szCs w:val="21"/>
          <w:highlight w:val="none"/>
        </w:rPr>
        <w:fldChar w:fldCharType="end"/>
      </w:r>
    </w:p>
    <w:p w14:paraId="017C6396">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_Toc24334 </w:instrText>
      </w:r>
      <w:r>
        <w:rPr>
          <w:rFonts w:hint="eastAsia" w:ascii="仿宋" w:hAnsi="仿宋" w:eastAsia="仿宋" w:cs="宋体"/>
          <w:szCs w:val="21"/>
          <w:highlight w:val="none"/>
        </w:rPr>
        <w:fldChar w:fldCharType="separate"/>
      </w:r>
      <w:r>
        <w:rPr>
          <w:rFonts w:ascii="仿宋" w:hAnsi="仿宋" w:cs="宋体"/>
          <w:highlight w:val="none"/>
        </w:rPr>
        <w:t>详细评审索引表</w:t>
      </w:r>
      <w:r>
        <w:tab/>
      </w:r>
      <w:r>
        <w:fldChar w:fldCharType="begin"/>
      </w:r>
      <w:r>
        <w:instrText xml:space="preserve"> PAGEREF _Toc24334 \h </w:instrText>
      </w:r>
      <w:r>
        <w:fldChar w:fldCharType="separate"/>
      </w:r>
      <w:r>
        <w:t>38</w:t>
      </w:r>
      <w:r>
        <w:fldChar w:fldCharType="end"/>
      </w:r>
      <w:r>
        <w:rPr>
          <w:rFonts w:hint="eastAsia" w:ascii="仿宋" w:hAnsi="仿宋" w:eastAsia="仿宋" w:cs="宋体"/>
          <w:color w:val="000000"/>
          <w:szCs w:val="21"/>
          <w:highlight w:val="none"/>
        </w:rPr>
        <w:fldChar w:fldCharType="end"/>
      </w:r>
    </w:p>
    <w:p w14:paraId="51B01A4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_Toc27171 </w:instrText>
      </w:r>
      <w:r>
        <w:rPr>
          <w:rFonts w:hint="eastAsia" w:ascii="仿宋" w:hAnsi="仿宋" w:eastAsia="仿宋" w:cs="宋体"/>
          <w:szCs w:val="21"/>
          <w:highlight w:val="none"/>
        </w:rPr>
        <w:fldChar w:fldCharType="separate"/>
      </w:r>
      <w:r>
        <w:rPr>
          <w:rFonts w:ascii="仿宋" w:hAnsi="仿宋" w:cs="宋体"/>
          <w:szCs w:val="24"/>
          <w:highlight w:val="none"/>
        </w:rPr>
        <w:t>（二）法定代表人（负责人）身份证明</w:t>
      </w:r>
      <w:r>
        <w:tab/>
      </w:r>
      <w:r>
        <w:fldChar w:fldCharType="begin"/>
      </w:r>
      <w:r>
        <w:instrText xml:space="preserve"> PAGEREF _Toc27171 \h </w:instrText>
      </w:r>
      <w:r>
        <w:fldChar w:fldCharType="separate"/>
      </w:r>
      <w:r>
        <w:t>40</w:t>
      </w:r>
      <w:r>
        <w:fldChar w:fldCharType="end"/>
      </w:r>
      <w:r>
        <w:rPr>
          <w:rFonts w:hint="eastAsia" w:ascii="仿宋" w:hAnsi="仿宋" w:eastAsia="仿宋" w:cs="宋体"/>
          <w:color w:val="000000"/>
          <w:szCs w:val="21"/>
          <w:highlight w:val="none"/>
        </w:rPr>
        <w:fldChar w:fldCharType="end"/>
      </w:r>
    </w:p>
    <w:p w14:paraId="53AEDC15">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_Toc20619 </w:instrText>
      </w:r>
      <w:r>
        <w:rPr>
          <w:rFonts w:hint="eastAsia" w:ascii="仿宋" w:hAnsi="仿宋" w:eastAsia="仿宋" w:cs="宋体"/>
          <w:szCs w:val="21"/>
          <w:highlight w:val="none"/>
        </w:rPr>
        <w:fldChar w:fldCharType="separate"/>
      </w:r>
      <w:r>
        <w:rPr>
          <w:rFonts w:ascii="仿宋" w:hAnsi="仿宋" w:cs="宋体"/>
          <w:szCs w:val="24"/>
          <w:highlight w:val="none"/>
        </w:rPr>
        <w:t>（三）法定代表人（负责人）授权委托书</w:t>
      </w:r>
      <w:r>
        <w:tab/>
      </w:r>
      <w:r>
        <w:fldChar w:fldCharType="begin"/>
      </w:r>
      <w:r>
        <w:instrText xml:space="preserve"> PAGEREF _Toc20619 \h </w:instrText>
      </w:r>
      <w:r>
        <w:fldChar w:fldCharType="separate"/>
      </w:r>
      <w:r>
        <w:t>41</w:t>
      </w:r>
      <w:r>
        <w:fldChar w:fldCharType="end"/>
      </w:r>
      <w:r>
        <w:rPr>
          <w:rFonts w:hint="eastAsia" w:ascii="仿宋" w:hAnsi="仿宋" w:eastAsia="仿宋" w:cs="宋体"/>
          <w:color w:val="000000"/>
          <w:szCs w:val="21"/>
          <w:highlight w:val="none"/>
        </w:rPr>
        <w:fldChar w:fldCharType="end"/>
      </w:r>
    </w:p>
    <w:p w14:paraId="181552B5">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_Toc6476 </w:instrText>
      </w:r>
      <w:r>
        <w:rPr>
          <w:rFonts w:hint="eastAsia" w:ascii="仿宋" w:hAnsi="仿宋" w:eastAsia="仿宋" w:cs="宋体"/>
          <w:szCs w:val="21"/>
          <w:highlight w:val="none"/>
        </w:rPr>
        <w:fldChar w:fldCharType="separate"/>
      </w:r>
      <w:r>
        <w:rPr>
          <w:rFonts w:ascii="仿宋" w:hAnsi="仿宋" w:cs="宋体"/>
          <w:szCs w:val="24"/>
          <w:highlight w:val="none"/>
        </w:rPr>
        <w:t>（四）资格证明文件</w:t>
      </w:r>
      <w:r>
        <w:tab/>
      </w:r>
      <w:r>
        <w:fldChar w:fldCharType="begin"/>
      </w:r>
      <w:r>
        <w:instrText xml:space="preserve"> PAGEREF _Toc6476 \h </w:instrText>
      </w:r>
      <w:r>
        <w:fldChar w:fldCharType="separate"/>
      </w:r>
      <w:r>
        <w:t>42</w:t>
      </w:r>
      <w:r>
        <w:fldChar w:fldCharType="end"/>
      </w:r>
      <w:r>
        <w:rPr>
          <w:rFonts w:hint="eastAsia" w:ascii="仿宋" w:hAnsi="仿宋" w:eastAsia="仿宋" w:cs="宋体"/>
          <w:color w:val="000000"/>
          <w:szCs w:val="21"/>
          <w:highlight w:val="none"/>
        </w:rPr>
        <w:fldChar w:fldCharType="end"/>
      </w:r>
    </w:p>
    <w:p w14:paraId="77AFAB4F">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_Toc21072 </w:instrText>
      </w:r>
      <w:r>
        <w:rPr>
          <w:rFonts w:hint="eastAsia" w:ascii="仿宋" w:hAnsi="仿宋" w:eastAsia="仿宋" w:cs="宋体"/>
          <w:szCs w:val="21"/>
          <w:highlight w:val="none"/>
        </w:rPr>
        <w:fldChar w:fldCharType="separate"/>
      </w:r>
      <w:r>
        <w:rPr>
          <w:rFonts w:ascii="仿宋" w:hAnsi="仿宋" w:cs="宋体"/>
          <w:szCs w:val="24"/>
          <w:highlight w:val="none"/>
        </w:rPr>
        <w:t>（五）投标人须知应答偏离表</w:t>
      </w:r>
      <w:r>
        <w:tab/>
      </w:r>
      <w:r>
        <w:fldChar w:fldCharType="begin"/>
      </w:r>
      <w:r>
        <w:instrText xml:space="preserve"> PAGEREF _Toc21072 \h </w:instrText>
      </w:r>
      <w:r>
        <w:fldChar w:fldCharType="separate"/>
      </w:r>
      <w:r>
        <w:t>51</w:t>
      </w:r>
      <w:r>
        <w:fldChar w:fldCharType="end"/>
      </w:r>
      <w:r>
        <w:rPr>
          <w:rFonts w:hint="eastAsia" w:ascii="仿宋" w:hAnsi="仿宋" w:eastAsia="仿宋" w:cs="宋体"/>
          <w:color w:val="000000"/>
          <w:szCs w:val="21"/>
          <w:highlight w:val="none"/>
        </w:rPr>
        <w:fldChar w:fldCharType="end"/>
      </w:r>
    </w:p>
    <w:p w14:paraId="4700AFA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_Toc6107 </w:instrText>
      </w:r>
      <w:r>
        <w:rPr>
          <w:rFonts w:hint="eastAsia" w:ascii="仿宋" w:hAnsi="仿宋" w:eastAsia="仿宋" w:cs="宋体"/>
          <w:szCs w:val="21"/>
          <w:highlight w:val="none"/>
        </w:rPr>
        <w:fldChar w:fldCharType="separate"/>
      </w:r>
      <w:r>
        <w:rPr>
          <w:rFonts w:ascii="仿宋" w:hAnsi="仿宋" w:cs="宋体"/>
          <w:szCs w:val="24"/>
          <w:highlight w:val="none"/>
        </w:rPr>
        <w:t>（六）合同条款应答偏离表</w:t>
      </w:r>
      <w:r>
        <w:tab/>
      </w:r>
      <w:r>
        <w:fldChar w:fldCharType="begin"/>
      </w:r>
      <w:r>
        <w:instrText xml:space="preserve"> PAGEREF _Toc6107 \h </w:instrText>
      </w:r>
      <w:r>
        <w:fldChar w:fldCharType="separate"/>
      </w:r>
      <w:r>
        <w:t>52</w:t>
      </w:r>
      <w:r>
        <w:fldChar w:fldCharType="end"/>
      </w:r>
      <w:r>
        <w:rPr>
          <w:rFonts w:hint="eastAsia" w:ascii="仿宋" w:hAnsi="仿宋" w:eastAsia="仿宋" w:cs="宋体"/>
          <w:color w:val="000000"/>
          <w:szCs w:val="21"/>
          <w:highlight w:val="none"/>
        </w:rPr>
        <w:fldChar w:fldCharType="end"/>
      </w:r>
    </w:p>
    <w:p w14:paraId="19ECFE8B">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_Toc13858 </w:instrText>
      </w:r>
      <w:r>
        <w:rPr>
          <w:rFonts w:hint="eastAsia" w:ascii="仿宋" w:hAnsi="仿宋" w:eastAsia="仿宋" w:cs="宋体"/>
          <w:szCs w:val="21"/>
          <w:highlight w:val="none"/>
        </w:rPr>
        <w:fldChar w:fldCharType="separate"/>
      </w:r>
      <w:r>
        <w:rPr>
          <w:rFonts w:ascii="仿宋" w:hAnsi="仿宋" w:cs="宋体"/>
          <w:szCs w:val="24"/>
          <w:highlight w:val="none"/>
        </w:rPr>
        <w:t>（七）供应商</w:t>
      </w:r>
      <w:r>
        <w:rPr>
          <w:rFonts w:hint="default" w:ascii="仿宋" w:hAnsi="仿宋" w:cs="宋体"/>
          <w:szCs w:val="24"/>
          <w:highlight w:val="none"/>
        </w:rPr>
        <w:t>行为准则承诺</w:t>
      </w:r>
      <w:r>
        <w:rPr>
          <w:rFonts w:ascii="仿宋" w:hAnsi="仿宋" w:cs="宋体"/>
          <w:szCs w:val="24"/>
          <w:highlight w:val="none"/>
        </w:rPr>
        <w:t>书</w:t>
      </w:r>
      <w:r>
        <w:tab/>
      </w:r>
      <w:r>
        <w:fldChar w:fldCharType="begin"/>
      </w:r>
      <w:r>
        <w:instrText xml:space="preserve"> PAGEREF _Toc13858 \h </w:instrText>
      </w:r>
      <w:r>
        <w:fldChar w:fldCharType="separate"/>
      </w:r>
      <w:r>
        <w:t>53</w:t>
      </w:r>
      <w:r>
        <w:fldChar w:fldCharType="end"/>
      </w:r>
      <w:r>
        <w:rPr>
          <w:rFonts w:hint="eastAsia" w:ascii="仿宋" w:hAnsi="仿宋" w:eastAsia="仿宋" w:cs="宋体"/>
          <w:color w:val="000000"/>
          <w:szCs w:val="21"/>
          <w:highlight w:val="none"/>
        </w:rPr>
        <w:fldChar w:fldCharType="end"/>
      </w:r>
    </w:p>
    <w:p w14:paraId="573BA0EE">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_Toc3210 </w:instrText>
      </w:r>
      <w:r>
        <w:rPr>
          <w:rFonts w:hint="eastAsia" w:ascii="仿宋" w:hAnsi="仿宋" w:eastAsia="仿宋" w:cs="宋体"/>
          <w:szCs w:val="21"/>
          <w:highlight w:val="none"/>
        </w:rPr>
        <w:fldChar w:fldCharType="separate"/>
      </w:r>
      <w:r>
        <w:rPr>
          <w:highlight w:val="none"/>
        </w:rPr>
        <w:t>（八）供应商廉洁诚信承诺书</w:t>
      </w:r>
      <w:r>
        <w:tab/>
      </w:r>
      <w:r>
        <w:fldChar w:fldCharType="begin"/>
      </w:r>
      <w:r>
        <w:instrText xml:space="preserve"> PAGEREF _Toc3210 \h </w:instrText>
      </w:r>
      <w:r>
        <w:fldChar w:fldCharType="separate"/>
      </w:r>
      <w:r>
        <w:t>55</w:t>
      </w:r>
      <w:r>
        <w:fldChar w:fldCharType="end"/>
      </w:r>
      <w:r>
        <w:rPr>
          <w:rFonts w:hint="eastAsia" w:ascii="仿宋" w:hAnsi="仿宋" w:eastAsia="仿宋" w:cs="宋体"/>
          <w:color w:val="000000"/>
          <w:szCs w:val="21"/>
          <w:highlight w:val="none"/>
        </w:rPr>
        <w:fldChar w:fldCharType="end"/>
      </w:r>
    </w:p>
    <w:p w14:paraId="627784E0">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_Toc15311 </w:instrText>
      </w:r>
      <w:r>
        <w:rPr>
          <w:rFonts w:hint="eastAsia" w:ascii="仿宋" w:hAnsi="仿宋" w:eastAsia="仿宋" w:cs="宋体"/>
          <w:szCs w:val="21"/>
          <w:highlight w:val="none"/>
        </w:rPr>
        <w:fldChar w:fldCharType="separate"/>
      </w:r>
      <w:r>
        <w:rPr>
          <w:rFonts w:ascii="仿宋" w:hAnsi="仿宋" w:cs="仿宋"/>
          <w:szCs w:val="24"/>
          <w:highlight w:val="none"/>
        </w:rPr>
        <w:t>（九）其他材料</w:t>
      </w:r>
      <w:r>
        <w:tab/>
      </w:r>
      <w:r>
        <w:fldChar w:fldCharType="begin"/>
      </w:r>
      <w:r>
        <w:instrText xml:space="preserve"> PAGEREF _Toc15311 \h </w:instrText>
      </w:r>
      <w:r>
        <w:fldChar w:fldCharType="separate"/>
      </w:r>
      <w:r>
        <w:t>58</w:t>
      </w:r>
      <w:r>
        <w:fldChar w:fldCharType="end"/>
      </w:r>
      <w:r>
        <w:rPr>
          <w:rFonts w:hint="eastAsia" w:ascii="仿宋" w:hAnsi="仿宋" w:eastAsia="仿宋" w:cs="宋体"/>
          <w:color w:val="000000"/>
          <w:szCs w:val="21"/>
          <w:highlight w:val="none"/>
        </w:rPr>
        <w:fldChar w:fldCharType="end"/>
      </w:r>
    </w:p>
    <w:p w14:paraId="59E604B5">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_Toc1018 </w:instrText>
      </w:r>
      <w:r>
        <w:rPr>
          <w:rFonts w:hint="eastAsia" w:ascii="仿宋" w:hAnsi="仿宋" w:eastAsia="仿宋" w:cs="宋体"/>
          <w:szCs w:val="21"/>
          <w:highlight w:val="none"/>
        </w:rPr>
        <w:fldChar w:fldCharType="separate"/>
      </w:r>
      <w:r>
        <w:rPr>
          <w:rFonts w:hint="eastAsia" w:ascii="仿宋" w:hAnsi="仿宋" w:cs="宋体"/>
          <w:szCs w:val="24"/>
          <w:highlight w:val="none"/>
        </w:rPr>
        <w:t>二、技术文件</w:t>
      </w:r>
      <w:r>
        <w:tab/>
      </w:r>
      <w:r>
        <w:fldChar w:fldCharType="begin"/>
      </w:r>
      <w:r>
        <w:instrText xml:space="preserve"> PAGEREF _Toc1018 \h </w:instrText>
      </w:r>
      <w:r>
        <w:fldChar w:fldCharType="separate"/>
      </w:r>
      <w:r>
        <w:t>59</w:t>
      </w:r>
      <w:r>
        <w:fldChar w:fldCharType="end"/>
      </w:r>
      <w:r>
        <w:rPr>
          <w:rFonts w:hint="eastAsia" w:ascii="仿宋" w:hAnsi="仿宋" w:eastAsia="仿宋" w:cs="宋体"/>
          <w:color w:val="000000"/>
          <w:szCs w:val="21"/>
          <w:highlight w:val="none"/>
        </w:rPr>
        <w:fldChar w:fldCharType="end"/>
      </w:r>
    </w:p>
    <w:p w14:paraId="66D3FE2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_Toc8506 </w:instrText>
      </w:r>
      <w:r>
        <w:rPr>
          <w:rFonts w:hint="eastAsia" w:ascii="仿宋" w:hAnsi="仿宋" w:eastAsia="仿宋" w:cs="宋体"/>
          <w:szCs w:val="21"/>
          <w:highlight w:val="none"/>
        </w:rPr>
        <w:fldChar w:fldCharType="separate"/>
      </w:r>
      <w:r>
        <w:rPr>
          <w:rFonts w:ascii="仿宋" w:hAnsi="仿宋" w:cs="宋体"/>
          <w:highlight w:val="none"/>
        </w:rPr>
        <w:t>详细评审索引表</w:t>
      </w:r>
      <w:r>
        <w:tab/>
      </w:r>
      <w:r>
        <w:fldChar w:fldCharType="begin"/>
      </w:r>
      <w:r>
        <w:instrText xml:space="preserve"> PAGEREF _Toc8506 \h </w:instrText>
      </w:r>
      <w:r>
        <w:fldChar w:fldCharType="separate"/>
      </w:r>
      <w:r>
        <w:t>59</w:t>
      </w:r>
      <w:r>
        <w:fldChar w:fldCharType="end"/>
      </w:r>
      <w:r>
        <w:rPr>
          <w:rFonts w:hint="eastAsia" w:ascii="仿宋" w:hAnsi="仿宋" w:eastAsia="仿宋" w:cs="宋体"/>
          <w:color w:val="000000"/>
          <w:szCs w:val="21"/>
          <w:highlight w:val="none"/>
        </w:rPr>
        <w:fldChar w:fldCharType="end"/>
      </w:r>
    </w:p>
    <w:p w14:paraId="0729B0F1">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_Toc16677 </w:instrText>
      </w:r>
      <w:r>
        <w:rPr>
          <w:rFonts w:hint="eastAsia" w:ascii="仿宋" w:hAnsi="仿宋" w:eastAsia="仿宋" w:cs="宋体"/>
          <w:szCs w:val="21"/>
          <w:highlight w:val="none"/>
        </w:rPr>
        <w:fldChar w:fldCharType="separate"/>
      </w:r>
      <w:r>
        <w:rPr>
          <w:rFonts w:ascii="仿宋" w:hAnsi="仿宋" w:cs="宋体"/>
          <w:szCs w:val="24"/>
          <w:highlight w:val="none"/>
        </w:rPr>
        <w:t>（一）技术规范书应答偏离表</w:t>
      </w:r>
      <w:r>
        <w:tab/>
      </w:r>
      <w:r>
        <w:fldChar w:fldCharType="begin"/>
      </w:r>
      <w:r>
        <w:instrText xml:space="preserve"> PAGEREF _Toc16677 \h </w:instrText>
      </w:r>
      <w:r>
        <w:fldChar w:fldCharType="separate"/>
      </w:r>
      <w:r>
        <w:t>60</w:t>
      </w:r>
      <w:r>
        <w:fldChar w:fldCharType="end"/>
      </w:r>
      <w:r>
        <w:rPr>
          <w:rFonts w:hint="eastAsia" w:ascii="仿宋" w:hAnsi="仿宋" w:eastAsia="仿宋" w:cs="宋体"/>
          <w:color w:val="000000"/>
          <w:szCs w:val="21"/>
          <w:highlight w:val="none"/>
        </w:rPr>
        <w:fldChar w:fldCharType="end"/>
      </w:r>
    </w:p>
    <w:p w14:paraId="3F47007B">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_Toc12176 </w:instrText>
      </w:r>
      <w:r>
        <w:rPr>
          <w:rFonts w:hint="eastAsia" w:ascii="仿宋" w:hAnsi="仿宋" w:eastAsia="仿宋" w:cs="宋体"/>
          <w:szCs w:val="21"/>
          <w:highlight w:val="none"/>
        </w:rPr>
        <w:fldChar w:fldCharType="separate"/>
      </w:r>
      <w:r>
        <w:rPr>
          <w:rFonts w:ascii="仿宋" w:hAnsi="仿宋" w:cs="宋体"/>
          <w:szCs w:val="24"/>
          <w:highlight w:val="none"/>
        </w:rPr>
        <w:t>（二）技术方案</w:t>
      </w:r>
      <w:r>
        <w:tab/>
      </w:r>
      <w:r>
        <w:fldChar w:fldCharType="begin"/>
      </w:r>
      <w:r>
        <w:instrText xml:space="preserve"> PAGEREF _Toc12176 \h </w:instrText>
      </w:r>
      <w:r>
        <w:fldChar w:fldCharType="separate"/>
      </w:r>
      <w:r>
        <w:t>61</w:t>
      </w:r>
      <w:r>
        <w:fldChar w:fldCharType="end"/>
      </w:r>
      <w:r>
        <w:rPr>
          <w:rFonts w:hint="eastAsia" w:ascii="仿宋" w:hAnsi="仿宋" w:eastAsia="仿宋" w:cs="宋体"/>
          <w:color w:val="000000"/>
          <w:szCs w:val="21"/>
          <w:highlight w:val="none"/>
        </w:rPr>
        <w:fldChar w:fldCharType="end"/>
      </w:r>
    </w:p>
    <w:p w14:paraId="231CD173">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_Toc6712 </w:instrText>
      </w:r>
      <w:r>
        <w:rPr>
          <w:rFonts w:hint="eastAsia" w:ascii="仿宋" w:hAnsi="仿宋" w:eastAsia="仿宋" w:cs="宋体"/>
          <w:szCs w:val="21"/>
          <w:highlight w:val="none"/>
        </w:rPr>
        <w:fldChar w:fldCharType="separate"/>
      </w:r>
      <w:r>
        <w:rPr>
          <w:rFonts w:ascii="仿宋" w:hAnsi="仿宋" w:cs="宋体"/>
          <w:szCs w:val="24"/>
          <w:highlight w:val="none"/>
        </w:rPr>
        <w:t>（三）其他材料</w:t>
      </w:r>
      <w:r>
        <w:tab/>
      </w:r>
      <w:r>
        <w:fldChar w:fldCharType="begin"/>
      </w:r>
      <w:r>
        <w:instrText xml:space="preserve"> PAGEREF _Toc6712 \h </w:instrText>
      </w:r>
      <w:r>
        <w:fldChar w:fldCharType="separate"/>
      </w:r>
      <w:r>
        <w:t>64</w:t>
      </w:r>
      <w:r>
        <w:fldChar w:fldCharType="end"/>
      </w:r>
      <w:r>
        <w:rPr>
          <w:rFonts w:hint="eastAsia" w:ascii="仿宋" w:hAnsi="仿宋" w:eastAsia="仿宋" w:cs="宋体"/>
          <w:color w:val="000000"/>
          <w:szCs w:val="21"/>
          <w:highlight w:val="none"/>
        </w:rPr>
        <w:fldChar w:fldCharType="end"/>
      </w:r>
    </w:p>
    <w:p w14:paraId="4990F9D3">
      <w:pPr>
        <w:pStyle w:val="28"/>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_Toc5944 </w:instrText>
      </w:r>
      <w:r>
        <w:rPr>
          <w:rFonts w:hint="eastAsia" w:ascii="仿宋" w:hAnsi="仿宋" w:eastAsia="仿宋" w:cs="宋体"/>
          <w:szCs w:val="21"/>
          <w:highlight w:val="none"/>
        </w:rPr>
        <w:fldChar w:fldCharType="separate"/>
      </w:r>
      <w:r>
        <w:rPr>
          <w:rFonts w:hint="eastAsia" w:ascii="仿宋" w:hAnsi="仿宋" w:cs="宋体"/>
          <w:szCs w:val="24"/>
          <w:highlight w:val="none"/>
        </w:rPr>
        <w:t>三、报价文件</w:t>
      </w:r>
      <w:r>
        <w:tab/>
      </w:r>
      <w:r>
        <w:fldChar w:fldCharType="begin"/>
      </w:r>
      <w:r>
        <w:instrText xml:space="preserve"> PAGEREF _Toc5944 \h </w:instrText>
      </w:r>
      <w:r>
        <w:fldChar w:fldCharType="separate"/>
      </w:r>
      <w:r>
        <w:t>65</w:t>
      </w:r>
      <w:r>
        <w:fldChar w:fldCharType="end"/>
      </w:r>
      <w:r>
        <w:rPr>
          <w:rFonts w:hint="eastAsia" w:ascii="仿宋" w:hAnsi="仿宋" w:eastAsia="仿宋" w:cs="宋体"/>
          <w:color w:val="000000"/>
          <w:szCs w:val="21"/>
          <w:highlight w:val="none"/>
        </w:rPr>
        <w:fldChar w:fldCharType="end"/>
      </w:r>
    </w:p>
    <w:p w14:paraId="7E8474C8">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_Toc3391 </w:instrText>
      </w:r>
      <w:r>
        <w:rPr>
          <w:rFonts w:hint="eastAsia" w:ascii="仿宋" w:hAnsi="仿宋" w:eastAsia="仿宋" w:cs="宋体"/>
          <w:szCs w:val="21"/>
          <w:highlight w:val="none"/>
        </w:rPr>
        <w:fldChar w:fldCharType="separate"/>
      </w:r>
      <w:r>
        <w:rPr>
          <w:rFonts w:ascii="仿宋" w:hAnsi="仿宋" w:cs="宋体"/>
          <w:szCs w:val="24"/>
          <w:highlight w:val="none"/>
        </w:rPr>
        <w:t>（一）投标一览表</w:t>
      </w:r>
      <w:r>
        <w:tab/>
      </w:r>
      <w:r>
        <w:fldChar w:fldCharType="begin"/>
      </w:r>
      <w:r>
        <w:instrText xml:space="preserve"> PAGEREF _Toc3391 \h </w:instrText>
      </w:r>
      <w:r>
        <w:fldChar w:fldCharType="separate"/>
      </w:r>
      <w:r>
        <w:t>65</w:t>
      </w:r>
      <w:r>
        <w:fldChar w:fldCharType="end"/>
      </w:r>
      <w:r>
        <w:rPr>
          <w:rFonts w:hint="eastAsia" w:ascii="仿宋" w:hAnsi="仿宋" w:eastAsia="仿宋" w:cs="宋体"/>
          <w:color w:val="000000"/>
          <w:szCs w:val="21"/>
          <w:highlight w:val="none"/>
        </w:rPr>
        <w:fldChar w:fldCharType="end"/>
      </w:r>
    </w:p>
    <w:p w14:paraId="00F8D7E9">
      <w:pPr>
        <w:pStyle w:val="15"/>
        <w:tabs>
          <w:tab w:val="right" w:leader="dot" w:pos="9638"/>
        </w:tabs>
      </w:pPr>
      <w:r>
        <w:rPr>
          <w:rFonts w:hint="eastAsia" w:ascii="仿宋" w:hAnsi="仿宋" w:eastAsia="仿宋" w:cs="宋体"/>
          <w:color w:val="000000"/>
          <w:szCs w:val="21"/>
          <w:highlight w:val="none"/>
        </w:rPr>
        <w:fldChar w:fldCharType="begin"/>
      </w:r>
      <w:r>
        <w:rPr>
          <w:rFonts w:hint="eastAsia" w:ascii="仿宋" w:hAnsi="仿宋" w:eastAsia="仿宋" w:cs="宋体"/>
          <w:szCs w:val="21"/>
          <w:highlight w:val="none"/>
        </w:rPr>
        <w:instrText xml:space="preserve"> HYPERLINK \l _Toc14404 </w:instrText>
      </w:r>
      <w:r>
        <w:rPr>
          <w:rFonts w:hint="eastAsia" w:ascii="仿宋" w:hAnsi="仿宋" w:eastAsia="仿宋" w:cs="宋体"/>
          <w:szCs w:val="21"/>
          <w:highlight w:val="none"/>
        </w:rPr>
        <w:fldChar w:fldCharType="separate"/>
      </w:r>
      <w:r>
        <w:rPr>
          <w:rFonts w:hint="eastAsia" w:ascii="仿宋" w:hAnsi="仿宋" w:cs="宋体"/>
          <w:szCs w:val="24"/>
          <w:highlight w:val="none"/>
          <w:lang w:eastAsia="zh-CN"/>
        </w:rPr>
        <w:t>（</w:t>
      </w:r>
      <w:r>
        <w:rPr>
          <w:rFonts w:hint="eastAsia" w:ascii="仿宋" w:hAnsi="仿宋" w:cs="宋体"/>
          <w:szCs w:val="24"/>
          <w:highlight w:val="none"/>
          <w:lang w:val="en-US" w:eastAsia="zh-CN"/>
        </w:rPr>
        <w:t>二</w:t>
      </w:r>
      <w:r>
        <w:rPr>
          <w:rFonts w:hint="eastAsia" w:ascii="仿宋" w:hAnsi="仿宋" w:cs="宋体"/>
          <w:szCs w:val="24"/>
          <w:highlight w:val="none"/>
          <w:lang w:eastAsia="zh-CN"/>
        </w:rPr>
        <w:t>）</w:t>
      </w:r>
      <w:r>
        <w:rPr>
          <w:rFonts w:ascii="仿宋" w:hAnsi="仿宋" w:cs="宋体"/>
          <w:szCs w:val="24"/>
          <w:highlight w:val="none"/>
        </w:rPr>
        <w:t>分项报价表</w:t>
      </w:r>
      <w:r>
        <w:tab/>
      </w:r>
      <w:r>
        <w:fldChar w:fldCharType="begin"/>
      </w:r>
      <w:r>
        <w:instrText xml:space="preserve"> PAGEREF _Toc14404 \h </w:instrText>
      </w:r>
      <w:r>
        <w:fldChar w:fldCharType="separate"/>
      </w:r>
      <w:r>
        <w:t>66</w:t>
      </w:r>
      <w:r>
        <w:fldChar w:fldCharType="end"/>
      </w:r>
      <w:r>
        <w:rPr>
          <w:rFonts w:hint="eastAsia" w:ascii="仿宋" w:hAnsi="仿宋" w:eastAsia="仿宋" w:cs="宋体"/>
          <w:color w:val="000000"/>
          <w:szCs w:val="21"/>
          <w:highlight w:val="none"/>
        </w:rPr>
        <w:fldChar w:fldCharType="end"/>
      </w:r>
    </w:p>
    <w:p w14:paraId="32B79A59">
      <w:pPr>
        <w:tabs>
          <w:tab w:val="right" w:leader="dot" w:pos="8296"/>
        </w:tabs>
        <w:spacing w:line="360" w:lineRule="auto"/>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fldChar w:fldCharType="end"/>
      </w:r>
    </w:p>
    <w:p w14:paraId="401FC929">
      <w:pPr>
        <w:pStyle w:val="3"/>
        <w:spacing w:before="0" w:after="0" w:line="480" w:lineRule="auto"/>
        <w:rPr>
          <w:rFonts w:hint="eastAsia" w:ascii="仿宋" w:hAnsi="仿宋" w:cs="宋体"/>
          <w:color w:val="000000"/>
          <w:highlight w:val="none"/>
        </w:rPr>
      </w:pPr>
      <w:r>
        <w:rPr>
          <w:rFonts w:hint="eastAsia" w:ascii="仿宋" w:hAnsi="仿宋" w:cs="宋体"/>
          <w:b w:val="0"/>
          <w:color w:val="000000"/>
          <w:highlight w:val="none"/>
        </w:rPr>
        <w:br w:type="page"/>
      </w:r>
      <w:bookmarkStart w:id="0" w:name="_Toc9649"/>
      <w:bookmarkStart w:id="1" w:name="_Toc14796"/>
      <w:bookmarkStart w:id="2" w:name="_Toc9208"/>
      <w:bookmarkStart w:id="3" w:name="_Toc65682912"/>
      <w:bookmarkStart w:id="4" w:name="_Toc109124222"/>
      <w:bookmarkStart w:id="5" w:name="_Toc7914"/>
      <w:bookmarkStart w:id="6" w:name="_Toc8790"/>
      <w:r>
        <w:rPr>
          <w:rFonts w:hint="eastAsia" w:ascii="仿宋" w:hAnsi="仿宋" w:cs="宋体"/>
          <w:color w:val="000000"/>
          <w:highlight w:val="none"/>
        </w:rPr>
        <w:t xml:space="preserve">第一章 </w:t>
      </w:r>
      <w:bookmarkEnd w:id="0"/>
      <w:bookmarkEnd w:id="1"/>
      <w:bookmarkEnd w:id="2"/>
      <w:r>
        <w:rPr>
          <w:rFonts w:hint="eastAsia" w:ascii="仿宋" w:hAnsi="仿宋" w:cs="宋体"/>
          <w:color w:val="000000"/>
          <w:highlight w:val="none"/>
        </w:rPr>
        <w:t>招标公告</w:t>
      </w:r>
      <w:bookmarkEnd w:id="3"/>
      <w:bookmarkEnd w:id="4"/>
      <w:bookmarkEnd w:id="5"/>
      <w:bookmarkEnd w:id="6"/>
    </w:p>
    <w:p w14:paraId="4D97DC03">
      <w:pPr>
        <w:pStyle w:val="4"/>
        <w:rPr>
          <w:rFonts w:hint="eastAsia" w:ascii="仿宋" w:hAnsi="仿宋" w:cs="宋体"/>
          <w:color w:val="000000"/>
          <w:szCs w:val="24"/>
          <w:highlight w:val="none"/>
        </w:rPr>
      </w:pPr>
      <w:bookmarkStart w:id="7" w:name="_Toc10131"/>
      <w:bookmarkStart w:id="8" w:name="_Toc24950"/>
      <w:bookmarkStart w:id="9" w:name="_Toc25200"/>
      <w:bookmarkStart w:id="10" w:name="_Toc13923"/>
      <w:bookmarkStart w:id="11" w:name="_Toc65682913"/>
      <w:bookmarkStart w:id="12" w:name="_Toc23271"/>
      <w:bookmarkStart w:id="13" w:name="_Toc109124223"/>
      <w:r>
        <w:rPr>
          <w:rFonts w:hint="eastAsia" w:ascii="仿宋" w:hAnsi="仿宋" w:cs="宋体"/>
          <w:color w:val="000000"/>
          <w:szCs w:val="24"/>
          <w:highlight w:val="none"/>
        </w:rPr>
        <w:t>一、</w:t>
      </w:r>
      <w:bookmarkEnd w:id="7"/>
      <w:bookmarkEnd w:id="8"/>
      <w:bookmarkEnd w:id="9"/>
      <w:r>
        <w:rPr>
          <w:rFonts w:hint="eastAsia" w:ascii="仿宋" w:hAnsi="仿宋" w:cs="宋体"/>
          <w:color w:val="000000"/>
          <w:szCs w:val="24"/>
          <w:highlight w:val="none"/>
        </w:rPr>
        <w:t>招标条件</w:t>
      </w:r>
      <w:bookmarkEnd w:id="10"/>
      <w:bookmarkEnd w:id="11"/>
      <w:bookmarkEnd w:id="12"/>
      <w:bookmarkEnd w:id="13"/>
    </w:p>
    <w:p w14:paraId="7A0A676B">
      <w:pPr>
        <w:wordWrap w:val="0"/>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本招标项目</w:t>
      </w:r>
      <w:r>
        <w:rPr>
          <w:rFonts w:hint="eastAsia" w:ascii="仿宋" w:hAnsi="仿宋" w:eastAsia="仿宋" w:cs="宋体"/>
          <w:color w:val="000000"/>
          <w:sz w:val="24"/>
          <w:szCs w:val="24"/>
          <w:highlight w:val="none"/>
          <w:u w:val="single"/>
        </w:rPr>
        <w:t>人保财险2026年度武汉本部食堂及理赔中心食堂供应商项目</w:t>
      </w:r>
      <w:r>
        <w:rPr>
          <w:rFonts w:hint="eastAsia" w:ascii="仿宋" w:hAnsi="仿宋" w:eastAsia="仿宋" w:cs="仿宋"/>
          <w:color w:val="000000"/>
          <w:sz w:val="24"/>
          <w:szCs w:val="24"/>
          <w:highlight w:val="none"/>
        </w:rPr>
        <w:t>（招标代理项目编号：</w:t>
      </w:r>
      <w:r>
        <w:rPr>
          <w:rFonts w:hint="eastAsia" w:ascii="仿宋" w:hAnsi="仿宋" w:eastAsia="仿宋" w:cs="仿宋"/>
          <w:color w:val="000000"/>
          <w:sz w:val="24"/>
          <w:szCs w:val="24"/>
          <w:highlight w:val="none"/>
          <w:lang w:val="en-US" w:eastAsia="zh-CN"/>
        </w:rPr>
        <w:t>HBYFF-2026-C04016</w:t>
      </w:r>
      <w:r>
        <w:rPr>
          <w:rFonts w:hint="eastAsia" w:ascii="仿宋" w:hAnsi="仿宋" w:eastAsia="仿宋" w:cs="仿宋"/>
          <w:color w:val="000000"/>
          <w:sz w:val="24"/>
          <w:szCs w:val="24"/>
          <w:highlight w:val="none"/>
        </w:rPr>
        <w:t>）</w:t>
      </w:r>
      <w:bookmarkStart w:id="14" w:name="_Hlk69906010"/>
      <w:r>
        <w:rPr>
          <w:rFonts w:hint="eastAsia" w:ascii="仿宋" w:hAnsi="仿宋" w:eastAsia="仿宋" w:cs="宋体"/>
          <w:color w:val="000000"/>
          <w:sz w:val="24"/>
          <w:szCs w:val="24"/>
          <w:highlight w:val="none"/>
        </w:rPr>
        <w:t>由</w:t>
      </w:r>
      <w:r>
        <w:rPr>
          <w:rFonts w:hint="eastAsia" w:ascii="仿宋" w:hAnsi="仿宋" w:eastAsia="仿宋" w:cs="宋体"/>
          <w:color w:val="000000"/>
          <w:sz w:val="24"/>
          <w:szCs w:val="24"/>
          <w:highlight w:val="none"/>
          <w:u w:val="single"/>
        </w:rPr>
        <w:t>中国人民财产保险股份有限公司湖北省分公司</w:t>
      </w:r>
      <w:r>
        <w:rPr>
          <w:rFonts w:hint="eastAsia" w:ascii="仿宋" w:hAnsi="仿宋" w:eastAsia="仿宋" w:cs="宋体"/>
          <w:color w:val="000000"/>
          <w:sz w:val="24"/>
          <w:szCs w:val="24"/>
          <w:highlight w:val="none"/>
        </w:rPr>
        <w:t>（以下简称“招标人”）</w:t>
      </w:r>
      <w:r>
        <w:rPr>
          <w:rFonts w:hint="eastAsia" w:ascii="仿宋" w:hAnsi="仿宋" w:eastAsia="仿宋" w:cs="仿宋"/>
          <w:color w:val="000000"/>
          <w:sz w:val="24"/>
          <w:szCs w:val="24"/>
          <w:highlight w:val="none"/>
        </w:rPr>
        <w:t>批准并落实资金，</w:t>
      </w:r>
      <w:r>
        <w:rPr>
          <w:rFonts w:hint="eastAsia" w:ascii="仿宋" w:hAnsi="仿宋" w:eastAsia="仿宋" w:cs="宋体"/>
          <w:color w:val="000000"/>
          <w:sz w:val="24"/>
          <w:szCs w:val="24"/>
          <w:highlight w:val="none"/>
        </w:rPr>
        <w:t>组织本项目的相关招标工作，采购合同由</w:t>
      </w:r>
      <w:r>
        <w:rPr>
          <w:rFonts w:hint="eastAsia" w:ascii="仿宋" w:hAnsi="仿宋" w:eastAsia="仿宋" w:cs="宋体"/>
          <w:color w:val="000000"/>
          <w:sz w:val="24"/>
          <w:szCs w:val="24"/>
          <w:highlight w:val="none"/>
          <w:u w:val="single"/>
        </w:rPr>
        <w:t>中国人民财产保险股份有限公司武汉市分公司</w:t>
      </w:r>
      <w:r>
        <w:rPr>
          <w:rFonts w:hint="eastAsia" w:ascii="仿宋" w:hAnsi="仿宋" w:eastAsia="仿宋" w:cs="仿宋"/>
          <w:color w:val="000000"/>
          <w:sz w:val="24"/>
          <w:szCs w:val="24"/>
          <w:highlight w:val="none"/>
        </w:rPr>
        <w:t>（以下简称“人保</w:t>
      </w:r>
      <w:r>
        <w:rPr>
          <w:rFonts w:hint="eastAsia" w:ascii="仿宋" w:hAnsi="仿宋" w:eastAsia="仿宋" w:cs="仿宋"/>
          <w:color w:val="000000"/>
          <w:sz w:val="24"/>
          <w:szCs w:val="24"/>
          <w:highlight w:val="none"/>
          <w:lang w:val="en-US" w:eastAsia="zh-CN"/>
        </w:rPr>
        <w:t>武汉分公司</w:t>
      </w:r>
      <w:r>
        <w:rPr>
          <w:rFonts w:hint="eastAsia" w:ascii="仿宋" w:hAnsi="仿宋" w:eastAsia="仿宋" w:cs="仿宋"/>
          <w:color w:val="000000"/>
          <w:sz w:val="24"/>
          <w:szCs w:val="24"/>
          <w:highlight w:val="none"/>
        </w:rPr>
        <w:t>”）</w:t>
      </w:r>
      <w:r>
        <w:rPr>
          <w:rFonts w:hint="eastAsia" w:ascii="仿宋" w:hAnsi="仿宋" w:eastAsia="仿宋" w:cs="宋体"/>
          <w:color w:val="000000"/>
          <w:sz w:val="24"/>
          <w:szCs w:val="24"/>
          <w:highlight w:val="none"/>
        </w:rPr>
        <w:t>根据中标结果与中标人签署。</w:t>
      </w:r>
      <w:bookmarkEnd w:id="14"/>
      <w:r>
        <w:rPr>
          <w:rFonts w:hint="eastAsia" w:ascii="仿宋" w:hAnsi="仿宋" w:eastAsia="仿宋" w:cs="宋体"/>
          <w:color w:val="000000"/>
          <w:sz w:val="24"/>
          <w:szCs w:val="24"/>
          <w:highlight w:val="none"/>
        </w:rPr>
        <w:t>现委托</w:t>
      </w:r>
      <w:r>
        <w:rPr>
          <w:rFonts w:hint="eastAsia" w:ascii="仿宋" w:hAnsi="仿宋" w:eastAsia="仿宋" w:cs="宋体"/>
          <w:color w:val="000000"/>
          <w:sz w:val="24"/>
          <w:szCs w:val="24"/>
          <w:highlight w:val="none"/>
          <w:u w:val="single"/>
          <w:lang w:val="en-US" w:eastAsia="zh-CN"/>
        </w:rPr>
        <w:t>湖北引发管理咨询有限公司</w:t>
      </w:r>
      <w:r>
        <w:rPr>
          <w:rFonts w:hint="eastAsia" w:ascii="仿宋" w:hAnsi="仿宋" w:eastAsia="仿宋" w:cs="宋体"/>
          <w:color w:val="000000"/>
          <w:sz w:val="24"/>
          <w:szCs w:val="24"/>
          <w:highlight w:val="none"/>
        </w:rPr>
        <w:t>（以下简称“招标代理机构”）进行公开招标，有意向且具有提供标的物能力的潜在投标人（以下简称“投标人”）可前来投标。</w:t>
      </w:r>
    </w:p>
    <w:p w14:paraId="7D202EE0">
      <w:pPr>
        <w:pStyle w:val="4"/>
        <w:rPr>
          <w:rFonts w:hint="eastAsia" w:ascii="仿宋" w:hAnsi="仿宋" w:cs="宋体"/>
          <w:color w:val="000000"/>
          <w:szCs w:val="24"/>
          <w:highlight w:val="none"/>
        </w:rPr>
      </w:pPr>
      <w:bookmarkStart w:id="15" w:name="_Toc18478"/>
      <w:bookmarkStart w:id="16" w:name="_Toc30531"/>
      <w:bookmarkStart w:id="17" w:name="_Toc109124224"/>
      <w:bookmarkStart w:id="18" w:name="_Toc65682914"/>
      <w:r>
        <w:rPr>
          <w:rFonts w:hint="eastAsia" w:ascii="仿宋" w:hAnsi="仿宋" w:cs="宋体"/>
          <w:color w:val="000000"/>
          <w:szCs w:val="24"/>
          <w:highlight w:val="none"/>
        </w:rPr>
        <w:t>二、项目概况与招标范围</w:t>
      </w:r>
      <w:bookmarkEnd w:id="15"/>
      <w:bookmarkEnd w:id="16"/>
      <w:bookmarkEnd w:id="17"/>
      <w:bookmarkEnd w:id="18"/>
    </w:p>
    <w:p w14:paraId="1178047E">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2.1项目名称：人保财险2026年度武汉本部食堂及理赔中心食堂供应商项目。</w:t>
      </w:r>
    </w:p>
    <w:p w14:paraId="0D61FC32">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2.2招标范围：</w:t>
      </w:r>
      <w:bookmarkStart w:id="19" w:name="_Hlk69456860"/>
      <w:r>
        <w:rPr>
          <w:rFonts w:hint="eastAsia" w:ascii="仿宋" w:hAnsi="仿宋" w:eastAsia="仿宋" w:cs="宋体"/>
          <w:color w:val="000000"/>
          <w:sz w:val="24"/>
          <w:szCs w:val="24"/>
          <w:highlight w:val="none"/>
        </w:rPr>
        <w:t>本项目拟采购</w:t>
      </w:r>
      <w:bookmarkEnd w:id="19"/>
      <w:r>
        <w:rPr>
          <w:rFonts w:hint="eastAsia" w:ascii="仿宋" w:hAnsi="仿宋" w:eastAsia="仿宋" w:cs="宋体"/>
          <w:color w:val="000000"/>
          <w:sz w:val="24"/>
          <w:szCs w:val="24"/>
          <w:highlight w:val="none"/>
          <w:lang w:val="en-US" w:eastAsia="zh-CN"/>
        </w:rPr>
        <w:t>武汉本部食堂及理赔中心食堂2026年度供应商</w:t>
      </w:r>
      <w:r>
        <w:rPr>
          <w:rFonts w:hint="eastAsia" w:ascii="仿宋" w:hAnsi="仿宋" w:eastAsia="仿宋" w:cs="宋体"/>
          <w:color w:val="000000"/>
          <w:sz w:val="24"/>
          <w:szCs w:val="24"/>
          <w:highlight w:val="none"/>
        </w:rPr>
        <w:t>。具体内容及要求见招标文件第五章技术规范书。</w:t>
      </w:r>
    </w:p>
    <w:p w14:paraId="6BD56C7F">
      <w:pPr>
        <w:spacing w:line="360" w:lineRule="auto"/>
        <w:ind w:firstLine="480" w:firstLineChars="200"/>
        <w:textAlignment w:val="baseline"/>
        <w:rPr>
          <w:rFonts w:hint="eastAsia" w:ascii="仿宋" w:hAnsi="仿宋" w:eastAsia="仿宋" w:cs="宋体"/>
          <w:color w:val="000000"/>
          <w:sz w:val="24"/>
          <w:szCs w:val="24"/>
          <w:highlight w:val="none"/>
        </w:rPr>
      </w:pPr>
      <w:bookmarkStart w:id="20" w:name="_Hlk69456893"/>
      <w:r>
        <w:rPr>
          <w:rFonts w:hint="eastAsia" w:ascii="仿宋" w:hAnsi="仿宋" w:eastAsia="仿宋" w:cs="宋体"/>
          <w:color w:val="000000"/>
          <w:sz w:val="24"/>
          <w:szCs w:val="24"/>
          <w:highlight w:val="none"/>
        </w:rPr>
        <w:t>2.3项目性质：服务。</w:t>
      </w:r>
    </w:p>
    <w:p w14:paraId="12C4EB35">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2.4标包划分：本项目划分为</w:t>
      </w: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个标包，情况如下：</w:t>
      </w:r>
    </w:p>
    <w:tbl>
      <w:tblPr>
        <w:tblStyle w:val="32"/>
        <w:tblW w:w="52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8"/>
        <w:gridCol w:w="1694"/>
        <w:gridCol w:w="4651"/>
        <w:gridCol w:w="1317"/>
        <w:gridCol w:w="1562"/>
      </w:tblGrid>
      <w:tr w14:paraId="7101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9" w:type="pct"/>
            <w:noWrap w:val="0"/>
            <w:vAlign w:val="center"/>
          </w:tcPr>
          <w:p w14:paraId="57CE6B0C">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标包号</w:t>
            </w:r>
          </w:p>
        </w:tc>
        <w:tc>
          <w:tcPr>
            <w:tcW w:w="817" w:type="pct"/>
            <w:noWrap w:val="0"/>
            <w:vAlign w:val="center"/>
          </w:tcPr>
          <w:p w14:paraId="34C4BB21">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标包名称</w:t>
            </w:r>
          </w:p>
        </w:tc>
        <w:tc>
          <w:tcPr>
            <w:tcW w:w="2243" w:type="pct"/>
            <w:noWrap w:val="0"/>
            <w:vAlign w:val="center"/>
          </w:tcPr>
          <w:p w14:paraId="6A8BDAEE">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lang w:val="en-US" w:eastAsia="zh-CN"/>
              </w:rPr>
              <w:t>项目服务配送地址</w:t>
            </w:r>
          </w:p>
        </w:tc>
        <w:tc>
          <w:tcPr>
            <w:tcW w:w="635" w:type="pct"/>
            <w:noWrap w:val="0"/>
            <w:vAlign w:val="center"/>
          </w:tcPr>
          <w:p w14:paraId="5D53111D">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bCs/>
                <w:color w:val="000000"/>
                <w:sz w:val="24"/>
                <w:szCs w:val="24"/>
                <w:highlight w:val="none"/>
                <w:lang w:val="en-US" w:eastAsia="zh-CN"/>
              </w:rPr>
            </w:pPr>
            <w:r>
              <w:rPr>
                <w:rFonts w:hint="eastAsia" w:ascii="仿宋" w:hAnsi="仿宋" w:eastAsia="仿宋" w:cs="宋体"/>
                <w:b/>
                <w:bCs/>
                <w:color w:val="000000"/>
                <w:sz w:val="24"/>
                <w:szCs w:val="24"/>
                <w:highlight w:val="none"/>
                <w:lang w:val="en-US" w:eastAsia="zh-CN"/>
              </w:rPr>
              <w:t>分包预算</w:t>
            </w:r>
          </w:p>
        </w:tc>
        <w:tc>
          <w:tcPr>
            <w:tcW w:w="753" w:type="pct"/>
            <w:shd w:val="clear" w:color="auto" w:fill="auto"/>
            <w:noWrap w:val="0"/>
            <w:vAlign w:val="center"/>
          </w:tcPr>
          <w:p w14:paraId="7D3AE6EA">
            <w:pPr>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宋体"/>
                <w:b/>
                <w:bCs/>
                <w:color w:val="000000"/>
                <w:kern w:val="2"/>
                <w:sz w:val="24"/>
                <w:szCs w:val="24"/>
                <w:highlight w:val="none"/>
                <w:lang w:val="en-US" w:eastAsia="zh-CN" w:bidi="ar-SA"/>
              </w:rPr>
            </w:pPr>
            <w:r>
              <w:rPr>
                <w:rFonts w:hint="eastAsia" w:ascii="仿宋" w:hAnsi="仿宋" w:eastAsia="仿宋" w:cs="宋体"/>
                <w:b/>
                <w:bCs/>
                <w:color w:val="000000"/>
                <w:sz w:val="24"/>
                <w:szCs w:val="24"/>
                <w:highlight w:val="none"/>
              </w:rPr>
              <w:t>中标人数量</w:t>
            </w:r>
          </w:p>
        </w:tc>
      </w:tr>
      <w:tr w14:paraId="567D9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9" w:type="pct"/>
            <w:noWrap w:val="0"/>
            <w:vAlign w:val="center"/>
          </w:tcPr>
          <w:p w14:paraId="1FD89202">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标包1</w:t>
            </w:r>
          </w:p>
        </w:tc>
        <w:tc>
          <w:tcPr>
            <w:tcW w:w="817" w:type="pct"/>
            <w:noWrap w:val="0"/>
            <w:vAlign w:val="center"/>
          </w:tcPr>
          <w:p w14:paraId="0160C7B9">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武汉本部食堂</w:t>
            </w:r>
          </w:p>
        </w:tc>
        <w:tc>
          <w:tcPr>
            <w:tcW w:w="2243" w:type="pct"/>
            <w:noWrap w:val="0"/>
            <w:vAlign w:val="center"/>
          </w:tcPr>
          <w:p w14:paraId="47A08D92">
            <w:pPr>
              <w:keepNext w:val="0"/>
              <w:keepLines w:val="0"/>
              <w:widowControl/>
              <w:suppressLineNumbers w:val="0"/>
              <w:spacing w:before="0" w:beforeAutospacing="0" w:after="0" w:afterAutospacing="0" w:line="240" w:lineRule="auto"/>
              <w:ind w:left="0" w:right="0"/>
              <w:jc w:val="both"/>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lang w:val="en-US" w:eastAsia="zh-CN"/>
              </w:rPr>
              <w:t>市公司本部食堂：</w:t>
            </w:r>
            <w:r>
              <w:rPr>
                <w:rFonts w:hint="eastAsia" w:ascii="仿宋" w:hAnsi="仿宋" w:eastAsia="仿宋" w:cs="宋体"/>
                <w:color w:val="000000"/>
                <w:sz w:val="24"/>
                <w:szCs w:val="24"/>
                <w:highlight w:val="none"/>
                <w:lang w:val="en-US" w:eastAsia="zh-CN"/>
              </w:rPr>
              <w:t>武汉市汉阳区汉阳大道408号万科未来中心T2写字楼第40层</w:t>
            </w:r>
          </w:p>
        </w:tc>
        <w:tc>
          <w:tcPr>
            <w:tcW w:w="635" w:type="pct"/>
            <w:noWrap w:val="0"/>
            <w:vAlign w:val="center"/>
          </w:tcPr>
          <w:p w14:paraId="1809008C">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1328万元</w:t>
            </w:r>
          </w:p>
        </w:tc>
        <w:tc>
          <w:tcPr>
            <w:tcW w:w="753" w:type="pct"/>
            <w:shd w:val="clear" w:color="auto" w:fill="auto"/>
            <w:noWrap w:val="0"/>
            <w:vAlign w:val="center"/>
          </w:tcPr>
          <w:p w14:paraId="10A9EE33">
            <w:pPr>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sz w:val="24"/>
                <w:szCs w:val="24"/>
                <w:highlight w:val="none"/>
                <w:lang w:val="en-US" w:eastAsia="zh-CN"/>
              </w:rPr>
              <w:t>4</w:t>
            </w:r>
            <w:r>
              <w:rPr>
                <w:rFonts w:hint="eastAsia" w:ascii="仿宋" w:hAnsi="仿宋" w:eastAsia="仿宋" w:cs="宋体"/>
                <w:color w:val="000000"/>
                <w:sz w:val="24"/>
                <w:szCs w:val="24"/>
                <w:highlight w:val="none"/>
              </w:rPr>
              <w:t>个</w:t>
            </w:r>
          </w:p>
        </w:tc>
      </w:tr>
      <w:tr w14:paraId="3E68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49" w:type="pct"/>
            <w:noWrap w:val="0"/>
            <w:vAlign w:val="center"/>
          </w:tcPr>
          <w:p w14:paraId="08A8DB32">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标包2</w:t>
            </w:r>
          </w:p>
        </w:tc>
        <w:tc>
          <w:tcPr>
            <w:tcW w:w="817" w:type="pct"/>
            <w:noWrap w:val="0"/>
            <w:vAlign w:val="center"/>
          </w:tcPr>
          <w:p w14:paraId="5CE2CE3C">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理赔中心食堂</w:t>
            </w:r>
          </w:p>
        </w:tc>
        <w:tc>
          <w:tcPr>
            <w:tcW w:w="2243" w:type="pct"/>
            <w:noWrap w:val="0"/>
            <w:vAlign w:val="center"/>
          </w:tcPr>
          <w:p w14:paraId="2746B22B">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sz w:val="24"/>
                <w:szCs w:val="24"/>
                <w:highlight w:val="none"/>
                <w:lang w:val="en-US" w:eastAsia="zh-CN"/>
              </w:rPr>
            </w:pPr>
            <w:r>
              <w:rPr>
                <w:rFonts w:hint="eastAsia" w:ascii="仿宋" w:hAnsi="仿宋" w:eastAsia="仿宋" w:cs="宋体"/>
                <w:b/>
                <w:bCs/>
                <w:color w:val="000000"/>
                <w:sz w:val="24"/>
                <w:szCs w:val="24"/>
                <w:highlight w:val="none"/>
                <w:lang w:val="en-US" w:eastAsia="zh-CN"/>
              </w:rPr>
              <w:t>理赔99号食堂：</w:t>
            </w:r>
            <w:r>
              <w:rPr>
                <w:rFonts w:hint="eastAsia" w:ascii="仿宋" w:hAnsi="仿宋" w:eastAsia="仿宋" w:cs="宋体"/>
                <w:color w:val="000000"/>
                <w:sz w:val="24"/>
                <w:szCs w:val="24"/>
                <w:highlight w:val="none"/>
                <w:lang w:val="en-US" w:eastAsia="zh-CN"/>
              </w:rPr>
              <w:t>武汉市汉阳区钟家村鹦鹉大道99号</w:t>
            </w:r>
          </w:p>
          <w:p w14:paraId="1ECF7A76">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lang w:val="en-US" w:eastAsia="zh-CN"/>
              </w:rPr>
              <w:t>理赔佳园路食堂：</w:t>
            </w:r>
            <w:r>
              <w:rPr>
                <w:rFonts w:hint="eastAsia" w:ascii="仿宋" w:hAnsi="仿宋" w:eastAsia="仿宋" w:cs="宋体"/>
                <w:color w:val="000000"/>
                <w:sz w:val="24"/>
                <w:szCs w:val="24"/>
                <w:highlight w:val="none"/>
                <w:lang w:val="en-US" w:eastAsia="zh-CN"/>
              </w:rPr>
              <w:t>东湖高新佳园路地铁A出口</w:t>
            </w:r>
          </w:p>
        </w:tc>
        <w:tc>
          <w:tcPr>
            <w:tcW w:w="635" w:type="pct"/>
            <w:noWrap w:val="0"/>
            <w:vAlign w:val="center"/>
          </w:tcPr>
          <w:p w14:paraId="7180F92C">
            <w:pPr>
              <w:keepNext w:val="0"/>
              <w:keepLines w:val="0"/>
              <w:widowControl/>
              <w:suppressLineNumbers w:val="0"/>
              <w:spacing w:before="0" w:beforeAutospacing="0" w:after="0" w:afterAutospacing="0" w:line="240" w:lineRule="auto"/>
              <w:ind w:left="0" w:right="0"/>
              <w:jc w:val="center"/>
              <w:rPr>
                <w:rFonts w:hint="default"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lang w:val="en-US" w:eastAsia="zh-CN"/>
              </w:rPr>
              <w:t>184万元</w:t>
            </w:r>
          </w:p>
        </w:tc>
        <w:tc>
          <w:tcPr>
            <w:tcW w:w="753" w:type="pct"/>
            <w:shd w:val="clear" w:color="auto" w:fill="auto"/>
            <w:noWrap w:val="0"/>
            <w:vAlign w:val="center"/>
          </w:tcPr>
          <w:p w14:paraId="3DC232F0">
            <w:pPr>
              <w:keepNext w:val="0"/>
              <w:keepLines w:val="0"/>
              <w:widowControl/>
              <w:suppressLineNumbers w:val="0"/>
              <w:spacing w:before="0" w:beforeAutospacing="0" w:after="0" w:afterAutospacing="0" w:line="240" w:lineRule="auto"/>
              <w:ind w:left="0" w:leftChars="0" w:right="0" w:rightChars="0"/>
              <w:jc w:val="center"/>
              <w:rPr>
                <w:rFonts w:hint="eastAsia" w:ascii="仿宋" w:hAnsi="仿宋" w:eastAsia="仿宋" w:cs="宋体"/>
                <w:color w:val="000000"/>
                <w:kern w:val="2"/>
                <w:sz w:val="24"/>
                <w:szCs w:val="24"/>
                <w:highlight w:val="none"/>
                <w:lang w:val="en-US" w:eastAsia="zh-CN" w:bidi="ar-SA"/>
              </w:rPr>
            </w:pPr>
            <w:r>
              <w:rPr>
                <w:rFonts w:hint="eastAsia" w:ascii="仿宋" w:hAnsi="仿宋" w:eastAsia="仿宋" w:cs="宋体"/>
                <w:color w:val="000000"/>
                <w:sz w:val="24"/>
                <w:szCs w:val="24"/>
                <w:highlight w:val="none"/>
                <w:lang w:val="en-US" w:eastAsia="zh-CN"/>
              </w:rPr>
              <w:t>2</w:t>
            </w:r>
            <w:r>
              <w:rPr>
                <w:rFonts w:hint="eastAsia" w:ascii="仿宋" w:hAnsi="仿宋" w:eastAsia="仿宋" w:cs="宋体"/>
                <w:color w:val="000000"/>
                <w:sz w:val="24"/>
                <w:szCs w:val="24"/>
                <w:highlight w:val="none"/>
              </w:rPr>
              <w:t>个</w:t>
            </w:r>
          </w:p>
        </w:tc>
      </w:tr>
    </w:tbl>
    <w:p w14:paraId="7CB51514">
      <w:pPr>
        <w:spacing w:line="360" w:lineRule="auto"/>
        <w:ind w:firstLine="480" w:firstLineChars="200"/>
        <w:textAlignment w:val="baseline"/>
        <w:rPr>
          <w:rFonts w:hint="default" w:ascii="仿宋" w:hAnsi="仿宋" w:eastAsia="仿宋" w:cs="宋体"/>
          <w:color w:val="FF0000"/>
          <w:sz w:val="24"/>
          <w:szCs w:val="24"/>
          <w:highlight w:val="none"/>
          <w:lang w:val="en-US" w:eastAsia="zh-CN"/>
        </w:rPr>
      </w:pPr>
      <w:bookmarkStart w:id="21" w:name="_Toc17299"/>
      <w:bookmarkStart w:id="22" w:name="_Toc65682915"/>
      <w:r>
        <w:rPr>
          <w:rFonts w:hint="eastAsia" w:ascii="仿宋" w:hAnsi="仿宋" w:eastAsia="仿宋" w:cs="宋体"/>
          <w:color w:val="000000"/>
          <w:sz w:val="24"/>
          <w:szCs w:val="24"/>
          <w:highlight w:val="none"/>
        </w:rPr>
        <w:t>2.5服务期限：</w:t>
      </w:r>
      <w:r>
        <w:rPr>
          <w:rFonts w:hint="eastAsia" w:ascii="仿宋" w:hAnsi="仿宋" w:eastAsia="仿宋" w:cs="宋体"/>
          <w:color w:val="000000"/>
          <w:sz w:val="24"/>
          <w:szCs w:val="24"/>
          <w:highlight w:val="none"/>
          <w:lang w:val="en-US" w:eastAsia="zh-CN"/>
        </w:rPr>
        <w:t>标包1为2026年8月7日至2028年8月6日；标包2为2026年9月5日至2028年9月4日。</w:t>
      </w:r>
    </w:p>
    <w:p w14:paraId="40DBD28B">
      <w:pPr>
        <w:spacing w:line="360" w:lineRule="auto"/>
        <w:ind w:firstLine="480" w:firstLineChars="200"/>
        <w:textAlignment w:val="baseline"/>
        <w:rPr>
          <w:rFonts w:hint="eastAsia" w:ascii="仿宋" w:hAnsi="仿宋" w:eastAsia="仿宋" w:cs="宋体"/>
          <w:color w:val="000000"/>
          <w:sz w:val="24"/>
          <w:szCs w:val="24"/>
          <w:highlight w:val="none"/>
          <w:lang w:val="en-US" w:eastAsia="zh-CN"/>
        </w:rPr>
      </w:pPr>
      <w:r>
        <w:rPr>
          <w:rFonts w:hint="eastAsia" w:ascii="仿宋" w:hAnsi="仿宋" w:eastAsia="仿宋" w:cs="宋体"/>
          <w:color w:val="000000"/>
          <w:sz w:val="24"/>
          <w:szCs w:val="24"/>
          <w:highlight w:val="none"/>
        </w:rPr>
        <w:t>2.6服务地点：中国人民财产保险股份有限公司武汉市分</w:t>
      </w:r>
      <w:r>
        <w:rPr>
          <w:rFonts w:hint="eastAsia" w:ascii="仿宋" w:hAnsi="仿宋" w:eastAsia="仿宋" w:cs="宋体"/>
          <w:color w:val="000000"/>
          <w:sz w:val="24"/>
          <w:szCs w:val="24"/>
          <w:highlight w:val="none"/>
          <w:lang w:val="en-US" w:eastAsia="zh-CN"/>
        </w:rPr>
        <w:t>公司指定地点。</w:t>
      </w:r>
      <w:bookmarkEnd w:id="20"/>
    </w:p>
    <w:p w14:paraId="2C378592">
      <w:pPr>
        <w:pStyle w:val="4"/>
        <w:rPr>
          <w:rFonts w:ascii="仿宋" w:hAnsi="仿宋" w:cs="宋体"/>
          <w:color w:val="000000"/>
          <w:szCs w:val="24"/>
          <w:highlight w:val="none"/>
        </w:rPr>
      </w:pPr>
      <w:bookmarkStart w:id="23" w:name="_Toc6528"/>
      <w:bookmarkStart w:id="24" w:name="_Toc109124225"/>
      <w:r>
        <w:rPr>
          <w:rFonts w:hint="eastAsia" w:ascii="仿宋" w:hAnsi="仿宋" w:cs="宋体"/>
          <w:color w:val="000000"/>
          <w:szCs w:val="24"/>
          <w:highlight w:val="none"/>
        </w:rPr>
        <w:t>三、投标人资格要求</w:t>
      </w:r>
      <w:bookmarkEnd w:id="21"/>
      <w:bookmarkEnd w:id="22"/>
      <w:bookmarkEnd w:id="23"/>
      <w:bookmarkEnd w:id="24"/>
    </w:p>
    <w:p w14:paraId="7610FA21">
      <w:pPr>
        <w:pStyle w:val="12"/>
        <w:ind w:firstLine="480" w:firstLineChars="200"/>
        <w:rPr>
          <w:rFonts w:hint="eastAsia" w:ascii="宋体" w:hAnsi="宋体"/>
          <w:szCs w:val="21"/>
          <w:highlight w:val="none"/>
        </w:rPr>
      </w:pPr>
      <w:r>
        <w:rPr>
          <w:rFonts w:hint="eastAsia" w:ascii="仿宋" w:hAnsi="仿宋" w:eastAsia="仿宋" w:cs="宋体"/>
          <w:color w:val="000000"/>
          <w:sz w:val="24"/>
          <w:szCs w:val="24"/>
          <w:highlight w:val="none"/>
        </w:rPr>
        <w:t>3.1</w:t>
      </w:r>
      <w:r>
        <w:rPr>
          <w:rFonts w:hint="eastAsia" w:ascii="仿宋" w:hAnsi="仿宋" w:eastAsia="仿宋" w:cs="Monaco"/>
          <w:b/>
          <w:bCs/>
          <w:color w:val="000000"/>
          <w:sz w:val="24"/>
          <w:szCs w:val="24"/>
          <w:highlight w:val="none"/>
        </w:rPr>
        <w:t>在中华人民共和国境内依法登记的法人或其他组织，</w:t>
      </w:r>
      <w:r>
        <w:rPr>
          <w:rFonts w:hint="eastAsia" w:ascii="仿宋" w:hAnsi="仿宋" w:eastAsia="仿宋" w:cs="Monaco"/>
          <w:b/>
          <w:color w:val="000000"/>
          <w:sz w:val="24"/>
          <w:szCs w:val="24"/>
          <w:highlight w:val="none"/>
        </w:rPr>
        <w:t>具有独立承担民事责任的能力</w:t>
      </w:r>
      <w:r>
        <w:rPr>
          <w:rFonts w:hint="eastAsia" w:ascii="仿宋" w:hAnsi="仿宋" w:eastAsia="仿宋" w:cs="Monaco"/>
          <w:color w:val="000000"/>
          <w:sz w:val="24"/>
          <w:szCs w:val="24"/>
          <w:highlight w:val="none"/>
        </w:rPr>
        <w:t>，投标人如为企业法人，须提供企业法人营业执照</w:t>
      </w:r>
      <w:r>
        <w:rPr>
          <w:rFonts w:hint="eastAsia" w:ascii="仿宋" w:hAnsi="仿宋" w:eastAsia="仿宋" w:cs="Monaco"/>
          <w:color w:val="000000"/>
          <w:sz w:val="24"/>
        </w:rPr>
        <w:t>（复印件）</w:t>
      </w:r>
      <w:r>
        <w:rPr>
          <w:rFonts w:hint="eastAsia" w:ascii="仿宋" w:hAnsi="仿宋" w:eastAsia="仿宋" w:cs="Monaco"/>
          <w:color w:val="000000"/>
          <w:sz w:val="24"/>
          <w:szCs w:val="24"/>
          <w:highlight w:val="none"/>
        </w:rPr>
        <w:t>；投标人如为事业单位或其他组织，须提供事业单位法人证书或登记证或组织机构代码证或其他有效证明文件（复印件）。</w:t>
      </w:r>
    </w:p>
    <w:p w14:paraId="1A05D045">
      <w:pPr>
        <w:spacing w:line="360" w:lineRule="auto"/>
        <w:ind w:firstLine="480" w:firstLineChars="200"/>
        <w:textAlignment w:val="baseline"/>
        <w:rPr>
          <w:rFonts w:hint="eastAsia"/>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2</w:t>
      </w:r>
      <w:r>
        <w:rPr>
          <w:rFonts w:hint="eastAsia" w:ascii="仿宋" w:hAnsi="仿宋" w:eastAsia="仿宋" w:cs="宋体"/>
          <w:b/>
          <w:color w:val="000000"/>
          <w:sz w:val="24"/>
          <w:szCs w:val="24"/>
          <w:highlight w:val="none"/>
        </w:rPr>
        <w:t>具有良好的商业信誉和健全的财务会计制度</w:t>
      </w:r>
      <w:r>
        <w:rPr>
          <w:rFonts w:hint="eastAsia" w:ascii="仿宋" w:hAnsi="仿宋" w:eastAsia="仿宋" w:cs="宋体"/>
          <w:color w:val="000000"/>
          <w:sz w:val="24"/>
          <w:szCs w:val="24"/>
          <w:highlight w:val="none"/>
        </w:rPr>
        <w:t>，需提供</w:t>
      </w:r>
      <w:r>
        <w:rPr>
          <w:rFonts w:hint="eastAsia" w:ascii="仿宋" w:hAnsi="仿宋" w:eastAsia="仿宋" w:cs="宋体"/>
          <w:color w:val="000000"/>
          <w:sz w:val="24"/>
          <w:szCs w:val="24"/>
          <w:highlight w:val="none"/>
          <w:lang w:val="en-US" w:eastAsia="zh-CN"/>
        </w:rPr>
        <w:t>2024</w:t>
      </w:r>
      <w:r>
        <w:rPr>
          <w:rFonts w:hint="eastAsia" w:ascii="仿宋" w:hAnsi="仿宋" w:eastAsia="仿宋" w:cs="宋体"/>
          <w:color w:val="000000"/>
          <w:sz w:val="24"/>
          <w:szCs w:val="24"/>
          <w:highlight w:val="none"/>
        </w:rPr>
        <w:t>年度经会计师事务所或审计机构审计的财务审计报告及财务报表（至少包含会计师事务所或审计机构签章页、资产负债表、现金流量表、损益表/利润表）或开标日前</w:t>
      </w: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highlight w:val="none"/>
        </w:rPr>
        <w:t>个月内开具的银行资信证明。</w:t>
      </w:r>
    </w:p>
    <w:p w14:paraId="14968D27">
      <w:pPr>
        <w:spacing w:line="360" w:lineRule="auto"/>
        <w:ind w:firstLine="480" w:firstLineChars="200"/>
        <w:textAlignment w:val="baseline"/>
        <w:rPr>
          <w:rFonts w:hint="eastAsia"/>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 xml:space="preserve">3 </w:t>
      </w:r>
      <w:r>
        <w:rPr>
          <w:rFonts w:hint="eastAsia" w:ascii="仿宋" w:hAnsi="仿宋" w:eastAsia="仿宋" w:cs="宋体"/>
          <w:b/>
          <w:color w:val="000000"/>
          <w:sz w:val="24"/>
          <w:szCs w:val="24"/>
          <w:highlight w:val="none"/>
        </w:rPr>
        <w:t>投标人应具有履行合同所必需的设备和专业技术能力</w:t>
      </w:r>
      <w:r>
        <w:rPr>
          <w:rFonts w:hint="eastAsia" w:ascii="仿宋" w:hAnsi="仿宋" w:eastAsia="仿宋" w:cs="宋体"/>
          <w:color w:val="000000"/>
          <w:sz w:val="24"/>
          <w:szCs w:val="24"/>
          <w:highlight w:val="none"/>
        </w:rPr>
        <w:t>，近三年（</w:t>
      </w:r>
      <w:r>
        <w:rPr>
          <w:rFonts w:hint="eastAsia" w:ascii="仿宋" w:hAnsi="仿宋" w:eastAsia="仿宋" w:cs="宋体"/>
          <w:color w:val="000000"/>
          <w:sz w:val="24"/>
          <w:szCs w:val="24"/>
          <w:highlight w:val="none"/>
          <w:lang w:val="en-US" w:eastAsia="zh-CN"/>
        </w:rPr>
        <w:t>2023</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lang w:val="en-US" w:eastAsia="zh-CN"/>
        </w:rPr>
        <w:t>1</w:t>
      </w:r>
      <w:r>
        <w:rPr>
          <w:rFonts w:hint="eastAsia" w:ascii="仿宋" w:hAnsi="仿宋" w:eastAsia="仿宋" w:cs="宋体"/>
          <w:color w:val="000000"/>
          <w:sz w:val="24"/>
          <w:szCs w:val="24"/>
          <w:highlight w:val="none"/>
        </w:rPr>
        <w:t>月1日至今）应具有</w:t>
      </w:r>
      <w:r>
        <w:rPr>
          <w:rFonts w:hint="eastAsia" w:ascii="仿宋" w:hAnsi="仿宋" w:eastAsia="仿宋" w:cs="宋体"/>
          <w:color w:val="000000"/>
          <w:sz w:val="24"/>
          <w:szCs w:val="24"/>
          <w:highlight w:val="none"/>
          <w:lang w:val="en-US" w:eastAsia="zh-CN"/>
        </w:rPr>
        <w:t>1</w:t>
      </w:r>
      <w:r>
        <w:rPr>
          <w:rFonts w:hint="eastAsia" w:ascii="仿宋" w:hAnsi="仿宋" w:eastAsia="仿宋" w:cs="宋体"/>
          <w:color w:val="000000"/>
          <w:sz w:val="24"/>
          <w:szCs w:val="24"/>
          <w:highlight w:val="none"/>
        </w:rPr>
        <w:t>个以上同类项目实施案例，并提供</w:t>
      </w:r>
      <w:r>
        <w:rPr>
          <w:rFonts w:hint="eastAsia" w:ascii="仿宋" w:hAnsi="仿宋" w:eastAsia="仿宋" w:cs="宋体"/>
          <w:color w:val="000000"/>
          <w:sz w:val="24"/>
          <w:highlight w:val="none"/>
        </w:rPr>
        <w:t>符合上述要求的</w:t>
      </w:r>
      <w:r>
        <w:rPr>
          <w:rFonts w:hint="eastAsia" w:ascii="仿宋" w:hAnsi="仿宋" w:eastAsia="仿宋" w:cs="宋体"/>
          <w:color w:val="000000"/>
          <w:sz w:val="24"/>
          <w:szCs w:val="24"/>
          <w:highlight w:val="none"/>
        </w:rPr>
        <w:t>合同关键页作为有效的业绩证明材料。合同关键页</w:t>
      </w:r>
      <w:r>
        <w:rPr>
          <w:rFonts w:hint="eastAsia" w:ascii="仿宋" w:hAnsi="仿宋" w:eastAsia="仿宋" w:cs="宋体"/>
          <w:color w:val="000000"/>
          <w:sz w:val="24"/>
          <w:highlight w:val="none"/>
        </w:rPr>
        <w:t>包含但不限于合同首页、</w:t>
      </w:r>
      <w:r>
        <w:rPr>
          <w:rFonts w:hint="eastAsia" w:ascii="仿宋" w:hAnsi="仿宋" w:eastAsia="仿宋" w:cs="宋体"/>
          <w:color w:val="000000"/>
          <w:sz w:val="24"/>
          <w:szCs w:val="24"/>
          <w:highlight w:val="none"/>
        </w:rPr>
        <w:t>合同标的页</w:t>
      </w:r>
      <w:r>
        <w:rPr>
          <w:rFonts w:hint="eastAsia" w:ascii="仿宋" w:hAnsi="仿宋" w:eastAsia="仿宋" w:cs="宋体"/>
          <w:color w:val="000000"/>
          <w:sz w:val="24"/>
          <w:highlight w:val="none"/>
        </w:rPr>
        <w:t>、签署日期页及盖章页等。如合同为框架协议类，须同时提供该框架协议下经双方确认的、发生具体采购/服务事项的相关材料。</w:t>
      </w:r>
    </w:p>
    <w:p w14:paraId="62E72146">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3.4</w:t>
      </w:r>
      <w:r>
        <w:rPr>
          <w:rFonts w:hint="eastAsia" w:ascii="仿宋" w:hAnsi="仿宋" w:eastAsia="仿宋" w:cs="宋体"/>
          <w:color w:val="000000"/>
          <w:sz w:val="24"/>
          <w:szCs w:val="24"/>
          <w:highlight w:val="none"/>
          <w:lang w:val="en-US" w:eastAsia="zh-CN"/>
        </w:rPr>
        <w:t xml:space="preserve"> </w:t>
      </w:r>
      <w:r>
        <w:rPr>
          <w:rFonts w:hint="eastAsia" w:ascii="仿宋" w:hAnsi="仿宋" w:eastAsia="仿宋" w:cs="宋体"/>
          <w:b/>
          <w:color w:val="000000"/>
          <w:sz w:val="24"/>
          <w:szCs w:val="24"/>
          <w:highlight w:val="none"/>
        </w:rPr>
        <w:t>具有依法缴纳税收和社会保障资金的良好记录</w:t>
      </w:r>
      <w:r>
        <w:rPr>
          <w:rFonts w:hint="eastAsia" w:ascii="仿宋" w:hAnsi="仿宋" w:eastAsia="仿宋" w:cs="宋体"/>
          <w:color w:val="000000"/>
          <w:sz w:val="24"/>
          <w:szCs w:val="24"/>
          <w:highlight w:val="none"/>
        </w:rPr>
        <w:t>，提供近6个月任意一个月的税收</w:t>
      </w:r>
      <w:r>
        <w:rPr>
          <w:rFonts w:hint="eastAsia" w:ascii="仿宋" w:hAnsi="仿宋" w:eastAsia="仿宋" w:cs="宋体"/>
          <w:b/>
          <w:color w:val="000000"/>
          <w:sz w:val="24"/>
          <w:szCs w:val="24"/>
          <w:highlight w:val="none"/>
        </w:rPr>
        <w:t>和</w:t>
      </w:r>
      <w:r>
        <w:rPr>
          <w:rFonts w:hint="eastAsia" w:ascii="仿宋" w:hAnsi="仿宋" w:eastAsia="仿宋" w:cs="宋体"/>
          <w:color w:val="000000"/>
          <w:sz w:val="24"/>
          <w:szCs w:val="24"/>
          <w:highlight w:val="none"/>
        </w:rPr>
        <w:t>社会保障资金缴纳凭证。</w:t>
      </w:r>
    </w:p>
    <w:p w14:paraId="6B6482B2">
      <w:pPr>
        <w:spacing w:line="360" w:lineRule="auto"/>
        <w:ind w:firstLine="480" w:firstLineChars="200"/>
        <w:textAlignment w:val="baseline"/>
        <w:rPr>
          <w:rFonts w:hint="eastAsia" w:ascii="仿宋" w:hAnsi="仿宋" w:eastAsia="仿宋" w:cs="Monaco"/>
          <w:color w:val="000000"/>
          <w:sz w:val="24"/>
          <w:szCs w:val="24"/>
          <w:highlight w:val="none"/>
        </w:rPr>
      </w:pPr>
      <w:r>
        <w:rPr>
          <w:rFonts w:hint="eastAsia" w:ascii="仿宋" w:hAnsi="仿宋" w:eastAsia="仿宋" w:cs="宋体"/>
          <w:color w:val="000000"/>
          <w:sz w:val="24"/>
          <w:szCs w:val="24"/>
          <w:highlight w:val="none"/>
        </w:rPr>
        <w:t>3.5</w:t>
      </w:r>
      <w:r>
        <w:rPr>
          <w:rFonts w:hint="eastAsia" w:ascii="仿宋" w:hAnsi="仿宋" w:eastAsia="仿宋" w:cs="Monaco"/>
          <w:b/>
          <w:color w:val="000000"/>
          <w:sz w:val="24"/>
          <w:szCs w:val="24"/>
          <w:highlight w:val="none"/>
        </w:rPr>
        <w:t>投标人应经营状况良好，且近三年内（</w:t>
      </w:r>
      <w:r>
        <w:rPr>
          <w:rFonts w:hint="eastAsia" w:ascii="仿宋" w:hAnsi="仿宋" w:eastAsia="仿宋" w:cs="Monaco"/>
          <w:b/>
          <w:color w:val="000000"/>
          <w:sz w:val="24"/>
          <w:szCs w:val="24"/>
          <w:highlight w:val="none"/>
          <w:lang w:val="en-US" w:eastAsia="zh-CN"/>
        </w:rPr>
        <w:t>2023</w:t>
      </w:r>
      <w:r>
        <w:rPr>
          <w:rFonts w:hint="eastAsia" w:ascii="仿宋" w:hAnsi="仿宋" w:eastAsia="仿宋" w:cs="Monaco"/>
          <w:b/>
          <w:color w:val="000000"/>
          <w:sz w:val="24"/>
          <w:szCs w:val="24"/>
          <w:highlight w:val="none"/>
        </w:rPr>
        <w:t>年</w:t>
      </w:r>
      <w:r>
        <w:rPr>
          <w:rFonts w:hint="eastAsia" w:ascii="仿宋" w:hAnsi="仿宋" w:eastAsia="仿宋" w:cs="Monaco"/>
          <w:b/>
          <w:color w:val="000000"/>
          <w:sz w:val="24"/>
          <w:szCs w:val="24"/>
          <w:highlight w:val="none"/>
          <w:lang w:val="en-US" w:eastAsia="zh-CN"/>
        </w:rPr>
        <w:t>1</w:t>
      </w:r>
      <w:r>
        <w:rPr>
          <w:rFonts w:hint="eastAsia" w:ascii="仿宋" w:hAnsi="仿宋" w:eastAsia="仿宋" w:cs="Monaco"/>
          <w:b/>
          <w:color w:val="000000"/>
          <w:sz w:val="24"/>
          <w:szCs w:val="24"/>
          <w:highlight w:val="none"/>
        </w:rPr>
        <w:t>月1日至今）无违法违规记录。</w:t>
      </w:r>
      <w:r>
        <w:rPr>
          <w:rFonts w:hint="eastAsia" w:ascii="仿宋" w:hAnsi="仿宋" w:eastAsia="仿宋" w:cs="Monaco"/>
          <w:color w:val="000000"/>
          <w:sz w:val="24"/>
          <w:szCs w:val="24"/>
          <w:highlight w:val="none"/>
        </w:rPr>
        <w:t>违法违规记录是指被“信用中国”列入失信被执行人、重大税收违法失信主体、政府采购严重违法失信行为记录名单。投标人需提供自招标公告发布之日至投标截止之日期间对以上三项内容的查询截图。</w:t>
      </w:r>
    </w:p>
    <w:p w14:paraId="2CDF3C11">
      <w:pPr>
        <w:spacing w:line="360" w:lineRule="auto"/>
        <w:ind w:firstLine="480" w:firstLineChars="200"/>
        <w:textAlignment w:val="baseline"/>
        <w:rPr>
          <w:rFonts w:hint="eastAsia" w:ascii="仿宋" w:hAnsi="仿宋" w:eastAsia="仿宋" w:cs="Monaco"/>
          <w:color w:val="000000"/>
          <w:sz w:val="24"/>
          <w:szCs w:val="24"/>
          <w:highlight w:val="none"/>
        </w:rPr>
      </w:pPr>
      <w:r>
        <w:rPr>
          <w:rFonts w:hint="eastAsia" w:ascii="仿宋" w:hAnsi="仿宋" w:eastAsia="仿宋" w:cs="Monaco"/>
          <w:color w:val="000000"/>
          <w:sz w:val="24"/>
          <w:szCs w:val="24"/>
          <w:highlight w:val="none"/>
        </w:rPr>
        <w:t>信用中国查询网址：https</w:t>
      </w:r>
      <w:r>
        <w:rPr>
          <w:rFonts w:hint="eastAsia" w:ascii="仿宋" w:hAnsi="仿宋" w:eastAsia="仿宋" w:cs="Monaco"/>
          <w:color w:val="000000"/>
          <w:sz w:val="24"/>
          <w:szCs w:val="24"/>
          <w:highlight w:val="none"/>
          <w:lang w:eastAsia="zh-CN"/>
        </w:rPr>
        <w:t>：</w:t>
      </w:r>
      <w:r>
        <w:rPr>
          <w:rFonts w:hint="eastAsia" w:ascii="仿宋" w:hAnsi="仿宋" w:eastAsia="仿宋" w:cs="Monaco"/>
          <w:color w:val="000000"/>
          <w:sz w:val="24"/>
          <w:szCs w:val="24"/>
          <w:highlight w:val="none"/>
        </w:rPr>
        <w:t>//www.creditchina.gov.cn/xinyongfuwu/?navPage=5</w:t>
      </w:r>
    </w:p>
    <w:p w14:paraId="78080A1F">
      <w:pPr>
        <w:spacing w:line="360" w:lineRule="auto"/>
        <w:ind w:firstLine="480" w:firstLineChars="200"/>
        <w:textAlignment w:val="baseline"/>
        <w:rPr>
          <w:rFonts w:ascii="仿宋" w:hAnsi="仿宋" w:eastAsia="仿宋" w:cs="宋体"/>
          <w:b/>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 xml:space="preserve">.6 </w:t>
      </w:r>
      <w:r>
        <w:rPr>
          <w:rFonts w:hint="eastAsia" w:ascii="仿宋" w:hAnsi="仿宋" w:eastAsia="仿宋" w:cs="宋体"/>
          <w:b/>
          <w:color w:val="000000"/>
          <w:sz w:val="24"/>
          <w:szCs w:val="24"/>
          <w:highlight w:val="none"/>
        </w:rPr>
        <w:t>严禁列入招标人及其所隶属的中国人民保险各级机构的供应商黑名单且在禁入期内的供应商参与采购活动。</w:t>
      </w:r>
    </w:p>
    <w:p w14:paraId="3670FB53">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ascii="仿宋" w:hAnsi="仿宋" w:eastAsia="仿宋" w:cs="宋体"/>
          <w:color w:val="000000"/>
          <w:sz w:val="24"/>
          <w:szCs w:val="24"/>
          <w:highlight w:val="none"/>
        </w:rPr>
        <w:t>7</w:t>
      </w:r>
      <w:r>
        <w:rPr>
          <w:rFonts w:hint="eastAsia" w:ascii="仿宋" w:hAnsi="仿宋" w:eastAsia="仿宋" w:cs="宋体"/>
          <w:color w:val="000000"/>
          <w:sz w:val="24"/>
          <w:szCs w:val="24"/>
          <w:highlight w:val="none"/>
        </w:rPr>
        <w:t>单位负责人为同一人或存在控股、管理关系的不同单位，不得参加同一标段/标包投标或未划分标段/标包的同一招标项目投标，</w:t>
      </w:r>
      <w:r>
        <w:rPr>
          <w:rFonts w:hint="eastAsia" w:ascii="仿宋" w:hAnsi="仿宋" w:eastAsia="仿宋" w:cs="Monaco"/>
          <w:color w:val="000000"/>
          <w:sz w:val="24"/>
          <w:szCs w:val="24"/>
          <w:highlight w:val="none"/>
        </w:rPr>
        <w:t>需填写《投标人控股及管理关系情况申报表》。</w:t>
      </w:r>
    </w:p>
    <w:p w14:paraId="4AC148A1">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w:t>
      </w:r>
      <w:r>
        <w:rPr>
          <w:rFonts w:hint="eastAsia" w:ascii="仿宋" w:hAnsi="仿宋" w:eastAsia="仿宋" w:cs="宋体"/>
          <w:color w:val="000000"/>
          <w:sz w:val="24"/>
          <w:szCs w:val="24"/>
          <w:highlight w:val="none"/>
          <w:lang w:val="en-US" w:eastAsia="zh-CN"/>
        </w:rPr>
        <w:t>8</w:t>
      </w:r>
      <w:r>
        <w:rPr>
          <w:rFonts w:ascii="仿宋" w:hAnsi="仿宋" w:eastAsia="仿宋" w:cs="宋体"/>
          <w:color w:val="000000"/>
          <w:sz w:val="24"/>
          <w:szCs w:val="24"/>
          <w:highlight w:val="none"/>
        </w:rPr>
        <w:t xml:space="preserve"> </w:t>
      </w:r>
      <w:r>
        <w:rPr>
          <w:rFonts w:hint="eastAsia" w:ascii="仿宋" w:hAnsi="仿宋" w:eastAsia="仿宋" w:cs="宋体"/>
          <w:color w:val="000000"/>
          <w:sz w:val="24"/>
          <w:szCs w:val="24"/>
          <w:highlight w:val="none"/>
        </w:rPr>
        <w:t>本项目接受/不接受联合体投标。</w:t>
      </w:r>
    </w:p>
    <w:p w14:paraId="5FA0D4D3">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lang w:val="en-US" w:eastAsia="zh-CN"/>
        </w:rPr>
        <w:t>3</w:t>
      </w:r>
      <w:r>
        <w:rPr>
          <w:rFonts w:hint="eastAsia" w:ascii="仿宋" w:hAnsi="仿宋" w:eastAsia="仿宋" w:cs="宋体"/>
          <w:color w:val="000000"/>
          <w:sz w:val="24"/>
          <w:szCs w:val="24"/>
          <w:highlight w:val="none"/>
        </w:rPr>
        <w:t>.</w:t>
      </w:r>
      <w:r>
        <w:rPr>
          <w:rFonts w:hint="eastAsia" w:ascii="仿宋" w:hAnsi="仿宋" w:eastAsia="仿宋" w:cs="宋体"/>
          <w:color w:val="000000"/>
          <w:sz w:val="24"/>
          <w:szCs w:val="24"/>
          <w:highlight w:val="none"/>
          <w:lang w:val="en-US" w:eastAsia="zh-CN"/>
        </w:rPr>
        <w:t>9其它资格要求：投标人具备有效期内的《食品经营许可证》。</w:t>
      </w:r>
    </w:p>
    <w:p w14:paraId="7E37CE2B">
      <w:pPr>
        <w:pStyle w:val="4"/>
        <w:rPr>
          <w:rFonts w:hint="eastAsia" w:ascii="仿宋" w:hAnsi="仿宋" w:cs="宋体"/>
          <w:color w:val="000000"/>
          <w:szCs w:val="24"/>
          <w:highlight w:val="none"/>
        </w:rPr>
      </w:pPr>
      <w:bookmarkStart w:id="25" w:name="_Toc12385"/>
      <w:bookmarkStart w:id="26" w:name="_Toc65682916"/>
      <w:bookmarkStart w:id="27" w:name="_Toc109124226"/>
      <w:bookmarkStart w:id="28" w:name="_Toc21224"/>
      <w:r>
        <w:rPr>
          <w:rFonts w:hint="eastAsia" w:ascii="仿宋" w:hAnsi="仿宋" w:cs="宋体"/>
          <w:color w:val="000000"/>
          <w:highlight w:val="none"/>
        </w:rPr>
        <w:t>四、</w:t>
      </w:r>
      <w:bookmarkEnd w:id="25"/>
      <w:bookmarkEnd w:id="26"/>
      <w:bookmarkEnd w:id="27"/>
      <w:bookmarkEnd w:id="28"/>
      <w:bookmarkStart w:id="29" w:name="_Toc11877"/>
      <w:bookmarkStart w:id="30" w:name="_Toc109124227"/>
      <w:bookmarkStart w:id="31" w:name="_Toc65682917"/>
      <w:bookmarkStart w:id="32" w:name="_Toc32460"/>
      <w:r>
        <w:rPr>
          <w:rFonts w:hint="eastAsia" w:ascii="仿宋" w:hAnsi="仿宋" w:cs="宋体"/>
          <w:color w:val="000000"/>
          <w:szCs w:val="24"/>
          <w:highlight w:val="none"/>
        </w:rPr>
        <w:t>招标文件的获取</w:t>
      </w:r>
      <w:bookmarkEnd w:id="29"/>
      <w:bookmarkEnd w:id="30"/>
      <w:bookmarkEnd w:id="31"/>
      <w:bookmarkEnd w:id="32"/>
    </w:p>
    <w:p w14:paraId="5D92F2ED">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bookmarkStart w:id="33" w:name="_Toc109124228"/>
      <w:bookmarkStart w:id="34" w:name="_Toc7435"/>
      <w:bookmarkStart w:id="35" w:name="_Toc31250"/>
      <w:r>
        <w:rPr>
          <w:rFonts w:hint="eastAsia" w:ascii="仿宋" w:hAnsi="仿宋" w:eastAsia="仿宋" w:cs="宋体"/>
          <w:color w:val="auto"/>
          <w:sz w:val="24"/>
          <w:szCs w:val="24"/>
          <w:highlight w:val="none"/>
          <w:lang w:val="en-US" w:eastAsia="zh-CN"/>
        </w:rPr>
        <w:t>4.1时间：2026年5月8日至2026年5月13日，每天上午09：00至12：00，下午14：00至17：00（北京时间，法定节假日除外）</w:t>
      </w:r>
    </w:p>
    <w:p w14:paraId="087A9D4A">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4.2地点：湖北引发管理咨询有限公司（武汉市武昌区东湖路181号楚天文化创意产业园5号楼3层）</w:t>
      </w:r>
    </w:p>
    <w:p w14:paraId="172A9E78">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4.3方式：法定代表人自己获取的，凭法定代表人身份证明书及法定代表人身份证获取。法定代表人委托他人获取的，凭法定代表人授权书及受托人身份证获取。投标人需携带符合资格条件（二、申请人的资格要求）加盖公章装订成册的复印件或承诺书。潜在投标人在招标代理机构报名后还需登陆“人保e采”外网门户（</w:t>
      </w:r>
      <w:r>
        <w:rPr>
          <w:rFonts w:hint="default" w:ascii="仿宋" w:hAnsi="仿宋" w:eastAsia="仿宋" w:cs="宋体"/>
          <w:color w:val="auto"/>
          <w:sz w:val="24"/>
          <w:szCs w:val="24"/>
          <w:highlight w:val="none"/>
          <w:lang w:val="en-US" w:eastAsia="zh-CN"/>
        </w:rPr>
        <w:t>https</w:t>
      </w:r>
      <w:r>
        <w:rPr>
          <w:rFonts w:hint="eastAsia" w:ascii="仿宋" w:hAnsi="仿宋" w:eastAsia="仿宋" w:cs="宋体"/>
          <w:color w:val="auto"/>
          <w:sz w:val="24"/>
          <w:szCs w:val="24"/>
          <w:highlight w:val="none"/>
          <w:lang w:val="en-US" w:eastAsia="zh-CN"/>
        </w:rPr>
        <w:t>：</w:t>
      </w:r>
      <w:r>
        <w:rPr>
          <w:rFonts w:hint="default" w:ascii="仿宋" w:hAnsi="仿宋" w:eastAsia="仿宋" w:cs="宋体"/>
          <w:color w:val="auto"/>
          <w:sz w:val="24"/>
          <w:szCs w:val="24"/>
          <w:highlight w:val="none"/>
          <w:lang w:val="en-US" w:eastAsia="zh-CN"/>
        </w:rPr>
        <w:t>//ec.picc.com/</w:t>
      </w:r>
      <w:r>
        <w:rPr>
          <w:rFonts w:hint="eastAsia" w:ascii="仿宋" w:hAnsi="仿宋" w:eastAsia="仿宋" w:cs="宋体"/>
          <w:color w:val="auto"/>
          <w:sz w:val="24"/>
          <w:szCs w:val="24"/>
          <w:highlight w:val="none"/>
          <w:lang w:val="en-US" w:eastAsia="zh-CN"/>
        </w:rPr>
        <w:t>）进行注册报名（具体操作详见网站说明），未在规定时间同步在此网站注册报名的，其报名无效。</w:t>
      </w:r>
    </w:p>
    <w:p w14:paraId="5C82099C">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4.4售价：400（元）</w:t>
      </w:r>
    </w:p>
    <w:p w14:paraId="423ACA90">
      <w:pPr>
        <w:pStyle w:val="4"/>
        <w:rPr>
          <w:rFonts w:hint="eastAsia" w:ascii="仿宋" w:hAnsi="仿宋" w:cs="宋体"/>
          <w:color w:val="000000"/>
          <w:highlight w:val="none"/>
        </w:rPr>
      </w:pPr>
      <w:r>
        <w:rPr>
          <w:rFonts w:hint="eastAsia" w:ascii="仿宋" w:hAnsi="仿宋" w:cs="宋体"/>
          <w:color w:val="000000"/>
          <w:highlight w:val="none"/>
          <w:lang w:val="en-US" w:eastAsia="zh-CN"/>
        </w:rPr>
        <w:t>五</w:t>
      </w:r>
      <w:r>
        <w:rPr>
          <w:rFonts w:hint="eastAsia" w:ascii="仿宋" w:hAnsi="仿宋" w:cs="宋体"/>
          <w:color w:val="000000"/>
          <w:highlight w:val="none"/>
        </w:rPr>
        <w:t>、投标文件的递交</w:t>
      </w:r>
      <w:bookmarkEnd w:id="33"/>
      <w:bookmarkEnd w:id="34"/>
      <w:bookmarkEnd w:id="35"/>
    </w:p>
    <w:p w14:paraId="62A92027">
      <w:pPr>
        <w:spacing w:line="360" w:lineRule="auto"/>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5.1开始时间：2026年5月29日8点30分（北京时间）</w:t>
      </w:r>
    </w:p>
    <w:p w14:paraId="0B7351A2">
      <w:pPr>
        <w:spacing w:line="360" w:lineRule="auto"/>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5.2截止时间：2026年5月29日9点00分（北京时间）</w:t>
      </w:r>
    </w:p>
    <w:p w14:paraId="1A497B5C">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5.3地点：武汉市武昌区东湖路181号楚天文化创意产业园5号楼3层</w:t>
      </w:r>
    </w:p>
    <w:p w14:paraId="51ACED1B">
      <w:pPr>
        <w:spacing w:line="360" w:lineRule="auto"/>
        <w:ind w:firstLine="480" w:firstLineChars="200"/>
        <w:textAlignment w:val="baseline"/>
        <w:rPr>
          <w:rFonts w:hint="eastAsia" w:ascii="仿宋" w:hAnsi="仿宋" w:eastAsia="仿宋" w:cs="宋体"/>
          <w:b/>
          <w:bCs/>
          <w:color w:val="000000"/>
          <w:kern w:val="2"/>
          <w:sz w:val="24"/>
          <w:szCs w:val="24"/>
          <w:highlight w:val="none"/>
          <w:lang w:val="en-US" w:eastAsia="zh-CN" w:bidi="ar-SA"/>
        </w:rPr>
      </w:pPr>
      <w:bookmarkStart w:id="36" w:name="_Toc109124229"/>
      <w:bookmarkStart w:id="37" w:name="_Toc3941"/>
      <w:r>
        <w:rPr>
          <w:rFonts w:hint="eastAsia" w:ascii="仿宋" w:hAnsi="仿宋" w:eastAsia="仿宋" w:cs="宋体"/>
          <w:b w:val="0"/>
          <w:color w:val="000000"/>
          <w:kern w:val="2"/>
          <w:sz w:val="24"/>
          <w:szCs w:val="24"/>
          <w:highlight w:val="none"/>
          <w:lang w:val="en-US" w:eastAsia="zh-CN" w:bidi="ar-SA"/>
        </w:rPr>
        <w:t>5.4</w:t>
      </w:r>
      <w:r>
        <w:rPr>
          <w:rFonts w:hint="eastAsia" w:ascii="仿宋" w:hAnsi="仿宋" w:eastAsia="仿宋" w:cs="宋体"/>
          <w:b/>
          <w:bCs/>
          <w:color w:val="000000"/>
          <w:kern w:val="2"/>
          <w:sz w:val="24"/>
          <w:szCs w:val="24"/>
          <w:highlight w:val="none"/>
          <w:lang w:val="en-US" w:eastAsia="zh-CN" w:bidi="ar-SA"/>
        </w:rPr>
        <w:t>出现以下情形之一时，招标人/招标代理机构不予接收投标文件：</w:t>
      </w:r>
    </w:p>
    <w:p w14:paraId="18DA237D">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5.4.1  逾期送达或者未送达指定地点的；</w:t>
      </w:r>
    </w:p>
    <w:p w14:paraId="41ACB5B4">
      <w:pPr>
        <w:spacing w:line="360" w:lineRule="auto"/>
        <w:ind w:firstLine="480" w:firstLineChars="200"/>
        <w:textAlignment w:val="baseline"/>
        <w:rPr>
          <w:rFonts w:hint="eastAsia"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5.4.2  未按照招标文件要求密封的；</w:t>
      </w:r>
    </w:p>
    <w:p w14:paraId="4D245214">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b w:val="0"/>
          <w:color w:val="000000"/>
          <w:kern w:val="2"/>
          <w:sz w:val="24"/>
          <w:szCs w:val="24"/>
          <w:highlight w:val="none"/>
          <w:lang w:val="en-US" w:eastAsia="zh-CN" w:bidi="ar-SA"/>
        </w:rPr>
        <w:t>5.4.3  未按照招标公告要求获取招标文件的。</w:t>
      </w:r>
    </w:p>
    <w:bookmarkEnd w:id="36"/>
    <w:bookmarkEnd w:id="37"/>
    <w:p w14:paraId="254CBA3D">
      <w:pPr>
        <w:pStyle w:val="4"/>
        <w:pageBreakBefore w:val="0"/>
        <w:widowControl w:val="0"/>
        <w:kinsoku/>
        <w:overflowPunct/>
        <w:topLinePunct w:val="0"/>
        <w:autoSpaceDE/>
        <w:autoSpaceDN/>
        <w:bidi w:val="0"/>
        <w:spacing w:line="440" w:lineRule="exact"/>
        <w:rPr>
          <w:rFonts w:hint="default" w:ascii="仿宋" w:hAnsi="仿宋" w:cs="宋体"/>
          <w:color w:val="000000"/>
          <w:highlight w:val="none"/>
        </w:rPr>
      </w:pPr>
      <w:bookmarkStart w:id="38" w:name="_Toc23758"/>
      <w:bookmarkStart w:id="39" w:name="_Toc109124231"/>
      <w:bookmarkStart w:id="40" w:name="_Toc23286"/>
      <w:bookmarkStart w:id="41" w:name="_Toc1946"/>
      <w:bookmarkStart w:id="42" w:name="_Toc25626"/>
      <w:bookmarkStart w:id="43" w:name="_Toc65682922"/>
      <w:bookmarkStart w:id="44" w:name="_Toc11197"/>
      <w:r>
        <w:rPr>
          <w:rFonts w:hint="eastAsia" w:ascii="仿宋" w:hAnsi="仿宋" w:cs="宋体"/>
          <w:color w:val="000000"/>
          <w:highlight w:val="none"/>
          <w:lang w:val="en-US" w:eastAsia="zh-CN"/>
        </w:rPr>
        <w:t>六、公告期限</w:t>
      </w:r>
    </w:p>
    <w:p w14:paraId="1C958FD0">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自本公告发布之日起5个工作日。</w:t>
      </w:r>
    </w:p>
    <w:p w14:paraId="48A7FEDE">
      <w:pPr>
        <w:pStyle w:val="4"/>
        <w:pageBreakBefore w:val="0"/>
        <w:widowControl w:val="0"/>
        <w:kinsoku/>
        <w:overflowPunct/>
        <w:topLinePunct w:val="0"/>
        <w:autoSpaceDE/>
        <w:autoSpaceDN/>
        <w:bidi w:val="0"/>
        <w:spacing w:line="440" w:lineRule="exact"/>
        <w:rPr>
          <w:rFonts w:hint="default" w:ascii="仿宋" w:hAnsi="仿宋" w:cs="宋体"/>
          <w:color w:val="000000"/>
          <w:highlight w:val="none"/>
          <w:lang w:val="en-US" w:eastAsia="zh-CN"/>
        </w:rPr>
      </w:pPr>
      <w:bookmarkStart w:id="45" w:name="_Toc21305"/>
      <w:bookmarkEnd w:id="45"/>
      <w:r>
        <w:rPr>
          <w:rFonts w:hint="eastAsia" w:ascii="仿宋" w:hAnsi="仿宋" w:cs="宋体"/>
          <w:color w:val="000000"/>
          <w:highlight w:val="none"/>
          <w:lang w:val="en-US" w:eastAsia="zh-CN"/>
        </w:rPr>
        <w:t>七、其他补充事宜</w:t>
      </w:r>
    </w:p>
    <w:p w14:paraId="5404FB4B">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本项目允许兼投兼中。</w:t>
      </w:r>
    </w:p>
    <w:bookmarkEnd w:id="38"/>
    <w:p w14:paraId="179FD060">
      <w:pPr>
        <w:pStyle w:val="4"/>
        <w:pageBreakBefore w:val="0"/>
        <w:widowControl w:val="0"/>
        <w:kinsoku/>
        <w:overflowPunct/>
        <w:topLinePunct w:val="0"/>
        <w:autoSpaceDE/>
        <w:autoSpaceDN/>
        <w:bidi w:val="0"/>
        <w:spacing w:line="440" w:lineRule="exact"/>
        <w:rPr>
          <w:rFonts w:hint="eastAsia" w:ascii="仿宋" w:hAnsi="仿宋" w:cs="宋体"/>
          <w:color w:val="000000"/>
          <w:highlight w:val="none"/>
        </w:rPr>
      </w:pPr>
      <w:bookmarkStart w:id="46" w:name="_Toc109124230"/>
      <w:bookmarkStart w:id="47" w:name="_Toc20415"/>
      <w:bookmarkStart w:id="48" w:name="_Toc7046"/>
      <w:bookmarkStart w:id="49" w:name="_Toc24589"/>
      <w:bookmarkStart w:id="50" w:name="_Toc24187"/>
      <w:bookmarkStart w:id="51" w:name="_Toc26408"/>
      <w:r>
        <w:rPr>
          <w:rFonts w:hint="eastAsia" w:ascii="仿宋" w:hAnsi="仿宋" w:cs="宋体"/>
          <w:color w:val="000000"/>
          <w:highlight w:val="none"/>
          <w:lang w:val="en-US" w:eastAsia="zh-CN"/>
        </w:rPr>
        <w:t>八</w:t>
      </w:r>
      <w:r>
        <w:rPr>
          <w:rFonts w:hint="eastAsia" w:ascii="仿宋" w:hAnsi="仿宋" w:cs="宋体"/>
          <w:color w:val="000000"/>
          <w:highlight w:val="none"/>
        </w:rPr>
        <w:t>、联系方式</w:t>
      </w:r>
      <w:bookmarkEnd w:id="46"/>
      <w:bookmarkEnd w:id="47"/>
      <w:bookmarkEnd w:id="48"/>
      <w:bookmarkEnd w:id="49"/>
      <w:bookmarkEnd w:id="50"/>
      <w:bookmarkEnd w:id="51"/>
    </w:p>
    <w:p w14:paraId="37268433">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8.1采购人信息</w:t>
      </w:r>
    </w:p>
    <w:p w14:paraId="7A0364F0">
      <w:pPr>
        <w:pageBreakBefore w:val="0"/>
        <w:widowControl w:val="0"/>
        <w:kinsoku/>
        <w:overflowPunct/>
        <w:topLinePunct w:val="0"/>
        <w:autoSpaceDE/>
        <w:autoSpaceDN/>
        <w:bidi w:val="0"/>
        <w:spacing w:line="440" w:lineRule="exact"/>
        <w:ind w:left="479" w:leftChars="228" w:firstLine="0" w:firstLineChars="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名称：中国人民财产保险股份有限公司湖北省分公司</w:t>
      </w:r>
      <w:r>
        <w:rPr>
          <w:rFonts w:hint="eastAsia" w:ascii="仿宋" w:hAnsi="仿宋" w:eastAsia="仿宋" w:cs="宋体"/>
          <w:b w:val="0"/>
          <w:color w:val="000000"/>
          <w:kern w:val="2"/>
          <w:sz w:val="24"/>
          <w:szCs w:val="24"/>
          <w:highlight w:val="none"/>
          <w:lang w:val="en-US" w:eastAsia="zh-CN" w:bidi="ar-SA"/>
        </w:rPr>
        <w:br w:type="textWrapping"/>
      </w:r>
      <w:r>
        <w:rPr>
          <w:rFonts w:hint="eastAsia" w:ascii="仿宋" w:hAnsi="仿宋" w:eastAsia="仿宋" w:cs="宋体"/>
          <w:b w:val="0"/>
          <w:color w:val="000000"/>
          <w:kern w:val="2"/>
          <w:sz w:val="24"/>
          <w:szCs w:val="24"/>
          <w:highlight w:val="none"/>
          <w:lang w:val="en-US" w:eastAsia="zh-CN" w:bidi="ar-SA"/>
        </w:rPr>
        <w:t>地址：湖北省武汉市江汉区建设大道426号</w:t>
      </w:r>
    </w:p>
    <w:p w14:paraId="63A96BD9">
      <w:pPr>
        <w:pageBreakBefore w:val="0"/>
        <w:widowControl w:val="0"/>
        <w:kinsoku/>
        <w:overflowPunct/>
        <w:topLinePunct w:val="0"/>
        <w:autoSpaceDE/>
        <w:autoSpaceDN/>
        <w:bidi w:val="0"/>
        <w:spacing w:line="440" w:lineRule="exact"/>
        <w:ind w:left="479" w:leftChars="228" w:firstLine="0" w:firstLineChars="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联系方式：027-83647785</w:t>
      </w:r>
    </w:p>
    <w:p w14:paraId="377FC6C9">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8.2采购代理机构信息</w:t>
      </w:r>
    </w:p>
    <w:p w14:paraId="758E15DA">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名称：湖北引发管理咨询有限公司</w:t>
      </w:r>
    </w:p>
    <w:p w14:paraId="0E6CB369">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地址：武汉市武昌区东湖路181号楚天文化创意产业园5号楼3层</w:t>
      </w:r>
    </w:p>
    <w:p w14:paraId="66A198FD">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联系方式：027-88080660</w:t>
      </w:r>
    </w:p>
    <w:p w14:paraId="594BF137">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8.3项目联系方式</w:t>
      </w:r>
    </w:p>
    <w:p w14:paraId="2DDAC9A3">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项目联系人：苏震、彭潇、李映竹、周美娟、童欣</w:t>
      </w:r>
    </w:p>
    <w:p w14:paraId="55DA1C1F">
      <w:pPr>
        <w:pageBreakBefore w:val="0"/>
        <w:widowControl w:val="0"/>
        <w:kinsoku/>
        <w:overflowPunct/>
        <w:topLinePunct w:val="0"/>
        <w:autoSpaceDE/>
        <w:autoSpaceDN/>
        <w:bidi w:val="0"/>
        <w:spacing w:line="440" w:lineRule="exact"/>
        <w:ind w:firstLine="480" w:firstLineChars="200"/>
        <w:textAlignment w:val="baseline"/>
        <w:rPr>
          <w:rFonts w:hint="default" w:ascii="仿宋" w:hAnsi="仿宋" w:eastAsia="仿宋" w:cs="宋体"/>
          <w:b w:val="0"/>
          <w:color w:val="000000"/>
          <w:kern w:val="2"/>
          <w:sz w:val="24"/>
          <w:szCs w:val="24"/>
          <w:highlight w:val="none"/>
          <w:lang w:val="en-US" w:eastAsia="zh-CN" w:bidi="ar-SA"/>
        </w:rPr>
      </w:pPr>
      <w:r>
        <w:rPr>
          <w:rFonts w:hint="eastAsia" w:ascii="仿宋" w:hAnsi="仿宋" w:eastAsia="仿宋" w:cs="宋体"/>
          <w:b w:val="0"/>
          <w:color w:val="000000"/>
          <w:kern w:val="2"/>
          <w:sz w:val="24"/>
          <w:szCs w:val="24"/>
          <w:highlight w:val="none"/>
          <w:lang w:val="en-US" w:eastAsia="zh-CN" w:bidi="ar-SA"/>
        </w:rPr>
        <w:t>电话：027-88080660</w:t>
      </w:r>
    </w:p>
    <w:p w14:paraId="744B4239">
      <w:pPr>
        <w:pageBreakBefore w:val="0"/>
        <w:widowControl w:val="0"/>
        <w:kinsoku/>
        <w:overflowPunct/>
        <w:topLinePunct w:val="0"/>
        <w:autoSpaceDE/>
        <w:autoSpaceDN/>
        <w:bidi w:val="0"/>
        <w:spacing w:line="440" w:lineRule="exact"/>
        <w:ind w:firstLine="420"/>
        <w:rPr>
          <w:rFonts w:ascii="仿宋" w:hAnsi="仿宋" w:eastAsia="仿宋" w:cs="宋体"/>
          <w:color w:val="auto"/>
          <w:sz w:val="24"/>
          <w:szCs w:val="24"/>
          <w:highlight w:val="none"/>
        </w:rPr>
      </w:pPr>
    </w:p>
    <w:p w14:paraId="14DCFFE5">
      <w:pPr>
        <w:pageBreakBefore w:val="0"/>
        <w:widowControl w:val="0"/>
        <w:kinsoku/>
        <w:overflowPunct/>
        <w:topLinePunct w:val="0"/>
        <w:autoSpaceDE/>
        <w:autoSpaceDN/>
        <w:bidi w:val="0"/>
        <w:spacing w:line="440" w:lineRule="exact"/>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招标人：</w:t>
      </w:r>
      <w:r>
        <w:rPr>
          <w:rFonts w:hint="eastAsia" w:ascii="仿宋" w:hAnsi="仿宋" w:eastAsia="仿宋" w:cs="宋体"/>
          <w:b w:val="0"/>
          <w:color w:val="000000"/>
          <w:kern w:val="2"/>
          <w:sz w:val="24"/>
          <w:szCs w:val="24"/>
          <w:highlight w:val="none"/>
          <w:lang w:val="en-US" w:eastAsia="zh-CN" w:bidi="ar-SA"/>
        </w:rPr>
        <w:t>中国人民财产保险股份有限公司湖北省分公司</w:t>
      </w:r>
    </w:p>
    <w:p w14:paraId="4391B932">
      <w:pPr>
        <w:pageBreakBefore w:val="0"/>
        <w:widowControl w:val="0"/>
        <w:kinsoku/>
        <w:overflowPunct/>
        <w:topLinePunct w:val="0"/>
        <w:autoSpaceDE/>
        <w:autoSpaceDN/>
        <w:bidi w:val="0"/>
        <w:spacing w:line="440" w:lineRule="exact"/>
        <w:ind w:firstLine="480" w:firstLineChars="200"/>
        <w:jc w:val="right"/>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招标代理机构：湖北引发管理咨询有限公司</w:t>
      </w:r>
    </w:p>
    <w:p w14:paraId="3290EE50">
      <w:pPr>
        <w:spacing w:line="360" w:lineRule="auto"/>
        <w:ind w:firstLine="480" w:firstLineChars="200"/>
        <w:jc w:val="right"/>
        <w:textAlignment w:val="baseline"/>
        <w:rPr>
          <w:rFonts w:hint="eastAsia" w:ascii="仿宋" w:hAnsi="仿宋" w:eastAsia="仿宋" w:cs="宋体"/>
          <w:color w:val="FF0000"/>
          <w:sz w:val="24"/>
          <w:szCs w:val="24"/>
          <w:highlight w:val="none"/>
        </w:rPr>
      </w:pPr>
      <w:r>
        <w:rPr>
          <w:rFonts w:hint="eastAsia" w:ascii="仿宋" w:hAnsi="仿宋" w:eastAsia="仿宋" w:cs="宋体"/>
          <w:color w:val="auto"/>
          <w:sz w:val="24"/>
          <w:szCs w:val="24"/>
          <w:highlight w:val="none"/>
          <w:lang w:val="en-US" w:eastAsia="zh-CN"/>
        </w:rPr>
        <w:t>2026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日</w:t>
      </w:r>
    </w:p>
    <w:p w14:paraId="5332F776">
      <w:pPr>
        <w:pStyle w:val="12"/>
        <w:rPr>
          <w:rFonts w:hint="eastAsia" w:ascii="宋体" w:hAnsi="宋体"/>
          <w:szCs w:val="21"/>
          <w:highlight w:val="none"/>
        </w:rPr>
      </w:pPr>
    </w:p>
    <w:p w14:paraId="53D8BE67">
      <w:pPr>
        <w:pStyle w:val="3"/>
        <w:spacing w:before="0" w:after="0" w:line="480" w:lineRule="auto"/>
        <w:rPr>
          <w:rFonts w:hint="eastAsia" w:ascii="仿宋" w:hAnsi="仿宋" w:cs="宋体"/>
          <w:color w:val="000000"/>
          <w:highlight w:val="none"/>
        </w:rPr>
      </w:pPr>
      <w:r>
        <w:rPr>
          <w:rFonts w:hint="eastAsia" w:ascii="仿宋" w:hAnsi="仿宋" w:cs="宋体"/>
          <w:color w:val="000000"/>
          <w:highlight w:val="none"/>
        </w:rPr>
        <w:br w:type="page"/>
      </w:r>
      <w:bookmarkStart w:id="52" w:name="_Toc10818"/>
      <w:r>
        <w:rPr>
          <w:rFonts w:hint="eastAsia" w:ascii="仿宋" w:hAnsi="仿宋" w:cs="宋体"/>
          <w:color w:val="000000"/>
          <w:highlight w:val="none"/>
        </w:rPr>
        <w:t>第二章 投标人须知</w:t>
      </w:r>
      <w:bookmarkEnd w:id="39"/>
      <w:bookmarkEnd w:id="40"/>
      <w:bookmarkEnd w:id="41"/>
      <w:bookmarkEnd w:id="42"/>
      <w:bookmarkEnd w:id="43"/>
      <w:bookmarkEnd w:id="44"/>
      <w:bookmarkEnd w:id="52"/>
    </w:p>
    <w:p w14:paraId="5A27FB38">
      <w:pPr>
        <w:pStyle w:val="4"/>
        <w:jc w:val="center"/>
        <w:rPr>
          <w:rFonts w:hint="eastAsia" w:ascii="仿宋" w:hAnsi="仿宋" w:cs="宋体"/>
          <w:color w:val="000000"/>
          <w:szCs w:val="24"/>
          <w:highlight w:val="none"/>
        </w:rPr>
      </w:pPr>
      <w:bookmarkStart w:id="53" w:name="_Toc31194"/>
      <w:bookmarkStart w:id="54" w:name="_Toc10551"/>
      <w:bookmarkStart w:id="55" w:name="_Toc26332"/>
      <w:bookmarkStart w:id="56" w:name="_Toc750"/>
      <w:bookmarkStart w:id="57" w:name="_Toc65682923"/>
      <w:bookmarkStart w:id="58" w:name="_Toc109124232"/>
      <w:bookmarkStart w:id="59" w:name="_Toc10064"/>
      <w:r>
        <w:rPr>
          <w:rFonts w:hint="eastAsia" w:ascii="仿宋" w:hAnsi="仿宋" w:cs="宋体"/>
          <w:color w:val="000000"/>
          <w:szCs w:val="24"/>
          <w:highlight w:val="none"/>
        </w:rPr>
        <w:t>投标人须知前附表</w:t>
      </w:r>
      <w:bookmarkEnd w:id="53"/>
      <w:bookmarkEnd w:id="54"/>
      <w:bookmarkEnd w:id="55"/>
      <w:bookmarkEnd w:id="56"/>
      <w:bookmarkEnd w:id="57"/>
      <w:bookmarkEnd w:id="58"/>
      <w:bookmarkEnd w:id="59"/>
    </w:p>
    <w:p w14:paraId="0956BDF9">
      <w:pPr>
        <w:rPr>
          <w:rFonts w:hint="eastAsia"/>
        </w:rPr>
      </w:pPr>
    </w:p>
    <w:p w14:paraId="4E6204A1">
      <w:pPr>
        <w:spacing w:line="360" w:lineRule="auto"/>
        <w:textAlignment w:val="baseline"/>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本投标人须知前附表是对投标人须知正文的具体补充和修改，如有矛盾，以本前附表为准。</w:t>
      </w:r>
    </w:p>
    <w:tbl>
      <w:tblPr>
        <w:tblStyle w:val="32"/>
        <w:tblW w:w="5119" w:type="pct"/>
        <w:jc w:val="center"/>
        <w:tblLayout w:type="autofit"/>
        <w:tblCellMar>
          <w:top w:w="0" w:type="dxa"/>
          <w:left w:w="108" w:type="dxa"/>
          <w:bottom w:w="0" w:type="dxa"/>
          <w:right w:w="108" w:type="dxa"/>
        </w:tblCellMar>
      </w:tblPr>
      <w:tblGrid>
        <w:gridCol w:w="1264"/>
        <w:gridCol w:w="2432"/>
        <w:gridCol w:w="6393"/>
      </w:tblGrid>
      <w:tr w14:paraId="33800814">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7B50556">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条款号</w:t>
            </w: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C6F5F4B">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条款名称</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CFBA3AA">
            <w:pPr>
              <w:keepNext w:val="0"/>
              <w:keepLines w:val="0"/>
              <w:suppressLineNumbers w:val="0"/>
              <w:spacing w:before="62" w:beforeLines="20" w:beforeAutospacing="0" w:after="62" w:afterLines="20" w:afterAutospacing="0"/>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编列内容</w:t>
            </w:r>
          </w:p>
        </w:tc>
      </w:tr>
      <w:tr w14:paraId="0D65AFB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668E9DF">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EB95C34">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资金来源及比例</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2CCC4E0">
            <w:pPr>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w:t>
            </w:r>
            <w:r>
              <w:rPr>
                <w:rFonts w:hint="eastAsia" w:ascii="仿宋" w:hAnsi="仿宋" w:eastAsia="仿宋" w:cs="宋体"/>
                <w:color w:val="000000"/>
                <w:szCs w:val="21"/>
                <w:highlight w:val="none"/>
              </w:rPr>
              <w:t>招标人或其子公司（含分支机构）自筹（比例100%）</w:t>
            </w:r>
          </w:p>
          <w:p w14:paraId="438A4551">
            <w:pPr>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□使用财政资金</w:t>
            </w:r>
          </w:p>
          <w:p w14:paraId="3833F420">
            <w:pPr>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□银行贷款</w:t>
            </w:r>
          </w:p>
          <w:p w14:paraId="4167FEA2">
            <w:pPr>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□国家融资</w:t>
            </w:r>
          </w:p>
          <w:p w14:paraId="10D990C7">
            <w:pPr>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□其他：</w:t>
            </w:r>
            <w:r>
              <w:rPr>
                <w:rFonts w:hint="eastAsia" w:ascii="仿宋" w:hAnsi="仿宋" w:eastAsia="仿宋" w:cs="宋体"/>
                <w:color w:val="000000"/>
                <w:szCs w:val="21"/>
                <w:highlight w:val="none"/>
                <w:u w:val="single"/>
              </w:rPr>
              <w:t xml:space="preserve">       </w:t>
            </w:r>
          </w:p>
        </w:tc>
      </w:tr>
      <w:tr w14:paraId="32DDBB6A">
        <w:tblPrEx>
          <w:tblCellMar>
            <w:top w:w="0" w:type="dxa"/>
            <w:left w:w="108" w:type="dxa"/>
            <w:bottom w:w="0" w:type="dxa"/>
            <w:right w:w="108" w:type="dxa"/>
          </w:tblCellMar>
        </w:tblPrEx>
        <w:trPr>
          <w:trHeight w:val="274"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52DBE0D4">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555B8294">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招标方式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40D8FB4">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■公开招标</w:t>
            </w:r>
          </w:p>
          <w:p w14:paraId="3351919E">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□邀请招标</w:t>
            </w:r>
          </w:p>
        </w:tc>
      </w:tr>
      <w:tr w14:paraId="47160B0C">
        <w:tblPrEx>
          <w:tblCellMar>
            <w:top w:w="0" w:type="dxa"/>
            <w:left w:w="108" w:type="dxa"/>
            <w:bottom w:w="0" w:type="dxa"/>
            <w:right w:w="108" w:type="dxa"/>
          </w:tblCellMar>
        </w:tblPrEx>
        <w:trPr>
          <w:trHeight w:val="425"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FA34586">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5DDE884">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招标组织形式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4E664B3D">
            <w:pPr>
              <w:keepNext w:val="0"/>
              <w:keepLines w:val="0"/>
              <w:suppressLineNumbers w:val="0"/>
              <w:spacing w:before="62" w:beforeLines="20" w:beforeAutospacing="0" w:after="62" w:afterLines="20"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□自行招标</w:t>
            </w:r>
          </w:p>
          <w:p w14:paraId="1713C5C8">
            <w:pPr>
              <w:keepNext w:val="0"/>
              <w:keepLines w:val="0"/>
              <w:suppressLineNumbers w:val="0"/>
              <w:spacing w:before="62" w:beforeLines="20" w:beforeAutospacing="0" w:after="62" w:afterLines="20"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 xml:space="preserve">■委托招标代理机构代理招标 </w:t>
            </w:r>
          </w:p>
          <w:p w14:paraId="26D0AA01">
            <w:pPr>
              <w:keepNext w:val="0"/>
              <w:keepLines w:val="0"/>
              <w:suppressLineNumbers w:val="0"/>
              <w:spacing w:before="62" w:beforeLines="20" w:beforeAutospacing="0" w:after="62" w:afterLines="20" w:afterAutospacing="0"/>
              <w:ind w:left="0" w:right="0"/>
              <w:jc w:val="left"/>
              <w:rPr>
                <w:rFonts w:hint="default" w:ascii="仿宋" w:hAnsi="仿宋" w:eastAsia="仿宋" w:cs="宋体"/>
                <w:color w:val="000000"/>
                <w:szCs w:val="21"/>
                <w:highlight w:val="none"/>
                <w:lang w:val="en-US" w:eastAsia="zh-CN"/>
              </w:rPr>
            </w:pPr>
            <w:r>
              <w:rPr>
                <w:rFonts w:hint="eastAsia" w:ascii="仿宋" w:hAnsi="仿宋" w:eastAsia="仿宋" w:cs="宋体"/>
                <w:color w:val="000000"/>
                <w:szCs w:val="21"/>
                <w:highlight w:val="none"/>
              </w:rPr>
              <w:t>招标代理机构名称：</w:t>
            </w:r>
            <w:r>
              <w:rPr>
                <w:rFonts w:hint="eastAsia" w:ascii="仿宋" w:hAnsi="仿宋" w:eastAsia="仿宋" w:cs="宋体"/>
                <w:color w:val="000000"/>
                <w:szCs w:val="21"/>
                <w:highlight w:val="none"/>
                <w:lang w:val="en-US" w:eastAsia="zh-CN"/>
              </w:rPr>
              <w:t>湖北引发管理咨询有限公司</w:t>
            </w:r>
          </w:p>
        </w:tc>
      </w:tr>
      <w:tr w14:paraId="06A973EB">
        <w:tblPrEx>
          <w:tblCellMar>
            <w:top w:w="0" w:type="dxa"/>
            <w:left w:w="108" w:type="dxa"/>
            <w:bottom w:w="0" w:type="dxa"/>
            <w:right w:w="108" w:type="dxa"/>
          </w:tblCellMar>
        </w:tblPrEx>
        <w:trPr>
          <w:trHeight w:val="646"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7723676">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0A3F5EA">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资格审查方式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47BCC283">
            <w:pPr>
              <w:keepNext w:val="0"/>
              <w:keepLines w:val="0"/>
              <w:suppressLineNumbers w:val="0"/>
              <w:spacing w:before="62" w:beforeLines="20" w:beforeAutospacing="0" w:after="62" w:afterLines="20"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□资格预审</w:t>
            </w:r>
          </w:p>
          <w:p w14:paraId="2A6FDB1B">
            <w:pPr>
              <w:keepNext w:val="0"/>
              <w:keepLines w:val="0"/>
              <w:suppressLineNumbers w:val="0"/>
              <w:spacing w:before="62" w:beforeLines="20" w:beforeAutospacing="0" w:after="62" w:afterLines="20"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■资格后审</w:t>
            </w:r>
          </w:p>
        </w:tc>
      </w:tr>
      <w:tr w14:paraId="3C9D04CA">
        <w:tblPrEx>
          <w:tblCellMar>
            <w:top w:w="0" w:type="dxa"/>
            <w:left w:w="108" w:type="dxa"/>
            <w:bottom w:w="0" w:type="dxa"/>
            <w:right w:w="108" w:type="dxa"/>
          </w:tblCellMar>
        </w:tblPrEx>
        <w:trPr>
          <w:trHeight w:val="646"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2959CCB">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99334E0">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kern w:val="0"/>
                <w:szCs w:val="21"/>
                <w:highlight w:val="none"/>
              </w:rPr>
              <w:t>招标文件的组成</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28F70AC8">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本招标文件由以下部分组成：</w:t>
            </w:r>
          </w:p>
          <w:p w14:paraId="2BE84C02">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第一章  招标公告</w:t>
            </w:r>
          </w:p>
          <w:p w14:paraId="4DAADA3A">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第二章  投标人须知</w:t>
            </w:r>
          </w:p>
          <w:p w14:paraId="0676639C">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第三章  评标办法</w:t>
            </w:r>
          </w:p>
          <w:p w14:paraId="112B62CA">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第四章  合同条款</w:t>
            </w:r>
          </w:p>
          <w:p w14:paraId="36F441E4">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第五章  技术规范书</w:t>
            </w:r>
          </w:p>
          <w:p w14:paraId="139CBB10">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kern w:val="0"/>
                <w:sz w:val="21"/>
                <w:szCs w:val="21"/>
                <w:highlight w:val="none"/>
              </w:rPr>
              <w:t>第六章  投标文件格式</w:t>
            </w:r>
          </w:p>
        </w:tc>
      </w:tr>
      <w:tr w14:paraId="027E377D">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DD2FB91">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DE97652">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★实质性要求的标识</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59B7A51">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u w:val="single"/>
              </w:rPr>
              <w:t>招标文件中标识“★”条款、注明“投标将被否决”等的条款</w:t>
            </w:r>
            <w:r>
              <w:rPr>
                <w:rFonts w:hint="eastAsia" w:ascii="仿宋" w:hAnsi="仿宋" w:eastAsia="仿宋" w:cs="宋体"/>
                <w:color w:val="000000"/>
                <w:sz w:val="21"/>
                <w:szCs w:val="21"/>
                <w:highlight w:val="none"/>
              </w:rPr>
              <w:t>，均为实质性条款，</w:t>
            </w:r>
            <w:r>
              <w:rPr>
                <w:rFonts w:hint="eastAsia" w:ascii="仿宋" w:hAnsi="仿宋" w:eastAsia="仿宋" w:cs="宋体"/>
                <w:b/>
                <w:color w:val="000000"/>
                <w:sz w:val="21"/>
                <w:szCs w:val="21"/>
                <w:highlight w:val="none"/>
              </w:rPr>
              <w:t>不满足任意一项实质性条款的投标将被否决。</w:t>
            </w:r>
          </w:p>
        </w:tc>
      </w:tr>
      <w:tr w14:paraId="58499077">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670CEAC">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4BBC856A">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踏勘现场</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74BFAF09">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■不组织</w:t>
            </w:r>
          </w:p>
          <w:p w14:paraId="26AB39F7">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 xml:space="preserve">□组织，踏勘现场时间、地点：       </w:t>
            </w:r>
          </w:p>
        </w:tc>
      </w:tr>
      <w:tr w14:paraId="2191BF8B">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594DFCF">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8895023">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投标预备会</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9F2EE20">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■不召开</w:t>
            </w:r>
          </w:p>
          <w:p w14:paraId="4DF8CE57">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sym w:font="Wingdings 2" w:char="00A3"/>
            </w:r>
            <w:r>
              <w:rPr>
                <w:rFonts w:hint="eastAsia" w:ascii="仿宋" w:hAnsi="仿宋" w:eastAsia="仿宋" w:cs="宋体"/>
                <w:color w:val="000000"/>
                <w:kern w:val="0"/>
                <w:szCs w:val="21"/>
                <w:highlight w:val="none"/>
              </w:rPr>
              <w:t xml:space="preserve">召开，召开投标预备会的时间、地点：                              </w:t>
            </w:r>
          </w:p>
        </w:tc>
      </w:tr>
      <w:tr w14:paraId="3E041893">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50B35F04">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DE94F90">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投标人提出澄清的</w:t>
            </w:r>
            <w:r>
              <w:rPr>
                <w:rFonts w:hint="eastAsia" w:ascii="仿宋" w:hAnsi="仿宋" w:eastAsia="仿宋" w:cs="宋体"/>
                <w:color w:val="000000"/>
                <w:szCs w:val="21"/>
                <w:highlight w:val="none"/>
              </w:rPr>
              <w:br w:type="textWrapping"/>
            </w:r>
            <w:r>
              <w:rPr>
                <w:rFonts w:hint="eastAsia" w:ascii="仿宋" w:hAnsi="仿宋" w:eastAsia="仿宋" w:cs="宋体"/>
                <w:color w:val="000000"/>
                <w:szCs w:val="21"/>
                <w:highlight w:val="none"/>
              </w:rPr>
              <w:t>截止时间和方式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69FABE00">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截止时间：</w:t>
            </w:r>
            <w:r>
              <w:rPr>
                <w:rFonts w:hint="eastAsia" w:ascii="仿宋" w:hAnsi="仿宋" w:eastAsia="仿宋" w:cs="宋体"/>
                <w:color w:val="000000"/>
                <w:kern w:val="0"/>
                <w:szCs w:val="21"/>
                <w:highlight w:val="none"/>
                <w:lang w:val="en-US" w:eastAsia="zh-CN"/>
              </w:rPr>
              <w:t>2026</w:t>
            </w:r>
            <w:r>
              <w:rPr>
                <w:rFonts w:hint="eastAsia" w:ascii="仿宋" w:hAnsi="仿宋" w:eastAsia="仿宋" w:cs="宋体"/>
                <w:color w:val="000000"/>
                <w:kern w:val="0"/>
                <w:szCs w:val="21"/>
                <w:highlight w:val="none"/>
              </w:rPr>
              <w:t>年</w:t>
            </w:r>
            <w:r>
              <w:rPr>
                <w:rFonts w:hint="eastAsia" w:ascii="仿宋" w:hAnsi="仿宋" w:eastAsia="仿宋" w:cs="宋体"/>
                <w:color w:val="000000"/>
                <w:kern w:val="0"/>
                <w:szCs w:val="21"/>
                <w:highlight w:val="none"/>
                <w:lang w:val="en-US" w:eastAsia="zh-CN"/>
              </w:rPr>
              <w:t>5</w:t>
            </w:r>
            <w:r>
              <w:rPr>
                <w:rFonts w:hint="eastAsia" w:ascii="仿宋" w:hAnsi="仿宋" w:eastAsia="仿宋" w:cs="宋体"/>
                <w:color w:val="000000"/>
                <w:kern w:val="0"/>
                <w:szCs w:val="21"/>
                <w:highlight w:val="none"/>
              </w:rPr>
              <w:t>月</w:t>
            </w:r>
            <w:r>
              <w:rPr>
                <w:rFonts w:hint="eastAsia" w:ascii="仿宋" w:hAnsi="仿宋" w:eastAsia="仿宋" w:cs="宋体"/>
                <w:color w:val="000000"/>
                <w:kern w:val="0"/>
                <w:szCs w:val="21"/>
                <w:highlight w:val="none"/>
                <w:lang w:val="en-US" w:eastAsia="zh-CN"/>
              </w:rPr>
              <w:t>14</w:t>
            </w:r>
            <w:r>
              <w:rPr>
                <w:rFonts w:hint="eastAsia" w:ascii="仿宋" w:hAnsi="仿宋" w:eastAsia="仿宋" w:cs="宋体"/>
                <w:color w:val="000000"/>
                <w:kern w:val="0"/>
                <w:szCs w:val="21"/>
                <w:highlight w:val="none"/>
              </w:rPr>
              <w:t xml:space="preserve">日 </w:t>
            </w:r>
            <w:r>
              <w:rPr>
                <w:rFonts w:hint="eastAsia" w:ascii="仿宋" w:hAnsi="仿宋" w:eastAsia="仿宋" w:cs="宋体"/>
                <w:color w:val="000000"/>
                <w:kern w:val="0"/>
                <w:szCs w:val="21"/>
                <w:highlight w:val="none"/>
                <w:lang w:val="en-US" w:eastAsia="zh-CN"/>
              </w:rPr>
              <w:t>9</w:t>
            </w:r>
            <w:r>
              <w:rPr>
                <w:rFonts w:hint="eastAsia" w:ascii="仿宋" w:hAnsi="仿宋" w:eastAsia="仿宋" w:cs="宋体"/>
                <w:color w:val="000000"/>
                <w:kern w:val="0"/>
                <w:szCs w:val="21"/>
                <w:highlight w:val="none"/>
              </w:rPr>
              <w:t>时</w:t>
            </w:r>
            <w:r>
              <w:rPr>
                <w:rFonts w:hint="eastAsia" w:ascii="仿宋" w:hAnsi="仿宋" w:eastAsia="仿宋" w:cs="宋体"/>
                <w:color w:val="000000"/>
                <w:kern w:val="0"/>
                <w:szCs w:val="21"/>
                <w:highlight w:val="none"/>
                <w:lang w:val="en-US" w:eastAsia="zh-CN"/>
              </w:rPr>
              <w:t>00</w:t>
            </w:r>
            <w:r>
              <w:rPr>
                <w:rFonts w:hint="eastAsia" w:ascii="仿宋" w:hAnsi="仿宋" w:eastAsia="仿宋" w:cs="宋体"/>
                <w:color w:val="000000"/>
                <w:kern w:val="0"/>
                <w:szCs w:val="21"/>
                <w:highlight w:val="none"/>
              </w:rPr>
              <w:t>分</w:t>
            </w:r>
          </w:p>
          <w:p w14:paraId="500DE449">
            <w:pPr>
              <w:keepNext w:val="0"/>
              <w:keepLines w:val="0"/>
              <w:widowControl/>
              <w:suppressLineNumbers w:val="0"/>
              <w:topLinePunct/>
              <w:spacing w:before="0" w:beforeAutospacing="0" w:after="0" w:afterAutospacing="0" w:line="360" w:lineRule="auto"/>
              <w:ind w:left="0" w:right="0"/>
              <w:rPr>
                <w:rFonts w:hint="default" w:ascii="仿宋" w:hAnsi="仿宋" w:eastAsia="仿宋" w:cs="宋体"/>
                <w:color w:val="000000"/>
                <w:kern w:val="0"/>
                <w:szCs w:val="21"/>
                <w:highlight w:val="none"/>
                <w:lang w:val="en-US" w:eastAsia="zh-CN"/>
              </w:rPr>
            </w:pPr>
            <w:r>
              <w:rPr>
                <w:rFonts w:hint="eastAsia" w:ascii="仿宋" w:hAnsi="仿宋" w:eastAsia="仿宋" w:cs="宋体"/>
                <w:color w:val="000000"/>
                <w:kern w:val="0"/>
                <w:szCs w:val="21"/>
                <w:highlight w:val="none"/>
              </w:rPr>
              <w:t>提出澄清的方式：</w:t>
            </w:r>
            <w:r>
              <w:rPr>
                <w:rFonts w:hint="eastAsia" w:ascii="仿宋" w:hAnsi="仿宋" w:eastAsia="仿宋" w:cs="宋体"/>
                <w:color w:val="000000"/>
                <w:kern w:val="0"/>
                <w:szCs w:val="21"/>
                <w:highlight w:val="none"/>
                <w:lang w:val="en-US" w:eastAsia="zh-CN"/>
              </w:rPr>
              <w:t>现场递交</w:t>
            </w:r>
          </w:p>
        </w:tc>
      </w:tr>
      <w:tr w14:paraId="109FE64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22FE5F2">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14A6D1D">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投标人确认收到澄清或修改的截止时间和方式</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F092C1B">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b w:val="0"/>
                <w:bCs/>
                <w:color w:val="000000"/>
                <w:sz w:val="21"/>
                <w:szCs w:val="21"/>
                <w:highlight w:val="none"/>
                <w:u w:val="single"/>
                <w:lang w:eastAsia="zh-CN"/>
              </w:rPr>
            </w:pPr>
            <w:r>
              <w:rPr>
                <w:rFonts w:hint="eastAsia" w:ascii="仿宋" w:hAnsi="仿宋" w:eastAsia="仿宋" w:cs="宋体"/>
                <w:b/>
                <w:color w:val="000000"/>
                <w:sz w:val="21"/>
                <w:szCs w:val="21"/>
                <w:highlight w:val="none"/>
              </w:rPr>
              <w:t>确认收到澄清或修改的时间：</w:t>
            </w:r>
            <w:r>
              <w:rPr>
                <w:rFonts w:hint="eastAsia" w:ascii="仿宋" w:hAnsi="仿宋" w:eastAsia="仿宋" w:cs="宋体"/>
                <w:b w:val="0"/>
                <w:bCs/>
                <w:color w:val="000000"/>
                <w:sz w:val="21"/>
                <w:szCs w:val="21"/>
                <w:highlight w:val="none"/>
                <w:u w:val="single"/>
              </w:rPr>
              <w:t>收到招标文件澄清或修改通知后</w:t>
            </w:r>
            <w:r>
              <w:rPr>
                <w:rFonts w:hint="eastAsia" w:ascii="仿宋" w:hAnsi="仿宋" w:eastAsia="仿宋" w:cs="宋体"/>
                <w:b w:val="0"/>
                <w:bCs/>
                <w:color w:val="000000"/>
                <w:sz w:val="21"/>
                <w:szCs w:val="21"/>
                <w:highlight w:val="none"/>
                <w:u w:val="single"/>
                <w:lang w:val="en-US" w:eastAsia="zh-CN"/>
              </w:rPr>
              <w:t>1</w:t>
            </w:r>
            <w:r>
              <w:rPr>
                <w:rFonts w:hint="eastAsia" w:ascii="仿宋" w:hAnsi="仿宋" w:eastAsia="仿宋" w:cs="宋体"/>
                <w:b w:val="0"/>
                <w:bCs/>
                <w:color w:val="000000"/>
                <w:sz w:val="21"/>
                <w:szCs w:val="21"/>
                <w:highlight w:val="none"/>
                <w:u w:val="single"/>
              </w:rPr>
              <w:t>个工作日内</w:t>
            </w:r>
            <w:r>
              <w:rPr>
                <w:rFonts w:hint="eastAsia" w:ascii="仿宋" w:hAnsi="仿宋" w:eastAsia="仿宋" w:cs="宋体"/>
                <w:b w:val="0"/>
                <w:bCs/>
                <w:color w:val="000000"/>
                <w:sz w:val="21"/>
                <w:szCs w:val="21"/>
                <w:highlight w:val="none"/>
                <w:u w:val="single"/>
                <w:lang w:eastAsia="zh-CN"/>
              </w:rPr>
              <w:t>。</w:t>
            </w:r>
          </w:p>
          <w:p w14:paraId="337B1585">
            <w:pPr>
              <w:pStyle w:val="117"/>
              <w:keepNext w:val="0"/>
              <w:keepLines w:val="0"/>
              <w:suppressLineNumbers w:val="0"/>
              <w:topLinePunct/>
              <w:spacing w:before="62" w:beforeLines="20" w:beforeAutospacing="0" w:after="62" w:afterLines="20" w:afterAutospacing="0"/>
              <w:ind w:left="0" w:right="0"/>
              <w:rPr>
                <w:rFonts w:hint="default" w:ascii="仿宋" w:hAnsi="仿宋" w:eastAsia="仿宋" w:cs="宋体"/>
                <w:color w:val="000000"/>
                <w:sz w:val="21"/>
                <w:szCs w:val="21"/>
                <w:highlight w:val="none"/>
                <w:u w:val="single"/>
                <w:lang w:val="en-US" w:eastAsia="zh-Hans"/>
              </w:rPr>
            </w:pPr>
            <w:r>
              <w:rPr>
                <w:rFonts w:hint="eastAsia" w:ascii="仿宋" w:hAnsi="仿宋" w:eastAsia="仿宋" w:cs="宋体"/>
                <w:b w:val="0"/>
                <w:bCs/>
                <w:color w:val="000000"/>
                <w:sz w:val="21"/>
                <w:szCs w:val="21"/>
                <w:highlight w:val="none"/>
              </w:rPr>
              <w:t>确认收到澄清或修改文件的方式：</w:t>
            </w:r>
            <w:r>
              <w:rPr>
                <w:rFonts w:hint="eastAsia" w:ascii="仿宋" w:hAnsi="仿宋" w:eastAsia="仿宋" w:cs="宋体"/>
                <w:b w:val="0"/>
                <w:bCs/>
                <w:color w:val="000000"/>
                <w:sz w:val="21"/>
                <w:szCs w:val="21"/>
                <w:highlight w:val="none"/>
                <w:u w:val="single"/>
                <w:lang w:val="en-US" w:eastAsia="zh-CN"/>
              </w:rPr>
              <w:t>现场递交确认函</w:t>
            </w:r>
          </w:p>
        </w:tc>
      </w:tr>
      <w:tr w14:paraId="77A0FC0B">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1BD3953">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6EC03C48">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投标文件的组成</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BC9A06B">
            <w:pPr>
              <w:pStyle w:val="118"/>
              <w:keepNext w:val="0"/>
              <w:keepLines w:val="0"/>
              <w:suppressLineNumbers w:val="0"/>
              <w:spacing w:before="0" w:beforeAutospacing="0" w:after="0" w:afterAutospacing="0"/>
              <w:ind w:left="0" w:right="0"/>
              <w:rPr>
                <w:rFonts w:hint="eastAsia" w:ascii="仿宋" w:hAnsi="仿宋" w:eastAsia="仿宋" w:cs="宋体"/>
                <w:b/>
                <w:bCs/>
                <w:kern w:val="2"/>
                <w:sz w:val="21"/>
                <w:szCs w:val="21"/>
                <w:highlight w:val="none"/>
              </w:rPr>
            </w:pPr>
            <w:r>
              <w:rPr>
                <w:rFonts w:hint="eastAsia" w:ascii="仿宋" w:hAnsi="仿宋" w:eastAsia="仿宋" w:cs="宋体"/>
                <w:b/>
                <w:bCs/>
                <w:kern w:val="2"/>
                <w:sz w:val="21"/>
                <w:szCs w:val="21"/>
                <w:highlight w:val="none"/>
              </w:rPr>
              <w:t>投标文件按照以下架构分成三册并顺序编制，如同时参与多个标包的投标，需独立编制各个标包的投标文件（本条款十分重要，请遵照办理）。</w:t>
            </w:r>
          </w:p>
          <w:p w14:paraId="03EE60B4">
            <w:pPr>
              <w:pStyle w:val="118"/>
              <w:keepNext w:val="0"/>
              <w:keepLines w:val="0"/>
              <w:suppressLineNumbers w:val="0"/>
              <w:spacing w:before="0" w:beforeAutospacing="0" w:after="0" w:afterAutospacing="0"/>
              <w:ind w:left="0" w:right="0"/>
              <w:rPr>
                <w:rFonts w:hint="default" w:ascii="仿宋" w:hAnsi="仿宋" w:eastAsia="仿宋" w:cs="宋体"/>
                <w:b/>
                <w:color w:val="000000"/>
                <w:szCs w:val="21"/>
                <w:highlight w:val="none"/>
              </w:rPr>
            </w:pPr>
            <w:r>
              <w:rPr>
                <w:rFonts w:hint="eastAsia" w:ascii="仿宋" w:hAnsi="仿宋" w:eastAsia="仿宋" w:cs="宋体"/>
                <w:b/>
                <w:bCs/>
                <w:kern w:val="2"/>
                <w:sz w:val="21"/>
                <w:szCs w:val="21"/>
                <w:highlight w:val="none"/>
              </w:rPr>
              <w:t>★所有报价文件务必单独成册并密封，不得与商务册、技术册文件合并装订，并且商务册、技术册文件不得有任何明示、暗示投标报价的内容，否则投标将被否决。</w:t>
            </w:r>
          </w:p>
          <w:p w14:paraId="0B8CEA8E">
            <w:pPr>
              <w:pStyle w:val="118"/>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 w:val="21"/>
                <w:szCs w:val="21"/>
                <w:highlight w:val="none"/>
              </w:rPr>
            </w:pPr>
            <w:r>
              <w:rPr>
                <w:rFonts w:hint="eastAsia" w:ascii="仿宋" w:hAnsi="仿宋" w:eastAsia="仿宋" w:cs="宋体"/>
                <w:b/>
                <w:color w:val="000000"/>
                <w:sz w:val="21"/>
                <w:szCs w:val="21"/>
                <w:highlight w:val="none"/>
              </w:rPr>
              <w:t>一、商务文件</w:t>
            </w:r>
          </w:p>
          <w:p w14:paraId="43C02078">
            <w:pPr>
              <w:pStyle w:val="118"/>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 w:val="21"/>
                <w:szCs w:val="21"/>
                <w:highlight w:val="none"/>
              </w:rPr>
            </w:pPr>
            <w:r>
              <w:rPr>
                <w:rFonts w:hint="eastAsia" w:ascii="仿宋" w:hAnsi="仿宋" w:eastAsia="仿宋" w:cs="宋体"/>
                <w:b/>
                <w:color w:val="000000"/>
                <w:sz w:val="21"/>
                <w:szCs w:val="21"/>
                <w:highlight w:val="none"/>
              </w:rPr>
              <w:t>初步评审索引表</w:t>
            </w:r>
          </w:p>
          <w:p w14:paraId="45754797">
            <w:pPr>
              <w:pStyle w:val="118"/>
              <w:keepNext w:val="0"/>
              <w:keepLines w:val="0"/>
              <w:suppressLineNumbers w:val="0"/>
              <w:spacing w:before="62" w:beforeLines="20" w:beforeAutospacing="0" w:after="62" w:afterLines="20" w:afterAutospacing="0"/>
              <w:ind w:left="0" w:right="0"/>
              <w:rPr>
                <w:rFonts w:hint="default" w:ascii="仿宋" w:hAnsi="仿宋" w:eastAsia="仿宋" w:cs="宋体"/>
                <w:b/>
                <w:color w:val="000000"/>
                <w:sz w:val="21"/>
                <w:szCs w:val="21"/>
                <w:highlight w:val="none"/>
              </w:rPr>
            </w:pPr>
            <w:r>
              <w:rPr>
                <w:rFonts w:hint="eastAsia" w:ascii="仿宋" w:hAnsi="仿宋" w:eastAsia="仿宋" w:cs="宋体"/>
                <w:b/>
                <w:color w:val="000000"/>
                <w:sz w:val="21"/>
                <w:szCs w:val="21"/>
                <w:highlight w:val="none"/>
              </w:rPr>
              <w:t>详细评审索引表</w:t>
            </w:r>
          </w:p>
          <w:p w14:paraId="15A3EC39">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（一）投标函</w:t>
            </w:r>
          </w:p>
          <w:p w14:paraId="4CC68F04">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（二）法定代表人（负责人）身份证明</w:t>
            </w:r>
          </w:p>
          <w:p w14:paraId="45B05372">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（三）法定代表人（负责人）授权委托书</w:t>
            </w:r>
          </w:p>
          <w:p w14:paraId="0BB69AA0">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（四）资格证明文件</w:t>
            </w:r>
          </w:p>
          <w:p w14:paraId="6D431BBD">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（五）投标人须知应答偏离表</w:t>
            </w:r>
          </w:p>
          <w:p w14:paraId="21CF7B6D">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（六）合同条款应答偏离表</w:t>
            </w:r>
          </w:p>
          <w:p w14:paraId="17506803">
            <w:pPr>
              <w:pStyle w:val="118"/>
              <w:keepNext w:val="0"/>
              <w:keepLines w:val="0"/>
              <w:suppressLineNumbers w:val="0"/>
              <w:spacing w:before="62" w:beforeLines="20" w:beforeAutospacing="0" w:after="62" w:afterLines="20" w:afterAutospacing="0"/>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（七）供应商</w:t>
            </w:r>
            <w:r>
              <w:rPr>
                <w:rFonts w:hint="default" w:ascii="仿宋" w:hAnsi="仿宋" w:eastAsia="仿宋" w:cs="仿宋"/>
                <w:color w:val="000000"/>
                <w:sz w:val="21"/>
                <w:szCs w:val="21"/>
                <w:highlight w:val="none"/>
              </w:rPr>
              <w:t>行为准则</w:t>
            </w:r>
            <w:r>
              <w:rPr>
                <w:rFonts w:hint="eastAsia" w:ascii="仿宋" w:hAnsi="仿宋" w:eastAsia="仿宋" w:cs="仿宋"/>
                <w:color w:val="000000"/>
                <w:sz w:val="21"/>
                <w:szCs w:val="21"/>
                <w:highlight w:val="none"/>
              </w:rPr>
              <w:t>承诺书</w:t>
            </w:r>
          </w:p>
          <w:p w14:paraId="2DC2ACB3">
            <w:pPr>
              <w:pStyle w:val="118"/>
              <w:keepNext w:val="0"/>
              <w:keepLines w:val="0"/>
              <w:suppressLineNumbers w:val="0"/>
              <w:spacing w:before="62" w:beforeLines="20" w:beforeAutospacing="0" w:after="62" w:afterLines="20" w:afterAutospacing="0"/>
              <w:ind w:left="0" w:right="0"/>
              <w:rPr>
                <w:rFonts w:hint="eastAsia" w:ascii="仿宋" w:hAnsi="仿宋" w:eastAsia="仿宋" w:cs="仿宋"/>
                <w:color w:val="000000"/>
                <w:sz w:val="21"/>
                <w:szCs w:val="21"/>
                <w:highlight w:val="none"/>
              </w:rPr>
            </w:pPr>
            <w:r>
              <w:rPr>
                <w:rFonts w:hint="eastAsia" w:ascii="仿宋" w:hAnsi="仿宋" w:eastAsia="仿宋" w:cs="宋体"/>
                <w:color w:val="000000"/>
                <w:sz w:val="21"/>
                <w:szCs w:val="21"/>
                <w:highlight w:val="none"/>
              </w:rPr>
              <w:t>（八）供应商廉洁诚信承诺书</w:t>
            </w:r>
          </w:p>
          <w:p w14:paraId="1056BE85">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仿宋"/>
                <w:color w:val="000000"/>
                <w:sz w:val="21"/>
                <w:szCs w:val="21"/>
                <w:highlight w:val="none"/>
              </w:rPr>
              <w:t>（九）其他材料</w:t>
            </w:r>
            <w:r>
              <w:rPr>
                <w:rFonts w:hint="eastAsia" w:ascii="仿宋" w:hAnsi="仿宋" w:eastAsia="仿宋" w:cs="宋体"/>
                <w:color w:val="000000"/>
                <w:sz w:val="21"/>
                <w:szCs w:val="21"/>
                <w:highlight w:val="none"/>
              </w:rPr>
              <w:t>（如有）</w:t>
            </w:r>
          </w:p>
          <w:p w14:paraId="609E69E0">
            <w:pPr>
              <w:pStyle w:val="118"/>
              <w:keepNext w:val="0"/>
              <w:keepLines w:val="0"/>
              <w:suppressLineNumbers w:val="0"/>
              <w:spacing w:before="62" w:beforeLines="20" w:beforeAutospacing="0" w:after="62" w:afterLines="20" w:afterAutospacing="0"/>
              <w:ind w:left="0" w:right="0"/>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二、技术文件</w:t>
            </w:r>
          </w:p>
          <w:p w14:paraId="2E82956D">
            <w:pPr>
              <w:pStyle w:val="118"/>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 w:val="21"/>
                <w:szCs w:val="21"/>
                <w:highlight w:val="none"/>
              </w:rPr>
            </w:pPr>
            <w:r>
              <w:rPr>
                <w:rFonts w:hint="eastAsia" w:ascii="仿宋" w:hAnsi="仿宋" w:eastAsia="仿宋" w:cs="宋体"/>
                <w:b/>
                <w:color w:val="000000"/>
                <w:sz w:val="21"/>
                <w:szCs w:val="21"/>
                <w:highlight w:val="none"/>
              </w:rPr>
              <w:t>详细评审索引表</w:t>
            </w:r>
          </w:p>
          <w:p w14:paraId="5F9C0E77">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（一）技术规范书应答偏离表</w:t>
            </w:r>
          </w:p>
          <w:p w14:paraId="610585FB">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（二）技术方案</w:t>
            </w:r>
          </w:p>
          <w:p w14:paraId="01E8184B">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（三）其他材料（如有）</w:t>
            </w:r>
          </w:p>
          <w:p w14:paraId="52E215C9">
            <w:pPr>
              <w:pStyle w:val="118"/>
              <w:keepNext w:val="0"/>
              <w:keepLines w:val="0"/>
              <w:suppressLineNumbers w:val="0"/>
              <w:spacing w:before="62" w:beforeLines="20" w:beforeAutospacing="0" w:after="62" w:afterLines="20" w:afterAutospacing="0"/>
              <w:ind w:left="0" w:right="0"/>
              <w:rPr>
                <w:rFonts w:hint="eastAsia" w:ascii="仿宋" w:hAnsi="仿宋" w:eastAsia="仿宋" w:cs="宋体"/>
                <w:b/>
                <w:bCs/>
                <w:color w:val="000000"/>
                <w:szCs w:val="21"/>
                <w:highlight w:val="none"/>
              </w:rPr>
            </w:pPr>
            <w:r>
              <w:rPr>
                <w:rFonts w:hint="eastAsia" w:ascii="仿宋" w:hAnsi="仿宋" w:eastAsia="仿宋" w:cs="宋体"/>
                <w:b/>
                <w:bCs/>
                <w:color w:val="000000"/>
                <w:szCs w:val="21"/>
                <w:highlight w:val="none"/>
              </w:rPr>
              <w:t>三、报价文件</w:t>
            </w:r>
          </w:p>
          <w:p w14:paraId="39D05E76">
            <w:pPr>
              <w:pStyle w:val="118"/>
              <w:keepNext w:val="0"/>
              <w:keepLines w:val="0"/>
              <w:suppressLineNumbers w:val="0"/>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（一）投标一览表</w:t>
            </w:r>
          </w:p>
          <w:p w14:paraId="068F0607">
            <w:pPr>
              <w:pStyle w:val="118"/>
              <w:keepNext w:val="0"/>
              <w:keepLines w:val="0"/>
              <w:suppressLineNumbers w:val="0"/>
              <w:spacing w:before="62" w:beforeLines="20" w:beforeAutospacing="0" w:after="62" w:afterLines="20" w:afterAutospacing="0"/>
              <w:ind w:left="0" w:right="0"/>
              <w:rPr>
                <w:rFonts w:hint="eastAsia" w:cs="Times New Roman"/>
                <w:szCs w:val="20"/>
                <w:highlight w:val="none"/>
              </w:rPr>
            </w:pPr>
            <w:r>
              <w:rPr>
                <w:rFonts w:hint="eastAsia" w:ascii="仿宋" w:hAnsi="仿宋" w:eastAsia="仿宋" w:cs="宋体"/>
                <w:color w:val="000000"/>
                <w:sz w:val="21"/>
                <w:szCs w:val="21"/>
                <w:highlight w:val="none"/>
              </w:rPr>
              <w:t>（二）分项报价表（如有）</w:t>
            </w:r>
          </w:p>
        </w:tc>
      </w:tr>
      <w:tr w14:paraId="34DF27E7">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B251688">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2BDBCBED">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投标文件应答和编写</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0079BA8">
            <w:pPr>
              <w:keepNext w:val="0"/>
              <w:keepLines w:val="0"/>
              <w:suppressLineNumbers w:val="0"/>
              <w:tabs>
                <w:tab w:val="left" w:pos="318"/>
              </w:tabs>
              <w:spacing w:before="62" w:beforeLines="20" w:beforeAutospacing="0" w:after="62" w:afterLines="20" w:afterAutospacing="0"/>
              <w:ind w:left="0" w:right="0"/>
              <w:rPr>
                <w:rFonts w:hint="eastAsia" w:ascii="仿宋" w:hAnsi="仿宋" w:eastAsia="仿宋" w:cs="仿宋"/>
                <w:szCs w:val="20"/>
                <w:highlight w:val="none"/>
              </w:rPr>
            </w:pPr>
            <w:r>
              <w:rPr>
                <w:rFonts w:hint="eastAsia" w:ascii="仿宋" w:hAnsi="仿宋" w:eastAsia="仿宋" w:cs="仿宋"/>
                <w:szCs w:val="20"/>
                <w:highlight w:val="none"/>
              </w:rPr>
              <w:t>（1）投标人应当逐条对照第二章投标人须知、第四章合同条款进行偏离表应答，只能使用“满足”和“不满足”进行应答。如有“不满足”项，在偏离表中标明条款序号，应答“不满足”并加以详细的解释说明；</w:t>
            </w:r>
            <w:r>
              <w:rPr>
                <w:rFonts w:hint="eastAsia" w:ascii="仿宋" w:hAnsi="仿宋" w:eastAsia="仿宋" w:cs="仿宋"/>
                <w:b/>
                <w:bCs/>
                <w:szCs w:val="20"/>
                <w:highlight w:val="none"/>
              </w:rPr>
              <w:t>如全部满足，在偏离表中应答“全部满足”即可</w:t>
            </w:r>
            <w:r>
              <w:rPr>
                <w:rFonts w:hint="eastAsia" w:ascii="仿宋" w:hAnsi="仿宋" w:eastAsia="仿宋" w:cs="仿宋"/>
                <w:szCs w:val="20"/>
                <w:highlight w:val="none"/>
              </w:rPr>
              <w:t>，不应再附加任何说明（招标文件中要求进行解释或提出建议的除外）。</w:t>
            </w:r>
          </w:p>
          <w:p w14:paraId="206F8B95">
            <w:pPr>
              <w:keepNext w:val="0"/>
              <w:keepLines w:val="0"/>
              <w:suppressLineNumbers w:val="0"/>
              <w:tabs>
                <w:tab w:val="left" w:pos="318"/>
              </w:tabs>
              <w:spacing w:before="62" w:beforeLines="20" w:beforeAutospacing="0" w:after="62" w:afterLines="20" w:afterAutospacing="0"/>
              <w:ind w:left="0" w:right="0"/>
              <w:rPr>
                <w:rFonts w:hint="eastAsia" w:ascii="仿宋" w:hAnsi="仿宋" w:eastAsia="仿宋" w:cs="仿宋"/>
                <w:szCs w:val="20"/>
                <w:highlight w:val="none"/>
              </w:rPr>
            </w:pPr>
            <w:r>
              <w:rPr>
                <w:rFonts w:hint="eastAsia" w:ascii="仿宋" w:hAnsi="仿宋" w:eastAsia="仿宋" w:cs="仿宋"/>
                <w:szCs w:val="20"/>
                <w:highlight w:val="none"/>
              </w:rPr>
              <w:t>（2）投标人应当逐条对照第五章技术规范书进行偏离表应答。只能使用“满足”和“不满足”进行应答，不得使用“明白”、“理解”等词语。投标人认为满足并优于技术规范书要求的条款，应答“满足”并解释说明优于的具体程度；如有“不满足”项，在偏离表中标明条款序号，应答“不满足”并加以详细的解释说明；</w:t>
            </w:r>
            <w:r>
              <w:rPr>
                <w:rFonts w:hint="eastAsia" w:ascii="仿宋" w:hAnsi="仿宋" w:eastAsia="仿宋" w:cs="仿宋"/>
                <w:b/>
                <w:bCs/>
                <w:szCs w:val="20"/>
                <w:highlight w:val="none"/>
              </w:rPr>
              <w:t>如全部满足，在偏离表中应答“全部满足”即可</w:t>
            </w:r>
            <w:r>
              <w:rPr>
                <w:rFonts w:hint="eastAsia" w:ascii="仿宋" w:hAnsi="仿宋" w:eastAsia="仿宋" w:cs="仿宋"/>
                <w:szCs w:val="20"/>
                <w:highlight w:val="none"/>
              </w:rPr>
              <w:t>，不应再附加任何说明（招标文件中要求进行解释或提出建议的除外）。</w:t>
            </w:r>
          </w:p>
          <w:p w14:paraId="590C841D">
            <w:pPr>
              <w:keepNext w:val="0"/>
              <w:keepLines w:val="0"/>
              <w:suppressLineNumbers w:val="0"/>
              <w:autoSpaceDE w:val="0"/>
              <w:autoSpaceDN w:val="0"/>
              <w:spacing w:before="0" w:beforeAutospacing="0" w:after="0" w:afterAutospacing="0" w:line="276" w:lineRule="auto"/>
              <w:ind w:left="0" w:right="0"/>
              <w:rPr>
                <w:rFonts w:hint="eastAsia" w:ascii="Times New Roman" w:hAnsi="Times New Roman" w:cs="Times New Roman"/>
                <w:szCs w:val="20"/>
                <w:highlight w:val="none"/>
              </w:rPr>
            </w:pPr>
            <w:r>
              <w:rPr>
                <w:rFonts w:hint="eastAsia" w:ascii="仿宋" w:hAnsi="仿宋" w:eastAsia="仿宋" w:cs="宋体"/>
                <w:bCs/>
                <w:szCs w:val="21"/>
                <w:highlight w:val="none"/>
              </w:rPr>
              <w:t>（3）</w:t>
            </w:r>
            <w:bookmarkStart w:id="60" w:name="_Hlk173251213"/>
            <w:r>
              <w:rPr>
                <w:rFonts w:hint="eastAsia" w:ascii="仿宋" w:hAnsi="仿宋" w:eastAsia="仿宋" w:cs="宋体"/>
                <w:bCs/>
                <w:szCs w:val="21"/>
                <w:highlight w:val="none"/>
              </w:rPr>
              <w:t>对于招标文件中提及的原件或复印件要求，照片件、扫描件、影印件、截图件等与其具有同等效力（招标文件有特殊要求的除外）。</w:t>
            </w:r>
            <w:bookmarkEnd w:id="60"/>
          </w:p>
        </w:tc>
      </w:tr>
      <w:tr w14:paraId="7B3236EF">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268557C">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8A105C5">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★投标文件的盖章或签字要求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FBE3EC8">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（1）《法定代表人（负责人）身份证明》的落款处应</w:t>
            </w:r>
            <w:r>
              <w:rPr>
                <w:rFonts w:hint="eastAsia" w:ascii="仿宋" w:hAnsi="仿宋" w:eastAsia="仿宋" w:cs="宋体"/>
                <w:sz w:val="21"/>
                <w:szCs w:val="21"/>
                <w:highlight w:val="none"/>
              </w:rPr>
              <w:t>加盖公章</w:t>
            </w:r>
            <w:r>
              <w:rPr>
                <w:rFonts w:hint="eastAsia" w:ascii="仿宋" w:hAnsi="仿宋" w:eastAsia="仿宋" w:cs="宋体"/>
                <w:color w:val="000000"/>
                <w:sz w:val="21"/>
                <w:szCs w:val="21"/>
                <w:highlight w:val="none"/>
              </w:rPr>
              <w:t>。</w:t>
            </w:r>
          </w:p>
          <w:p w14:paraId="7ABE6676">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（2）《法定代表人（负责人）授权委托书》的落款处应加盖公章</w:t>
            </w:r>
            <w:r>
              <w:rPr>
                <w:rFonts w:hint="eastAsia" w:ascii="仿宋" w:hAnsi="仿宋" w:eastAsia="仿宋" w:cs="宋体"/>
                <w:b/>
                <w:color w:val="000000"/>
                <w:sz w:val="21"/>
                <w:szCs w:val="21"/>
                <w:highlight w:val="none"/>
              </w:rPr>
              <w:t>并由</w:t>
            </w:r>
            <w:r>
              <w:rPr>
                <w:rFonts w:hint="eastAsia" w:ascii="仿宋" w:hAnsi="仿宋" w:eastAsia="仿宋" w:cs="宋体"/>
                <w:color w:val="000000"/>
                <w:sz w:val="21"/>
                <w:szCs w:val="21"/>
                <w:highlight w:val="none"/>
              </w:rPr>
              <w:t>法定代表人（负责人）</w:t>
            </w:r>
            <w:r>
              <w:rPr>
                <w:rFonts w:hint="eastAsia" w:ascii="仿宋" w:hAnsi="仿宋" w:eastAsia="仿宋" w:cs="宋体"/>
                <w:b/>
                <w:color w:val="000000"/>
                <w:sz w:val="21"/>
                <w:szCs w:val="21"/>
                <w:highlight w:val="none"/>
              </w:rPr>
              <w:t>和</w:t>
            </w:r>
            <w:r>
              <w:rPr>
                <w:rFonts w:hint="eastAsia" w:ascii="仿宋" w:hAnsi="仿宋" w:eastAsia="仿宋" w:cs="宋体"/>
                <w:color w:val="000000"/>
                <w:sz w:val="21"/>
                <w:szCs w:val="21"/>
                <w:highlight w:val="none"/>
              </w:rPr>
              <w:t>其委托代理人</w:t>
            </w:r>
            <w:r>
              <w:rPr>
                <w:rFonts w:hint="eastAsia" w:ascii="仿宋" w:hAnsi="仿宋" w:eastAsia="仿宋" w:cs="宋体"/>
                <w:b/>
                <w:color w:val="000000"/>
                <w:sz w:val="21"/>
                <w:szCs w:val="21"/>
                <w:highlight w:val="none"/>
              </w:rPr>
              <w:t>双方</w:t>
            </w:r>
            <w:r>
              <w:rPr>
                <w:rFonts w:hint="eastAsia" w:ascii="仿宋" w:hAnsi="仿宋" w:eastAsia="仿宋" w:cs="宋体"/>
                <w:color w:val="000000"/>
                <w:sz w:val="21"/>
                <w:szCs w:val="21"/>
                <w:highlight w:val="none"/>
              </w:rPr>
              <w:t>签字。</w:t>
            </w:r>
          </w:p>
          <w:p w14:paraId="0A637461">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（3）投标文件格式中其他有落款的文件，</w:t>
            </w:r>
            <w:r>
              <w:rPr>
                <w:rFonts w:hint="eastAsia" w:ascii="仿宋" w:hAnsi="仿宋" w:eastAsia="仿宋" w:cs="宋体"/>
                <w:b/>
                <w:color w:val="000000"/>
                <w:sz w:val="21"/>
                <w:szCs w:val="21"/>
                <w:highlight w:val="none"/>
              </w:rPr>
              <w:t>均需</w:t>
            </w:r>
            <w:r>
              <w:rPr>
                <w:rFonts w:hint="eastAsia" w:ascii="仿宋" w:hAnsi="仿宋" w:eastAsia="仿宋" w:cs="宋体"/>
                <w:color w:val="000000"/>
                <w:sz w:val="21"/>
                <w:szCs w:val="21"/>
                <w:highlight w:val="none"/>
              </w:rPr>
              <w:t>加盖公章。</w:t>
            </w:r>
          </w:p>
          <w:p w14:paraId="263E3C36">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lang w:eastAsia="zh-Hans"/>
              </w:rPr>
            </w:pPr>
            <w:r>
              <w:rPr>
                <w:rFonts w:hint="eastAsia" w:ascii="仿宋" w:hAnsi="仿宋" w:eastAsia="仿宋" w:cs="宋体"/>
                <w:color w:val="000000"/>
                <w:sz w:val="21"/>
                <w:szCs w:val="21"/>
                <w:highlight w:val="none"/>
              </w:rPr>
              <w:t>（4）投标文件的所有签字处均指手写签字</w:t>
            </w:r>
            <w:r>
              <w:rPr>
                <w:rFonts w:hint="eastAsia" w:ascii="仿宋" w:hAnsi="仿宋" w:eastAsia="仿宋" w:cs="宋体"/>
                <w:b/>
                <w:color w:val="000000"/>
                <w:sz w:val="21"/>
                <w:szCs w:val="21"/>
                <w:highlight w:val="none"/>
              </w:rPr>
              <w:t>或</w:t>
            </w:r>
            <w:r>
              <w:rPr>
                <w:rFonts w:hint="eastAsia" w:ascii="仿宋" w:hAnsi="仿宋" w:eastAsia="仿宋" w:cs="宋体"/>
                <w:color w:val="000000"/>
                <w:sz w:val="21"/>
                <w:szCs w:val="21"/>
                <w:highlight w:val="none"/>
              </w:rPr>
              <w:t>签名章/印章</w:t>
            </w:r>
            <w:r>
              <w:rPr>
                <w:rFonts w:hint="eastAsia" w:ascii="仿宋" w:hAnsi="仿宋" w:eastAsia="仿宋" w:cs="宋体"/>
                <w:b/>
                <w:bCs/>
                <w:color w:val="000000"/>
                <w:sz w:val="21"/>
                <w:szCs w:val="21"/>
                <w:highlight w:val="none"/>
              </w:rPr>
              <w:t>或</w:t>
            </w:r>
            <w:r>
              <w:rPr>
                <w:rFonts w:hint="eastAsia" w:ascii="仿宋" w:hAnsi="仿宋" w:eastAsia="仿宋" w:cs="宋体"/>
                <w:color w:val="000000"/>
                <w:sz w:val="21"/>
                <w:szCs w:val="21"/>
                <w:highlight w:val="none"/>
              </w:rPr>
              <w:t>CA签名章，</w:t>
            </w:r>
            <w:r>
              <w:rPr>
                <w:rFonts w:hint="eastAsia" w:ascii="仿宋" w:hAnsi="仿宋" w:eastAsia="仿宋" w:cs="宋体"/>
                <w:b/>
                <w:color w:val="000000"/>
                <w:sz w:val="21"/>
                <w:szCs w:val="21"/>
                <w:highlight w:val="none"/>
              </w:rPr>
              <w:t>不得</w:t>
            </w:r>
            <w:r>
              <w:rPr>
                <w:rFonts w:hint="eastAsia" w:ascii="仿宋" w:hAnsi="仿宋" w:eastAsia="仿宋" w:cs="宋体"/>
                <w:color w:val="000000"/>
                <w:sz w:val="21"/>
                <w:szCs w:val="21"/>
                <w:highlight w:val="none"/>
              </w:rPr>
              <w:t>以打印体代替。</w:t>
            </w:r>
          </w:p>
        </w:tc>
      </w:tr>
      <w:tr w14:paraId="13485CE8">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BDBB01E">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FD1CADF">
            <w:pPr>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★最高投标限价</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34D370F">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□不设置最高投标限价</w:t>
            </w:r>
          </w:p>
          <w:p w14:paraId="47EDDB5B">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 w:val="21"/>
                <w:szCs w:val="21"/>
                <w:highlight w:val="none"/>
              </w:rPr>
            </w:pPr>
            <w:r>
              <w:rPr>
                <w:rFonts w:hint="eastAsia" w:ascii="仿宋" w:hAnsi="仿宋" w:eastAsia="仿宋" w:cs="宋体"/>
                <w:color w:val="000000"/>
                <w:sz w:val="21"/>
                <w:szCs w:val="21"/>
                <w:highlight w:val="none"/>
              </w:rPr>
              <w:t xml:space="preserve">■设置最高投标限价    </w:t>
            </w:r>
          </w:p>
          <w:p w14:paraId="2F5AE255">
            <w:pPr>
              <w:pStyle w:val="117"/>
              <w:keepNext w:val="0"/>
              <w:keepLines w:val="0"/>
              <w:suppressLineNumbers w:val="0"/>
              <w:topLinePunct/>
              <w:spacing w:before="62" w:beforeLines="20" w:beforeAutospacing="0" w:after="62" w:afterLines="20" w:afterAutospacing="0"/>
              <w:ind w:left="0" w:right="0"/>
              <w:rPr>
                <w:rFonts w:hint="eastAsia" w:ascii="仿宋" w:hAnsi="仿宋" w:eastAsia="仿宋" w:cs="宋体"/>
                <w:color w:val="000000"/>
                <w:szCs w:val="21"/>
                <w:highlight w:val="none"/>
                <w:u w:val="single"/>
              </w:rPr>
            </w:pPr>
            <w:r>
              <w:rPr>
                <w:rFonts w:hint="eastAsia" w:ascii="仿宋" w:hAnsi="仿宋" w:eastAsia="仿宋" w:cs="宋体"/>
                <w:color w:val="000000"/>
                <w:sz w:val="21"/>
                <w:szCs w:val="21"/>
                <w:highlight w:val="none"/>
              </w:rPr>
              <w:t>本项目最高投标限价</w:t>
            </w:r>
            <w:r>
              <w:rPr>
                <w:rFonts w:hint="eastAsia" w:ascii="仿宋" w:hAnsi="仿宋" w:eastAsia="仿宋" w:cs="宋体"/>
                <w:color w:val="000000"/>
                <w:sz w:val="21"/>
                <w:szCs w:val="21"/>
                <w:highlight w:val="none"/>
                <w:lang w:val="en-US" w:eastAsia="zh-CN"/>
              </w:rPr>
              <w:t>标包1</w:t>
            </w:r>
            <w:r>
              <w:rPr>
                <w:rFonts w:hint="eastAsia" w:ascii="仿宋" w:hAnsi="仿宋" w:eastAsia="仿宋" w:cs="宋体"/>
                <w:color w:val="000000"/>
                <w:sz w:val="21"/>
                <w:szCs w:val="21"/>
                <w:highlight w:val="none"/>
              </w:rPr>
              <w:t>为</w:t>
            </w:r>
            <w:r>
              <w:rPr>
                <w:rFonts w:hint="eastAsia" w:ascii="仿宋" w:hAnsi="仿宋" w:eastAsia="仿宋" w:cs="宋体"/>
                <w:color w:val="000000"/>
                <w:sz w:val="21"/>
                <w:szCs w:val="21"/>
                <w:highlight w:val="none"/>
                <w:u w:val="single"/>
                <w:lang w:val="en-US" w:eastAsia="zh-CN"/>
              </w:rPr>
              <w:t>1328万元</w:t>
            </w:r>
            <w:r>
              <w:rPr>
                <w:rFonts w:hint="eastAsia" w:ascii="仿宋" w:hAnsi="仿宋" w:eastAsia="仿宋" w:cs="宋体"/>
                <w:color w:val="000000"/>
                <w:sz w:val="21"/>
                <w:szCs w:val="21"/>
                <w:highlight w:val="none"/>
                <w:lang w:val="en-US" w:eastAsia="zh-CN"/>
              </w:rPr>
              <w:t>、标包2为</w:t>
            </w:r>
            <w:r>
              <w:rPr>
                <w:rFonts w:hint="eastAsia" w:ascii="仿宋" w:hAnsi="仿宋" w:eastAsia="仿宋" w:cs="宋体"/>
                <w:color w:val="000000"/>
                <w:sz w:val="21"/>
                <w:szCs w:val="21"/>
                <w:highlight w:val="none"/>
                <w:u w:val="single"/>
                <w:lang w:val="en-US" w:eastAsia="zh-CN"/>
              </w:rPr>
              <w:t>184万元</w:t>
            </w:r>
            <w:r>
              <w:rPr>
                <w:rFonts w:hint="eastAsia" w:ascii="仿宋" w:hAnsi="仿宋" w:eastAsia="仿宋" w:cs="宋体"/>
                <w:color w:val="000000"/>
                <w:sz w:val="21"/>
                <w:szCs w:val="21"/>
                <w:highlight w:val="none"/>
              </w:rPr>
              <w:t>，投标报价超过最高投标限价的，投标将被否决。</w:t>
            </w:r>
          </w:p>
        </w:tc>
      </w:tr>
      <w:tr w14:paraId="2A3F85C1">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3808608">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317A2FC">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投标报价的具体要求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058607E8">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本条款增加以下内容：</w:t>
            </w:r>
          </w:p>
          <w:p w14:paraId="276575BF">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（1）投标总价为完成本项目规定工作所需的全部税费，包括但不限于产品费用、提供技术服务人员、必要工具设备的所有费用及税金等，除此之外，招标人不再支付任何费用。</w:t>
            </w:r>
          </w:p>
          <w:p w14:paraId="63AC2F27">
            <w:pPr>
              <w:pStyle w:val="113"/>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Cs w:val="21"/>
                <w:highlight w:val="none"/>
              </w:rPr>
            </w:pPr>
            <w:r>
              <w:rPr>
                <w:rFonts w:hint="eastAsia" w:ascii="仿宋" w:hAnsi="仿宋" w:eastAsia="仿宋" w:cs="宋体"/>
                <w:color w:val="000000"/>
                <w:szCs w:val="21"/>
                <w:highlight w:val="none"/>
              </w:rPr>
              <w:t>（2）投标人应根据技术规范书的要求并遵照“第六章 投标文件格式”给出的投标一览表、分项报价表进行报价，</w:t>
            </w:r>
            <w:r>
              <w:rPr>
                <w:rFonts w:hint="eastAsia" w:ascii="仿宋" w:hAnsi="仿宋" w:eastAsia="仿宋" w:cs="宋体"/>
                <w:b/>
                <w:color w:val="000000"/>
                <w:szCs w:val="21"/>
                <w:highlight w:val="none"/>
              </w:rPr>
              <w:t>不得缺省或回避填写，否则视为非实质性响应，投标将被否决。</w:t>
            </w:r>
          </w:p>
          <w:p w14:paraId="38E74245">
            <w:pPr>
              <w:pStyle w:val="113"/>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Cs w:val="21"/>
                <w:highlight w:val="none"/>
              </w:rPr>
            </w:pPr>
            <w:r>
              <w:rPr>
                <w:rFonts w:hint="eastAsia" w:ascii="仿宋" w:hAnsi="仿宋" w:eastAsia="仿宋" w:cs="宋体"/>
                <w:color w:val="000000"/>
                <w:szCs w:val="21"/>
                <w:highlight w:val="none"/>
              </w:rPr>
              <w:t>（3）如国家后续对增值税税率进行调整，在不含税（单）价报价不变的基础上，按照新税率重新计算含税（总）价。</w:t>
            </w:r>
          </w:p>
        </w:tc>
      </w:tr>
      <w:tr w14:paraId="52013AC1">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A219E24">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2E3397B">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★投标有效期</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3AFC4D3E">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投标有效期：</w:t>
            </w:r>
            <w:r>
              <w:rPr>
                <w:rFonts w:hint="eastAsia" w:ascii="仿宋" w:hAnsi="仿宋" w:eastAsia="仿宋" w:cs="宋体"/>
                <w:color w:val="000000"/>
                <w:kern w:val="2"/>
                <w:sz w:val="21"/>
                <w:szCs w:val="21"/>
                <w:highlight w:val="none"/>
                <w:u w:val="single"/>
                <w:lang w:val="en-US" w:eastAsia="zh-CN" w:bidi="ar-SA"/>
              </w:rPr>
              <w:t>90天。</w:t>
            </w:r>
          </w:p>
        </w:tc>
      </w:tr>
      <w:tr w14:paraId="6504EE28">
        <w:tblPrEx>
          <w:tblCellMar>
            <w:top w:w="0" w:type="dxa"/>
            <w:left w:w="108" w:type="dxa"/>
            <w:bottom w:w="0" w:type="dxa"/>
            <w:right w:w="108" w:type="dxa"/>
          </w:tblCellMar>
        </w:tblPrEx>
        <w:trPr>
          <w:trHeight w:val="90"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2201B1E">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1C92AA40">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投标保证金的金额</w:t>
            </w:r>
            <w:r>
              <w:rPr>
                <w:rFonts w:hint="eastAsia" w:ascii="仿宋" w:hAnsi="仿宋" w:eastAsia="仿宋" w:cs="宋体"/>
                <w:b/>
                <w:bCs/>
                <w:color w:val="000000"/>
                <w:szCs w:val="21"/>
                <w:highlight w:val="none"/>
                <w:lang w:eastAsia="zh-CN"/>
              </w:rPr>
              <w:t>（</w:t>
            </w:r>
            <w:r>
              <w:rPr>
                <w:rFonts w:hint="eastAsia" w:ascii="仿宋" w:hAnsi="仿宋" w:eastAsia="仿宋" w:cs="宋体"/>
                <w:b/>
                <w:bCs/>
                <w:color w:val="000000"/>
                <w:szCs w:val="21"/>
                <w:highlight w:val="none"/>
                <w:lang w:val="en-US" w:eastAsia="zh-CN"/>
              </w:rPr>
              <w:t>本项目不适用</w:t>
            </w:r>
            <w:r>
              <w:rPr>
                <w:rFonts w:hint="eastAsia" w:ascii="仿宋" w:hAnsi="仿宋" w:eastAsia="仿宋" w:cs="宋体"/>
                <w:b/>
                <w:bCs/>
                <w:color w:val="000000"/>
                <w:szCs w:val="21"/>
                <w:highlight w:val="none"/>
                <w:lang w:eastAsia="zh-CN"/>
              </w:rPr>
              <w:t>）</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2FE6D0B">
            <w:pPr>
              <w:pStyle w:val="113"/>
              <w:keepNext w:val="0"/>
              <w:keepLines w:val="0"/>
              <w:suppressLineNumbers w:val="0"/>
              <w:spacing w:before="62" w:beforeLines="20" w:beforeAutospacing="0" w:after="62" w:afterLines="20" w:afterAutospacing="0"/>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投标保证金金额：</w:t>
            </w:r>
            <w:r>
              <w:rPr>
                <w:rFonts w:hint="eastAsia" w:ascii="仿宋" w:hAnsi="仿宋" w:eastAsia="仿宋" w:cs="宋体"/>
                <w:color w:val="auto"/>
                <w:szCs w:val="21"/>
                <w:highlight w:val="none"/>
                <w:u w:val="single"/>
                <w:lang w:val="en-US" w:eastAsia="zh-CN"/>
              </w:rPr>
              <w:t>/</w:t>
            </w:r>
            <w:r>
              <w:rPr>
                <w:rFonts w:hint="eastAsia" w:ascii="仿宋" w:hAnsi="仿宋" w:eastAsia="仿宋" w:cs="宋体"/>
                <w:color w:val="000000"/>
                <w:szCs w:val="21"/>
                <w:highlight w:val="none"/>
              </w:rPr>
              <w:t>。</w:t>
            </w:r>
          </w:p>
          <w:p w14:paraId="4669D751">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u w:val="single"/>
              </w:rPr>
            </w:pPr>
            <w:r>
              <w:rPr>
                <w:rFonts w:hint="eastAsia" w:ascii="仿宋" w:hAnsi="仿宋" w:eastAsia="仿宋" w:cs="宋体"/>
                <w:color w:val="000000"/>
                <w:szCs w:val="21"/>
                <w:highlight w:val="none"/>
              </w:rPr>
              <w:t>如同时参与多个标包的投标，应分别缴纳各个标包的投标保证金。</w:t>
            </w:r>
          </w:p>
        </w:tc>
      </w:tr>
      <w:tr w14:paraId="7867675B">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430EA394">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3556541C">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投标保证金</w:t>
            </w:r>
            <w:r>
              <w:rPr>
                <w:rFonts w:hint="eastAsia" w:ascii="仿宋" w:hAnsi="仿宋" w:eastAsia="仿宋" w:cs="宋体"/>
                <w:color w:val="000000"/>
                <w:szCs w:val="21"/>
                <w:highlight w:val="none"/>
                <w:lang w:val="en-US" w:eastAsia="zh-CN"/>
              </w:rPr>
              <w:t>的</w:t>
            </w:r>
            <w:r>
              <w:rPr>
                <w:rFonts w:hint="eastAsia" w:ascii="仿宋" w:hAnsi="仿宋" w:eastAsia="仿宋" w:cs="宋体"/>
                <w:color w:val="000000"/>
                <w:szCs w:val="21"/>
                <w:highlight w:val="none"/>
              </w:rPr>
              <w:t>形式</w:t>
            </w:r>
            <w:r>
              <w:rPr>
                <w:rFonts w:hint="eastAsia" w:ascii="仿宋" w:hAnsi="仿宋" w:eastAsia="仿宋" w:cs="宋体"/>
                <w:b/>
                <w:bCs/>
                <w:color w:val="000000"/>
                <w:szCs w:val="21"/>
                <w:highlight w:val="none"/>
                <w:lang w:eastAsia="zh-CN"/>
              </w:rPr>
              <w:t>（</w:t>
            </w:r>
            <w:r>
              <w:rPr>
                <w:rFonts w:hint="eastAsia" w:ascii="仿宋" w:hAnsi="仿宋" w:eastAsia="仿宋" w:cs="宋体"/>
                <w:b/>
                <w:bCs/>
                <w:color w:val="000000"/>
                <w:szCs w:val="21"/>
                <w:highlight w:val="none"/>
                <w:lang w:val="en-US" w:eastAsia="zh-CN"/>
              </w:rPr>
              <w:t>本项目不适用</w:t>
            </w:r>
            <w:r>
              <w:rPr>
                <w:rFonts w:hint="eastAsia" w:ascii="仿宋" w:hAnsi="仿宋" w:eastAsia="仿宋" w:cs="宋体"/>
                <w:b/>
                <w:bCs/>
                <w:color w:val="000000"/>
                <w:szCs w:val="21"/>
                <w:highlight w:val="none"/>
                <w:lang w:eastAsia="zh-CN"/>
              </w:rPr>
              <w:t>）</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3988FA97">
            <w:pPr>
              <w:keepNext w:val="0"/>
              <w:keepLines w:val="0"/>
              <w:widowControl/>
              <w:suppressLineNumbers w:val="0"/>
              <w:spacing w:before="0" w:beforeAutospacing="0" w:after="0" w:afterAutospacing="0"/>
              <w:ind w:left="0" w:right="0"/>
              <w:jc w:val="left"/>
              <w:rPr>
                <w:rFonts w:hint="eastAsia" w:ascii="仿宋" w:hAnsi="仿宋" w:eastAsia="仿宋" w:cs="仿宋"/>
                <w:szCs w:val="21"/>
                <w:highlight w:val="none"/>
                <w:lang w:eastAsia="zh-CN"/>
              </w:rPr>
            </w:pPr>
            <w:r>
              <w:rPr>
                <w:rFonts w:hint="eastAsia" w:ascii="仿宋" w:hAnsi="仿宋" w:eastAsia="仿宋" w:cs="仿宋"/>
                <w:kern w:val="0"/>
                <w:szCs w:val="21"/>
                <w:highlight w:val="none"/>
                <w:lang w:bidi="ar"/>
              </w:rPr>
              <w:t>（1）投标保证金的形式：银行电汇/银行转账/在中国注册的银行出具的银行保函/电子保函</w:t>
            </w:r>
            <w:r>
              <w:rPr>
                <w:rFonts w:hint="eastAsia" w:ascii="仿宋" w:hAnsi="仿宋" w:eastAsia="仿宋" w:cs="仿宋"/>
                <w:kern w:val="0"/>
                <w:szCs w:val="21"/>
                <w:highlight w:val="none"/>
                <w:lang w:val="en-US" w:eastAsia="zh-CN" w:bidi="ar"/>
              </w:rPr>
              <w:t>/投标保证保险</w:t>
            </w:r>
            <w:r>
              <w:rPr>
                <w:rFonts w:hint="eastAsia" w:ascii="仿宋" w:hAnsi="仿宋" w:eastAsia="仿宋" w:cs="仿宋"/>
                <w:kern w:val="0"/>
                <w:szCs w:val="21"/>
                <w:highlight w:val="none"/>
                <w:lang w:eastAsia="zh-CN" w:bidi="ar"/>
              </w:rPr>
              <w:t>。</w:t>
            </w:r>
          </w:p>
          <w:p w14:paraId="35A7FFF9">
            <w:pPr>
              <w:keepNext w:val="0"/>
              <w:keepLines w:val="0"/>
              <w:widowControl/>
              <w:suppressLineNumbers w:val="0"/>
              <w:spacing w:before="0" w:beforeAutospacing="0" w:after="0" w:afterAutospacing="0"/>
              <w:ind w:left="0" w:right="0"/>
              <w:jc w:val="left"/>
              <w:rPr>
                <w:rFonts w:hint="eastAsia" w:ascii="仿宋" w:hAnsi="仿宋" w:eastAsia="仿宋" w:cs="仿宋"/>
                <w:szCs w:val="21"/>
                <w:highlight w:val="none"/>
              </w:rPr>
            </w:pPr>
            <w:r>
              <w:rPr>
                <w:rFonts w:hint="eastAsia" w:ascii="仿宋" w:hAnsi="仿宋" w:eastAsia="仿宋" w:cs="仿宋"/>
                <w:kern w:val="0"/>
                <w:szCs w:val="21"/>
                <w:highlight w:val="none"/>
                <w:lang w:bidi="ar"/>
              </w:rPr>
              <w:t>（2）</w:t>
            </w:r>
            <w:r>
              <w:rPr>
                <w:rFonts w:hint="eastAsia" w:ascii="仿宋" w:hAnsi="仿宋" w:eastAsia="仿宋" w:cs="仿宋"/>
                <w:kern w:val="0"/>
                <w:szCs w:val="21"/>
                <w:highlight w:val="none"/>
                <w:lang w:val="en-US" w:eastAsia="zh-CN" w:bidi="ar"/>
              </w:rPr>
              <w:t>缴纳方式：</w:t>
            </w:r>
            <w:r>
              <w:rPr>
                <w:rFonts w:hint="eastAsia" w:ascii="仿宋" w:hAnsi="仿宋" w:eastAsia="仿宋" w:cs="仿宋"/>
                <w:color w:val="auto"/>
                <w:kern w:val="0"/>
                <w:szCs w:val="21"/>
                <w:highlight w:val="none"/>
                <w:u w:val="single"/>
                <w:lang w:val="en-US" w:eastAsia="zh-CN" w:bidi="ar"/>
              </w:rPr>
              <w:t>/</w:t>
            </w:r>
            <w:r>
              <w:rPr>
                <w:rFonts w:hint="eastAsia" w:ascii="仿宋" w:hAnsi="仿宋" w:eastAsia="仿宋" w:cs="仿宋"/>
                <w:kern w:val="0"/>
                <w:szCs w:val="21"/>
                <w:highlight w:val="none"/>
                <w:lang w:bidi="ar"/>
              </w:rPr>
              <w:t>。</w:t>
            </w:r>
          </w:p>
          <w:p w14:paraId="384BFE54">
            <w:pPr>
              <w:keepNext w:val="0"/>
              <w:keepLines w:val="0"/>
              <w:suppressLineNumbers w:val="0"/>
              <w:spacing w:before="0" w:beforeAutospacing="0" w:after="0" w:afterAutospacing="0"/>
              <w:ind w:left="0" w:leftChars="0" w:right="0" w:rightChars="0"/>
              <w:jc w:val="left"/>
              <w:rPr>
                <w:rFonts w:hint="eastAsia" w:ascii="仿宋" w:hAnsi="仿宋" w:eastAsia="仿宋" w:cs="宋体"/>
                <w:b/>
                <w:bCs/>
                <w:color w:val="000000"/>
                <w:szCs w:val="21"/>
                <w:highlight w:val="none"/>
                <w:lang w:eastAsia="zh-Hans"/>
              </w:rPr>
            </w:pPr>
            <w:r>
              <w:rPr>
                <w:rFonts w:hint="eastAsia" w:ascii="仿宋" w:hAnsi="仿宋" w:eastAsia="仿宋" w:cs="仿宋"/>
                <w:kern w:val="0"/>
                <w:szCs w:val="21"/>
                <w:highlight w:val="none"/>
                <w:lang w:bidi="ar"/>
              </w:rPr>
              <w:t>（3）未在投标文件递交截止时间前提交投标保证</w:t>
            </w:r>
            <w:r>
              <w:rPr>
                <w:rFonts w:hint="eastAsia" w:ascii="仿宋" w:hAnsi="仿宋" w:eastAsia="仿宋" w:cs="仿宋"/>
                <w:kern w:val="0"/>
                <w:szCs w:val="21"/>
                <w:highlight w:val="none"/>
                <w:lang w:val="en-US" w:eastAsia="zh-CN" w:bidi="ar"/>
              </w:rPr>
              <w:t>金</w:t>
            </w:r>
            <w:r>
              <w:rPr>
                <w:rFonts w:hint="eastAsia" w:ascii="仿宋" w:hAnsi="仿宋" w:eastAsia="仿宋" w:cs="仿宋"/>
                <w:kern w:val="0"/>
                <w:szCs w:val="21"/>
                <w:highlight w:val="none"/>
                <w:lang w:bidi="ar"/>
              </w:rPr>
              <w:t>的或者提交的投标保证</w:t>
            </w:r>
            <w:r>
              <w:rPr>
                <w:rFonts w:hint="eastAsia" w:ascii="仿宋" w:hAnsi="仿宋" w:eastAsia="仿宋" w:cs="仿宋"/>
                <w:kern w:val="0"/>
                <w:szCs w:val="21"/>
                <w:highlight w:val="none"/>
                <w:lang w:val="en-US" w:eastAsia="zh-CN" w:bidi="ar"/>
              </w:rPr>
              <w:t>金</w:t>
            </w:r>
            <w:r>
              <w:rPr>
                <w:rFonts w:hint="eastAsia" w:ascii="仿宋" w:hAnsi="仿宋" w:eastAsia="仿宋" w:cs="仿宋"/>
                <w:kern w:val="0"/>
                <w:szCs w:val="21"/>
                <w:highlight w:val="none"/>
                <w:lang w:bidi="ar"/>
              </w:rPr>
              <w:t>有瑕疵的，</w:t>
            </w:r>
            <w:r>
              <w:rPr>
                <w:rFonts w:hint="eastAsia" w:ascii="仿宋" w:hAnsi="仿宋" w:eastAsia="仿宋" w:cs="仿宋"/>
                <w:b/>
                <w:bCs/>
                <w:kern w:val="0"/>
                <w:szCs w:val="21"/>
                <w:highlight w:val="none"/>
                <w:lang w:bidi="ar"/>
              </w:rPr>
              <w:t>投标将被否决。</w:t>
            </w:r>
          </w:p>
        </w:tc>
      </w:tr>
      <w:tr w14:paraId="2779626E">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8256A06">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7D5A238C">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投标保证金不予退还情形</w:t>
            </w:r>
            <w:r>
              <w:rPr>
                <w:rFonts w:hint="eastAsia" w:ascii="仿宋" w:hAnsi="仿宋" w:eastAsia="仿宋" w:cs="宋体"/>
                <w:b/>
                <w:bCs/>
                <w:color w:val="000000"/>
                <w:szCs w:val="21"/>
                <w:highlight w:val="none"/>
                <w:lang w:eastAsia="zh-CN"/>
              </w:rPr>
              <w:t>（</w:t>
            </w:r>
            <w:r>
              <w:rPr>
                <w:rFonts w:hint="eastAsia" w:ascii="仿宋" w:hAnsi="仿宋" w:eastAsia="仿宋" w:cs="宋体"/>
                <w:b/>
                <w:bCs/>
                <w:color w:val="000000"/>
                <w:szCs w:val="21"/>
                <w:highlight w:val="none"/>
                <w:lang w:val="en-US" w:eastAsia="zh-CN"/>
              </w:rPr>
              <w:t>本项目不适用</w:t>
            </w:r>
            <w:r>
              <w:rPr>
                <w:rFonts w:hint="eastAsia" w:ascii="仿宋" w:hAnsi="仿宋" w:eastAsia="仿宋" w:cs="宋体"/>
                <w:b/>
                <w:bCs/>
                <w:color w:val="000000"/>
                <w:szCs w:val="21"/>
                <w:highlight w:val="none"/>
                <w:lang w:eastAsia="zh-CN"/>
              </w:rPr>
              <w:t>）</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3C0CF996">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投标人或中标人出现下列行为之一，投标保证金不予退还：</w:t>
            </w:r>
          </w:p>
          <w:p w14:paraId="294EA20D">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（1）投标人在投标截止后至投标有效期期满前</w:t>
            </w:r>
            <w:r>
              <w:rPr>
                <w:rFonts w:hint="eastAsia" w:ascii="仿宋" w:hAnsi="仿宋" w:eastAsia="仿宋" w:cs="宋体"/>
                <w:color w:val="000000"/>
                <w:szCs w:val="21"/>
                <w:highlight w:val="none"/>
                <w:lang w:eastAsia="zh-CN"/>
              </w:rPr>
              <w:t>，</w:t>
            </w:r>
            <w:r>
              <w:rPr>
                <w:rFonts w:hint="eastAsia" w:ascii="仿宋" w:hAnsi="仿宋" w:eastAsia="仿宋" w:cs="宋体"/>
                <w:color w:val="000000"/>
                <w:szCs w:val="21"/>
                <w:highlight w:val="none"/>
              </w:rPr>
              <w:t>要求撤回已递交的投标文件；</w:t>
            </w:r>
          </w:p>
          <w:p w14:paraId="7CF05170">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（2）中标后放弃中标的；</w:t>
            </w:r>
          </w:p>
          <w:p w14:paraId="5D514D9A">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（3）中标或成交后无正当理由不与招标人订立合同的；</w:t>
            </w:r>
          </w:p>
          <w:p w14:paraId="57A986FB">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（4）中标人在签订合同时向招标人提出附加条件或要求变更实质性合同条款的；</w:t>
            </w:r>
          </w:p>
          <w:p w14:paraId="7C976376">
            <w:pPr>
              <w:pStyle w:val="113"/>
              <w:keepNext w:val="0"/>
              <w:keepLines w:val="0"/>
              <w:suppressLineNumbers w:val="0"/>
              <w:spacing w:before="62" w:beforeLines="20" w:beforeAutospacing="0" w:after="62" w:afterLines="20" w:afterAutospacing="0" w:line="360" w:lineRule="auto"/>
              <w:ind w:left="0" w:right="0"/>
              <w:rPr>
                <w:rFonts w:hint="default" w:ascii="仿宋" w:hAnsi="仿宋" w:eastAsia="仿宋" w:cs="宋体"/>
                <w:color w:val="000000"/>
                <w:szCs w:val="21"/>
                <w:highlight w:val="none"/>
              </w:rPr>
            </w:pPr>
            <w:r>
              <w:rPr>
                <w:rFonts w:hint="eastAsia" w:ascii="仿宋" w:hAnsi="仿宋" w:eastAsia="仿宋" w:cs="宋体"/>
                <w:color w:val="000000"/>
                <w:szCs w:val="21"/>
                <w:highlight w:val="none"/>
              </w:rPr>
              <w:t>（5）中标人不按照招标文件要求提交履约保证金的；</w:t>
            </w:r>
          </w:p>
          <w:p w14:paraId="470ABC5E">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（6）投标人有恶意欺诈、弄虚作假、围标串标、哄抬标价、徇私行贿等法律法规中所列违规行为的。</w:t>
            </w:r>
          </w:p>
        </w:tc>
      </w:tr>
      <w:tr w14:paraId="7827F1A4">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9CC1828">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50E0BC5B">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备选投标方案</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53310C2">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不允许</w:t>
            </w:r>
          </w:p>
          <w:p w14:paraId="6F5F200B">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auto"/>
                <w:szCs w:val="21"/>
                <w:highlight w:val="none"/>
              </w:rPr>
              <w:t>□允许</w:t>
            </w:r>
          </w:p>
        </w:tc>
      </w:tr>
      <w:tr w14:paraId="3F3D5B0B">
        <w:tblPrEx>
          <w:tblCellMar>
            <w:top w:w="0" w:type="dxa"/>
            <w:left w:w="108" w:type="dxa"/>
            <w:bottom w:w="0" w:type="dxa"/>
            <w:right w:w="108" w:type="dxa"/>
          </w:tblCellMar>
        </w:tblPrEx>
        <w:trPr>
          <w:trHeight w:val="411"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9C5A59E">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1A93475">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投标文件的份数</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74E9E300">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电子文件</w:t>
            </w:r>
            <w:r>
              <w:rPr>
                <w:rFonts w:hint="eastAsia" w:ascii="仿宋" w:hAnsi="仿宋" w:eastAsia="仿宋" w:cs="宋体"/>
                <w:color w:val="000000"/>
                <w:szCs w:val="21"/>
                <w:highlight w:val="none"/>
                <w:u w:val="single"/>
              </w:rPr>
              <w:t>1</w:t>
            </w:r>
            <w:r>
              <w:rPr>
                <w:rFonts w:hint="eastAsia" w:ascii="仿宋" w:hAnsi="仿宋" w:eastAsia="仿宋" w:cs="宋体"/>
                <w:color w:val="000000"/>
                <w:szCs w:val="21"/>
                <w:highlight w:val="none"/>
              </w:rPr>
              <w:t>份（</w:t>
            </w:r>
            <w:r>
              <w:rPr>
                <w:rFonts w:hint="eastAsia" w:ascii="仿宋" w:hAnsi="仿宋" w:eastAsia="仿宋" w:cs="宋体"/>
                <w:color w:val="000000"/>
                <w:szCs w:val="21"/>
                <w:highlight w:val="none"/>
                <w:lang w:val="en-US" w:eastAsia="zh-CN"/>
              </w:rPr>
              <w:t>具体格式要求</w:t>
            </w:r>
            <w:r>
              <w:rPr>
                <w:rFonts w:hint="eastAsia" w:ascii="仿宋" w:hAnsi="仿宋" w:eastAsia="仿宋" w:cs="宋体"/>
                <w:color w:val="000000"/>
                <w:szCs w:val="21"/>
                <w:highlight w:val="none"/>
              </w:rPr>
              <w:t>）；纸质文件正本</w:t>
            </w:r>
            <w:r>
              <w:rPr>
                <w:rFonts w:hint="eastAsia" w:ascii="仿宋" w:hAnsi="仿宋" w:eastAsia="仿宋" w:cs="宋体"/>
                <w:color w:val="000000"/>
                <w:szCs w:val="21"/>
                <w:highlight w:val="none"/>
                <w:u w:val="single"/>
                <w:lang w:val="en-US" w:eastAsia="zh-CN"/>
              </w:rPr>
              <w:t>1</w:t>
            </w:r>
            <w:r>
              <w:rPr>
                <w:rFonts w:hint="eastAsia" w:ascii="仿宋" w:hAnsi="仿宋" w:eastAsia="仿宋" w:cs="宋体"/>
                <w:color w:val="000000"/>
                <w:szCs w:val="21"/>
                <w:highlight w:val="none"/>
              </w:rPr>
              <w:t>份，副本</w:t>
            </w:r>
            <w:r>
              <w:rPr>
                <w:rFonts w:hint="eastAsia" w:ascii="仿宋" w:hAnsi="仿宋" w:eastAsia="仿宋" w:cs="宋体"/>
                <w:color w:val="000000"/>
                <w:szCs w:val="21"/>
                <w:highlight w:val="none"/>
                <w:u w:val="single"/>
                <w:lang w:val="en-US" w:eastAsia="zh-CN"/>
              </w:rPr>
              <w:t>6</w:t>
            </w:r>
            <w:r>
              <w:rPr>
                <w:rFonts w:hint="eastAsia" w:ascii="仿宋" w:hAnsi="仿宋" w:eastAsia="仿宋" w:cs="宋体"/>
                <w:color w:val="000000"/>
                <w:szCs w:val="21"/>
                <w:highlight w:val="none"/>
              </w:rPr>
              <w:t>份。</w:t>
            </w:r>
          </w:p>
        </w:tc>
      </w:tr>
      <w:tr w14:paraId="354C1DD1">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A2EECEF">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38162108">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纸质投标文件的密封、</w:t>
            </w:r>
          </w:p>
          <w:p w14:paraId="29325A66">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标记要求</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5DAC96EF">
            <w:pPr>
              <w:pStyle w:val="113"/>
              <w:keepNext w:val="0"/>
              <w:keepLines w:val="0"/>
              <w:suppressLineNumbers w:val="0"/>
              <w:spacing w:before="62" w:beforeLines="20" w:beforeAutospacing="0" w:after="62" w:afterLines="20" w:afterAutospacing="0"/>
              <w:ind w:left="0" w:right="0"/>
              <w:rPr>
                <w:rFonts w:hint="default" w:ascii="仿宋" w:hAnsi="仿宋" w:eastAsia="仿宋" w:cs="宋体"/>
                <w:bCs/>
                <w:color w:val="000000"/>
                <w:szCs w:val="21"/>
                <w:highlight w:val="none"/>
              </w:rPr>
            </w:pPr>
            <w:r>
              <w:rPr>
                <w:rFonts w:hint="eastAsia" w:ascii="仿宋" w:hAnsi="仿宋" w:eastAsia="仿宋" w:cs="宋体"/>
                <w:color w:val="000000"/>
                <w:szCs w:val="21"/>
                <w:highlight w:val="none"/>
              </w:rPr>
              <w:t>（1）采用A4纸胶装，双面打印，商务、技术、报价文件分别装订成册，密封粘接缝隙加盖投标人公章</w:t>
            </w:r>
            <w:r>
              <w:rPr>
                <w:rFonts w:hint="eastAsia" w:ascii="仿宋" w:hAnsi="仿宋" w:eastAsia="仿宋" w:cs="宋体"/>
                <w:b/>
                <w:bCs/>
                <w:color w:val="000000"/>
                <w:szCs w:val="21"/>
                <w:highlight w:val="none"/>
              </w:rPr>
              <w:t>或</w:t>
            </w:r>
            <w:r>
              <w:rPr>
                <w:rFonts w:hint="eastAsia" w:ascii="仿宋" w:hAnsi="仿宋" w:eastAsia="仿宋" w:cs="宋体"/>
                <w:color w:val="000000"/>
                <w:szCs w:val="21"/>
                <w:highlight w:val="none"/>
              </w:rPr>
              <w:t>由法定代表人（负责人）</w:t>
            </w:r>
            <w:r>
              <w:rPr>
                <w:rFonts w:hint="eastAsia" w:ascii="仿宋" w:hAnsi="仿宋" w:eastAsia="仿宋" w:cs="宋体"/>
                <w:b/>
                <w:bCs/>
                <w:color w:val="000000"/>
                <w:szCs w:val="21"/>
                <w:highlight w:val="none"/>
              </w:rPr>
              <w:t>或</w:t>
            </w:r>
            <w:r>
              <w:rPr>
                <w:rFonts w:hint="eastAsia" w:ascii="仿宋" w:hAnsi="仿宋" w:eastAsia="仿宋" w:cs="宋体"/>
                <w:color w:val="000000"/>
                <w:szCs w:val="21"/>
                <w:highlight w:val="none"/>
              </w:rPr>
              <w:t>其委托代理人签字。</w:t>
            </w:r>
            <w:r>
              <w:rPr>
                <w:rFonts w:hint="eastAsia" w:ascii="仿宋" w:hAnsi="仿宋" w:eastAsia="仿宋" w:cs="宋体"/>
                <w:b/>
                <w:color w:val="000000"/>
                <w:szCs w:val="21"/>
                <w:highlight w:val="none"/>
              </w:rPr>
              <w:t>未按要求密封</w:t>
            </w:r>
            <w:r>
              <w:rPr>
                <w:rFonts w:hint="eastAsia" w:ascii="仿宋" w:hAnsi="仿宋" w:eastAsia="仿宋" w:cs="宋体"/>
                <w:b/>
                <w:szCs w:val="21"/>
                <w:highlight w:val="none"/>
              </w:rPr>
              <w:t>的</w:t>
            </w:r>
            <w:r>
              <w:rPr>
                <w:rFonts w:hint="eastAsia" w:ascii="仿宋" w:hAnsi="仿宋" w:eastAsia="仿宋" w:cs="宋体"/>
                <w:b/>
                <w:szCs w:val="21"/>
                <w:highlight w:val="none"/>
                <w:lang w:eastAsia="zh-Hans"/>
              </w:rPr>
              <w:t>纸质</w:t>
            </w:r>
            <w:r>
              <w:rPr>
                <w:rFonts w:hint="eastAsia" w:ascii="仿宋" w:hAnsi="仿宋" w:eastAsia="仿宋" w:cs="宋体"/>
                <w:b/>
                <w:szCs w:val="21"/>
                <w:highlight w:val="none"/>
              </w:rPr>
              <w:t>投</w:t>
            </w:r>
            <w:r>
              <w:rPr>
                <w:rFonts w:hint="eastAsia" w:ascii="仿宋" w:hAnsi="仿宋" w:eastAsia="仿宋" w:cs="宋体"/>
                <w:b/>
                <w:color w:val="000000"/>
                <w:szCs w:val="21"/>
                <w:highlight w:val="none"/>
              </w:rPr>
              <w:t>标文件不予接收。</w:t>
            </w:r>
          </w:p>
          <w:p w14:paraId="5D0866F7">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000000"/>
                <w:szCs w:val="20"/>
                <w:highlight w:val="none"/>
              </w:rPr>
            </w:pPr>
            <w:r>
              <w:rPr>
                <w:rFonts w:hint="eastAsia" w:ascii="仿宋" w:hAnsi="仿宋" w:eastAsia="仿宋" w:cs="宋体"/>
                <w:bCs/>
                <w:color w:val="000000"/>
                <w:szCs w:val="21"/>
                <w:highlight w:val="none"/>
              </w:rPr>
              <w:t>（2）</w:t>
            </w:r>
            <w:r>
              <w:rPr>
                <w:rFonts w:hint="eastAsia" w:ascii="仿宋" w:hAnsi="仿宋" w:eastAsia="仿宋" w:cs="宋体"/>
                <w:color w:val="000000"/>
                <w:szCs w:val="21"/>
                <w:highlight w:val="none"/>
              </w:rPr>
              <w:t>外层包封具体样式如下：</w:t>
            </w:r>
          </w:p>
          <w:p w14:paraId="01977BB7">
            <w:pPr>
              <w:pStyle w:val="113"/>
              <w:keepNext w:val="0"/>
              <w:keepLines w:val="0"/>
              <w:suppressLineNumbers w:val="0"/>
              <w:spacing w:before="62" w:beforeLines="20" w:beforeAutospacing="0" w:after="62" w:afterLines="20" w:afterAutospacing="0"/>
              <w:ind w:left="0" w:right="0"/>
              <w:rPr>
                <w:rFonts w:hint="eastAsia" w:ascii="仿宋" w:hAnsi="仿宋" w:eastAsia="仿宋" w:cs="宋体"/>
                <w:b/>
                <w:color w:val="000000"/>
                <w:szCs w:val="21"/>
                <w:highlight w:val="none"/>
                <w:lang w:eastAsia="zh-Hans"/>
              </w:rPr>
            </w:pPr>
            <w:r>
              <w:rPr>
                <w:rFonts w:hint="eastAsia" w:ascii="仿宋" w:hAnsi="仿宋" w:eastAsia="仿宋" w:cs="宋体"/>
                <w:color w:val="000000"/>
                <w:szCs w:val="21"/>
                <w:highlight w:val="none"/>
              </w:rPr>
              <mc:AlternateContent>
                <mc:Choice Requires="wps">
                  <w:drawing>
                    <wp:inline distT="0" distB="0" distL="114300" distR="114300">
                      <wp:extent cx="3823970" cy="2676525"/>
                      <wp:effectExtent l="4445" t="4445" r="6985" b="11430"/>
                      <wp:docPr id="1" name="文本框 25"/>
                      <wp:cNvGraphicFramePr/>
                      <a:graphic xmlns:a="http://schemas.openxmlformats.org/drawingml/2006/main">
                        <a:graphicData uri="http://schemas.microsoft.com/office/word/2010/wordprocessingShape">
                          <wps:wsp>
                            <wps:cNvSpPr txBox="1">
                              <a:spLocks noRot="1"/>
                            </wps:cNvSpPr>
                            <wps:spPr>
                              <a:xfrm>
                                <a:off x="0" y="0"/>
                                <a:ext cx="3823970" cy="26765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CB5056F">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51456D4A">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14:paraId="60E845F9">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14:paraId="44516FCE">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14:paraId="279D12C7">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3A5640A0">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14:paraId="5A344A19">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514BF9D">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wps:txbx>
                            <wps:bodyPr wrap="square" upright="1">
                              <a:spAutoFit/>
                            </wps:bodyPr>
                          </wps:wsp>
                        </a:graphicData>
                      </a:graphic>
                    </wp:inline>
                  </w:drawing>
                </mc:Choice>
                <mc:Fallback>
                  <w:pict>
                    <v:shape id="文本框 25" o:spid="_x0000_s1026" o:spt="202" type="#_x0000_t202" style="height:210.75pt;width:301.1pt;" fillcolor="#FFFFFF" filled="t" stroked="t" coordsize="21600,21600" o:gfxdata="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C9wGLVAAAABQEAAA8AAAAAAAAAAQAgAAAAIgAAAGRycy9kb3ducmV2LnhtbFBL&#10;AQIUABQAAAAIAIdO4kDVM+XqMgIAAIMEAAAOAAAAAAAAAAEAIAAAACQBAABkcnMvZTJvRG9jLnht&#10;bFBLBQYAAAAABgAGAFkBAADIBQAAAAA=&#10;">
                      <v:fill on="t" focussize="0,0"/>
                      <v:stroke color="#000000" joinstyle="miter"/>
                      <v:imagedata o:title=""/>
                      <o:lock v:ext="edit" rotation="t" aspectratio="f"/>
                      <v:textbox style="mso-fit-shape-to-text:t;">
                        <w:txbxContent>
                          <w:p w14:paraId="4CB5056F">
                            <w:pPr>
                              <w:rPr>
                                <w:rFonts w:hint="eastAsia" w:ascii="仿宋" w:hAnsi="仿宋" w:eastAsia="仿宋" w:cs="仿宋"/>
                                <w:kern w:val="0"/>
                                <w:szCs w:val="21"/>
                                <w:u w:val="single"/>
                              </w:rPr>
                            </w:pPr>
                            <w:r>
                              <w:rPr>
                                <w:rFonts w:hint="eastAsia" w:ascii="仿宋" w:hAnsi="仿宋" w:eastAsia="仿宋" w:cs="仿宋"/>
                                <w:kern w:val="0"/>
                                <w:szCs w:val="21"/>
                              </w:rPr>
                              <w:t>项目名称：</w:t>
                            </w:r>
                            <w:r>
                              <w:rPr>
                                <w:rFonts w:hint="eastAsia" w:ascii="仿宋" w:hAnsi="仿宋" w:eastAsia="仿宋" w:cs="仿宋"/>
                                <w:kern w:val="0"/>
                                <w:szCs w:val="21"/>
                                <w:u w:val="single"/>
                              </w:rPr>
                              <w:t xml:space="preserve">                </w:t>
                            </w:r>
                            <w:r>
                              <w:rPr>
                                <w:rFonts w:hint="eastAsia" w:ascii="仿宋" w:hAnsi="仿宋" w:eastAsia="仿宋" w:cs="仿宋"/>
                                <w:kern w:val="0"/>
                                <w:szCs w:val="21"/>
                              </w:rPr>
                              <w:t xml:space="preserve">    </w:t>
                            </w:r>
                          </w:p>
                          <w:p w14:paraId="51456D4A">
                            <w:pPr>
                              <w:rPr>
                                <w:rFonts w:hint="eastAsia" w:ascii="仿宋" w:hAnsi="仿宋" w:eastAsia="仿宋" w:cs="仿宋"/>
                                <w:kern w:val="0"/>
                                <w:szCs w:val="21"/>
                                <w:u w:val="single"/>
                              </w:rPr>
                            </w:pPr>
                            <w:r>
                              <w:rPr>
                                <w:rFonts w:hint="eastAsia" w:ascii="仿宋" w:hAnsi="仿宋" w:eastAsia="仿宋" w:cs="仿宋"/>
                                <w:kern w:val="0"/>
                                <w:szCs w:val="21"/>
                              </w:rPr>
                              <w:t>招标人名称：</w:t>
                            </w:r>
                            <w:r>
                              <w:rPr>
                                <w:rFonts w:hint="eastAsia" w:ascii="仿宋" w:hAnsi="仿宋" w:eastAsia="仿宋" w:cs="仿宋"/>
                                <w:kern w:val="0"/>
                                <w:szCs w:val="21"/>
                                <w:u w:val="single"/>
                              </w:rPr>
                              <w:t xml:space="preserve">                 </w:t>
                            </w:r>
                          </w:p>
                          <w:p w14:paraId="60E845F9">
                            <w:pPr>
                              <w:rPr>
                                <w:rFonts w:hint="eastAsia" w:ascii="仿宋" w:hAnsi="仿宋" w:eastAsia="仿宋" w:cs="仿宋"/>
                                <w:kern w:val="0"/>
                                <w:szCs w:val="21"/>
                                <w:u w:val="single"/>
                              </w:rPr>
                            </w:pPr>
                            <w:r>
                              <w:rPr>
                                <w:rFonts w:hint="eastAsia" w:ascii="仿宋" w:hAnsi="仿宋" w:eastAsia="仿宋" w:cs="仿宋"/>
                                <w:kern w:val="0"/>
                                <w:szCs w:val="21"/>
                              </w:rPr>
                              <w:t>招标人地址：</w:t>
                            </w:r>
                            <w:r>
                              <w:rPr>
                                <w:rFonts w:hint="eastAsia" w:ascii="仿宋" w:hAnsi="仿宋" w:eastAsia="仿宋" w:cs="仿宋"/>
                                <w:kern w:val="0"/>
                                <w:szCs w:val="21"/>
                                <w:u w:val="single"/>
                              </w:rPr>
                              <w:t xml:space="preserve">                 </w:t>
                            </w:r>
                          </w:p>
                          <w:p w14:paraId="44516FCE">
                            <w:pPr>
                              <w:jc w:val="center"/>
                              <w:rPr>
                                <w:rFonts w:hint="eastAsia" w:ascii="仿宋" w:hAnsi="仿宋" w:eastAsia="仿宋" w:cs="仿宋"/>
                                <w:kern w:val="0"/>
                                <w:szCs w:val="21"/>
                              </w:rPr>
                            </w:pPr>
                            <w:r>
                              <w:rPr>
                                <w:rFonts w:hint="eastAsia" w:ascii="仿宋" w:hAnsi="仿宋" w:eastAsia="仿宋" w:cs="仿宋"/>
                                <w:kern w:val="0"/>
                                <w:szCs w:val="21"/>
                              </w:rPr>
                              <w:t>本文件于</w:t>
                            </w:r>
                            <w:r>
                              <w:rPr>
                                <w:rFonts w:hint="eastAsia" w:ascii="仿宋" w:hAnsi="仿宋" w:eastAsia="仿宋" w:cs="仿宋"/>
                                <w:szCs w:val="21"/>
                              </w:rPr>
                              <w:t>【</w:t>
                            </w:r>
                            <w:r>
                              <w:rPr>
                                <w:rFonts w:hint="eastAsia" w:ascii="仿宋" w:hAnsi="仿宋" w:eastAsia="仿宋" w:cs="仿宋"/>
                                <w:szCs w:val="21"/>
                                <w:u w:val="single"/>
                              </w:rPr>
                              <w:t>XX</w:t>
                            </w:r>
                            <w:r>
                              <w:rPr>
                                <w:rFonts w:hint="eastAsia" w:ascii="仿宋" w:hAnsi="仿宋" w:eastAsia="仿宋" w:cs="仿宋"/>
                                <w:szCs w:val="21"/>
                              </w:rPr>
                              <w:t>】年【</w:t>
                            </w:r>
                            <w:r>
                              <w:rPr>
                                <w:rFonts w:hint="eastAsia" w:ascii="仿宋" w:hAnsi="仿宋" w:eastAsia="仿宋" w:cs="仿宋"/>
                                <w:szCs w:val="21"/>
                                <w:u w:val="single"/>
                              </w:rPr>
                              <w:t>XX</w:t>
                            </w:r>
                            <w:r>
                              <w:rPr>
                                <w:rFonts w:hint="eastAsia" w:ascii="仿宋" w:hAnsi="仿宋" w:eastAsia="仿宋" w:cs="仿宋"/>
                                <w:szCs w:val="21"/>
                              </w:rPr>
                              <w:t>】月【</w:t>
                            </w:r>
                            <w:r>
                              <w:rPr>
                                <w:rFonts w:hint="eastAsia" w:ascii="仿宋" w:hAnsi="仿宋" w:eastAsia="仿宋" w:cs="仿宋"/>
                                <w:szCs w:val="21"/>
                                <w:u w:val="single"/>
                              </w:rPr>
                              <w:t>XX</w:t>
                            </w:r>
                            <w:r>
                              <w:rPr>
                                <w:rFonts w:hint="eastAsia" w:ascii="仿宋" w:hAnsi="仿宋" w:eastAsia="仿宋" w:cs="仿宋"/>
                                <w:szCs w:val="21"/>
                              </w:rPr>
                              <w:t>】日【</w:t>
                            </w:r>
                            <w:r>
                              <w:rPr>
                                <w:rFonts w:hint="eastAsia" w:ascii="仿宋" w:hAnsi="仿宋" w:eastAsia="仿宋" w:cs="仿宋"/>
                                <w:szCs w:val="21"/>
                                <w:u w:val="single"/>
                              </w:rPr>
                              <w:t>XX</w:t>
                            </w:r>
                            <w:r>
                              <w:rPr>
                                <w:rFonts w:hint="eastAsia" w:ascii="仿宋" w:hAnsi="仿宋" w:eastAsia="仿宋" w:cs="仿宋"/>
                                <w:szCs w:val="21"/>
                              </w:rPr>
                              <w:t>】时【</w:t>
                            </w:r>
                            <w:r>
                              <w:rPr>
                                <w:rFonts w:hint="eastAsia" w:ascii="仿宋" w:hAnsi="仿宋" w:eastAsia="仿宋" w:cs="仿宋"/>
                                <w:szCs w:val="21"/>
                                <w:u w:val="single"/>
                              </w:rPr>
                              <w:t>XX</w:t>
                            </w:r>
                            <w:r>
                              <w:rPr>
                                <w:rFonts w:hint="eastAsia" w:ascii="仿宋" w:hAnsi="仿宋" w:eastAsia="仿宋" w:cs="仿宋"/>
                                <w:szCs w:val="21"/>
                              </w:rPr>
                              <w:t>】分</w:t>
                            </w:r>
                            <w:r>
                              <w:rPr>
                                <w:rFonts w:hint="eastAsia" w:ascii="仿宋" w:hAnsi="仿宋" w:eastAsia="仿宋" w:cs="仿宋"/>
                                <w:kern w:val="0"/>
                                <w:szCs w:val="21"/>
                              </w:rPr>
                              <w:t>（北京时间）（开标时间）前不得开封</w:t>
                            </w:r>
                          </w:p>
                          <w:p w14:paraId="279D12C7">
                            <w:pPr>
                              <w:rPr>
                                <w:rFonts w:hint="eastAsia" w:ascii="仿宋" w:hAnsi="仿宋" w:eastAsia="仿宋" w:cs="仿宋"/>
                                <w:kern w:val="0"/>
                                <w:szCs w:val="21"/>
                              </w:rPr>
                            </w:pPr>
                            <w:r>
                              <w:rPr>
                                <w:rFonts w:hint="eastAsia" w:ascii="仿宋" w:hAnsi="仿宋" w:eastAsia="仿宋" w:cs="仿宋"/>
                                <w:kern w:val="0"/>
                                <w:szCs w:val="21"/>
                              </w:rPr>
                              <w:t>投标人名称：</w:t>
                            </w:r>
                            <w:r>
                              <w:rPr>
                                <w:rFonts w:hint="eastAsia" w:ascii="仿宋" w:hAnsi="仿宋" w:eastAsia="仿宋" w:cs="仿宋"/>
                                <w:kern w:val="0"/>
                                <w:szCs w:val="21"/>
                                <w:u w:val="single"/>
                              </w:rPr>
                              <w:t xml:space="preserve">               </w:t>
                            </w:r>
                            <w:r>
                              <w:rPr>
                                <w:rFonts w:hint="eastAsia" w:ascii="仿宋" w:hAnsi="仿宋" w:eastAsia="仿宋" w:cs="仿宋"/>
                                <w:kern w:val="0"/>
                                <w:szCs w:val="21"/>
                              </w:rPr>
                              <w:t>（公章）</w:t>
                            </w:r>
                          </w:p>
                          <w:p w14:paraId="3A5640A0">
                            <w:pPr>
                              <w:rPr>
                                <w:rFonts w:hint="eastAsia" w:ascii="仿宋" w:hAnsi="仿宋" w:eastAsia="仿宋" w:cs="仿宋"/>
                                <w:kern w:val="0"/>
                                <w:szCs w:val="21"/>
                                <w:u w:val="single"/>
                              </w:rPr>
                            </w:pPr>
                            <w:r>
                              <w:rPr>
                                <w:rFonts w:hint="eastAsia" w:ascii="仿宋" w:hAnsi="仿宋" w:eastAsia="仿宋" w:cs="仿宋"/>
                                <w:kern w:val="0"/>
                                <w:szCs w:val="21"/>
                              </w:rPr>
                              <w:t>投标人地址：</w:t>
                            </w:r>
                            <w:r>
                              <w:rPr>
                                <w:rFonts w:hint="eastAsia" w:ascii="仿宋" w:hAnsi="仿宋" w:eastAsia="仿宋" w:cs="仿宋"/>
                                <w:kern w:val="0"/>
                                <w:szCs w:val="21"/>
                                <w:u w:val="single"/>
                              </w:rPr>
                              <w:t xml:space="preserve">                 </w:t>
                            </w:r>
                          </w:p>
                          <w:p w14:paraId="5A344A19">
                            <w:pPr>
                              <w:rPr>
                                <w:rFonts w:hint="eastAsia" w:ascii="仿宋" w:hAnsi="仿宋" w:eastAsia="仿宋" w:cs="仿宋"/>
                                <w:kern w:val="0"/>
                                <w:szCs w:val="21"/>
                                <w:u w:val="single"/>
                              </w:rPr>
                            </w:pPr>
                            <w:r>
                              <w:rPr>
                                <w:rFonts w:hint="eastAsia" w:ascii="仿宋" w:hAnsi="仿宋" w:eastAsia="仿宋" w:cs="仿宋"/>
                                <w:kern w:val="0"/>
                                <w:szCs w:val="21"/>
                              </w:rPr>
                              <w:t>封装文件内容：</w:t>
                            </w:r>
                            <w:r>
                              <w:rPr>
                                <w:rFonts w:hint="eastAsia" w:ascii="仿宋" w:hAnsi="仿宋" w:eastAsia="仿宋" w:cs="仿宋"/>
                                <w:kern w:val="0"/>
                                <w:szCs w:val="21"/>
                                <w:u w:val="single"/>
                              </w:rPr>
                              <w:t xml:space="preserve">                 </w:t>
                            </w:r>
                          </w:p>
                          <w:p w14:paraId="6514BF9D">
                            <w:pPr>
                              <w:rPr>
                                <w:rFonts w:hint="eastAsia" w:ascii="仿宋" w:hAnsi="仿宋" w:eastAsia="仿宋" w:cs="仿宋"/>
                              </w:rPr>
                            </w:pPr>
                            <w:r>
                              <w:rPr>
                                <w:rFonts w:hint="eastAsia" w:ascii="仿宋" w:hAnsi="仿宋" w:eastAsia="仿宋" w:cs="仿宋"/>
                                <w:kern w:val="0"/>
                                <w:szCs w:val="21"/>
                              </w:rPr>
                              <w:t>投标人联系人及联系电话：</w:t>
                            </w:r>
                            <w:r>
                              <w:rPr>
                                <w:rFonts w:hint="eastAsia" w:ascii="仿宋" w:hAnsi="仿宋" w:eastAsia="仿宋" w:cs="仿宋"/>
                                <w:kern w:val="0"/>
                                <w:szCs w:val="21"/>
                                <w:u w:val="single"/>
                              </w:rPr>
                              <w:t xml:space="preserve">                 </w:t>
                            </w:r>
                          </w:p>
                        </w:txbxContent>
                      </v:textbox>
                      <w10:wrap type="none"/>
                      <w10:anchorlock/>
                    </v:shape>
                  </w:pict>
                </mc:Fallback>
              </mc:AlternateContent>
            </w:r>
          </w:p>
        </w:tc>
      </w:tr>
      <w:tr w14:paraId="6715CE28">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2F5CACE">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kern w:val="0"/>
                <w:sz w:val="21"/>
                <w:szCs w:val="21"/>
                <w:lang w:val="en-US" w:eastAsia="zh-CN" w:bidi="ar-SA"/>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7E9BC310">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pacing w:val="-6"/>
                <w:kern w:val="0"/>
                <w:sz w:val="21"/>
                <w:szCs w:val="21"/>
                <w:lang w:val="en-US" w:eastAsia="zh-CN" w:bidi="ar-SA"/>
              </w:rPr>
            </w:pPr>
            <w:r>
              <w:rPr>
                <w:rFonts w:hint="eastAsia" w:ascii="仿宋" w:hAnsi="仿宋" w:eastAsia="仿宋" w:cs="宋体"/>
                <w:color w:val="000000"/>
                <w:spacing w:val="-6"/>
                <w:szCs w:val="21"/>
              </w:rPr>
              <w:t>投标文件递交截止时间</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75F586AF">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b/>
                <w:color w:val="000000"/>
                <w:kern w:val="2"/>
                <w:sz w:val="21"/>
                <w:szCs w:val="21"/>
                <w:lang w:val="en-US" w:eastAsia="zh-CN" w:bidi="ar-SA"/>
              </w:rPr>
            </w:pPr>
            <w:r>
              <w:rPr>
                <w:rFonts w:hint="eastAsia" w:ascii="仿宋" w:hAnsi="仿宋" w:eastAsia="仿宋" w:cs="宋体"/>
                <w:color w:val="000000"/>
                <w:szCs w:val="21"/>
              </w:rPr>
              <w:t>详见第一章 招标公告“六、投标文件的递交”</w:t>
            </w:r>
          </w:p>
        </w:tc>
      </w:tr>
      <w:tr w14:paraId="67A72E47">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60754FC8">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kern w:val="0"/>
                <w:sz w:val="21"/>
                <w:szCs w:val="21"/>
                <w:lang w:val="en-US" w:eastAsia="zh-CN" w:bidi="ar-SA"/>
              </w:rPr>
            </w:pPr>
          </w:p>
        </w:tc>
        <w:tc>
          <w:tcPr>
            <w:tcW w:w="1205" w:type="pct"/>
            <w:tcBorders>
              <w:top w:val="single" w:color="auto" w:sz="4" w:space="0"/>
              <w:left w:val="single" w:color="auto" w:sz="4" w:space="0"/>
              <w:bottom w:val="single" w:color="auto" w:sz="4" w:space="0"/>
              <w:right w:val="single" w:color="auto" w:sz="4" w:space="0"/>
            </w:tcBorders>
            <w:noWrap w:val="0"/>
            <w:vAlign w:val="center"/>
          </w:tcPr>
          <w:p w14:paraId="1A2124E9">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kern w:val="0"/>
                <w:sz w:val="21"/>
                <w:szCs w:val="21"/>
                <w:lang w:val="en-US" w:eastAsia="zh-CN" w:bidi="ar-SA"/>
              </w:rPr>
            </w:pPr>
            <w:r>
              <w:rPr>
                <w:rFonts w:hint="eastAsia" w:ascii="仿宋" w:hAnsi="仿宋" w:eastAsia="仿宋" w:cs="宋体"/>
                <w:color w:val="000000"/>
                <w:szCs w:val="21"/>
              </w:rPr>
              <w:t>投标文件递交地点</w:t>
            </w:r>
          </w:p>
        </w:tc>
        <w:tc>
          <w:tcPr>
            <w:tcW w:w="3167" w:type="pct"/>
            <w:tcBorders>
              <w:top w:val="single" w:color="auto" w:sz="4" w:space="0"/>
              <w:left w:val="single" w:color="auto" w:sz="4" w:space="0"/>
              <w:bottom w:val="single" w:color="auto" w:sz="4" w:space="0"/>
              <w:right w:val="single" w:color="auto" w:sz="4" w:space="0"/>
            </w:tcBorders>
            <w:noWrap w:val="0"/>
            <w:vAlign w:val="center"/>
          </w:tcPr>
          <w:p w14:paraId="47E8D332">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b/>
                <w:color w:val="000000"/>
                <w:kern w:val="2"/>
                <w:sz w:val="21"/>
                <w:szCs w:val="21"/>
                <w:lang w:val="en-US" w:eastAsia="zh-CN" w:bidi="ar-SA"/>
              </w:rPr>
            </w:pPr>
            <w:r>
              <w:rPr>
                <w:rFonts w:hint="eastAsia" w:ascii="仿宋" w:hAnsi="仿宋" w:eastAsia="仿宋" w:cs="宋体"/>
                <w:color w:val="000000"/>
                <w:szCs w:val="21"/>
              </w:rPr>
              <w:t>详见第一章 招标公告“六、投标文件的递交”</w:t>
            </w:r>
          </w:p>
        </w:tc>
      </w:tr>
      <w:tr w14:paraId="006FCA4F">
        <w:tblPrEx>
          <w:tblCellMar>
            <w:top w:w="0" w:type="dxa"/>
            <w:left w:w="108" w:type="dxa"/>
            <w:bottom w:w="0" w:type="dxa"/>
            <w:right w:w="108" w:type="dxa"/>
          </w:tblCellMar>
        </w:tblPrEx>
        <w:trPr>
          <w:trHeight w:val="907" w:hRule="atLeast"/>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0AD56627">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kern w:val="0"/>
                <w:sz w:val="21"/>
                <w:szCs w:val="21"/>
                <w:lang w:val="en-US" w:eastAsia="zh-CN" w:bidi="ar-SA"/>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0699775E">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kern w:val="0"/>
                <w:sz w:val="21"/>
                <w:szCs w:val="21"/>
                <w:lang w:val="en-US" w:eastAsia="zh-CN" w:bidi="ar-SA"/>
              </w:rPr>
            </w:pPr>
            <w:r>
              <w:rPr>
                <w:rFonts w:hint="eastAsia" w:ascii="仿宋" w:hAnsi="仿宋" w:eastAsia="仿宋" w:cs="宋体"/>
                <w:color w:val="000000"/>
                <w:szCs w:val="21"/>
              </w:rPr>
              <w:t>投标文件退还</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67CC177">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rPr>
            </w:pPr>
            <w:r>
              <w:rPr>
                <w:rFonts w:hint="eastAsia" w:ascii="仿宋" w:hAnsi="仿宋" w:eastAsia="仿宋" w:cs="仿宋"/>
                <w:color w:val="auto"/>
                <w:szCs w:val="21"/>
                <w:highlight w:val="none"/>
              </w:rPr>
              <w:t>■</w:t>
            </w:r>
            <w:r>
              <w:rPr>
                <w:rFonts w:hint="eastAsia" w:ascii="仿宋" w:hAnsi="仿宋" w:eastAsia="仿宋" w:cs="宋体"/>
                <w:color w:val="auto"/>
                <w:szCs w:val="21"/>
              </w:rPr>
              <w:t>不退还</w:t>
            </w:r>
          </w:p>
          <w:p w14:paraId="4545310C">
            <w:pPr>
              <w:pStyle w:val="118"/>
              <w:keepNext w:val="0"/>
              <w:keepLines w:val="0"/>
              <w:suppressLineNumbers w:val="0"/>
              <w:spacing w:before="62" w:beforeLines="20" w:beforeAutospacing="0" w:after="62" w:afterLines="20" w:afterAutospacing="0" w:line="312" w:lineRule="auto"/>
              <w:ind w:left="0" w:leftChars="0" w:right="0" w:rightChars="0"/>
              <w:rPr>
                <w:rFonts w:hint="eastAsia" w:ascii="仿宋" w:hAnsi="仿宋" w:eastAsia="仿宋" w:cs="宋体"/>
                <w:color w:val="000000"/>
                <w:kern w:val="0"/>
                <w:sz w:val="21"/>
                <w:szCs w:val="21"/>
                <w:u w:val="single"/>
                <w:lang w:val="en-US" w:eastAsia="zh-CN" w:bidi="ar-SA"/>
              </w:rPr>
            </w:pPr>
            <w:r>
              <w:rPr>
                <w:rFonts w:hint="eastAsia" w:ascii="仿宋" w:hAnsi="仿宋" w:eastAsia="仿宋" w:cs="宋体"/>
                <w:color w:val="auto"/>
                <w:sz w:val="21"/>
                <w:szCs w:val="21"/>
              </w:rPr>
              <w:t>□退还</w:t>
            </w:r>
          </w:p>
        </w:tc>
      </w:tr>
      <w:tr w14:paraId="5E0794BC">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76B38AE">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28321D35">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评标委员会组成人数</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36ECB439">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auto"/>
                <w:szCs w:val="21"/>
                <w:highlight w:val="none"/>
                <w:u w:val="single"/>
                <w:lang w:val="en-US" w:eastAsia="zh-CN"/>
              </w:rPr>
              <w:t>7</w:t>
            </w:r>
            <w:r>
              <w:rPr>
                <w:rFonts w:hint="eastAsia" w:ascii="仿宋" w:hAnsi="仿宋" w:eastAsia="仿宋" w:cs="宋体"/>
                <w:color w:val="auto"/>
                <w:szCs w:val="21"/>
                <w:highlight w:val="none"/>
              </w:rPr>
              <w:t>人</w:t>
            </w:r>
          </w:p>
        </w:tc>
      </w:tr>
      <w:tr w14:paraId="01544456">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801531C">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412DA0C4">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评标方法</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28C3A182">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□经评审的最低投标价法</w:t>
            </w:r>
          </w:p>
          <w:p w14:paraId="524B9F14">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综合评分法</w:t>
            </w:r>
          </w:p>
          <w:p w14:paraId="5E0265F8">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auto"/>
                <w:szCs w:val="21"/>
                <w:highlight w:val="none"/>
              </w:rPr>
              <w:t>□其他：</w:t>
            </w:r>
            <w:r>
              <w:rPr>
                <w:rFonts w:hint="eastAsia" w:ascii="仿宋" w:hAnsi="仿宋" w:eastAsia="仿宋" w:cs="宋体"/>
                <w:color w:val="auto"/>
                <w:szCs w:val="21"/>
                <w:highlight w:val="none"/>
                <w:u w:val="single"/>
              </w:rPr>
              <w:t xml:space="preserve">   </w:t>
            </w:r>
            <w:r>
              <w:rPr>
                <w:rFonts w:hint="default"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rPr>
              <w:t xml:space="preserve">   </w:t>
            </w:r>
          </w:p>
        </w:tc>
      </w:tr>
      <w:tr w14:paraId="3272A764">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70B09B94">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5B45BA91">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中标人候选人推荐原则</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9620E92">
            <w:pPr>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auto"/>
                <w:szCs w:val="21"/>
                <w:highlight w:val="none"/>
              </w:rPr>
              <w:t>评标委员会根据有效投标人综合得分由高至低排出的名次，顺序推荐</w:t>
            </w:r>
            <w:r>
              <w:rPr>
                <w:rFonts w:hint="eastAsia" w:ascii="仿宋" w:hAnsi="仿宋" w:eastAsia="仿宋" w:cs="宋体"/>
                <w:color w:val="auto"/>
                <w:szCs w:val="21"/>
                <w:highlight w:val="none"/>
                <w:lang w:val="en-US" w:eastAsia="zh-CN"/>
              </w:rPr>
              <w:t>第一标包：</w:t>
            </w:r>
            <w:r>
              <w:rPr>
                <w:rFonts w:hint="eastAsia" w:ascii="仿宋" w:hAnsi="仿宋" w:eastAsia="仿宋" w:cs="宋体"/>
                <w:color w:val="auto"/>
                <w:szCs w:val="21"/>
                <w:highlight w:val="none"/>
                <w:u w:val="single"/>
              </w:rPr>
              <w:t>综合得分前</w:t>
            </w:r>
            <w:r>
              <w:rPr>
                <w:rFonts w:hint="eastAsia" w:ascii="仿宋" w:hAnsi="仿宋" w:eastAsia="仿宋" w:cs="宋体"/>
                <w:color w:val="auto"/>
                <w:szCs w:val="21"/>
                <w:highlight w:val="none"/>
                <w:u w:val="single"/>
                <w:lang w:val="en-US" w:eastAsia="zh-CN"/>
              </w:rPr>
              <w:t>6</w:t>
            </w:r>
            <w:r>
              <w:rPr>
                <w:rFonts w:hint="eastAsia" w:ascii="仿宋" w:hAnsi="仿宋" w:eastAsia="仿宋" w:cs="宋体"/>
                <w:color w:val="auto"/>
                <w:szCs w:val="21"/>
                <w:highlight w:val="none"/>
                <w:u w:val="single"/>
              </w:rPr>
              <w:t>名</w:t>
            </w:r>
            <w:r>
              <w:rPr>
                <w:rFonts w:hint="eastAsia" w:ascii="仿宋" w:hAnsi="仿宋" w:eastAsia="仿宋" w:cs="宋体"/>
                <w:color w:val="auto"/>
                <w:szCs w:val="21"/>
                <w:highlight w:val="none"/>
              </w:rPr>
              <w:t>为中标候选人</w:t>
            </w:r>
            <w:r>
              <w:rPr>
                <w:rFonts w:hint="eastAsia" w:ascii="仿宋" w:hAnsi="仿宋" w:eastAsia="仿宋" w:cs="宋体"/>
                <w:color w:val="auto"/>
                <w:szCs w:val="21"/>
                <w:highlight w:val="none"/>
                <w:u w:val="none"/>
                <w:lang w:eastAsia="zh-CN"/>
              </w:rPr>
              <w:t>、</w:t>
            </w:r>
            <w:r>
              <w:rPr>
                <w:rFonts w:hint="eastAsia" w:ascii="仿宋" w:hAnsi="仿宋" w:eastAsia="仿宋" w:cs="宋体"/>
                <w:color w:val="auto"/>
                <w:szCs w:val="21"/>
                <w:highlight w:val="none"/>
                <w:u w:val="none"/>
                <w:lang w:val="en-US" w:eastAsia="zh-CN"/>
              </w:rPr>
              <w:t>第二标包：</w:t>
            </w:r>
            <w:r>
              <w:rPr>
                <w:rFonts w:hint="eastAsia" w:ascii="仿宋" w:hAnsi="仿宋" w:eastAsia="仿宋" w:cs="宋体"/>
                <w:color w:val="auto"/>
                <w:szCs w:val="21"/>
                <w:highlight w:val="none"/>
                <w:u w:val="single"/>
              </w:rPr>
              <w:t>综合得分前</w:t>
            </w:r>
            <w:r>
              <w:rPr>
                <w:rFonts w:hint="eastAsia" w:ascii="仿宋" w:hAnsi="仿宋" w:eastAsia="仿宋" w:cs="宋体"/>
                <w:color w:val="auto"/>
                <w:szCs w:val="21"/>
                <w:highlight w:val="none"/>
                <w:u w:val="single"/>
                <w:lang w:val="en-US" w:eastAsia="zh-CN"/>
              </w:rPr>
              <w:t>3</w:t>
            </w:r>
            <w:r>
              <w:rPr>
                <w:rFonts w:hint="eastAsia" w:ascii="仿宋" w:hAnsi="仿宋" w:eastAsia="仿宋" w:cs="宋体"/>
                <w:color w:val="auto"/>
                <w:szCs w:val="21"/>
                <w:highlight w:val="none"/>
                <w:u w:val="single"/>
              </w:rPr>
              <w:t>名</w:t>
            </w:r>
            <w:r>
              <w:rPr>
                <w:rFonts w:hint="eastAsia" w:ascii="仿宋" w:hAnsi="仿宋" w:eastAsia="仿宋" w:cs="宋体"/>
                <w:color w:val="auto"/>
                <w:szCs w:val="21"/>
                <w:highlight w:val="none"/>
              </w:rPr>
              <w:t>为中标候选人。综合得分相同时，价格得分高者排名优先；价格得分也相同时，</w:t>
            </w:r>
            <w:r>
              <w:rPr>
                <w:rFonts w:hint="eastAsia" w:ascii="仿宋" w:hAnsi="仿宋" w:eastAsia="仿宋" w:cs="宋体"/>
                <w:color w:val="auto"/>
                <w:szCs w:val="21"/>
                <w:highlight w:val="none"/>
                <w:u w:val="single"/>
              </w:rPr>
              <w:t>技术</w:t>
            </w:r>
            <w:r>
              <w:rPr>
                <w:rFonts w:hint="eastAsia" w:ascii="仿宋" w:hAnsi="仿宋" w:eastAsia="仿宋" w:cs="宋体"/>
                <w:color w:val="auto"/>
                <w:szCs w:val="21"/>
                <w:highlight w:val="none"/>
                <w:u w:val="single"/>
                <w:lang w:val="en-US" w:eastAsia="zh-CN"/>
              </w:rPr>
              <w:t>部分</w:t>
            </w:r>
            <w:r>
              <w:rPr>
                <w:rFonts w:hint="eastAsia" w:ascii="仿宋" w:hAnsi="仿宋" w:eastAsia="仿宋" w:cs="宋体"/>
                <w:color w:val="auto"/>
                <w:szCs w:val="21"/>
                <w:highlight w:val="none"/>
              </w:rPr>
              <w:t>得分高者排名优先。</w:t>
            </w:r>
          </w:p>
        </w:tc>
      </w:tr>
      <w:tr w14:paraId="217A5E54">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13E54CA3">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40533CD6">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中标人确定</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30E6D281">
            <w:pPr>
              <w:pStyle w:val="113"/>
              <w:keepNext w:val="0"/>
              <w:keepLines w:val="0"/>
              <w:suppressLineNumbers w:val="0"/>
              <w:spacing w:before="62" w:beforeLines="20" w:beforeAutospacing="0" w:after="62" w:afterLines="20" w:afterAutospacing="0"/>
              <w:ind w:left="0" w:right="0"/>
              <w:rPr>
                <w:rFonts w:hint="eastAsia" w:ascii="仿宋" w:hAnsi="仿宋" w:eastAsia="仿宋" w:cs="宋体"/>
                <w:color w:val="auto"/>
                <w:szCs w:val="21"/>
                <w:highlight w:val="none"/>
              </w:rPr>
            </w:pPr>
            <w:r>
              <w:rPr>
                <w:rFonts w:hint="eastAsia" w:ascii="仿宋" w:hAnsi="仿宋" w:eastAsia="仿宋" w:cs="宋体"/>
                <w:color w:val="auto"/>
                <w:szCs w:val="21"/>
                <w:highlight w:val="none"/>
              </w:rPr>
              <w:t>□评标委员会直接确定中标人，中标人数量：</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u w:val="single"/>
                <w:lang w:val="en-US" w:eastAsia="zh-CN"/>
              </w:rPr>
              <w:t xml:space="preserve"> </w:t>
            </w:r>
            <w:r>
              <w:rPr>
                <w:rFonts w:hint="eastAsia" w:ascii="仿宋" w:hAnsi="仿宋" w:eastAsia="仿宋" w:cs="宋体"/>
                <w:color w:val="auto"/>
                <w:szCs w:val="21"/>
                <w:highlight w:val="none"/>
                <w:u w:val="single"/>
              </w:rPr>
              <w:t xml:space="preserve"> </w:t>
            </w:r>
            <w:r>
              <w:rPr>
                <w:rFonts w:hint="eastAsia" w:ascii="仿宋" w:hAnsi="仿宋" w:eastAsia="仿宋" w:cs="宋体"/>
                <w:color w:val="auto"/>
                <w:szCs w:val="21"/>
                <w:highlight w:val="none"/>
              </w:rPr>
              <w:t>个</w:t>
            </w:r>
          </w:p>
          <w:p w14:paraId="05BBBD75">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lang w:eastAsia="zh-CN"/>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招标人根据评标委员会推荐的中标候选人名单确定中标人，</w:t>
            </w:r>
            <w:r>
              <w:rPr>
                <w:rFonts w:hint="eastAsia" w:ascii="仿宋" w:hAnsi="仿宋" w:eastAsia="仿宋" w:cs="宋体"/>
                <w:color w:val="auto"/>
                <w:szCs w:val="21"/>
                <w:highlight w:val="none"/>
                <w:lang w:val="en-US" w:eastAsia="zh-CN"/>
              </w:rPr>
              <w:t>标包1</w:t>
            </w:r>
            <w:r>
              <w:rPr>
                <w:rFonts w:hint="eastAsia" w:ascii="仿宋" w:hAnsi="仿宋" w:eastAsia="仿宋" w:cs="宋体"/>
                <w:color w:val="auto"/>
                <w:szCs w:val="21"/>
                <w:highlight w:val="none"/>
              </w:rPr>
              <w:t>中标人数量：</w:t>
            </w:r>
            <w:r>
              <w:rPr>
                <w:rFonts w:hint="eastAsia" w:ascii="仿宋" w:hAnsi="仿宋" w:eastAsia="仿宋" w:cs="宋体"/>
                <w:color w:val="auto"/>
                <w:szCs w:val="21"/>
                <w:highlight w:val="none"/>
                <w:u w:val="single"/>
                <w:lang w:val="en-US" w:eastAsia="zh-CN"/>
              </w:rPr>
              <w:t>4</w:t>
            </w:r>
            <w:r>
              <w:rPr>
                <w:rFonts w:hint="eastAsia" w:ascii="仿宋" w:hAnsi="仿宋" w:eastAsia="仿宋" w:cs="宋体"/>
                <w:color w:val="auto"/>
                <w:szCs w:val="21"/>
                <w:highlight w:val="none"/>
                <w:u w:val="single"/>
              </w:rPr>
              <w:t>个</w:t>
            </w:r>
            <w:r>
              <w:rPr>
                <w:rFonts w:hint="eastAsia" w:ascii="仿宋" w:hAnsi="仿宋" w:eastAsia="仿宋" w:cs="宋体"/>
                <w:color w:val="auto"/>
                <w:szCs w:val="21"/>
                <w:highlight w:val="none"/>
                <w:u w:val="none"/>
                <w:lang w:eastAsia="zh-CN"/>
              </w:rPr>
              <w:t>、</w:t>
            </w:r>
            <w:r>
              <w:rPr>
                <w:rFonts w:hint="eastAsia" w:ascii="仿宋" w:hAnsi="仿宋" w:eastAsia="仿宋" w:cs="宋体"/>
                <w:color w:val="auto"/>
                <w:szCs w:val="21"/>
                <w:highlight w:val="none"/>
                <w:lang w:val="en-US" w:eastAsia="zh-CN"/>
              </w:rPr>
              <w:t>标包2</w:t>
            </w:r>
            <w:r>
              <w:rPr>
                <w:rFonts w:hint="eastAsia" w:ascii="仿宋" w:hAnsi="仿宋" w:eastAsia="仿宋" w:cs="宋体"/>
                <w:color w:val="auto"/>
                <w:szCs w:val="21"/>
                <w:highlight w:val="none"/>
              </w:rPr>
              <w:t>中标人数量：</w:t>
            </w:r>
            <w:r>
              <w:rPr>
                <w:rFonts w:hint="eastAsia" w:ascii="仿宋" w:hAnsi="仿宋" w:eastAsia="仿宋" w:cs="宋体"/>
                <w:color w:val="auto"/>
                <w:szCs w:val="21"/>
                <w:highlight w:val="none"/>
                <w:u w:val="single"/>
                <w:lang w:val="en-US" w:eastAsia="zh-CN"/>
              </w:rPr>
              <w:t>2</w:t>
            </w:r>
            <w:r>
              <w:rPr>
                <w:rFonts w:hint="eastAsia" w:ascii="仿宋" w:hAnsi="仿宋" w:eastAsia="仿宋" w:cs="宋体"/>
                <w:color w:val="auto"/>
                <w:szCs w:val="21"/>
                <w:highlight w:val="none"/>
                <w:u w:val="single"/>
              </w:rPr>
              <w:t>个</w:t>
            </w:r>
          </w:p>
        </w:tc>
      </w:tr>
      <w:tr w14:paraId="5A6FAE57">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45C9ACC">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7F343EAA">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中标原则</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5F0E01F">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auto"/>
                <w:szCs w:val="21"/>
                <w:highlight w:val="none"/>
              </w:rPr>
              <w:t>招标人根据评标委员会推荐的中标候选人名单确定</w:t>
            </w:r>
            <w:r>
              <w:rPr>
                <w:rFonts w:hint="eastAsia" w:ascii="仿宋" w:hAnsi="仿宋" w:eastAsia="仿宋" w:cs="宋体"/>
                <w:color w:val="auto"/>
                <w:szCs w:val="21"/>
                <w:highlight w:val="none"/>
                <w:u w:val="single"/>
                <w:lang w:val="en-US" w:eastAsia="zh-CN"/>
              </w:rPr>
              <w:t>标包1</w:t>
            </w:r>
            <w:r>
              <w:rPr>
                <w:rFonts w:hint="eastAsia" w:ascii="仿宋" w:hAnsi="仿宋" w:eastAsia="仿宋" w:cs="宋体"/>
                <w:color w:val="auto"/>
                <w:szCs w:val="21"/>
                <w:highlight w:val="none"/>
                <w:u w:val="single"/>
              </w:rPr>
              <w:t>综合排名</w:t>
            </w:r>
            <w:r>
              <w:rPr>
                <w:rFonts w:hint="eastAsia" w:ascii="仿宋" w:hAnsi="仿宋" w:eastAsia="仿宋" w:cs="宋体"/>
                <w:color w:val="auto"/>
                <w:szCs w:val="21"/>
                <w:highlight w:val="none"/>
                <w:u w:val="single"/>
                <w:lang w:val="en-US" w:eastAsia="zh-CN"/>
              </w:rPr>
              <w:t>前四</w:t>
            </w:r>
            <w:r>
              <w:rPr>
                <w:rFonts w:hint="eastAsia" w:ascii="仿宋" w:hAnsi="仿宋" w:eastAsia="仿宋" w:cs="宋体"/>
                <w:color w:val="auto"/>
                <w:szCs w:val="21"/>
                <w:highlight w:val="none"/>
                <w:u w:val="single"/>
              </w:rPr>
              <w:t>位的中标候选人</w:t>
            </w:r>
            <w:r>
              <w:rPr>
                <w:rFonts w:hint="eastAsia" w:ascii="仿宋" w:hAnsi="仿宋" w:eastAsia="仿宋" w:cs="宋体"/>
                <w:color w:val="auto"/>
                <w:szCs w:val="21"/>
                <w:highlight w:val="none"/>
                <w:u w:val="single"/>
                <w:lang w:eastAsia="zh-CN"/>
              </w:rPr>
              <w:t>、</w:t>
            </w:r>
            <w:r>
              <w:rPr>
                <w:rFonts w:hint="eastAsia" w:ascii="仿宋" w:hAnsi="仿宋" w:eastAsia="仿宋" w:cs="宋体"/>
                <w:color w:val="auto"/>
                <w:szCs w:val="21"/>
                <w:highlight w:val="none"/>
                <w:u w:val="single"/>
                <w:lang w:val="en-US" w:eastAsia="zh-CN"/>
              </w:rPr>
              <w:t>标包2</w:t>
            </w:r>
            <w:r>
              <w:rPr>
                <w:rFonts w:hint="eastAsia" w:ascii="仿宋" w:hAnsi="仿宋" w:eastAsia="仿宋" w:cs="宋体"/>
                <w:color w:val="auto"/>
                <w:szCs w:val="21"/>
                <w:highlight w:val="none"/>
                <w:u w:val="single"/>
              </w:rPr>
              <w:t>综合排名</w:t>
            </w:r>
            <w:r>
              <w:rPr>
                <w:rFonts w:hint="eastAsia" w:ascii="仿宋" w:hAnsi="仿宋" w:eastAsia="仿宋" w:cs="宋体"/>
                <w:color w:val="auto"/>
                <w:szCs w:val="21"/>
                <w:highlight w:val="none"/>
                <w:u w:val="single"/>
                <w:lang w:val="en-US" w:eastAsia="zh-CN"/>
              </w:rPr>
              <w:t>前二</w:t>
            </w:r>
            <w:r>
              <w:rPr>
                <w:rFonts w:hint="eastAsia" w:ascii="仿宋" w:hAnsi="仿宋" w:eastAsia="仿宋" w:cs="宋体"/>
                <w:color w:val="auto"/>
                <w:szCs w:val="21"/>
                <w:highlight w:val="none"/>
                <w:u w:val="single"/>
              </w:rPr>
              <w:t>位的中标候选人</w:t>
            </w:r>
            <w:r>
              <w:rPr>
                <w:rFonts w:hint="eastAsia" w:ascii="仿宋" w:hAnsi="仿宋" w:eastAsia="仿宋" w:cs="宋体"/>
                <w:color w:val="auto"/>
                <w:szCs w:val="21"/>
                <w:highlight w:val="none"/>
              </w:rPr>
              <w:t>为中标人。</w:t>
            </w:r>
            <w:r>
              <w:rPr>
                <w:rFonts w:hint="eastAsia" w:ascii="仿宋" w:hAnsi="仿宋" w:eastAsia="仿宋" w:cs="宋体"/>
                <w:color w:val="auto"/>
                <w:szCs w:val="21"/>
                <w:highlight w:val="none"/>
                <w:u w:val="single"/>
              </w:rPr>
              <w:t>综合排名</w:t>
            </w:r>
            <w:r>
              <w:rPr>
                <w:rFonts w:hint="eastAsia" w:ascii="仿宋" w:hAnsi="仿宋" w:eastAsia="仿宋" w:cs="宋体"/>
                <w:color w:val="auto"/>
                <w:szCs w:val="21"/>
                <w:highlight w:val="none"/>
                <w:u w:val="single"/>
                <w:lang w:val="en-US" w:eastAsia="zh-CN"/>
              </w:rPr>
              <w:t>前两</w:t>
            </w:r>
            <w:r>
              <w:rPr>
                <w:rFonts w:hint="eastAsia" w:ascii="仿宋" w:hAnsi="仿宋" w:eastAsia="仿宋" w:cs="宋体"/>
                <w:color w:val="auto"/>
                <w:szCs w:val="21"/>
                <w:highlight w:val="none"/>
                <w:u w:val="single"/>
              </w:rPr>
              <w:t>位中的某一个</w:t>
            </w:r>
            <w:r>
              <w:rPr>
                <w:rFonts w:hint="eastAsia" w:ascii="仿宋" w:hAnsi="仿宋" w:eastAsia="仿宋" w:cs="宋体"/>
                <w:color w:val="auto"/>
                <w:szCs w:val="21"/>
                <w:highlight w:val="none"/>
              </w:rPr>
              <w:t>中标候选人放弃中标、因不可抗力不能履行合同、不按照招标文件要求提交履约保证金、存在重大经营或法律风险，或者被查实存在影响中标结果的违法行为等情形，不符合中标条件的，招标人按照评标委员会提出的中标候选人名单排序依次确定其他中标候选人为中标人，或者重新招标。</w:t>
            </w:r>
          </w:p>
        </w:tc>
      </w:tr>
      <w:tr w14:paraId="00FCD4C0">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21B0F391">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6E6CAE7B">
            <w:pPr>
              <w:pStyle w:val="113"/>
              <w:keepNext w:val="0"/>
              <w:keepLines w:val="0"/>
              <w:suppressLineNumbers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履约保证金金额和</w:t>
            </w:r>
            <w:r>
              <w:rPr>
                <w:rFonts w:hint="eastAsia" w:ascii="仿宋" w:hAnsi="仿宋" w:eastAsia="仿宋" w:cs="宋体"/>
                <w:color w:val="000000"/>
                <w:szCs w:val="21"/>
                <w:highlight w:val="none"/>
              </w:rPr>
              <w:br w:type="textWrapping"/>
            </w:r>
            <w:r>
              <w:rPr>
                <w:rFonts w:hint="eastAsia" w:ascii="仿宋" w:hAnsi="仿宋" w:eastAsia="仿宋" w:cs="宋体"/>
                <w:color w:val="000000"/>
                <w:szCs w:val="21"/>
                <w:highlight w:val="none"/>
              </w:rPr>
              <w:t>方式</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6ADCDBD3">
            <w:pPr>
              <w:pStyle w:val="113"/>
              <w:keepNext w:val="0"/>
              <w:keepLines w:val="0"/>
              <w:suppressLineNumbers w:val="0"/>
              <w:spacing w:before="62" w:beforeLines="20" w:beforeAutospacing="0" w:after="62" w:afterLines="20" w:afterAutospacing="0"/>
              <w:ind w:left="0" w:right="0"/>
              <w:rPr>
                <w:rFonts w:hint="default" w:ascii="仿宋" w:hAnsi="仿宋" w:eastAsia="仿宋" w:cs="宋体"/>
                <w:color w:val="auto"/>
                <w:szCs w:val="21"/>
                <w:highlight w:val="none"/>
              </w:rPr>
            </w:pPr>
            <w:r>
              <w:rPr>
                <w:rFonts w:hint="eastAsia" w:ascii="仿宋" w:hAnsi="仿宋" w:eastAsia="仿宋" w:cs="宋体"/>
                <w:color w:val="auto"/>
                <w:szCs w:val="21"/>
                <w:highlight w:val="none"/>
              </w:rPr>
              <w:t>□收取，形式及比例：</w:t>
            </w:r>
          </w:p>
          <w:p w14:paraId="3B9A7B52">
            <w:pPr>
              <w:pStyle w:val="113"/>
              <w:keepNext w:val="0"/>
              <w:keepLines w:val="0"/>
              <w:suppressLineNumbers w:val="0"/>
              <w:spacing w:before="62" w:beforeLines="20" w:beforeAutospacing="0" w:after="62" w:afterLines="2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仿宋"/>
                <w:color w:val="auto"/>
                <w:szCs w:val="21"/>
                <w:highlight w:val="none"/>
              </w:rPr>
              <w:t>■</w:t>
            </w:r>
            <w:r>
              <w:rPr>
                <w:rFonts w:hint="eastAsia" w:ascii="仿宋" w:hAnsi="仿宋" w:eastAsia="仿宋" w:cs="宋体"/>
                <w:color w:val="auto"/>
                <w:szCs w:val="21"/>
                <w:highlight w:val="none"/>
              </w:rPr>
              <w:t>不收取</w:t>
            </w:r>
          </w:p>
        </w:tc>
      </w:tr>
      <w:tr w14:paraId="5E9F5D55">
        <w:tblPrEx>
          <w:tblCellMar>
            <w:top w:w="0" w:type="dxa"/>
            <w:left w:w="108" w:type="dxa"/>
            <w:bottom w:w="0" w:type="dxa"/>
            <w:right w:w="108" w:type="dxa"/>
          </w:tblCellMar>
        </w:tblPrEx>
        <w:trPr>
          <w:jc w:val="center"/>
        </w:trPr>
        <w:tc>
          <w:tcPr>
            <w:tcW w:w="626" w:type="pct"/>
            <w:tcBorders>
              <w:top w:val="single" w:color="auto" w:sz="4" w:space="0"/>
              <w:left w:val="single" w:color="auto" w:sz="4" w:space="0"/>
              <w:bottom w:val="single" w:color="auto" w:sz="4" w:space="0"/>
              <w:right w:val="single" w:color="auto" w:sz="4" w:space="0"/>
            </w:tcBorders>
            <w:noWrap w:val="0"/>
            <w:vAlign w:val="center"/>
          </w:tcPr>
          <w:p w14:paraId="3A95046E">
            <w:pPr>
              <w:pStyle w:val="113"/>
              <w:keepNext w:val="0"/>
              <w:keepLines w:val="0"/>
              <w:suppressLineNumbers w:val="0"/>
              <w:spacing w:before="62" w:beforeLines="20" w:beforeAutospacing="0" w:after="62" w:afterLines="20" w:afterAutospacing="0"/>
              <w:ind w:left="0" w:right="0"/>
              <w:jc w:val="center"/>
              <w:rPr>
                <w:rFonts w:hint="eastAsia" w:ascii="仿宋" w:hAnsi="仿宋" w:eastAsia="仿宋" w:cs="宋体"/>
                <w:color w:val="000000"/>
                <w:szCs w:val="21"/>
                <w:highlight w:val="none"/>
              </w:rPr>
            </w:pPr>
          </w:p>
        </w:tc>
        <w:tc>
          <w:tcPr>
            <w:tcW w:w="2432" w:type="dxa"/>
            <w:tcBorders>
              <w:top w:val="single" w:color="auto" w:sz="4" w:space="0"/>
              <w:left w:val="single" w:color="auto" w:sz="4" w:space="0"/>
              <w:bottom w:val="single" w:color="auto" w:sz="4" w:space="0"/>
              <w:right w:val="single" w:color="auto" w:sz="4" w:space="0"/>
            </w:tcBorders>
            <w:noWrap w:val="0"/>
            <w:vAlign w:val="center"/>
          </w:tcPr>
          <w:p w14:paraId="4BAE2E5A">
            <w:pPr>
              <w:keepNext w:val="0"/>
              <w:keepLines w:val="0"/>
              <w:suppressLineNumbers w:val="0"/>
              <w:adjustRightInd w:val="0"/>
              <w:spacing w:before="62" w:beforeLines="20" w:beforeAutospacing="0" w:after="62" w:afterLines="20"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招标代理服务费</w:t>
            </w:r>
          </w:p>
        </w:tc>
        <w:tc>
          <w:tcPr>
            <w:tcW w:w="6393" w:type="dxa"/>
            <w:tcBorders>
              <w:top w:val="single" w:color="auto" w:sz="4" w:space="0"/>
              <w:left w:val="single" w:color="auto" w:sz="4" w:space="0"/>
              <w:bottom w:val="single" w:color="auto" w:sz="4" w:space="0"/>
              <w:right w:val="single" w:color="auto" w:sz="4" w:space="0"/>
            </w:tcBorders>
            <w:noWrap w:val="0"/>
            <w:vAlign w:val="center"/>
          </w:tcPr>
          <w:p w14:paraId="4CA774F1">
            <w:pPr>
              <w:keepNext w:val="0"/>
              <w:keepLines w:val="0"/>
              <w:suppressLineNumbers w:val="0"/>
              <w:autoSpaceDE w:val="0"/>
              <w:autoSpaceDN w:val="0"/>
              <w:spacing w:before="0" w:beforeAutospacing="0" w:after="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收费依据：参考原国家发展计划委员会《招标代理服务收费管理暂行办法》(计价格[2002]1980号文)、国家发展改革委员会办公厅发布的关于《招标代理服务收费有关问题的通知》(发改办[2003]857号文)和国家发展改革委《关于降低部分建设项目收费标准规范收费行为等有关问题的通知》(发改价格[2011]534号)的规定。</w:t>
            </w:r>
          </w:p>
          <w:p w14:paraId="19DD3C82">
            <w:pPr>
              <w:keepNext w:val="0"/>
              <w:keepLines w:val="0"/>
              <w:suppressLineNumbers w:val="0"/>
              <w:autoSpaceDE w:val="0"/>
              <w:autoSpaceDN w:val="0"/>
              <w:spacing w:before="0" w:beforeAutospacing="0" w:after="0" w:afterAutospacing="0"/>
              <w:ind w:left="0" w:right="0"/>
              <w:rPr>
                <w:rFonts w:hint="eastAsia" w:ascii="仿宋" w:hAnsi="仿宋" w:eastAsia="仿宋" w:cs="宋体"/>
                <w:color w:val="auto"/>
                <w:szCs w:val="21"/>
                <w:highlight w:val="none"/>
              </w:rPr>
            </w:pPr>
            <w:r>
              <w:rPr>
                <w:rFonts w:hint="eastAsia" w:ascii="仿宋" w:hAnsi="仿宋" w:eastAsia="仿宋" w:cs="宋体"/>
                <w:color w:val="000000"/>
                <w:szCs w:val="21"/>
                <w:highlight w:val="none"/>
              </w:rPr>
              <w:t>（2）</w:t>
            </w:r>
            <w:r>
              <w:rPr>
                <w:rFonts w:hint="eastAsia" w:ascii="仿宋" w:hAnsi="仿宋" w:eastAsia="仿宋" w:cs="宋体"/>
                <w:color w:val="auto"/>
                <w:szCs w:val="21"/>
                <w:highlight w:val="none"/>
              </w:rPr>
              <w:t>缴纳时限：中标人在</w:t>
            </w:r>
            <w:r>
              <w:rPr>
                <w:rFonts w:hint="eastAsia" w:ascii="仿宋" w:hAnsi="仿宋" w:eastAsia="仿宋" w:cs="宋体"/>
                <w:color w:val="auto"/>
                <w:szCs w:val="21"/>
                <w:highlight w:val="none"/>
                <w:lang w:val="en-US" w:eastAsia="zh-CN"/>
              </w:rPr>
              <w:t>领取中标通知书时</w:t>
            </w:r>
            <w:r>
              <w:rPr>
                <w:rFonts w:hint="eastAsia" w:ascii="仿宋" w:hAnsi="仿宋" w:eastAsia="仿宋" w:cs="宋体"/>
                <w:color w:val="auto"/>
                <w:szCs w:val="21"/>
                <w:highlight w:val="none"/>
              </w:rPr>
              <w:t>，向招标代理机构一次性支付。</w:t>
            </w:r>
          </w:p>
          <w:p w14:paraId="50AF4A83">
            <w:pPr>
              <w:keepNext w:val="0"/>
              <w:keepLines w:val="0"/>
              <w:suppressLineNumbers w:val="0"/>
              <w:autoSpaceDE w:val="0"/>
              <w:autoSpaceDN w:val="0"/>
              <w:spacing w:before="0" w:beforeAutospacing="0" w:after="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汇款账户信息如下：</w:t>
            </w:r>
          </w:p>
          <w:p w14:paraId="6D8978FB">
            <w:pPr>
              <w:keepNext w:val="0"/>
              <w:keepLines w:val="0"/>
              <w:suppressLineNumbers w:val="0"/>
              <w:autoSpaceDE w:val="0"/>
              <w:autoSpaceDN w:val="0"/>
              <w:spacing w:before="0" w:beforeAutospacing="0" w:after="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户    名：湖北引发管理咨询有限公司</w:t>
            </w:r>
          </w:p>
          <w:p w14:paraId="72A124DD">
            <w:pPr>
              <w:keepNext w:val="0"/>
              <w:keepLines w:val="0"/>
              <w:suppressLineNumbers w:val="0"/>
              <w:autoSpaceDE w:val="0"/>
              <w:autoSpaceDN w:val="0"/>
              <w:spacing w:before="0" w:beforeAutospacing="0" w:after="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账    号：695694608</w:t>
            </w:r>
          </w:p>
          <w:p w14:paraId="0938F710">
            <w:pPr>
              <w:keepNext w:val="0"/>
              <w:keepLines w:val="0"/>
              <w:suppressLineNumbers w:val="0"/>
              <w:autoSpaceDE w:val="0"/>
              <w:autoSpaceDN w:val="0"/>
              <w:spacing w:before="0" w:beforeAutospacing="0" w:after="0" w:afterAutospacing="0"/>
              <w:ind w:left="0" w:leftChars="0" w:right="0" w:rightChars="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开</w:t>
            </w:r>
            <w:r>
              <w:rPr>
                <w:rFonts w:hint="eastAsia" w:ascii="仿宋" w:hAnsi="仿宋" w:eastAsia="仿宋" w:cs="宋体"/>
                <w:color w:val="000000"/>
                <w:szCs w:val="21"/>
                <w:highlight w:val="none"/>
                <w:lang w:val="en-US" w:eastAsia="zh-CN"/>
              </w:rPr>
              <w:t xml:space="preserve"> </w:t>
            </w:r>
            <w:r>
              <w:rPr>
                <w:rFonts w:hint="eastAsia" w:ascii="仿宋" w:hAnsi="仿宋" w:eastAsia="仿宋" w:cs="宋体"/>
                <w:color w:val="000000"/>
                <w:szCs w:val="21"/>
                <w:highlight w:val="none"/>
              </w:rPr>
              <w:t>户</w:t>
            </w:r>
            <w:r>
              <w:rPr>
                <w:rFonts w:hint="eastAsia" w:ascii="仿宋" w:hAnsi="仿宋" w:eastAsia="仿宋" w:cs="宋体"/>
                <w:color w:val="000000"/>
                <w:szCs w:val="21"/>
                <w:highlight w:val="none"/>
                <w:lang w:val="en-US" w:eastAsia="zh-CN"/>
              </w:rPr>
              <w:t xml:space="preserve"> </w:t>
            </w:r>
            <w:r>
              <w:rPr>
                <w:rFonts w:hint="eastAsia" w:ascii="仿宋" w:hAnsi="仿宋" w:eastAsia="仿宋" w:cs="宋体"/>
                <w:color w:val="000000"/>
                <w:szCs w:val="21"/>
                <w:highlight w:val="none"/>
              </w:rPr>
              <w:t>行：中国民生银行武汉东湖支行</w:t>
            </w:r>
          </w:p>
        </w:tc>
      </w:tr>
    </w:tbl>
    <w:p w14:paraId="2804A2B6">
      <w:pPr>
        <w:rPr>
          <w:rFonts w:hint="eastAsia" w:ascii="仿宋" w:hAnsi="仿宋" w:eastAsia="仿宋" w:cs="宋体"/>
          <w:color w:val="000000"/>
          <w:highlight w:val="none"/>
        </w:rPr>
      </w:pPr>
    </w:p>
    <w:p w14:paraId="62EC633B">
      <w:pPr>
        <w:pStyle w:val="4"/>
        <w:rPr>
          <w:rFonts w:hint="eastAsia" w:ascii="仿宋" w:hAnsi="仿宋" w:cs="宋体"/>
          <w:color w:val="000000"/>
          <w:szCs w:val="24"/>
          <w:highlight w:val="none"/>
        </w:rPr>
      </w:pPr>
      <w:bookmarkStart w:id="61" w:name="_Toc109124233"/>
      <w:bookmarkStart w:id="62" w:name="_Toc18287"/>
      <w:bookmarkStart w:id="63" w:name="_Toc65682924"/>
      <w:bookmarkStart w:id="64" w:name="_Toc24060"/>
      <w:r>
        <w:rPr>
          <w:rFonts w:hint="eastAsia" w:ascii="仿宋" w:hAnsi="仿宋" w:cs="宋体"/>
          <w:color w:val="000000"/>
          <w:szCs w:val="24"/>
          <w:highlight w:val="none"/>
        </w:rPr>
        <w:t>1.总则</w:t>
      </w:r>
      <w:bookmarkEnd w:id="61"/>
      <w:bookmarkEnd w:id="62"/>
      <w:bookmarkEnd w:id="63"/>
      <w:bookmarkEnd w:id="64"/>
    </w:p>
    <w:p w14:paraId="63597FC9">
      <w:pPr>
        <w:pStyle w:val="5"/>
        <w:ind w:firstLine="0" w:firstLineChars="0"/>
        <w:rPr>
          <w:rFonts w:ascii="仿宋" w:hAnsi="仿宋" w:cs="宋体"/>
          <w:color w:val="000000"/>
          <w:highlight w:val="none"/>
        </w:rPr>
      </w:pPr>
      <w:bookmarkStart w:id="65" w:name="_Toc65682925"/>
      <w:bookmarkStart w:id="66" w:name="_Toc246996176"/>
      <w:bookmarkStart w:id="67" w:name="_Toc31396"/>
      <w:bookmarkStart w:id="68" w:name="_Toc247085690"/>
      <w:bookmarkStart w:id="69" w:name="_Toc246996919"/>
      <w:bookmarkStart w:id="70" w:name="_Toc326223536"/>
      <w:bookmarkStart w:id="71" w:name="_Toc109124234"/>
      <w:bookmarkStart w:id="72" w:name="_Toc71191953"/>
      <w:bookmarkStart w:id="73" w:name="_Toc144974498"/>
      <w:bookmarkStart w:id="74" w:name="_Toc66390001"/>
      <w:bookmarkStart w:id="75" w:name="_Toc5548"/>
      <w:bookmarkStart w:id="76" w:name="_Toc334766923"/>
      <w:bookmarkStart w:id="77" w:name="_Toc179632547"/>
      <w:bookmarkStart w:id="78" w:name="_Toc152042306"/>
      <w:bookmarkStart w:id="79" w:name="_Toc152045530"/>
      <w:bookmarkStart w:id="80" w:name="_Toc332188169"/>
      <w:bookmarkStart w:id="81" w:name="_Toc60224320"/>
      <w:r>
        <w:rPr>
          <w:rFonts w:ascii="仿宋" w:hAnsi="仿宋" w:cs="宋体"/>
          <w:color w:val="000000"/>
          <w:highlight w:val="none"/>
        </w:rPr>
        <w:t>1.1 项目概况</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5F17BE90">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82" w:name="_Toc246996920"/>
      <w:bookmarkStart w:id="83" w:name="_Toc332188170"/>
      <w:bookmarkStart w:id="84" w:name="_Toc179632548"/>
      <w:bookmarkStart w:id="85" w:name="_Toc152042307"/>
      <w:bookmarkStart w:id="86" w:name="_Toc334766924"/>
      <w:bookmarkStart w:id="87" w:name="_Toc152045531"/>
      <w:bookmarkStart w:id="88" w:name="_Toc326223537"/>
      <w:bookmarkStart w:id="89" w:name="_Toc246996177"/>
      <w:bookmarkStart w:id="90" w:name="_Toc247085691"/>
      <w:bookmarkStart w:id="91" w:name="_Toc144974499"/>
      <w:bookmarkStart w:id="92" w:name="_Toc327827316"/>
      <w:bookmarkStart w:id="93" w:name="_Toc327739994"/>
      <w:r>
        <w:rPr>
          <w:rFonts w:hint="eastAsia" w:ascii="仿宋" w:hAnsi="仿宋" w:eastAsia="仿宋" w:cs="宋体"/>
          <w:color w:val="000000"/>
          <w:kern w:val="0"/>
          <w:sz w:val="24"/>
          <w:szCs w:val="24"/>
          <w:highlight w:val="none"/>
        </w:rPr>
        <w:t>根据《中华人民共和国招标投标法》、《中华人民共和国招标投标法实施条例》、《国有金融企业集中采购管理暂行规定》等有关法律、法规和规章以及招标人采购管理制度的规定，本招标项目已具备招标条件，现对本项目进行招标。</w:t>
      </w:r>
    </w:p>
    <w:p w14:paraId="359CF194">
      <w:pPr>
        <w:pStyle w:val="5"/>
        <w:ind w:firstLine="0" w:firstLineChars="0"/>
        <w:rPr>
          <w:rFonts w:ascii="仿宋" w:hAnsi="仿宋" w:cs="宋体"/>
          <w:color w:val="000000"/>
          <w:highlight w:val="none"/>
        </w:rPr>
      </w:pPr>
      <w:bookmarkStart w:id="94" w:name="_Toc60224321"/>
      <w:bookmarkStart w:id="95" w:name="_Toc109124235"/>
      <w:bookmarkStart w:id="96" w:name="_Toc19949"/>
      <w:bookmarkStart w:id="97" w:name="_Toc71191954"/>
      <w:bookmarkStart w:id="98" w:name="_Toc438"/>
      <w:r>
        <w:rPr>
          <w:rFonts w:ascii="仿宋" w:hAnsi="仿宋" w:cs="宋体"/>
          <w:color w:val="000000"/>
          <w:highlight w:val="none"/>
        </w:rPr>
        <w:t>1.2 资金来源和落实情况</w:t>
      </w:r>
      <w:bookmarkEnd w:id="82"/>
      <w:bookmarkEnd w:id="83"/>
      <w:bookmarkEnd w:id="84"/>
      <w:bookmarkEnd w:id="85"/>
      <w:bookmarkEnd w:id="86"/>
      <w:bookmarkEnd w:id="87"/>
      <w:bookmarkEnd w:id="88"/>
      <w:bookmarkEnd w:id="89"/>
      <w:bookmarkEnd w:id="90"/>
      <w:bookmarkEnd w:id="91"/>
      <w:bookmarkEnd w:id="94"/>
      <w:bookmarkEnd w:id="95"/>
      <w:bookmarkEnd w:id="96"/>
      <w:bookmarkEnd w:id="97"/>
      <w:bookmarkEnd w:id="98"/>
    </w:p>
    <w:p w14:paraId="7D274124">
      <w:pPr>
        <w:spacing w:line="360" w:lineRule="auto"/>
        <w:ind w:firstLine="480" w:firstLineChars="200"/>
        <w:rPr>
          <w:rFonts w:hint="eastAsia" w:ascii="仿宋" w:hAnsi="仿宋" w:eastAsia="仿宋" w:cs="宋体"/>
          <w:color w:val="000000"/>
          <w:sz w:val="24"/>
          <w:szCs w:val="24"/>
          <w:highlight w:val="none"/>
        </w:rPr>
      </w:pPr>
      <w:bookmarkStart w:id="99" w:name="_Hlk136962920"/>
      <w:r>
        <w:rPr>
          <w:rFonts w:hint="eastAsia" w:ascii="仿宋" w:hAnsi="仿宋" w:eastAsia="仿宋" w:cs="宋体"/>
          <w:color w:val="000000"/>
          <w:sz w:val="24"/>
          <w:szCs w:val="24"/>
          <w:highlight w:val="none"/>
        </w:rPr>
        <w:t>本招标项目的资金已落实</w:t>
      </w:r>
      <w:bookmarkEnd w:id="99"/>
      <w:r>
        <w:rPr>
          <w:rFonts w:hint="eastAsia" w:ascii="仿宋" w:hAnsi="仿宋" w:eastAsia="仿宋" w:cs="宋体"/>
          <w:color w:val="000000"/>
          <w:sz w:val="24"/>
          <w:szCs w:val="24"/>
          <w:highlight w:val="none"/>
        </w:rPr>
        <w:t>。</w:t>
      </w:r>
    </w:p>
    <w:p w14:paraId="7791536C">
      <w:pPr>
        <w:pStyle w:val="5"/>
        <w:ind w:firstLine="0" w:firstLineChars="0"/>
        <w:rPr>
          <w:rFonts w:ascii="仿宋" w:hAnsi="仿宋" w:cs="宋体"/>
          <w:color w:val="000000"/>
          <w:highlight w:val="none"/>
        </w:rPr>
      </w:pPr>
      <w:bookmarkStart w:id="100" w:name="_Toc1291"/>
      <w:bookmarkStart w:id="101" w:name="_Toc112068331"/>
      <w:bookmarkStart w:id="102" w:name="_Toc144741546"/>
      <w:bookmarkStart w:id="103" w:name="_Toc152042308"/>
      <w:bookmarkStart w:id="104" w:name="_Toc71191955"/>
      <w:bookmarkStart w:id="105" w:name="_Toc246996921"/>
      <w:bookmarkStart w:id="106" w:name="_Toc334766925"/>
      <w:bookmarkStart w:id="107" w:name="_Toc326223538"/>
      <w:bookmarkStart w:id="108" w:name="_Toc179632549"/>
      <w:bookmarkStart w:id="109" w:name="_Toc12184"/>
      <w:bookmarkStart w:id="110" w:name="_Toc246996178"/>
      <w:bookmarkStart w:id="111" w:name="_Toc144974500"/>
      <w:bookmarkStart w:id="112" w:name="_Toc109124236"/>
      <w:bookmarkStart w:id="113" w:name="_Toc247085692"/>
      <w:bookmarkStart w:id="114" w:name="_Toc152045532"/>
      <w:bookmarkStart w:id="115" w:name="_Toc332188171"/>
      <w:bookmarkStart w:id="116" w:name="_Toc60224322"/>
      <w:r>
        <w:rPr>
          <w:rFonts w:ascii="仿宋" w:hAnsi="仿宋" w:cs="宋体"/>
          <w:color w:val="000000"/>
          <w:highlight w:val="none"/>
        </w:rPr>
        <w:t>1.</w:t>
      </w:r>
      <w:r>
        <w:rPr>
          <w:rFonts w:hint="default" w:ascii="仿宋" w:hAnsi="仿宋" w:cs="宋体"/>
          <w:color w:val="000000"/>
          <w:highlight w:val="none"/>
        </w:rPr>
        <w:t>3</w:t>
      </w:r>
      <w:r>
        <w:rPr>
          <w:rFonts w:ascii="仿宋" w:hAnsi="仿宋" w:cs="宋体"/>
          <w:color w:val="000000"/>
          <w:highlight w:val="none"/>
        </w:rPr>
        <w:t>招标方式</w:t>
      </w:r>
      <w:bookmarkEnd w:id="100"/>
      <w:bookmarkEnd w:id="101"/>
      <w:bookmarkEnd w:id="102"/>
    </w:p>
    <w:p w14:paraId="6FDD772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.1 公开招标：是指招标人以招标公告的方式邀请不特定的法人或者其他组织投标。</w:t>
      </w:r>
    </w:p>
    <w:p w14:paraId="7BD96584">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.2 邀请招标：是指招标人以投标邀请函的方式邀请特定的法人或者其他组织投标。</w:t>
      </w:r>
    </w:p>
    <w:p w14:paraId="4F1A728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.3 本项目招标方式见投标人须知前附表。</w:t>
      </w:r>
    </w:p>
    <w:p w14:paraId="046C5C7B">
      <w:pPr>
        <w:pStyle w:val="5"/>
        <w:ind w:firstLine="0" w:firstLineChars="0"/>
        <w:rPr>
          <w:rFonts w:ascii="仿宋" w:hAnsi="仿宋" w:cs="宋体"/>
          <w:color w:val="000000"/>
          <w:highlight w:val="none"/>
        </w:rPr>
      </w:pPr>
      <w:bookmarkStart w:id="117" w:name="_Toc112068332"/>
      <w:bookmarkStart w:id="118" w:name="_Toc421"/>
      <w:bookmarkStart w:id="119" w:name="_Toc144741547"/>
      <w:r>
        <w:rPr>
          <w:rFonts w:ascii="仿宋" w:hAnsi="仿宋" w:cs="宋体"/>
          <w:color w:val="000000"/>
          <w:highlight w:val="none"/>
        </w:rPr>
        <w:t>1.</w:t>
      </w:r>
      <w:r>
        <w:rPr>
          <w:rFonts w:hint="default" w:ascii="仿宋" w:hAnsi="仿宋" w:cs="宋体"/>
          <w:color w:val="000000"/>
          <w:highlight w:val="none"/>
        </w:rPr>
        <w:t>4</w:t>
      </w:r>
      <w:r>
        <w:rPr>
          <w:rFonts w:ascii="仿宋" w:hAnsi="仿宋" w:cs="宋体"/>
          <w:color w:val="000000"/>
          <w:highlight w:val="none"/>
        </w:rPr>
        <w:t>招标组织形式</w:t>
      </w:r>
      <w:bookmarkEnd w:id="117"/>
      <w:bookmarkEnd w:id="118"/>
      <w:bookmarkEnd w:id="119"/>
    </w:p>
    <w:p w14:paraId="1CB90A54">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本次招标由招标人自行组织/委托招标代理机构采用代理招标的方式进行，招标组织形式、代理机构名称见投标人须知前附表。</w:t>
      </w:r>
    </w:p>
    <w:p w14:paraId="588CC844">
      <w:pPr>
        <w:pStyle w:val="5"/>
        <w:ind w:firstLine="0" w:firstLineChars="0"/>
        <w:rPr>
          <w:rFonts w:ascii="仿宋" w:hAnsi="仿宋" w:cs="宋体"/>
          <w:color w:val="000000"/>
          <w:highlight w:val="none"/>
        </w:rPr>
      </w:pPr>
      <w:bookmarkStart w:id="120" w:name="_Toc112068333"/>
      <w:bookmarkStart w:id="121" w:name="_Toc8509"/>
      <w:bookmarkStart w:id="122" w:name="_Toc144741548"/>
      <w:r>
        <w:rPr>
          <w:rFonts w:ascii="仿宋" w:hAnsi="仿宋" w:cs="宋体"/>
          <w:color w:val="000000"/>
          <w:highlight w:val="none"/>
        </w:rPr>
        <w:t>1.</w:t>
      </w:r>
      <w:r>
        <w:rPr>
          <w:rFonts w:hint="default" w:ascii="仿宋" w:hAnsi="仿宋" w:cs="宋体"/>
          <w:color w:val="000000"/>
          <w:highlight w:val="none"/>
        </w:rPr>
        <w:t>5</w:t>
      </w:r>
      <w:r>
        <w:rPr>
          <w:rFonts w:ascii="仿宋" w:hAnsi="仿宋" w:cs="宋体"/>
          <w:color w:val="000000"/>
          <w:highlight w:val="none"/>
        </w:rPr>
        <w:t>资格审查</w:t>
      </w:r>
      <w:bookmarkEnd w:id="120"/>
      <w:bookmarkEnd w:id="121"/>
      <w:bookmarkEnd w:id="122"/>
    </w:p>
    <w:p w14:paraId="0B44E798">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.1资格预审：是指在投标前对潜在投标人进行的资格审查。采用资格预审方式的，资格条件已经在招标文件发出前的“资格预审文件”中作出规定。</w:t>
      </w:r>
    </w:p>
    <w:p w14:paraId="5E33C2E4">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.2资格后审：是指在开标后由评标委员会根据招标文件的规定对投标人进行的资格审查。采用资格后审方式的，招标人必须在招标文件中详细规定资格审查标准和方法，</w:t>
      </w:r>
      <w:bookmarkStart w:id="123" w:name="_Hlk136963129"/>
      <w:r>
        <w:rPr>
          <w:rFonts w:hint="eastAsia" w:ascii="仿宋" w:hAnsi="仿宋" w:eastAsia="仿宋" w:cs="宋体"/>
          <w:color w:val="000000"/>
          <w:kern w:val="0"/>
          <w:sz w:val="24"/>
          <w:szCs w:val="24"/>
          <w:highlight w:val="none"/>
        </w:rPr>
        <w:t>投标人应具备的资格条件见第一章“招标公告”或“投标邀请书”。</w:t>
      </w:r>
      <w:bookmarkEnd w:id="123"/>
    </w:p>
    <w:p w14:paraId="56D1605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1.5.3资格后审不合格的投标人，评标委员会应否决其投标。</w:t>
      </w:r>
    </w:p>
    <w:p w14:paraId="4C4B819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.4本项目资格审查方式见投标人须知前附表。</w:t>
      </w:r>
    </w:p>
    <w:p w14:paraId="3A43B1B2">
      <w:pPr>
        <w:pStyle w:val="5"/>
        <w:ind w:firstLine="0" w:firstLineChars="0"/>
        <w:rPr>
          <w:rFonts w:ascii="仿宋" w:hAnsi="仿宋" w:cs="宋体"/>
          <w:color w:val="000000"/>
          <w:highlight w:val="none"/>
        </w:rPr>
      </w:pPr>
      <w:bookmarkStart w:id="124" w:name="_Toc144741549"/>
      <w:bookmarkStart w:id="125" w:name="_Toc112068335"/>
      <w:bookmarkStart w:id="126" w:name="_Toc18097"/>
      <w:r>
        <w:rPr>
          <w:rFonts w:ascii="仿宋" w:hAnsi="仿宋" w:cs="宋体"/>
          <w:color w:val="000000"/>
          <w:highlight w:val="none"/>
        </w:rPr>
        <w:t>1.</w:t>
      </w:r>
      <w:r>
        <w:rPr>
          <w:rFonts w:hint="default" w:ascii="仿宋" w:hAnsi="仿宋" w:cs="宋体"/>
          <w:color w:val="000000"/>
          <w:highlight w:val="none"/>
        </w:rPr>
        <w:t>6</w:t>
      </w:r>
      <w:r>
        <w:rPr>
          <w:rFonts w:ascii="仿宋" w:hAnsi="仿宋" w:cs="宋体"/>
          <w:color w:val="000000"/>
          <w:highlight w:val="none"/>
        </w:rPr>
        <w:t>投标费用</w:t>
      </w:r>
      <w:bookmarkEnd w:id="124"/>
      <w:bookmarkEnd w:id="125"/>
      <w:bookmarkEnd w:id="126"/>
    </w:p>
    <w:p w14:paraId="24987ACF">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不论结果如何，投标人自行承担所有准备和参与投标有关的费用。</w:t>
      </w:r>
    </w:p>
    <w:p w14:paraId="52A28D66">
      <w:pPr>
        <w:pStyle w:val="5"/>
        <w:ind w:firstLine="0" w:firstLineChars="0"/>
        <w:rPr>
          <w:rFonts w:ascii="仿宋" w:hAnsi="仿宋" w:cs="宋体"/>
          <w:color w:val="000000"/>
          <w:highlight w:val="none"/>
        </w:rPr>
      </w:pPr>
      <w:bookmarkStart w:id="127" w:name="_Toc112068336"/>
      <w:bookmarkStart w:id="128" w:name="_Toc144741550"/>
      <w:bookmarkStart w:id="129" w:name="_Toc15437"/>
      <w:bookmarkStart w:id="130" w:name="_Hlk136963192"/>
      <w:r>
        <w:rPr>
          <w:rFonts w:ascii="仿宋" w:hAnsi="仿宋" w:cs="宋体"/>
          <w:color w:val="000000"/>
          <w:highlight w:val="none"/>
        </w:rPr>
        <w:t>1.</w:t>
      </w:r>
      <w:r>
        <w:rPr>
          <w:rFonts w:hint="default" w:ascii="仿宋" w:hAnsi="仿宋" w:cs="宋体"/>
          <w:color w:val="000000"/>
          <w:highlight w:val="none"/>
        </w:rPr>
        <w:t>7</w:t>
      </w:r>
      <w:r>
        <w:rPr>
          <w:rFonts w:ascii="仿宋" w:hAnsi="仿宋" w:cs="宋体"/>
          <w:color w:val="000000"/>
          <w:highlight w:val="none"/>
        </w:rPr>
        <w:t>保密</w:t>
      </w:r>
      <w:bookmarkEnd w:id="127"/>
      <w:bookmarkEnd w:id="128"/>
      <w:bookmarkEnd w:id="129"/>
    </w:p>
    <w:p w14:paraId="7B597116">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参与招标投标活动的各方应对招标文件和投标文件中的商业和技术等秘密保密，违者应对由此造成的后果承担法律责任。</w:t>
      </w:r>
    </w:p>
    <w:p w14:paraId="04F2BC03">
      <w:pPr>
        <w:pStyle w:val="5"/>
        <w:ind w:firstLine="0" w:firstLineChars="0"/>
        <w:rPr>
          <w:rFonts w:ascii="仿宋" w:hAnsi="仿宋" w:cs="宋体"/>
          <w:color w:val="000000"/>
          <w:highlight w:val="none"/>
        </w:rPr>
      </w:pPr>
      <w:bookmarkStart w:id="131" w:name="_Toc144741551"/>
      <w:bookmarkStart w:id="132" w:name="_Toc4477"/>
      <w:bookmarkStart w:id="133" w:name="_Toc112068337"/>
      <w:r>
        <w:rPr>
          <w:rFonts w:ascii="仿宋" w:hAnsi="仿宋" w:cs="宋体"/>
          <w:color w:val="000000"/>
          <w:highlight w:val="none"/>
        </w:rPr>
        <w:t>1.</w:t>
      </w:r>
      <w:r>
        <w:rPr>
          <w:rFonts w:hint="default" w:ascii="仿宋" w:hAnsi="仿宋" w:cs="宋体"/>
          <w:color w:val="000000"/>
          <w:highlight w:val="none"/>
        </w:rPr>
        <w:t>8</w:t>
      </w:r>
      <w:r>
        <w:rPr>
          <w:rFonts w:ascii="仿宋" w:hAnsi="仿宋" w:cs="宋体"/>
          <w:color w:val="000000"/>
          <w:highlight w:val="none"/>
        </w:rPr>
        <w:t>计量单位</w:t>
      </w:r>
      <w:bookmarkEnd w:id="131"/>
      <w:bookmarkEnd w:id="132"/>
      <w:bookmarkEnd w:id="133"/>
    </w:p>
    <w:p w14:paraId="026B7FA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所有计量均采用中华人民共和国法定计量单位。</w:t>
      </w:r>
    </w:p>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30"/>
    <w:p w14:paraId="01D3F1F8">
      <w:pPr>
        <w:pStyle w:val="4"/>
        <w:bidi w:val="0"/>
        <w:rPr>
          <w:rFonts w:hint="eastAsia"/>
        </w:rPr>
      </w:pPr>
      <w:bookmarkStart w:id="134" w:name="_Toc144974510"/>
      <w:bookmarkStart w:id="135" w:name="_Toc30737"/>
      <w:bookmarkStart w:id="136" w:name="_Toc152045542"/>
      <w:bookmarkStart w:id="137" w:name="_Toc109124244"/>
      <w:bookmarkStart w:id="138" w:name="_Toc247085701"/>
      <w:bookmarkStart w:id="139" w:name="_Toc246996187"/>
      <w:bookmarkStart w:id="140" w:name="_Toc171"/>
      <w:bookmarkStart w:id="141" w:name="_Toc246996930"/>
      <w:bookmarkStart w:id="142" w:name="_Toc152042318"/>
      <w:bookmarkStart w:id="143" w:name="_Toc179632560"/>
      <w:r>
        <w:rPr>
          <w:rFonts w:hint="eastAsia"/>
        </w:rPr>
        <w:t>2.招标文件</w:t>
      </w:r>
      <w:bookmarkEnd w:id="134"/>
      <w:bookmarkEnd w:id="135"/>
      <w:bookmarkEnd w:id="136"/>
      <w:bookmarkEnd w:id="137"/>
      <w:bookmarkEnd w:id="138"/>
      <w:bookmarkEnd w:id="139"/>
      <w:bookmarkEnd w:id="140"/>
      <w:bookmarkEnd w:id="141"/>
      <w:bookmarkEnd w:id="142"/>
      <w:bookmarkEnd w:id="143"/>
    </w:p>
    <w:p w14:paraId="278BFDBA">
      <w:pPr>
        <w:pStyle w:val="5"/>
        <w:ind w:firstLine="0" w:firstLineChars="0"/>
        <w:rPr>
          <w:rFonts w:ascii="仿宋" w:hAnsi="仿宋" w:cs="宋体"/>
          <w:color w:val="000000"/>
          <w:highlight w:val="none"/>
        </w:rPr>
      </w:pPr>
      <w:bookmarkStart w:id="144" w:name="_Toc14683"/>
      <w:bookmarkStart w:id="145" w:name="_Toc144974511"/>
      <w:bookmarkStart w:id="146" w:name="_Toc246996188"/>
      <w:bookmarkStart w:id="147" w:name="_Toc152045543"/>
      <w:bookmarkStart w:id="148" w:name="_Toc152042319"/>
      <w:bookmarkStart w:id="149" w:name="_Toc246996931"/>
      <w:bookmarkStart w:id="150" w:name="_Toc332188181"/>
      <w:bookmarkStart w:id="151" w:name="_Toc16024"/>
      <w:bookmarkStart w:id="152" w:name="_Toc334766935"/>
      <w:bookmarkStart w:id="153" w:name="_Toc109124245"/>
      <w:bookmarkStart w:id="154" w:name="_Toc247085702"/>
      <w:bookmarkStart w:id="155" w:name="_Toc326223548"/>
      <w:bookmarkStart w:id="156" w:name="_Toc71191964"/>
      <w:bookmarkStart w:id="157" w:name="_Toc179632561"/>
      <w:bookmarkStart w:id="158" w:name="_Toc60224332"/>
      <w:r>
        <w:rPr>
          <w:rFonts w:ascii="仿宋" w:hAnsi="仿宋" w:cs="宋体"/>
          <w:color w:val="000000"/>
          <w:highlight w:val="none"/>
        </w:rPr>
        <w:t>2.1招标文件的组成</w:t>
      </w:r>
      <w:bookmarkEnd w:id="144"/>
    </w:p>
    <w:p w14:paraId="721B4DD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2.1.1招标人应当根据招标项目的特点和需要编制招标文件。招标文件应当包括招标项目的技术要求、对投标人资格审查的标准、投标报价要求和评标标准等所有实质性要求和条件以及拟签订合同的主要条款。招标文件的组成见投标人须知前附表。</w:t>
      </w:r>
    </w:p>
    <w:p w14:paraId="0F7BA1B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2.1.2 招标文件对同一内容的表述应当一致。第一章 “招标公告”或者“投标邀请书”与招标文件在同一内容的表述上有矛盾或冲突时，以第一章 “招标公告”或者“投标邀请书”为准；投标人须知前附表与投标人须知正文在同一内容的表述上有矛盾或冲突时，以投标人须知前附表为准。</w:t>
      </w:r>
    </w:p>
    <w:p w14:paraId="390673EA">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2.1.3招标人在招标文件中以显著的方式标明实质性要求、条件以及不满足实质性要求和条件的投标将被否决的提示，实质性要求的标识见投标人须知前附表。</w:t>
      </w:r>
    </w:p>
    <w:p w14:paraId="36848AB5">
      <w:pPr>
        <w:pStyle w:val="5"/>
        <w:ind w:firstLine="0" w:firstLineChars="0"/>
        <w:rPr>
          <w:rFonts w:ascii="仿宋" w:hAnsi="仿宋" w:cs="宋体"/>
          <w:color w:val="000000"/>
          <w:highlight w:val="none"/>
        </w:rPr>
      </w:pPr>
      <w:bookmarkStart w:id="159" w:name="_Toc24602"/>
      <w:r>
        <w:rPr>
          <w:rFonts w:ascii="仿宋" w:hAnsi="仿宋" w:cs="宋体"/>
          <w:color w:val="000000"/>
          <w:highlight w:val="none"/>
        </w:rPr>
        <w:t>2.2踏勘现场</w:t>
      </w:r>
      <w:bookmarkEnd w:id="159"/>
    </w:p>
    <w:p w14:paraId="4743CAAF">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2.2.1招标人根据招标项目的具体情况，可以按照投标人须知前附表规定的时间和地点组织潜在投标人踏勘项目现场。招标人不得组织单个或者部分潜在投标人踏勘项目现场。</w:t>
      </w:r>
    </w:p>
    <w:p w14:paraId="027F4C7D">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2.2.2投标人应全面踏勘项目现场，应对可能影响投标报价及技术管理方案的现场条件进行全面踏勘。</w:t>
      </w:r>
    </w:p>
    <w:p w14:paraId="36CA006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2.2.3投标人根据踏勘项目现场做出的投标分析、推论和判断，应当自行负责，招标人不对投标人据此作出的判断和决策负责。</w:t>
      </w:r>
    </w:p>
    <w:p w14:paraId="1D7A8631">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2.2.4投标人踏勘现场发生的费用自理。除招标人的原因外，投标人自行负责在踏勘现场中所发生的人员伤亡和财产损失。</w:t>
      </w:r>
    </w:p>
    <w:p w14:paraId="23D2082B">
      <w:pPr>
        <w:pStyle w:val="5"/>
        <w:ind w:firstLine="0" w:firstLineChars="0"/>
        <w:rPr>
          <w:rFonts w:ascii="仿宋" w:hAnsi="仿宋" w:cs="宋体"/>
          <w:color w:val="000000"/>
          <w:highlight w:val="none"/>
        </w:rPr>
      </w:pPr>
      <w:bookmarkStart w:id="160" w:name="_Toc3833"/>
      <w:r>
        <w:rPr>
          <w:rFonts w:ascii="仿宋" w:hAnsi="仿宋" w:cs="宋体"/>
          <w:color w:val="000000"/>
          <w:highlight w:val="none"/>
        </w:rPr>
        <w:t>2.3投标预备会</w:t>
      </w:r>
      <w:bookmarkEnd w:id="160"/>
    </w:p>
    <w:p w14:paraId="24F2F9C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招标人认为必要时，将按照投标人须知前附表规定的时间和地点召开投标预备会(标前会)，公开解答潜在投标人对招标文件提出的疑问。</w:t>
      </w:r>
    </w:p>
    <w:p w14:paraId="54F2F03C">
      <w:pPr>
        <w:pStyle w:val="5"/>
        <w:ind w:firstLine="0" w:firstLineChars="0"/>
        <w:rPr>
          <w:rFonts w:ascii="仿宋" w:hAnsi="仿宋" w:cs="宋体"/>
          <w:color w:val="000000"/>
          <w:highlight w:val="none"/>
        </w:rPr>
      </w:pPr>
      <w:bookmarkStart w:id="161" w:name="_Toc12345"/>
      <w:r>
        <w:rPr>
          <w:rFonts w:ascii="仿宋" w:hAnsi="仿宋" w:cs="宋体"/>
          <w:color w:val="000000"/>
          <w:highlight w:val="none"/>
        </w:rPr>
        <w:t>2.4招标文件的修改</w:t>
      </w:r>
      <w:bookmarkEnd w:id="161"/>
    </w:p>
    <w:p w14:paraId="7F8E5318">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2.4.1投标人对招标文件有疑问的，应当按照投标人须知前附表规定的时间和方式，要求招标人对招标文件进行澄清。</w:t>
      </w:r>
    </w:p>
    <w:p w14:paraId="09451D1D">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2.4.2招标人可以对已发出的招标文件进行必要的澄清或者修改。澄清或修改内容可能影响投标文件编制的，招标人应当在投标截止时间至少15日前，以书面形式通知所有获取招标文件的潜在投标人，不足15日的，招标人应相应顺延提交投标文件的截止时间。</w:t>
      </w:r>
    </w:p>
    <w:p w14:paraId="244D60C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2.4.</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投标人收到澄清或修改后，应当按照投标人须知前附表规定的时间和方式通知招标人，确认已收到该澄清或修改。</w:t>
      </w:r>
    </w:p>
    <w:p w14:paraId="2D70188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2.4.</w:t>
      </w:r>
      <w:r>
        <w:rPr>
          <w:rFonts w:ascii="仿宋" w:hAnsi="仿宋" w:eastAsia="仿宋" w:cs="宋体"/>
          <w:color w:val="000000"/>
          <w:kern w:val="0"/>
          <w:sz w:val="24"/>
          <w:szCs w:val="24"/>
          <w:highlight w:val="none"/>
        </w:rPr>
        <w:t>4</w:t>
      </w:r>
      <w:r>
        <w:rPr>
          <w:rFonts w:hint="eastAsia" w:ascii="仿宋" w:hAnsi="仿宋" w:eastAsia="仿宋" w:cs="宋体"/>
          <w:color w:val="000000"/>
          <w:kern w:val="0"/>
          <w:sz w:val="24"/>
          <w:szCs w:val="24"/>
          <w:highlight w:val="none"/>
        </w:rPr>
        <w:t>所有关于招标文件的澄清和修改均作为招标文件的组成部分。当招标文件、招标文件的澄清或修改等在同一内容的表述上不一致时，以最后发出的书面文件为准。</w:t>
      </w:r>
    </w:p>
    <w:p w14:paraId="7B520832">
      <w:pPr>
        <w:pStyle w:val="5"/>
        <w:ind w:firstLine="0" w:firstLineChars="0"/>
        <w:rPr>
          <w:rFonts w:ascii="仿宋" w:hAnsi="仿宋" w:cs="宋体"/>
          <w:color w:val="000000"/>
          <w:highlight w:val="none"/>
        </w:rPr>
      </w:pPr>
      <w:bookmarkStart w:id="162" w:name="_Toc15701"/>
      <w:r>
        <w:rPr>
          <w:rFonts w:ascii="仿宋" w:hAnsi="仿宋" w:cs="宋体"/>
          <w:color w:val="000000"/>
          <w:highlight w:val="none"/>
        </w:rPr>
        <w:t>2.5招标文件的异议</w:t>
      </w:r>
      <w:bookmarkEnd w:id="162"/>
    </w:p>
    <w:p w14:paraId="516B91B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潜在投标人或者其他利害关系人（是与招标项目或者招标活动有直接或者间接利益关系的法人、其他组织和自然人）对招标文件有异议的，应当在投标截止时间10日前提出。招标人应当自收到异议之日起3日内作出答复。作出答复前，应当暂停招标投标活动。</w:t>
      </w:r>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0EBB8AAE">
      <w:pPr>
        <w:pStyle w:val="4"/>
        <w:bidi w:val="0"/>
        <w:rPr>
          <w:rFonts w:hint="eastAsia"/>
        </w:rPr>
      </w:pPr>
      <w:bookmarkStart w:id="163" w:name="_Toc247085705"/>
      <w:bookmarkStart w:id="164" w:name="_Toc246996191"/>
      <w:bookmarkStart w:id="165" w:name="_Toc144974514"/>
      <w:bookmarkStart w:id="166" w:name="_Toc109124250"/>
      <w:bookmarkStart w:id="167" w:name="_Toc152045546"/>
      <w:bookmarkStart w:id="168" w:name="_Toc152042322"/>
      <w:bookmarkStart w:id="169" w:name="_Toc15396"/>
      <w:bookmarkStart w:id="170" w:name="_Toc246996934"/>
      <w:bookmarkStart w:id="171" w:name="_Toc5145"/>
      <w:bookmarkStart w:id="172" w:name="_Toc179632564"/>
      <w:r>
        <w:rPr>
          <w:rFonts w:hint="eastAsia"/>
        </w:rPr>
        <w:t>3.投标文件</w:t>
      </w:r>
      <w:bookmarkEnd w:id="163"/>
      <w:bookmarkEnd w:id="164"/>
      <w:bookmarkEnd w:id="165"/>
      <w:bookmarkEnd w:id="166"/>
      <w:bookmarkEnd w:id="167"/>
      <w:bookmarkEnd w:id="168"/>
      <w:bookmarkEnd w:id="169"/>
      <w:bookmarkEnd w:id="170"/>
      <w:bookmarkEnd w:id="171"/>
      <w:bookmarkEnd w:id="172"/>
    </w:p>
    <w:p w14:paraId="57E6A8B7">
      <w:pPr>
        <w:pStyle w:val="5"/>
        <w:ind w:firstLine="0" w:firstLineChars="0"/>
        <w:rPr>
          <w:rFonts w:ascii="仿宋" w:hAnsi="仿宋" w:cs="宋体"/>
          <w:color w:val="000000"/>
          <w:highlight w:val="none"/>
        </w:rPr>
      </w:pPr>
      <w:bookmarkStart w:id="173" w:name="_Toc326223552"/>
      <w:bookmarkStart w:id="174" w:name="_Toc144974515"/>
      <w:bookmarkStart w:id="175" w:name="_Toc334766939"/>
      <w:bookmarkStart w:id="176" w:name="_Toc25453"/>
      <w:bookmarkStart w:id="177" w:name="_Toc71191970"/>
      <w:bookmarkStart w:id="178" w:name="_Toc19843"/>
      <w:bookmarkStart w:id="179" w:name="_Toc246996935"/>
      <w:bookmarkStart w:id="180" w:name="_Toc332188185"/>
      <w:bookmarkStart w:id="181" w:name="_Toc247085706"/>
      <w:bookmarkStart w:id="182" w:name="_Toc246996192"/>
      <w:bookmarkStart w:id="183" w:name="_Toc152045547"/>
      <w:bookmarkStart w:id="184" w:name="_Toc152042323"/>
      <w:bookmarkStart w:id="185" w:name="_Toc109124251"/>
      <w:bookmarkStart w:id="186" w:name="_Toc60224337"/>
      <w:bookmarkStart w:id="187" w:name="_Toc179632565"/>
      <w:r>
        <w:rPr>
          <w:rFonts w:ascii="仿宋" w:hAnsi="仿宋" w:cs="宋体"/>
          <w:color w:val="000000"/>
          <w:highlight w:val="none"/>
        </w:rPr>
        <w:t>3.1 投标文件的组成</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08BCEC87">
      <w:pPr>
        <w:spacing w:line="360" w:lineRule="auto"/>
        <w:ind w:firstLine="480" w:firstLineChars="200"/>
        <w:textAlignment w:val="baseline"/>
        <w:rPr>
          <w:rFonts w:hint="eastAsia" w:ascii="仿宋" w:hAnsi="仿宋" w:eastAsia="仿宋" w:cs="宋体"/>
          <w:color w:val="000000"/>
          <w:sz w:val="24"/>
          <w:szCs w:val="24"/>
          <w:highlight w:val="none"/>
        </w:rPr>
      </w:pPr>
      <w:bookmarkStart w:id="188" w:name="_Toc246996193"/>
      <w:bookmarkStart w:id="189" w:name="_Toc179632566"/>
      <w:bookmarkStart w:id="190" w:name="_Toc247085707"/>
      <w:bookmarkStart w:id="191" w:name="_Toc144974516"/>
      <w:bookmarkStart w:id="192" w:name="_Toc152045548"/>
      <w:bookmarkStart w:id="193" w:name="_Toc334766940"/>
      <w:bookmarkStart w:id="194" w:name="_Toc326223553"/>
      <w:bookmarkStart w:id="195" w:name="_Toc332188186"/>
      <w:bookmarkStart w:id="196" w:name="_Toc246996936"/>
      <w:bookmarkStart w:id="197" w:name="_Toc152042324"/>
      <w:r>
        <w:rPr>
          <w:rFonts w:hint="eastAsia" w:ascii="仿宋" w:hAnsi="仿宋" w:eastAsia="仿宋" w:cs="宋体"/>
          <w:color w:val="000000"/>
          <w:sz w:val="24"/>
          <w:szCs w:val="24"/>
          <w:highlight w:val="none"/>
        </w:rPr>
        <w:t>投标人应当按照投标人须知前附表的要求制作并提交投标文件。投标文件的组成见投标人须知前附表。</w:t>
      </w:r>
    </w:p>
    <w:p w14:paraId="410C2B19">
      <w:pPr>
        <w:pStyle w:val="5"/>
        <w:ind w:firstLine="0" w:firstLineChars="0"/>
        <w:rPr>
          <w:rFonts w:ascii="仿宋" w:hAnsi="仿宋" w:cs="宋体"/>
          <w:color w:val="000000"/>
          <w:highlight w:val="none"/>
        </w:rPr>
      </w:pPr>
      <w:bookmarkStart w:id="198" w:name="_Toc60224338"/>
      <w:bookmarkStart w:id="199" w:name="_Toc109124252"/>
      <w:bookmarkStart w:id="200" w:name="_Toc71191971"/>
      <w:bookmarkStart w:id="201" w:name="_Toc20674"/>
      <w:bookmarkStart w:id="202" w:name="_Toc28066"/>
      <w:r>
        <w:rPr>
          <w:rFonts w:ascii="仿宋" w:hAnsi="仿宋" w:cs="宋体"/>
          <w:color w:val="000000"/>
          <w:highlight w:val="none"/>
        </w:rPr>
        <w:t xml:space="preserve">3.2 </w:t>
      </w:r>
      <w:bookmarkEnd w:id="188"/>
      <w:bookmarkEnd w:id="189"/>
      <w:bookmarkEnd w:id="190"/>
      <w:bookmarkEnd w:id="191"/>
      <w:bookmarkEnd w:id="192"/>
      <w:bookmarkEnd w:id="193"/>
      <w:bookmarkEnd w:id="194"/>
      <w:bookmarkEnd w:id="195"/>
      <w:bookmarkEnd w:id="196"/>
      <w:bookmarkEnd w:id="197"/>
      <w:r>
        <w:rPr>
          <w:rFonts w:ascii="仿宋" w:hAnsi="仿宋" w:cs="宋体"/>
          <w:color w:val="000000"/>
          <w:highlight w:val="none"/>
        </w:rPr>
        <w:t>投标文件的编制</w:t>
      </w:r>
      <w:bookmarkEnd w:id="198"/>
      <w:bookmarkEnd w:id="199"/>
      <w:bookmarkEnd w:id="200"/>
      <w:bookmarkEnd w:id="201"/>
      <w:bookmarkEnd w:id="202"/>
    </w:p>
    <w:p w14:paraId="28A32C3F">
      <w:pPr>
        <w:spacing w:line="360" w:lineRule="auto"/>
        <w:ind w:firstLine="480" w:firstLineChars="200"/>
        <w:textAlignment w:val="baseline"/>
        <w:rPr>
          <w:rFonts w:hint="eastAsia" w:ascii="仿宋" w:hAnsi="仿宋" w:eastAsia="仿宋" w:cs="宋体"/>
          <w:color w:val="000000"/>
          <w:sz w:val="24"/>
          <w:szCs w:val="24"/>
          <w:highlight w:val="none"/>
        </w:rPr>
      </w:pPr>
      <w:bookmarkStart w:id="203" w:name="_Toc152045549"/>
      <w:bookmarkStart w:id="204" w:name="_Toc144974517"/>
      <w:bookmarkStart w:id="205" w:name="_Toc334766941"/>
      <w:bookmarkStart w:id="206" w:name="_Toc246996937"/>
      <w:bookmarkStart w:id="207" w:name="_Toc246996194"/>
      <w:bookmarkStart w:id="208" w:name="_Toc152042325"/>
      <w:bookmarkStart w:id="209" w:name="_Toc247085708"/>
      <w:bookmarkStart w:id="210" w:name="_Toc332188187"/>
      <w:bookmarkStart w:id="211" w:name="_Toc179632567"/>
      <w:bookmarkStart w:id="212" w:name="_Toc326223554"/>
      <w:r>
        <w:rPr>
          <w:rFonts w:hint="eastAsia" w:ascii="仿宋" w:hAnsi="仿宋" w:eastAsia="仿宋" w:cs="宋体"/>
          <w:color w:val="000000"/>
          <w:sz w:val="24"/>
          <w:szCs w:val="24"/>
          <w:highlight w:val="none"/>
        </w:rPr>
        <w:t xml:space="preserve">3.2.1投标人应当按照招标文件的要求编制投标文件，并对其投标文件的真实性、合法性承担法律责任，投标文件应当对招标文件提出的实质性要求和条件作出响应。 </w:t>
      </w:r>
    </w:p>
    <w:p w14:paraId="1FB0FEB7">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3.2.2投标人应认真阅读招标文件中所有的事项、格式、条款和技术规范等。投标人没有按照招标文件要求递交全部资料，或者投标人没有对招标文件在各方面都作出实质性响应是投标人的风险，并可能导致其投标被否决。投标文件应答和编写的具体要求见投标人须知前附表。</w:t>
      </w:r>
    </w:p>
    <w:p w14:paraId="17FEBDC6">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3.2.3投标人提交的投标文件以及投标人与招标人就有关投标的所有往来函电均应使用中文。投标人提交的证明文件和印刷的文献可以使用另一种语言，但相应内容应当译成中文，在解释投标文件时以中文译本为准。</w:t>
      </w:r>
    </w:p>
    <w:p w14:paraId="3DB8F4C0">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3.2.4纸质投标文件应当使用不褪色的材料书写或打印，并加盖公章或者由投标人的法定代表人（负责人）或者其委托代理人签字。委托代理人签字的，投标文件应当附法定代表人（负责人）签署的授权委托书。投标文件应尽量避免涂改、行间插字或删除。如果出现上述情况，改动之处应当加盖公章或由投标人的法定代表人（负责人）或其委托代理人签字确认。电子投标文件的签章要求及纸质投标文件盖章或者签字另有要求的，见投标人须知前附表。</w:t>
      </w:r>
    </w:p>
    <w:p w14:paraId="357BBCBB">
      <w:pPr>
        <w:pStyle w:val="5"/>
        <w:ind w:firstLine="0" w:firstLineChars="0"/>
        <w:rPr>
          <w:rFonts w:ascii="仿宋" w:hAnsi="仿宋" w:cs="宋体"/>
          <w:color w:val="000000"/>
          <w:highlight w:val="none"/>
        </w:rPr>
      </w:pPr>
      <w:bookmarkStart w:id="213" w:name="_Toc60224339"/>
      <w:bookmarkStart w:id="214" w:name="_Toc18181"/>
      <w:bookmarkStart w:id="215" w:name="_Toc13378"/>
      <w:bookmarkStart w:id="216" w:name="_Toc109124253"/>
      <w:bookmarkStart w:id="217" w:name="_Toc71191972"/>
      <w:r>
        <w:rPr>
          <w:rFonts w:ascii="仿宋" w:hAnsi="仿宋" w:cs="宋体"/>
          <w:color w:val="000000"/>
          <w:highlight w:val="none"/>
        </w:rPr>
        <w:t>3.3 投标报价</w:t>
      </w:r>
      <w:bookmarkEnd w:id="213"/>
      <w:bookmarkEnd w:id="214"/>
      <w:bookmarkEnd w:id="215"/>
      <w:bookmarkEnd w:id="216"/>
      <w:bookmarkEnd w:id="217"/>
    </w:p>
    <w:p w14:paraId="1C77D9D9">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3.3.1投标人应当根据招标文件要求进行报价，投标人应当报出符合招标文件要求的拟提供投标货物或服务的单价、总价、费率、税率等内容。</w:t>
      </w:r>
    </w:p>
    <w:p w14:paraId="0834CFF3">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3.3.2 除招标文件另有规定外，投标报价一律用人民币填报，招标人不接受任何非人民币币种的投标报价。</w:t>
      </w:r>
    </w:p>
    <w:p w14:paraId="5138C275">
      <w:pPr>
        <w:widowControl/>
        <w:topLinePunct/>
        <w:spacing w:line="360" w:lineRule="auto"/>
        <w:ind w:firstLine="480" w:firstLineChars="200"/>
        <w:rPr>
          <w:rFonts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3.3.3</w:t>
      </w:r>
      <w:r>
        <w:rPr>
          <w:rFonts w:hint="eastAsia" w:ascii="仿宋" w:hAnsi="仿宋" w:eastAsia="仿宋" w:cs="宋体"/>
          <w:color w:val="000000"/>
          <w:kern w:val="0"/>
          <w:sz w:val="24"/>
          <w:szCs w:val="24"/>
          <w:highlight w:val="none"/>
        </w:rPr>
        <w:t>除招标文件另有规定外，投标人对每种货物或服务只允许有一个报价，招标人不接受有任何选择的报价。</w:t>
      </w:r>
    </w:p>
    <w:p w14:paraId="240903D7">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w:t>
      </w:r>
      <w:r>
        <w:rPr>
          <w:rFonts w:ascii="仿宋" w:hAnsi="仿宋" w:eastAsia="仿宋" w:cs="宋体"/>
          <w:color w:val="000000"/>
          <w:kern w:val="0"/>
          <w:sz w:val="24"/>
          <w:szCs w:val="24"/>
          <w:highlight w:val="none"/>
        </w:rPr>
        <w:t>4</w:t>
      </w:r>
      <w:r>
        <w:rPr>
          <w:rFonts w:hint="eastAsia" w:ascii="仿宋" w:hAnsi="仿宋" w:eastAsia="仿宋" w:cs="宋体"/>
          <w:color w:val="000000"/>
          <w:kern w:val="0"/>
          <w:sz w:val="24"/>
          <w:szCs w:val="24"/>
          <w:highlight w:val="none"/>
        </w:rPr>
        <w:t>招标人设有最高投标限价的，投标人的投标报价不得超过最高投标限价，否则其投标将被否决。最高投标限价或者其计算方法见投标人须知前附表。</w:t>
      </w:r>
    </w:p>
    <w:p w14:paraId="07694D4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 xml:space="preserve">投标报价的具体要求见投标人须知前附表。 </w:t>
      </w:r>
    </w:p>
    <w:p w14:paraId="28B745C0">
      <w:pPr>
        <w:pStyle w:val="5"/>
        <w:ind w:firstLine="0" w:firstLineChars="0"/>
        <w:rPr>
          <w:rFonts w:ascii="仿宋" w:hAnsi="仿宋" w:cs="宋体"/>
          <w:color w:val="000000"/>
          <w:highlight w:val="none"/>
        </w:rPr>
      </w:pPr>
      <w:bookmarkStart w:id="218" w:name="_Toc10829"/>
      <w:bookmarkStart w:id="219" w:name="_Toc71191973"/>
      <w:bookmarkStart w:id="220" w:name="_Toc3831"/>
      <w:bookmarkStart w:id="221" w:name="_Toc109124254"/>
      <w:bookmarkStart w:id="222" w:name="_Toc60224340"/>
      <w:r>
        <w:rPr>
          <w:rFonts w:ascii="仿宋" w:hAnsi="仿宋" w:cs="宋体"/>
          <w:color w:val="000000"/>
          <w:highlight w:val="none"/>
        </w:rPr>
        <w:t xml:space="preserve">3.4 </w:t>
      </w:r>
      <w:bookmarkEnd w:id="203"/>
      <w:bookmarkEnd w:id="204"/>
      <w:bookmarkEnd w:id="205"/>
      <w:bookmarkEnd w:id="206"/>
      <w:bookmarkEnd w:id="207"/>
      <w:bookmarkEnd w:id="208"/>
      <w:bookmarkEnd w:id="209"/>
      <w:bookmarkEnd w:id="210"/>
      <w:bookmarkEnd w:id="211"/>
      <w:bookmarkEnd w:id="212"/>
      <w:r>
        <w:rPr>
          <w:rFonts w:ascii="仿宋" w:hAnsi="仿宋" w:cs="宋体"/>
          <w:color w:val="000000"/>
          <w:highlight w:val="none"/>
        </w:rPr>
        <w:t>投标有效期</w:t>
      </w:r>
      <w:bookmarkEnd w:id="218"/>
      <w:bookmarkEnd w:id="219"/>
      <w:bookmarkEnd w:id="220"/>
      <w:bookmarkEnd w:id="221"/>
      <w:bookmarkEnd w:id="222"/>
    </w:p>
    <w:p w14:paraId="61224D7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3.4.1投标有效期从提交投标文件的截止之日起算，投标有效期的具体时间见投标人须知前附表。投标人承诺的投标有效期必须不短于招标文件规定的投标有效期，否则将构成对招标文件的非实质性响应，投标将被否决。</w:t>
      </w:r>
    </w:p>
    <w:p w14:paraId="5B2EAAB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3.4.2在原投标有效期结束前，出现特殊情况的，招标人可以书面形式要求所有投标人延长投标有效期。投标人同意延长的，不得要求或被允许修改其投标文件的实质性内容</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投标人拒绝延长投标有效期的，其投标失效。</w:t>
      </w:r>
    </w:p>
    <w:p w14:paraId="09D305C7">
      <w:pPr>
        <w:pStyle w:val="5"/>
        <w:ind w:firstLine="0" w:firstLineChars="0"/>
        <w:rPr>
          <w:rFonts w:ascii="仿宋" w:hAnsi="仿宋" w:cs="宋体"/>
          <w:color w:val="000000"/>
          <w:highlight w:val="none"/>
        </w:rPr>
      </w:pPr>
      <w:bookmarkStart w:id="223" w:name="_Toc179632568"/>
      <w:bookmarkStart w:id="224" w:name="_Toc109124255"/>
      <w:bookmarkStart w:id="225" w:name="_Toc7184"/>
      <w:bookmarkStart w:id="226" w:name="_Toc246996195"/>
      <w:bookmarkStart w:id="227" w:name="_Toc246996938"/>
      <w:bookmarkStart w:id="228" w:name="_Toc326223555"/>
      <w:bookmarkStart w:id="229" w:name="_Toc152042326"/>
      <w:bookmarkStart w:id="230" w:name="_Toc71191974"/>
      <w:bookmarkStart w:id="231" w:name="_Toc144974518"/>
      <w:bookmarkStart w:id="232" w:name="_Toc334766942"/>
      <w:bookmarkStart w:id="233" w:name="_Toc247085709"/>
      <w:bookmarkStart w:id="234" w:name="_Toc60224341"/>
      <w:bookmarkStart w:id="235" w:name="_Toc332188188"/>
      <w:bookmarkStart w:id="236" w:name="_Toc6186"/>
      <w:bookmarkStart w:id="237" w:name="_Toc152045550"/>
      <w:r>
        <w:rPr>
          <w:rFonts w:ascii="仿宋" w:hAnsi="仿宋" w:cs="宋体"/>
          <w:color w:val="000000"/>
          <w:highlight w:val="none"/>
        </w:rPr>
        <w:t>3.5 投标保证金</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hint="eastAsia" w:ascii="仿宋" w:hAnsi="仿宋" w:cs="宋体"/>
          <w:color w:val="000000"/>
          <w:highlight w:val="none"/>
          <w:lang w:eastAsia="zh-CN"/>
        </w:rPr>
        <w:t>（</w:t>
      </w:r>
      <w:r>
        <w:rPr>
          <w:rFonts w:hint="eastAsia" w:ascii="仿宋" w:hAnsi="仿宋" w:cs="宋体"/>
          <w:color w:val="000000"/>
          <w:highlight w:val="none"/>
          <w:lang w:val="en-US" w:eastAsia="zh-CN"/>
        </w:rPr>
        <w:t>本项目不适用</w:t>
      </w:r>
      <w:r>
        <w:rPr>
          <w:rFonts w:hint="eastAsia" w:ascii="仿宋" w:hAnsi="仿宋" w:cs="宋体"/>
          <w:color w:val="000000"/>
          <w:highlight w:val="none"/>
          <w:lang w:eastAsia="zh-CN"/>
        </w:rPr>
        <w:t>）</w:t>
      </w:r>
    </w:p>
    <w:p w14:paraId="18CF3714">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238" w:name="_Hlk112074683"/>
      <w:bookmarkStart w:id="239" w:name="_Toc246996196"/>
      <w:bookmarkStart w:id="240" w:name="_Toc246996939"/>
      <w:bookmarkStart w:id="241" w:name="_Toc326223556"/>
      <w:bookmarkStart w:id="242" w:name="_Toc247085710"/>
      <w:bookmarkStart w:id="243" w:name="_Toc179632570"/>
      <w:bookmarkStart w:id="244" w:name="_Toc152045552"/>
      <w:bookmarkStart w:id="245" w:name="_Toc334766943"/>
      <w:bookmarkStart w:id="246" w:name="_Toc332188189"/>
      <w:bookmarkStart w:id="247" w:name="_Toc152042328"/>
      <w:bookmarkStart w:id="248" w:name="_Toc144974520"/>
      <w:r>
        <w:rPr>
          <w:rFonts w:hint="eastAsia" w:ascii="仿宋" w:hAnsi="仿宋" w:eastAsia="仿宋" w:cs="宋体"/>
          <w:color w:val="000000"/>
          <w:kern w:val="0"/>
          <w:sz w:val="24"/>
          <w:szCs w:val="24"/>
          <w:highlight w:val="none"/>
        </w:rPr>
        <w:t>3.5.1招标人要求投标人提交投标保证金的，投标保证金不得超过招标项目估算价的2%，且不超过人民币8</w:t>
      </w:r>
      <w:r>
        <w:rPr>
          <w:rFonts w:ascii="仿宋" w:hAnsi="仿宋" w:eastAsia="仿宋" w:cs="宋体"/>
          <w:color w:val="000000"/>
          <w:kern w:val="0"/>
          <w:sz w:val="24"/>
          <w:szCs w:val="24"/>
          <w:highlight w:val="none"/>
        </w:rPr>
        <w:t>0</w:t>
      </w:r>
      <w:r>
        <w:rPr>
          <w:rFonts w:hint="eastAsia" w:ascii="仿宋" w:hAnsi="仿宋" w:eastAsia="仿宋" w:cs="宋体"/>
          <w:color w:val="000000"/>
          <w:kern w:val="0"/>
          <w:sz w:val="24"/>
          <w:szCs w:val="24"/>
          <w:highlight w:val="none"/>
        </w:rPr>
        <w:t>万元。投标保证金有效期与投标有效期一致。本招标项目的投标保证金金额、形式见投标人须知前附表。</w:t>
      </w:r>
    </w:p>
    <w:p w14:paraId="5C19B7ED">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3.5.2</w:t>
      </w:r>
      <w:bookmarkStart w:id="249" w:name="_Hlk142926284"/>
      <w:r>
        <w:rPr>
          <w:rFonts w:hint="eastAsia" w:ascii="仿宋" w:hAnsi="仿宋" w:eastAsia="仿宋" w:cs="宋体"/>
          <w:color w:val="000000"/>
          <w:kern w:val="0"/>
          <w:sz w:val="24"/>
          <w:szCs w:val="24"/>
          <w:highlight w:val="none"/>
        </w:rPr>
        <w:t>投标人或中标人出现下列行为之一，投标保证金不予退还：</w:t>
      </w:r>
    </w:p>
    <w:p w14:paraId="4E572767">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（1）投标人在投标截止后至投标有效期期满前</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要求撤回已递交的投标文件；</w:t>
      </w:r>
    </w:p>
    <w:p w14:paraId="7C566AB3">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（2）中标后放弃中标的；</w:t>
      </w:r>
    </w:p>
    <w:p w14:paraId="3658540D">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（3）中标或成交后无正当理由不与招标人订立合同的；</w:t>
      </w:r>
    </w:p>
    <w:p w14:paraId="5BE28D61">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（4）中标人在签订合同时向招标人提出附加条件或要求变更实质性合同条款的；</w:t>
      </w:r>
    </w:p>
    <w:p w14:paraId="61457518">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（5）中标人不按照招标文件要求提交履约保证金的；</w:t>
      </w:r>
    </w:p>
    <w:p w14:paraId="517605D5">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（6）投标人有恶意欺诈、弄虚作假、围标串标、哄抬标价、徇私行贿等法律法规中所列违规行为的。</w:t>
      </w:r>
    </w:p>
    <w:bookmarkEnd w:id="238"/>
    <w:bookmarkEnd w:id="249"/>
    <w:p w14:paraId="3B8E30AD">
      <w:pPr>
        <w:pStyle w:val="5"/>
        <w:ind w:firstLine="0" w:firstLineChars="0"/>
        <w:rPr>
          <w:rFonts w:ascii="仿宋" w:hAnsi="仿宋" w:cs="宋体"/>
          <w:color w:val="000000"/>
          <w:highlight w:val="none"/>
        </w:rPr>
      </w:pPr>
      <w:bookmarkStart w:id="250" w:name="_Toc30245"/>
      <w:bookmarkStart w:id="251" w:name="_Toc60224342"/>
      <w:bookmarkStart w:id="252" w:name="_Toc71191975"/>
      <w:bookmarkStart w:id="253" w:name="_Toc109124256"/>
      <w:bookmarkStart w:id="254" w:name="_Toc30161"/>
      <w:r>
        <w:rPr>
          <w:rFonts w:ascii="仿宋" w:hAnsi="仿宋" w:cs="宋体"/>
          <w:color w:val="000000"/>
          <w:highlight w:val="none"/>
        </w:rPr>
        <w:t xml:space="preserve">3.6 </w:t>
      </w:r>
      <w:bookmarkEnd w:id="239"/>
      <w:bookmarkEnd w:id="240"/>
      <w:bookmarkEnd w:id="241"/>
      <w:bookmarkEnd w:id="242"/>
      <w:bookmarkEnd w:id="243"/>
      <w:bookmarkEnd w:id="244"/>
      <w:bookmarkEnd w:id="245"/>
      <w:bookmarkEnd w:id="246"/>
      <w:bookmarkEnd w:id="247"/>
      <w:bookmarkEnd w:id="248"/>
      <w:r>
        <w:rPr>
          <w:rFonts w:ascii="仿宋" w:hAnsi="仿宋" w:cs="宋体"/>
          <w:color w:val="000000"/>
          <w:highlight w:val="none"/>
        </w:rPr>
        <w:t>备选投标方案</w:t>
      </w:r>
      <w:bookmarkEnd w:id="250"/>
      <w:bookmarkEnd w:id="251"/>
      <w:bookmarkEnd w:id="252"/>
      <w:bookmarkEnd w:id="253"/>
      <w:bookmarkEnd w:id="254"/>
    </w:p>
    <w:p w14:paraId="778414E8">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招标人可以要求投标人在提交符合招标文件规定要求的投标文件外，提交备选投标方案，但应当在招标文件中做出说明，并提出相应的评审和比较办法。除投标人须知前附表另有规定外，投标人不得递交备选投标方案。</w:t>
      </w:r>
    </w:p>
    <w:p w14:paraId="58DD18C6">
      <w:pPr>
        <w:pStyle w:val="5"/>
        <w:ind w:firstLine="0" w:firstLineChars="0"/>
        <w:rPr>
          <w:rFonts w:ascii="仿宋" w:hAnsi="仿宋" w:cs="宋体"/>
          <w:color w:val="000000"/>
          <w:highlight w:val="none"/>
        </w:rPr>
      </w:pPr>
      <w:bookmarkStart w:id="255" w:name="_Toc332188190"/>
      <w:bookmarkStart w:id="256" w:name="_Toc334766944"/>
      <w:bookmarkStart w:id="257" w:name="_Toc326223557"/>
      <w:bookmarkStart w:id="258" w:name="_Toc4921"/>
      <w:bookmarkStart w:id="259" w:name="_Toc109124257"/>
      <w:bookmarkStart w:id="260" w:name="_Toc24967"/>
      <w:bookmarkStart w:id="261" w:name="_Toc60224343"/>
      <w:bookmarkStart w:id="262" w:name="_Toc71191976"/>
      <w:r>
        <w:rPr>
          <w:rFonts w:ascii="仿宋" w:hAnsi="仿宋" w:cs="宋体"/>
          <w:color w:val="000000"/>
          <w:highlight w:val="none"/>
        </w:rPr>
        <w:t xml:space="preserve">3.7 </w:t>
      </w:r>
      <w:bookmarkEnd w:id="255"/>
      <w:bookmarkEnd w:id="256"/>
      <w:bookmarkEnd w:id="257"/>
      <w:r>
        <w:rPr>
          <w:rFonts w:ascii="仿宋" w:hAnsi="仿宋" w:cs="宋体"/>
          <w:color w:val="000000"/>
          <w:highlight w:val="none"/>
        </w:rPr>
        <w:t>纸质投标文件的式样、密封和标记</w:t>
      </w:r>
      <w:bookmarkEnd w:id="258"/>
      <w:bookmarkEnd w:id="259"/>
      <w:bookmarkEnd w:id="260"/>
      <w:bookmarkEnd w:id="261"/>
      <w:bookmarkEnd w:id="262"/>
    </w:p>
    <w:p w14:paraId="37D3D74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3.7.1 投标人应当编制一份投标文件“正本”和投标人须知前附表所述份数的“副本”和“电子版”，副本为正本复印件。电子文件与</w:t>
      </w:r>
      <w:r>
        <w:rPr>
          <w:rFonts w:ascii="仿宋" w:hAnsi="仿宋" w:eastAsia="仿宋" w:cs="宋体"/>
          <w:color w:val="000000"/>
          <w:kern w:val="0"/>
          <w:sz w:val="24"/>
          <w:szCs w:val="24"/>
          <w:highlight w:val="none"/>
        </w:rPr>
        <w:t>纸质</w:t>
      </w:r>
      <w:r>
        <w:rPr>
          <w:rFonts w:hint="eastAsia" w:ascii="仿宋" w:hAnsi="仿宋" w:eastAsia="仿宋" w:cs="宋体"/>
          <w:color w:val="000000"/>
          <w:kern w:val="0"/>
          <w:sz w:val="24"/>
          <w:szCs w:val="24"/>
          <w:highlight w:val="none"/>
        </w:rPr>
        <w:t>文件不一致时，以</w:t>
      </w:r>
      <w:r>
        <w:rPr>
          <w:rFonts w:hint="eastAsia" w:ascii="仿宋" w:hAnsi="仿宋" w:eastAsia="仿宋" w:cs="宋体"/>
          <w:b/>
          <w:bCs/>
          <w:color w:val="000000"/>
          <w:kern w:val="0"/>
          <w:sz w:val="24"/>
          <w:szCs w:val="24"/>
          <w:highlight w:val="none"/>
        </w:rPr>
        <w:t>电子文件</w:t>
      </w:r>
      <w:r>
        <w:rPr>
          <w:rFonts w:hint="eastAsia" w:ascii="仿宋" w:hAnsi="仿宋" w:eastAsia="仿宋" w:cs="宋体"/>
          <w:color w:val="000000"/>
          <w:kern w:val="0"/>
          <w:sz w:val="24"/>
          <w:szCs w:val="24"/>
          <w:highlight w:val="none"/>
        </w:rPr>
        <w:t>为准，纸质文件正本与副本不一致时，以正本为准。</w:t>
      </w:r>
    </w:p>
    <w:p w14:paraId="06C19098">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3.7.2 投标文件的正本、副本应当分别装订，并于封面上明确标明“正本”“副本”字样。</w:t>
      </w:r>
    </w:p>
    <w:p w14:paraId="22A22676">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3.7.3 纸质投标文件应当按照招标文件规定密封包装，外层包封应当写明招标人名称、地址、项目名称、招标编号以及投标人的名称、地址、邮政编码等信息，明确标明“正本”“副本”字样，注明“开标时间以前不得开封”。招标人对于纸质投标文件密封、标记另有要求的，见投标人须知前附表。</w:t>
      </w:r>
    </w:p>
    <w:p w14:paraId="73070765">
      <w:pPr>
        <w:pStyle w:val="5"/>
        <w:ind w:firstLine="0" w:firstLineChars="0"/>
        <w:rPr>
          <w:rFonts w:ascii="仿宋" w:hAnsi="仿宋" w:cs="宋体"/>
          <w:color w:val="000000"/>
          <w:highlight w:val="none"/>
        </w:rPr>
      </w:pPr>
      <w:bookmarkStart w:id="263" w:name="_Toc71191977"/>
      <w:bookmarkStart w:id="264" w:name="_Toc109124258"/>
      <w:bookmarkStart w:id="265" w:name="_Toc60224344"/>
      <w:bookmarkStart w:id="266" w:name="_Toc32531"/>
      <w:bookmarkStart w:id="267" w:name="_Toc19897"/>
      <w:bookmarkStart w:id="268" w:name="_Toc152045553"/>
      <w:bookmarkStart w:id="269" w:name="_Toc152042329"/>
      <w:bookmarkStart w:id="270" w:name="_Toc247085711"/>
      <w:bookmarkStart w:id="271" w:name="_Toc179632571"/>
      <w:bookmarkStart w:id="272" w:name="_Toc246996197"/>
      <w:bookmarkStart w:id="273" w:name="_Toc246996940"/>
      <w:bookmarkStart w:id="274" w:name="_Toc144974521"/>
      <w:r>
        <w:rPr>
          <w:rFonts w:ascii="仿宋" w:hAnsi="仿宋" w:cs="宋体"/>
          <w:color w:val="000000"/>
          <w:highlight w:val="none"/>
        </w:rPr>
        <w:t>3.8 电子招投标的投标文件上传形式</w:t>
      </w:r>
      <w:bookmarkEnd w:id="263"/>
      <w:bookmarkEnd w:id="264"/>
      <w:bookmarkEnd w:id="265"/>
      <w:bookmarkEnd w:id="266"/>
      <w:bookmarkEnd w:id="267"/>
    </w:p>
    <w:p w14:paraId="00472386">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投标文件应当按照投标人须知前附表要求的形式上传。</w:t>
      </w:r>
    </w:p>
    <w:bookmarkEnd w:id="268"/>
    <w:bookmarkEnd w:id="269"/>
    <w:bookmarkEnd w:id="270"/>
    <w:bookmarkEnd w:id="271"/>
    <w:bookmarkEnd w:id="272"/>
    <w:bookmarkEnd w:id="273"/>
    <w:bookmarkEnd w:id="274"/>
    <w:p w14:paraId="05BD3AFD">
      <w:pPr>
        <w:pStyle w:val="4"/>
        <w:bidi w:val="0"/>
        <w:rPr>
          <w:rFonts w:hint="eastAsia"/>
        </w:rPr>
      </w:pPr>
      <w:bookmarkStart w:id="275" w:name="_Toc179632573"/>
      <w:bookmarkStart w:id="276" w:name="_Toc144974523"/>
      <w:bookmarkStart w:id="277" w:name="_Toc152042331"/>
      <w:bookmarkStart w:id="278" w:name="_Toc246996199"/>
      <w:bookmarkStart w:id="279" w:name="_Toc247085713"/>
      <w:bookmarkStart w:id="280" w:name="_Toc152045555"/>
      <w:bookmarkStart w:id="281" w:name="_Toc28146"/>
      <w:bookmarkStart w:id="282" w:name="_Toc109124259"/>
      <w:bookmarkStart w:id="283" w:name="_Toc246996942"/>
      <w:bookmarkStart w:id="284" w:name="_Toc30810"/>
      <w:r>
        <w:rPr>
          <w:rFonts w:hint="eastAsia"/>
        </w:rPr>
        <w:t>4.投标</w:t>
      </w:r>
      <w:bookmarkEnd w:id="275"/>
      <w:bookmarkEnd w:id="276"/>
      <w:bookmarkEnd w:id="277"/>
      <w:bookmarkEnd w:id="278"/>
      <w:bookmarkEnd w:id="279"/>
      <w:bookmarkEnd w:id="280"/>
      <w:bookmarkEnd w:id="281"/>
      <w:bookmarkEnd w:id="282"/>
      <w:bookmarkEnd w:id="283"/>
      <w:bookmarkEnd w:id="284"/>
    </w:p>
    <w:p w14:paraId="37075FFB">
      <w:pPr>
        <w:pStyle w:val="5"/>
        <w:ind w:firstLine="0" w:firstLineChars="0"/>
        <w:rPr>
          <w:rFonts w:ascii="仿宋" w:hAnsi="仿宋" w:cs="宋体"/>
          <w:color w:val="000000"/>
          <w:highlight w:val="none"/>
        </w:rPr>
      </w:pPr>
      <w:bookmarkStart w:id="285" w:name="_Toc332188192"/>
      <w:bookmarkStart w:id="286" w:name="_Toc152042332"/>
      <w:bookmarkStart w:id="287" w:name="_Toc152045556"/>
      <w:bookmarkStart w:id="288" w:name="_Toc179632574"/>
      <w:bookmarkStart w:id="289" w:name="_Toc334766946"/>
      <w:bookmarkStart w:id="290" w:name="_Toc246996200"/>
      <w:bookmarkStart w:id="291" w:name="_Toc246996943"/>
      <w:bookmarkStart w:id="292" w:name="_Toc326223559"/>
      <w:bookmarkStart w:id="293" w:name="_Toc144974524"/>
      <w:bookmarkStart w:id="294" w:name="_Toc247085714"/>
      <w:bookmarkStart w:id="295" w:name="_Toc20297"/>
      <w:bookmarkStart w:id="296" w:name="_Toc60224346"/>
      <w:bookmarkStart w:id="297" w:name="_Toc109124260"/>
      <w:bookmarkStart w:id="298" w:name="_Toc31475"/>
      <w:bookmarkStart w:id="299" w:name="_Toc71191979"/>
      <w:r>
        <w:rPr>
          <w:rFonts w:ascii="仿宋" w:hAnsi="仿宋" w:cs="宋体"/>
          <w:color w:val="000000"/>
          <w:highlight w:val="none"/>
        </w:rPr>
        <w:t xml:space="preserve">4.1 </w:t>
      </w:r>
      <w:bookmarkEnd w:id="285"/>
      <w:bookmarkEnd w:id="286"/>
      <w:bookmarkEnd w:id="287"/>
      <w:bookmarkEnd w:id="288"/>
      <w:bookmarkEnd w:id="289"/>
      <w:bookmarkEnd w:id="290"/>
      <w:bookmarkEnd w:id="291"/>
      <w:bookmarkEnd w:id="292"/>
      <w:bookmarkEnd w:id="293"/>
      <w:bookmarkEnd w:id="294"/>
      <w:r>
        <w:rPr>
          <w:rFonts w:ascii="仿宋" w:hAnsi="仿宋" w:cs="宋体"/>
          <w:color w:val="000000"/>
          <w:highlight w:val="none"/>
        </w:rPr>
        <w:t>投标文件的递交</w:t>
      </w:r>
      <w:bookmarkEnd w:id="295"/>
      <w:bookmarkEnd w:id="296"/>
      <w:bookmarkEnd w:id="297"/>
      <w:bookmarkEnd w:id="298"/>
      <w:bookmarkEnd w:id="299"/>
    </w:p>
    <w:p w14:paraId="38486D6E">
      <w:pPr>
        <w:spacing w:line="360" w:lineRule="auto"/>
        <w:ind w:firstLine="480" w:firstLineChars="200"/>
        <w:textAlignment w:val="baseline"/>
        <w:rPr>
          <w:rFonts w:hint="eastAsia"/>
          <w:b/>
          <w:bCs/>
          <w:highlight w:val="none"/>
        </w:rPr>
      </w:pPr>
      <w:bookmarkStart w:id="300" w:name="_Toc144974525"/>
      <w:bookmarkStart w:id="301" w:name="_Toc246996201"/>
      <w:bookmarkStart w:id="302" w:name="_Toc247085715"/>
      <w:bookmarkStart w:id="303" w:name="_Toc152042333"/>
      <w:bookmarkStart w:id="304" w:name="_Toc332188193"/>
      <w:bookmarkStart w:id="305" w:name="_Toc326223560"/>
      <w:bookmarkStart w:id="306" w:name="_Toc334766947"/>
      <w:bookmarkStart w:id="307" w:name="_Toc246996944"/>
      <w:bookmarkStart w:id="308" w:name="_Toc179632575"/>
      <w:bookmarkStart w:id="309" w:name="_Toc152045557"/>
      <w:r>
        <w:rPr>
          <w:rFonts w:hint="eastAsia" w:ascii="仿宋" w:hAnsi="仿宋" w:eastAsia="仿宋" w:cs="宋体"/>
          <w:color w:val="000000"/>
          <w:kern w:val="0"/>
          <w:sz w:val="24"/>
          <w:szCs w:val="24"/>
          <w:highlight w:val="none"/>
        </w:rPr>
        <w:t>4.1.1递交</w:t>
      </w:r>
      <w:r>
        <w:rPr>
          <w:rFonts w:hint="eastAsia" w:ascii="仿宋" w:hAnsi="仿宋" w:eastAsia="仿宋" w:cs="宋体"/>
          <w:color w:val="000000"/>
          <w:sz w:val="24"/>
          <w:szCs w:val="24"/>
          <w:highlight w:val="none"/>
        </w:rPr>
        <w:t>投标文件的截止时间、递交地点、递交方式及要求见第一章招标公告。</w:t>
      </w:r>
    </w:p>
    <w:p w14:paraId="5E2C53CF">
      <w:pPr>
        <w:widowControl/>
        <w:topLinePunct/>
        <w:spacing w:line="360" w:lineRule="auto"/>
        <w:ind w:firstLine="464"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spacing w:val="-4"/>
          <w:kern w:val="0"/>
          <w:sz w:val="24"/>
          <w:szCs w:val="24"/>
          <w:highlight w:val="none"/>
        </w:rPr>
        <w:t>4.1.2 投标人所递交的投标文件不予退还。</w:t>
      </w:r>
    </w:p>
    <w:p w14:paraId="78C007B1">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4.1.3 出现下列情形之一时，招标人/招标代理机构不予接收投标文件：</w:t>
      </w:r>
    </w:p>
    <w:p w14:paraId="505C9E92">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（1）逾期递交电子投标文件的投标人；</w:t>
      </w:r>
    </w:p>
    <w:p w14:paraId="6F3F1D58">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（2）逾期递交或者未在指定地点递交纸质投标文件的投标人；</w:t>
      </w:r>
    </w:p>
    <w:p w14:paraId="510EE9E6">
      <w:pPr>
        <w:widowControl/>
        <w:topLinePunct/>
        <w:spacing w:line="360" w:lineRule="auto"/>
        <w:ind w:firstLine="480" w:firstLineChars="200"/>
        <w:rPr>
          <w:rFonts w:ascii="仿宋" w:hAnsi="仿宋" w:eastAsia="仿宋" w:cs="宋体"/>
          <w:color w:val="000000"/>
          <w:sz w:val="24"/>
          <w:szCs w:val="24"/>
          <w:highlight w:val="none"/>
        </w:rPr>
      </w:pPr>
      <w:r>
        <w:rPr>
          <w:rFonts w:hint="eastAsia" w:ascii="仿宋" w:hAnsi="仿宋" w:eastAsia="仿宋" w:cs="宋体"/>
          <w:color w:val="000000"/>
          <w:kern w:val="0"/>
          <w:sz w:val="24"/>
          <w:szCs w:val="24"/>
          <w:highlight w:val="none"/>
        </w:rPr>
        <w:t>（</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）电子投标文件未按招标文件要求加密的；</w:t>
      </w:r>
    </w:p>
    <w:p w14:paraId="44EF3494">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w:t>
      </w:r>
      <w:r>
        <w:rPr>
          <w:rFonts w:ascii="仿宋" w:hAnsi="仿宋" w:eastAsia="仿宋" w:cs="宋体"/>
          <w:color w:val="000000"/>
          <w:kern w:val="0"/>
          <w:sz w:val="24"/>
          <w:szCs w:val="24"/>
          <w:highlight w:val="none"/>
        </w:rPr>
        <w:t>4</w:t>
      </w:r>
      <w:r>
        <w:rPr>
          <w:rFonts w:hint="eastAsia" w:ascii="仿宋" w:hAnsi="仿宋" w:eastAsia="仿宋" w:cs="宋体"/>
          <w:color w:val="000000"/>
          <w:kern w:val="0"/>
          <w:sz w:val="24"/>
          <w:szCs w:val="24"/>
          <w:highlight w:val="none"/>
        </w:rPr>
        <w:t>）未通过资格预审的申请人递交的；</w:t>
      </w:r>
      <w:r>
        <w:rPr>
          <w:rFonts w:hint="eastAsia" w:ascii="仿宋" w:hAnsi="仿宋" w:eastAsia="仿宋" w:cs="宋体"/>
          <w:i/>
          <w:iCs/>
          <w:color w:val="000000"/>
          <w:kern w:val="0"/>
          <w:sz w:val="24"/>
          <w:szCs w:val="24"/>
          <w:highlight w:val="none"/>
        </w:rPr>
        <w:t>（资格预审项目适用）</w:t>
      </w:r>
    </w:p>
    <w:p w14:paraId="3FCAF5B0">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）未按招标公告或者投标邀请书要求获得本项目招标文件的。</w:t>
      </w:r>
    </w:p>
    <w:p w14:paraId="0973A959">
      <w:pPr>
        <w:pStyle w:val="5"/>
        <w:ind w:firstLine="0" w:firstLineChars="0"/>
        <w:rPr>
          <w:rFonts w:ascii="仿宋" w:hAnsi="仿宋" w:cs="宋体"/>
          <w:color w:val="000000"/>
          <w:highlight w:val="none"/>
        </w:rPr>
      </w:pPr>
      <w:bookmarkStart w:id="310" w:name="_Toc60224347"/>
      <w:bookmarkStart w:id="311" w:name="_Toc4530"/>
      <w:bookmarkStart w:id="312" w:name="_Toc109124261"/>
      <w:bookmarkStart w:id="313" w:name="_Toc15182"/>
      <w:bookmarkStart w:id="314" w:name="_Toc71191980"/>
      <w:r>
        <w:rPr>
          <w:rFonts w:ascii="仿宋" w:hAnsi="仿宋" w:cs="宋体"/>
          <w:color w:val="000000"/>
          <w:highlight w:val="none"/>
        </w:rPr>
        <w:t xml:space="preserve">4.2 </w:t>
      </w:r>
      <w:bookmarkEnd w:id="300"/>
      <w:bookmarkEnd w:id="301"/>
      <w:bookmarkEnd w:id="302"/>
      <w:bookmarkEnd w:id="303"/>
      <w:bookmarkEnd w:id="304"/>
      <w:bookmarkEnd w:id="305"/>
      <w:bookmarkEnd w:id="306"/>
      <w:bookmarkEnd w:id="307"/>
      <w:bookmarkEnd w:id="308"/>
      <w:bookmarkEnd w:id="309"/>
      <w:r>
        <w:rPr>
          <w:rFonts w:ascii="仿宋" w:hAnsi="仿宋" w:cs="宋体"/>
          <w:color w:val="000000"/>
          <w:highlight w:val="none"/>
        </w:rPr>
        <w:t>投标文件的修改</w:t>
      </w:r>
      <w:r>
        <w:rPr>
          <w:rFonts w:hint="eastAsia" w:ascii="仿宋" w:hAnsi="仿宋" w:cs="宋体"/>
          <w:color w:val="000000"/>
          <w:highlight w:val="none"/>
          <w:lang w:eastAsia="zh-CN"/>
        </w:rPr>
        <w:t>、</w:t>
      </w:r>
      <w:r>
        <w:rPr>
          <w:rFonts w:hint="eastAsia" w:ascii="仿宋" w:hAnsi="仿宋" w:cs="宋体"/>
          <w:color w:val="000000"/>
          <w:highlight w:val="none"/>
          <w:lang w:val="en-US" w:eastAsia="zh-CN"/>
        </w:rPr>
        <w:t>撤回</w:t>
      </w:r>
      <w:r>
        <w:rPr>
          <w:rFonts w:ascii="仿宋" w:hAnsi="仿宋" w:cs="宋体"/>
          <w:color w:val="000000"/>
          <w:highlight w:val="none"/>
        </w:rPr>
        <w:t>和撤销</w:t>
      </w:r>
      <w:bookmarkEnd w:id="310"/>
      <w:bookmarkEnd w:id="311"/>
      <w:bookmarkEnd w:id="312"/>
      <w:bookmarkEnd w:id="313"/>
      <w:bookmarkEnd w:id="314"/>
    </w:p>
    <w:p w14:paraId="3ECDCBE1">
      <w:pPr>
        <w:widowControl/>
        <w:topLinePunct/>
        <w:spacing w:line="360" w:lineRule="auto"/>
        <w:ind w:firstLine="480" w:firstLineChars="200"/>
        <w:rPr>
          <w:rFonts w:ascii="仿宋" w:hAnsi="仿宋" w:eastAsia="仿宋" w:cs="宋体"/>
          <w:color w:val="000000"/>
          <w:kern w:val="0"/>
          <w:sz w:val="24"/>
          <w:szCs w:val="24"/>
          <w:highlight w:val="none"/>
        </w:rPr>
      </w:pPr>
      <w:bookmarkStart w:id="315" w:name="_Toc334766948"/>
      <w:bookmarkStart w:id="316" w:name="_Toc152042334"/>
      <w:bookmarkStart w:id="317" w:name="_Toc247085716"/>
      <w:bookmarkStart w:id="318" w:name="_Toc246996945"/>
      <w:bookmarkStart w:id="319" w:name="_Toc332188194"/>
      <w:bookmarkStart w:id="320" w:name="_Toc246996202"/>
      <w:bookmarkStart w:id="321" w:name="_Toc144974526"/>
      <w:bookmarkStart w:id="322" w:name="_Toc179632576"/>
      <w:bookmarkStart w:id="323" w:name="_Toc326223561"/>
      <w:bookmarkStart w:id="324" w:name="_Toc152045558"/>
      <w:r>
        <w:rPr>
          <w:rFonts w:hint="eastAsia" w:ascii="仿宋" w:hAnsi="仿宋" w:eastAsia="仿宋" w:cs="宋体"/>
          <w:color w:val="000000"/>
          <w:kern w:val="0"/>
          <w:sz w:val="24"/>
          <w:szCs w:val="24"/>
          <w:highlight w:val="none"/>
        </w:rPr>
        <w:t>4.2.1投标人在招标文件要求的投标截止时间前，可以补充、修改或撤回已提交的投标文件。</w:t>
      </w:r>
      <w:r>
        <w:rPr>
          <w:rFonts w:ascii="仿宋" w:hAnsi="仿宋" w:eastAsia="仿宋" w:cs="宋体"/>
          <w:color w:val="000000"/>
          <w:kern w:val="0"/>
          <w:sz w:val="24"/>
          <w:szCs w:val="24"/>
          <w:highlight w:val="none"/>
        </w:rPr>
        <w:t>补充、修改的内容为投标文件的组成部分</w:t>
      </w:r>
      <w:r>
        <w:rPr>
          <w:rFonts w:hint="eastAsia" w:ascii="仿宋" w:hAnsi="仿宋" w:eastAsia="仿宋" w:cs="宋体"/>
          <w:color w:val="000000"/>
          <w:kern w:val="0"/>
          <w:sz w:val="24"/>
          <w:szCs w:val="24"/>
          <w:highlight w:val="none"/>
        </w:rPr>
        <w:t>，应当在投标截止时间前按照招标文件的规定进行加密、递交。</w:t>
      </w:r>
    </w:p>
    <w:p w14:paraId="754E7F10">
      <w:pPr>
        <w:widowControl/>
        <w:topLinePunct/>
        <w:spacing w:line="360" w:lineRule="auto"/>
        <w:ind w:firstLine="480" w:firstLineChars="200"/>
        <w:rPr>
          <w:rFonts w:hint="eastAsia"/>
          <w:highlight w:val="none"/>
        </w:rPr>
      </w:pPr>
      <w:r>
        <w:rPr>
          <w:rFonts w:hint="eastAsia" w:ascii="仿宋" w:hAnsi="仿宋" w:eastAsia="仿宋" w:cs="宋体"/>
          <w:color w:val="000000"/>
          <w:kern w:val="0"/>
          <w:sz w:val="24"/>
          <w:szCs w:val="24"/>
          <w:highlight w:val="none"/>
        </w:rPr>
        <w:t>4.2.</w:t>
      </w:r>
      <w:r>
        <w:rPr>
          <w:rFonts w:hint="eastAsia" w:ascii="仿宋" w:hAnsi="仿宋" w:eastAsia="仿宋" w:cs="宋体"/>
          <w:color w:val="000000"/>
          <w:kern w:val="0"/>
          <w:sz w:val="24"/>
          <w:szCs w:val="24"/>
          <w:highlight w:val="none"/>
          <w:lang w:val="en-US" w:eastAsia="zh-CN"/>
        </w:rPr>
        <w:t>2</w:t>
      </w:r>
      <w:r>
        <w:rPr>
          <w:rFonts w:hint="eastAsia" w:ascii="仿宋" w:hAnsi="仿宋" w:eastAsia="仿宋" w:cs="宋体"/>
          <w:color w:val="000000"/>
          <w:kern w:val="0"/>
          <w:sz w:val="24"/>
          <w:szCs w:val="24"/>
          <w:highlight w:val="none"/>
        </w:rPr>
        <w:t xml:space="preserve"> 投标截止时间后，投标人在投标有效期内撤销其投标文件，投标保证金不予退还。</w:t>
      </w:r>
    </w:p>
    <w:bookmarkEnd w:id="315"/>
    <w:bookmarkEnd w:id="316"/>
    <w:bookmarkEnd w:id="317"/>
    <w:bookmarkEnd w:id="318"/>
    <w:bookmarkEnd w:id="319"/>
    <w:bookmarkEnd w:id="320"/>
    <w:bookmarkEnd w:id="321"/>
    <w:bookmarkEnd w:id="322"/>
    <w:bookmarkEnd w:id="323"/>
    <w:bookmarkEnd w:id="324"/>
    <w:p w14:paraId="66CB47DA">
      <w:pPr>
        <w:pStyle w:val="4"/>
        <w:bidi w:val="0"/>
        <w:rPr>
          <w:rFonts w:hint="eastAsia"/>
        </w:rPr>
      </w:pPr>
      <w:bookmarkStart w:id="325" w:name="_Toc179632577"/>
      <w:bookmarkStart w:id="326" w:name="_Toc10106"/>
      <w:bookmarkStart w:id="327" w:name="_Toc109124262"/>
      <w:bookmarkStart w:id="328" w:name="_Toc144974527"/>
      <w:bookmarkStart w:id="329" w:name="_Toc247085717"/>
      <w:bookmarkStart w:id="330" w:name="_Toc152042335"/>
      <w:bookmarkStart w:id="331" w:name="_Toc20953"/>
      <w:bookmarkStart w:id="332" w:name="_Toc246996946"/>
      <w:bookmarkStart w:id="333" w:name="_Toc246996203"/>
      <w:bookmarkStart w:id="334" w:name="_Toc152045559"/>
      <w:r>
        <w:rPr>
          <w:rFonts w:hint="eastAsia"/>
        </w:rPr>
        <w:t>5.开标</w:t>
      </w:r>
      <w:bookmarkEnd w:id="325"/>
      <w:bookmarkEnd w:id="326"/>
      <w:bookmarkEnd w:id="327"/>
      <w:bookmarkEnd w:id="328"/>
      <w:bookmarkEnd w:id="329"/>
      <w:bookmarkEnd w:id="330"/>
      <w:bookmarkEnd w:id="331"/>
      <w:bookmarkEnd w:id="332"/>
      <w:bookmarkEnd w:id="333"/>
      <w:bookmarkEnd w:id="334"/>
    </w:p>
    <w:p w14:paraId="20A2E576">
      <w:pPr>
        <w:pStyle w:val="5"/>
        <w:ind w:firstLine="0" w:firstLineChars="0"/>
        <w:rPr>
          <w:rFonts w:ascii="仿宋" w:hAnsi="仿宋" w:cs="宋体"/>
          <w:color w:val="000000"/>
          <w:highlight w:val="none"/>
        </w:rPr>
      </w:pPr>
      <w:bookmarkStart w:id="335" w:name="_Toc109124263"/>
      <w:bookmarkStart w:id="336" w:name="_Toc179632578"/>
      <w:bookmarkStart w:id="337" w:name="_Toc246996947"/>
      <w:bookmarkStart w:id="338" w:name="_Toc332188196"/>
      <w:bookmarkStart w:id="339" w:name="_Toc152042336"/>
      <w:bookmarkStart w:id="340" w:name="_Toc334766950"/>
      <w:bookmarkStart w:id="341" w:name="_Toc152045560"/>
      <w:bookmarkStart w:id="342" w:name="_Toc71191982"/>
      <w:bookmarkStart w:id="343" w:name="_Toc2603"/>
      <w:bookmarkStart w:id="344" w:name="_Toc144974528"/>
      <w:bookmarkStart w:id="345" w:name="_Toc246996204"/>
      <w:bookmarkStart w:id="346" w:name="_Toc2860"/>
      <w:bookmarkStart w:id="347" w:name="_Toc247085718"/>
      <w:bookmarkStart w:id="348" w:name="_Toc326223563"/>
      <w:bookmarkStart w:id="349" w:name="_Toc60224349"/>
      <w:r>
        <w:rPr>
          <w:rFonts w:ascii="仿宋" w:hAnsi="仿宋" w:cs="宋体"/>
          <w:color w:val="000000"/>
          <w:highlight w:val="none"/>
        </w:rPr>
        <w:t>5.1 开标时间</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31BD3F39">
      <w:pPr>
        <w:pStyle w:val="30"/>
        <w:ind w:firstLine="480" w:firstLineChars="200"/>
        <w:rPr>
          <w:rFonts w:hint="eastAsia" w:ascii="仿宋" w:hAnsi="仿宋" w:eastAsia="仿宋"/>
          <w:color w:val="363636"/>
          <w:highlight w:val="none"/>
        </w:rPr>
      </w:pPr>
      <w:r>
        <w:rPr>
          <w:rFonts w:hint="eastAsia" w:ascii="仿宋" w:hAnsi="仿宋" w:eastAsia="仿宋"/>
          <w:color w:val="363636"/>
          <w:highlight w:val="none"/>
        </w:rPr>
        <w:t>本项目</w:t>
      </w:r>
      <w:r>
        <w:rPr>
          <w:rFonts w:ascii="仿宋" w:hAnsi="仿宋" w:eastAsia="仿宋"/>
          <w:color w:val="363636"/>
          <w:highlight w:val="none"/>
        </w:rPr>
        <w:t>在</w:t>
      </w:r>
      <w:r>
        <w:rPr>
          <w:rFonts w:hint="eastAsia" w:ascii="仿宋" w:hAnsi="仿宋" w:eastAsia="仿宋"/>
          <w:color w:val="363636"/>
          <w:highlight w:val="none"/>
        </w:rPr>
        <w:t>招标公告要求的</w:t>
      </w:r>
      <w:r>
        <w:rPr>
          <w:rFonts w:ascii="仿宋" w:hAnsi="仿宋" w:eastAsia="仿宋"/>
          <w:color w:val="363636"/>
          <w:highlight w:val="none"/>
        </w:rPr>
        <w:t>投标截止时间的同一时间进行</w:t>
      </w:r>
      <w:r>
        <w:rPr>
          <w:rFonts w:hint="eastAsia" w:ascii="仿宋" w:hAnsi="仿宋" w:eastAsia="仿宋"/>
          <w:color w:val="363636"/>
          <w:highlight w:val="none"/>
        </w:rPr>
        <w:t>开标。</w:t>
      </w:r>
    </w:p>
    <w:p w14:paraId="7D936AE1">
      <w:pPr>
        <w:pStyle w:val="5"/>
        <w:ind w:firstLine="0" w:firstLineChars="0"/>
        <w:rPr>
          <w:rFonts w:ascii="仿宋" w:hAnsi="仿宋" w:cs="宋体"/>
          <w:color w:val="000000"/>
          <w:highlight w:val="none"/>
        </w:rPr>
      </w:pPr>
      <w:bookmarkStart w:id="350" w:name="_Toc247085719"/>
      <w:bookmarkStart w:id="351" w:name="_Toc60224350"/>
      <w:bookmarkStart w:id="352" w:name="_Toc246996948"/>
      <w:bookmarkStart w:id="353" w:name="_Toc8110"/>
      <w:bookmarkStart w:id="354" w:name="_Toc527"/>
      <w:bookmarkStart w:id="355" w:name="_Toc332188197"/>
      <w:bookmarkStart w:id="356" w:name="_Toc71191983"/>
      <w:bookmarkStart w:id="357" w:name="_Toc179632579"/>
      <w:bookmarkStart w:id="358" w:name="_Toc246996205"/>
      <w:bookmarkStart w:id="359" w:name="_Toc334766951"/>
      <w:bookmarkStart w:id="360" w:name="_Toc109124264"/>
      <w:bookmarkStart w:id="361" w:name="_Toc326223564"/>
      <w:bookmarkStart w:id="362" w:name="_Toc144974529"/>
      <w:bookmarkStart w:id="363" w:name="_Toc152045561"/>
      <w:bookmarkStart w:id="364" w:name="_Toc152042337"/>
      <w:r>
        <w:rPr>
          <w:rFonts w:ascii="仿宋" w:hAnsi="仿宋" w:cs="宋体"/>
          <w:color w:val="000000"/>
          <w:highlight w:val="none"/>
        </w:rPr>
        <w:t>5.2 开标程序</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7D4AE712">
      <w:pPr>
        <w:widowControl/>
        <w:topLinePunct/>
        <w:spacing w:line="360" w:lineRule="auto"/>
        <w:ind w:firstLine="480" w:firstLineChars="200"/>
        <w:rPr>
          <w:rFonts w:hint="eastAsia" w:ascii="仿宋" w:hAnsi="仿宋" w:eastAsia="仿宋" w:cs="宋体"/>
          <w:color w:val="000000"/>
          <w:kern w:val="0"/>
          <w:sz w:val="24"/>
          <w:szCs w:val="24"/>
        </w:rPr>
      </w:pPr>
      <w:bookmarkStart w:id="365" w:name="_Toc17472"/>
      <w:bookmarkStart w:id="366" w:name="_Toc326223565"/>
      <w:bookmarkStart w:id="367" w:name="_Toc109124265"/>
      <w:bookmarkStart w:id="368" w:name="_Toc334766952"/>
      <w:bookmarkStart w:id="369" w:name="_Toc60224351"/>
      <w:bookmarkStart w:id="370" w:name="_Toc332188198"/>
      <w:bookmarkStart w:id="371" w:name="_Toc71191984"/>
      <w:r>
        <w:rPr>
          <w:rFonts w:hint="eastAsia" w:ascii="仿宋" w:hAnsi="仿宋" w:eastAsia="仿宋" w:cs="宋体"/>
          <w:color w:val="000000"/>
          <w:kern w:val="0"/>
          <w:sz w:val="24"/>
          <w:szCs w:val="24"/>
        </w:rPr>
        <w:t>5.2.1 开标会议由招标人或其委托的招标代理机构组织并主持，邀请所有的投标人或其代表出席。招标人应当当众宣布参加本次招标的投标人个数，由投标人代表或招标人委托的公证机构或招标人委派的采购监督人员对投标文件密封情况进行检查，检查结果由主持人宣布。</w:t>
      </w:r>
    </w:p>
    <w:p w14:paraId="2B1090D1">
      <w:pPr>
        <w:widowControl/>
        <w:topLinePunct/>
        <w:spacing w:line="360" w:lineRule="auto"/>
        <w:ind w:firstLine="480" w:firstLineChars="200"/>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5.2.2 招标人在递交投标文件截止时间前收到的所有投标文件在开标时都应当当众予以拆封、宣读。但按照招标文件规定递交合格的书面撤回通知的投标文件不予开封。</w:t>
      </w:r>
    </w:p>
    <w:p w14:paraId="7687174E">
      <w:pPr>
        <w:widowControl/>
        <w:topLinePunct/>
        <w:spacing w:line="360" w:lineRule="auto"/>
        <w:ind w:firstLine="480" w:firstLineChars="200"/>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5.2.3 开标时，招标人应当宣读所有未撤回的投标文件中的投标一览表，内容一般包括：投标人名称、投标总报价、税率以及招标文件中规定的其他内容，并将唱标内容如实记录在开标记录表，由唱标人、记录人、投标人代表签字确认，存档备查。</w:t>
      </w:r>
    </w:p>
    <w:p w14:paraId="74B42455">
      <w:pPr>
        <w:pStyle w:val="5"/>
        <w:ind w:firstLine="0" w:firstLineChars="0"/>
        <w:rPr>
          <w:rFonts w:ascii="仿宋" w:hAnsi="仿宋" w:cs="宋体"/>
          <w:color w:val="000000"/>
          <w:highlight w:val="none"/>
        </w:rPr>
      </w:pPr>
      <w:bookmarkStart w:id="372" w:name="_Toc19665"/>
      <w:r>
        <w:rPr>
          <w:rFonts w:ascii="仿宋" w:hAnsi="仿宋" w:cs="宋体"/>
          <w:color w:val="000000"/>
          <w:highlight w:val="none"/>
        </w:rPr>
        <w:t>5.3 开标异议</w:t>
      </w:r>
      <w:bookmarkEnd w:id="365"/>
      <w:bookmarkEnd w:id="366"/>
      <w:bookmarkEnd w:id="367"/>
      <w:bookmarkEnd w:id="368"/>
      <w:bookmarkEnd w:id="369"/>
      <w:bookmarkEnd w:id="370"/>
      <w:bookmarkEnd w:id="371"/>
      <w:bookmarkEnd w:id="372"/>
    </w:p>
    <w:p w14:paraId="2EEF5EC6">
      <w:pPr>
        <w:widowControl/>
        <w:topLinePunct/>
        <w:spacing w:line="360" w:lineRule="auto"/>
        <w:ind w:firstLine="480" w:firstLineChars="200"/>
        <w:rPr>
          <w:rFonts w:hint="eastAsia" w:ascii="仿宋" w:hAnsi="仿宋" w:eastAsia="仿宋" w:cs="宋体"/>
          <w:color w:val="000000"/>
          <w:kern w:val="0"/>
          <w:sz w:val="24"/>
          <w:szCs w:val="24"/>
        </w:rPr>
      </w:pPr>
      <w:bookmarkStart w:id="373" w:name="_Toc71191985"/>
      <w:bookmarkStart w:id="374" w:name="_Toc6867"/>
      <w:bookmarkStart w:id="375" w:name="_Toc60224352"/>
      <w:bookmarkStart w:id="376" w:name="_Toc109124266"/>
      <w:bookmarkStart w:id="377" w:name="_Toc179632580"/>
      <w:bookmarkStart w:id="378" w:name="_Toc152042338"/>
      <w:bookmarkStart w:id="379" w:name="_Toc152045562"/>
      <w:bookmarkStart w:id="380" w:name="_Toc144974530"/>
      <w:bookmarkStart w:id="381" w:name="_Toc246996949"/>
      <w:bookmarkStart w:id="382" w:name="_Toc247085720"/>
      <w:bookmarkStart w:id="383" w:name="_Toc246996206"/>
      <w:r>
        <w:rPr>
          <w:rFonts w:hint="eastAsia" w:ascii="仿宋" w:hAnsi="仿宋" w:eastAsia="仿宋" w:cs="宋体"/>
          <w:color w:val="000000"/>
          <w:kern w:val="0"/>
          <w:sz w:val="24"/>
          <w:szCs w:val="24"/>
        </w:rPr>
        <w:t>5.3.1 投标人对开标有异议的，应当在开标现场提出，招标人应当当场作出答复，并制作记录。</w:t>
      </w:r>
    </w:p>
    <w:p w14:paraId="7125CAAE">
      <w:pPr>
        <w:widowControl/>
        <w:topLinePunct/>
        <w:spacing w:line="360" w:lineRule="auto"/>
        <w:ind w:firstLine="480" w:firstLineChars="200"/>
        <w:rPr>
          <w:rFonts w:hint="eastAsia" w:ascii="仿宋" w:hAnsi="仿宋" w:eastAsia="仿宋" w:cs="宋体"/>
          <w:color w:val="000000"/>
          <w:spacing w:val="-6"/>
          <w:kern w:val="0"/>
          <w:sz w:val="24"/>
          <w:szCs w:val="24"/>
        </w:rPr>
      </w:pPr>
      <w:r>
        <w:rPr>
          <w:rFonts w:hint="eastAsia" w:ascii="仿宋" w:hAnsi="仿宋" w:eastAsia="仿宋" w:cs="宋体"/>
          <w:color w:val="000000"/>
          <w:kern w:val="0"/>
          <w:sz w:val="24"/>
          <w:szCs w:val="24"/>
        </w:rPr>
        <w:t xml:space="preserve">5.3.2 </w:t>
      </w:r>
      <w:r>
        <w:rPr>
          <w:rFonts w:hint="eastAsia" w:ascii="仿宋" w:hAnsi="仿宋" w:eastAsia="仿宋" w:cs="宋体"/>
          <w:color w:val="000000"/>
          <w:spacing w:val="-6"/>
          <w:kern w:val="0"/>
          <w:sz w:val="24"/>
          <w:szCs w:val="24"/>
        </w:rPr>
        <w:t>投标人认为存在低于成本价投标情形的，可以在开标现场提出异议，并在评标完成前向招标人递交书面材料，招标人应当及时将书面材料转交评标委员会。</w:t>
      </w:r>
    </w:p>
    <w:p w14:paraId="6D44C5C7">
      <w:pPr>
        <w:pStyle w:val="5"/>
        <w:ind w:firstLine="0" w:firstLineChars="0"/>
        <w:rPr>
          <w:rFonts w:ascii="仿宋" w:hAnsi="仿宋" w:cs="宋体"/>
          <w:color w:val="000000"/>
          <w:highlight w:val="none"/>
        </w:rPr>
      </w:pPr>
      <w:bookmarkStart w:id="384" w:name="_Toc18709"/>
      <w:r>
        <w:rPr>
          <w:rFonts w:ascii="仿宋" w:hAnsi="仿宋" w:cs="宋体"/>
          <w:color w:val="000000"/>
          <w:highlight w:val="none"/>
        </w:rPr>
        <w:t>5.4 电子招投标的其他开标要求及异常处理</w:t>
      </w:r>
      <w:bookmarkEnd w:id="373"/>
      <w:bookmarkEnd w:id="374"/>
      <w:bookmarkEnd w:id="375"/>
      <w:bookmarkEnd w:id="376"/>
      <w:bookmarkEnd w:id="384"/>
    </w:p>
    <w:p w14:paraId="0F3557BF">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招标人采用电子招标投标方式的，开标的其他要求及异常处理方式见投标人须知前附表。</w:t>
      </w:r>
    </w:p>
    <w:p w14:paraId="7AAB26AB">
      <w:pPr>
        <w:pStyle w:val="5"/>
        <w:ind w:firstLine="0" w:firstLineChars="0"/>
        <w:rPr>
          <w:rFonts w:ascii="仿宋" w:hAnsi="仿宋" w:cs="宋体"/>
          <w:color w:val="000000"/>
          <w:highlight w:val="none"/>
        </w:rPr>
      </w:pPr>
      <w:bookmarkStart w:id="385" w:name="_Toc525896321"/>
      <w:bookmarkStart w:id="386" w:name="_Toc478566041"/>
      <w:bookmarkStart w:id="387" w:name="_Toc474147997"/>
      <w:bookmarkStart w:id="388" w:name="_Toc478565678"/>
      <w:bookmarkStart w:id="389" w:name="_Toc478566233"/>
      <w:bookmarkStart w:id="390" w:name="_Toc9008"/>
      <w:bookmarkStart w:id="391" w:name="_Toc19094"/>
      <w:bookmarkStart w:id="392" w:name="_Toc109124267"/>
      <w:r>
        <w:rPr>
          <w:rFonts w:ascii="仿宋" w:hAnsi="仿宋" w:cs="宋体"/>
          <w:color w:val="000000"/>
          <w:highlight w:val="none"/>
        </w:rPr>
        <w:t>5.5不得开标</w:t>
      </w:r>
      <w:bookmarkEnd w:id="385"/>
      <w:bookmarkEnd w:id="386"/>
      <w:bookmarkEnd w:id="387"/>
      <w:bookmarkEnd w:id="388"/>
      <w:bookmarkEnd w:id="389"/>
      <w:r>
        <w:rPr>
          <w:rFonts w:ascii="仿宋" w:hAnsi="仿宋" w:cs="宋体"/>
          <w:color w:val="000000"/>
          <w:highlight w:val="none"/>
        </w:rPr>
        <w:t>的情形</w:t>
      </w:r>
      <w:bookmarkEnd w:id="390"/>
    </w:p>
    <w:p w14:paraId="311AA6D7">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按照招标文件要求递交电子投标文件的投标人数量少于3个（中标人为1家时）或者少于投标人须知前附表规定的</w:t>
      </w:r>
      <w:r>
        <w:rPr>
          <w:rFonts w:ascii="仿宋" w:hAnsi="仿宋" w:eastAsia="仿宋" w:cs="宋体"/>
          <w:color w:val="000000"/>
          <w:kern w:val="0"/>
          <w:sz w:val="24"/>
          <w:szCs w:val="24"/>
          <w:highlight w:val="none"/>
        </w:rPr>
        <w:t>数量</w:t>
      </w:r>
      <w:r>
        <w:rPr>
          <w:rFonts w:hint="eastAsia" w:ascii="仿宋" w:hAnsi="仿宋" w:eastAsia="仿宋" w:cs="宋体"/>
          <w:color w:val="000000"/>
          <w:kern w:val="0"/>
          <w:sz w:val="24"/>
          <w:szCs w:val="24"/>
          <w:highlight w:val="none"/>
        </w:rPr>
        <w:t>时，招标人不得开标，应当重新招标。</w:t>
      </w:r>
    </w:p>
    <w:p w14:paraId="3B554F02">
      <w:pPr>
        <w:pStyle w:val="4"/>
        <w:bidi w:val="0"/>
        <w:rPr>
          <w:rFonts w:hint="eastAsia"/>
        </w:rPr>
      </w:pPr>
      <w:bookmarkStart w:id="393" w:name="_Toc23132"/>
      <w:r>
        <w:rPr>
          <w:rFonts w:hint="eastAsia"/>
        </w:rPr>
        <w:t>6.评标</w:t>
      </w:r>
      <w:bookmarkEnd w:id="377"/>
      <w:bookmarkEnd w:id="378"/>
      <w:bookmarkEnd w:id="379"/>
      <w:bookmarkEnd w:id="380"/>
      <w:bookmarkEnd w:id="381"/>
      <w:bookmarkEnd w:id="382"/>
      <w:bookmarkEnd w:id="383"/>
      <w:bookmarkEnd w:id="391"/>
      <w:bookmarkEnd w:id="392"/>
      <w:bookmarkEnd w:id="393"/>
    </w:p>
    <w:p w14:paraId="508DF04C">
      <w:pPr>
        <w:pStyle w:val="5"/>
        <w:rPr>
          <w:rFonts w:ascii="仿宋" w:hAnsi="仿宋" w:cs="宋体"/>
          <w:color w:val="000000"/>
          <w:highlight w:val="none"/>
        </w:rPr>
      </w:pPr>
      <w:bookmarkStart w:id="394" w:name="_Toc109124268"/>
      <w:bookmarkStart w:id="395" w:name="_Toc16388"/>
      <w:bookmarkStart w:id="396" w:name="_Toc334766954"/>
      <w:bookmarkStart w:id="397" w:name="_Toc326223567"/>
      <w:bookmarkStart w:id="398" w:name="_Toc246996950"/>
      <w:bookmarkStart w:id="399" w:name="_Toc246996207"/>
      <w:bookmarkStart w:id="400" w:name="_Toc247085721"/>
      <w:bookmarkStart w:id="401" w:name="_Toc152045563"/>
      <w:bookmarkStart w:id="402" w:name="_Toc152042339"/>
      <w:bookmarkStart w:id="403" w:name="_Toc3541"/>
      <w:bookmarkStart w:id="404" w:name="_Toc60224354"/>
      <w:bookmarkStart w:id="405" w:name="_Toc144974531"/>
      <w:bookmarkStart w:id="406" w:name="_Toc179632581"/>
      <w:bookmarkStart w:id="407" w:name="_Toc332188200"/>
      <w:bookmarkStart w:id="408" w:name="_Toc71191987"/>
      <w:r>
        <w:rPr>
          <w:rFonts w:ascii="仿宋" w:hAnsi="仿宋" w:cs="宋体"/>
          <w:color w:val="000000"/>
          <w:highlight w:val="none"/>
        </w:rPr>
        <w:t>6.1 评标委员会</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35D09644">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409" w:name="_Toc246996208"/>
      <w:bookmarkStart w:id="410" w:name="_Toc152042340"/>
      <w:bookmarkStart w:id="411" w:name="_Toc144974532"/>
      <w:bookmarkStart w:id="412" w:name="_Toc247085722"/>
      <w:bookmarkStart w:id="413" w:name="_Toc334766955"/>
      <w:bookmarkStart w:id="414" w:name="_Toc326223568"/>
      <w:bookmarkStart w:id="415" w:name="_Toc152045564"/>
      <w:bookmarkStart w:id="416" w:name="_Toc179632582"/>
      <w:bookmarkStart w:id="417" w:name="_Toc332188201"/>
      <w:bookmarkStart w:id="418" w:name="_Toc246996951"/>
      <w:r>
        <w:rPr>
          <w:rFonts w:hint="eastAsia" w:ascii="仿宋" w:hAnsi="仿宋" w:eastAsia="仿宋" w:cs="宋体"/>
          <w:color w:val="000000"/>
          <w:kern w:val="0"/>
          <w:sz w:val="24"/>
          <w:szCs w:val="24"/>
          <w:highlight w:val="none"/>
        </w:rPr>
        <w:t>6.1.1 评标由依法组建的评标委员会负责，具体人数见投标人须知前附表。国有金融采购的一般采购项目从评审专家库中随机抽取选定评审专家，对技术复杂、专业性强或者有特殊要求的采购项目，通过随机抽取方式难以确定合适评审专家的，可由国有金融企业按程序自行选定。</w:t>
      </w:r>
    </w:p>
    <w:p w14:paraId="05DA764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 xml:space="preserve">6.1.2 </w:t>
      </w:r>
      <w:r>
        <w:rPr>
          <w:rFonts w:hint="eastAsia" w:ascii="仿宋" w:hAnsi="仿宋" w:eastAsia="仿宋" w:cs="宋体"/>
          <w:color w:val="000000"/>
          <w:spacing w:val="-4"/>
          <w:kern w:val="0"/>
          <w:sz w:val="24"/>
          <w:szCs w:val="24"/>
          <w:highlight w:val="none"/>
        </w:rPr>
        <w:t>评标期间，任何单位和个人不得非法干预或者影响评标的过程和结果。</w:t>
      </w:r>
    </w:p>
    <w:p w14:paraId="2C6382C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6.1.3 评标委员会成员名单在中标结果确定前保密。</w:t>
      </w:r>
    </w:p>
    <w:p w14:paraId="741D0A7E">
      <w:pPr>
        <w:pStyle w:val="5"/>
        <w:ind w:firstLine="0" w:firstLineChars="0"/>
        <w:rPr>
          <w:rFonts w:ascii="仿宋" w:hAnsi="仿宋" w:cs="宋体"/>
          <w:color w:val="000000"/>
          <w:highlight w:val="none"/>
        </w:rPr>
      </w:pPr>
      <w:bookmarkStart w:id="419" w:name="_Toc109124269"/>
      <w:bookmarkStart w:id="420" w:name="_Toc11297"/>
      <w:bookmarkStart w:id="421" w:name="_Toc71191988"/>
      <w:bookmarkStart w:id="422" w:name="_Toc13320"/>
      <w:bookmarkStart w:id="423" w:name="_Toc60224355"/>
      <w:r>
        <w:rPr>
          <w:rFonts w:ascii="仿宋" w:hAnsi="仿宋" w:cs="宋体"/>
          <w:color w:val="000000"/>
          <w:highlight w:val="none"/>
        </w:rPr>
        <w:t>6.2 评标原则</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5D089F1C">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424" w:name="_Toc144974533"/>
      <w:bookmarkStart w:id="425" w:name="_Toc247085723"/>
      <w:bookmarkStart w:id="426" w:name="_Toc326223569"/>
      <w:bookmarkStart w:id="427" w:name="_Toc179632583"/>
      <w:bookmarkStart w:id="428" w:name="_Toc246996952"/>
      <w:bookmarkStart w:id="429" w:name="_Toc152045565"/>
      <w:bookmarkStart w:id="430" w:name="_Toc246996209"/>
      <w:bookmarkStart w:id="431" w:name="_Toc332188202"/>
      <w:bookmarkStart w:id="432" w:name="_Toc334766956"/>
      <w:bookmarkStart w:id="433" w:name="_Toc152042341"/>
      <w:r>
        <w:rPr>
          <w:rFonts w:hint="eastAsia" w:ascii="仿宋" w:hAnsi="仿宋" w:eastAsia="仿宋" w:cs="宋体"/>
          <w:color w:val="000000"/>
          <w:kern w:val="0"/>
          <w:sz w:val="24"/>
          <w:szCs w:val="24"/>
          <w:highlight w:val="none"/>
        </w:rPr>
        <w:t>6.2.1 评标活动遵循公平、公正、科学和择优的原则。</w:t>
      </w:r>
    </w:p>
    <w:p w14:paraId="53675C25">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6.2.2评标委员会应当按照第三章“评标办法”规定的评标标准和方法，客观、公正地对投标文件进行评审和比较、提出评审意见。招标文件没有规定的评标标准和方法不得作为评标的依据。</w:t>
      </w:r>
    </w:p>
    <w:p w14:paraId="2C72C609">
      <w:pPr>
        <w:pStyle w:val="5"/>
        <w:ind w:firstLine="0" w:firstLineChars="0"/>
        <w:rPr>
          <w:rFonts w:ascii="仿宋" w:hAnsi="仿宋" w:cs="宋体"/>
          <w:color w:val="000000"/>
          <w:highlight w:val="none"/>
        </w:rPr>
      </w:pPr>
      <w:bookmarkStart w:id="434" w:name="_Toc109124270"/>
      <w:bookmarkStart w:id="435" w:name="_Toc29632"/>
      <w:bookmarkStart w:id="436" w:name="_Toc7172"/>
      <w:bookmarkStart w:id="437" w:name="_Toc60224356"/>
      <w:bookmarkStart w:id="438" w:name="_Toc71191989"/>
      <w:r>
        <w:rPr>
          <w:rFonts w:ascii="仿宋" w:hAnsi="仿宋" w:cs="宋体"/>
          <w:color w:val="000000"/>
          <w:highlight w:val="none"/>
        </w:rPr>
        <w:t>6.3 评标</w:t>
      </w:r>
      <w:bookmarkEnd w:id="424"/>
      <w:bookmarkEnd w:id="425"/>
      <w:bookmarkEnd w:id="426"/>
      <w:bookmarkEnd w:id="427"/>
      <w:bookmarkEnd w:id="428"/>
      <w:bookmarkEnd w:id="429"/>
      <w:bookmarkEnd w:id="430"/>
      <w:bookmarkEnd w:id="431"/>
      <w:bookmarkEnd w:id="432"/>
      <w:bookmarkEnd w:id="433"/>
      <w:r>
        <w:rPr>
          <w:rFonts w:ascii="仿宋" w:hAnsi="仿宋" w:cs="宋体"/>
          <w:color w:val="000000"/>
          <w:highlight w:val="none"/>
        </w:rPr>
        <w:t>方法</w:t>
      </w:r>
      <w:bookmarkEnd w:id="434"/>
      <w:bookmarkEnd w:id="435"/>
      <w:bookmarkEnd w:id="436"/>
      <w:bookmarkEnd w:id="437"/>
      <w:bookmarkEnd w:id="438"/>
    </w:p>
    <w:p w14:paraId="5666439E">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439" w:name="_Toc152042342"/>
      <w:bookmarkStart w:id="440" w:name="_Toc247085724"/>
      <w:bookmarkStart w:id="441" w:name="_Toc246996953"/>
      <w:bookmarkStart w:id="442" w:name="_Toc179632584"/>
      <w:bookmarkStart w:id="443" w:name="_Toc144974534"/>
      <w:bookmarkStart w:id="444" w:name="_Toc246996210"/>
      <w:bookmarkStart w:id="445" w:name="_Toc152045566"/>
      <w:r>
        <w:rPr>
          <w:rFonts w:hint="eastAsia" w:ascii="仿宋" w:hAnsi="仿宋" w:eastAsia="仿宋" w:cs="宋体"/>
          <w:color w:val="000000"/>
          <w:kern w:val="0"/>
          <w:sz w:val="24"/>
          <w:szCs w:val="24"/>
          <w:highlight w:val="none"/>
        </w:rPr>
        <w:t>6.3.1 招标文件中详细载明下述评标方法之一作为本次评标所采用的评标方法。评标方法见投标人须知前附表。</w:t>
      </w:r>
    </w:p>
    <w:p w14:paraId="25BF56A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6.3.2 经评审的最低投标价法：能够满足招标文件的实质性要求，并且经评审的投标价格最低的投标，应当推荐为中标候选人，但是价格低于成本的除外。</w:t>
      </w:r>
    </w:p>
    <w:p w14:paraId="3DB0F50D">
      <w:pPr>
        <w:widowControl/>
        <w:topLinePunct/>
        <w:spacing w:line="360" w:lineRule="auto"/>
        <w:ind w:firstLine="480" w:firstLineChars="200"/>
        <w:rPr>
          <w:rFonts w:hint="eastAsia" w:ascii="仿宋" w:hAnsi="仿宋" w:eastAsia="仿宋" w:cs="宋体"/>
          <w:color w:val="000000"/>
          <w:spacing w:val="-4"/>
          <w:kern w:val="0"/>
          <w:sz w:val="24"/>
          <w:szCs w:val="24"/>
          <w:highlight w:val="none"/>
        </w:rPr>
      </w:pPr>
      <w:r>
        <w:rPr>
          <w:rFonts w:hint="eastAsia" w:ascii="仿宋" w:hAnsi="仿宋" w:eastAsia="仿宋" w:cs="宋体"/>
          <w:color w:val="000000"/>
          <w:kern w:val="0"/>
          <w:sz w:val="24"/>
          <w:szCs w:val="24"/>
          <w:highlight w:val="none"/>
        </w:rPr>
        <w:t xml:space="preserve">6.3.3 </w:t>
      </w:r>
      <w:r>
        <w:rPr>
          <w:rFonts w:hint="eastAsia" w:ascii="仿宋" w:hAnsi="仿宋" w:eastAsia="仿宋" w:cs="宋体"/>
          <w:color w:val="000000"/>
          <w:spacing w:val="-4"/>
          <w:kern w:val="0"/>
          <w:sz w:val="24"/>
          <w:szCs w:val="24"/>
          <w:highlight w:val="none"/>
        </w:rPr>
        <w:t>综合评分法：最大限度地满足招标文件中规定的各项综合评价标准的投标，应当推荐为中标候选人，量化的标准和权重应当在招标文件中明确规定。</w:t>
      </w:r>
    </w:p>
    <w:p w14:paraId="25F4560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6.3.4 法律、法规允许的其他评标方法。</w:t>
      </w:r>
    </w:p>
    <w:p w14:paraId="3C2C583C">
      <w:pPr>
        <w:pStyle w:val="5"/>
        <w:ind w:firstLine="0" w:firstLineChars="0"/>
        <w:rPr>
          <w:rFonts w:ascii="仿宋" w:hAnsi="仿宋" w:cs="宋体"/>
          <w:color w:val="000000"/>
          <w:highlight w:val="none"/>
        </w:rPr>
      </w:pPr>
      <w:bookmarkStart w:id="446" w:name="_Toc22331"/>
      <w:bookmarkStart w:id="447" w:name="_Toc71191990"/>
      <w:bookmarkStart w:id="448" w:name="_Toc109124271"/>
      <w:bookmarkStart w:id="449" w:name="_Toc60224357"/>
      <w:bookmarkStart w:id="450" w:name="_Toc19769"/>
      <w:r>
        <w:rPr>
          <w:rFonts w:ascii="仿宋" w:hAnsi="仿宋" w:cs="宋体"/>
          <w:color w:val="000000"/>
          <w:highlight w:val="none"/>
        </w:rPr>
        <w:t>6.4 中标候选人推荐原则</w:t>
      </w:r>
      <w:bookmarkEnd w:id="446"/>
      <w:bookmarkEnd w:id="447"/>
      <w:bookmarkEnd w:id="448"/>
      <w:bookmarkEnd w:id="449"/>
      <w:bookmarkEnd w:id="450"/>
    </w:p>
    <w:p w14:paraId="420DA622">
      <w:pPr>
        <w:widowControl/>
        <w:topLinePunct/>
        <w:spacing w:line="360" w:lineRule="auto"/>
        <w:ind w:firstLine="464" w:firstLineChars="200"/>
        <w:rPr>
          <w:rFonts w:hint="eastAsia" w:ascii="仿宋" w:hAnsi="仿宋" w:eastAsia="仿宋" w:cs="宋体"/>
          <w:color w:val="000000"/>
          <w:spacing w:val="-4"/>
          <w:kern w:val="0"/>
          <w:sz w:val="24"/>
          <w:szCs w:val="24"/>
          <w:highlight w:val="none"/>
        </w:rPr>
      </w:pPr>
      <w:r>
        <w:rPr>
          <w:rFonts w:hint="eastAsia" w:ascii="仿宋" w:hAnsi="仿宋" w:eastAsia="仿宋" w:cs="宋体"/>
          <w:color w:val="000000"/>
          <w:spacing w:val="-4"/>
          <w:kern w:val="0"/>
          <w:sz w:val="24"/>
          <w:szCs w:val="24"/>
          <w:highlight w:val="none"/>
        </w:rPr>
        <w:t>评标委员会根据投标人须知前附表约定的原则推荐中标候选人。</w:t>
      </w:r>
    </w:p>
    <w:p w14:paraId="7DA74D54">
      <w:pPr>
        <w:pStyle w:val="5"/>
        <w:ind w:firstLine="0" w:firstLineChars="0"/>
        <w:rPr>
          <w:rFonts w:ascii="仿宋" w:hAnsi="仿宋" w:cs="宋体"/>
          <w:color w:val="000000"/>
          <w:highlight w:val="none"/>
        </w:rPr>
      </w:pPr>
      <w:bookmarkStart w:id="451" w:name="_Toc60224358"/>
      <w:bookmarkStart w:id="452" w:name="_Toc21364"/>
      <w:bookmarkStart w:id="453" w:name="_Toc109124272"/>
      <w:bookmarkStart w:id="454" w:name="_Toc71191991"/>
      <w:bookmarkStart w:id="455" w:name="_Toc8982"/>
      <w:r>
        <w:rPr>
          <w:rFonts w:ascii="仿宋" w:hAnsi="仿宋" w:cs="宋体"/>
          <w:color w:val="000000"/>
          <w:highlight w:val="none"/>
        </w:rPr>
        <w:t>6.5 评标报告</w:t>
      </w:r>
      <w:bookmarkEnd w:id="451"/>
      <w:bookmarkEnd w:id="452"/>
      <w:bookmarkEnd w:id="453"/>
      <w:bookmarkEnd w:id="454"/>
      <w:bookmarkEnd w:id="455"/>
    </w:p>
    <w:p w14:paraId="32F73990">
      <w:pPr>
        <w:widowControl/>
        <w:topLinePunct/>
        <w:spacing w:line="360" w:lineRule="auto"/>
        <w:ind w:firstLine="464" w:firstLineChars="200"/>
        <w:rPr>
          <w:rFonts w:ascii="仿宋" w:hAnsi="仿宋" w:eastAsia="仿宋" w:cs="宋体"/>
          <w:color w:val="000000"/>
          <w:spacing w:val="-4"/>
          <w:kern w:val="0"/>
          <w:sz w:val="24"/>
          <w:szCs w:val="24"/>
          <w:highlight w:val="none"/>
        </w:rPr>
      </w:pPr>
      <w:r>
        <w:rPr>
          <w:rFonts w:hint="eastAsia" w:ascii="仿宋" w:hAnsi="仿宋" w:eastAsia="仿宋" w:cs="宋体"/>
          <w:color w:val="000000"/>
          <w:spacing w:val="-4"/>
          <w:kern w:val="0"/>
          <w:sz w:val="24"/>
          <w:szCs w:val="24"/>
          <w:highlight w:val="none"/>
        </w:rPr>
        <w:t>6.5.1评标完成后，评标委员会应当及时向招标人提交书面评标报告，并推荐合格的中标候选人，中标候选人应标明排序。</w:t>
      </w:r>
    </w:p>
    <w:p w14:paraId="07EAD7F0">
      <w:pPr>
        <w:widowControl/>
        <w:topLinePunct/>
        <w:spacing w:line="360" w:lineRule="auto"/>
        <w:ind w:firstLine="464" w:firstLineChars="200"/>
        <w:rPr>
          <w:rFonts w:hint="eastAsia" w:ascii="仿宋" w:hAnsi="仿宋" w:eastAsia="仿宋" w:cs="宋体"/>
          <w:color w:val="000000"/>
          <w:spacing w:val="-4"/>
          <w:kern w:val="0"/>
          <w:sz w:val="24"/>
          <w:szCs w:val="24"/>
          <w:highlight w:val="none"/>
        </w:rPr>
      </w:pPr>
      <w:r>
        <w:rPr>
          <w:rFonts w:ascii="仿宋" w:hAnsi="仿宋" w:eastAsia="仿宋" w:cs="宋体"/>
          <w:color w:val="000000"/>
          <w:spacing w:val="-4"/>
          <w:kern w:val="0"/>
          <w:sz w:val="24"/>
          <w:szCs w:val="24"/>
          <w:highlight w:val="none"/>
        </w:rPr>
        <w:t>6.5.2</w:t>
      </w:r>
      <w:r>
        <w:rPr>
          <w:rFonts w:hint="eastAsia" w:ascii="仿宋" w:hAnsi="仿宋" w:eastAsia="仿宋" w:cs="宋体"/>
          <w:color w:val="000000"/>
          <w:spacing w:val="-4"/>
          <w:kern w:val="0"/>
          <w:sz w:val="24"/>
          <w:szCs w:val="24"/>
          <w:highlight w:val="none"/>
        </w:rPr>
        <w:t>评标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461D7BCF">
      <w:pPr>
        <w:pStyle w:val="4"/>
        <w:bidi w:val="0"/>
        <w:rPr>
          <w:rFonts w:hint="eastAsia"/>
        </w:rPr>
      </w:pPr>
      <w:bookmarkStart w:id="456" w:name="_Toc24032"/>
      <w:bookmarkStart w:id="457" w:name="_Toc109124273"/>
      <w:bookmarkStart w:id="458" w:name="_Toc532"/>
      <w:r>
        <w:rPr>
          <w:rFonts w:hint="eastAsia"/>
        </w:rPr>
        <w:t>7.</w:t>
      </w:r>
      <w:bookmarkEnd w:id="439"/>
      <w:bookmarkEnd w:id="440"/>
      <w:bookmarkEnd w:id="441"/>
      <w:bookmarkEnd w:id="442"/>
      <w:bookmarkEnd w:id="443"/>
      <w:bookmarkEnd w:id="444"/>
      <w:bookmarkEnd w:id="445"/>
      <w:r>
        <w:rPr>
          <w:rFonts w:hint="eastAsia"/>
        </w:rPr>
        <w:t>中标</w:t>
      </w:r>
      <w:bookmarkEnd w:id="456"/>
      <w:bookmarkEnd w:id="457"/>
      <w:bookmarkEnd w:id="458"/>
    </w:p>
    <w:p w14:paraId="58A4C22C">
      <w:pPr>
        <w:pStyle w:val="5"/>
        <w:ind w:firstLine="0" w:firstLineChars="0"/>
        <w:rPr>
          <w:rFonts w:ascii="仿宋" w:hAnsi="仿宋" w:cs="宋体"/>
          <w:color w:val="000000"/>
          <w:highlight w:val="none"/>
        </w:rPr>
      </w:pPr>
      <w:bookmarkStart w:id="459" w:name="_Toc334766958"/>
      <w:bookmarkStart w:id="460" w:name="_Toc144974535"/>
      <w:bookmarkStart w:id="461" w:name="_Toc179632585"/>
      <w:bookmarkStart w:id="462" w:name="_Toc332188204"/>
      <w:bookmarkStart w:id="463" w:name="_Toc152042343"/>
      <w:bookmarkStart w:id="464" w:name="_Toc246996211"/>
      <w:bookmarkStart w:id="465" w:name="_Toc247085725"/>
      <w:bookmarkStart w:id="466" w:name="_Toc246996954"/>
      <w:bookmarkStart w:id="467" w:name="_Toc152045567"/>
      <w:bookmarkStart w:id="468" w:name="_Toc326223571"/>
      <w:bookmarkStart w:id="469" w:name="_Toc27928"/>
      <w:bookmarkStart w:id="470" w:name="_Toc26416"/>
      <w:bookmarkStart w:id="471" w:name="_Toc71191993"/>
      <w:bookmarkStart w:id="472" w:name="_Toc60224360"/>
      <w:bookmarkStart w:id="473" w:name="_Toc109124274"/>
      <w:r>
        <w:rPr>
          <w:rFonts w:ascii="仿宋" w:hAnsi="仿宋" w:cs="宋体"/>
          <w:color w:val="000000"/>
          <w:highlight w:val="none"/>
        </w:rPr>
        <w:t>7.1</w:t>
      </w:r>
      <w:bookmarkEnd w:id="459"/>
      <w:bookmarkEnd w:id="460"/>
      <w:bookmarkEnd w:id="461"/>
      <w:bookmarkEnd w:id="462"/>
      <w:bookmarkEnd w:id="463"/>
      <w:bookmarkEnd w:id="464"/>
      <w:bookmarkEnd w:id="465"/>
      <w:bookmarkEnd w:id="466"/>
      <w:bookmarkEnd w:id="467"/>
      <w:bookmarkEnd w:id="468"/>
      <w:r>
        <w:rPr>
          <w:rFonts w:ascii="仿宋" w:hAnsi="仿宋" w:cs="宋体"/>
          <w:color w:val="000000"/>
          <w:highlight w:val="none"/>
        </w:rPr>
        <w:t xml:space="preserve"> 中标候选人公示</w:t>
      </w:r>
      <w:bookmarkEnd w:id="469"/>
      <w:bookmarkEnd w:id="470"/>
      <w:bookmarkEnd w:id="471"/>
      <w:bookmarkEnd w:id="472"/>
      <w:bookmarkEnd w:id="473"/>
    </w:p>
    <w:p w14:paraId="2F985703">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474" w:name="_Toc326223572"/>
      <w:bookmarkStart w:id="475" w:name="_Toc332188205"/>
      <w:bookmarkStart w:id="476" w:name="_Toc334766959"/>
      <w:r>
        <w:rPr>
          <w:rFonts w:hint="eastAsia" w:ascii="仿宋" w:hAnsi="仿宋" w:eastAsia="仿宋" w:cs="宋体"/>
          <w:color w:val="000000"/>
          <w:kern w:val="0"/>
          <w:sz w:val="24"/>
          <w:szCs w:val="24"/>
          <w:highlight w:val="none"/>
        </w:rPr>
        <w:t>7.1.1公开招标的采购项目，招标人将在完成评标报告之日起3日内在招标公告发布的同一平台发布中标候选人公示，公示期不少于3个日历日，如公示期最后一日为法定节假日，公示期将顺延至下1个工作日。</w:t>
      </w:r>
    </w:p>
    <w:p w14:paraId="09B36D12">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7.1.2投标人或者其他利害关系人（是与该招标项目或者招标活动有直接或者间接利益关系的法人、其他组织和自然人）对评标结果有异议的，应在中标候选人公示期间以书面形式通过邮件或信函方式提出，应有具体明确的异议事项、与异议事项相关的请求和必要的证明材料。</w:t>
      </w:r>
    </w:p>
    <w:p w14:paraId="7410F6A0">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ascii="仿宋" w:hAnsi="仿宋" w:eastAsia="仿宋" w:cs="宋体"/>
          <w:color w:val="000000"/>
          <w:kern w:val="0"/>
          <w:sz w:val="24"/>
          <w:szCs w:val="24"/>
          <w:highlight w:val="none"/>
        </w:rPr>
        <w:t>.1.3</w:t>
      </w:r>
      <w:r>
        <w:rPr>
          <w:rFonts w:hint="eastAsia" w:ascii="仿宋" w:hAnsi="仿宋" w:eastAsia="仿宋" w:cs="宋体"/>
          <w:color w:val="000000"/>
          <w:kern w:val="0"/>
          <w:sz w:val="24"/>
          <w:szCs w:val="24"/>
          <w:highlight w:val="none"/>
        </w:rPr>
        <w:t>异议采取实名制，如异议人为自然人，应提交个人签名的异议函以及必要的证明材料、有效的身份证明材料、个人与招标项目直接或间接利益关系说明函。如异议人为法人、其他组织，应提交加盖公章并由法定代表人（负责人）或受其委托的授权代表签字的异议函及必要的证明材料。</w:t>
      </w:r>
    </w:p>
    <w:p w14:paraId="6269053A">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ascii="仿宋" w:hAnsi="仿宋" w:eastAsia="仿宋" w:cs="宋体"/>
          <w:color w:val="000000"/>
          <w:kern w:val="0"/>
          <w:sz w:val="24"/>
          <w:szCs w:val="24"/>
          <w:highlight w:val="none"/>
        </w:rPr>
        <w:t>.1.4</w:t>
      </w:r>
      <w:r>
        <w:rPr>
          <w:rFonts w:hint="eastAsia" w:ascii="仿宋" w:hAnsi="仿宋" w:eastAsia="仿宋" w:cs="宋体"/>
          <w:color w:val="000000"/>
          <w:kern w:val="0"/>
          <w:sz w:val="24"/>
          <w:szCs w:val="24"/>
          <w:highlight w:val="none"/>
        </w:rPr>
        <w:t>招标人对投标人和其他利害关系人提出的异议作出答复后，投标人和其他利害关系人在异议期内依然存在同样异议的，不应当就同样的问题反复提出同样的异议。</w:t>
      </w:r>
    </w:p>
    <w:p w14:paraId="0E97399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w:t>
      </w:r>
      <w:r>
        <w:rPr>
          <w:rFonts w:ascii="仿宋" w:hAnsi="仿宋" w:eastAsia="仿宋" w:cs="宋体"/>
          <w:color w:val="000000"/>
          <w:kern w:val="0"/>
          <w:sz w:val="24"/>
          <w:szCs w:val="24"/>
          <w:highlight w:val="none"/>
        </w:rPr>
        <w:t xml:space="preserve">.1.5 </w:t>
      </w:r>
      <w:r>
        <w:rPr>
          <w:rFonts w:hint="eastAsia" w:ascii="仿宋" w:hAnsi="仿宋" w:eastAsia="仿宋" w:cs="宋体"/>
          <w:color w:val="000000"/>
          <w:kern w:val="0"/>
          <w:sz w:val="24"/>
          <w:szCs w:val="24"/>
          <w:highlight w:val="none"/>
        </w:rPr>
        <w:t>投标人捏造事实、提供虚假材料或者以非法手段取得证明材料提出异议，以及假冒他人名义提出异议的，认定为供应商不良行为，按照招标人供应商管理办法有关规定处理。</w:t>
      </w:r>
    </w:p>
    <w:p w14:paraId="72CF637E">
      <w:pPr>
        <w:pStyle w:val="5"/>
        <w:ind w:firstLine="0" w:firstLineChars="0"/>
        <w:rPr>
          <w:rFonts w:ascii="仿宋" w:hAnsi="仿宋" w:cs="宋体"/>
          <w:color w:val="000000"/>
          <w:highlight w:val="none"/>
        </w:rPr>
      </w:pPr>
      <w:bookmarkStart w:id="477" w:name="_Toc109124275"/>
      <w:bookmarkStart w:id="478" w:name="_Toc4538"/>
      <w:bookmarkStart w:id="479" w:name="_Toc60224361"/>
      <w:bookmarkStart w:id="480" w:name="_Toc25855"/>
      <w:bookmarkStart w:id="481" w:name="_Toc71191994"/>
      <w:r>
        <w:rPr>
          <w:rFonts w:ascii="仿宋" w:hAnsi="仿宋" w:cs="宋体"/>
          <w:color w:val="000000"/>
          <w:highlight w:val="none"/>
        </w:rPr>
        <w:t xml:space="preserve">7.2 </w:t>
      </w:r>
      <w:bookmarkEnd w:id="474"/>
      <w:bookmarkEnd w:id="475"/>
      <w:bookmarkEnd w:id="476"/>
      <w:r>
        <w:rPr>
          <w:rFonts w:ascii="仿宋" w:hAnsi="仿宋" w:cs="宋体"/>
          <w:color w:val="000000"/>
          <w:highlight w:val="none"/>
        </w:rPr>
        <w:t>确定中标人</w:t>
      </w:r>
      <w:bookmarkEnd w:id="477"/>
      <w:bookmarkEnd w:id="478"/>
      <w:bookmarkEnd w:id="479"/>
      <w:bookmarkEnd w:id="480"/>
      <w:bookmarkEnd w:id="481"/>
    </w:p>
    <w:p w14:paraId="74ABA9D6">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482" w:name="_Toc246996212"/>
      <w:bookmarkStart w:id="483" w:name="_Toc326223573"/>
      <w:bookmarkStart w:id="484" w:name="_Toc152042344"/>
      <w:bookmarkStart w:id="485" w:name="_Toc247085726"/>
      <w:bookmarkStart w:id="486" w:name="_Toc246996955"/>
      <w:bookmarkStart w:id="487" w:name="_Toc332188206"/>
      <w:bookmarkStart w:id="488" w:name="_Toc152045568"/>
      <w:bookmarkStart w:id="489" w:name="_Toc179632586"/>
      <w:bookmarkStart w:id="490" w:name="_Toc144974536"/>
      <w:bookmarkStart w:id="491" w:name="_Toc334766960"/>
      <w:r>
        <w:rPr>
          <w:rFonts w:hint="eastAsia" w:ascii="仿宋" w:hAnsi="仿宋" w:eastAsia="仿宋" w:cs="宋体"/>
          <w:color w:val="000000"/>
          <w:kern w:val="0"/>
          <w:sz w:val="24"/>
          <w:szCs w:val="24"/>
          <w:highlight w:val="none"/>
        </w:rPr>
        <w:t>7.2.1 除投标人须知前附表规定评标委员会直接确定中标人外，招标人根据评标委员会提出的书面评标报告和推荐的中标候选人确定中标人，中标人数量见投标人须知前附表。</w:t>
      </w:r>
    </w:p>
    <w:p w14:paraId="1271FB7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7.2.2 招标人根据评标委员会推荐的中标候选人名单排序依次确定中标人，具体中标原则见投标人须知前附表。</w:t>
      </w:r>
    </w:p>
    <w:p w14:paraId="5C698263">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7.2.3在确定中标人前，招标人不得与投标人就投标价格、投标方案等实质性内容进行谈判。</w:t>
      </w:r>
    </w:p>
    <w:p w14:paraId="41159EF8">
      <w:pPr>
        <w:widowControl/>
        <w:topLinePunct/>
        <w:spacing w:line="360" w:lineRule="auto"/>
        <w:ind w:firstLine="480" w:firstLineChars="200"/>
        <w:rPr>
          <w:rFonts w:hint="eastAsia" w:ascii="宋体" w:hAnsi="宋体"/>
          <w:szCs w:val="21"/>
          <w:highlight w:val="none"/>
        </w:rPr>
      </w:pPr>
      <w:r>
        <w:rPr>
          <w:rFonts w:hint="eastAsia" w:ascii="仿宋" w:hAnsi="仿宋" w:eastAsia="仿宋" w:cs="宋体"/>
          <w:color w:val="000000"/>
          <w:kern w:val="0"/>
          <w:sz w:val="24"/>
          <w:szCs w:val="24"/>
          <w:highlight w:val="none"/>
        </w:rPr>
        <w:t>7</w:t>
      </w:r>
      <w:r>
        <w:rPr>
          <w:rFonts w:ascii="仿宋" w:hAnsi="仿宋" w:eastAsia="仿宋" w:cs="宋体"/>
          <w:color w:val="000000"/>
          <w:kern w:val="0"/>
          <w:sz w:val="24"/>
          <w:szCs w:val="24"/>
          <w:highlight w:val="none"/>
        </w:rPr>
        <w:t>.2.</w:t>
      </w:r>
      <w:r>
        <w:rPr>
          <w:rFonts w:hint="eastAsia" w:ascii="仿宋" w:hAnsi="仿宋" w:eastAsia="仿宋" w:cs="宋体"/>
          <w:color w:val="000000"/>
          <w:kern w:val="0"/>
          <w:sz w:val="24"/>
          <w:szCs w:val="24"/>
          <w:highlight w:val="none"/>
        </w:rPr>
        <w:t>4中标候选人的经营、财务状况发生较大变化或者存在违法行为，招标人认为可能影响其履约能力的，将在发出中标通知书前由原评标委员会按照招标文件规定的标准和方法审查确认。</w:t>
      </w:r>
    </w:p>
    <w:p w14:paraId="3A02F72F">
      <w:pPr>
        <w:pStyle w:val="5"/>
        <w:ind w:firstLine="0" w:firstLineChars="0"/>
        <w:rPr>
          <w:rFonts w:ascii="仿宋" w:hAnsi="仿宋" w:cs="宋体"/>
          <w:color w:val="000000"/>
          <w:highlight w:val="none"/>
        </w:rPr>
      </w:pPr>
      <w:bookmarkStart w:id="492" w:name="_Toc8102"/>
      <w:bookmarkStart w:id="493" w:name="_Toc60224362"/>
      <w:bookmarkStart w:id="494" w:name="_Toc109124276"/>
      <w:bookmarkStart w:id="495" w:name="_Toc71191995"/>
      <w:bookmarkStart w:id="496" w:name="_Toc15904"/>
      <w:r>
        <w:rPr>
          <w:rFonts w:ascii="仿宋" w:hAnsi="仿宋" w:cs="宋体"/>
          <w:color w:val="000000"/>
          <w:highlight w:val="none"/>
        </w:rPr>
        <w:t>7.3 中标结果</w:t>
      </w:r>
      <w:bookmarkEnd w:id="492"/>
      <w:bookmarkEnd w:id="493"/>
      <w:r>
        <w:rPr>
          <w:rFonts w:ascii="仿宋" w:hAnsi="仿宋" w:cs="宋体"/>
          <w:color w:val="000000"/>
          <w:highlight w:val="none"/>
        </w:rPr>
        <w:t>公示</w:t>
      </w:r>
      <w:bookmarkEnd w:id="494"/>
      <w:bookmarkEnd w:id="495"/>
      <w:bookmarkEnd w:id="496"/>
    </w:p>
    <w:p w14:paraId="7827DE1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采用公开招标方式的采购项目，应当发布中标结果公示，内容包括但不限于招标项目名称、招标人、招标代理机构、招标公告日期、中标人、中标内容及价格等基本要素。中标结果公示应与招标公告在同一渠道公开。</w:t>
      </w:r>
    </w:p>
    <w:p w14:paraId="61956223">
      <w:pPr>
        <w:pStyle w:val="5"/>
        <w:ind w:firstLine="0" w:firstLineChars="0"/>
        <w:rPr>
          <w:rFonts w:ascii="仿宋" w:hAnsi="仿宋" w:cs="宋体"/>
          <w:color w:val="000000"/>
          <w:highlight w:val="none"/>
        </w:rPr>
      </w:pPr>
      <w:bookmarkStart w:id="497" w:name="_Toc71191996"/>
      <w:bookmarkStart w:id="498" w:name="_Toc109124277"/>
      <w:bookmarkStart w:id="499" w:name="_Toc30350"/>
      <w:bookmarkStart w:id="500" w:name="_Toc24847"/>
      <w:bookmarkStart w:id="501" w:name="_Toc60224363"/>
      <w:r>
        <w:rPr>
          <w:rFonts w:ascii="仿宋" w:hAnsi="仿宋" w:cs="宋体"/>
          <w:color w:val="000000"/>
          <w:highlight w:val="none"/>
        </w:rPr>
        <w:t>7.4 中标通知</w:t>
      </w:r>
      <w:bookmarkEnd w:id="482"/>
      <w:bookmarkEnd w:id="483"/>
      <w:bookmarkEnd w:id="484"/>
      <w:bookmarkEnd w:id="485"/>
      <w:bookmarkEnd w:id="486"/>
      <w:bookmarkEnd w:id="487"/>
      <w:bookmarkEnd w:id="488"/>
      <w:bookmarkEnd w:id="489"/>
      <w:bookmarkEnd w:id="490"/>
      <w:bookmarkEnd w:id="491"/>
      <w:bookmarkEnd w:id="497"/>
      <w:bookmarkEnd w:id="498"/>
      <w:bookmarkEnd w:id="499"/>
      <w:bookmarkEnd w:id="500"/>
      <w:bookmarkEnd w:id="501"/>
    </w:p>
    <w:p w14:paraId="0FF03291">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502" w:name="_Toc179632587"/>
      <w:bookmarkStart w:id="503" w:name="_Toc334766961"/>
      <w:bookmarkStart w:id="504" w:name="_Toc152042345"/>
      <w:bookmarkStart w:id="505" w:name="_Toc246996213"/>
      <w:bookmarkStart w:id="506" w:name="_Toc332188207"/>
      <w:bookmarkStart w:id="507" w:name="_Toc247085727"/>
      <w:bookmarkStart w:id="508" w:name="_Toc326223574"/>
      <w:bookmarkStart w:id="509" w:name="_Toc144974537"/>
      <w:bookmarkStart w:id="510" w:name="_Toc152045569"/>
      <w:bookmarkStart w:id="511" w:name="_Toc246996956"/>
      <w:r>
        <w:rPr>
          <w:rFonts w:hint="eastAsia" w:ascii="仿宋" w:hAnsi="仿宋" w:eastAsia="仿宋" w:cs="宋体"/>
          <w:color w:val="000000"/>
          <w:kern w:val="0"/>
          <w:sz w:val="24"/>
          <w:szCs w:val="24"/>
          <w:highlight w:val="none"/>
        </w:rPr>
        <w:t>7.4.1 中标人确定后，招标人应当向中标人发出中标通知书，并同时将中标结果通知所有未中标的投标人。</w:t>
      </w:r>
    </w:p>
    <w:p w14:paraId="683E85D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7.4.2中标通知书对招标人和中标人具有法律效力。中标通知书发出后，招标人改变中标结果的，或者中标人放弃中标项目的，应当依法承担法律责任</w:t>
      </w:r>
      <w:bookmarkStart w:id="512" w:name="_Hlk142926396"/>
      <w:r>
        <w:rPr>
          <w:rFonts w:hint="eastAsia" w:ascii="仿宋" w:hAnsi="仿宋" w:eastAsia="仿宋" w:cs="宋体"/>
          <w:color w:val="000000"/>
          <w:kern w:val="0"/>
          <w:sz w:val="24"/>
          <w:szCs w:val="24"/>
          <w:highlight w:val="none"/>
        </w:rPr>
        <w:t>，投标保证金不予退还。投标保证金以投标保证保险方式递交的，招标人作为被保险人有权发起保证保险赔偿，保险人有权向投保人（投标人）进行等额追偿。</w:t>
      </w:r>
    </w:p>
    <w:bookmarkEnd w:id="502"/>
    <w:bookmarkEnd w:id="503"/>
    <w:bookmarkEnd w:id="504"/>
    <w:bookmarkEnd w:id="505"/>
    <w:bookmarkEnd w:id="506"/>
    <w:bookmarkEnd w:id="507"/>
    <w:bookmarkEnd w:id="508"/>
    <w:bookmarkEnd w:id="509"/>
    <w:bookmarkEnd w:id="510"/>
    <w:bookmarkEnd w:id="511"/>
    <w:bookmarkEnd w:id="512"/>
    <w:p w14:paraId="69E7E391">
      <w:pPr>
        <w:pStyle w:val="4"/>
        <w:bidi w:val="0"/>
        <w:rPr>
          <w:rFonts w:hint="eastAsia"/>
        </w:rPr>
      </w:pPr>
      <w:bookmarkStart w:id="513" w:name="_Toc3918"/>
      <w:bookmarkStart w:id="514" w:name="_Toc109124278"/>
      <w:bookmarkStart w:id="515" w:name="_Toc32618"/>
      <w:r>
        <w:rPr>
          <w:rFonts w:hint="eastAsia"/>
        </w:rPr>
        <w:t>8.合同签订</w:t>
      </w:r>
      <w:bookmarkEnd w:id="513"/>
      <w:bookmarkEnd w:id="514"/>
      <w:bookmarkEnd w:id="515"/>
    </w:p>
    <w:p w14:paraId="5524D799">
      <w:pPr>
        <w:pStyle w:val="5"/>
        <w:ind w:firstLine="0" w:firstLineChars="0"/>
        <w:rPr>
          <w:rFonts w:ascii="仿宋" w:hAnsi="仿宋" w:cs="宋体"/>
          <w:color w:val="000000"/>
          <w:highlight w:val="none"/>
        </w:rPr>
      </w:pPr>
      <w:bookmarkStart w:id="516" w:name="_Toc144974543"/>
      <w:bookmarkStart w:id="517" w:name="_Toc247085733"/>
      <w:bookmarkStart w:id="518" w:name="_Toc296590983"/>
      <w:bookmarkStart w:id="519" w:name="_Toc152045575"/>
      <w:bookmarkStart w:id="520" w:name="_Toc326223577"/>
      <w:bookmarkStart w:id="521" w:name="_Toc334766964"/>
      <w:bookmarkStart w:id="522" w:name="_Toc179632593"/>
      <w:bookmarkStart w:id="523" w:name="_Toc246996219"/>
      <w:bookmarkStart w:id="524" w:name="_Toc152042351"/>
      <w:bookmarkStart w:id="525" w:name="_Toc246996962"/>
      <w:bookmarkStart w:id="526" w:name="_Toc332188210"/>
      <w:bookmarkStart w:id="527" w:name="_Toc71191998"/>
      <w:bookmarkStart w:id="528" w:name="_Toc109124279"/>
      <w:bookmarkStart w:id="529" w:name="_Toc6277"/>
      <w:bookmarkStart w:id="530" w:name="_Toc20000"/>
      <w:bookmarkStart w:id="531" w:name="_Toc60224365"/>
      <w:r>
        <w:rPr>
          <w:rFonts w:ascii="仿宋" w:hAnsi="仿宋" w:cs="宋体"/>
          <w:color w:val="000000"/>
          <w:highlight w:val="none"/>
        </w:rPr>
        <w:t xml:space="preserve">8.1 </w:t>
      </w:r>
      <w:bookmarkEnd w:id="516"/>
      <w:bookmarkEnd w:id="517"/>
      <w:bookmarkEnd w:id="518"/>
      <w:bookmarkEnd w:id="519"/>
      <w:bookmarkEnd w:id="520"/>
      <w:bookmarkEnd w:id="521"/>
      <w:bookmarkEnd w:id="522"/>
      <w:bookmarkEnd w:id="523"/>
      <w:bookmarkEnd w:id="524"/>
      <w:bookmarkEnd w:id="525"/>
      <w:bookmarkEnd w:id="526"/>
      <w:r>
        <w:rPr>
          <w:rFonts w:ascii="仿宋" w:hAnsi="仿宋" w:cs="宋体"/>
          <w:color w:val="000000"/>
          <w:highlight w:val="none"/>
        </w:rPr>
        <w:t>履约保证金</w:t>
      </w:r>
      <w:bookmarkEnd w:id="527"/>
      <w:bookmarkEnd w:id="528"/>
      <w:bookmarkEnd w:id="529"/>
      <w:bookmarkEnd w:id="530"/>
      <w:bookmarkEnd w:id="531"/>
    </w:p>
    <w:p w14:paraId="39BDD48B">
      <w:pPr>
        <w:widowControl/>
        <w:topLinePunct/>
        <w:spacing w:line="360" w:lineRule="auto"/>
        <w:ind w:firstLine="480" w:firstLineChars="200"/>
        <w:rPr>
          <w:rFonts w:hint="eastAsia" w:ascii="仿宋" w:hAnsi="仿宋" w:eastAsia="仿宋" w:cs="宋体"/>
          <w:color w:val="000000"/>
          <w:kern w:val="0"/>
          <w:sz w:val="24"/>
          <w:szCs w:val="24"/>
          <w:highlight w:val="none"/>
        </w:rPr>
      </w:pPr>
      <w:bookmarkStart w:id="532" w:name="_Toc332188211"/>
      <w:bookmarkStart w:id="533" w:name="_Toc144974544"/>
      <w:bookmarkStart w:id="534" w:name="_Toc179632594"/>
      <w:bookmarkStart w:id="535" w:name="_Toc152045576"/>
      <w:bookmarkStart w:id="536" w:name="_Toc334766965"/>
      <w:bookmarkStart w:id="537" w:name="_Toc246996963"/>
      <w:bookmarkStart w:id="538" w:name="_Toc247085734"/>
      <w:bookmarkStart w:id="539" w:name="_Toc246996220"/>
      <w:bookmarkStart w:id="540" w:name="_Toc152042352"/>
      <w:bookmarkStart w:id="541" w:name="_Toc326223578"/>
      <w:r>
        <w:rPr>
          <w:rFonts w:hint="eastAsia" w:ascii="仿宋" w:hAnsi="仿宋" w:eastAsia="仿宋" w:cs="宋体"/>
          <w:color w:val="000000"/>
          <w:kern w:val="0"/>
          <w:sz w:val="24"/>
          <w:szCs w:val="24"/>
          <w:highlight w:val="none"/>
        </w:rPr>
        <w:t>8.1.1 招标文件要求中标人提交履约保证金的，中标人应当提交中标人应当按照招标文件的要求提交。履约保证金不得超过中标合同金额的10%。履约保证金金额和方式见投标人须知前附表。</w:t>
      </w:r>
    </w:p>
    <w:p w14:paraId="32757885">
      <w:pPr>
        <w:widowControl/>
        <w:topLinePunct/>
        <w:spacing w:line="360" w:lineRule="auto"/>
        <w:ind w:firstLine="480" w:firstLineChars="200"/>
        <w:rPr>
          <w:rFonts w:ascii="仿宋" w:hAnsi="仿宋" w:eastAsia="仿宋" w:cs="宋体"/>
          <w:color w:val="000000"/>
          <w:kern w:val="0"/>
          <w:sz w:val="24"/>
          <w:szCs w:val="24"/>
          <w:highlight w:val="none"/>
        </w:rPr>
      </w:pPr>
      <w:bookmarkStart w:id="542" w:name="_Hlk142926410"/>
      <w:r>
        <w:rPr>
          <w:rFonts w:hint="eastAsia" w:ascii="仿宋" w:hAnsi="仿宋" w:eastAsia="仿宋" w:cs="宋体"/>
          <w:color w:val="000000"/>
          <w:kern w:val="0"/>
          <w:sz w:val="24"/>
          <w:szCs w:val="24"/>
          <w:highlight w:val="none"/>
        </w:rPr>
        <w:t>8.1.2中标人不按照招标文件要求提交履约保证金的，取消其中标资格，投标保证金不予退还。投标保证金以投标保证保险方式递交的，招标人作为被保险人有权发起保证保险赔偿，保险人有权向投保人（投标人）进行等额追偿。</w:t>
      </w:r>
    </w:p>
    <w:bookmarkEnd w:id="542"/>
    <w:p w14:paraId="175F392B">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w:t>
      </w:r>
      <w:r>
        <w:rPr>
          <w:rFonts w:ascii="仿宋" w:hAnsi="仿宋" w:eastAsia="仿宋" w:cs="宋体"/>
          <w:color w:val="000000"/>
          <w:kern w:val="0"/>
          <w:sz w:val="24"/>
          <w:szCs w:val="24"/>
          <w:highlight w:val="none"/>
        </w:rPr>
        <w:t>.1.3中标人不履行与招标人订立的合同的，履约保证金不予退还，给招标人造成的损失超过履约保证金数额的，还应当对超过部分予以赔偿；没有提交履约保证金的，应当对招标人的损失承担赔偿责任。</w:t>
      </w:r>
    </w:p>
    <w:p w14:paraId="0B16D16B">
      <w:pPr>
        <w:pStyle w:val="5"/>
        <w:ind w:firstLine="0" w:firstLineChars="0"/>
        <w:rPr>
          <w:rFonts w:ascii="仿宋" w:hAnsi="仿宋" w:cs="宋体"/>
          <w:color w:val="000000"/>
          <w:highlight w:val="none"/>
        </w:rPr>
      </w:pPr>
      <w:bookmarkStart w:id="543" w:name="_Toc23774"/>
      <w:bookmarkStart w:id="544" w:name="_Toc71191999"/>
      <w:bookmarkStart w:id="545" w:name="_Toc109124280"/>
      <w:bookmarkStart w:id="546" w:name="_Toc18661"/>
      <w:bookmarkStart w:id="547" w:name="_Toc60224366"/>
      <w:r>
        <w:rPr>
          <w:rFonts w:ascii="仿宋" w:hAnsi="仿宋" w:cs="宋体"/>
          <w:color w:val="000000"/>
          <w:highlight w:val="none"/>
        </w:rPr>
        <w:t xml:space="preserve">8.2 </w:t>
      </w:r>
      <w:bookmarkEnd w:id="532"/>
      <w:bookmarkEnd w:id="533"/>
      <w:bookmarkEnd w:id="534"/>
      <w:bookmarkEnd w:id="535"/>
      <w:bookmarkEnd w:id="536"/>
      <w:bookmarkEnd w:id="537"/>
      <w:bookmarkEnd w:id="538"/>
      <w:bookmarkEnd w:id="539"/>
      <w:bookmarkEnd w:id="540"/>
      <w:bookmarkEnd w:id="541"/>
      <w:r>
        <w:rPr>
          <w:rFonts w:ascii="仿宋" w:hAnsi="仿宋" w:cs="宋体"/>
          <w:color w:val="000000"/>
          <w:highlight w:val="none"/>
        </w:rPr>
        <w:t>合同签订</w:t>
      </w:r>
      <w:bookmarkEnd w:id="543"/>
      <w:bookmarkEnd w:id="544"/>
      <w:bookmarkEnd w:id="545"/>
      <w:bookmarkEnd w:id="546"/>
      <w:bookmarkEnd w:id="547"/>
    </w:p>
    <w:p w14:paraId="426C0659">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8.2.1 招标人和中标人应当自中标通知书发出之日起30日内，按照招标文件和中标人的投标文件订立书面合同。合同的标的、价款、质量、履行期限等主要条款应当与招标文件和中标人的投标文件的内容一致。招标人和中标人不得再行订立背离合同实质性内容的其他协议。</w:t>
      </w:r>
    </w:p>
    <w:p w14:paraId="68CC94A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8.2.2中标人无正当理由不与招标人订立合同，在签订合同时向招标人提出附加条件或要求变更实质性合同条款的，取消其中标资格，投标保证金不予退还。投标保证金以投标保证保险方式递交的，招标人作为被保险人有权发起保证保险赔偿，保险人有权向投保人（投标人）进行等额追偿。</w:t>
      </w:r>
    </w:p>
    <w:p w14:paraId="00290C58">
      <w:pPr>
        <w:keepNext/>
        <w:keepLines/>
        <w:tabs>
          <w:tab w:val="right" w:pos="9638"/>
        </w:tabs>
        <w:adjustRightInd w:val="0"/>
        <w:snapToGrid w:val="0"/>
        <w:spacing w:before="120" w:after="120" w:line="360" w:lineRule="auto"/>
        <w:jc w:val="left"/>
        <w:outlineLvl w:val="1"/>
        <w:rPr>
          <w:rFonts w:hint="eastAsia" w:ascii="仿宋" w:hAnsi="仿宋" w:eastAsia="仿宋" w:cs="宋体"/>
          <w:b/>
          <w:color w:val="000000"/>
          <w:sz w:val="24"/>
          <w:highlight w:val="none"/>
        </w:rPr>
      </w:pPr>
      <w:bookmarkStart w:id="548" w:name="_Toc152042357"/>
      <w:bookmarkStart w:id="549" w:name="_Toc246996224"/>
      <w:bookmarkStart w:id="550" w:name="_Toc247085738"/>
      <w:bookmarkStart w:id="551" w:name="_Toc179632598"/>
      <w:bookmarkStart w:id="552" w:name="_Toc152045580"/>
      <w:bookmarkStart w:id="553" w:name="_Toc246996967"/>
      <w:bookmarkStart w:id="554" w:name="_Toc144974547"/>
      <w:bookmarkStart w:id="555" w:name="_Toc31639"/>
      <w:bookmarkStart w:id="556" w:name="_Toc109124281"/>
      <w:bookmarkStart w:id="557" w:name="_Toc23625"/>
      <w:r>
        <w:rPr>
          <w:rStyle w:val="47"/>
          <w:rFonts w:hint="eastAsia"/>
        </w:rPr>
        <w:t>9</w:t>
      </w:r>
      <w:bookmarkEnd w:id="548"/>
      <w:bookmarkEnd w:id="549"/>
      <w:bookmarkEnd w:id="550"/>
      <w:bookmarkEnd w:id="551"/>
      <w:bookmarkEnd w:id="552"/>
      <w:bookmarkEnd w:id="553"/>
      <w:bookmarkEnd w:id="554"/>
      <w:r>
        <w:rPr>
          <w:rStyle w:val="47"/>
          <w:rFonts w:hint="eastAsia"/>
        </w:rPr>
        <w:t>.招标代理服务费</w:t>
      </w:r>
      <w:bookmarkEnd w:id="555"/>
      <w:bookmarkEnd w:id="556"/>
      <w:bookmarkEnd w:id="557"/>
      <w:r>
        <w:rPr>
          <w:rFonts w:hint="eastAsia" w:ascii="仿宋" w:hAnsi="仿宋" w:eastAsia="仿宋" w:cs="宋体"/>
          <w:b/>
          <w:color w:val="000000"/>
          <w:sz w:val="24"/>
          <w:highlight w:val="none"/>
        </w:rPr>
        <w:tab/>
      </w:r>
    </w:p>
    <w:p w14:paraId="25CE30A7">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中标人应当按照招标文件规定交纳招标代理服务费，招标人和招标代理机构另有约定的从其规定。招标代理服务费的金额、形式及交纳时限见投标人须知前附表。</w:t>
      </w:r>
    </w:p>
    <w:p w14:paraId="478B84D5">
      <w:pPr>
        <w:pStyle w:val="4"/>
        <w:bidi w:val="0"/>
        <w:rPr>
          <w:rFonts w:hint="eastAsia"/>
        </w:rPr>
      </w:pPr>
      <w:bookmarkStart w:id="558" w:name="_Toc109124282"/>
      <w:bookmarkStart w:id="559" w:name="_Toc18001"/>
      <w:bookmarkStart w:id="560" w:name="_Toc24687"/>
      <w:r>
        <w:rPr>
          <w:rFonts w:hint="eastAsia"/>
        </w:rPr>
        <w:t>10.纪律和监督</w:t>
      </w:r>
      <w:bookmarkEnd w:id="558"/>
      <w:bookmarkEnd w:id="559"/>
      <w:bookmarkEnd w:id="560"/>
    </w:p>
    <w:p w14:paraId="4351BE92">
      <w:pPr>
        <w:pStyle w:val="5"/>
        <w:ind w:firstLine="0" w:firstLineChars="0"/>
        <w:rPr>
          <w:rFonts w:ascii="仿宋" w:hAnsi="仿宋" w:cs="宋体"/>
          <w:color w:val="000000"/>
          <w:highlight w:val="none"/>
        </w:rPr>
      </w:pPr>
      <w:bookmarkStart w:id="561" w:name="_Toc9807"/>
      <w:bookmarkStart w:id="562" w:name="_Toc18766"/>
      <w:bookmarkStart w:id="563" w:name="_Toc60224369"/>
      <w:bookmarkStart w:id="564" w:name="_Toc109124283"/>
      <w:bookmarkStart w:id="565" w:name="_Toc71192002"/>
      <w:r>
        <w:rPr>
          <w:rFonts w:ascii="仿宋" w:hAnsi="仿宋" w:cs="宋体"/>
          <w:color w:val="000000"/>
          <w:highlight w:val="none"/>
        </w:rPr>
        <w:t>10.1 对招标人的纪律要求</w:t>
      </w:r>
      <w:bookmarkEnd w:id="561"/>
      <w:bookmarkEnd w:id="562"/>
      <w:bookmarkEnd w:id="563"/>
      <w:bookmarkEnd w:id="564"/>
      <w:bookmarkEnd w:id="565"/>
    </w:p>
    <w:p w14:paraId="367CF93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10.1.1招标人不得向他人透露已获取招标文件的潜在投标人的名称、数量以及可能影响公平竞争的有关招标投标的其他情况。招标人设有标底的，标底必须保密。</w:t>
      </w:r>
    </w:p>
    <w:p w14:paraId="28170FB3">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10.1.2招标人不得向评标委员会明示或者暗示其倾向或者排斥特定投标人。不得透露对投标文件的评审和比较、中标候选人的推荐情况以及评标有关的其他情况</w:t>
      </w:r>
    </w:p>
    <w:p w14:paraId="69421DB6">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10.1.3</w:t>
      </w:r>
      <w:r>
        <w:rPr>
          <w:rFonts w:hint="eastAsia" w:ascii="仿宋" w:hAnsi="仿宋" w:eastAsia="仿宋" w:cs="宋体"/>
          <w:color w:val="000000"/>
          <w:kern w:val="0"/>
          <w:sz w:val="24"/>
          <w:szCs w:val="24"/>
          <w:highlight w:val="none"/>
        </w:rPr>
        <w:t>招标人不得与投标人串通投标，损害国家利益、社会公共利益或者他人合法权益。</w:t>
      </w:r>
    </w:p>
    <w:p w14:paraId="4B1CDE99">
      <w:pPr>
        <w:pStyle w:val="5"/>
        <w:ind w:firstLine="0" w:firstLineChars="0"/>
        <w:rPr>
          <w:rFonts w:ascii="仿宋" w:hAnsi="仿宋" w:cs="宋体"/>
          <w:color w:val="000000"/>
          <w:highlight w:val="none"/>
        </w:rPr>
      </w:pPr>
      <w:bookmarkStart w:id="566" w:name="_Toc71192003"/>
      <w:bookmarkStart w:id="567" w:name="_Toc24046"/>
      <w:bookmarkStart w:id="568" w:name="_Toc109124284"/>
      <w:bookmarkStart w:id="569" w:name="_Toc26437"/>
      <w:bookmarkStart w:id="570" w:name="_Toc60224370"/>
      <w:r>
        <w:rPr>
          <w:rFonts w:ascii="仿宋" w:hAnsi="仿宋" w:cs="宋体"/>
          <w:color w:val="000000"/>
          <w:highlight w:val="none"/>
        </w:rPr>
        <w:t>10.2 对投标人的纪律要求</w:t>
      </w:r>
      <w:bookmarkEnd w:id="566"/>
      <w:bookmarkEnd w:id="567"/>
      <w:bookmarkEnd w:id="568"/>
      <w:bookmarkEnd w:id="569"/>
      <w:bookmarkEnd w:id="570"/>
    </w:p>
    <w:p w14:paraId="33DA2595">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0.2.1</w:t>
      </w:r>
      <w:r>
        <w:rPr>
          <w:rFonts w:hint="eastAsia" w:ascii="仿宋" w:hAnsi="仿宋" w:eastAsia="仿宋" w:cs="宋体"/>
          <w:color w:val="000000"/>
          <w:kern w:val="0"/>
          <w:sz w:val="24"/>
          <w:szCs w:val="24"/>
          <w:highlight w:val="none"/>
        </w:rPr>
        <w:t>投标人不得相互串通投标，</w:t>
      </w:r>
      <w:r>
        <w:rPr>
          <w:rFonts w:ascii="仿宋" w:hAnsi="仿宋" w:eastAsia="仿宋" w:cs="宋体"/>
          <w:color w:val="000000"/>
          <w:kern w:val="0"/>
          <w:sz w:val="24"/>
          <w:szCs w:val="24"/>
          <w:highlight w:val="none"/>
        </w:rPr>
        <w:t>不得排挤其他投标人的公平竞争，损害招标人或者其他投标人的合法权益。</w:t>
      </w:r>
    </w:p>
    <w:p w14:paraId="50598991">
      <w:pPr>
        <w:pStyle w:val="30"/>
        <w:ind w:firstLine="480" w:firstLineChars="200"/>
        <w:rPr>
          <w:rFonts w:ascii="仿宋" w:hAnsi="仿宋" w:eastAsia="仿宋"/>
          <w:color w:val="363636"/>
          <w:highlight w:val="none"/>
        </w:rPr>
      </w:pPr>
      <w:r>
        <w:rPr>
          <w:rFonts w:hint="eastAsia" w:ascii="仿宋" w:hAnsi="仿宋" w:eastAsia="仿宋" w:cs="宋体"/>
          <w:color w:val="000000"/>
          <w:szCs w:val="24"/>
          <w:highlight w:val="none"/>
        </w:rPr>
        <w:t>1</w:t>
      </w:r>
      <w:r>
        <w:rPr>
          <w:rFonts w:ascii="仿宋" w:hAnsi="仿宋" w:eastAsia="仿宋" w:cs="宋体"/>
          <w:color w:val="000000"/>
          <w:szCs w:val="24"/>
          <w:highlight w:val="none"/>
        </w:rPr>
        <w:t>0.2.2</w:t>
      </w:r>
      <w:r>
        <w:rPr>
          <w:rFonts w:hint="eastAsia" w:ascii="仿宋" w:hAnsi="仿宋" w:eastAsia="仿宋" w:cs="宋体"/>
          <w:color w:val="000000"/>
          <w:szCs w:val="24"/>
          <w:highlight w:val="none"/>
        </w:rPr>
        <w:t>投标人不得与招标人串通投标，</w:t>
      </w:r>
      <w:r>
        <w:rPr>
          <w:rFonts w:ascii="仿宋" w:hAnsi="仿宋" w:eastAsia="仿宋"/>
          <w:color w:val="363636"/>
          <w:highlight w:val="none"/>
        </w:rPr>
        <w:t>损害国家利益、社会公共利益或者他人的合法权益。</w:t>
      </w:r>
    </w:p>
    <w:p w14:paraId="0A826902">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0.2.3</w:t>
      </w:r>
      <w:r>
        <w:rPr>
          <w:rFonts w:hint="eastAsia" w:ascii="仿宋" w:hAnsi="仿宋" w:eastAsia="仿宋" w:cs="宋体"/>
          <w:color w:val="000000"/>
          <w:kern w:val="0"/>
          <w:sz w:val="24"/>
          <w:szCs w:val="24"/>
          <w:highlight w:val="none"/>
        </w:rPr>
        <w:t>禁止投标人以向招标人或者评标委员会成员行贿的手段谋取中标。</w:t>
      </w:r>
    </w:p>
    <w:p w14:paraId="56CC2CAA">
      <w:pPr>
        <w:widowControl/>
        <w:topLinePunct/>
        <w:spacing w:line="360" w:lineRule="auto"/>
        <w:ind w:firstLine="480" w:firstLineChars="200"/>
        <w:rPr>
          <w:rFonts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10.2.4</w:t>
      </w:r>
      <w:r>
        <w:rPr>
          <w:rFonts w:hint="eastAsia" w:ascii="仿宋" w:hAnsi="仿宋" w:eastAsia="仿宋" w:cs="宋体"/>
          <w:color w:val="000000"/>
          <w:kern w:val="0"/>
          <w:sz w:val="24"/>
          <w:szCs w:val="24"/>
          <w:highlight w:val="none"/>
        </w:rPr>
        <w:t>投标人不得以低于成本的报价竞标，不得以他人名义投标或者以其他方式弄虚作假，骗取中标。</w:t>
      </w:r>
    </w:p>
    <w:p w14:paraId="2746E0D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10.2.5</w:t>
      </w:r>
      <w:r>
        <w:rPr>
          <w:rFonts w:hint="eastAsia" w:ascii="仿宋" w:hAnsi="仿宋" w:eastAsia="仿宋" w:cs="宋体"/>
          <w:color w:val="000000"/>
          <w:kern w:val="0"/>
          <w:sz w:val="24"/>
          <w:szCs w:val="24"/>
          <w:highlight w:val="none"/>
        </w:rPr>
        <w:t>投标人不得非法干扰、影响评标的过程和结果。</w:t>
      </w:r>
    </w:p>
    <w:p w14:paraId="5D15BD85">
      <w:pPr>
        <w:pStyle w:val="5"/>
        <w:ind w:firstLine="0" w:firstLineChars="0"/>
        <w:rPr>
          <w:rFonts w:ascii="仿宋" w:hAnsi="仿宋" w:cs="宋体"/>
          <w:color w:val="000000"/>
          <w:highlight w:val="none"/>
        </w:rPr>
      </w:pPr>
      <w:bookmarkStart w:id="571" w:name="_Toc4098"/>
      <w:bookmarkStart w:id="572" w:name="_Toc12807"/>
      <w:bookmarkStart w:id="573" w:name="_Toc71192004"/>
      <w:bookmarkStart w:id="574" w:name="_Toc60224371"/>
      <w:bookmarkStart w:id="575" w:name="_Toc109124285"/>
      <w:r>
        <w:rPr>
          <w:rFonts w:ascii="仿宋" w:hAnsi="仿宋" w:cs="宋体"/>
          <w:color w:val="000000"/>
          <w:highlight w:val="none"/>
        </w:rPr>
        <w:t>10.3 对评标委员会成员的纪律要求</w:t>
      </w:r>
      <w:bookmarkEnd w:id="571"/>
      <w:bookmarkEnd w:id="572"/>
      <w:bookmarkEnd w:id="573"/>
      <w:bookmarkEnd w:id="574"/>
      <w:bookmarkEnd w:id="575"/>
    </w:p>
    <w:p w14:paraId="0F1FF968">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10.3.1评标委员会成员应当客观、公正地履行职务，遵守职业道德，对所提出的评审意见承担个人责任。</w:t>
      </w:r>
    </w:p>
    <w:p w14:paraId="2B42B8B6">
      <w:pPr>
        <w:widowControl/>
        <w:topLinePunct/>
        <w:spacing w:line="360" w:lineRule="auto"/>
        <w:ind w:firstLine="480" w:firstLineChars="200"/>
        <w:rPr>
          <w:rFonts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10.3.2</w:t>
      </w:r>
      <w:r>
        <w:rPr>
          <w:rFonts w:hint="eastAsia" w:ascii="仿宋" w:hAnsi="仿宋" w:eastAsia="仿宋" w:cs="宋体"/>
          <w:color w:val="000000"/>
          <w:kern w:val="0"/>
          <w:sz w:val="24"/>
          <w:szCs w:val="24"/>
          <w:highlight w:val="none"/>
        </w:rPr>
        <w:t>评标委员会成员</w:t>
      </w:r>
      <w:r>
        <w:rPr>
          <w:rFonts w:ascii="仿宋" w:hAnsi="仿宋" w:eastAsia="仿宋" w:cs="宋体"/>
          <w:color w:val="000000"/>
          <w:kern w:val="0"/>
          <w:sz w:val="24"/>
          <w:szCs w:val="24"/>
          <w:highlight w:val="none"/>
        </w:rPr>
        <w:t>与投标人有利害关系的</w:t>
      </w:r>
      <w:r>
        <w:rPr>
          <w:rFonts w:hint="eastAsia" w:ascii="仿宋" w:hAnsi="仿宋" w:eastAsia="仿宋" w:cs="宋体"/>
          <w:color w:val="000000"/>
          <w:kern w:val="0"/>
          <w:sz w:val="24"/>
          <w:szCs w:val="24"/>
          <w:highlight w:val="none"/>
        </w:rPr>
        <w:t>，应当主动回避，</w:t>
      </w:r>
      <w:r>
        <w:rPr>
          <w:rFonts w:ascii="仿宋" w:hAnsi="仿宋" w:eastAsia="仿宋" w:cs="宋体"/>
          <w:color w:val="000000"/>
          <w:kern w:val="0"/>
          <w:sz w:val="24"/>
          <w:szCs w:val="24"/>
          <w:highlight w:val="none"/>
        </w:rPr>
        <w:t>不得进入相关项目的评标委员会</w:t>
      </w:r>
      <w:r>
        <w:rPr>
          <w:rFonts w:hint="eastAsia" w:ascii="仿宋" w:hAnsi="仿宋" w:eastAsia="仿宋" w:cs="宋体"/>
          <w:color w:val="000000"/>
          <w:kern w:val="0"/>
          <w:sz w:val="24"/>
          <w:szCs w:val="24"/>
          <w:highlight w:val="none"/>
        </w:rPr>
        <w:t>，</w:t>
      </w:r>
      <w:r>
        <w:rPr>
          <w:rFonts w:ascii="仿宋" w:hAnsi="仿宋" w:eastAsia="仿宋" w:cs="宋体"/>
          <w:color w:val="000000"/>
          <w:kern w:val="0"/>
          <w:sz w:val="24"/>
          <w:szCs w:val="24"/>
          <w:highlight w:val="none"/>
        </w:rPr>
        <w:t>已经进入的应当更换。</w:t>
      </w:r>
    </w:p>
    <w:p w14:paraId="37881165">
      <w:pPr>
        <w:widowControl/>
        <w:topLinePunct/>
        <w:spacing w:line="360" w:lineRule="auto"/>
        <w:ind w:firstLine="480" w:firstLineChars="200"/>
        <w:rPr>
          <w:rFonts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w:t>
      </w:r>
      <w:r>
        <w:rPr>
          <w:rFonts w:hint="eastAsia" w:ascii="仿宋" w:hAnsi="仿宋" w:eastAsia="仿宋" w:cs="宋体"/>
          <w:color w:val="000000"/>
          <w:kern w:val="0"/>
          <w:sz w:val="24"/>
          <w:szCs w:val="24"/>
          <w:highlight w:val="none"/>
        </w:rPr>
        <w:t>3</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评标委员会成员不得私下接触投标人，不得收受投标人给予的财物或者其他好处。</w:t>
      </w:r>
    </w:p>
    <w:p w14:paraId="4146F9D7">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0.3.4</w:t>
      </w:r>
      <w:r>
        <w:rPr>
          <w:rFonts w:hint="eastAsia" w:ascii="仿宋" w:hAnsi="仿宋" w:eastAsia="仿宋" w:cs="宋体"/>
          <w:color w:val="000000"/>
          <w:kern w:val="0"/>
          <w:sz w:val="24"/>
          <w:szCs w:val="24"/>
          <w:highlight w:val="none"/>
        </w:rPr>
        <w:t>评标委员会成员不得透露对投标文件的评审和比较、中标候选人的推荐情况以及与评标有关的其他情况。</w:t>
      </w:r>
    </w:p>
    <w:p w14:paraId="2DCF8F5F">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10.3.</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评标委员会成员不得按照招标文件规定外的评标标准和方法进行评标，不得向招标人征询确定中标人的意向，不得接受任何单位或者个人明示或者暗示提出的倾向或者排斥特定投标人的要求，不得对依法应当否决的投标不提出否决意见。</w:t>
      </w:r>
    </w:p>
    <w:p w14:paraId="235A0C61">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10.3.6</w:t>
      </w:r>
      <w:r>
        <w:rPr>
          <w:rFonts w:hint="eastAsia" w:ascii="仿宋" w:hAnsi="仿宋" w:eastAsia="仿宋" w:cs="宋体"/>
          <w:color w:val="000000"/>
          <w:kern w:val="0"/>
          <w:sz w:val="24"/>
          <w:szCs w:val="24"/>
          <w:highlight w:val="none"/>
        </w:rPr>
        <w:t>评标委员会成员不得暗示或者诱导投标人作出澄清、说明，不得接受投标人主动提出的澄清、说明。</w:t>
      </w:r>
    </w:p>
    <w:p w14:paraId="5A00A625">
      <w:pPr>
        <w:pStyle w:val="5"/>
        <w:ind w:firstLine="0" w:firstLineChars="0"/>
        <w:rPr>
          <w:rFonts w:ascii="仿宋" w:hAnsi="仿宋" w:cs="宋体"/>
          <w:color w:val="000000"/>
          <w:highlight w:val="none"/>
        </w:rPr>
      </w:pPr>
      <w:bookmarkStart w:id="576" w:name="_Toc71192005"/>
      <w:bookmarkStart w:id="577" w:name="_Toc109124286"/>
      <w:bookmarkStart w:id="578" w:name="_Toc60224372"/>
      <w:bookmarkStart w:id="579" w:name="_Toc26531"/>
      <w:bookmarkStart w:id="580" w:name="_Toc16571"/>
      <w:r>
        <w:rPr>
          <w:rFonts w:ascii="仿宋" w:hAnsi="仿宋" w:cs="宋体"/>
          <w:color w:val="000000"/>
          <w:highlight w:val="none"/>
        </w:rPr>
        <w:t>10.4 对招标代理机构的纪律要求</w:t>
      </w:r>
      <w:bookmarkEnd w:id="576"/>
      <w:bookmarkEnd w:id="577"/>
      <w:bookmarkEnd w:id="578"/>
      <w:bookmarkEnd w:id="579"/>
      <w:bookmarkEnd w:id="580"/>
    </w:p>
    <w:p w14:paraId="5C8A4ECF">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w:t>
      </w:r>
      <w:r>
        <w:rPr>
          <w:rFonts w:ascii="仿宋" w:hAnsi="仿宋" w:eastAsia="仿宋" w:cs="宋体"/>
          <w:color w:val="000000"/>
          <w:kern w:val="0"/>
          <w:sz w:val="24"/>
          <w:szCs w:val="24"/>
          <w:highlight w:val="none"/>
        </w:rPr>
        <w:t>0.4.1</w:t>
      </w:r>
      <w:r>
        <w:rPr>
          <w:rFonts w:hint="eastAsia" w:ascii="仿宋" w:hAnsi="仿宋" w:eastAsia="仿宋" w:cs="宋体"/>
          <w:color w:val="000000"/>
          <w:kern w:val="0"/>
          <w:sz w:val="24"/>
          <w:szCs w:val="24"/>
          <w:highlight w:val="none"/>
        </w:rPr>
        <w:t>招标代理机构不得泄露应当保密的与招标投标活动有关的情况和资料，不得向他人透露对投标文件的评审和比较、中标候选人的推荐情况以及评标有关的其他情况，不得与招标人、投标人串通损害国家利益、社会公共利益或者他人合法权益。</w:t>
      </w:r>
    </w:p>
    <w:p w14:paraId="701EFFA4">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10.4.2</w:t>
      </w:r>
      <w:r>
        <w:rPr>
          <w:rFonts w:hint="eastAsia" w:ascii="仿宋" w:hAnsi="仿宋" w:eastAsia="仿宋" w:cs="宋体"/>
          <w:color w:val="000000"/>
          <w:kern w:val="0"/>
          <w:sz w:val="24"/>
          <w:szCs w:val="24"/>
          <w:highlight w:val="none"/>
        </w:rPr>
        <w:t>招标代理机构不得在所代理的招标项目中投标、代理投标，不得为所代理的招标项目的投标人编制投标文件、提供咨询，不得接受委托编制标底的中介机构参加受托编制标底项目的投标。</w:t>
      </w:r>
    </w:p>
    <w:p w14:paraId="434D27A7">
      <w:pPr>
        <w:pStyle w:val="5"/>
        <w:ind w:firstLine="0" w:firstLineChars="0"/>
        <w:rPr>
          <w:rFonts w:ascii="仿宋" w:hAnsi="仿宋" w:cs="宋体"/>
          <w:color w:val="000000"/>
          <w:highlight w:val="none"/>
        </w:rPr>
      </w:pPr>
      <w:bookmarkStart w:id="581" w:name="_Toc109124287"/>
      <w:bookmarkStart w:id="582" w:name="_Toc28887"/>
      <w:bookmarkStart w:id="583" w:name="_Toc71192006"/>
      <w:bookmarkStart w:id="584" w:name="_Toc60224373"/>
      <w:bookmarkStart w:id="585" w:name="_Toc27943"/>
      <w:r>
        <w:rPr>
          <w:rFonts w:ascii="仿宋" w:hAnsi="仿宋" w:cs="宋体"/>
          <w:color w:val="000000"/>
          <w:highlight w:val="none"/>
        </w:rPr>
        <w:t>10.5 对与评标活动有关的工作人员的纪律要求</w:t>
      </w:r>
      <w:bookmarkEnd w:id="581"/>
      <w:bookmarkEnd w:id="582"/>
      <w:bookmarkEnd w:id="583"/>
    </w:p>
    <w:p w14:paraId="6DDCBE7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与评标活动有关的工作人员不得向他人透露对投标文件的评审和比较、中标候选人的推荐情况以及与评标有关的其他情况。</w:t>
      </w:r>
    </w:p>
    <w:bookmarkEnd w:id="584"/>
    <w:bookmarkEnd w:id="585"/>
    <w:p w14:paraId="6273E9CA">
      <w:pPr>
        <w:pStyle w:val="4"/>
        <w:numPr>
          <w:ilvl w:val="0"/>
          <w:numId w:val="1"/>
        </w:numPr>
        <w:bidi w:val="0"/>
        <w:rPr>
          <w:rFonts w:hint="eastAsia"/>
        </w:rPr>
      </w:pPr>
      <w:bookmarkStart w:id="586" w:name="_Toc71192010"/>
      <w:bookmarkStart w:id="587" w:name="_Toc29072"/>
      <w:bookmarkStart w:id="588" w:name="_Toc5195"/>
      <w:r>
        <w:rPr>
          <w:rFonts w:hint="eastAsia"/>
        </w:rPr>
        <w:t>需要补充的其他内容</w:t>
      </w:r>
      <w:bookmarkEnd w:id="586"/>
      <w:bookmarkEnd w:id="587"/>
      <w:bookmarkEnd w:id="588"/>
    </w:p>
    <w:p w14:paraId="7E5A0D7D">
      <w:pPr>
        <w:widowControl/>
        <w:topLinePunct/>
        <w:spacing w:line="360" w:lineRule="auto"/>
        <w:ind w:firstLine="480" w:firstLineChars="200"/>
        <w:rPr>
          <w:rFonts w:hint="eastAsia" w:ascii="仿宋" w:hAnsi="仿宋" w:eastAsia="仿宋" w:cs="宋体"/>
          <w:color w:val="000000"/>
          <w:kern w:val="0"/>
          <w:highlight w:val="none"/>
        </w:rPr>
      </w:pPr>
      <w:r>
        <w:rPr>
          <w:rFonts w:hint="eastAsia" w:ascii="仿宋" w:hAnsi="仿宋" w:eastAsia="仿宋" w:cs="宋体"/>
          <w:color w:val="000000"/>
          <w:kern w:val="0"/>
          <w:sz w:val="24"/>
          <w:szCs w:val="24"/>
          <w:highlight w:val="none"/>
        </w:rPr>
        <w:t>需要补充的其他内容：见投标人须知前附表。</w:t>
      </w:r>
    </w:p>
    <w:p w14:paraId="5C7FF803">
      <w:pPr>
        <w:widowControl/>
        <w:topLinePunct/>
        <w:spacing w:line="360" w:lineRule="auto"/>
        <w:ind w:firstLine="480"/>
        <w:rPr>
          <w:rFonts w:hint="eastAsia" w:ascii="仿宋" w:hAnsi="仿宋" w:eastAsia="仿宋" w:cs="宋体"/>
          <w:color w:val="000000"/>
          <w:kern w:val="0"/>
          <w:highlight w:val="none"/>
        </w:rPr>
      </w:pPr>
    </w:p>
    <w:p w14:paraId="1BB381C4">
      <w:pPr>
        <w:spacing w:before="120" w:after="120"/>
        <w:rPr>
          <w:rFonts w:hint="eastAsia" w:ascii="仿宋" w:hAnsi="仿宋" w:eastAsia="仿宋" w:cs="宋体"/>
          <w:b/>
          <w:color w:val="000000"/>
          <w:sz w:val="24"/>
          <w:highlight w:val="none"/>
        </w:rPr>
      </w:pPr>
    </w:p>
    <w:p w14:paraId="1BFC100A">
      <w:pPr>
        <w:pStyle w:val="3"/>
        <w:spacing w:before="0" w:after="0" w:line="480" w:lineRule="auto"/>
        <w:rPr>
          <w:rFonts w:hint="eastAsia" w:ascii="仿宋" w:hAnsi="仿宋" w:cs="宋体"/>
          <w:color w:val="000000"/>
          <w:highlight w:val="none"/>
        </w:rPr>
      </w:pPr>
      <w:r>
        <w:rPr>
          <w:rFonts w:hint="eastAsia" w:ascii="仿宋" w:hAnsi="仿宋" w:cs="宋体"/>
          <w:b w:val="0"/>
          <w:color w:val="000000"/>
          <w:sz w:val="32"/>
          <w:highlight w:val="none"/>
        </w:rPr>
        <w:br w:type="page"/>
      </w:r>
      <w:bookmarkEnd w:id="92"/>
      <w:bookmarkEnd w:id="93"/>
      <w:bookmarkStart w:id="589" w:name="_Toc485225388"/>
      <w:bookmarkStart w:id="590" w:name="_Toc246996241"/>
      <w:bookmarkStart w:id="591" w:name="_Toc152042375"/>
      <w:bookmarkStart w:id="592" w:name="_Toc65682980"/>
      <w:bookmarkStart w:id="593" w:name="_Toc30018"/>
      <w:bookmarkStart w:id="594" w:name="_Toc179632616"/>
      <w:bookmarkStart w:id="595" w:name="_Toc28186"/>
      <w:bookmarkStart w:id="596" w:name="_Toc247085756"/>
      <w:bookmarkStart w:id="597" w:name="_Toc152045598"/>
      <w:bookmarkStart w:id="598" w:name="_Toc144974565"/>
      <w:bookmarkStart w:id="599" w:name="_Toc109124288"/>
      <w:bookmarkStart w:id="600" w:name="_Toc246996984"/>
      <w:r>
        <w:rPr>
          <w:rFonts w:hint="eastAsia" w:ascii="仿宋" w:hAnsi="仿宋" w:cs="宋体"/>
          <w:color w:val="000000"/>
          <w:highlight w:val="none"/>
        </w:rPr>
        <w:t>第三章 评标办法</w:t>
      </w:r>
      <w:bookmarkEnd w:id="589"/>
      <w:bookmarkEnd w:id="590"/>
      <w:bookmarkEnd w:id="591"/>
      <w:bookmarkEnd w:id="592"/>
      <w:bookmarkEnd w:id="593"/>
      <w:bookmarkEnd w:id="594"/>
      <w:bookmarkEnd w:id="595"/>
      <w:bookmarkEnd w:id="596"/>
      <w:bookmarkEnd w:id="597"/>
      <w:bookmarkEnd w:id="598"/>
      <w:bookmarkEnd w:id="599"/>
      <w:bookmarkEnd w:id="600"/>
    </w:p>
    <w:p w14:paraId="7D2CAAD4">
      <w:pPr>
        <w:pStyle w:val="4"/>
        <w:jc w:val="center"/>
        <w:rPr>
          <w:rFonts w:hint="eastAsia" w:ascii="仿宋" w:hAnsi="仿宋" w:cs="宋体"/>
          <w:color w:val="000000"/>
          <w:szCs w:val="24"/>
          <w:highlight w:val="none"/>
        </w:rPr>
      </w:pPr>
      <w:bookmarkStart w:id="601" w:name="_Toc65682981"/>
      <w:bookmarkStart w:id="602" w:name="_Toc29379"/>
      <w:bookmarkStart w:id="603" w:name="_Toc31831"/>
      <w:bookmarkStart w:id="604" w:name="_Toc109124289"/>
      <w:r>
        <w:rPr>
          <w:rFonts w:hint="eastAsia" w:ascii="仿宋" w:hAnsi="仿宋" w:cs="宋体"/>
          <w:color w:val="000000"/>
          <w:szCs w:val="24"/>
          <w:highlight w:val="none"/>
        </w:rPr>
        <w:t>评标办法前附表</w:t>
      </w:r>
      <w:bookmarkEnd w:id="601"/>
      <w:bookmarkEnd w:id="602"/>
      <w:bookmarkEnd w:id="603"/>
      <w:bookmarkEnd w:id="604"/>
    </w:p>
    <w:p w14:paraId="269E3836">
      <w:pPr>
        <w:adjustRightInd w:val="0"/>
        <w:snapToGrid w:val="0"/>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本项目采用综合评分法，总分共100分。</w:t>
      </w:r>
    </w:p>
    <w:p w14:paraId="4116A706">
      <w:pPr>
        <w:pStyle w:val="5"/>
        <w:bidi w:val="0"/>
      </w:pPr>
      <w:bookmarkStart w:id="605" w:name="_Toc1372"/>
      <w:bookmarkStart w:id="606" w:name="_Toc109124290"/>
      <w:bookmarkStart w:id="607" w:name="_Toc22942"/>
      <w:bookmarkStart w:id="608" w:name="_Toc65682982"/>
      <w:r>
        <w:t>1、初步评审标准</w:t>
      </w:r>
      <w:bookmarkEnd w:id="605"/>
      <w:bookmarkEnd w:id="606"/>
      <w:bookmarkEnd w:id="607"/>
      <w:bookmarkEnd w:id="608"/>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727"/>
        <w:gridCol w:w="1370"/>
        <w:gridCol w:w="2595"/>
        <w:gridCol w:w="4973"/>
      </w:tblGrid>
      <w:tr w14:paraId="3D1EA11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097" w:type="dxa"/>
            <w:gridSpan w:val="2"/>
            <w:noWrap w:val="0"/>
            <w:vAlign w:val="center"/>
          </w:tcPr>
          <w:p w14:paraId="74368674">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条款号</w:t>
            </w:r>
          </w:p>
        </w:tc>
        <w:tc>
          <w:tcPr>
            <w:tcW w:w="2595" w:type="dxa"/>
            <w:noWrap w:val="0"/>
            <w:vAlign w:val="center"/>
          </w:tcPr>
          <w:p w14:paraId="57DC42AA">
            <w:pPr>
              <w:keepNext w:val="0"/>
              <w:keepLines w:val="0"/>
              <w:widowControl/>
              <w:suppressLineNumbers w:val="0"/>
              <w:spacing w:before="24" w:beforeAutospacing="0" w:after="24"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评审因素</w:t>
            </w:r>
          </w:p>
        </w:tc>
        <w:tc>
          <w:tcPr>
            <w:tcW w:w="4973" w:type="dxa"/>
            <w:noWrap w:val="0"/>
            <w:vAlign w:val="center"/>
          </w:tcPr>
          <w:p w14:paraId="56A9C04F">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评审标准</w:t>
            </w:r>
          </w:p>
        </w:tc>
      </w:tr>
      <w:tr w14:paraId="736DF76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727" w:type="dxa"/>
            <w:vMerge w:val="restart"/>
            <w:noWrap w:val="0"/>
            <w:vAlign w:val="center"/>
          </w:tcPr>
          <w:p w14:paraId="63214EDF">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1</w:t>
            </w:r>
          </w:p>
        </w:tc>
        <w:tc>
          <w:tcPr>
            <w:tcW w:w="1370" w:type="dxa"/>
            <w:vMerge w:val="restart"/>
            <w:noWrap w:val="0"/>
            <w:vAlign w:val="center"/>
          </w:tcPr>
          <w:p w14:paraId="2B3F67A4">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形式评审标准</w:t>
            </w:r>
          </w:p>
        </w:tc>
        <w:tc>
          <w:tcPr>
            <w:tcW w:w="2595" w:type="dxa"/>
            <w:noWrap w:val="0"/>
            <w:vAlign w:val="center"/>
          </w:tcPr>
          <w:p w14:paraId="7AE6A211">
            <w:pPr>
              <w:keepNext w:val="0"/>
              <w:keepLines w:val="0"/>
              <w:suppressLineNumbers w:val="0"/>
              <w:spacing w:before="24" w:beforeAutospacing="0" w:after="24" w:afterAutospacing="0"/>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投标人名称</w:t>
            </w:r>
          </w:p>
        </w:tc>
        <w:tc>
          <w:tcPr>
            <w:tcW w:w="4973" w:type="dxa"/>
            <w:noWrap w:val="0"/>
            <w:vAlign w:val="center"/>
          </w:tcPr>
          <w:p w14:paraId="1668362E">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公章名称与企业营业执照、资质证书（如有）等其他证书一致。</w:t>
            </w:r>
          </w:p>
        </w:tc>
      </w:tr>
      <w:tr w14:paraId="137055DA">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436" w:hRule="atLeast"/>
          <w:jc w:val="center"/>
        </w:trPr>
        <w:tc>
          <w:tcPr>
            <w:tcW w:w="727" w:type="dxa"/>
            <w:vMerge w:val="continue"/>
            <w:noWrap w:val="0"/>
            <w:vAlign w:val="center"/>
          </w:tcPr>
          <w:p w14:paraId="0084DEB0">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370" w:type="dxa"/>
            <w:vMerge w:val="continue"/>
            <w:noWrap w:val="0"/>
            <w:vAlign w:val="center"/>
          </w:tcPr>
          <w:p w14:paraId="4FE95CF9">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2595" w:type="dxa"/>
            <w:noWrap w:val="0"/>
            <w:vAlign w:val="center"/>
          </w:tcPr>
          <w:p w14:paraId="27CB5ACA">
            <w:pPr>
              <w:keepNext w:val="0"/>
              <w:keepLines w:val="0"/>
              <w:suppressLineNumbers w:val="0"/>
              <w:spacing w:before="24" w:beforeAutospacing="0" w:after="24" w:afterAutospacing="0"/>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法定代表人（负责人）身份证明</w:t>
            </w:r>
          </w:p>
        </w:tc>
        <w:tc>
          <w:tcPr>
            <w:tcW w:w="4973" w:type="dxa"/>
            <w:noWrap w:val="0"/>
            <w:vAlign w:val="center"/>
          </w:tcPr>
          <w:p w14:paraId="0D9F895E">
            <w:pPr>
              <w:pStyle w:val="137"/>
              <w:keepNext w:val="0"/>
              <w:keepLines w:val="0"/>
              <w:suppressLineNumbers w:val="0"/>
              <w:topLinePunct/>
              <w:spacing w:before="0" w:beforeAutospacing="0" w:after="0" w:afterAutospacing="0" w:line="240" w:lineRule="auto"/>
              <w:ind w:left="0" w:right="0"/>
              <w:jc w:val="left"/>
              <w:rPr>
                <w:rFonts w:hint="default"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（1）提供法定代表人（负责人）身份证复印件。</w:t>
            </w:r>
          </w:p>
          <w:p w14:paraId="02E37FB3">
            <w:pPr>
              <w:pStyle w:val="137"/>
              <w:keepNext w:val="0"/>
              <w:keepLines w:val="0"/>
              <w:suppressLineNumbers w:val="0"/>
              <w:topLinePunct/>
              <w:spacing w:before="0" w:beforeAutospacing="0" w:after="0" w:afterAutospacing="0" w:line="240" w:lineRule="auto"/>
              <w:ind w:left="0" w:right="0"/>
              <w:jc w:val="left"/>
              <w:rPr>
                <w:rFonts w:hint="eastAsia" w:ascii="仿宋" w:hAnsi="仿宋" w:eastAsia="仿宋" w:cs="仿宋"/>
                <w:color w:val="000000"/>
                <w:sz w:val="21"/>
                <w:szCs w:val="21"/>
                <w:highlight w:val="none"/>
              </w:rPr>
            </w:pPr>
            <w:r>
              <w:rPr>
                <w:rFonts w:hint="eastAsia" w:ascii="仿宋" w:hAnsi="仿宋" w:eastAsia="仿宋" w:cs="仿宋"/>
                <w:color w:val="000000"/>
                <w:sz w:val="22"/>
                <w:szCs w:val="20"/>
                <w:highlight w:val="none"/>
              </w:rPr>
              <w:t>（2）落款加盖公章。</w:t>
            </w:r>
          </w:p>
        </w:tc>
      </w:tr>
      <w:tr w14:paraId="2699DF6B">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20B48C46">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41EBF878">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4323160C">
            <w:pPr>
              <w:keepNext w:val="0"/>
              <w:keepLines w:val="0"/>
              <w:suppressLineNumbers w:val="0"/>
              <w:spacing w:before="24" w:beforeAutospacing="0" w:after="24" w:afterAutospacing="0"/>
              <w:ind w:left="0" w:right="0"/>
              <w:jc w:val="center"/>
              <w:rPr>
                <w:rFonts w:hint="eastAsia" w:ascii="仿宋" w:hAnsi="仿宋" w:eastAsia="仿宋" w:cs="宋体"/>
                <w:color w:val="000000"/>
                <w:spacing w:val="-4"/>
                <w:kern w:val="0"/>
                <w:szCs w:val="21"/>
                <w:highlight w:val="none"/>
              </w:rPr>
            </w:pPr>
            <w:r>
              <w:rPr>
                <w:rFonts w:hint="eastAsia" w:ascii="仿宋" w:hAnsi="仿宋" w:eastAsia="仿宋" w:cs="宋体"/>
                <w:color w:val="000000"/>
                <w:szCs w:val="21"/>
                <w:highlight w:val="none"/>
              </w:rPr>
              <w:t>法定代表人（负责人）授权委托书</w:t>
            </w:r>
          </w:p>
        </w:tc>
        <w:tc>
          <w:tcPr>
            <w:tcW w:w="4973" w:type="dxa"/>
            <w:noWrap w:val="0"/>
            <w:vAlign w:val="center"/>
          </w:tcPr>
          <w:p w14:paraId="1DC73CA2">
            <w:pPr>
              <w:pStyle w:val="137"/>
              <w:keepNext w:val="0"/>
              <w:keepLines w:val="0"/>
              <w:suppressLineNumbers w:val="0"/>
              <w:topLinePunct/>
              <w:spacing w:before="0" w:beforeAutospacing="0" w:after="0" w:afterAutospacing="0" w:line="276" w:lineRule="auto"/>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（1）提供委托代理人身份证复印件。</w:t>
            </w:r>
          </w:p>
          <w:p w14:paraId="4DB6193E">
            <w:pPr>
              <w:pStyle w:val="137"/>
              <w:keepNext w:val="0"/>
              <w:keepLines w:val="0"/>
              <w:suppressLineNumbers w:val="0"/>
              <w:topLinePunct/>
              <w:spacing w:before="0" w:beforeAutospacing="0" w:after="0" w:afterAutospacing="0" w:line="276" w:lineRule="auto"/>
              <w:ind w:left="0" w:right="0"/>
              <w:rPr>
                <w:rFonts w:hint="eastAsia" w:hAnsi="宋体" w:eastAsia="仿宋"/>
                <w:szCs w:val="21"/>
                <w:highlight w:val="none"/>
              </w:rPr>
            </w:pPr>
            <w:r>
              <w:rPr>
                <w:rFonts w:hint="eastAsia" w:ascii="仿宋" w:hAnsi="仿宋" w:eastAsia="仿宋" w:cs="仿宋"/>
                <w:color w:val="000000"/>
                <w:sz w:val="22"/>
                <w:szCs w:val="20"/>
                <w:highlight w:val="none"/>
              </w:rPr>
              <w:t>（2）落款</w:t>
            </w:r>
            <w:r>
              <w:rPr>
                <w:rFonts w:hint="eastAsia" w:ascii="仿宋" w:hAnsi="仿宋" w:eastAsia="仿宋" w:cs="仿宋"/>
                <w:bCs/>
                <w:color w:val="000000"/>
                <w:sz w:val="22"/>
                <w:szCs w:val="20"/>
                <w:highlight w:val="none"/>
              </w:rPr>
              <w:t>加盖公章</w:t>
            </w:r>
            <w:r>
              <w:rPr>
                <w:rFonts w:hint="eastAsia" w:ascii="仿宋" w:hAnsi="仿宋" w:eastAsia="仿宋" w:cs="仿宋"/>
                <w:b/>
                <w:bCs/>
                <w:color w:val="000000"/>
                <w:sz w:val="22"/>
                <w:szCs w:val="20"/>
                <w:highlight w:val="none"/>
              </w:rPr>
              <w:t>并由</w:t>
            </w:r>
            <w:r>
              <w:rPr>
                <w:rFonts w:hint="eastAsia" w:ascii="仿宋" w:hAnsi="仿宋" w:eastAsia="仿宋" w:cs="仿宋"/>
                <w:color w:val="000000"/>
                <w:sz w:val="22"/>
                <w:szCs w:val="20"/>
                <w:highlight w:val="none"/>
              </w:rPr>
              <w:t>法定代表人（负责人）签字</w:t>
            </w:r>
            <w:r>
              <w:rPr>
                <w:rFonts w:hint="eastAsia" w:ascii="仿宋" w:hAnsi="仿宋" w:eastAsia="仿宋" w:cs="仿宋"/>
                <w:b/>
                <w:bCs/>
                <w:color w:val="000000"/>
                <w:sz w:val="22"/>
                <w:szCs w:val="20"/>
                <w:highlight w:val="none"/>
              </w:rPr>
              <w:t>和</w:t>
            </w:r>
            <w:r>
              <w:rPr>
                <w:rFonts w:hint="eastAsia" w:ascii="仿宋" w:hAnsi="仿宋" w:eastAsia="仿宋" w:cs="仿宋"/>
                <w:color w:val="000000"/>
                <w:sz w:val="22"/>
                <w:szCs w:val="20"/>
                <w:highlight w:val="none"/>
              </w:rPr>
              <w:t>其委托代理人</w:t>
            </w:r>
            <w:r>
              <w:rPr>
                <w:rFonts w:hint="eastAsia" w:ascii="仿宋" w:hAnsi="仿宋" w:eastAsia="仿宋" w:cs="仿宋"/>
                <w:b/>
                <w:bCs/>
                <w:color w:val="000000"/>
                <w:sz w:val="22"/>
                <w:szCs w:val="20"/>
                <w:highlight w:val="none"/>
              </w:rPr>
              <w:t>双方</w:t>
            </w:r>
            <w:r>
              <w:rPr>
                <w:rFonts w:hint="eastAsia" w:ascii="仿宋" w:hAnsi="仿宋" w:eastAsia="仿宋" w:cs="仿宋"/>
                <w:bCs/>
                <w:color w:val="000000"/>
                <w:sz w:val="22"/>
                <w:szCs w:val="20"/>
                <w:highlight w:val="none"/>
              </w:rPr>
              <w:t>签字。</w:t>
            </w:r>
          </w:p>
        </w:tc>
      </w:tr>
      <w:tr w14:paraId="36DA97A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727" w:type="dxa"/>
            <w:vMerge w:val="continue"/>
            <w:noWrap w:val="0"/>
            <w:vAlign w:val="center"/>
          </w:tcPr>
          <w:p w14:paraId="77C7A17A">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4B2CA2B3">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5786D39A">
            <w:pPr>
              <w:keepNext w:val="0"/>
              <w:keepLines w:val="0"/>
              <w:suppressLineNumbers w:val="0"/>
              <w:spacing w:before="24" w:beforeAutospacing="0" w:after="24" w:afterAutospacing="0"/>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投标文件的签字、盖章</w:t>
            </w:r>
          </w:p>
        </w:tc>
        <w:tc>
          <w:tcPr>
            <w:tcW w:w="4973" w:type="dxa"/>
            <w:noWrap w:val="0"/>
            <w:vAlign w:val="center"/>
          </w:tcPr>
          <w:p w14:paraId="765DB996">
            <w:pPr>
              <w:pStyle w:val="12"/>
              <w:keepNext w:val="0"/>
              <w:keepLines w:val="0"/>
              <w:suppressLineNumbers w:val="0"/>
              <w:spacing w:before="0" w:beforeAutospacing="0" w:after="0" w:afterAutospacing="0" w:line="240" w:lineRule="auto"/>
              <w:ind w:left="0" w:right="0"/>
              <w:rPr>
                <w:rFonts w:hint="eastAsia" w:ascii="仿宋" w:hAnsi="仿宋" w:eastAsia="仿宋" w:cs="仿宋"/>
                <w:szCs w:val="20"/>
                <w:highlight w:val="none"/>
              </w:rPr>
            </w:pPr>
            <w:r>
              <w:rPr>
                <w:rFonts w:hint="eastAsia" w:ascii="仿宋" w:hAnsi="仿宋" w:eastAsia="仿宋" w:cs="仿宋"/>
                <w:color w:val="000000"/>
                <w:szCs w:val="21"/>
                <w:highlight w:val="none"/>
              </w:rPr>
              <w:t>（1）</w:t>
            </w:r>
            <w:r>
              <w:rPr>
                <w:rFonts w:hint="eastAsia" w:ascii="仿宋" w:hAnsi="仿宋" w:eastAsia="仿宋" w:cs="仿宋"/>
                <w:szCs w:val="20"/>
                <w:highlight w:val="none"/>
              </w:rPr>
              <w:t>投标文件格式中其他有落款的文件，均需加盖公章。</w:t>
            </w:r>
          </w:p>
          <w:p w14:paraId="2199FF2F">
            <w:pPr>
              <w:pStyle w:val="12"/>
              <w:keepNext w:val="0"/>
              <w:keepLines w:val="0"/>
              <w:suppressLineNumbers w:val="0"/>
              <w:spacing w:before="0" w:beforeAutospacing="0" w:after="0" w:afterAutospacing="0" w:line="240" w:lineRule="auto"/>
              <w:ind w:left="0" w:right="0"/>
              <w:rPr>
                <w:rFonts w:hint="default" w:ascii="仿宋" w:hAnsi="仿宋" w:eastAsia="仿宋" w:cs="仿宋"/>
                <w:szCs w:val="20"/>
                <w:highlight w:val="none"/>
              </w:rPr>
            </w:pPr>
            <w:r>
              <w:rPr>
                <w:rFonts w:hint="eastAsia" w:ascii="仿宋" w:hAnsi="仿宋" w:eastAsia="仿宋" w:cs="仿宋"/>
                <w:szCs w:val="20"/>
                <w:highlight w:val="none"/>
              </w:rPr>
              <w:t>（2）投标文件的所有签字处均指手写签字或签名章/印章或CA签名章，不得以打印体代替。</w:t>
            </w:r>
          </w:p>
          <w:p w14:paraId="163894A6">
            <w:pPr>
              <w:pStyle w:val="12"/>
              <w:keepNext w:val="0"/>
              <w:keepLines w:val="0"/>
              <w:suppressLineNumbers w:val="0"/>
              <w:spacing w:before="0" w:beforeAutospacing="0" w:after="0" w:afterAutospacing="0" w:line="240" w:lineRule="auto"/>
              <w:ind w:left="0" w:right="0"/>
              <w:rPr>
                <w:rFonts w:hint="eastAsia" w:ascii="仿宋" w:hAnsi="仿宋" w:eastAsia="仿宋" w:cs="仿宋"/>
                <w:szCs w:val="20"/>
                <w:highlight w:val="none"/>
              </w:rPr>
            </w:pPr>
            <w:r>
              <w:rPr>
                <w:rFonts w:hint="eastAsia" w:ascii="仿宋" w:hAnsi="仿宋" w:eastAsia="仿宋" w:cs="仿宋"/>
                <w:szCs w:val="20"/>
                <w:highlight w:val="none"/>
              </w:rPr>
              <w:t>（3）电子投标文件加盖公章处须使用CA印章。</w:t>
            </w:r>
          </w:p>
        </w:tc>
      </w:tr>
      <w:tr w14:paraId="6CEE61B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075724FA">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2</w:t>
            </w:r>
          </w:p>
        </w:tc>
        <w:tc>
          <w:tcPr>
            <w:tcW w:w="1370" w:type="dxa"/>
            <w:vMerge w:val="restart"/>
            <w:noWrap w:val="0"/>
            <w:vAlign w:val="center"/>
          </w:tcPr>
          <w:p w14:paraId="2BD1538F">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资格评审标准</w:t>
            </w:r>
          </w:p>
        </w:tc>
        <w:tc>
          <w:tcPr>
            <w:tcW w:w="2595" w:type="dxa"/>
            <w:noWrap w:val="0"/>
            <w:vAlign w:val="center"/>
          </w:tcPr>
          <w:p w14:paraId="5BC46FDC">
            <w:pPr>
              <w:keepNext w:val="0"/>
              <w:keepLines w:val="0"/>
              <w:suppressLineNumbers w:val="0"/>
              <w:spacing w:before="24" w:beforeAutospacing="0" w:after="24" w:afterAutospacing="0"/>
              <w:ind w:left="0" w:right="0"/>
              <w:jc w:val="center"/>
              <w:rPr>
                <w:rFonts w:hint="eastAsia" w:ascii="仿宋" w:hAnsi="仿宋" w:eastAsia="仿宋" w:cs="宋体"/>
                <w:color w:val="000000"/>
                <w:kern w:val="0"/>
                <w:szCs w:val="21"/>
                <w:highlight w:val="none"/>
                <w:lang w:eastAsia="zh-CN"/>
              </w:rPr>
            </w:pPr>
            <w:r>
              <w:rPr>
                <w:rFonts w:hint="eastAsia" w:ascii="仿宋" w:hAnsi="仿宋" w:eastAsia="仿宋" w:cs="宋体"/>
                <w:color w:val="000000"/>
                <w:szCs w:val="21"/>
                <w:highlight w:val="none"/>
              </w:rPr>
              <w:t>在中华人民共和国境内依法登记的法人或其他组织，具有独立承担民事责任的能力</w:t>
            </w:r>
            <w:r>
              <w:rPr>
                <w:rFonts w:hint="eastAsia" w:ascii="仿宋" w:hAnsi="仿宋" w:eastAsia="仿宋" w:cs="宋体"/>
                <w:color w:val="000000"/>
                <w:szCs w:val="21"/>
                <w:highlight w:val="none"/>
                <w:lang w:eastAsia="zh-CN"/>
              </w:rPr>
              <w:t>。</w:t>
            </w:r>
          </w:p>
        </w:tc>
        <w:tc>
          <w:tcPr>
            <w:tcW w:w="4973" w:type="dxa"/>
            <w:noWrap w:val="0"/>
            <w:vAlign w:val="top"/>
          </w:tcPr>
          <w:p w14:paraId="6CE4E0C4">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符合第一章“招标公告”要求。</w:t>
            </w:r>
          </w:p>
        </w:tc>
      </w:tr>
      <w:tr w14:paraId="6167BA6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41C0B34A">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370" w:type="dxa"/>
            <w:vMerge w:val="continue"/>
            <w:noWrap w:val="0"/>
            <w:vAlign w:val="center"/>
          </w:tcPr>
          <w:p w14:paraId="6E5E6A44">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2595" w:type="dxa"/>
            <w:noWrap w:val="0"/>
            <w:vAlign w:val="center"/>
          </w:tcPr>
          <w:p w14:paraId="4589F33B">
            <w:pPr>
              <w:keepNext w:val="0"/>
              <w:keepLines w:val="0"/>
              <w:suppressLineNumbers w:val="0"/>
              <w:spacing w:before="24" w:beforeAutospacing="0" w:after="24" w:afterAutospacing="0"/>
              <w:ind w:left="0" w:right="0"/>
              <w:jc w:val="center"/>
              <w:rPr>
                <w:rFonts w:hint="eastAsia" w:ascii="仿宋" w:hAnsi="仿宋" w:eastAsia="仿宋" w:cs="宋体"/>
                <w:color w:val="000000"/>
                <w:szCs w:val="21"/>
                <w:highlight w:val="none"/>
                <w:lang w:eastAsia="zh-CN"/>
              </w:rPr>
            </w:pPr>
            <w:r>
              <w:rPr>
                <w:rFonts w:hint="eastAsia" w:ascii="仿宋" w:hAnsi="仿宋" w:eastAsia="仿宋" w:cs="仿宋"/>
                <w:color w:val="000000"/>
                <w:szCs w:val="21"/>
                <w:highlight w:val="none"/>
              </w:rPr>
              <w:t>具有良好的商业信誉和健全的财务会计制度</w:t>
            </w:r>
            <w:r>
              <w:rPr>
                <w:rFonts w:hint="eastAsia" w:ascii="仿宋" w:hAnsi="仿宋" w:eastAsia="仿宋" w:cs="仿宋"/>
                <w:color w:val="000000"/>
                <w:szCs w:val="21"/>
                <w:highlight w:val="none"/>
                <w:lang w:eastAsia="zh-CN"/>
              </w:rPr>
              <w:t>。</w:t>
            </w:r>
          </w:p>
        </w:tc>
        <w:tc>
          <w:tcPr>
            <w:tcW w:w="4973" w:type="dxa"/>
            <w:noWrap w:val="0"/>
            <w:vAlign w:val="top"/>
          </w:tcPr>
          <w:p w14:paraId="0B3C4F1E">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符合第一章“招标公告”要求。</w:t>
            </w:r>
          </w:p>
        </w:tc>
      </w:tr>
      <w:tr w14:paraId="1B04A6E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5C9D187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06925AB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6384E133">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投标人应具有履行合同所必需的设备和专业技术能力</w:t>
            </w:r>
            <w:r>
              <w:rPr>
                <w:rFonts w:hint="eastAsia" w:ascii="仿宋" w:hAnsi="仿宋" w:eastAsia="仿宋" w:cs="仿宋"/>
                <w:color w:val="000000"/>
                <w:szCs w:val="21"/>
                <w:highlight w:val="none"/>
                <w:lang w:eastAsia="zh-CN"/>
              </w:rPr>
              <w:t>。</w:t>
            </w:r>
          </w:p>
        </w:tc>
        <w:tc>
          <w:tcPr>
            <w:tcW w:w="4973" w:type="dxa"/>
            <w:noWrap w:val="0"/>
            <w:vAlign w:val="center"/>
          </w:tcPr>
          <w:p w14:paraId="637EF993">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符合第一章“招标公告”要求。</w:t>
            </w:r>
          </w:p>
        </w:tc>
      </w:tr>
      <w:tr w14:paraId="7F8864F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0A94C74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1D938D79">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6EC3049F">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rPr>
              <w:t>具有依法缴纳税收和社会保障资金的良好记录</w:t>
            </w:r>
            <w:r>
              <w:rPr>
                <w:rFonts w:hint="eastAsia" w:ascii="仿宋" w:hAnsi="仿宋" w:eastAsia="仿宋" w:cs="仿宋"/>
                <w:color w:val="000000"/>
                <w:szCs w:val="21"/>
                <w:highlight w:val="none"/>
                <w:lang w:eastAsia="zh-CN"/>
              </w:rPr>
              <w:t>。</w:t>
            </w:r>
          </w:p>
        </w:tc>
        <w:tc>
          <w:tcPr>
            <w:tcW w:w="4973" w:type="dxa"/>
            <w:noWrap w:val="0"/>
            <w:vAlign w:val="center"/>
          </w:tcPr>
          <w:p w14:paraId="0DB497CD">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符合第一章“招标公告”要求。</w:t>
            </w:r>
          </w:p>
        </w:tc>
      </w:tr>
      <w:tr w14:paraId="6934523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30C2922F">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7E9BD9D5">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08ABC04A">
            <w:pPr>
              <w:keepNext w:val="0"/>
              <w:keepLines w:val="0"/>
              <w:suppressLineNumbers w:val="0"/>
              <w:spacing w:before="24" w:beforeAutospacing="0" w:after="24" w:afterAutospacing="0"/>
              <w:ind w:left="0" w:right="0"/>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投标人应经营状况良好，且近三年内（2023年1月1日至今）无违法违规记录。</w:t>
            </w:r>
          </w:p>
        </w:tc>
        <w:tc>
          <w:tcPr>
            <w:tcW w:w="4973" w:type="dxa"/>
            <w:noWrap w:val="0"/>
            <w:vAlign w:val="center"/>
          </w:tcPr>
          <w:p w14:paraId="248E5494">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符合第一章“招标公告”要求。</w:t>
            </w:r>
          </w:p>
        </w:tc>
      </w:tr>
      <w:tr w14:paraId="5ADA48F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781D3182">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55041E02">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63830173">
            <w:pPr>
              <w:keepNext w:val="0"/>
              <w:keepLines w:val="0"/>
              <w:suppressLineNumbers w:val="0"/>
              <w:spacing w:before="24" w:beforeAutospacing="0" w:after="24" w:afterAutospacing="0"/>
              <w:ind w:left="0" w:right="0"/>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严禁列入招标人及其所隶属的中国人民保险各级机构的供应商黑名单且在禁入期内的供应商参与采购活动。</w:t>
            </w:r>
          </w:p>
        </w:tc>
        <w:tc>
          <w:tcPr>
            <w:tcW w:w="4973" w:type="dxa"/>
            <w:noWrap w:val="0"/>
            <w:vAlign w:val="center"/>
          </w:tcPr>
          <w:p w14:paraId="46FA761A">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r>
              <w:rPr>
                <w:rFonts w:hint="eastAsia" w:ascii="仿宋" w:hAnsi="仿宋" w:eastAsia="仿宋" w:cs="Monaco"/>
                <w:color w:val="000000"/>
                <w:szCs w:val="21"/>
                <w:highlight w:val="none"/>
              </w:rPr>
              <w:t>符合第一章“招标公告”</w:t>
            </w:r>
            <w:r>
              <w:rPr>
                <w:rFonts w:hint="eastAsia" w:ascii="仿宋" w:hAnsi="仿宋" w:eastAsia="仿宋" w:cs="宋体"/>
                <w:color w:val="000000"/>
                <w:szCs w:val="21"/>
                <w:highlight w:val="none"/>
              </w:rPr>
              <w:t>要求。</w:t>
            </w:r>
          </w:p>
        </w:tc>
      </w:tr>
      <w:tr w14:paraId="436BE33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4B117695">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0F6AAC0B">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060FAEA3">
            <w:pPr>
              <w:keepNext w:val="0"/>
              <w:keepLines w:val="0"/>
              <w:suppressLineNumbers w:val="0"/>
              <w:spacing w:before="24" w:beforeAutospacing="0" w:after="24" w:afterAutospacing="0"/>
              <w:ind w:left="0" w:right="0"/>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单位负责人为同一人或存在控股、管理关系的不同单位，不得参加同一标段/标包投标或未划分标段/标包的同一招标项目投标。</w:t>
            </w:r>
          </w:p>
        </w:tc>
        <w:tc>
          <w:tcPr>
            <w:tcW w:w="4973" w:type="dxa"/>
            <w:noWrap w:val="0"/>
            <w:vAlign w:val="center"/>
          </w:tcPr>
          <w:p w14:paraId="0C58DA68">
            <w:pPr>
              <w:keepNext w:val="0"/>
              <w:keepLines w:val="0"/>
              <w:suppressLineNumbers w:val="0"/>
              <w:spacing w:before="24" w:beforeAutospacing="0" w:after="24" w:afterAutospacing="0"/>
              <w:ind w:left="0" w:leftChars="0" w:right="0" w:rightChars="0"/>
              <w:jc w:val="left"/>
              <w:rPr>
                <w:rFonts w:hint="eastAsia" w:ascii="仿宋" w:hAnsi="仿宋" w:eastAsia="仿宋" w:cs="宋体"/>
                <w:color w:val="000000"/>
                <w:kern w:val="2"/>
                <w:sz w:val="21"/>
                <w:szCs w:val="21"/>
                <w:highlight w:val="none"/>
                <w:lang w:val="en-US" w:eastAsia="zh-CN" w:bidi="ar-SA"/>
              </w:rPr>
            </w:pPr>
            <w:r>
              <w:rPr>
                <w:rFonts w:hint="eastAsia" w:ascii="仿宋" w:hAnsi="仿宋" w:eastAsia="仿宋" w:cs="Monaco"/>
                <w:color w:val="000000"/>
                <w:szCs w:val="21"/>
                <w:highlight w:val="none"/>
              </w:rPr>
              <w:t>符合第一章“招标公告”</w:t>
            </w:r>
            <w:r>
              <w:rPr>
                <w:rFonts w:hint="eastAsia" w:ascii="仿宋" w:hAnsi="仿宋" w:eastAsia="仿宋" w:cs="宋体"/>
                <w:color w:val="000000"/>
                <w:szCs w:val="21"/>
                <w:highlight w:val="none"/>
              </w:rPr>
              <w:t>要求。</w:t>
            </w:r>
          </w:p>
        </w:tc>
      </w:tr>
      <w:tr w14:paraId="44DDED0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5C4909A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06B3BCBC">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5D9E3726">
            <w:pPr>
              <w:keepNext w:val="0"/>
              <w:keepLines w:val="0"/>
              <w:suppressLineNumbers w:val="0"/>
              <w:spacing w:before="24" w:beforeAutospacing="0" w:after="24" w:afterAutospacing="0"/>
              <w:ind w:left="0" w:right="0"/>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本项目接受/不接受联合体投标。</w:t>
            </w:r>
          </w:p>
        </w:tc>
        <w:tc>
          <w:tcPr>
            <w:tcW w:w="4973" w:type="dxa"/>
            <w:noWrap w:val="0"/>
            <w:vAlign w:val="top"/>
          </w:tcPr>
          <w:p w14:paraId="2F32FD0F">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符合第一章“招标公告”要求。</w:t>
            </w:r>
          </w:p>
        </w:tc>
      </w:tr>
      <w:tr w14:paraId="3D9AEEC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727" w:type="dxa"/>
            <w:vMerge w:val="continue"/>
            <w:noWrap w:val="0"/>
            <w:vAlign w:val="center"/>
          </w:tcPr>
          <w:p w14:paraId="7F4005D6">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6480984E">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38815CED">
            <w:pPr>
              <w:keepNext w:val="0"/>
              <w:keepLines w:val="0"/>
              <w:suppressLineNumbers w:val="0"/>
              <w:spacing w:before="24" w:beforeAutospacing="0" w:after="24" w:afterAutospacing="0"/>
              <w:ind w:left="0" w:right="0"/>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其他资格要求</w:t>
            </w:r>
          </w:p>
        </w:tc>
        <w:tc>
          <w:tcPr>
            <w:tcW w:w="4973" w:type="dxa"/>
            <w:noWrap w:val="0"/>
            <w:vAlign w:val="top"/>
          </w:tcPr>
          <w:p w14:paraId="1DEE42CE">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符合第一章“招标公告”要求。</w:t>
            </w:r>
          </w:p>
        </w:tc>
      </w:tr>
      <w:tr w14:paraId="4ACB3D63">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restart"/>
            <w:noWrap w:val="0"/>
            <w:vAlign w:val="center"/>
          </w:tcPr>
          <w:p w14:paraId="583A1D40">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3</w:t>
            </w:r>
          </w:p>
        </w:tc>
        <w:tc>
          <w:tcPr>
            <w:tcW w:w="1370" w:type="dxa"/>
            <w:vMerge w:val="restart"/>
            <w:noWrap w:val="0"/>
            <w:vAlign w:val="center"/>
          </w:tcPr>
          <w:p w14:paraId="690FF8E4">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响应性评审标准</w:t>
            </w:r>
          </w:p>
        </w:tc>
        <w:tc>
          <w:tcPr>
            <w:tcW w:w="2595" w:type="dxa"/>
            <w:noWrap w:val="0"/>
            <w:vAlign w:val="center"/>
          </w:tcPr>
          <w:p w14:paraId="22B3C3B7">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lang w:val="en-US" w:eastAsia="zh-CN"/>
              </w:rPr>
            </w:pPr>
            <w:r>
              <w:rPr>
                <w:rFonts w:hint="eastAsia" w:ascii="仿宋" w:hAnsi="仿宋" w:eastAsia="仿宋" w:cs="仿宋"/>
                <w:color w:val="000000"/>
                <w:szCs w:val="21"/>
                <w:highlight w:val="none"/>
              </w:rPr>
              <w:t>投标函</w:t>
            </w:r>
          </w:p>
        </w:tc>
        <w:tc>
          <w:tcPr>
            <w:tcW w:w="4973" w:type="dxa"/>
            <w:noWrap w:val="0"/>
            <w:vAlign w:val="center"/>
          </w:tcPr>
          <w:p w14:paraId="4538CF6F">
            <w:pPr>
              <w:keepNext w:val="0"/>
              <w:keepLines w:val="0"/>
              <w:suppressLineNumbers w:val="0"/>
              <w:spacing w:before="0" w:beforeAutospacing="0" w:after="0" w:afterAutospacing="0" w:line="360" w:lineRule="auto"/>
              <w:ind w:left="0" w:leftChars="0" w:right="0" w:rightChars="0"/>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除填写投标人名称、项目名称外，未修改原文内容。</w:t>
            </w:r>
          </w:p>
        </w:tc>
      </w:tr>
      <w:tr w14:paraId="1289CB7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43923011">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370" w:type="dxa"/>
            <w:vMerge w:val="continue"/>
            <w:noWrap w:val="0"/>
            <w:vAlign w:val="center"/>
          </w:tcPr>
          <w:p w14:paraId="5A8E583D">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2595" w:type="dxa"/>
            <w:noWrap w:val="0"/>
            <w:vAlign w:val="center"/>
          </w:tcPr>
          <w:p w14:paraId="4142B933">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供应商行为准则承诺书</w:t>
            </w:r>
          </w:p>
        </w:tc>
        <w:tc>
          <w:tcPr>
            <w:tcW w:w="4973" w:type="dxa"/>
            <w:noWrap w:val="0"/>
            <w:vAlign w:val="center"/>
          </w:tcPr>
          <w:p w14:paraId="401122CE">
            <w:pPr>
              <w:keepNext w:val="0"/>
              <w:keepLines w:val="0"/>
              <w:suppressLineNumbers w:val="0"/>
              <w:spacing w:before="0" w:beforeAutospacing="0" w:after="0" w:afterAutospacing="0" w:line="360" w:lineRule="auto"/>
              <w:ind w:left="0" w:leftChars="0" w:right="0" w:rightChars="0"/>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除投标人填写内容外，未修改原文内容。</w:t>
            </w:r>
          </w:p>
        </w:tc>
      </w:tr>
      <w:tr w14:paraId="6DACC98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2D1E8412">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370" w:type="dxa"/>
            <w:vMerge w:val="continue"/>
            <w:noWrap w:val="0"/>
            <w:vAlign w:val="center"/>
          </w:tcPr>
          <w:p w14:paraId="52625FE8">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2595" w:type="dxa"/>
            <w:noWrap w:val="0"/>
            <w:vAlign w:val="center"/>
          </w:tcPr>
          <w:p w14:paraId="7ED604DC">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供应商廉洁诚信承诺书</w:t>
            </w:r>
          </w:p>
        </w:tc>
        <w:tc>
          <w:tcPr>
            <w:tcW w:w="4973" w:type="dxa"/>
            <w:noWrap w:val="0"/>
            <w:vAlign w:val="center"/>
          </w:tcPr>
          <w:p w14:paraId="6DC14DAA">
            <w:pPr>
              <w:keepNext w:val="0"/>
              <w:keepLines w:val="0"/>
              <w:suppressLineNumbers w:val="0"/>
              <w:spacing w:before="0" w:beforeAutospacing="0" w:after="0" w:afterAutospacing="0" w:line="360" w:lineRule="auto"/>
              <w:ind w:left="0" w:leftChars="0" w:right="0" w:rightChars="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除投标人填写内容外，未修改原文内容。</w:t>
            </w:r>
          </w:p>
        </w:tc>
      </w:tr>
      <w:tr w14:paraId="4096A76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727" w:type="dxa"/>
            <w:vMerge w:val="continue"/>
            <w:noWrap w:val="0"/>
            <w:vAlign w:val="center"/>
          </w:tcPr>
          <w:p w14:paraId="486797FC">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370" w:type="dxa"/>
            <w:vMerge w:val="continue"/>
            <w:noWrap w:val="0"/>
            <w:vAlign w:val="center"/>
          </w:tcPr>
          <w:p w14:paraId="57F57936">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2595" w:type="dxa"/>
            <w:noWrap w:val="0"/>
            <w:vAlign w:val="center"/>
          </w:tcPr>
          <w:p w14:paraId="0976BD6C">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投标一览表</w:t>
            </w:r>
          </w:p>
        </w:tc>
        <w:tc>
          <w:tcPr>
            <w:tcW w:w="4973" w:type="dxa"/>
            <w:noWrap w:val="0"/>
            <w:vAlign w:val="center"/>
          </w:tcPr>
          <w:p w14:paraId="15111E78">
            <w:pPr>
              <w:keepNext w:val="0"/>
              <w:keepLines w:val="0"/>
              <w:suppressLineNumbers w:val="0"/>
              <w:spacing w:before="0" w:beforeAutospacing="0" w:after="0" w:afterAutospacing="0" w:line="360" w:lineRule="auto"/>
              <w:ind w:left="0" w:leftChars="0" w:right="0" w:rightChars="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报价项未缺省或回避填写，符合第二章“投标人须知”规定。</w:t>
            </w:r>
          </w:p>
        </w:tc>
      </w:tr>
      <w:tr w14:paraId="47395B80">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7E7B1DED">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00E4D7DE">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3C7D88F9">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偏离表应答</w:t>
            </w:r>
          </w:p>
        </w:tc>
        <w:tc>
          <w:tcPr>
            <w:tcW w:w="4973" w:type="dxa"/>
            <w:noWrap w:val="0"/>
            <w:vAlign w:val="center"/>
          </w:tcPr>
          <w:p w14:paraId="4A1A2B72">
            <w:pPr>
              <w:keepNext w:val="0"/>
              <w:keepLines w:val="0"/>
              <w:suppressLineNumbers w:val="0"/>
              <w:spacing w:before="0" w:beforeAutospacing="0" w:after="0" w:afterAutospacing="0" w:line="360" w:lineRule="auto"/>
              <w:ind w:left="0" w:leftChars="0" w:right="0" w:rightChars="0"/>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《投标人须知应答偏离表》、《合同条款应答偏离表》、《技术需求书应答偏离表》进行了符合投标人须知的应答。</w:t>
            </w:r>
          </w:p>
        </w:tc>
      </w:tr>
      <w:tr w14:paraId="277BA29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727" w:type="dxa"/>
            <w:vMerge w:val="continue"/>
            <w:noWrap w:val="0"/>
            <w:vAlign w:val="center"/>
          </w:tcPr>
          <w:p w14:paraId="3145C47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370" w:type="dxa"/>
            <w:vMerge w:val="continue"/>
            <w:noWrap w:val="0"/>
            <w:vAlign w:val="center"/>
          </w:tcPr>
          <w:p w14:paraId="1FBE5E09">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2595" w:type="dxa"/>
            <w:noWrap w:val="0"/>
            <w:vAlign w:val="center"/>
          </w:tcPr>
          <w:p w14:paraId="69212CD2">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其他实质性响应情况</w:t>
            </w:r>
          </w:p>
        </w:tc>
        <w:tc>
          <w:tcPr>
            <w:tcW w:w="4973" w:type="dxa"/>
            <w:noWrap w:val="0"/>
            <w:vAlign w:val="center"/>
          </w:tcPr>
          <w:p w14:paraId="37DEC2CF">
            <w:pPr>
              <w:keepNext w:val="0"/>
              <w:keepLines w:val="0"/>
              <w:suppressLineNumbers w:val="0"/>
              <w:spacing w:before="0" w:beforeAutospacing="0" w:after="0" w:afterAutospacing="0"/>
              <w:ind w:left="0" w:leftChars="0" w:right="0" w:rightChars="0"/>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u w:val="single"/>
              </w:rPr>
              <w:t>招标文件中标识“★”号的条款、注明“投标将被否决”的条款</w:t>
            </w:r>
            <w:r>
              <w:rPr>
                <w:rFonts w:hint="eastAsia" w:ascii="仿宋" w:hAnsi="仿宋" w:eastAsia="仿宋" w:cs="宋体"/>
                <w:color w:val="000000"/>
                <w:szCs w:val="21"/>
                <w:highlight w:val="none"/>
              </w:rPr>
              <w:t>均为实质性条款，</w:t>
            </w:r>
            <w:r>
              <w:rPr>
                <w:rFonts w:hint="eastAsia" w:ascii="仿宋" w:hAnsi="仿宋" w:eastAsia="仿宋" w:cs="宋体"/>
                <w:b/>
                <w:color w:val="000000"/>
                <w:szCs w:val="21"/>
                <w:highlight w:val="none"/>
              </w:rPr>
              <w:t>不满足任意一项实质性条款的投标将被否决</w:t>
            </w:r>
          </w:p>
        </w:tc>
      </w:tr>
    </w:tbl>
    <w:p w14:paraId="3D33ED17">
      <w:pPr>
        <w:pStyle w:val="5"/>
        <w:ind w:firstLine="0" w:firstLineChars="0"/>
        <w:rPr>
          <w:rFonts w:ascii="仿宋" w:hAnsi="仿宋" w:cs="宋体"/>
          <w:color w:val="000000"/>
          <w:szCs w:val="24"/>
          <w:highlight w:val="none"/>
        </w:rPr>
      </w:pPr>
      <w:bookmarkStart w:id="609" w:name="_Toc109124291"/>
      <w:r>
        <w:rPr>
          <w:rFonts w:hint="default" w:ascii="仿宋" w:hAnsi="仿宋" w:cs="宋体"/>
          <w:color w:val="000000"/>
          <w:szCs w:val="24"/>
          <w:highlight w:val="none"/>
        </w:rPr>
        <w:br w:type="page"/>
      </w:r>
      <w:bookmarkStart w:id="610" w:name="_Toc31474"/>
      <w:r>
        <w:rPr>
          <w:rStyle w:val="49"/>
          <w:b/>
        </w:rPr>
        <w:t>2、否决投标情形汇总</w:t>
      </w:r>
      <w:bookmarkEnd w:id="609"/>
      <w:bookmarkEnd w:id="610"/>
    </w:p>
    <w:tbl>
      <w:tblPr>
        <w:tblStyle w:val="32"/>
        <w:tblW w:w="4835" w:type="pct"/>
        <w:jc w:val="center"/>
        <w:tblLayout w:type="autofit"/>
        <w:tblCellMar>
          <w:top w:w="0" w:type="dxa"/>
          <w:left w:w="108" w:type="dxa"/>
          <w:bottom w:w="0" w:type="dxa"/>
          <w:right w:w="108" w:type="dxa"/>
        </w:tblCellMar>
      </w:tblPr>
      <w:tblGrid>
        <w:gridCol w:w="1309"/>
        <w:gridCol w:w="1744"/>
        <w:gridCol w:w="6476"/>
      </w:tblGrid>
      <w:tr w14:paraId="3356B1C4">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7BE73351">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章节</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19A360A6">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内容</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67BF72E5">
            <w:pPr>
              <w:keepNext w:val="0"/>
              <w:keepLines w:val="0"/>
              <w:suppressLineNumbers w:val="0"/>
              <w:autoSpaceDE w:val="0"/>
              <w:autoSpaceDN w:val="0"/>
              <w:spacing w:before="0" w:beforeAutospacing="0" w:after="0" w:afterAutospacing="0"/>
              <w:ind w:left="0" w:right="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条款</w:t>
            </w:r>
          </w:p>
        </w:tc>
      </w:tr>
      <w:tr w14:paraId="626098E5">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17F81AAE">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第一章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519C9F0F">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招标公告</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1B048715">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不完全符合“三、投标人资格要求”的投标将被否决</w:t>
            </w:r>
          </w:p>
        </w:tc>
      </w:tr>
      <w:tr w14:paraId="63418F8C">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1CB18189">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第二章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6FAADAF3">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投标人须知</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32906097">
            <w:pPr>
              <w:keepNext w:val="0"/>
              <w:keepLines w:val="0"/>
              <w:suppressLineNumbers w:val="0"/>
              <w:autoSpaceDE w:val="0"/>
              <w:autoSpaceDN w:val="0"/>
              <w:spacing w:before="0" w:beforeAutospacing="0" w:after="0" w:afterAutospacing="0"/>
              <w:ind w:left="0" w:right="0"/>
              <w:rPr>
                <w:rFonts w:hint="eastAsia" w:ascii="仿宋" w:hAnsi="仿宋" w:eastAsia="仿宋" w:cs="宋体"/>
                <w:b/>
                <w:color w:val="000000"/>
                <w:szCs w:val="21"/>
                <w:highlight w:val="none"/>
              </w:rPr>
            </w:pPr>
            <w:r>
              <w:rPr>
                <w:rFonts w:hint="eastAsia" w:ascii="仿宋" w:hAnsi="仿宋" w:eastAsia="仿宋" w:cs="宋体"/>
                <w:color w:val="000000"/>
                <w:szCs w:val="21"/>
                <w:highlight w:val="none"/>
              </w:rPr>
              <w:t xml:space="preserve">2.1.3 </w:t>
            </w:r>
            <w:r>
              <w:rPr>
                <w:rFonts w:hint="eastAsia" w:ascii="仿宋" w:hAnsi="仿宋" w:eastAsia="仿宋" w:cs="宋体"/>
                <w:color w:val="000000"/>
                <w:szCs w:val="21"/>
                <w:highlight w:val="none"/>
                <w:u w:val="single"/>
              </w:rPr>
              <w:t>招标文件中标识“★”条款、注明“投标将被否决”的条款</w:t>
            </w:r>
            <w:r>
              <w:rPr>
                <w:rFonts w:hint="eastAsia" w:ascii="仿宋" w:hAnsi="仿宋" w:eastAsia="仿宋" w:cs="宋体"/>
                <w:color w:val="000000"/>
                <w:szCs w:val="21"/>
                <w:highlight w:val="none"/>
              </w:rPr>
              <w:t>，均为实质性条款，</w:t>
            </w:r>
            <w:r>
              <w:rPr>
                <w:rFonts w:hint="eastAsia" w:ascii="仿宋" w:hAnsi="仿宋" w:eastAsia="仿宋" w:cs="宋体"/>
                <w:b/>
                <w:color w:val="000000"/>
                <w:szCs w:val="21"/>
                <w:highlight w:val="none"/>
              </w:rPr>
              <w:t>不满足任意一项实质性条款的投标将被否决。</w:t>
            </w:r>
          </w:p>
          <w:p w14:paraId="60EC505E">
            <w:pPr>
              <w:pStyle w:val="12"/>
              <w:keepNext w:val="0"/>
              <w:keepLines w:val="0"/>
              <w:suppressLineNumbers w:val="0"/>
              <w:spacing w:before="0" w:beforeAutospacing="0" w:afterAutospacing="0"/>
              <w:ind w:left="0" w:right="0"/>
              <w:rPr>
                <w:rFonts w:hint="default" w:ascii="Times New Roman" w:hAnsi="Times New Roman" w:cs="Times New Roman"/>
                <w:szCs w:val="20"/>
                <w:highlight w:val="none"/>
              </w:rPr>
            </w:pPr>
            <w:r>
              <w:rPr>
                <w:rFonts w:hint="eastAsia" w:ascii="仿宋" w:hAnsi="仿宋" w:eastAsia="仿宋" w:cs="宋体"/>
                <w:color w:val="000000"/>
                <w:szCs w:val="21"/>
                <w:highlight w:val="none"/>
              </w:rPr>
              <w:t>3.1</w:t>
            </w:r>
            <w:r>
              <w:rPr>
                <w:rFonts w:hint="eastAsia" w:ascii="仿宋" w:hAnsi="仿宋" w:eastAsia="仿宋" w:cs="宋体"/>
                <w:b/>
                <w:color w:val="000000"/>
                <w:szCs w:val="21"/>
                <w:highlight w:val="none"/>
              </w:rPr>
              <w:t>★所有纸质报价文件须单独成册并密封，电子投标文件的报价部分须单独上传，不得与商务、技术文件合并装订或上传，商务、技术文件不得有任何明示、暗示投标报价的内容，否则投标将被否决。</w:t>
            </w:r>
          </w:p>
          <w:p w14:paraId="0F189AD4">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3.2.2 投标人应认真阅读招标文件中所有的事项、格式、条款和技术规范等。投标人没有按照招标文件要求递交全部资料，或者投标人没有对招标文件在各方面都作出实质性响应是投标人的风险，</w:t>
            </w:r>
            <w:r>
              <w:rPr>
                <w:rFonts w:hint="eastAsia" w:ascii="仿宋" w:hAnsi="仿宋" w:eastAsia="仿宋" w:cs="仿宋"/>
                <w:b/>
                <w:color w:val="000000"/>
                <w:szCs w:val="21"/>
                <w:highlight w:val="none"/>
              </w:rPr>
              <w:t>并可能导致其投标被否决</w:t>
            </w:r>
            <w:r>
              <w:rPr>
                <w:rFonts w:hint="eastAsia" w:ascii="仿宋" w:hAnsi="仿宋" w:eastAsia="仿宋" w:cs="仿宋"/>
                <w:color w:val="000000"/>
                <w:szCs w:val="21"/>
                <w:highlight w:val="none"/>
              </w:rPr>
              <w:t>。</w:t>
            </w:r>
          </w:p>
          <w:p w14:paraId="08D532A9">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3.3.4 招标人设有最高投标限价的，投标人的投标报价不得超过最高投标限价，</w:t>
            </w:r>
            <w:r>
              <w:rPr>
                <w:rFonts w:hint="eastAsia" w:ascii="仿宋" w:hAnsi="仿宋" w:eastAsia="仿宋" w:cs="仿宋"/>
                <w:b/>
                <w:color w:val="000000"/>
                <w:szCs w:val="21"/>
                <w:highlight w:val="none"/>
              </w:rPr>
              <w:t>否则其投标将被否决。</w:t>
            </w:r>
          </w:p>
          <w:p w14:paraId="2C5F8D7D">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3.3.5（2）投标人应根据技术规范书的要求并遵照“第六章 投标文件格式”给出的投标一览表、分项报价表进行报价，不得缺省或回避填写，</w:t>
            </w:r>
            <w:r>
              <w:rPr>
                <w:rFonts w:hint="eastAsia" w:ascii="仿宋" w:hAnsi="仿宋" w:eastAsia="仿宋" w:cs="仿宋"/>
                <w:b/>
                <w:color w:val="000000"/>
                <w:szCs w:val="21"/>
                <w:highlight w:val="none"/>
              </w:rPr>
              <w:t>否则视为非实质性响应，投标将被否决。</w:t>
            </w:r>
          </w:p>
          <w:p w14:paraId="1F247BAD">
            <w:pPr>
              <w:keepNext w:val="0"/>
              <w:keepLines w:val="0"/>
              <w:suppressLineNumbers w:val="0"/>
              <w:autoSpaceDE w:val="0"/>
              <w:autoSpaceDN w:val="0"/>
              <w:spacing w:before="0" w:beforeAutospacing="0" w:after="0" w:afterAutospacing="0"/>
              <w:ind w:left="0" w:right="0"/>
              <w:rPr>
                <w:rFonts w:hint="eastAsia" w:ascii="仿宋" w:hAnsi="仿宋" w:eastAsia="仿宋" w:cs="仿宋"/>
                <w:b/>
                <w:color w:val="000000"/>
                <w:szCs w:val="21"/>
                <w:highlight w:val="none"/>
              </w:rPr>
            </w:pPr>
            <w:r>
              <w:rPr>
                <w:rFonts w:hint="eastAsia" w:ascii="仿宋" w:hAnsi="仿宋" w:eastAsia="仿宋" w:cs="仿宋"/>
                <w:color w:val="000000"/>
                <w:szCs w:val="21"/>
                <w:highlight w:val="none"/>
              </w:rPr>
              <w:t>3.4.1 投标人承诺的投标有效期必须不短于招标文件规定的投标有效期，</w:t>
            </w:r>
            <w:r>
              <w:rPr>
                <w:rFonts w:hint="eastAsia" w:ascii="仿宋" w:hAnsi="仿宋" w:eastAsia="仿宋" w:cs="仿宋"/>
                <w:b/>
                <w:color w:val="000000"/>
                <w:szCs w:val="21"/>
                <w:highlight w:val="none"/>
              </w:rPr>
              <w:t>否则将构成对招标文件的非实质性响应，投标将被否决。</w:t>
            </w:r>
          </w:p>
          <w:p w14:paraId="63A7BC40">
            <w:pPr>
              <w:keepNext w:val="0"/>
              <w:keepLines w:val="0"/>
              <w:suppressLineNumbers w:val="0"/>
              <w:autoSpaceDE w:val="0"/>
              <w:autoSpaceDN w:val="0"/>
              <w:spacing w:before="0" w:beforeAutospacing="0" w:after="0" w:afterAutospacing="0"/>
              <w:ind w:left="0" w:right="0"/>
              <w:rPr>
                <w:rFonts w:hint="eastAsia" w:ascii="Times New Roman" w:hAnsi="Times New Roman" w:cs="Times New Roman"/>
                <w:szCs w:val="20"/>
                <w:highlight w:val="none"/>
              </w:rPr>
            </w:pPr>
            <w:r>
              <w:rPr>
                <w:rFonts w:hint="eastAsia" w:ascii="仿宋" w:hAnsi="仿宋" w:eastAsia="仿宋" w:cs="仿宋"/>
                <w:color w:val="000000"/>
                <w:szCs w:val="21"/>
                <w:highlight w:val="none"/>
              </w:rPr>
              <w:t>3.5.</w:t>
            </w:r>
            <w:r>
              <w:rPr>
                <w:rFonts w:hint="default" w:ascii="仿宋" w:hAnsi="仿宋" w:eastAsia="仿宋" w:cs="仿宋"/>
                <w:color w:val="000000"/>
                <w:szCs w:val="21"/>
                <w:highlight w:val="none"/>
              </w:rPr>
              <w:t>2</w:t>
            </w:r>
            <w:r>
              <w:rPr>
                <w:rFonts w:hint="eastAsia" w:ascii="仿宋" w:hAnsi="仿宋" w:eastAsia="仿宋" w:cs="仿宋"/>
                <w:color w:val="000000"/>
                <w:szCs w:val="21"/>
                <w:highlight w:val="none"/>
              </w:rPr>
              <w:t>（3）未在投标文件递交截止时间前提交投标保证</w:t>
            </w:r>
            <w:r>
              <w:rPr>
                <w:rFonts w:hint="eastAsia" w:ascii="仿宋" w:hAnsi="仿宋" w:eastAsia="仿宋" w:cs="仿宋"/>
                <w:color w:val="000000"/>
                <w:szCs w:val="21"/>
                <w:highlight w:val="none"/>
                <w:lang w:val="en-US" w:eastAsia="zh-CN"/>
              </w:rPr>
              <w:t>金</w:t>
            </w:r>
            <w:r>
              <w:rPr>
                <w:rFonts w:hint="eastAsia" w:ascii="仿宋" w:hAnsi="仿宋" w:eastAsia="仿宋" w:cs="仿宋"/>
                <w:color w:val="000000"/>
                <w:szCs w:val="21"/>
                <w:highlight w:val="none"/>
              </w:rPr>
              <w:t>的或者提交的投标保证</w:t>
            </w:r>
            <w:r>
              <w:rPr>
                <w:rFonts w:hint="eastAsia" w:ascii="仿宋" w:hAnsi="仿宋" w:eastAsia="仿宋" w:cs="仿宋"/>
                <w:color w:val="000000"/>
                <w:szCs w:val="21"/>
                <w:highlight w:val="none"/>
                <w:lang w:val="en-US" w:eastAsia="zh-CN"/>
              </w:rPr>
              <w:t>金</w:t>
            </w:r>
            <w:r>
              <w:rPr>
                <w:rFonts w:hint="eastAsia" w:ascii="仿宋" w:hAnsi="仿宋" w:eastAsia="仿宋" w:cs="仿宋"/>
                <w:color w:val="000000"/>
                <w:szCs w:val="21"/>
                <w:highlight w:val="none"/>
              </w:rPr>
              <w:t>有瑕疵的，</w:t>
            </w:r>
            <w:r>
              <w:rPr>
                <w:rFonts w:hint="eastAsia" w:ascii="仿宋" w:hAnsi="仿宋" w:eastAsia="仿宋" w:cs="仿宋"/>
                <w:b/>
                <w:color w:val="000000"/>
                <w:szCs w:val="21"/>
                <w:highlight w:val="none"/>
              </w:rPr>
              <w:t>投标将被否决</w:t>
            </w:r>
            <w:r>
              <w:rPr>
                <w:rFonts w:hint="eastAsia" w:ascii="仿宋" w:hAnsi="仿宋" w:eastAsia="仿宋" w:cs="仿宋"/>
                <w:color w:val="000000"/>
                <w:szCs w:val="21"/>
                <w:highlight w:val="none"/>
              </w:rPr>
              <w:t>。</w:t>
            </w:r>
          </w:p>
        </w:tc>
      </w:tr>
      <w:tr w14:paraId="64C7B271">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1D6B797C">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第三章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7B26F0C4">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评标办法</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719641A4">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3.1.1有一项不符合初步评审标准的，评标委员会</w:t>
            </w:r>
            <w:r>
              <w:rPr>
                <w:rFonts w:hint="eastAsia" w:ascii="仿宋" w:hAnsi="仿宋" w:eastAsia="仿宋" w:cs="仿宋"/>
                <w:b/>
                <w:bCs/>
                <w:color w:val="000000"/>
                <w:szCs w:val="21"/>
                <w:highlight w:val="none"/>
              </w:rPr>
              <w:t>应当否决其投标</w:t>
            </w:r>
            <w:r>
              <w:rPr>
                <w:rFonts w:hint="eastAsia" w:ascii="仿宋" w:hAnsi="仿宋" w:eastAsia="仿宋" w:cs="仿宋"/>
                <w:color w:val="000000"/>
                <w:szCs w:val="21"/>
                <w:highlight w:val="none"/>
              </w:rPr>
              <w:t>。</w:t>
            </w:r>
          </w:p>
          <w:p w14:paraId="6CEB95E6">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bookmarkStart w:id="611" w:name="_Toc71192015"/>
            <w:bookmarkStart w:id="612" w:name="_Toc109124292"/>
            <w:r>
              <w:rPr>
                <w:rFonts w:hint="eastAsia" w:ascii="仿宋" w:hAnsi="仿宋" w:eastAsia="仿宋" w:cs="仿宋"/>
                <w:color w:val="000000"/>
                <w:szCs w:val="21"/>
                <w:highlight w:val="none"/>
              </w:rPr>
              <w:t>3.1.2投标人有以下情形之一的，评标委员会</w:t>
            </w:r>
            <w:r>
              <w:rPr>
                <w:rFonts w:hint="eastAsia" w:ascii="仿宋" w:hAnsi="仿宋" w:eastAsia="仿宋" w:cs="仿宋"/>
                <w:b/>
                <w:bCs/>
                <w:color w:val="000000"/>
                <w:szCs w:val="21"/>
                <w:highlight w:val="none"/>
              </w:rPr>
              <w:t>应当否决其投标</w:t>
            </w:r>
            <w:r>
              <w:rPr>
                <w:rFonts w:hint="eastAsia" w:ascii="仿宋" w:hAnsi="仿宋" w:eastAsia="仿宋" w:cs="仿宋"/>
                <w:color w:val="000000"/>
                <w:szCs w:val="21"/>
                <w:highlight w:val="none"/>
              </w:rPr>
              <w:t>：</w:t>
            </w:r>
            <w:bookmarkEnd w:id="611"/>
            <w:bookmarkEnd w:id="612"/>
          </w:p>
          <w:p w14:paraId="20E6D1A4">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（1）按照招标公告要求已经递交电子投标文件，但未按时递交纸质投标文件；</w:t>
            </w:r>
          </w:p>
          <w:p w14:paraId="505260DF">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（2）投标文件未经投标单位盖章或单位负责人签字；</w:t>
            </w:r>
          </w:p>
          <w:p w14:paraId="0F2D07A8">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（3）允许联合体投标的，投标联合体没有递交共同投标协议；</w:t>
            </w:r>
          </w:p>
          <w:p w14:paraId="34302E75">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（4）投标人不符合国家或者招标文件规定的资格条件；</w:t>
            </w:r>
          </w:p>
          <w:p w14:paraId="0BBCFBBA">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（5）同一投标人提交两个以上不同的投标文件或者投标报价，但招标文件要求提交备选投标的除外；</w:t>
            </w:r>
          </w:p>
          <w:p w14:paraId="1BD58DF0">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（6）投标报价低于成本或者高于招标文件设定的最高投标限价；</w:t>
            </w:r>
          </w:p>
          <w:p w14:paraId="1B970F36">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（7）投标文件未对招标文件的实质性要求和条件作出响应； </w:t>
            </w:r>
          </w:p>
          <w:p w14:paraId="5E9811F1">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（8）投标人有串通投标、弄虚作假、行贿等违法行为；</w:t>
            </w:r>
          </w:p>
          <w:p w14:paraId="02CC7736">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（9）不接受或不确认因算术性错误进行的价格修正；</w:t>
            </w:r>
          </w:p>
          <w:p w14:paraId="6855EA60">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（10）投标文件附有招标人不能接受的条件；</w:t>
            </w:r>
          </w:p>
          <w:p w14:paraId="66F3B2CF">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（11）不符合招标文件中规定的其他实质性要求。</w:t>
            </w:r>
          </w:p>
          <w:p w14:paraId="61C91B72">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3.1.3投标报价有算术错误的，评标委员会按照以下原则对投标报价进行修正，修正的价格经投标人书面确认后具有约束力。投标人不接受或不确认修正后价格的，</w:t>
            </w:r>
            <w:r>
              <w:rPr>
                <w:rFonts w:hint="eastAsia" w:ascii="仿宋" w:hAnsi="仿宋" w:eastAsia="仿宋" w:cs="仿宋"/>
                <w:b/>
                <w:bCs/>
                <w:color w:val="000000"/>
                <w:szCs w:val="21"/>
                <w:highlight w:val="none"/>
              </w:rPr>
              <w:t>评标委员会应当否决其投标。</w:t>
            </w:r>
          </w:p>
          <w:p w14:paraId="7D77E518">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（1） 投标文件中的大写金额与小写金额不一致的，以大写金额为准；</w:t>
            </w:r>
          </w:p>
          <w:p w14:paraId="39DF98D8">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（2） 总价金额与根据单价计算出的结果不一致的，以单价金额为准修正总价，但单价金额小数点有明显错误的除外。</w:t>
            </w:r>
          </w:p>
          <w:p w14:paraId="12675A67">
            <w:pPr>
              <w:pStyle w:val="12"/>
              <w:keepNext w:val="0"/>
              <w:keepLines w:val="0"/>
              <w:suppressLineNumbers w:val="0"/>
              <w:spacing w:before="0" w:beforeAutospacing="0" w:afterAutospacing="0"/>
              <w:ind w:left="0" w:right="0"/>
              <w:rPr>
                <w:rFonts w:hint="default" w:ascii="仿宋" w:hAnsi="仿宋" w:eastAsia="仿宋" w:cs="Times New Roman"/>
                <w:szCs w:val="21"/>
                <w:highlight w:val="none"/>
              </w:rPr>
            </w:pPr>
            <w:r>
              <w:rPr>
                <w:rFonts w:hint="eastAsia" w:ascii="仿宋" w:hAnsi="仿宋" w:eastAsia="仿宋" w:cs="仿宋"/>
                <w:color w:val="000000"/>
                <w:szCs w:val="21"/>
                <w:highlight w:val="none"/>
              </w:rPr>
              <w:t>3.1.4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仿宋"/>
                <w:b/>
                <w:bCs/>
                <w:color w:val="000000"/>
                <w:szCs w:val="21"/>
                <w:highlight w:val="none"/>
              </w:rPr>
              <w:t>应当否决其投标。</w:t>
            </w:r>
          </w:p>
          <w:p w14:paraId="6D57B522">
            <w:pPr>
              <w:pStyle w:val="12"/>
              <w:keepNext w:val="0"/>
              <w:keepLines w:val="0"/>
              <w:suppressLineNumbers w:val="0"/>
              <w:spacing w:before="0" w:beforeAutospacing="0" w:afterAutospacing="0"/>
              <w:ind w:left="0" w:right="0"/>
              <w:rPr>
                <w:rFonts w:hint="eastAsia" w:ascii="仿宋" w:hAnsi="仿宋" w:eastAsia="仿宋" w:cs="Times New Roman"/>
                <w:szCs w:val="21"/>
                <w:highlight w:val="none"/>
              </w:rPr>
            </w:pPr>
            <w:r>
              <w:rPr>
                <w:rFonts w:hint="eastAsia" w:ascii="仿宋" w:hAnsi="仿宋" w:eastAsia="仿宋" w:cs="Times New Roman"/>
                <w:szCs w:val="21"/>
                <w:highlight w:val="none"/>
              </w:rPr>
              <w:t>3.1.5 中标人为1家的项目，如果有效投标人少于3家（不含本数），评标委员会</w:t>
            </w:r>
            <w:r>
              <w:rPr>
                <w:rFonts w:hint="eastAsia" w:ascii="仿宋" w:hAnsi="仿宋" w:eastAsia="仿宋" w:cs="Times New Roman"/>
                <w:b/>
                <w:bCs/>
                <w:szCs w:val="21"/>
                <w:highlight w:val="none"/>
              </w:rPr>
              <w:t>将否决全部投标</w:t>
            </w:r>
            <w:r>
              <w:rPr>
                <w:rFonts w:hint="eastAsia" w:ascii="仿宋" w:hAnsi="仿宋" w:eastAsia="仿宋" w:cs="Times New Roman"/>
                <w:szCs w:val="21"/>
                <w:highlight w:val="none"/>
              </w:rPr>
              <w:t>。中标人为N家（1＜N≤3）的项目，如果有效投标人少于2N家（不含本数），评标委员会</w:t>
            </w:r>
            <w:r>
              <w:rPr>
                <w:rFonts w:hint="eastAsia" w:ascii="仿宋" w:hAnsi="仿宋" w:eastAsia="仿宋" w:cs="Times New Roman"/>
                <w:b/>
                <w:bCs/>
                <w:szCs w:val="21"/>
                <w:highlight w:val="none"/>
              </w:rPr>
              <w:t>将否决全部投标</w:t>
            </w:r>
            <w:r>
              <w:rPr>
                <w:rFonts w:hint="eastAsia" w:ascii="仿宋" w:hAnsi="仿宋" w:eastAsia="仿宋" w:cs="Times New Roman"/>
                <w:szCs w:val="21"/>
                <w:highlight w:val="none"/>
              </w:rPr>
              <w:t>。中标人为N家（N＞3）的项目，如果有效投标人少于1.5N家（不含本数），评标委员会</w:t>
            </w:r>
            <w:r>
              <w:rPr>
                <w:rFonts w:hint="eastAsia" w:ascii="仿宋" w:hAnsi="仿宋" w:eastAsia="仿宋" w:cs="Times New Roman"/>
                <w:b/>
                <w:bCs/>
                <w:szCs w:val="21"/>
                <w:highlight w:val="none"/>
              </w:rPr>
              <w:t>将否决全部投标</w:t>
            </w:r>
            <w:r>
              <w:rPr>
                <w:rFonts w:hint="eastAsia" w:ascii="仿宋" w:hAnsi="仿宋" w:eastAsia="仿宋" w:cs="Times New Roman"/>
                <w:szCs w:val="21"/>
                <w:highlight w:val="none"/>
              </w:rPr>
              <w:t>。</w:t>
            </w:r>
          </w:p>
          <w:p w14:paraId="74723B39">
            <w:pPr>
              <w:pStyle w:val="12"/>
              <w:keepNext w:val="0"/>
              <w:keepLines w:val="0"/>
              <w:suppressLineNumbers w:val="0"/>
              <w:spacing w:before="0" w:beforeAutospacing="0" w:afterAutospacing="0"/>
              <w:ind w:left="0" w:right="0"/>
              <w:rPr>
                <w:rFonts w:hint="eastAsia" w:ascii="仿宋" w:hAnsi="仿宋" w:eastAsia="仿宋" w:cs="Times New Roman"/>
                <w:b/>
                <w:bCs/>
                <w:szCs w:val="21"/>
                <w:highlight w:val="none"/>
              </w:rPr>
            </w:pPr>
            <w:r>
              <w:rPr>
                <w:rFonts w:hint="eastAsia" w:ascii="仿宋" w:hAnsi="仿宋" w:eastAsia="仿宋" w:cs="Times New Roman"/>
                <w:szCs w:val="21"/>
                <w:highlight w:val="none"/>
              </w:rPr>
              <w:t>3</w:t>
            </w:r>
            <w:r>
              <w:rPr>
                <w:rFonts w:hint="default" w:ascii="仿宋" w:hAnsi="仿宋" w:eastAsia="仿宋" w:cs="Times New Roman"/>
                <w:szCs w:val="21"/>
                <w:highlight w:val="none"/>
              </w:rPr>
              <w:t xml:space="preserve">.3.3 </w:t>
            </w:r>
            <w:r>
              <w:rPr>
                <w:rFonts w:hint="eastAsia" w:ascii="仿宋" w:hAnsi="仿宋" w:eastAsia="仿宋" w:cs="Times New Roman"/>
                <w:szCs w:val="21"/>
                <w:highlight w:val="none"/>
              </w:rPr>
              <w:t>投标人的澄清、说明和补正应当采用书面形式</w:t>
            </w:r>
            <w:r>
              <w:rPr>
                <w:rFonts w:hint="eastAsia" w:ascii="仿宋" w:hAnsi="仿宋" w:eastAsia="仿宋" w:cs="Times New Roman"/>
                <w:szCs w:val="21"/>
                <w:highlight w:val="none"/>
                <w:lang w:eastAsia="zh-CN"/>
              </w:rPr>
              <w:t>，</w:t>
            </w:r>
            <w:r>
              <w:rPr>
                <w:rFonts w:hint="eastAsia" w:ascii="仿宋" w:hAnsi="仿宋" w:eastAsia="仿宋" w:cs="Times New Roman"/>
                <w:szCs w:val="21"/>
                <w:highlight w:val="none"/>
              </w:rPr>
              <w:t>并不得超出投标文件的范围或者改变投标文件的实质性内容（算术性错误修正的除外），投标人的书面澄清、说明和补正属于投标文件的组成部分。拒不按照要求对投标文件进行澄清、说明或补正的，</w:t>
            </w:r>
            <w:r>
              <w:rPr>
                <w:rFonts w:hint="eastAsia" w:ascii="仿宋" w:hAnsi="仿宋" w:eastAsia="仿宋" w:cs="Times New Roman"/>
                <w:b/>
                <w:bCs/>
                <w:szCs w:val="21"/>
                <w:highlight w:val="none"/>
              </w:rPr>
              <w:t>评标委员会可以否决其投标。</w:t>
            </w:r>
          </w:p>
          <w:p w14:paraId="1CC3FEFE">
            <w:pPr>
              <w:keepNext w:val="0"/>
              <w:keepLines w:val="0"/>
              <w:suppressLineNumbers w:val="0"/>
              <w:autoSpaceDE w:val="0"/>
              <w:autoSpaceDN w:val="0"/>
              <w:spacing w:before="0" w:beforeAutospacing="0" w:after="0" w:afterAutospacing="0"/>
              <w:ind w:left="0" w:right="0"/>
              <w:rPr>
                <w:rFonts w:hint="eastAsia" w:ascii="宋体" w:hAnsi="宋体" w:cs="Times New Roman"/>
                <w:color w:val="000000"/>
                <w:szCs w:val="21"/>
                <w:highlight w:val="none"/>
              </w:rPr>
            </w:pPr>
            <w:r>
              <w:rPr>
                <w:rFonts w:hint="eastAsia" w:ascii="仿宋" w:hAnsi="仿宋" w:eastAsia="仿宋" w:cs="仿宋"/>
                <w:color w:val="000000"/>
                <w:szCs w:val="21"/>
                <w:highlight w:val="none"/>
              </w:rPr>
              <w:t>3.3.5 评标委员会必要时可以要求投标人提交有关证明和证件的原件，以便核验。拒不按照要求提供原件的，</w:t>
            </w:r>
            <w:r>
              <w:rPr>
                <w:rFonts w:hint="eastAsia" w:ascii="仿宋" w:hAnsi="仿宋" w:eastAsia="仿宋" w:cs="仿宋"/>
                <w:b/>
                <w:bCs/>
                <w:color w:val="000000"/>
                <w:szCs w:val="21"/>
                <w:highlight w:val="none"/>
              </w:rPr>
              <w:t>评标委员会可以否决其投标。</w:t>
            </w:r>
          </w:p>
        </w:tc>
      </w:tr>
      <w:tr w14:paraId="3B4E38A9">
        <w:tblPrEx>
          <w:tblCellMar>
            <w:top w:w="0" w:type="dxa"/>
            <w:left w:w="108" w:type="dxa"/>
            <w:bottom w:w="0" w:type="dxa"/>
            <w:right w:w="108" w:type="dxa"/>
          </w:tblCellMar>
        </w:tblPrEx>
        <w:trPr>
          <w:jc w:val="center"/>
        </w:trPr>
        <w:tc>
          <w:tcPr>
            <w:tcW w:w="687" w:type="pct"/>
            <w:tcBorders>
              <w:top w:val="single" w:color="auto" w:sz="4" w:space="0"/>
              <w:left w:val="single" w:color="auto" w:sz="4" w:space="0"/>
              <w:bottom w:val="single" w:color="auto" w:sz="4" w:space="0"/>
              <w:right w:val="single" w:color="auto" w:sz="4" w:space="0"/>
            </w:tcBorders>
            <w:noWrap w:val="0"/>
            <w:vAlign w:val="center"/>
          </w:tcPr>
          <w:p w14:paraId="66A575B6">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第五章</w:t>
            </w:r>
          </w:p>
        </w:tc>
        <w:tc>
          <w:tcPr>
            <w:tcW w:w="915" w:type="pct"/>
            <w:tcBorders>
              <w:top w:val="single" w:color="auto" w:sz="4" w:space="0"/>
              <w:left w:val="single" w:color="auto" w:sz="4" w:space="0"/>
              <w:bottom w:val="single" w:color="auto" w:sz="4" w:space="0"/>
              <w:right w:val="single" w:color="auto" w:sz="4" w:space="0"/>
            </w:tcBorders>
            <w:noWrap w:val="0"/>
            <w:vAlign w:val="center"/>
          </w:tcPr>
          <w:p w14:paraId="2AE43CE9">
            <w:pPr>
              <w:keepNext w:val="0"/>
              <w:keepLines w:val="0"/>
              <w:suppressLineNumbers w:val="0"/>
              <w:adjustRightInd w:val="0"/>
              <w:spacing w:before="62" w:beforeLines="20" w:beforeAutospacing="0" w:after="62" w:afterLines="20" w:afterAutospacing="0"/>
              <w:ind w:left="0" w:right="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技术规范书</w:t>
            </w:r>
          </w:p>
        </w:tc>
        <w:tc>
          <w:tcPr>
            <w:tcW w:w="3398" w:type="pct"/>
            <w:tcBorders>
              <w:top w:val="single" w:color="auto" w:sz="4" w:space="0"/>
              <w:left w:val="single" w:color="auto" w:sz="4" w:space="0"/>
              <w:bottom w:val="single" w:color="auto" w:sz="4" w:space="0"/>
              <w:right w:val="single" w:color="auto" w:sz="4" w:space="0"/>
            </w:tcBorders>
            <w:noWrap w:val="0"/>
            <w:vAlign w:val="center"/>
          </w:tcPr>
          <w:p w14:paraId="58EA78B0">
            <w:pPr>
              <w:keepNext w:val="0"/>
              <w:keepLines w:val="0"/>
              <w:suppressLineNumbers w:val="0"/>
              <w:autoSpaceDE w:val="0"/>
              <w:autoSpaceDN w:val="0"/>
              <w:spacing w:before="0" w:beforeAutospacing="0" w:after="0" w:afterAutospacing="0"/>
              <w:ind w:left="0" w:right="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未能完全响应任意一项★号条款的投标将被否决。</w:t>
            </w:r>
          </w:p>
        </w:tc>
      </w:tr>
    </w:tbl>
    <w:p w14:paraId="7F909E3A">
      <w:pPr>
        <w:pStyle w:val="2"/>
        <w:rPr>
          <w:rFonts w:hint="eastAsia" w:ascii="仿宋" w:hAnsi="仿宋" w:eastAsia="仿宋" w:cs="宋体"/>
          <w:b/>
          <w:color w:val="000000"/>
          <w:highlight w:val="none"/>
        </w:rPr>
        <w:sectPr>
          <w:headerReference r:id="rId8" w:type="first"/>
          <w:footerReference r:id="rId10" w:type="first"/>
          <w:footerReference r:id="rId9" w:type="default"/>
          <w:pgSz w:w="11906" w:h="16838"/>
          <w:pgMar w:top="1417" w:right="1134" w:bottom="1134" w:left="1134" w:header="851" w:footer="992" w:gutter="0"/>
          <w:pgNumType w:start="1"/>
          <w:cols w:space="720" w:num="1"/>
          <w:titlePg/>
          <w:docGrid w:type="lines" w:linePitch="312" w:charSpace="0"/>
        </w:sectPr>
      </w:pPr>
    </w:p>
    <w:p w14:paraId="5F9A75DD">
      <w:pPr>
        <w:pStyle w:val="5"/>
        <w:bidi w:val="0"/>
      </w:pPr>
      <w:bookmarkStart w:id="613" w:name="_Toc109124308"/>
      <w:bookmarkStart w:id="614" w:name="_Toc65682983"/>
      <w:bookmarkStart w:id="615" w:name="_Toc18549"/>
      <w:bookmarkStart w:id="616" w:name="_Toc26101"/>
      <w:r>
        <w:rPr>
          <w:rFonts w:hint="eastAsia"/>
          <w:lang w:val="en-US" w:eastAsia="zh-CN"/>
        </w:rPr>
        <w:t>3、</w:t>
      </w:r>
      <w:r>
        <w:t>详细评审标准</w:t>
      </w:r>
      <w:bookmarkEnd w:id="613"/>
      <w:bookmarkEnd w:id="614"/>
      <w:bookmarkEnd w:id="615"/>
      <w:bookmarkEnd w:id="616"/>
    </w:p>
    <w:tbl>
      <w:tblPr>
        <w:tblStyle w:val="32"/>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8"/>
        <w:gridCol w:w="1284"/>
        <w:gridCol w:w="861"/>
        <w:gridCol w:w="6462"/>
      </w:tblGrid>
      <w:tr w14:paraId="6CE1B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18" w:type="dxa"/>
            <w:vAlign w:val="center"/>
          </w:tcPr>
          <w:p w14:paraId="44D19ACC">
            <w:pPr>
              <w:keepNext w:val="0"/>
              <w:keepLines w:val="0"/>
              <w:suppressLineNumbers w:val="0"/>
              <w:spacing w:before="0" w:beforeAutospacing="0" w:after="0" w:afterAutospacing="0" w:line="340" w:lineRule="exact"/>
              <w:ind w:left="0" w:right="0"/>
              <w:jc w:val="center"/>
              <w:rPr>
                <w:rFonts w:hint="eastAsia" w:ascii="仿宋" w:hAnsi="仿宋" w:eastAsia="仿宋" w:cs="仿宋"/>
                <w:b/>
                <w:bCs/>
                <w:color w:val="auto"/>
                <w:kern w:val="1"/>
                <w:szCs w:val="21"/>
                <w:highlight w:val="none"/>
              </w:rPr>
            </w:pPr>
            <w:r>
              <w:rPr>
                <w:rFonts w:hint="eastAsia" w:ascii="仿宋" w:hAnsi="仿宋" w:eastAsia="仿宋" w:cs="仿宋"/>
                <w:b/>
                <w:bCs/>
                <w:color w:val="auto"/>
                <w:kern w:val="1"/>
                <w:szCs w:val="21"/>
                <w:highlight w:val="none"/>
              </w:rPr>
              <w:t>评审项目</w:t>
            </w:r>
          </w:p>
        </w:tc>
        <w:tc>
          <w:tcPr>
            <w:tcW w:w="1284" w:type="dxa"/>
            <w:vAlign w:val="center"/>
          </w:tcPr>
          <w:p w14:paraId="1C887439">
            <w:pPr>
              <w:keepNext w:val="0"/>
              <w:keepLines w:val="0"/>
              <w:suppressLineNumbers w:val="0"/>
              <w:spacing w:before="0" w:beforeAutospacing="0" w:after="0" w:afterAutospacing="0" w:line="340" w:lineRule="exact"/>
              <w:ind w:left="0" w:right="0"/>
              <w:jc w:val="center"/>
              <w:rPr>
                <w:rFonts w:hint="eastAsia" w:ascii="仿宋" w:hAnsi="仿宋" w:eastAsia="仿宋" w:cs="仿宋"/>
                <w:b/>
                <w:bCs/>
                <w:color w:val="auto"/>
                <w:kern w:val="1"/>
                <w:szCs w:val="21"/>
                <w:highlight w:val="none"/>
              </w:rPr>
            </w:pPr>
            <w:r>
              <w:rPr>
                <w:rFonts w:hint="eastAsia" w:ascii="仿宋" w:hAnsi="仿宋" w:eastAsia="仿宋" w:cs="仿宋"/>
                <w:b/>
                <w:bCs/>
                <w:color w:val="auto"/>
                <w:kern w:val="1"/>
                <w:szCs w:val="21"/>
                <w:highlight w:val="none"/>
              </w:rPr>
              <w:t>评审分项</w:t>
            </w:r>
          </w:p>
        </w:tc>
        <w:tc>
          <w:tcPr>
            <w:tcW w:w="861" w:type="dxa"/>
            <w:vAlign w:val="center"/>
          </w:tcPr>
          <w:p w14:paraId="06C20C04">
            <w:pPr>
              <w:keepNext w:val="0"/>
              <w:keepLines w:val="0"/>
              <w:suppressLineNumbers w:val="0"/>
              <w:spacing w:before="0" w:beforeAutospacing="0" w:after="0" w:afterAutospacing="0" w:line="340" w:lineRule="exact"/>
              <w:ind w:left="0" w:right="0"/>
              <w:jc w:val="center"/>
              <w:rPr>
                <w:rFonts w:hint="eastAsia" w:ascii="仿宋" w:hAnsi="仿宋" w:eastAsia="仿宋" w:cs="仿宋"/>
                <w:b/>
                <w:bCs/>
                <w:color w:val="auto"/>
                <w:kern w:val="1"/>
                <w:szCs w:val="21"/>
                <w:highlight w:val="none"/>
              </w:rPr>
            </w:pPr>
            <w:r>
              <w:rPr>
                <w:rFonts w:hint="eastAsia" w:ascii="仿宋" w:hAnsi="仿宋" w:eastAsia="仿宋" w:cs="仿宋"/>
                <w:b/>
                <w:bCs/>
                <w:color w:val="auto"/>
                <w:kern w:val="1"/>
                <w:szCs w:val="21"/>
                <w:highlight w:val="none"/>
              </w:rPr>
              <w:t>分值（分）</w:t>
            </w:r>
          </w:p>
        </w:tc>
        <w:tc>
          <w:tcPr>
            <w:tcW w:w="6462" w:type="dxa"/>
            <w:vAlign w:val="center"/>
          </w:tcPr>
          <w:p w14:paraId="4A6FCB9F">
            <w:pPr>
              <w:keepNext w:val="0"/>
              <w:keepLines w:val="0"/>
              <w:suppressLineNumbers w:val="0"/>
              <w:spacing w:before="0" w:beforeAutospacing="0" w:after="0" w:afterAutospacing="0" w:line="340" w:lineRule="exact"/>
              <w:ind w:left="0" w:right="0"/>
              <w:jc w:val="center"/>
              <w:rPr>
                <w:rFonts w:hint="eastAsia" w:ascii="仿宋" w:hAnsi="仿宋" w:eastAsia="仿宋" w:cs="仿宋"/>
                <w:b/>
                <w:bCs/>
                <w:color w:val="auto"/>
                <w:kern w:val="1"/>
                <w:szCs w:val="21"/>
                <w:highlight w:val="none"/>
              </w:rPr>
            </w:pPr>
            <w:r>
              <w:rPr>
                <w:rFonts w:hint="eastAsia" w:ascii="仿宋" w:hAnsi="仿宋" w:eastAsia="仿宋" w:cs="仿宋"/>
                <w:b/>
                <w:bCs/>
                <w:color w:val="auto"/>
                <w:kern w:val="1"/>
                <w:szCs w:val="21"/>
                <w:highlight w:val="none"/>
              </w:rPr>
              <w:t>评标打分细则</w:t>
            </w:r>
          </w:p>
        </w:tc>
      </w:tr>
      <w:tr w14:paraId="56759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1118" w:type="dxa"/>
            <w:vAlign w:val="center"/>
          </w:tcPr>
          <w:p w14:paraId="6989526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价格评议</w:t>
            </w:r>
          </w:p>
          <w:p w14:paraId="7AC68A4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w:t>
            </w:r>
            <w:r>
              <w:rPr>
                <w:rFonts w:hint="eastAsia" w:ascii="仿宋" w:hAnsi="仿宋" w:eastAsia="仿宋" w:cs="仿宋"/>
                <w:color w:val="auto"/>
                <w:kern w:val="1"/>
                <w:szCs w:val="21"/>
                <w:highlight w:val="none"/>
                <w:lang w:val="en-US" w:eastAsia="zh-CN"/>
              </w:rPr>
              <w:t>40</w:t>
            </w:r>
            <w:r>
              <w:rPr>
                <w:rFonts w:hint="eastAsia" w:ascii="仿宋" w:hAnsi="仿宋" w:eastAsia="仿宋" w:cs="仿宋"/>
                <w:color w:val="auto"/>
                <w:kern w:val="1"/>
                <w:szCs w:val="21"/>
                <w:highlight w:val="none"/>
              </w:rPr>
              <w:t>分）</w:t>
            </w:r>
          </w:p>
        </w:tc>
        <w:tc>
          <w:tcPr>
            <w:tcW w:w="1284" w:type="dxa"/>
            <w:vAlign w:val="center"/>
          </w:tcPr>
          <w:p w14:paraId="0138A6C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价格评议</w:t>
            </w:r>
          </w:p>
        </w:tc>
        <w:tc>
          <w:tcPr>
            <w:tcW w:w="861" w:type="dxa"/>
            <w:vAlign w:val="center"/>
          </w:tcPr>
          <w:p w14:paraId="243C9DA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rPr>
            </w:pPr>
            <w:r>
              <w:rPr>
                <w:rFonts w:hint="eastAsia" w:ascii="仿宋" w:hAnsi="仿宋" w:eastAsia="仿宋" w:cs="仿宋"/>
                <w:color w:val="auto"/>
                <w:kern w:val="1"/>
                <w:szCs w:val="21"/>
                <w:highlight w:val="none"/>
                <w:lang w:val="en-US" w:eastAsia="zh-CN"/>
              </w:rPr>
              <w:t>40</w:t>
            </w:r>
          </w:p>
        </w:tc>
        <w:tc>
          <w:tcPr>
            <w:tcW w:w="6462" w:type="dxa"/>
            <w:vAlign w:val="center"/>
          </w:tcPr>
          <w:p w14:paraId="518FC8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评分中的价格分采用低价优先法计算，即满足招标文件要求且最低的评审价格为评标基准价，等于评标基准价得</w:t>
            </w:r>
            <w:r>
              <w:rPr>
                <w:rFonts w:hint="eastAsia" w:ascii="仿宋" w:hAnsi="仿宋" w:eastAsia="仿宋" w:cs="仿宋"/>
                <w:color w:val="auto"/>
                <w:kern w:val="1"/>
                <w:szCs w:val="21"/>
                <w:highlight w:val="none"/>
                <w:lang w:val="en-US" w:eastAsia="zh-CN"/>
              </w:rPr>
              <w:t>40</w:t>
            </w:r>
            <w:r>
              <w:rPr>
                <w:rFonts w:hint="eastAsia" w:ascii="仿宋" w:hAnsi="仿宋" w:eastAsia="仿宋" w:cs="仿宋"/>
                <w:color w:val="auto"/>
                <w:kern w:val="1"/>
                <w:szCs w:val="21"/>
                <w:highlight w:val="none"/>
              </w:rPr>
              <w:t>分。其他供应商的价格分统一按照下列公式计算，精确到小数点后两位：</w:t>
            </w:r>
          </w:p>
          <w:p w14:paraId="1F49C512">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仿宋" w:hAnsi="仿宋" w:eastAsia="仿宋" w:cs="仿宋"/>
                <w:color w:val="auto"/>
                <w:kern w:val="1"/>
                <w:szCs w:val="21"/>
                <w:highlight w:val="none"/>
              </w:rPr>
            </w:pPr>
            <w:r>
              <w:rPr>
                <w:rFonts w:hint="eastAsia" w:ascii="仿宋" w:hAnsi="仿宋" w:eastAsia="仿宋" w:cs="仿宋"/>
                <w:color w:val="auto"/>
                <w:kern w:val="1"/>
                <w:szCs w:val="21"/>
                <w:highlight w:val="none"/>
              </w:rPr>
              <w:t>供应商报价得分＝（评标基准价/评审价格）×</w:t>
            </w:r>
            <w:r>
              <w:rPr>
                <w:rFonts w:hint="eastAsia" w:ascii="仿宋" w:hAnsi="仿宋" w:eastAsia="仿宋" w:cs="仿宋"/>
                <w:color w:val="auto"/>
                <w:kern w:val="1"/>
                <w:szCs w:val="21"/>
                <w:highlight w:val="none"/>
                <w:lang w:val="en-US" w:eastAsia="zh-CN"/>
              </w:rPr>
              <w:t>40</w:t>
            </w:r>
            <w:r>
              <w:rPr>
                <w:rFonts w:hint="eastAsia" w:ascii="仿宋" w:hAnsi="仿宋" w:eastAsia="仿宋" w:cs="仿宋"/>
                <w:color w:val="auto"/>
                <w:kern w:val="1"/>
                <w:szCs w:val="21"/>
                <w:highlight w:val="none"/>
              </w:rPr>
              <w:t>；</w:t>
            </w:r>
          </w:p>
        </w:tc>
      </w:tr>
      <w:tr w14:paraId="69102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1118" w:type="dxa"/>
            <w:vMerge w:val="restart"/>
            <w:vAlign w:val="center"/>
          </w:tcPr>
          <w:p w14:paraId="1B5D9F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商务部分 </w:t>
            </w:r>
          </w:p>
          <w:p w14:paraId="01F612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（30分）</w:t>
            </w:r>
          </w:p>
        </w:tc>
        <w:tc>
          <w:tcPr>
            <w:tcW w:w="1284" w:type="dxa"/>
            <w:vAlign w:val="center"/>
          </w:tcPr>
          <w:p w14:paraId="579C50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仿宋" w:hAnsi="仿宋" w:eastAsia="仿宋" w:cs="仿宋"/>
                <w:color w:val="auto"/>
                <w:kern w:val="1"/>
                <w:szCs w:val="21"/>
                <w:highlight w:val="none"/>
              </w:rPr>
            </w:pPr>
            <w:r>
              <w:rPr>
                <w:rFonts w:hint="eastAsia" w:ascii="仿宋" w:hAnsi="仿宋" w:eastAsia="仿宋" w:cs="仿宋"/>
                <w:color w:val="auto"/>
                <w:sz w:val="21"/>
                <w:szCs w:val="21"/>
                <w:highlight w:val="none"/>
              </w:rPr>
              <w:t>类似业绩</w:t>
            </w:r>
          </w:p>
        </w:tc>
        <w:tc>
          <w:tcPr>
            <w:tcW w:w="861" w:type="dxa"/>
            <w:vAlign w:val="center"/>
          </w:tcPr>
          <w:p w14:paraId="3DAAEA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outlineLvl w:val="9"/>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5</w:t>
            </w:r>
          </w:p>
        </w:tc>
        <w:tc>
          <w:tcPr>
            <w:tcW w:w="6462" w:type="dxa"/>
            <w:vAlign w:val="center"/>
          </w:tcPr>
          <w:p w14:paraId="798CE6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投标人近三年（自投标截止日往前推，以合同签订时间为准）承担过类似于本项目服务内容的业绩，每提供一个得2.5分，本项最多得5分。同一客户方只能算1个有效业绩案例。</w:t>
            </w:r>
          </w:p>
          <w:p w14:paraId="6314A4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textAlignment w:val="auto"/>
              <w:outlineLvl w:val="9"/>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注：提供业绩合同关键页复印件（包括合同名称页、采购内容页、合同金额页、合同双方盖章页、合同签署时间页）、至少一张发票及发票在国家税务总局全国增值税发票查验平台（https：//inv-veri.chinatax.gov.cn/）的查询验证截图，以上证明材料须完整、有效，</w:t>
            </w:r>
            <w:r>
              <w:rPr>
                <w:rFonts w:hint="eastAsia" w:ascii="仿宋" w:hAnsi="仿宋" w:eastAsia="仿宋" w:cs="仿宋"/>
                <w:color w:val="auto"/>
                <w:kern w:val="1"/>
                <w:szCs w:val="21"/>
                <w:highlight w:val="none"/>
                <w:lang w:val="en-US" w:eastAsia="zh-CN"/>
              </w:rPr>
              <w:t>证明不全或不提供者不得分</w:t>
            </w:r>
            <w:r>
              <w:rPr>
                <w:rFonts w:hint="eastAsia" w:ascii="仿宋" w:hAnsi="仿宋" w:eastAsia="仿宋" w:cs="仿宋"/>
                <w:color w:val="auto"/>
                <w:sz w:val="21"/>
                <w:szCs w:val="21"/>
                <w:highlight w:val="none"/>
                <w:lang w:val="en-US" w:eastAsia="zh-CN"/>
              </w:rPr>
              <w:t>。</w:t>
            </w:r>
          </w:p>
        </w:tc>
      </w:tr>
      <w:tr w14:paraId="15B61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18" w:type="dxa"/>
            <w:vMerge w:val="continue"/>
            <w:vAlign w:val="center"/>
          </w:tcPr>
          <w:p w14:paraId="1370DED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p>
        </w:tc>
        <w:tc>
          <w:tcPr>
            <w:tcW w:w="1284" w:type="dxa"/>
            <w:vAlign w:val="center"/>
          </w:tcPr>
          <w:p w14:paraId="383CF58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eastAsia="zh-CN"/>
              </w:rPr>
            </w:pPr>
            <w:r>
              <w:rPr>
                <w:rFonts w:hint="eastAsia" w:ascii="仿宋" w:hAnsi="仿宋" w:eastAsia="仿宋" w:cs="仿宋"/>
                <w:color w:val="auto"/>
                <w:kern w:val="1"/>
                <w:szCs w:val="21"/>
                <w:highlight w:val="none"/>
                <w:lang w:val="en-US" w:eastAsia="zh-CN"/>
              </w:rPr>
              <w:t>体系认证</w:t>
            </w:r>
          </w:p>
        </w:tc>
        <w:tc>
          <w:tcPr>
            <w:tcW w:w="861" w:type="dxa"/>
            <w:vAlign w:val="center"/>
          </w:tcPr>
          <w:p w14:paraId="1D74381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4</w:t>
            </w:r>
          </w:p>
        </w:tc>
        <w:tc>
          <w:tcPr>
            <w:tcW w:w="6462" w:type="dxa"/>
            <w:vAlign w:val="center"/>
          </w:tcPr>
          <w:p w14:paraId="6A19C66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1.投标人具有有效期内 ISO9001 质量管理体系认证得 1 分； </w:t>
            </w:r>
          </w:p>
          <w:p w14:paraId="7E44C74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2.投标人具有有效期内 ISO45001 职业健康安全管理体系认证得 1分； </w:t>
            </w:r>
          </w:p>
          <w:p w14:paraId="5B77FE7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3.投标人具有有效期内 lSO14001 环境管理体系认证得 1 分； </w:t>
            </w:r>
          </w:p>
          <w:p w14:paraId="789906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4.投标人具有有效期内 ISO22000 食品安全管理体系认证得 1 分。 </w:t>
            </w:r>
          </w:p>
          <w:p w14:paraId="61759CF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注：投标人须提供认证证书的扫描件及提供通过全国认证认可信息公共服务平台 http：//cx.cnca.cn 查询结果截图作为证明，证明不全或不提供者不得分。</w:t>
            </w:r>
          </w:p>
        </w:tc>
      </w:tr>
      <w:tr w14:paraId="5C31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18" w:type="dxa"/>
            <w:vMerge w:val="continue"/>
            <w:vAlign w:val="center"/>
          </w:tcPr>
          <w:p w14:paraId="1A08E70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p>
        </w:tc>
        <w:tc>
          <w:tcPr>
            <w:tcW w:w="1284" w:type="dxa"/>
            <w:vAlign w:val="center"/>
          </w:tcPr>
          <w:p w14:paraId="2B6834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食品安全</w:t>
            </w:r>
          </w:p>
        </w:tc>
        <w:tc>
          <w:tcPr>
            <w:tcW w:w="861" w:type="dxa"/>
            <w:vAlign w:val="center"/>
          </w:tcPr>
          <w:p w14:paraId="0FC1D2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5</w:t>
            </w:r>
          </w:p>
        </w:tc>
        <w:tc>
          <w:tcPr>
            <w:tcW w:w="6462" w:type="dxa"/>
            <w:vAlign w:val="center"/>
          </w:tcPr>
          <w:p w14:paraId="27C5AEA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投标人提供半年内</w:t>
            </w:r>
            <w:r>
              <w:rPr>
                <w:rFonts w:hint="eastAsia" w:ascii="仿宋" w:hAnsi="仿宋" w:eastAsia="仿宋" w:cs="仿宋"/>
                <w:color w:val="auto"/>
                <w:sz w:val="21"/>
                <w:szCs w:val="21"/>
                <w:highlight w:val="none"/>
                <w:lang w:val="en-US" w:eastAsia="zh-CN"/>
              </w:rPr>
              <w:t>（自投标截止日往前推）</w:t>
            </w:r>
            <w:r>
              <w:rPr>
                <w:rFonts w:hint="eastAsia" w:ascii="仿宋" w:hAnsi="仿宋" w:eastAsia="仿宋" w:cs="仿宋"/>
                <w:color w:val="auto"/>
                <w:kern w:val="1"/>
                <w:szCs w:val="21"/>
                <w:highlight w:val="none"/>
                <w:lang w:val="en-US" w:eastAsia="zh-CN"/>
              </w:rPr>
              <w:t>至今任意时间段内连续5天的自检或委托第三方检测的农残检测记录扫描件得 5 分，未提供或检测记录不完整的不得分。</w:t>
            </w:r>
          </w:p>
        </w:tc>
      </w:tr>
      <w:tr w14:paraId="19839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118" w:type="dxa"/>
            <w:vMerge w:val="continue"/>
            <w:vAlign w:val="center"/>
          </w:tcPr>
          <w:p w14:paraId="6719444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p>
        </w:tc>
        <w:tc>
          <w:tcPr>
            <w:tcW w:w="1284" w:type="dxa"/>
            <w:vAlign w:val="center"/>
          </w:tcPr>
          <w:p w14:paraId="4462E73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配送保障能力</w:t>
            </w:r>
          </w:p>
        </w:tc>
        <w:tc>
          <w:tcPr>
            <w:tcW w:w="861" w:type="dxa"/>
            <w:vAlign w:val="center"/>
          </w:tcPr>
          <w:p w14:paraId="2AF22D2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5</w:t>
            </w:r>
          </w:p>
        </w:tc>
        <w:tc>
          <w:tcPr>
            <w:tcW w:w="6462" w:type="dxa"/>
            <w:vAlign w:val="center"/>
          </w:tcPr>
          <w:p w14:paraId="205F145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1.为保证稳定及时配送，投标人承诺中标后须在项目地为本项目提供具备分拣、加工、保鲜、冷冻等功能以及配送的场所得2分。 </w:t>
            </w:r>
          </w:p>
          <w:p w14:paraId="562F44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注：提供承诺函（格式自拟），未提供承诺函或承诺函缺少上述要求内容不得分。 </w:t>
            </w:r>
          </w:p>
          <w:p w14:paraId="291516E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2.投标人具备自有或租赁专用的冷链配送车辆(自有需车辆行驶证或登记证所有人名称须与投标单位一致；租赁需提供有效期内租赁合同关键页扫描件)，且承诺后期使用该车辆进行配送得3分。 </w:t>
            </w:r>
          </w:p>
          <w:p w14:paraId="2096CE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注：提供车辆行驶证或登记证（租赁需提供有效期内租赁合同关键页扫描件）、车辆照片、加盖投标人公章的承诺函。</w:t>
            </w:r>
          </w:p>
        </w:tc>
      </w:tr>
      <w:tr w14:paraId="6C98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8" w:type="dxa"/>
            <w:vMerge w:val="continue"/>
            <w:vAlign w:val="center"/>
          </w:tcPr>
          <w:p w14:paraId="1B6E0B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p>
        </w:tc>
        <w:tc>
          <w:tcPr>
            <w:tcW w:w="1284" w:type="dxa"/>
            <w:vAlign w:val="center"/>
          </w:tcPr>
          <w:p w14:paraId="4DF5206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eastAsia="zh-CN"/>
              </w:rPr>
            </w:pPr>
            <w:r>
              <w:rPr>
                <w:rFonts w:hint="eastAsia" w:ascii="仿宋" w:hAnsi="仿宋" w:eastAsia="仿宋" w:cs="仿宋"/>
                <w:color w:val="auto"/>
                <w:kern w:val="1"/>
                <w:szCs w:val="21"/>
                <w:highlight w:val="none"/>
                <w:lang w:eastAsia="zh-CN"/>
              </w:rPr>
              <w:t>风险承担</w:t>
            </w:r>
          </w:p>
        </w:tc>
        <w:tc>
          <w:tcPr>
            <w:tcW w:w="861" w:type="dxa"/>
            <w:vAlign w:val="center"/>
          </w:tcPr>
          <w:p w14:paraId="28AC54B7">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3</w:t>
            </w:r>
          </w:p>
        </w:tc>
        <w:tc>
          <w:tcPr>
            <w:tcW w:w="6462" w:type="dxa"/>
            <w:vAlign w:val="center"/>
          </w:tcPr>
          <w:p w14:paraId="40F36E9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投标人已经购买或者承诺中标后购买相关的食品安全责任保险，且保险期限覆盖本项目合同履约期的，保额≥ 2000 万元的得 3 分，1500 万元≤保额＜2000 万元得 2 分，800 万元≤保额＜1500 万元得 1 分，保额＜800 万元的不得分。 </w:t>
            </w:r>
          </w:p>
          <w:p w14:paraId="119DE7B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注：购买保险的提供生效的保险单扫描件，未购买保险的提供加盖投标人公章的承诺函。若投标人中标，相关承诺将写入合同条款。</w:t>
            </w:r>
          </w:p>
        </w:tc>
      </w:tr>
      <w:tr w14:paraId="2DD9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18" w:type="dxa"/>
            <w:vMerge w:val="continue"/>
            <w:vAlign w:val="center"/>
          </w:tcPr>
          <w:p w14:paraId="149B59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p>
        </w:tc>
        <w:tc>
          <w:tcPr>
            <w:tcW w:w="1284" w:type="dxa"/>
            <w:vAlign w:val="center"/>
          </w:tcPr>
          <w:p w14:paraId="2F2D427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eastAsia="zh-CN"/>
              </w:rPr>
            </w:pPr>
            <w:r>
              <w:rPr>
                <w:rFonts w:hint="eastAsia" w:ascii="仿宋" w:hAnsi="仿宋" w:eastAsia="仿宋" w:cs="仿宋"/>
                <w:color w:val="auto"/>
                <w:kern w:val="1"/>
                <w:szCs w:val="21"/>
                <w:highlight w:val="none"/>
                <w:lang w:val="en-US" w:eastAsia="zh-CN"/>
              </w:rPr>
              <w:t>货源保障能力</w:t>
            </w:r>
          </w:p>
        </w:tc>
        <w:tc>
          <w:tcPr>
            <w:tcW w:w="861" w:type="dxa"/>
            <w:vAlign w:val="center"/>
          </w:tcPr>
          <w:p w14:paraId="254F6AB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8</w:t>
            </w:r>
          </w:p>
        </w:tc>
        <w:tc>
          <w:tcPr>
            <w:tcW w:w="6462" w:type="dxa"/>
            <w:vAlign w:val="center"/>
          </w:tcPr>
          <w:p w14:paraId="37B5337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1.投标人具有稳定的货源保障，对本项目采购的食材（干货、粮油、奶制品、鲜肉类、禽类产品、蛋、水产品、蔬菜、水果），每提供一类食材营销合同或经销授权的食材渠道证明材料得0.5分，最多得4.5分。 </w:t>
            </w:r>
          </w:p>
          <w:p w14:paraId="30B62AB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注：提供营销合同或经销授权证明材料。 </w:t>
            </w:r>
          </w:p>
          <w:p w14:paraId="79A9C6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 xml:space="preserve">2.投标人具有有自有基地的得3.5分，合作共建基地的得1.5分。 </w:t>
            </w:r>
          </w:p>
          <w:p w14:paraId="665D33B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注：自有基地提供相关场地产权证明材料扫描件，合作共建基地提供有效合同证明材料原件扫描件，如两项均提供按最高分3.5分计分。</w:t>
            </w:r>
          </w:p>
        </w:tc>
      </w:tr>
      <w:tr w14:paraId="1FEA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jc w:val="center"/>
        </w:trPr>
        <w:tc>
          <w:tcPr>
            <w:tcW w:w="1118" w:type="dxa"/>
            <w:vMerge w:val="restart"/>
            <w:vAlign w:val="center"/>
          </w:tcPr>
          <w:p w14:paraId="694732B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技术部分</w:t>
            </w:r>
          </w:p>
          <w:p w14:paraId="093D4AA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（30分）</w:t>
            </w:r>
          </w:p>
        </w:tc>
        <w:tc>
          <w:tcPr>
            <w:tcW w:w="1284" w:type="dxa"/>
            <w:tcBorders>
              <w:top w:val="single" w:color="auto" w:sz="4" w:space="0"/>
            </w:tcBorders>
            <w:vAlign w:val="center"/>
          </w:tcPr>
          <w:p w14:paraId="60598E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总体服务方案</w:t>
            </w:r>
          </w:p>
        </w:tc>
        <w:tc>
          <w:tcPr>
            <w:tcW w:w="861" w:type="dxa"/>
            <w:vAlign w:val="center"/>
          </w:tcPr>
          <w:p w14:paraId="403CCE8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12</w:t>
            </w:r>
          </w:p>
        </w:tc>
        <w:tc>
          <w:tcPr>
            <w:tcW w:w="6462" w:type="dxa"/>
            <w:vAlign w:val="center"/>
          </w:tcPr>
          <w:p w14:paraId="6C207EDA">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根据投标人提供的总体服务方案进行打分，内容包括但不限于①</w:t>
            </w:r>
            <w:r>
              <w:rPr>
                <w:rFonts w:hint="default" w:ascii="仿宋" w:hAnsi="仿宋" w:eastAsia="仿宋" w:cs="仿宋"/>
                <w:color w:val="auto"/>
                <w:kern w:val="1"/>
                <w:szCs w:val="21"/>
                <w:highlight w:val="none"/>
                <w:lang w:val="en-US" w:eastAsia="zh-CN"/>
              </w:rPr>
              <w:t>综合管理服务能力</w:t>
            </w:r>
            <w:r>
              <w:rPr>
                <w:rFonts w:hint="eastAsia" w:ascii="仿宋" w:hAnsi="仿宋" w:eastAsia="仿宋" w:cs="仿宋"/>
                <w:color w:val="auto"/>
                <w:kern w:val="1"/>
                <w:szCs w:val="21"/>
                <w:highlight w:val="none"/>
                <w:lang w:val="en-US" w:eastAsia="zh-CN"/>
              </w:rPr>
              <w:t>；②</w:t>
            </w:r>
            <w:r>
              <w:rPr>
                <w:rFonts w:hint="default" w:ascii="仿宋" w:hAnsi="仿宋" w:eastAsia="仿宋" w:cs="仿宋"/>
                <w:color w:val="auto"/>
                <w:kern w:val="1"/>
                <w:szCs w:val="21"/>
                <w:highlight w:val="none"/>
                <w:lang w:val="en-US" w:eastAsia="zh-CN"/>
              </w:rPr>
              <w:t>管理运作流程</w:t>
            </w:r>
            <w:r>
              <w:rPr>
                <w:rFonts w:hint="eastAsia" w:ascii="仿宋" w:hAnsi="仿宋" w:eastAsia="仿宋" w:cs="仿宋"/>
                <w:color w:val="auto"/>
                <w:kern w:val="1"/>
                <w:szCs w:val="21"/>
                <w:highlight w:val="none"/>
                <w:lang w:val="en-US" w:eastAsia="zh-CN"/>
              </w:rPr>
              <w:t>；③</w:t>
            </w:r>
            <w:r>
              <w:rPr>
                <w:rFonts w:hint="default" w:ascii="仿宋" w:hAnsi="仿宋" w:eastAsia="仿宋" w:cs="仿宋"/>
                <w:color w:val="auto"/>
                <w:kern w:val="1"/>
                <w:szCs w:val="21"/>
                <w:highlight w:val="none"/>
                <w:lang w:val="en-US" w:eastAsia="zh-CN"/>
              </w:rPr>
              <w:t>安全管理</w:t>
            </w:r>
            <w:r>
              <w:rPr>
                <w:rFonts w:hint="eastAsia" w:ascii="仿宋" w:hAnsi="仿宋" w:eastAsia="仿宋" w:cs="仿宋"/>
                <w:color w:val="auto"/>
                <w:kern w:val="1"/>
                <w:szCs w:val="21"/>
                <w:highlight w:val="none"/>
                <w:lang w:val="en-US" w:eastAsia="zh-CN"/>
              </w:rPr>
              <w:t>；④</w:t>
            </w:r>
            <w:r>
              <w:rPr>
                <w:rFonts w:hint="default" w:ascii="仿宋" w:hAnsi="仿宋" w:eastAsia="仿宋" w:cs="仿宋"/>
                <w:color w:val="auto"/>
                <w:kern w:val="1"/>
                <w:szCs w:val="21"/>
                <w:highlight w:val="none"/>
                <w:lang w:val="en-US" w:eastAsia="zh-CN"/>
              </w:rPr>
              <w:t>质量保证</w:t>
            </w:r>
            <w:r>
              <w:rPr>
                <w:rFonts w:hint="eastAsia" w:ascii="仿宋" w:hAnsi="仿宋" w:eastAsia="仿宋" w:cs="仿宋"/>
                <w:color w:val="auto"/>
                <w:kern w:val="1"/>
                <w:szCs w:val="21"/>
                <w:highlight w:val="none"/>
                <w:lang w:val="en-US" w:eastAsia="zh-CN"/>
              </w:rPr>
              <w:t>等内容。</w:t>
            </w:r>
          </w:p>
          <w:p w14:paraId="56A0C51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以上内容全部提供且清晰、完善、详细、可操作性强、科学合理的得12分。缺一项扣3分；单项内容不清晰、不完善、有所欠缺、可操作性不强、基本合理的则单项得1分；未提供或提供的内容与项目不符的则不得分。</w:t>
            </w:r>
          </w:p>
        </w:tc>
      </w:tr>
      <w:tr w14:paraId="44EDD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1118" w:type="dxa"/>
            <w:vMerge w:val="continue"/>
            <w:vAlign w:val="center"/>
          </w:tcPr>
          <w:p w14:paraId="67834ED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rPr>
            </w:pPr>
          </w:p>
        </w:tc>
        <w:tc>
          <w:tcPr>
            <w:tcW w:w="1284" w:type="dxa"/>
            <w:tcBorders>
              <w:top w:val="single" w:color="auto" w:sz="4" w:space="0"/>
            </w:tcBorders>
            <w:vAlign w:val="center"/>
          </w:tcPr>
          <w:p w14:paraId="590C150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售后服务</w:t>
            </w:r>
          </w:p>
        </w:tc>
        <w:tc>
          <w:tcPr>
            <w:tcW w:w="861" w:type="dxa"/>
            <w:vAlign w:val="center"/>
          </w:tcPr>
          <w:p w14:paraId="4986FF1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6</w:t>
            </w:r>
          </w:p>
        </w:tc>
        <w:tc>
          <w:tcPr>
            <w:tcW w:w="6462" w:type="dxa"/>
            <w:vAlign w:val="top"/>
          </w:tcPr>
          <w:p w14:paraId="46B1F78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根据投标人提供的售后服务进行打分，内容包括但不限于①实施全过程中的售后服务；②不合格货物退换方案及措施等内容。</w:t>
            </w:r>
          </w:p>
          <w:p w14:paraId="48F1DA0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以上内容全部提供且清晰、完善、详细、可操作性强、科学合理的得6分。缺一项扣3分；单项内容不清晰、不完善、有所欠缺、可操作性不强、基本合理的则单项得1分；未提供或提供的内容与项目不符的则不得分。</w:t>
            </w:r>
          </w:p>
        </w:tc>
      </w:tr>
      <w:tr w14:paraId="1891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118" w:type="dxa"/>
            <w:vMerge w:val="continue"/>
            <w:vAlign w:val="center"/>
          </w:tcPr>
          <w:p w14:paraId="2D116D81">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rPr>
            </w:pPr>
          </w:p>
        </w:tc>
        <w:tc>
          <w:tcPr>
            <w:tcW w:w="1284" w:type="dxa"/>
            <w:vAlign w:val="center"/>
          </w:tcPr>
          <w:p w14:paraId="5833C4CF">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应急响应能力</w:t>
            </w:r>
          </w:p>
        </w:tc>
        <w:tc>
          <w:tcPr>
            <w:tcW w:w="861" w:type="dxa"/>
            <w:vAlign w:val="center"/>
          </w:tcPr>
          <w:p w14:paraId="0D1710BD">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12</w:t>
            </w:r>
          </w:p>
        </w:tc>
        <w:tc>
          <w:tcPr>
            <w:tcW w:w="6462" w:type="dxa"/>
            <w:vAlign w:val="top"/>
          </w:tcPr>
          <w:p w14:paraId="3D3B558B">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根据投标人提供的应急响应能力进行打分，内容包括但不限于①临时紧急配送；②市场断货；③市场价格异常变动；④极端天气等时效性全面性保障内容。</w:t>
            </w:r>
          </w:p>
          <w:p w14:paraId="7DA180E9">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仿宋" w:hAnsi="仿宋" w:eastAsia="仿宋" w:cs="仿宋"/>
                <w:color w:val="auto"/>
                <w:kern w:val="1"/>
                <w:szCs w:val="21"/>
                <w:highlight w:val="none"/>
                <w:lang w:val="en-US" w:eastAsia="zh-CN"/>
              </w:rPr>
            </w:pPr>
            <w:r>
              <w:rPr>
                <w:rFonts w:hint="eastAsia" w:ascii="仿宋" w:hAnsi="仿宋" w:eastAsia="仿宋" w:cs="仿宋"/>
                <w:color w:val="auto"/>
                <w:kern w:val="1"/>
                <w:szCs w:val="21"/>
                <w:highlight w:val="none"/>
                <w:lang w:val="en-US" w:eastAsia="zh-CN"/>
              </w:rPr>
              <w:t>以上内容全部提供且清晰、完善、详细、可操作性强、科学合理的得12分。缺一项扣3分；单项内容不清晰、不完善、有所欠缺、可操作性不强、基本合理的则单项得1分；未提供或提供的内容与项目不符的则不得分。</w:t>
            </w:r>
          </w:p>
        </w:tc>
      </w:tr>
      <w:tr w14:paraId="427A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402" w:type="dxa"/>
            <w:gridSpan w:val="2"/>
            <w:vAlign w:val="center"/>
          </w:tcPr>
          <w:p w14:paraId="6AE400B8">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合计</w:t>
            </w:r>
          </w:p>
        </w:tc>
        <w:tc>
          <w:tcPr>
            <w:tcW w:w="861" w:type="dxa"/>
            <w:vAlign w:val="center"/>
          </w:tcPr>
          <w:p w14:paraId="2694601E">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100</w:t>
            </w:r>
          </w:p>
        </w:tc>
        <w:tc>
          <w:tcPr>
            <w:tcW w:w="6462" w:type="dxa"/>
            <w:vAlign w:val="center"/>
          </w:tcPr>
          <w:p w14:paraId="58F971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仿宋" w:hAnsi="仿宋" w:eastAsia="仿宋" w:cs="仿宋"/>
                <w:color w:val="FF0000"/>
                <w:szCs w:val="21"/>
                <w:highlight w:val="none"/>
              </w:rPr>
            </w:pPr>
            <w:r>
              <w:rPr>
                <w:rFonts w:hint="eastAsia" w:ascii="仿宋" w:hAnsi="仿宋" w:eastAsia="仿宋" w:cs="仿宋"/>
                <w:color w:val="auto"/>
                <w:szCs w:val="21"/>
                <w:highlight w:val="none"/>
              </w:rPr>
              <w:t>/</w:t>
            </w:r>
          </w:p>
        </w:tc>
      </w:tr>
    </w:tbl>
    <w:p w14:paraId="64CB2DED">
      <w:pPr>
        <w:pStyle w:val="2"/>
        <w:ind w:firstLine="0"/>
        <w:rPr>
          <w:rFonts w:hint="eastAsia" w:ascii="仿宋" w:hAnsi="仿宋" w:eastAsia="仿宋" w:cs="宋体"/>
          <w:b/>
          <w:color w:val="000000"/>
          <w:highlight w:val="none"/>
        </w:rPr>
        <w:sectPr>
          <w:pgSz w:w="11906" w:h="16838"/>
          <w:pgMar w:top="1417" w:right="1134" w:bottom="1134" w:left="1134" w:header="851" w:footer="992" w:gutter="0"/>
          <w:cols w:space="720" w:num="1"/>
          <w:titlePg/>
          <w:docGrid w:type="lines" w:linePitch="312" w:charSpace="0"/>
        </w:sectPr>
      </w:pPr>
    </w:p>
    <w:p w14:paraId="5A8A7B12">
      <w:pPr>
        <w:pStyle w:val="4"/>
        <w:rPr>
          <w:rFonts w:hint="eastAsia" w:ascii="仿宋" w:hAnsi="仿宋" w:cs="宋体"/>
          <w:color w:val="000000"/>
          <w:szCs w:val="24"/>
          <w:highlight w:val="none"/>
        </w:rPr>
      </w:pPr>
      <w:bookmarkStart w:id="617" w:name="_Toc65682984"/>
      <w:bookmarkStart w:id="618" w:name="_Toc109124309"/>
      <w:bookmarkStart w:id="619" w:name="_Toc18545"/>
      <w:bookmarkStart w:id="620" w:name="_Toc2188"/>
      <w:r>
        <w:rPr>
          <w:rFonts w:hint="eastAsia" w:ascii="仿宋" w:hAnsi="仿宋" w:cs="宋体"/>
          <w:color w:val="000000"/>
          <w:szCs w:val="24"/>
          <w:highlight w:val="none"/>
        </w:rPr>
        <w:t>一、评标方法</w:t>
      </w:r>
      <w:bookmarkEnd w:id="617"/>
      <w:bookmarkEnd w:id="618"/>
      <w:bookmarkEnd w:id="619"/>
      <w:bookmarkEnd w:id="620"/>
    </w:p>
    <w:p w14:paraId="7F295E8F">
      <w:pPr>
        <w:spacing w:line="360" w:lineRule="auto"/>
        <w:ind w:firstLine="480" w:firstLineChars="200"/>
        <w:textAlignment w:val="baseline"/>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招标项目评标采用综合评分法。评标委员会对满足招标文件实质性要求的投标文件，按照本章第2.2款规定的评审因素和评审标准进行评分，并按照综合得分由高到低的顺序推荐中标候选人，或者根据招标人授权直接确定中标人，但投标报价低于成本的除外。</w:t>
      </w:r>
    </w:p>
    <w:p w14:paraId="55B4CF65">
      <w:pPr>
        <w:pStyle w:val="4"/>
        <w:rPr>
          <w:rFonts w:hint="eastAsia" w:ascii="仿宋" w:hAnsi="仿宋" w:cs="宋体"/>
          <w:color w:val="000000"/>
          <w:szCs w:val="24"/>
          <w:highlight w:val="none"/>
        </w:rPr>
      </w:pPr>
      <w:bookmarkStart w:id="621" w:name="_Toc65682985"/>
      <w:bookmarkStart w:id="622" w:name="_Toc11746"/>
      <w:bookmarkStart w:id="623" w:name="_Toc24853"/>
      <w:bookmarkStart w:id="624" w:name="_Toc109124310"/>
      <w:r>
        <w:rPr>
          <w:rFonts w:hint="eastAsia" w:ascii="仿宋" w:hAnsi="仿宋" w:cs="宋体"/>
          <w:color w:val="000000"/>
          <w:szCs w:val="24"/>
          <w:highlight w:val="none"/>
        </w:rPr>
        <w:t>二、评审标准</w:t>
      </w:r>
      <w:bookmarkEnd w:id="621"/>
      <w:bookmarkEnd w:id="622"/>
      <w:bookmarkEnd w:id="623"/>
      <w:bookmarkEnd w:id="624"/>
    </w:p>
    <w:p w14:paraId="4F037251">
      <w:pPr>
        <w:spacing w:line="360" w:lineRule="auto"/>
        <w:ind w:firstLine="480" w:firstLineChars="200"/>
        <w:rPr>
          <w:rFonts w:hint="eastAsia" w:ascii="仿宋" w:hAnsi="仿宋" w:eastAsia="仿宋" w:cs="宋体"/>
          <w:color w:val="000000"/>
          <w:sz w:val="24"/>
          <w:szCs w:val="24"/>
          <w:highlight w:val="none"/>
        </w:rPr>
      </w:pPr>
      <w:bookmarkStart w:id="625" w:name="_Toc11677"/>
      <w:bookmarkStart w:id="626" w:name="_Toc65682986"/>
      <w:r>
        <w:rPr>
          <w:rFonts w:hint="eastAsia" w:ascii="仿宋" w:hAnsi="仿宋" w:eastAsia="仿宋" w:cs="宋体"/>
          <w:color w:val="000000"/>
          <w:sz w:val="24"/>
          <w:szCs w:val="24"/>
          <w:highlight w:val="none"/>
        </w:rPr>
        <w:t>2.1 初步评审标准：见评标办法前附表。</w:t>
      </w:r>
    </w:p>
    <w:p w14:paraId="2DCFE6AD">
      <w:pPr>
        <w:spacing w:line="360" w:lineRule="auto"/>
        <w:ind w:firstLine="480" w:firstLineChars="20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2.2 详细评审标准：见评标办法前附表。</w:t>
      </w:r>
    </w:p>
    <w:p w14:paraId="2C48D794">
      <w:pPr>
        <w:pStyle w:val="4"/>
        <w:rPr>
          <w:rFonts w:hint="eastAsia" w:ascii="仿宋" w:hAnsi="仿宋" w:cs="宋体"/>
          <w:color w:val="000000"/>
          <w:szCs w:val="24"/>
          <w:highlight w:val="none"/>
        </w:rPr>
      </w:pPr>
      <w:bookmarkStart w:id="627" w:name="_Toc109124311"/>
      <w:bookmarkStart w:id="628" w:name="_Toc5379"/>
      <w:r>
        <w:rPr>
          <w:rFonts w:hint="eastAsia" w:ascii="仿宋" w:hAnsi="仿宋" w:cs="宋体"/>
          <w:color w:val="000000"/>
          <w:szCs w:val="24"/>
          <w:highlight w:val="none"/>
        </w:rPr>
        <w:t>三、评标程序</w:t>
      </w:r>
      <w:bookmarkEnd w:id="625"/>
      <w:bookmarkEnd w:id="626"/>
      <w:bookmarkEnd w:id="627"/>
      <w:bookmarkEnd w:id="628"/>
    </w:p>
    <w:p w14:paraId="46CFF38C">
      <w:pPr>
        <w:pStyle w:val="5"/>
        <w:bidi w:val="0"/>
        <w:rPr>
          <w:rFonts w:hint="eastAsia"/>
        </w:rPr>
      </w:pPr>
      <w:bookmarkStart w:id="629" w:name="_Toc1356"/>
      <w:r>
        <w:rPr>
          <w:rFonts w:hint="eastAsia"/>
        </w:rPr>
        <w:t>3.1初步评审</w:t>
      </w:r>
      <w:bookmarkEnd w:id="629"/>
    </w:p>
    <w:p w14:paraId="0487F81E">
      <w:pPr>
        <w:widowControl/>
        <w:topLinePunct/>
        <w:spacing w:line="360" w:lineRule="auto"/>
        <w:ind w:firstLine="480" w:firstLineChars="200"/>
        <w:rPr>
          <w:rFonts w:hint="eastAsia" w:ascii="仿宋" w:hAnsi="仿宋" w:eastAsia="仿宋" w:cs="宋体"/>
          <w:b/>
          <w:bCs/>
          <w:color w:val="000000"/>
          <w:kern w:val="0"/>
          <w:sz w:val="24"/>
          <w:szCs w:val="24"/>
          <w:highlight w:val="none"/>
        </w:rPr>
      </w:pPr>
      <w:r>
        <w:rPr>
          <w:rFonts w:hint="eastAsia" w:ascii="仿宋" w:hAnsi="仿宋" w:eastAsia="仿宋" w:cs="宋体"/>
          <w:color w:val="000000"/>
          <w:kern w:val="0"/>
          <w:sz w:val="24"/>
          <w:szCs w:val="24"/>
          <w:highlight w:val="none"/>
        </w:rPr>
        <w:t>3.1.1评标委员会根据本章第2.1条规定的标准对投标文件进行初步评审。有一项不符合初步评审标准的，</w:t>
      </w:r>
      <w:r>
        <w:rPr>
          <w:rFonts w:hint="eastAsia" w:ascii="仿宋" w:hAnsi="仿宋" w:eastAsia="仿宋" w:cs="宋体"/>
          <w:b/>
          <w:bCs/>
          <w:color w:val="000000"/>
          <w:kern w:val="0"/>
          <w:sz w:val="24"/>
          <w:szCs w:val="24"/>
          <w:highlight w:val="none"/>
        </w:rPr>
        <w:t xml:space="preserve">评标委员会应当否决其投标。 </w:t>
      </w:r>
    </w:p>
    <w:p w14:paraId="51391A62">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3.1.2投标人有以下情形之一的，</w:t>
      </w:r>
      <w:r>
        <w:rPr>
          <w:rFonts w:hint="eastAsia" w:ascii="仿宋" w:hAnsi="仿宋" w:eastAsia="仿宋" w:cs="宋体"/>
          <w:b/>
          <w:bCs/>
          <w:color w:val="000000"/>
          <w:kern w:val="0"/>
          <w:sz w:val="24"/>
          <w:szCs w:val="24"/>
          <w:highlight w:val="none"/>
        </w:rPr>
        <w:t>评标委员会应当否决其投标</w:t>
      </w:r>
      <w:r>
        <w:rPr>
          <w:rFonts w:hint="eastAsia" w:ascii="仿宋" w:hAnsi="仿宋" w:eastAsia="仿宋" w:cs="宋体"/>
          <w:color w:val="000000"/>
          <w:kern w:val="0"/>
          <w:sz w:val="24"/>
          <w:szCs w:val="24"/>
          <w:highlight w:val="none"/>
        </w:rPr>
        <w:t>：</w:t>
      </w:r>
    </w:p>
    <w:p w14:paraId="47B5C719">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（1）按照招标公告要求已经递交电子投标文件，但未按时递交纸质投标文件；</w:t>
      </w:r>
    </w:p>
    <w:p w14:paraId="5422430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（2）投标文件未经投标单位盖章或单位负责人签字；</w:t>
      </w:r>
    </w:p>
    <w:p w14:paraId="39192B76">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（3）允许联合体投标的，投标联合体没有递交共同投标协议；</w:t>
      </w:r>
    </w:p>
    <w:p w14:paraId="4AA879EE">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（4）投标人不符合国家或者招标文件规定的资格条件；</w:t>
      </w:r>
    </w:p>
    <w:p w14:paraId="34F0645D">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（5）同一投标人提交两个以上不同的投标文件或者投标报价，但招标文件要求提交备选投标的除外；</w:t>
      </w:r>
    </w:p>
    <w:p w14:paraId="105D95C1">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（6）投标报价低于成本或者高于招标文件设定的最高投标限价；</w:t>
      </w:r>
    </w:p>
    <w:p w14:paraId="310536F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 xml:space="preserve">（7）投标文件未对招标文件的实质性要求和条件作出响应； </w:t>
      </w:r>
    </w:p>
    <w:p w14:paraId="1104C15D">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（8）投标人有串通投标、弄虚作假、行贿等违法行为；</w:t>
      </w:r>
    </w:p>
    <w:p w14:paraId="47FC140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（9）不接受或不确认因算术性错误进行的价格修正；</w:t>
      </w:r>
    </w:p>
    <w:p w14:paraId="60F5D74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（10）投标文件附有招标人不能接受的条件；</w:t>
      </w:r>
    </w:p>
    <w:p w14:paraId="3877FB25">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（11）不符合招标文件中规定的其他实质性要求。</w:t>
      </w:r>
    </w:p>
    <w:p w14:paraId="4E1B0CB3">
      <w:pPr>
        <w:widowControl/>
        <w:topLinePunct/>
        <w:spacing w:line="360" w:lineRule="auto"/>
        <w:ind w:firstLine="480" w:firstLineChars="200"/>
        <w:rPr>
          <w:rFonts w:ascii="仿宋" w:hAnsi="仿宋" w:eastAsia="仿宋" w:cs="宋体"/>
          <w:b/>
          <w:bCs/>
          <w:color w:val="000000"/>
          <w:kern w:val="0"/>
          <w:sz w:val="24"/>
          <w:szCs w:val="24"/>
          <w:highlight w:val="none"/>
        </w:rPr>
      </w:pPr>
      <w:r>
        <w:rPr>
          <w:rFonts w:hint="eastAsia" w:ascii="仿宋" w:hAnsi="仿宋" w:eastAsia="仿宋" w:cs="宋体"/>
          <w:color w:val="000000"/>
          <w:kern w:val="0"/>
          <w:sz w:val="24"/>
          <w:szCs w:val="24"/>
          <w:highlight w:val="none"/>
        </w:rPr>
        <w:t>3.1.</w:t>
      </w:r>
      <w:r>
        <w:rPr>
          <w:rFonts w:ascii="仿宋" w:hAnsi="仿宋" w:eastAsia="仿宋" w:cs="宋体"/>
          <w:color w:val="000000"/>
          <w:kern w:val="0"/>
          <w:sz w:val="24"/>
          <w:szCs w:val="24"/>
          <w:highlight w:val="none"/>
        </w:rPr>
        <w:t>3</w:t>
      </w:r>
      <w:r>
        <w:rPr>
          <w:rFonts w:hint="eastAsia" w:ascii="仿宋" w:hAnsi="仿宋" w:eastAsia="仿宋" w:cs="宋体"/>
          <w:color w:val="000000"/>
          <w:kern w:val="0"/>
          <w:sz w:val="24"/>
          <w:szCs w:val="24"/>
          <w:highlight w:val="none"/>
        </w:rPr>
        <w:t>投标报价有算术错误的，评标委员会按照以下原则对投标报价进行修正，修正的价格经投标人书面确认后具有约束力。投标人不接受或不确认修正后价格的，</w:t>
      </w:r>
      <w:r>
        <w:rPr>
          <w:rFonts w:hint="eastAsia" w:ascii="仿宋" w:hAnsi="仿宋" w:eastAsia="仿宋" w:cs="宋体"/>
          <w:b/>
          <w:bCs/>
          <w:color w:val="000000"/>
          <w:kern w:val="0"/>
          <w:sz w:val="24"/>
          <w:szCs w:val="24"/>
          <w:highlight w:val="none"/>
        </w:rPr>
        <w:t>评标委员会应当否决其投标。</w:t>
      </w:r>
    </w:p>
    <w:p w14:paraId="73AAAD12">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 投标文件中的大写金额与小写金额不一致的，以大写金额为准；</w:t>
      </w:r>
    </w:p>
    <w:p w14:paraId="688D3B26">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 总价金额与根据单价计算出的结果不一致的，以单价金额为准修正总价，但单价金额小数点有明显错误的除外。</w:t>
      </w:r>
    </w:p>
    <w:p w14:paraId="32B5F4ED">
      <w:pPr>
        <w:widowControl/>
        <w:topLinePunct/>
        <w:spacing w:line="360" w:lineRule="auto"/>
        <w:ind w:firstLine="480" w:firstLineChars="200"/>
        <w:rPr>
          <w:rFonts w:ascii="仿宋" w:hAnsi="仿宋" w:eastAsia="仿宋" w:cs="宋体"/>
          <w:b/>
          <w:bCs/>
          <w:color w:val="000000"/>
          <w:kern w:val="0"/>
          <w:sz w:val="24"/>
          <w:szCs w:val="24"/>
          <w:highlight w:val="none"/>
        </w:rPr>
      </w:pPr>
      <w:r>
        <w:rPr>
          <w:rFonts w:hint="eastAsia" w:ascii="仿宋" w:hAnsi="仿宋" w:eastAsia="仿宋" w:cs="宋体"/>
          <w:color w:val="000000"/>
          <w:kern w:val="0"/>
          <w:sz w:val="24"/>
          <w:szCs w:val="24"/>
          <w:highlight w:val="none"/>
        </w:rPr>
        <w:t>3</w:t>
      </w:r>
      <w:r>
        <w:rPr>
          <w:rFonts w:ascii="仿宋" w:hAnsi="仿宋" w:eastAsia="仿宋" w:cs="宋体"/>
          <w:color w:val="000000"/>
          <w:kern w:val="0"/>
          <w:sz w:val="24"/>
          <w:szCs w:val="24"/>
          <w:highlight w:val="none"/>
        </w:rPr>
        <w:t>.1.4</w:t>
      </w:r>
      <w:r>
        <w:rPr>
          <w:rFonts w:hint="eastAsia" w:ascii="仿宋" w:hAnsi="仿宋" w:eastAsia="仿宋" w:cs="宋体"/>
          <w:color w:val="000000"/>
          <w:kern w:val="0"/>
          <w:sz w:val="24"/>
          <w:szCs w:val="24"/>
          <w:highlight w:val="none"/>
        </w:rPr>
        <w:t>在评标过程中，评标委员会发现投标人的报价明显低于其他投标报价或者在设有标底时明显低于标底，使得其投标报价可能低于其个别成本的，应当要求该投标人作出书面说明并提供相关证明材料。投标人不能合理说明或者不能提供相关证明材料的，由评标委员会认定该投标人以低于成本报价竞标，</w:t>
      </w:r>
      <w:r>
        <w:rPr>
          <w:rFonts w:hint="eastAsia" w:ascii="仿宋" w:hAnsi="仿宋" w:eastAsia="仿宋" w:cs="宋体"/>
          <w:b/>
          <w:bCs/>
          <w:color w:val="000000"/>
          <w:kern w:val="0"/>
          <w:sz w:val="24"/>
          <w:szCs w:val="24"/>
          <w:highlight w:val="none"/>
        </w:rPr>
        <w:t>应当否决其投标。</w:t>
      </w:r>
    </w:p>
    <w:p w14:paraId="6AA820A1">
      <w:pPr>
        <w:widowControl/>
        <w:topLinePunct/>
        <w:spacing w:line="360" w:lineRule="auto"/>
        <w:ind w:firstLine="480" w:firstLineChars="200"/>
        <w:rPr>
          <w:rFonts w:hint="eastAsia" w:ascii="仿宋" w:hAnsi="仿宋" w:eastAsia="仿宋" w:cs="宋体"/>
          <w:b/>
          <w:bCs/>
          <w:color w:val="000000"/>
          <w:kern w:val="0"/>
          <w:sz w:val="24"/>
          <w:szCs w:val="24"/>
          <w:highlight w:val="none"/>
        </w:rPr>
      </w:pPr>
      <w:r>
        <w:rPr>
          <w:rFonts w:hint="eastAsia" w:ascii="仿宋" w:hAnsi="仿宋" w:eastAsia="仿宋" w:cs="宋体"/>
          <w:color w:val="000000"/>
          <w:kern w:val="0"/>
          <w:sz w:val="24"/>
          <w:szCs w:val="24"/>
          <w:highlight w:val="none"/>
        </w:rPr>
        <w:t>3.1.5 中标人为1家的项目，如果有效投标人少于3家（不含本数），</w:t>
      </w:r>
      <w:r>
        <w:rPr>
          <w:rFonts w:hint="eastAsia" w:ascii="仿宋" w:hAnsi="仿宋" w:eastAsia="仿宋" w:cs="宋体"/>
          <w:b/>
          <w:bCs/>
          <w:color w:val="000000"/>
          <w:kern w:val="0"/>
          <w:sz w:val="24"/>
          <w:szCs w:val="24"/>
          <w:highlight w:val="none"/>
        </w:rPr>
        <w:t>评标委员会将否决全部投标。</w:t>
      </w:r>
      <w:r>
        <w:rPr>
          <w:rFonts w:hint="eastAsia" w:ascii="仿宋" w:hAnsi="仿宋" w:eastAsia="仿宋" w:cs="宋体"/>
          <w:color w:val="000000"/>
          <w:kern w:val="0"/>
          <w:sz w:val="24"/>
          <w:szCs w:val="24"/>
          <w:highlight w:val="none"/>
        </w:rPr>
        <w:t>中标人为N家（1</w:t>
      </w:r>
      <w:r>
        <w:rPr>
          <w:rFonts w:ascii="仿宋" w:hAnsi="仿宋" w:eastAsia="仿宋" w:cs="宋体"/>
          <w:color w:val="000000"/>
          <w:kern w:val="0"/>
          <w:sz w:val="24"/>
          <w:szCs w:val="24"/>
          <w:highlight w:val="none"/>
        </w:rPr>
        <w:t>&lt;</w:t>
      </w:r>
      <w:r>
        <w:rPr>
          <w:rFonts w:hint="eastAsia" w:ascii="仿宋" w:hAnsi="仿宋" w:eastAsia="仿宋" w:cs="宋体"/>
          <w:color w:val="000000"/>
          <w:kern w:val="0"/>
          <w:sz w:val="24"/>
          <w:szCs w:val="24"/>
          <w:highlight w:val="none"/>
        </w:rPr>
        <w:t>N≤3）的项目，如果有效投标人少于2N家（不含本数），评标委员会</w:t>
      </w:r>
      <w:r>
        <w:rPr>
          <w:rFonts w:hint="eastAsia" w:ascii="仿宋" w:hAnsi="仿宋" w:eastAsia="仿宋" w:cs="宋体"/>
          <w:b/>
          <w:bCs/>
          <w:color w:val="000000"/>
          <w:kern w:val="0"/>
          <w:sz w:val="24"/>
          <w:szCs w:val="24"/>
          <w:highlight w:val="none"/>
        </w:rPr>
        <w:t>将否决全部投标</w:t>
      </w:r>
      <w:r>
        <w:rPr>
          <w:rFonts w:hint="eastAsia" w:ascii="仿宋" w:hAnsi="仿宋" w:eastAsia="仿宋" w:cs="宋体"/>
          <w:color w:val="000000"/>
          <w:kern w:val="0"/>
          <w:sz w:val="24"/>
          <w:szCs w:val="24"/>
          <w:highlight w:val="none"/>
        </w:rPr>
        <w:t>。中标人为N家（N＞3）的项目，如果有效投标人少于1.5N家（不含本数），评标委员会</w:t>
      </w:r>
      <w:r>
        <w:rPr>
          <w:rFonts w:hint="eastAsia" w:ascii="仿宋" w:hAnsi="仿宋" w:eastAsia="仿宋" w:cs="宋体"/>
          <w:b/>
          <w:bCs/>
          <w:color w:val="000000"/>
          <w:kern w:val="0"/>
          <w:sz w:val="24"/>
          <w:szCs w:val="24"/>
          <w:highlight w:val="none"/>
        </w:rPr>
        <w:t>将否决全部投标。</w:t>
      </w:r>
    </w:p>
    <w:p w14:paraId="60AD1A0F">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3.1.6 对不同文字文本投标文件的解释发生异议的，以中文文本为准。</w:t>
      </w:r>
    </w:p>
    <w:p w14:paraId="20C9AE0F">
      <w:pPr>
        <w:pStyle w:val="5"/>
        <w:bidi w:val="0"/>
        <w:rPr>
          <w:rFonts w:hint="eastAsia"/>
        </w:rPr>
      </w:pPr>
      <w:bookmarkStart w:id="630" w:name="_Toc549"/>
      <w:r>
        <w:rPr>
          <w:rFonts w:hint="eastAsia"/>
        </w:rPr>
        <w:t>3.2 详细评审</w:t>
      </w:r>
      <w:bookmarkEnd w:id="630"/>
    </w:p>
    <w:p w14:paraId="1D856426">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3.2.1 评标委员会按照本章第2.2款规定的评审因素和量化标准进行评分，并计算出综合评估得分。</w:t>
      </w:r>
    </w:p>
    <w:p w14:paraId="7DC49B70">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3.2.2 评分分值计算原则上保留小数点后两位，小数点后第三位“四舍五入”。</w:t>
      </w:r>
    </w:p>
    <w:p w14:paraId="447D21B0">
      <w:pPr>
        <w:pStyle w:val="5"/>
        <w:bidi w:val="0"/>
        <w:rPr>
          <w:rFonts w:hint="eastAsia"/>
        </w:rPr>
      </w:pPr>
      <w:bookmarkStart w:id="631" w:name="_Toc3245"/>
      <w:r>
        <w:rPr>
          <w:rFonts w:hint="eastAsia"/>
        </w:rPr>
        <w:t>3.3 投标文件的澄清、说明</w:t>
      </w:r>
      <w:bookmarkEnd w:id="631"/>
    </w:p>
    <w:p w14:paraId="73E3846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3.3.1 投标文件中有含义不明确的内容、明显文字或者计算错误、对同类问题表述不一致的，评标委员会认为需要投标人作出必要澄清、说明或者补正的，应当以书面形式通知该投标人。</w:t>
      </w:r>
      <w:bookmarkStart w:id="632" w:name="_Hlk142926906"/>
      <w:r>
        <w:rPr>
          <w:rFonts w:hint="eastAsia" w:ascii="仿宋" w:hAnsi="仿宋" w:eastAsia="仿宋" w:cs="宋体"/>
          <w:color w:val="000000"/>
          <w:kern w:val="0"/>
          <w:sz w:val="24"/>
          <w:szCs w:val="24"/>
          <w:highlight w:val="none"/>
        </w:rPr>
        <w:t>评标委员会不得暗示或者诱导投标人作出澄清、说明或补正，不得接受投标人主动提出的澄清、说明或补正。</w:t>
      </w:r>
    </w:p>
    <w:bookmarkEnd w:id="632"/>
    <w:p w14:paraId="42BC4617">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3.3.2 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14:paraId="51ED830B">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w:t>
      </w:r>
      <w:r>
        <w:rPr>
          <w:rFonts w:ascii="仿宋" w:hAnsi="仿宋" w:eastAsia="仿宋" w:cs="宋体"/>
          <w:color w:val="000000"/>
          <w:kern w:val="0"/>
          <w:sz w:val="24"/>
          <w:szCs w:val="24"/>
          <w:highlight w:val="none"/>
        </w:rPr>
        <w:t xml:space="preserve">.3.3 </w:t>
      </w:r>
      <w:r>
        <w:rPr>
          <w:rFonts w:hint="eastAsia" w:ascii="仿宋" w:hAnsi="仿宋" w:eastAsia="仿宋" w:cs="宋体"/>
          <w:color w:val="000000"/>
          <w:kern w:val="0"/>
          <w:sz w:val="24"/>
          <w:szCs w:val="24"/>
          <w:highlight w:val="none"/>
        </w:rPr>
        <w:t>投标人的澄清、说明和补正应当采用书面形式</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并不得超出投标文件的范围或者改变投标文件的实质性内容（算术性错误修正的除外），投标人的书面澄清、说明和补正属于投标文件的组成部分。</w:t>
      </w:r>
      <w:bookmarkStart w:id="633" w:name="_Hlk142926929"/>
      <w:r>
        <w:rPr>
          <w:rFonts w:hint="eastAsia" w:ascii="仿宋" w:hAnsi="仿宋" w:eastAsia="仿宋" w:cs="宋体"/>
          <w:color w:val="000000"/>
          <w:kern w:val="0"/>
          <w:sz w:val="24"/>
          <w:szCs w:val="24"/>
          <w:highlight w:val="none"/>
        </w:rPr>
        <w:t>拒不按照要求对投标文件进行澄清、说明或补正的，评标委员会</w:t>
      </w:r>
      <w:r>
        <w:rPr>
          <w:rFonts w:hint="eastAsia" w:ascii="仿宋" w:hAnsi="仿宋" w:eastAsia="仿宋" w:cs="宋体"/>
          <w:b/>
          <w:bCs/>
          <w:color w:val="000000"/>
          <w:kern w:val="0"/>
          <w:sz w:val="24"/>
          <w:szCs w:val="24"/>
          <w:highlight w:val="none"/>
        </w:rPr>
        <w:t>可以否决其投标</w:t>
      </w:r>
      <w:r>
        <w:rPr>
          <w:rFonts w:hint="eastAsia" w:ascii="仿宋" w:hAnsi="仿宋" w:eastAsia="仿宋" w:cs="宋体"/>
          <w:color w:val="000000"/>
          <w:kern w:val="0"/>
          <w:sz w:val="24"/>
          <w:szCs w:val="24"/>
          <w:highlight w:val="none"/>
        </w:rPr>
        <w:t>。</w:t>
      </w:r>
    </w:p>
    <w:bookmarkEnd w:id="633"/>
    <w:p w14:paraId="57BB3702">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w:t>
      </w:r>
      <w:r>
        <w:rPr>
          <w:rFonts w:ascii="仿宋" w:hAnsi="仿宋" w:eastAsia="仿宋" w:cs="宋体"/>
          <w:color w:val="000000"/>
          <w:kern w:val="0"/>
          <w:sz w:val="24"/>
          <w:szCs w:val="24"/>
          <w:highlight w:val="none"/>
        </w:rPr>
        <w:t xml:space="preserve">4 </w:t>
      </w:r>
      <w:r>
        <w:rPr>
          <w:rFonts w:hint="eastAsia" w:ascii="仿宋" w:hAnsi="仿宋" w:eastAsia="仿宋" w:cs="宋体"/>
          <w:color w:val="000000"/>
          <w:kern w:val="0"/>
          <w:sz w:val="24"/>
          <w:szCs w:val="24"/>
          <w:highlight w:val="none"/>
        </w:rPr>
        <w:t>评标委员会对投标人递交的澄清、说明或补正有疑问的，可以要求投标人进一步澄清、说明或者补正，直至满足评标委员会的要求。</w:t>
      </w:r>
    </w:p>
    <w:p w14:paraId="7A19E764">
      <w:pPr>
        <w:widowControl/>
        <w:topLinePunct/>
        <w:spacing w:line="360" w:lineRule="auto"/>
        <w:ind w:firstLine="480" w:firstLineChars="20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3.3.</w:t>
      </w: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 xml:space="preserve"> 评标委员会必要时可以要求投标人提交有关证明和证件的原件，以便核验。</w:t>
      </w:r>
      <w:bookmarkStart w:id="634" w:name="_Hlk142926937"/>
      <w:r>
        <w:rPr>
          <w:rFonts w:hint="eastAsia" w:ascii="仿宋" w:hAnsi="仿宋" w:eastAsia="仿宋" w:cs="宋体"/>
          <w:color w:val="000000"/>
          <w:kern w:val="0"/>
          <w:sz w:val="24"/>
          <w:szCs w:val="24"/>
          <w:highlight w:val="none"/>
        </w:rPr>
        <w:t>拒不按照要求提供原件的，评标委员会</w:t>
      </w:r>
      <w:r>
        <w:rPr>
          <w:rFonts w:hint="eastAsia" w:ascii="仿宋" w:hAnsi="仿宋" w:eastAsia="仿宋" w:cs="宋体"/>
          <w:b/>
          <w:bCs/>
          <w:color w:val="000000"/>
          <w:kern w:val="0"/>
          <w:sz w:val="24"/>
          <w:szCs w:val="24"/>
          <w:highlight w:val="none"/>
        </w:rPr>
        <w:t>可以否决其投标。</w:t>
      </w:r>
    </w:p>
    <w:bookmarkEnd w:id="634"/>
    <w:p w14:paraId="57E56951">
      <w:pPr>
        <w:pStyle w:val="5"/>
        <w:bidi w:val="0"/>
        <w:rPr>
          <w:rFonts w:hint="eastAsia"/>
        </w:rPr>
      </w:pPr>
      <w:bookmarkStart w:id="635" w:name="_Toc27472"/>
      <w:r>
        <w:rPr>
          <w:rFonts w:hint="eastAsia"/>
        </w:rPr>
        <w:t>3.4 中标候选人推荐原则</w:t>
      </w:r>
      <w:bookmarkEnd w:id="635"/>
    </w:p>
    <w:p w14:paraId="6F4F64C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3.4.1 除第二章“投标人须知前附表”第7.2.1条授权评标委员会直接确定中标人外，评标委员会应按照投标人综合得分由高到低的顺序推荐中标候选人。综合得分相同时的处理情形见</w:t>
      </w:r>
      <w:r>
        <w:rPr>
          <w:rFonts w:hint="eastAsia" w:ascii="仿宋" w:hAnsi="仿宋" w:eastAsia="仿宋" w:cs="宋体"/>
          <w:color w:val="000000"/>
          <w:spacing w:val="4"/>
          <w:kern w:val="0"/>
          <w:sz w:val="24"/>
          <w:szCs w:val="24"/>
          <w:highlight w:val="none"/>
        </w:rPr>
        <w:t>第二章“投标人须知前附表”第6.4条</w:t>
      </w:r>
      <w:r>
        <w:rPr>
          <w:rFonts w:hint="eastAsia" w:ascii="仿宋" w:hAnsi="仿宋" w:eastAsia="仿宋" w:cs="宋体"/>
          <w:color w:val="000000"/>
          <w:kern w:val="0"/>
          <w:sz w:val="24"/>
          <w:szCs w:val="24"/>
          <w:highlight w:val="none"/>
        </w:rPr>
        <w:t>。</w:t>
      </w:r>
    </w:p>
    <w:p w14:paraId="24D1ACE3">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3.4.2 中标候选人推荐原则</w:t>
      </w:r>
      <w:r>
        <w:rPr>
          <w:rFonts w:hint="eastAsia" w:ascii="仿宋" w:hAnsi="仿宋" w:eastAsia="仿宋" w:cs="宋体"/>
          <w:color w:val="000000"/>
          <w:spacing w:val="4"/>
          <w:kern w:val="0"/>
          <w:sz w:val="24"/>
          <w:szCs w:val="24"/>
          <w:highlight w:val="none"/>
        </w:rPr>
        <w:t>与第二章“投标人须知前附表”第6.4条一致</w:t>
      </w:r>
      <w:r>
        <w:rPr>
          <w:rFonts w:hint="eastAsia" w:ascii="仿宋" w:hAnsi="仿宋" w:eastAsia="仿宋" w:cs="宋体"/>
          <w:color w:val="000000"/>
          <w:kern w:val="0"/>
          <w:sz w:val="24"/>
          <w:szCs w:val="24"/>
          <w:highlight w:val="none"/>
        </w:rPr>
        <w:t>。</w:t>
      </w:r>
    </w:p>
    <w:p w14:paraId="28AC539F">
      <w:pPr>
        <w:pStyle w:val="5"/>
        <w:bidi w:val="0"/>
        <w:rPr>
          <w:rFonts w:hint="eastAsia"/>
        </w:rPr>
      </w:pPr>
      <w:bookmarkStart w:id="636" w:name="_Toc4198"/>
      <w:r>
        <w:rPr>
          <w:rFonts w:hint="eastAsia"/>
        </w:rPr>
        <w:t>3.5 评标结果</w:t>
      </w:r>
      <w:bookmarkEnd w:id="636"/>
    </w:p>
    <w:p w14:paraId="3D2E5B29">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3.5.1 评标委员会完成评标后，应当向招标人递交书面评标报告。评标委员会分组评审的，应当形成统一、完整的评标报告。</w:t>
      </w:r>
    </w:p>
    <w:p w14:paraId="1C22530C">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3.5.2 评标报告应当包括下列内容：</w:t>
      </w:r>
    </w:p>
    <w:p w14:paraId="78EB684A">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（1）项目简况；</w:t>
      </w:r>
    </w:p>
    <w:p w14:paraId="31EF57BD">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（2）开标情况；</w:t>
      </w:r>
    </w:p>
    <w:p w14:paraId="2D236204">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（3）评标方法、评分标准；</w:t>
      </w:r>
    </w:p>
    <w:p w14:paraId="304FA96E">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（4）初步评审情况；</w:t>
      </w:r>
    </w:p>
    <w:p w14:paraId="47BF6BD2">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（5）否决投标的情况说明；</w:t>
      </w:r>
    </w:p>
    <w:p w14:paraId="2AA423F4">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（6）详细评审情况；</w:t>
      </w:r>
    </w:p>
    <w:p w14:paraId="75E48FD8">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（7）评标委员会意见；</w:t>
      </w:r>
    </w:p>
    <w:p w14:paraId="7A099C46">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（8）合同签订注意事项；</w:t>
      </w:r>
    </w:p>
    <w:p w14:paraId="0845B8A3">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（9）澄清、说明及补正事项；</w:t>
      </w:r>
    </w:p>
    <w:p w14:paraId="36F0E869">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（10）附件（《开标记录表》《评审专家签到表》《初步审查表》《评标专家个人评分表》《价格评分汇总表》《综合得分汇总表》）；</w:t>
      </w:r>
    </w:p>
    <w:p w14:paraId="0D472277">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（11）拒绝在评标报告上签字的评标委员会成员名单及其陈述的不同意见和理由；</w:t>
      </w:r>
    </w:p>
    <w:p w14:paraId="2128D686">
      <w:pPr>
        <w:widowControl/>
        <w:topLinePunct/>
        <w:spacing w:line="360" w:lineRule="auto"/>
        <w:ind w:left="283" w:leftChars="135"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（12）其他。</w:t>
      </w:r>
    </w:p>
    <w:p w14:paraId="2F3A95D9">
      <w:pPr>
        <w:rPr>
          <w:rFonts w:hint="eastAsia" w:ascii="仿宋" w:hAnsi="仿宋" w:eastAsia="仿宋" w:cs="宋体"/>
          <w:color w:val="000000"/>
          <w:highlight w:val="none"/>
        </w:rPr>
      </w:pPr>
    </w:p>
    <w:p w14:paraId="1FE69406">
      <w:pPr>
        <w:rPr>
          <w:rFonts w:hint="eastAsia" w:ascii="仿宋" w:hAnsi="仿宋" w:eastAsia="仿宋" w:cs="宋体"/>
          <w:color w:val="000000"/>
          <w:highlight w:val="none"/>
        </w:rPr>
      </w:pPr>
    </w:p>
    <w:p w14:paraId="76AB5754">
      <w:pPr>
        <w:rPr>
          <w:rFonts w:hint="eastAsia" w:ascii="仿宋" w:hAnsi="仿宋" w:eastAsia="仿宋" w:cs="宋体"/>
          <w:color w:val="000000"/>
          <w:highlight w:val="none"/>
        </w:rPr>
      </w:pPr>
    </w:p>
    <w:p w14:paraId="50EAD089">
      <w:pPr>
        <w:pStyle w:val="3"/>
        <w:rPr>
          <w:rFonts w:hint="eastAsia" w:ascii="仿宋" w:hAnsi="仿宋" w:cs="宋体"/>
          <w:color w:val="000000"/>
          <w:highlight w:val="none"/>
        </w:rPr>
      </w:pPr>
      <w:r>
        <w:rPr>
          <w:rFonts w:hint="eastAsia" w:ascii="仿宋" w:hAnsi="仿宋" w:cs="宋体"/>
          <w:color w:val="000000"/>
          <w:highlight w:val="none"/>
        </w:rPr>
        <w:br w:type="page"/>
      </w:r>
      <w:bookmarkStart w:id="637" w:name="_Toc65682987"/>
      <w:bookmarkStart w:id="638" w:name="_Toc109124312"/>
      <w:bookmarkStart w:id="639" w:name="_Toc20727"/>
      <w:bookmarkStart w:id="640" w:name="_Toc27416"/>
      <w:r>
        <w:rPr>
          <w:rFonts w:hint="eastAsia" w:ascii="仿宋" w:hAnsi="仿宋" w:cs="宋体"/>
          <w:color w:val="auto"/>
          <w:highlight w:val="none"/>
        </w:rPr>
        <w:t>第四章 合同条款</w:t>
      </w:r>
      <w:bookmarkEnd w:id="637"/>
      <w:bookmarkEnd w:id="638"/>
      <w:bookmarkEnd w:id="639"/>
      <w:bookmarkEnd w:id="640"/>
    </w:p>
    <w:p w14:paraId="6C1497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mc:AlternateContent>
          <mc:Choice Requires="wps">
            <w:drawing>
              <wp:inline distT="0" distB="0" distL="114300" distR="114300">
                <wp:extent cx="635" cy="0"/>
                <wp:effectExtent l="0" t="0" r="0" b="0"/>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0nLWXakBAABZAwAADgAA&#10;AAAAAAABACAAAAAeAQAAZHJzL2Uyb0RvYy54bWxQSwUGAAAAAAYABgBZAQAAOQUAAAAA&#10;">
                <v:fill on="f" focussize="0,0"/>
                <v:stroke on="f"/>
                <v:imagedata o:title=""/>
                <o:lock v:ext="edit" aspectratio="t"/>
                <w10:wrap type="none"/>
                <w10:anchorlock/>
              </v:rect>
            </w:pict>
          </mc:Fallback>
        </mc:AlternateContent>
      </w:r>
      <w:r>
        <w:rPr>
          <w:rFonts w:hint="eastAsia" w:ascii="仿宋" w:hAnsi="仿宋" w:eastAsia="仿宋" w:cs="仿宋"/>
          <w:b/>
          <w:bCs/>
          <w:color w:val="auto"/>
          <w:kern w:val="0"/>
          <w:sz w:val="24"/>
          <w:szCs w:val="24"/>
          <w:highlight w:val="none"/>
          <w:lang w:eastAsia="zh-CN" w:bidi="ar"/>
        </w:rPr>
        <w:t>（</w:t>
      </w:r>
      <w:r>
        <w:rPr>
          <w:rFonts w:hint="eastAsia" w:ascii="仿宋" w:hAnsi="仿宋" w:eastAsia="仿宋" w:cs="仿宋"/>
          <w:b/>
          <w:bCs/>
          <w:color w:val="auto"/>
          <w:kern w:val="0"/>
          <w:sz w:val="24"/>
          <w:szCs w:val="24"/>
          <w:highlight w:val="none"/>
          <w:lang w:val="en-US" w:eastAsia="zh-CN" w:bidi="ar"/>
        </w:rPr>
        <w:t>具体以实际签订合同为准</w:t>
      </w:r>
      <w:r>
        <w:rPr>
          <w:rFonts w:hint="eastAsia" w:ascii="仿宋" w:hAnsi="仿宋" w:eastAsia="仿宋" w:cs="仿宋"/>
          <w:b/>
          <w:bCs/>
          <w:color w:val="auto"/>
          <w:kern w:val="0"/>
          <w:sz w:val="24"/>
          <w:szCs w:val="24"/>
          <w:highlight w:val="none"/>
          <w:lang w:eastAsia="zh-CN" w:bidi="ar"/>
        </w:rPr>
        <w:t>）</w:t>
      </w:r>
    </w:p>
    <w:p w14:paraId="32EE89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outlineLvl w:val="2"/>
        <w:rPr>
          <w:rFonts w:hint="eastAsia" w:ascii="仿宋" w:hAnsi="仿宋" w:eastAsia="仿宋" w:cs="仿宋"/>
          <w:color w:val="auto"/>
          <w:kern w:val="0"/>
          <w:sz w:val="24"/>
          <w:szCs w:val="24"/>
          <w:highlight w:val="none"/>
          <w:lang w:bidi="ar"/>
        </w:rPr>
      </w:pPr>
      <w:bookmarkStart w:id="641" w:name="_Toc3082"/>
      <w:r>
        <w:rPr>
          <w:rFonts w:hint="eastAsia" w:ascii="仿宋" w:hAnsi="仿宋" w:eastAsia="仿宋" w:cs="仿宋"/>
          <w:b/>
          <w:bCs/>
          <w:color w:val="auto"/>
          <w:kern w:val="0"/>
          <w:sz w:val="24"/>
          <w:szCs w:val="24"/>
          <w:highlight w:val="none"/>
          <w:lang w:bidi="ar"/>
        </w:rPr>
        <w:t>商务部分</w:t>
      </w:r>
      <w:bookmarkEnd w:id="641"/>
    </w:p>
    <w:p w14:paraId="6C5FEE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第一条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项目内容及要求</w:t>
      </w:r>
    </w:p>
    <w:p w14:paraId="624B76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（一） 项目内容及要求</w:t>
      </w:r>
    </w:p>
    <w:p w14:paraId="766B0A3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（1）本合同项下甲乙双方约定的项目内容及要求见本合同【附件】。</w:t>
      </w:r>
    </w:p>
    <w:p w14:paraId="5C1DA9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（2）乙方应向甲方交付合同【附件】中列明的全部合同货物，负责合同货物的运输、安装、调试，并向甲方提供合同【附件】列明的技术服务。</w:t>
      </w:r>
    </w:p>
    <w:p w14:paraId="6828C9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（3）乙方须向甲方提供包括但不限于保修、维修、咨询、培训等在内的一系列服务。</w:t>
      </w:r>
    </w:p>
    <w:p w14:paraId="3D424A9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（二） 质量标准</w:t>
      </w:r>
    </w:p>
    <w:p w14:paraId="523306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乙方根据本合同向甲方供应的合同货物，应是原厂生产的、未经使用的并且是安全的、经济的、成熟可靠的货物。双方约定合同货物的质量应满足同类货物的国家标准、部颁标准、行业标准中的最高标准。同时，如双方约定合同货物质量标准的，乙方交付的货物应符合约定的质量标准。</w:t>
      </w:r>
    </w:p>
    <w:p w14:paraId="3DF9A3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第二条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合同价格</w:t>
      </w:r>
    </w:p>
    <w:p w14:paraId="287F92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本合同总价款为_______元（大写：_______）。合同价格明细见【附件】。</w:t>
      </w:r>
    </w:p>
    <w:p w14:paraId="5D550C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本合同总价款包括合同货物价格、合同货物安装调试费、技术服务费、售后服务费等费用，还包括合同货物的税费、技术资料费、运输费、装卸费、包装费、仓储费、保险费等与本合同有关的所有费用。除合同总价款外，甲方无须就本合同项下乙方的任何义务支付任何额外费用。</w:t>
      </w:r>
    </w:p>
    <w:p w14:paraId="35039E8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本合同付款安排见【附件】。</w:t>
      </w:r>
    </w:p>
    <w:p w14:paraId="692B3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（四） 由于乙方未提供或未及时提供足额有效的增值税专用发票，或乙方变更账户信息但未提前通知甲方而导致的付款迟延，甲方不承担任何责任。</w:t>
      </w:r>
    </w:p>
    <w:p w14:paraId="052E176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（五） ......</w:t>
      </w:r>
    </w:p>
    <w:p w14:paraId="006A771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第三条</w:t>
      </w:r>
      <w:r>
        <w:rPr>
          <w:rFonts w:hint="eastAsia" w:ascii="仿宋" w:hAnsi="仿宋" w:eastAsia="仿宋" w:cs="仿宋"/>
          <w:color w:val="auto"/>
          <w:kern w:val="0"/>
          <w:sz w:val="24"/>
          <w:szCs w:val="24"/>
          <w:highlight w:val="none"/>
          <w:lang w:bidi="ar"/>
        </w:rPr>
        <w:t xml:space="preserve"> 双方的权利和义务</w:t>
      </w:r>
    </w:p>
    <w:p w14:paraId="7248AC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双方的权利和义务</w:t>
      </w:r>
    </w:p>
    <w:p w14:paraId="53FE0A6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除本合同约定的双方的权利义务外，甲乙双方在本合同项下的其他权利和义务见【附件】的约定。</w:t>
      </w:r>
    </w:p>
    <w:p w14:paraId="65E229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第四条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包装和运输</w:t>
      </w:r>
    </w:p>
    <w:p w14:paraId="6CE97E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乙方负责将合同货物安全运送至甲方指定地点，交付给甲方指定收货人，并负责安装、调试合同货物以使合同货物达到验收标准，乙方并提供相关技术服务；正式交付之前发生的运输费用、保险费用、仓储保管费用、合同货物灭失及毁损的风险由均乙方承担。</w:t>
      </w:r>
    </w:p>
    <w:p w14:paraId="425B2F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（二） 包装</w:t>
      </w:r>
    </w:p>
    <w:p w14:paraId="76689DF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乙方应提供合同货物运至合同约定的最终目的地所需要的包装，以防止货物在转运中损坏或变质。乙方提供的包装应采取防潮、防晒、防锈、防腐蚀、防震动及防止其它损坏的必要保护措施，从而保护货物能够经受多次搬运、装卸及长途运输。</w:t>
      </w:r>
    </w:p>
    <w:p w14:paraId="41C76F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乙方需在每一包装箱（物）表面显著位置以显著方式标明合同号、箱号、收货人、目的地、内件品名、尺寸规格、数量、重量等内容，并对每一包装箱内合同货物附以标签，标明其在安装图纸中的编号。另外，乙方应根据合同货物的特点及其对装卸操作的要求在包装箱显著位置以中文标明“保持干燥”、“小心轻放”、“此面向上”等国际惯用图示。</w:t>
      </w:r>
    </w:p>
    <w:p w14:paraId="61DE7F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（3）乙方应承担由于其包装或其防护措施不妥而引起的包括但不限于货物锈蚀、损坏或丢失的任何货物损失。</w:t>
      </w:r>
    </w:p>
    <w:p w14:paraId="638EFA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第五条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交付和收货</w:t>
      </w:r>
    </w:p>
    <w:p w14:paraId="2DD641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乙方应按合同约定的交付时间将合同货物运至甲方指定地点，并完成货物的安装和调试。交付和质量标准信息见【附件】。</w:t>
      </w:r>
    </w:p>
    <w:p w14:paraId="6DD316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（二） 收货</w:t>
      </w:r>
    </w:p>
    <w:p w14:paraId="03CBCE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（1）乙方将合同货物安装完毕后，应当通知甲方进行收货，甲方应及时组织收货。</w:t>
      </w:r>
    </w:p>
    <w:p w14:paraId="1CC78BF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（2）甲方指定收货人在收货单上签字确认的日期视为乙方正式交付合同货物的日期。</w:t>
      </w:r>
    </w:p>
    <w:p w14:paraId="2039D4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（3）甲方在收货单上的签字确认不使甲方丧失因质量问题而向乙方索赔和求偿的权利，同时不解除乙方对于合同货物质量缺陷或瑕疵负有的相应质量保证责任。</w:t>
      </w:r>
    </w:p>
    <w:p w14:paraId="37C07E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第六条</w:t>
      </w:r>
      <w:r>
        <w:rPr>
          <w:rFonts w:hint="eastAsia" w:ascii="仿宋" w:hAnsi="仿宋" w:eastAsia="仿宋" w:cs="仿宋"/>
          <w:color w:val="auto"/>
          <w:kern w:val="0"/>
          <w:sz w:val="24"/>
          <w:szCs w:val="24"/>
          <w:highlight w:val="none"/>
          <w:lang w:bidi="ar"/>
        </w:rPr>
        <w:t xml:space="preserve"> 保修和维修</w:t>
      </w:r>
    </w:p>
    <w:p w14:paraId="48B829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保修和维修</w:t>
      </w:r>
    </w:p>
    <w:p w14:paraId="544B5F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保修期内乙方对货物提供技术支持和保修维护服务，具体内容及方式见【附件】，甲方不再就此支付任何费用。</w:t>
      </w:r>
    </w:p>
    <w:p w14:paraId="49015F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第七条</w:t>
      </w:r>
      <w:r>
        <w:rPr>
          <w:rFonts w:hint="eastAsia" w:ascii="仿宋" w:hAnsi="仿宋" w:eastAsia="仿宋" w:cs="仿宋"/>
          <w:color w:val="auto"/>
          <w:kern w:val="0"/>
          <w:sz w:val="24"/>
          <w:szCs w:val="24"/>
          <w:highlight w:val="none"/>
          <w:lang w:bidi="ar"/>
        </w:rPr>
        <w:t xml:space="preserve"> 违约责任</w:t>
      </w:r>
    </w:p>
    <w:p w14:paraId="299997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违约责任</w:t>
      </w:r>
    </w:p>
    <w:p w14:paraId="1B93C6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甲、乙任一方或双方违约的，违约一方应当向相对方承担相应的违约责任。违约责任的具体约定见【附件】。</w:t>
      </w:r>
    </w:p>
    <w:p w14:paraId="33A01E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outlineLvl w:val="2"/>
        <w:rPr>
          <w:rFonts w:hint="eastAsia" w:ascii="仿宋" w:hAnsi="仿宋" w:eastAsia="仿宋" w:cs="仿宋"/>
          <w:color w:val="auto"/>
          <w:kern w:val="0"/>
          <w:sz w:val="24"/>
          <w:szCs w:val="24"/>
          <w:highlight w:val="none"/>
          <w:lang w:bidi="ar"/>
        </w:rPr>
      </w:pPr>
      <w:bookmarkStart w:id="642" w:name="_Toc14073"/>
      <w:r>
        <w:rPr>
          <w:rFonts w:hint="eastAsia" w:ascii="仿宋" w:hAnsi="仿宋" w:eastAsia="仿宋" w:cs="仿宋"/>
          <w:b/>
          <w:bCs/>
          <w:color w:val="auto"/>
          <w:kern w:val="0"/>
          <w:sz w:val="24"/>
          <w:szCs w:val="24"/>
          <w:highlight w:val="none"/>
          <w:lang w:bidi="ar"/>
        </w:rPr>
        <w:t>通用部分</w:t>
      </w:r>
      <w:bookmarkEnd w:id="642"/>
    </w:p>
    <w:p w14:paraId="48EE8C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第八条</w:t>
      </w:r>
      <w:r>
        <w:rPr>
          <w:rFonts w:hint="eastAsia" w:ascii="仿宋" w:hAnsi="仿宋" w:eastAsia="仿宋" w:cs="仿宋"/>
          <w:color w:val="auto"/>
          <w:kern w:val="0"/>
          <w:sz w:val="24"/>
          <w:szCs w:val="24"/>
          <w:highlight w:val="none"/>
          <w:lang w:bidi="ar"/>
        </w:rPr>
        <w:t xml:space="preserve"> 定义（适用于货物购买合同）</w:t>
      </w:r>
    </w:p>
    <w:p w14:paraId="635DA5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定义</w:t>
      </w:r>
    </w:p>
    <w:p w14:paraId="527B44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（1）“合同”是指甲乙双方所达成的本合同以及所有与之有关的附件。</w:t>
      </w:r>
    </w:p>
    <w:p w14:paraId="5CECB2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（2）“合同价格”是指在乙方完全和适当地履行其合同义务后，甲方根据合同约定应支付给乙方的价款。</w:t>
      </w:r>
    </w:p>
    <w:p w14:paraId="3FDE79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（3）“技术资料”是指关于合同货物及其相关的安装、调试、验收的所有文件和信息。</w:t>
      </w:r>
    </w:p>
    <w:p w14:paraId="27E81D8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（4）“合同货物”是指乙方根据合同应向甲方提供的全部货物。</w:t>
      </w:r>
    </w:p>
    <w:p w14:paraId="7420B9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（5）“技术服务”指的是根据合同约定，应由乙方向甲方提供的包括但不限于货物安装与调试、保修、维修、技术咨询与培训等所有服务。</w:t>
      </w:r>
    </w:p>
    <w:p w14:paraId="54DC74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（6）“日”、“天”：均指日历日。合同中期限的最后一日为国家法定节假日的，顺延至节假日后的第一个工作日。</w:t>
      </w:r>
    </w:p>
    <w:p w14:paraId="4D550D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第九条</w:t>
      </w:r>
      <w:r>
        <w:rPr>
          <w:rFonts w:hint="eastAsia" w:ascii="仿宋" w:hAnsi="仿宋" w:eastAsia="仿宋" w:cs="仿宋"/>
          <w:color w:val="auto"/>
          <w:kern w:val="0"/>
          <w:sz w:val="24"/>
          <w:szCs w:val="24"/>
          <w:highlight w:val="none"/>
          <w:lang w:bidi="ar"/>
        </w:rPr>
        <w:t xml:space="preserve"> ......</w:t>
      </w:r>
    </w:p>
    <w:p w14:paraId="6D8E9A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双方的权利和义务</w:t>
      </w:r>
    </w:p>
    <w:p w14:paraId="0976D1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（一） 甲方的权利和义务</w:t>
      </w:r>
    </w:p>
    <w:p w14:paraId="4F7C4E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（1）甲方有权获得本合同项下乙方应提供的全部合格的货物并享有乙方提供的全部合格的服务；</w:t>
      </w:r>
    </w:p>
    <w:p w14:paraId="03384F4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（2）甲方有权在合同期内对乙方的供货及服务进行监督；</w:t>
      </w:r>
    </w:p>
    <w:p w14:paraId="4F7B9C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（3）乙方未按照合同约定履行义务的，甲方有权采取相应的措施；</w:t>
      </w:r>
    </w:p>
    <w:p w14:paraId="5874FA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（4）甲方应按照合同约定向乙方支付合同价款；</w:t>
      </w:r>
    </w:p>
    <w:p w14:paraId="547E11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（5）甲方享有其它双方约定的权利、承担其它双方约定的义务。</w:t>
      </w:r>
    </w:p>
    <w:p w14:paraId="576C85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（二） 乙方的权利和义务</w:t>
      </w:r>
    </w:p>
    <w:p w14:paraId="5C5DED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（1）乙方有权获得甲方支付的合同价款；</w:t>
      </w:r>
    </w:p>
    <w:p w14:paraId="6A286F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（2）乙方应按照合同约定向甲方提供全部合格的货物和服务；</w:t>
      </w:r>
    </w:p>
    <w:p w14:paraId="5600A3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（3）乙方应按照合同约定履行相应的维护和保修义务；</w:t>
      </w:r>
    </w:p>
    <w:p w14:paraId="13F77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（4）乙方享有其它双方约定的权利、承担其它双方约定的义务。</w:t>
      </w:r>
    </w:p>
    <w:p w14:paraId="43AC5A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w:t>
      </w:r>
    </w:p>
    <w:p w14:paraId="4C7E94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第十一条</w:t>
      </w:r>
      <w:r>
        <w:rPr>
          <w:rFonts w:hint="eastAsia" w:ascii="仿宋" w:hAnsi="仿宋" w:eastAsia="仿宋" w:cs="仿宋"/>
          <w:color w:val="auto"/>
          <w:kern w:val="0"/>
          <w:sz w:val="24"/>
          <w:szCs w:val="24"/>
          <w:highlight w:val="none"/>
          <w:lang w:bidi="ar"/>
        </w:rPr>
        <w:t xml:space="preserve"> 禁止转让</w:t>
      </w:r>
    </w:p>
    <w:p w14:paraId="40BC8F5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禁止转让</w:t>
      </w:r>
    </w:p>
    <w:p w14:paraId="708C150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未经甲方事先书面同意，乙方不得将其本合同项下之全部义务或其中一部分义务转让给第三方执行。</w:t>
      </w:r>
    </w:p>
    <w:p w14:paraId="307F88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第十二条</w:t>
      </w:r>
      <w:r>
        <w:rPr>
          <w:rFonts w:hint="eastAsia" w:ascii="仿宋" w:hAnsi="仿宋" w:eastAsia="仿宋" w:cs="仿宋"/>
          <w:color w:val="auto"/>
          <w:kern w:val="0"/>
          <w:sz w:val="24"/>
          <w:szCs w:val="24"/>
          <w:highlight w:val="none"/>
          <w:lang w:bidi="ar"/>
        </w:rPr>
        <w:t xml:space="preserve"> 权利保证</w:t>
      </w:r>
    </w:p>
    <w:p w14:paraId="0347145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权利保证</w:t>
      </w:r>
    </w:p>
    <w:p w14:paraId="790AA7D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14:paraId="1C6123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第十三条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违约责任</w:t>
      </w:r>
    </w:p>
    <w:p w14:paraId="21DCCD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如果甲方无正当理由未能在合同约定的时间内向乙方支付相关合同价款，每迟延一日，甲方应向乙方支付应付价款部分的_______%作为违约金。</w:t>
      </w:r>
    </w:p>
    <w:p w14:paraId="3D119F2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如果乙方未能按约定时间向甲方交付符合要求的合同货物并取得甲方收货确认，每迟延一日，乙方应向甲方支付合同总价款的_______%作为违约金。乙方逾期超过约定10个工作日不能交付货物的，甲方有权单方面解除合同，甲方受到的损失超出违约金的部分，由乙方继续承担赔偿责任。</w:t>
      </w:r>
    </w:p>
    <w:p w14:paraId="642415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乙方所交付的货物不能全部满足合同约定的，包括但不限于货物品种、型号、规格、技术参数、质量不符合合同约定标准的，甲方有权拒收。乙方同意更换货物但逾期交付的，按乙方逾期交付货物处理。乙方拒绝更换货物的，甲方有权单方面解除合同，乙方应向甲方支付相当于本合同总价款_______%的违约金。甲方受到的损失超出违约金的部分，由乙方继续承担赔偿责任。</w:t>
      </w:r>
    </w:p>
    <w:p w14:paraId="72CF02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（四） 如果乙方违反本合同约定的保密义务，乙方应向甲方支付相当于本合同总价款_______%的违约金，甲方受到的损失超出违约金的部分，由乙方继续承担赔偿责任。</w:t>
      </w:r>
    </w:p>
    <w:p w14:paraId="4102F8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（五） 除本合同的约定外，因乙方的违约行为给甲方造成损失的，乙方应向甲方支付相当于本合同总价款_______%的违约金，如甲方受到的损失超过违约金的，超出部分由乙方继续承担赔偿责任。</w:t>
      </w:r>
    </w:p>
    <w:p w14:paraId="64035B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第十四条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保密义务</w:t>
      </w:r>
    </w:p>
    <w:p w14:paraId="77077B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3FFA24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乙方在本合同中所受领的保密信息应及时返还甲方或在甲方监督下予以销毁。乙方擅自留存备份信息，视为违反保密约定。</w:t>
      </w:r>
    </w:p>
    <w:p w14:paraId="1DDBFA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无论本合同因何种原因终止，本保密条款依然有效。</w:t>
      </w:r>
    </w:p>
    <w:p w14:paraId="68F998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第十五条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不可抗力</w:t>
      </w:r>
    </w:p>
    <w:p w14:paraId="39377EC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14:paraId="35C5595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14:paraId="4FFC65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合同一方迟延履行后发生不可抗力的，不能免除其责任。</w:t>
      </w:r>
    </w:p>
    <w:p w14:paraId="73ACDAF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14:paraId="3B1B2B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第十六条</w:t>
      </w:r>
      <w:r>
        <w:rPr>
          <w:rFonts w:hint="eastAsia" w:ascii="仿宋" w:hAnsi="仿宋" w:eastAsia="仿宋" w:cs="仿宋"/>
          <w:color w:val="auto"/>
          <w:kern w:val="0"/>
          <w:sz w:val="24"/>
          <w:szCs w:val="24"/>
          <w:highlight w:val="none"/>
          <w:lang w:bidi="ar"/>
        </w:rPr>
        <w:t xml:space="preserve"> 合同变更</w:t>
      </w:r>
    </w:p>
    <w:p w14:paraId="189EDB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color w:val="auto"/>
          <w:kern w:val="0"/>
          <w:sz w:val="24"/>
          <w:szCs w:val="24"/>
          <w:highlight w:val="none"/>
          <w:lang w:bidi="ar"/>
        </w:rPr>
        <w:t>合同变更</w:t>
      </w:r>
    </w:p>
    <w:p w14:paraId="2E43ED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对本合同的任何变更或补充，须经甲乙双方协商一致，并另行签订书面补充协议。</w:t>
      </w:r>
    </w:p>
    <w:p w14:paraId="08815D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第十七条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合同特别终止</w:t>
      </w:r>
    </w:p>
    <w:p w14:paraId="714E6F1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（一） 甲乙双方同意在乙方出现下列情形时，甲方可以书面形式通知乙方（或者乙方的破产清算组或相关管理人）提出终止合同而不向其提供任何补偿：</w:t>
      </w:r>
    </w:p>
    <w:p w14:paraId="363E97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bidi="ar"/>
        </w:rPr>
        <w:t>（1）乙方破产、解散（包括但不限于乙方股东会决议解散、乙方被吊销营业执照、被责令关闭、被撤销、被司法机关裁决解散等情形）；</w:t>
      </w:r>
    </w:p>
    <w:p w14:paraId="060157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（2）乙方发生未经甲方书面同意的重大产权变更（包括但不限于合并、分立、注销等情形)；（如系上市公司）被勒令停止上市；以及任何原因背负重大债务导致无履行能力。</w:t>
      </w:r>
    </w:p>
    <w:p w14:paraId="6A4D0C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如果因上述原因导致本合同终止，甲方已经采取或者将要采取任何补救措施的权利不受任何影响。</w:t>
      </w:r>
    </w:p>
    <w:p w14:paraId="04F7C17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第十八条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法律适用与争议解决</w:t>
      </w:r>
    </w:p>
    <w:p w14:paraId="64485D8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本合同的订立、效力、解释、履行和争议的解决均适用中华人民共和国法律（不包括港澳台地区法律）。</w:t>
      </w:r>
    </w:p>
    <w:p w14:paraId="16EE8A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 xml:space="preserve">（二） 凡因本合同引起的或与本合同有关的任何争议，双方首先应友好协商解决。协商不成的，任何一方均可向甲方所在地有管辖权的法院提起诉讼。 </w:t>
      </w:r>
    </w:p>
    <w:p w14:paraId="078128F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第十九条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合同生效及其他</w:t>
      </w:r>
    </w:p>
    <w:p w14:paraId="62199BE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本合同经甲乙双方法定代表人或授权代表签字并加盖公章或合同专用章后生效。</w:t>
      </w:r>
    </w:p>
    <w:p w14:paraId="719770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本合同一式_______份，其中正本_______份，副本_______份。甲方执_______份正本，_______份副本；乙方执_______份正本，_______份副本。</w:t>
      </w:r>
    </w:p>
    <w:p w14:paraId="1A159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w:t>
      </w:r>
    </w:p>
    <w:p w14:paraId="22877EE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b/>
          <w:bCs w:val="0"/>
          <w:color w:val="auto"/>
          <w:kern w:val="0"/>
          <w:sz w:val="24"/>
          <w:szCs w:val="24"/>
          <w:highlight w:val="none"/>
          <w:lang w:bidi="ar"/>
        </w:rPr>
        <w:t>第二十条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合同效力</w:t>
      </w:r>
    </w:p>
    <w:p w14:paraId="7E684B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（一） 无论本合同是否有相反约定，本合同附件（如有）作为本合同的组成部分，与本合同具有同等法律效力，当附件条款与本合同条款发生冲突时，以本合同条款为准。</w:t>
      </w:r>
    </w:p>
    <w:p w14:paraId="1C16F0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14:paraId="7650BB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（三） 由于法律和法规、政策而导致本合同任何条款无效或无法执行，则该条款无效，但不影响剩余其他条款的效力。</w:t>
      </w:r>
    </w:p>
    <w:p w14:paraId="33C0FA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bCs/>
          <w:color w:val="auto"/>
          <w:kern w:val="0"/>
          <w:sz w:val="24"/>
          <w:szCs w:val="24"/>
          <w:highlight w:val="none"/>
          <w:lang w:eastAsia="zh-CN" w:bidi="ar"/>
        </w:rPr>
      </w:pPr>
      <w:r>
        <w:rPr>
          <w:rFonts w:hint="eastAsia" w:ascii="仿宋" w:hAnsi="仿宋" w:eastAsia="仿宋" w:cs="仿宋"/>
          <w:b/>
          <w:bCs w:val="0"/>
          <w:color w:val="auto"/>
          <w:kern w:val="0"/>
          <w:sz w:val="24"/>
          <w:szCs w:val="24"/>
          <w:highlight w:val="none"/>
          <w:lang w:bidi="ar"/>
        </w:rPr>
        <w:t>第二十一条</w:t>
      </w:r>
      <w:r>
        <w:rPr>
          <w:rFonts w:hint="eastAsia" w:ascii="仿宋" w:hAnsi="仿宋" w:eastAsia="仿宋" w:cs="仿宋"/>
          <w:color w:val="auto"/>
          <w:kern w:val="0"/>
          <w:sz w:val="24"/>
          <w:szCs w:val="24"/>
          <w:highlight w:val="none"/>
          <w:lang w:bidi="ar"/>
        </w:rPr>
        <w:t xml:space="preserve"> </w:t>
      </w:r>
      <w:r>
        <w:rPr>
          <w:rFonts w:hint="eastAsia" w:ascii="仿宋" w:hAnsi="仿宋" w:eastAsia="仿宋" w:cs="仿宋"/>
          <w:b/>
          <w:bCs/>
          <w:color w:val="auto"/>
          <w:kern w:val="0"/>
          <w:sz w:val="24"/>
          <w:szCs w:val="24"/>
          <w:highlight w:val="none"/>
          <w:lang w:bidi="ar"/>
        </w:rPr>
        <w:t>附件的组成</w:t>
      </w:r>
    </w:p>
    <w:p w14:paraId="0E97910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bidi="ar"/>
        </w:rPr>
        <w:t>附件</w:t>
      </w:r>
      <w:r>
        <w:rPr>
          <w:rFonts w:hint="eastAsia" w:ascii="仿宋" w:hAnsi="仿宋" w:eastAsia="仿宋" w:cs="仿宋"/>
          <w:color w:val="auto"/>
          <w:kern w:val="0"/>
          <w:sz w:val="24"/>
          <w:szCs w:val="24"/>
          <w:highlight w:val="none"/>
          <w:lang w:val="en-US" w:eastAsia="zh-CN" w:bidi="ar"/>
        </w:rPr>
        <w:t>1：合同价格明细</w:t>
      </w:r>
    </w:p>
    <w:p w14:paraId="2D9D47A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附件2：技术服务方案</w:t>
      </w:r>
    </w:p>
    <w:p w14:paraId="457D7B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附件3：付款</w:t>
      </w:r>
    </w:p>
    <w:p w14:paraId="26A1881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附件4：双方的权利和义务</w:t>
      </w:r>
    </w:p>
    <w:p w14:paraId="775BF68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附件5：交付与质量标准</w:t>
      </w:r>
    </w:p>
    <w:p w14:paraId="180CA5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附件6：保修和维修</w:t>
      </w:r>
    </w:p>
    <w:p w14:paraId="643553C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附件7：违约责任</w:t>
      </w:r>
    </w:p>
    <w:p w14:paraId="2ADF36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color w:val="auto"/>
          <w:kern w:val="0"/>
          <w:sz w:val="24"/>
          <w:szCs w:val="24"/>
          <w:highlight w:val="none"/>
          <w:lang w:val="en-US" w:eastAsia="zh-CN" w:bidi="ar"/>
        </w:rPr>
      </w:pPr>
      <w:r>
        <w:rPr>
          <w:rFonts w:hint="eastAsia" w:ascii="仿宋" w:hAnsi="仿宋" w:eastAsia="仿宋" w:cs="仿宋"/>
          <w:color w:val="auto"/>
          <w:kern w:val="0"/>
          <w:sz w:val="24"/>
          <w:szCs w:val="24"/>
          <w:highlight w:val="none"/>
          <w:lang w:val="en-US" w:eastAsia="zh-CN" w:bidi="ar"/>
        </w:rPr>
        <w:t>附件8：廉洁诚信协议</w:t>
      </w:r>
    </w:p>
    <w:p w14:paraId="060D1939">
      <w:pPr>
        <w:widowControl/>
        <w:spacing w:before="100" w:beforeAutospacing="1" w:after="100" w:afterAutospacing="1" w:line="360" w:lineRule="auto"/>
        <w:jc w:val="center"/>
        <w:rPr>
          <w:rFonts w:hint="eastAsia" w:ascii="仿宋" w:hAnsi="仿宋" w:eastAsia="仿宋" w:cs="宋体"/>
          <w:color w:val="000000"/>
          <w:highlight w:val="none"/>
        </w:rPr>
      </w:pPr>
    </w:p>
    <w:p w14:paraId="0ABCFB10">
      <w:pPr>
        <w:pStyle w:val="3"/>
        <w:rPr>
          <w:rFonts w:ascii="仿宋" w:hAnsi="仿宋" w:cs="宋体"/>
          <w:color w:val="000000"/>
          <w:highlight w:val="none"/>
        </w:rPr>
      </w:pPr>
      <w:bookmarkStart w:id="643" w:name="_Toc109124313"/>
      <w:bookmarkStart w:id="644" w:name="_Toc10044"/>
      <w:bookmarkStart w:id="645" w:name="_Toc65682988"/>
      <w:bookmarkStart w:id="646" w:name="_Toc58177604"/>
      <w:bookmarkStart w:id="647" w:name="_Toc25837"/>
      <w:bookmarkStart w:id="648" w:name="_Toc58177607"/>
      <w:r>
        <w:rPr>
          <w:rFonts w:hint="eastAsia" w:ascii="仿宋" w:hAnsi="仿宋" w:cs="宋体"/>
          <w:color w:val="000000"/>
          <w:highlight w:val="none"/>
        </w:rPr>
        <w:br w:type="page"/>
      </w:r>
      <w:bookmarkStart w:id="649" w:name="_Toc5715"/>
      <w:r>
        <w:rPr>
          <w:rFonts w:hint="eastAsia" w:ascii="仿宋" w:hAnsi="仿宋" w:cs="宋体"/>
          <w:color w:val="auto"/>
          <w:highlight w:val="none"/>
        </w:rPr>
        <w:t>第五章 采购需求及技术服务要求</w:t>
      </w:r>
      <w:bookmarkEnd w:id="643"/>
      <w:bookmarkEnd w:id="644"/>
      <w:bookmarkEnd w:id="645"/>
      <w:bookmarkEnd w:id="649"/>
    </w:p>
    <w:p w14:paraId="592D67D9">
      <w:pPr>
        <w:widowControl/>
        <w:topLinePunct/>
        <w:spacing w:line="360" w:lineRule="auto"/>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lang w:val="en-US" w:eastAsia="zh-CN"/>
        </w:rPr>
        <w:t>一、</w:t>
      </w:r>
      <w:r>
        <w:rPr>
          <w:rFonts w:hint="eastAsia" w:ascii="仿宋" w:hAnsi="仿宋" w:eastAsia="仿宋" w:cs="宋体"/>
          <w:b/>
          <w:bCs/>
          <w:color w:val="000000"/>
          <w:kern w:val="0"/>
          <w:sz w:val="24"/>
          <w:szCs w:val="24"/>
          <w:highlight w:val="none"/>
        </w:rPr>
        <w:t>项目背景</w:t>
      </w:r>
    </w:p>
    <w:p w14:paraId="0172DDC6">
      <w:pPr>
        <w:widowControl/>
        <w:topLinePunct/>
        <w:spacing w:line="360" w:lineRule="auto"/>
        <w:ind w:left="3" w:leftChars="0" w:firstLine="417" w:firstLineChars="173"/>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1、武汉公司机关食堂</w:t>
      </w:r>
    </w:p>
    <w:p w14:paraId="697F92D5">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食堂位于汉阳区万科未来中心T2写字楼40层，由机关本部、理赔中心、汉阳支公司、车商营销服务部、电子商务部五家单位共用，现有就餐人数840余人，全天供应早中晚餐。</w:t>
      </w:r>
    </w:p>
    <w:p w14:paraId="3772CF26">
      <w:pPr>
        <w:widowControl/>
        <w:topLinePunct/>
        <w:spacing w:line="360" w:lineRule="auto"/>
        <w:ind w:left="3" w:leftChars="0" w:firstLine="417" w:firstLineChars="173"/>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lang w:val="en-US" w:eastAsia="zh-CN"/>
        </w:rPr>
        <w:t>2、</w:t>
      </w:r>
      <w:r>
        <w:rPr>
          <w:rFonts w:hint="eastAsia" w:ascii="仿宋" w:hAnsi="仿宋" w:eastAsia="仿宋" w:cs="宋体"/>
          <w:b/>
          <w:bCs/>
          <w:color w:val="000000"/>
          <w:kern w:val="0"/>
          <w:sz w:val="24"/>
          <w:szCs w:val="24"/>
          <w:highlight w:val="none"/>
        </w:rPr>
        <w:t>理赔中心食堂</w:t>
      </w:r>
    </w:p>
    <w:p w14:paraId="3C6FB73C">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钟家村99号职场，由理赔中心汉阳分部管理，现有就餐人数75人，东湖佳园路职场，由理赔中心东湖分部管理，现有就餐人数35人，员工食堂提供早中餐三餐。</w:t>
      </w:r>
    </w:p>
    <w:p w14:paraId="7D06776B">
      <w:pPr>
        <w:widowControl/>
        <w:topLinePunct/>
        <w:spacing w:line="360" w:lineRule="auto"/>
        <w:ind w:left="3" w:leftChars="0" w:firstLine="758" w:firstLineChars="316"/>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br w:type="textWrapping"/>
      </w:r>
      <w:r>
        <w:rPr>
          <w:rFonts w:hint="eastAsia" w:ascii="仿宋" w:hAnsi="仿宋" w:eastAsia="仿宋" w:cs="宋体"/>
          <w:b/>
          <w:bCs/>
          <w:color w:val="000000"/>
          <w:kern w:val="0"/>
          <w:sz w:val="24"/>
          <w:szCs w:val="24"/>
          <w:highlight w:val="none"/>
          <w:lang w:val="en-US" w:eastAsia="zh-CN"/>
        </w:rPr>
        <w:t>二、报价要求</w:t>
      </w:r>
    </w:p>
    <w:p w14:paraId="72EEA925">
      <w:pPr>
        <w:widowControl/>
        <w:topLinePunct/>
        <w:spacing w:line="360" w:lineRule="auto"/>
        <w:ind w:firstLine="480" w:firstLineChars="20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本项目报价方式为折扣率报价。折扣率采用百分比模式（正数，精确到小数点后2位）。（说明：如为8折，折扣率则为80.00%），总结算费用不得超过采购预算，报价须包含履行合同所有相关货物及服务的所需的所有费用（含食材采买、仓储、预包装、检测检验、运输、二次搬运、税费、管理费等一切与本项目相关的费用）。</w:t>
      </w:r>
    </w:p>
    <w:p w14:paraId="6E16B6CD">
      <w:pPr>
        <w:widowControl/>
        <w:topLinePunct/>
        <w:spacing w:line="360" w:lineRule="auto"/>
        <w:ind w:firstLine="480" w:firstLineChars="20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结算金额=实际采购量*中标折扣*供应商菜品报价</w:t>
      </w:r>
    </w:p>
    <w:p w14:paraId="557650EC">
      <w:pPr>
        <w:widowControl/>
        <w:topLinePunct/>
        <w:spacing w:line="360" w:lineRule="auto"/>
        <w:ind w:firstLine="480" w:firstLineChars="20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供应商菜品报价：供应商应按采购方要求提供定期报价，所报价格原则上不得高于本地商超价格。</w:t>
      </w:r>
    </w:p>
    <w:p w14:paraId="7302FA8D">
      <w:pPr>
        <w:widowControl/>
        <w:topLinePunct/>
        <w:spacing w:line="360" w:lineRule="auto"/>
        <w:rPr>
          <w:rFonts w:hint="eastAsia" w:ascii="仿宋" w:hAnsi="仿宋" w:eastAsia="仿宋" w:cs="宋体"/>
          <w:color w:val="000000"/>
          <w:kern w:val="0"/>
          <w:sz w:val="24"/>
          <w:szCs w:val="24"/>
          <w:highlight w:val="none"/>
          <w:lang w:val="en-US" w:eastAsia="zh-CN"/>
        </w:rPr>
      </w:pPr>
    </w:p>
    <w:p w14:paraId="32C3E440">
      <w:pPr>
        <w:widowControl/>
        <w:topLinePunct/>
        <w:spacing w:line="360" w:lineRule="auto"/>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三、采购内容</w:t>
      </w:r>
    </w:p>
    <w:p w14:paraId="1D60F19D">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预计采购公司</w:t>
      </w:r>
      <w:r>
        <w:rPr>
          <w:rFonts w:hint="eastAsia" w:ascii="仿宋" w:hAnsi="仿宋" w:eastAsia="仿宋" w:cs="宋体"/>
          <w:color w:val="000000"/>
          <w:kern w:val="0"/>
          <w:sz w:val="24"/>
          <w:szCs w:val="24"/>
          <w:highlight w:val="none"/>
          <w:lang w:val="en-US" w:eastAsia="zh-CN"/>
        </w:rPr>
        <w:t>食堂</w:t>
      </w:r>
      <w:r>
        <w:rPr>
          <w:rFonts w:hint="eastAsia" w:ascii="仿宋" w:hAnsi="仿宋" w:eastAsia="仿宋" w:cs="宋体"/>
          <w:color w:val="000000"/>
          <w:kern w:val="0"/>
          <w:sz w:val="24"/>
          <w:szCs w:val="24"/>
          <w:highlight w:val="none"/>
        </w:rPr>
        <w:t>日常所需食材及水果干调等。包括：干货、粮油、奶制品、鲜肉类、禽类产品、蛋、水产品、蔬菜、水果。以上类别、品类（种）、规格仅为初步制定，具体以菜单采购计划为准。</w:t>
      </w:r>
    </w:p>
    <w:tbl>
      <w:tblPr>
        <w:tblStyle w:val="33"/>
        <w:tblW w:w="9645"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4"/>
        <w:gridCol w:w="6816"/>
        <w:gridCol w:w="1725"/>
      </w:tblGrid>
      <w:tr w14:paraId="6E3F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104" w:type="dxa"/>
            <w:vAlign w:val="center"/>
          </w:tcPr>
          <w:p w14:paraId="0AD48831">
            <w:pPr>
              <w:keepNext w:val="0"/>
              <w:keepLines w:val="0"/>
              <w:widowControl/>
              <w:suppressLineNumbers w:val="0"/>
              <w:topLinePunct/>
              <w:spacing w:before="0" w:beforeAutospacing="0" w:after="0" w:afterAutospacing="0" w:line="360" w:lineRule="auto"/>
              <w:ind w:left="0" w:right="0"/>
              <w:jc w:val="center"/>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标段</w:t>
            </w:r>
          </w:p>
        </w:tc>
        <w:tc>
          <w:tcPr>
            <w:tcW w:w="6816" w:type="dxa"/>
            <w:vAlign w:val="center"/>
          </w:tcPr>
          <w:p w14:paraId="1D0FD661">
            <w:pPr>
              <w:keepNext w:val="0"/>
              <w:keepLines w:val="0"/>
              <w:widowControl/>
              <w:suppressLineNumbers w:val="0"/>
              <w:topLinePunct/>
              <w:spacing w:before="0" w:beforeAutospacing="0" w:after="0" w:afterAutospacing="0" w:line="360" w:lineRule="auto"/>
              <w:ind w:left="0" w:right="0"/>
              <w:jc w:val="center"/>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项目服务配送地址</w:t>
            </w:r>
          </w:p>
        </w:tc>
        <w:tc>
          <w:tcPr>
            <w:tcW w:w="1725" w:type="dxa"/>
            <w:vAlign w:val="center"/>
          </w:tcPr>
          <w:p w14:paraId="08E22E8B">
            <w:pPr>
              <w:keepNext w:val="0"/>
              <w:keepLines w:val="0"/>
              <w:widowControl/>
              <w:suppressLineNumbers w:val="0"/>
              <w:topLinePunct/>
              <w:spacing w:before="0" w:beforeAutospacing="0" w:after="0" w:afterAutospacing="0" w:line="360" w:lineRule="auto"/>
              <w:ind w:left="0" w:right="0"/>
              <w:jc w:val="center"/>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分包金额</w:t>
            </w:r>
          </w:p>
        </w:tc>
      </w:tr>
      <w:tr w14:paraId="6145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104" w:type="dxa"/>
            <w:vAlign w:val="center"/>
          </w:tcPr>
          <w:p w14:paraId="7ADB84FC">
            <w:pPr>
              <w:keepNext w:val="0"/>
              <w:keepLines w:val="0"/>
              <w:widowControl/>
              <w:suppressLineNumbers w:val="0"/>
              <w:topLinePunct/>
              <w:spacing w:before="0" w:beforeAutospacing="0" w:after="0" w:afterAutospacing="0" w:line="360" w:lineRule="auto"/>
              <w:ind w:left="0" w:right="0"/>
              <w:jc w:val="center"/>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标包1</w:t>
            </w:r>
          </w:p>
        </w:tc>
        <w:tc>
          <w:tcPr>
            <w:tcW w:w="6816" w:type="dxa"/>
            <w:vAlign w:val="center"/>
          </w:tcPr>
          <w:p w14:paraId="7B8CB43E">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市公司本部食堂：武汉市汉阳区汉阳大道408号万科未来中心T2写字楼第40层</w:t>
            </w:r>
          </w:p>
        </w:tc>
        <w:tc>
          <w:tcPr>
            <w:tcW w:w="1725" w:type="dxa"/>
            <w:vAlign w:val="center"/>
          </w:tcPr>
          <w:p w14:paraId="31AD9C1A">
            <w:pPr>
              <w:keepNext w:val="0"/>
              <w:keepLines w:val="0"/>
              <w:widowControl/>
              <w:suppressLineNumbers w:val="0"/>
              <w:topLinePunct/>
              <w:spacing w:before="0" w:beforeAutospacing="0" w:after="0" w:afterAutospacing="0" w:line="360" w:lineRule="auto"/>
              <w:ind w:left="0" w:right="0"/>
              <w:jc w:val="center"/>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1328万元</w:t>
            </w:r>
          </w:p>
        </w:tc>
      </w:tr>
      <w:tr w14:paraId="1786C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1104" w:type="dxa"/>
            <w:vAlign w:val="center"/>
          </w:tcPr>
          <w:p w14:paraId="490656A1">
            <w:pPr>
              <w:keepNext w:val="0"/>
              <w:keepLines w:val="0"/>
              <w:widowControl/>
              <w:suppressLineNumbers w:val="0"/>
              <w:topLinePunct/>
              <w:spacing w:before="0" w:beforeAutospacing="0" w:after="0" w:afterAutospacing="0" w:line="360" w:lineRule="auto"/>
              <w:ind w:left="0" w:right="0"/>
              <w:jc w:val="center"/>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标包2</w:t>
            </w:r>
          </w:p>
        </w:tc>
        <w:tc>
          <w:tcPr>
            <w:tcW w:w="6816" w:type="dxa"/>
            <w:vAlign w:val="center"/>
          </w:tcPr>
          <w:p w14:paraId="6EE61E6D">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理赔99号食堂：武汉市汉阳区钟家村鹦鹉大道99号</w:t>
            </w:r>
          </w:p>
          <w:p w14:paraId="3DB4D01B">
            <w:pPr>
              <w:keepNext w:val="0"/>
              <w:keepLines w:val="0"/>
              <w:widowControl/>
              <w:suppressLineNumbers w:val="0"/>
              <w:topLinePunct/>
              <w:spacing w:before="0" w:beforeAutospacing="0" w:after="0" w:afterAutospacing="0" w:line="360" w:lineRule="auto"/>
              <w:ind w:left="0" w:right="0"/>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理赔佳园路食堂：东湖高新佳园路地铁A出口</w:t>
            </w:r>
          </w:p>
        </w:tc>
        <w:tc>
          <w:tcPr>
            <w:tcW w:w="1725" w:type="dxa"/>
            <w:vAlign w:val="center"/>
          </w:tcPr>
          <w:p w14:paraId="70DB1A54">
            <w:pPr>
              <w:keepNext w:val="0"/>
              <w:keepLines w:val="0"/>
              <w:widowControl/>
              <w:suppressLineNumbers w:val="0"/>
              <w:topLinePunct/>
              <w:spacing w:before="0" w:beforeAutospacing="0" w:after="0" w:afterAutospacing="0" w:line="360" w:lineRule="auto"/>
              <w:ind w:left="0" w:right="0"/>
              <w:jc w:val="center"/>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184万元</w:t>
            </w:r>
          </w:p>
        </w:tc>
      </w:tr>
    </w:tbl>
    <w:p w14:paraId="3EEFECFC">
      <w:pPr>
        <w:widowControl/>
        <w:topLinePunct/>
        <w:spacing w:line="360" w:lineRule="auto"/>
        <w:rPr>
          <w:rFonts w:hint="eastAsia" w:ascii="仿宋" w:hAnsi="仿宋" w:eastAsia="仿宋" w:cs="宋体"/>
          <w:color w:val="000000"/>
          <w:kern w:val="0"/>
          <w:sz w:val="24"/>
          <w:szCs w:val="24"/>
          <w:highlight w:val="none"/>
        </w:rPr>
      </w:pPr>
    </w:p>
    <w:p w14:paraId="70EC5E55">
      <w:pPr>
        <w:widowControl/>
        <w:topLinePunct/>
        <w:spacing w:line="360" w:lineRule="auto"/>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四、技术及质量要求</w:t>
      </w:r>
    </w:p>
    <w:p w14:paraId="5A26A604">
      <w:pPr>
        <w:widowControl/>
        <w:topLinePunct/>
        <w:spacing w:line="360" w:lineRule="auto"/>
        <w:ind w:left="3" w:leftChars="0" w:firstLine="417" w:firstLineChars="173"/>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（一）交货时间及交货地点的要求</w:t>
      </w:r>
    </w:p>
    <w:p w14:paraId="1F375A1F">
      <w:pPr>
        <w:widowControl/>
        <w:topLinePunct/>
        <w:spacing w:line="360" w:lineRule="auto"/>
        <w:ind w:firstLine="480" w:firstLineChars="20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供应商应于每日早上6</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00前完成当日货物交付，按</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要求的货物品类及数量配送至指定地点。</w:t>
      </w:r>
    </w:p>
    <w:p w14:paraId="26839E92">
      <w:pPr>
        <w:widowControl/>
        <w:topLinePunct/>
        <w:spacing w:line="360" w:lineRule="auto"/>
        <w:ind w:left="3" w:leftChars="0" w:firstLine="417" w:firstLineChars="173"/>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（二）质量标准</w:t>
      </w:r>
    </w:p>
    <w:p w14:paraId="635C2586">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1、投标人所供食品的包装、质量、卫生安全和营养成分，必须符合《中华人民共和国食品安全法》及其他食品质量、食品卫生、食品安全法律法规。</w:t>
      </w:r>
    </w:p>
    <w:p w14:paraId="633136D6">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水产类质量标准：必须提供水产品的产地证明、检验合格证明等相关资质。水产品类原料必须来自无污染水域，新鲜度良好，组织紧密有弹性，无异味，无外来杂质，不含有毒有害物质。水产品的包装应干燥、清洁、卫生、坚实、无破损，且明确注明保质期限。</w:t>
      </w:r>
    </w:p>
    <w:p w14:paraId="3B6F802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（2）畜肉、禽肉类产品必须具有动物检验检疫证明和QS食品质量认证标志，且必须符合国家食品安全标准。</w:t>
      </w:r>
    </w:p>
    <w:p w14:paraId="5DD108CE">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鲜猪肉必须为质量等级达到二级（含）以上标准的鲜肉。鲜度标准：肉质有弹性，指压后的凹陷立即恢复、脂肪为白色或乳白色、整体色泽光滑、切面红色、微微湿润但不粘手、无异味、无淤血、无注水、无寄生虫。</w:t>
      </w:r>
    </w:p>
    <w:p w14:paraId="260A7E37">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（4）鲜牛肉质量标准：肉色深红、肉质有弹性、指压后的凹陷立即恢复，切面有光泽及微湿润，极小渗出物；具有浓郁的牛肉气味，脂肪白色或乳白色，无异味、无寄生虫，无注水。</w:t>
      </w:r>
    </w:p>
    <w:p w14:paraId="0D8D5169">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（5）鲜鸭质量标准：表皮光滑而有光泽、肉质弹性好且丰满、表皮无毛或少毛、无破皮、无花皮、无明显瘀块；无注水、无内脏、无血水、无异味。</w:t>
      </w:r>
    </w:p>
    <w:p w14:paraId="50D1A9A4">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鲜鸡质量标准：外形完整、大小适中、具有鲜鸡肉正常气味。鸡肚内无内脏、眼球饱满，因品种不同而呈淡黄、淡红、灰白或灰黑等颜色，鸡肉切面发亮、外表微干或微湿润、不粘手、指按压凹陷立即恢复，淤血斑无或极少，无打水症状、无破皮、鸡翼部或关节，无骨折或因骨折破皮而使骨头外露。</w:t>
      </w:r>
    </w:p>
    <w:p w14:paraId="51CD4B45">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7）粮油质量要求：食用油品质应符合《中华人民共和国国家标准》质量要求，并有合格证书。食用油的外包装上必须标明商品名称、配料表、质量等级、净含量、厂名、厂址、生产日期、保质期等内容，必须要有QS标志或食品生产许可证SC编号及合格证书。生产企业必须在外包装上标明产品原料生产国以及是否使用了转基因原料，必须标明生产工艺是“压榨”还是“浸出”。食用油的正常颜色呈微黄色、淡黄色、黄色和棕黄色（香油除外），色泽应透明，无悬浮物、无杂质、不浑浊、无沉淀物。</w:t>
      </w:r>
    </w:p>
    <w:p w14:paraId="623E6A7E">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（8）大米质量要求：大米品质应符合《中华人民共和国国家标准》，大米 GB/M1354质量要求，并有食品生产许可证 SC 编号及合格证书。大米外包装干净、整洁，无破损。包装袋上必须印刷执行标准、质量等级和生产厂家、生产日期、保质期等。米粒颗粒饱满、完整，大小均匀，无虫害及霉变，无杂质及过多碎米无变黄迹象，大米气味应具有新鲜、纯正的米香味，无异味、霉味、酸味、腐败味。</w:t>
      </w:r>
    </w:p>
    <w:p w14:paraId="1053C848">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9）蔬菜类质量要求：成熟度适中，新鲜，色泽良好，形态正常，个体均匀，清洗干净，符合“八无六有”要求。“八无”：即无农药残留超标、无重金属残留超标，无亚硝酸盐残留超标、无青帮老叶、茎叶类蔬菜无根须、无泥沙、无杂物、无其他污染；“六有”：有生产标准，有质量检测、有产品包装，有采摘日期、有产地标示、有冷链储运。</w:t>
      </w:r>
    </w:p>
    <w:p w14:paraId="03FAB259">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10）水果质量要求：达到二等（含）以上标准。颜色鲜艳、外形端正、细腻光滑、富有光泽的水果，成熟度适中，应具有良好的色泽及形态特征，果品表面清洁新鲜，无病虫害和机械损伤等，农药残留量须低于国家规定标准。</w:t>
      </w:r>
    </w:p>
    <w:p w14:paraId="3483868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11）豆制品类质量标准：必须具有合格产品检验报告。所用的原辅材料、包装材料必须符合国家标准、行业标准及有关规定；不得使用变质或未去除有害物质的原料、辅料，油炸豆制品所用油脂必须符合安全卫生标准，禁止反复使用。发酵豆制品所使用的菌种应防止污染和变异产毒。不得将次硫酸氢钠甲醛（吊白块）等工业原料作为食品添加剂在豆制品加工中使用。所使用的稳定剂和凝固剂必须符合国家、行业食品添加剂使用标准。</w:t>
      </w:r>
    </w:p>
    <w:p w14:paraId="32B9E419">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12）禽蛋类质量要求：蛋壳清洁完整，色泽鲜明，无破损，裂纹，无毒斑，灯光透视时，整个蛋呈橘黄色至橙红色，蛋黄不见或略见阴影，没有霉味，酸味，臭味等不良气味，打开蛋后凸起，完整，有韧性，蛋白澄清，透明，稀稠分明，无异味。咸蛋：蛋壳亦完整无损，无裂纹或毒斑，摇动时有轻度水荡漾感觉，灯光透视蛋黄凝结，呈橙黄色且靠近蛋壳，蛋清呈白色水样透明，生蛋打开可见蛋清稀薄透明，蛋黄呈红色或淡红色，浓缩粘度增强，但不硬固，煮熟后打开，可见蛋清白嫩，蛋黄口味有细沙感，富含油脂，品尝则有咸蛋固有的香味。</w:t>
      </w:r>
    </w:p>
    <w:p w14:paraId="20A791B3">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13）调料干杂类质量要求：经QS认证或国家有关部门检验达到无公害食品标准，具体标准为“六有三无”，“六有”：有生产日期、有保质期、有质量合格证、有生产厂家、有注册商标、有国家管理质量体系认证标示；“三无”：无假冒伪劣、无腐烂变质、无过期产品。</w:t>
      </w:r>
    </w:p>
    <w:p w14:paraId="406943DA">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14）干调、奶类、冻品等食品，必须按照超市供应的品牌和规格如实供应，不得擅自调整更换。中标人所供食品有外包装的，在食品外包装上必须有明确的生产厂家、生产日期、保质期以及国家标准的食品生产许可标志及生产许可证编号，严禁供应“三无”食品；没有外包装的，中标人必须提供食品检验检疫证明资料。送达的干调、奶类、冻品等食品保质期不超过总有效期的三分之一。</w:t>
      </w:r>
    </w:p>
    <w:p w14:paraId="42979803">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15）若投标人为肉类生鲜冻品的生产商，须出具动物检疫合格证、食品生产许可证、生猪定点屠宰证；若投标人为肉类生鲜冻品的经销商，须出具厂家授权书或经销许可，及厂家动物检疫合格证、食品生产许可证、生猪定点屠宰证。</w:t>
      </w:r>
    </w:p>
    <w:p w14:paraId="55A6EBE9">
      <w:pPr>
        <w:widowControl/>
        <w:topLinePunct/>
        <w:spacing w:line="360" w:lineRule="auto"/>
        <w:ind w:firstLine="482" w:firstLineChars="200"/>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w:t>
      </w:r>
      <w:r>
        <w:rPr>
          <w:rFonts w:hint="eastAsia" w:ascii="仿宋" w:hAnsi="仿宋" w:eastAsia="仿宋" w:cs="宋体"/>
          <w:b/>
          <w:bCs/>
          <w:color w:val="000000"/>
          <w:kern w:val="0"/>
          <w:sz w:val="24"/>
          <w:szCs w:val="24"/>
          <w:highlight w:val="none"/>
          <w:lang w:val="en-US" w:eastAsia="zh-CN"/>
        </w:rPr>
        <w:t>三</w:t>
      </w:r>
      <w:r>
        <w:rPr>
          <w:rFonts w:hint="eastAsia" w:ascii="仿宋" w:hAnsi="仿宋" w:eastAsia="仿宋" w:cs="宋体"/>
          <w:b/>
          <w:bCs/>
          <w:color w:val="000000"/>
          <w:kern w:val="0"/>
          <w:sz w:val="24"/>
          <w:szCs w:val="24"/>
          <w:highlight w:val="none"/>
        </w:rPr>
        <w:t>）其他要求</w:t>
      </w:r>
    </w:p>
    <w:p w14:paraId="7711C6B7">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1</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供货商资质齐全，经营地址需和投标及备案证件保持一致。</w:t>
      </w:r>
    </w:p>
    <w:p w14:paraId="66101BCA">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2</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供应商应按采购方要求提供定期报价，所报价格原则上不得高于本地商超价格。</w:t>
      </w:r>
    </w:p>
    <w:p w14:paraId="25299518">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3</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配送车辆、人员应相对固定并提交工作人员的证照，运输车辆应为年检合格的厢式货车或厢式送货车，车体内外要求干净整洁，并定期消毒。</w:t>
      </w:r>
    </w:p>
    <w:p w14:paraId="76065E74">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4</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如发现供货商有缺斤少两，以次充好等不诚信行为，视情节轻重采取拒收，重送，补送等措施，如类似情况达到三次视为违约，采购人有权终止合同。</w:t>
      </w:r>
    </w:p>
    <w:p w14:paraId="2D85AE1D">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5</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食品卫生安全：遵守国家、行业关于食品卫生安全的相关法律法规，确保饮食安全；因食品安全问题造成的一切后果均由投标人负责，并根据相关法律法规进行处罚及赔偿</w:t>
      </w:r>
      <w:r>
        <w:rPr>
          <w:rFonts w:hint="eastAsia" w:ascii="仿宋" w:hAnsi="仿宋" w:eastAsia="仿宋" w:cs="宋体"/>
          <w:color w:val="000000"/>
          <w:kern w:val="0"/>
          <w:sz w:val="24"/>
          <w:szCs w:val="24"/>
          <w:highlight w:val="none"/>
          <w:lang w:eastAsia="zh-CN"/>
        </w:rPr>
        <w:t>。</w:t>
      </w:r>
    </w:p>
    <w:p w14:paraId="7438177B">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6</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食品采购：应制定科学、完善的采购管理制度，采购的食品、原料及成品，不得有腐败变质、霉变及其他不符合卫生标准的情况；采购的肉类食品必须有合法检验单或印证，外加工食品（熟食）采购须确认定点；食品贮存有专人负责、生熟分区域，不得超期，定期清库检查，防止食品变质、霉变、生虫、及时清理不符合卫生要求的食品等，做好采购物品的登记，妥善保管票据、检验单等。并接受采购人、政府执法人员的监督与检查。</w:t>
      </w:r>
    </w:p>
    <w:p w14:paraId="0C384074">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7</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生产安全：安全无隐患，操作规范，确保安全生产无事故；人员须持证上岗，服务规范。</w:t>
      </w:r>
    </w:p>
    <w:p w14:paraId="0263BB20">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8</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所供蔬菜须是符合相关质量要求的时令菜。生肉及制品应提供《生猪产品批发单》第二联、《畜禽产品检验合格证》、《检疫证》和《信誉卡》。</w:t>
      </w:r>
    </w:p>
    <w:p w14:paraId="3E7DE87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9</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粮面油、干货、调料等须提供产品的名称、商标、批号、生产日期相一致的食品卫生检验合格证。</w:t>
      </w:r>
    </w:p>
    <w:p w14:paraId="3E2D877C">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10</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提供的任何食材必须是来源明确可追溯，不得采购假冒伪劣，腐败变质，过期，无生产厂址及无生产日期的食品。</w:t>
      </w:r>
    </w:p>
    <w:p w14:paraId="30E951B0">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11</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当天配送的食材要附带相应的检验检疫票据，随食材当天送达，如是复印件，需加</w:t>
      </w:r>
      <w:r>
        <w:rPr>
          <w:rFonts w:hint="eastAsia" w:ascii="仿宋" w:hAnsi="仿宋" w:eastAsia="仿宋" w:cs="宋体"/>
          <w:color w:val="000000"/>
          <w:kern w:val="0"/>
          <w:sz w:val="24"/>
          <w:szCs w:val="24"/>
          <w:highlight w:val="none"/>
          <w:lang w:eastAsia="zh-CN"/>
        </w:rPr>
        <w:t>盖供货商公章，检验检疫的单位需有相应的资质。</w:t>
      </w:r>
    </w:p>
    <w:p w14:paraId="6942D7CB">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12</w:t>
      </w:r>
      <w:r>
        <w:rPr>
          <w:rFonts w:hint="eastAsia" w:ascii="仿宋" w:hAnsi="仿宋" w:eastAsia="仿宋" w:cs="宋体"/>
          <w:color w:val="000000"/>
          <w:kern w:val="0"/>
          <w:sz w:val="24"/>
          <w:szCs w:val="24"/>
          <w:highlight w:val="none"/>
          <w:lang w:eastAsia="zh-CN"/>
        </w:rPr>
        <w:t>）投标人必须近2年未</w:t>
      </w:r>
      <w:r>
        <w:rPr>
          <w:rFonts w:hint="eastAsia" w:ascii="仿宋" w:hAnsi="仿宋" w:eastAsia="仿宋" w:cs="宋体"/>
          <w:color w:val="000000"/>
          <w:kern w:val="0"/>
          <w:sz w:val="24"/>
          <w:szCs w:val="24"/>
          <w:highlight w:val="none"/>
          <w:lang w:val="en-US" w:eastAsia="zh-CN"/>
        </w:rPr>
        <w:t>受到</w:t>
      </w:r>
      <w:r>
        <w:rPr>
          <w:rFonts w:hint="eastAsia" w:ascii="仿宋" w:hAnsi="仿宋" w:eastAsia="仿宋" w:cs="宋体"/>
          <w:color w:val="000000"/>
          <w:kern w:val="0"/>
          <w:sz w:val="24"/>
          <w:szCs w:val="24"/>
          <w:highlight w:val="none"/>
          <w:lang w:eastAsia="zh-CN"/>
        </w:rPr>
        <w:t>行业监管部门或者主管部门的处罚。</w:t>
      </w:r>
      <w:r>
        <w:rPr>
          <w:rFonts w:hint="eastAsia" w:ascii="仿宋" w:hAnsi="仿宋" w:eastAsia="仿宋" w:cs="宋体"/>
          <w:b/>
          <w:bCs/>
          <w:color w:val="000000"/>
          <w:kern w:val="0"/>
          <w:sz w:val="24"/>
          <w:szCs w:val="24"/>
          <w:highlight w:val="none"/>
          <w:lang w:eastAsia="zh-CN"/>
        </w:rPr>
        <w:t>（</w:t>
      </w:r>
      <w:r>
        <w:rPr>
          <w:rFonts w:hint="eastAsia" w:ascii="仿宋" w:hAnsi="仿宋" w:eastAsia="仿宋" w:cs="宋体"/>
          <w:b/>
          <w:bCs/>
          <w:color w:val="000000"/>
          <w:kern w:val="0"/>
          <w:sz w:val="24"/>
          <w:szCs w:val="24"/>
          <w:highlight w:val="none"/>
          <w:lang w:val="en-US" w:eastAsia="zh-CN"/>
        </w:rPr>
        <w:t>提供承诺函</w:t>
      </w:r>
      <w:r>
        <w:rPr>
          <w:rFonts w:hint="eastAsia" w:ascii="仿宋" w:hAnsi="仿宋" w:eastAsia="仿宋" w:cs="宋体"/>
          <w:b/>
          <w:bCs/>
          <w:color w:val="000000"/>
          <w:kern w:val="0"/>
          <w:sz w:val="24"/>
          <w:szCs w:val="24"/>
          <w:highlight w:val="none"/>
          <w:lang w:eastAsia="zh-CN"/>
        </w:rPr>
        <w:t>）</w:t>
      </w:r>
    </w:p>
    <w:p w14:paraId="60F85D78">
      <w:pPr>
        <w:widowControl/>
        <w:topLinePunct/>
        <w:spacing w:line="360" w:lineRule="auto"/>
        <w:rPr>
          <w:rFonts w:hint="eastAsia" w:ascii="仿宋" w:hAnsi="仿宋" w:eastAsia="仿宋" w:cs="宋体"/>
          <w:color w:val="000000"/>
          <w:kern w:val="0"/>
          <w:sz w:val="24"/>
          <w:szCs w:val="24"/>
          <w:highlight w:val="none"/>
        </w:rPr>
      </w:pPr>
    </w:p>
    <w:p w14:paraId="17D9FD3C">
      <w:pPr>
        <w:widowControl/>
        <w:topLinePunct/>
        <w:spacing w:line="360" w:lineRule="auto"/>
        <w:rPr>
          <w:rFonts w:hint="eastAsia" w:ascii="仿宋" w:hAnsi="仿宋" w:eastAsia="仿宋" w:cs="宋体"/>
          <w:b/>
          <w:bCs/>
          <w:color w:val="000000"/>
          <w:kern w:val="0"/>
          <w:sz w:val="24"/>
          <w:szCs w:val="24"/>
          <w:highlight w:val="none"/>
        </w:rPr>
      </w:pPr>
      <w:r>
        <w:rPr>
          <w:rFonts w:hint="eastAsia" w:ascii="仿宋" w:hAnsi="仿宋" w:eastAsia="仿宋" w:cs="宋体"/>
          <w:b/>
          <w:bCs/>
          <w:color w:val="000000"/>
          <w:kern w:val="0"/>
          <w:sz w:val="24"/>
          <w:szCs w:val="24"/>
          <w:highlight w:val="none"/>
        </w:rPr>
        <w:t>五、验收/考核标准及付款安排</w:t>
      </w:r>
    </w:p>
    <w:p w14:paraId="58F95CA7">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（一）验收标准</w:t>
      </w:r>
    </w:p>
    <w:p w14:paraId="534BD937">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货物验收要求验收准备：</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必须按照</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要求将食材搬运到指定地点，及时通知验收人员，在</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将物资送达使用单位指定场所后现场验收。</w:t>
      </w:r>
    </w:p>
    <w:p w14:paraId="2FB7921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（1）验收人员</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由</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组织 2人及以上相关人员对供应的食材品种、数量和质量进行验收。</w:t>
      </w:r>
    </w:p>
    <w:p w14:paraId="421CDD24">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（2）验收凭证</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提供屠宰证、检疫合格证和集中采购地、农残检测报告，以及其他符合国家食品卫生安全标准的资料。</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随货提供注明货物名称、单位、数量、售价及总金额的商品送货清单，作为</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入库验收之凭证。</w:t>
      </w:r>
    </w:p>
    <w:p w14:paraId="16C09E3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（3）验收数量</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应保证所供货物品种和数量、重量的准确性，</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和</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应分别建立采购和供应台账，确定专人(不少于两人)负责验收和送货，以</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的验货数量为准，</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每次随货送上一式两份的送货清单，供</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验货后签字确认，双方各持一份，作为送、收货的凭证。对于出现质量、数量不符合要求等现象，</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有权要求</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及时退换，</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必须无条件退换，并保证员工正常就餐。</w:t>
      </w:r>
    </w:p>
    <w:p w14:paraId="69E1EE36">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（4）所有货物外包装为全塑化、纸质化、软包装，不允许用金属制品、玻璃制品和绳索等危及</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安全的物品，包装严密，图案完整，包装材料应符合国家相关标准。</w:t>
      </w:r>
    </w:p>
    <w:p w14:paraId="635555F1">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按实际数量称重验收，验收合格后出具验收确认单；发现霉变、受潮、污染的货物</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有权拒绝收货，</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应重新配送，所产生的一切费用由</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自行承担，如给</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造成财产损失的，</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应承担赔偿责任。</w:t>
      </w:r>
    </w:p>
    <w:p w14:paraId="7C5FDBDB">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（6）</w:t>
      </w:r>
      <w:r>
        <w:rPr>
          <w:rFonts w:hint="eastAsia" w:ascii="仿宋" w:hAnsi="仿宋" w:eastAsia="仿宋" w:cs="宋体"/>
          <w:color w:val="000000"/>
          <w:kern w:val="0"/>
          <w:sz w:val="24"/>
          <w:szCs w:val="24"/>
          <w:highlight w:val="none"/>
          <w:lang w:val="en-US" w:eastAsia="zh-CN"/>
        </w:rPr>
        <w:t>采购方</w:t>
      </w:r>
      <w:r>
        <w:rPr>
          <w:rFonts w:hint="eastAsia" w:ascii="仿宋" w:hAnsi="仿宋" w:eastAsia="仿宋" w:cs="宋体"/>
          <w:color w:val="000000"/>
          <w:kern w:val="0"/>
          <w:sz w:val="24"/>
          <w:szCs w:val="24"/>
          <w:highlight w:val="none"/>
        </w:rPr>
        <w:t>有权对</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配送的各类物品自行或者委托第三方检测机构进行检测，按国家有关标准，若检测不合格，采购人予以书面警告，并对该批货物予以没收销毁，不必退还</w:t>
      </w:r>
      <w:r>
        <w:rPr>
          <w:rFonts w:hint="eastAsia" w:ascii="仿宋" w:hAnsi="仿宋" w:eastAsia="仿宋" w:cs="宋体"/>
          <w:color w:val="000000"/>
          <w:kern w:val="0"/>
          <w:sz w:val="24"/>
          <w:szCs w:val="24"/>
          <w:highlight w:val="none"/>
          <w:lang w:val="en-US" w:eastAsia="zh-CN"/>
        </w:rPr>
        <w:t>投标人</w:t>
      </w:r>
      <w:r>
        <w:rPr>
          <w:rFonts w:hint="eastAsia" w:ascii="仿宋" w:hAnsi="仿宋" w:eastAsia="仿宋" w:cs="宋体"/>
          <w:color w:val="000000"/>
          <w:kern w:val="0"/>
          <w:sz w:val="24"/>
          <w:szCs w:val="24"/>
          <w:highlight w:val="none"/>
        </w:rPr>
        <w:t>，防止二次流通至社会市场。</w:t>
      </w:r>
    </w:p>
    <w:p w14:paraId="3F7E2609">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rPr>
        <w:t>（</w:t>
      </w:r>
      <w:r>
        <w:rPr>
          <w:rFonts w:hint="eastAsia" w:ascii="仿宋" w:hAnsi="仿宋" w:eastAsia="仿宋" w:cs="宋体"/>
          <w:color w:val="000000"/>
          <w:kern w:val="0"/>
          <w:sz w:val="24"/>
          <w:szCs w:val="24"/>
          <w:highlight w:val="none"/>
          <w:lang w:val="en-US" w:eastAsia="zh-CN"/>
        </w:rPr>
        <w:t>二</w:t>
      </w:r>
      <w:r>
        <w:rPr>
          <w:rFonts w:hint="eastAsia" w:ascii="仿宋" w:hAnsi="仿宋" w:eastAsia="仿宋" w:cs="宋体"/>
          <w:color w:val="000000"/>
          <w:kern w:val="0"/>
          <w:sz w:val="24"/>
          <w:szCs w:val="24"/>
          <w:highlight w:val="none"/>
        </w:rPr>
        <w:t>）</w:t>
      </w:r>
      <w:r>
        <w:rPr>
          <w:rFonts w:hint="eastAsia" w:ascii="仿宋" w:hAnsi="仿宋" w:eastAsia="仿宋" w:cs="宋体"/>
          <w:color w:val="000000"/>
          <w:kern w:val="0"/>
          <w:sz w:val="24"/>
          <w:szCs w:val="24"/>
          <w:highlight w:val="none"/>
          <w:lang w:val="en-US" w:eastAsia="zh-CN"/>
        </w:rPr>
        <w:t>考核标准及处罚机制</w:t>
      </w:r>
    </w:p>
    <w:p w14:paraId="48045DCC">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考核标准旨在全面评估供应商在质量、价格、服务、资质四个维度的表现，采用</w:t>
      </w:r>
      <w:r>
        <w:rPr>
          <w:rFonts w:hint="eastAsia" w:ascii="仿宋" w:hAnsi="仿宋" w:eastAsia="仿宋" w:cs="宋体"/>
          <w:color w:val="000000"/>
          <w:kern w:val="0"/>
          <w:sz w:val="24"/>
          <w:szCs w:val="24"/>
          <w:highlight w:val="none"/>
          <w:lang w:val="en-US" w:eastAsia="zh-CN"/>
        </w:rPr>
        <w:t>月度考核</w:t>
      </w:r>
      <w:r>
        <w:rPr>
          <w:rFonts w:hint="eastAsia" w:ascii="仿宋" w:hAnsi="仿宋" w:eastAsia="仿宋" w:cs="宋体"/>
          <w:color w:val="000000"/>
          <w:kern w:val="0"/>
          <w:sz w:val="24"/>
          <w:szCs w:val="24"/>
          <w:highlight w:val="none"/>
        </w:rPr>
        <w:t>的方式，满分为100分。考核结果作为订单分配、合同续签及淘汰的依据。</w:t>
      </w:r>
    </w:p>
    <w:p w14:paraId="70B7E6D0">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质量指标（权重</w:t>
      </w:r>
      <w:r>
        <w:rPr>
          <w:rFonts w:hint="eastAsia" w:ascii="仿宋" w:hAnsi="仿宋" w:eastAsia="仿宋" w:cs="宋体"/>
          <w:color w:val="000000"/>
          <w:kern w:val="0"/>
          <w:sz w:val="24"/>
          <w:szCs w:val="24"/>
          <w:highlight w:val="none"/>
          <w:lang w:val="en-US" w:eastAsia="zh-CN"/>
        </w:rPr>
        <w:t>45</w:t>
      </w:r>
      <w:r>
        <w:rPr>
          <w:rFonts w:hint="eastAsia" w:ascii="仿宋" w:hAnsi="仿宋" w:eastAsia="仿宋" w:cs="宋体"/>
          <w:color w:val="000000"/>
          <w:kern w:val="0"/>
          <w:sz w:val="24"/>
          <w:szCs w:val="24"/>
          <w:highlight w:val="none"/>
        </w:rPr>
        <w:t>分）</w:t>
      </w:r>
    </w:p>
    <w:p w14:paraId="0868EEFF">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1.证件票据（5分）</w:t>
      </w:r>
    </w:p>
    <w:p w14:paraId="6D89FE2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供应商必须随货提供每批次产品的有效检疫合格证明、检测报告（特别是肉、蛋、奶、豆制品等高风险品类）。票证不全、缺失或伪造的，发现一次扣2分；伪造证件直接判定0分并启动淘汰程序。</w:t>
      </w:r>
    </w:p>
    <w:p w14:paraId="2FD5B25D">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 新鲜度（15分）</w:t>
      </w:r>
    </w:p>
    <w:p w14:paraId="6A4103BA">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蔬菜应无黄叶、腐烂、萎蔫；肉类色泽正常、富有弹性、无异味；水产类必须鲜活。发现一次不新鲜扣3分；出现变质、异味等严重问题扣5分/次。</w:t>
      </w:r>
    </w:p>
    <w:p w14:paraId="1F19162E">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 外观规格（10分）</w:t>
      </w:r>
    </w:p>
    <w:p w14:paraId="0A9E42CC">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货品必须严格按照订单要求的规格供货（如</w:t>
      </w:r>
      <w:r>
        <w:rPr>
          <w:rFonts w:hint="eastAsia" w:ascii="仿宋" w:hAnsi="仿宋" w:eastAsia="仿宋" w:cs="宋体"/>
          <w:color w:val="000000"/>
          <w:kern w:val="0"/>
          <w:sz w:val="24"/>
          <w:szCs w:val="24"/>
          <w:highlight w:val="none"/>
          <w:lang w:val="en-US" w:eastAsia="zh-CN"/>
        </w:rPr>
        <w:t>水果</w:t>
      </w:r>
      <w:r>
        <w:rPr>
          <w:rFonts w:hint="eastAsia" w:ascii="仿宋" w:hAnsi="仿宋" w:eastAsia="仿宋" w:cs="宋体"/>
          <w:color w:val="000000"/>
          <w:kern w:val="0"/>
          <w:sz w:val="24"/>
          <w:szCs w:val="24"/>
          <w:highlight w:val="none"/>
        </w:rPr>
        <w:t>大小均匀、</w:t>
      </w:r>
      <w:r>
        <w:rPr>
          <w:rFonts w:hint="eastAsia" w:ascii="仿宋" w:hAnsi="仿宋" w:eastAsia="仿宋" w:cs="宋体"/>
          <w:color w:val="000000"/>
          <w:kern w:val="0"/>
          <w:sz w:val="24"/>
          <w:szCs w:val="24"/>
          <w:highlight w:val="none"/>
          <w:lang w:val="en-US" w:eastAsia="zh-CN"/>
        </w:rPr>
        <w:t>土豆</w:t>
      </w:r>
      <w:r>
        <w:rPr>
          <w:rFonts w:hint="eastAsia" w:ascii="仿宋" w:hAnsi="仿宋" w:eastAsia="仿宋" w:cs="宋体"/>
          <w:color w:val="000000"/>
          <w:kern w:val="0"/>
          <w:sz w:val="24"/>
          <w:szCs w:val="24"/>
          <w:highlight w:val="none"/>
        </w:rPr>
        <w:t>无发芽；青椒色泽正常</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肉类肥瘦均匀等</w:t>
      </w:r>
      <w:r>
        <w:rPr>
          <w:rFonts w:hint="eastAsia" w:ascii="仿宋" w:hAnsi="仿宋" w:eastAsia="仿宋" w:cs="宋体"/>
          <w:color w:val="000000"/>
          <w:kern w:val="0"/>
          <w:sz w:val="24"/>
          <w:szCs w:val="24"/>
          <w:highlight w:val="none"/>
        </w:rPr>
        <w:t>）。规格不符的，食堂有权拒收，记录一次扣2分。</w:t>
      </w:r>
    </w:p>
    <w:p w14:paraId="0E871826">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 异物/杂质（10分）</w:t>
      </w:r>
    </w:p>
    <w:p w14:paraId="228FB115">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干货无霉变、无虫蛀；米面无杂质；预包装食品无破损、无胀气。发现严重异物（如铁丝、昆虫、塑料片）一次扣5分；引发食安投诉或事故的扣10分，并追究责任。</w:t>
      </w:r>
    </w:p>
    <w:p w14:paraId="40817E68">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5. 包装/标签（5分）</w:t>
      </w:r>
    </w:p>
    <w:p w14:paraId="70B00BF2">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预包装食品标签必须清晰标明生产日期、保质期、生产厂家等信息；包装完好。发现过期产品该项直接0分，并依法处理。</w:t>
      </w:r>
    </w:p>
    <w:p w14:paraId="6510E109">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价格指标（权重</w:t>
      </w:r>
      <w:r>
        <w:rPr>
          <w:rFonts w:hint="eastAsia" w:ascii="仿宋" w:hAnsi="仿宋" w:eastAsia="仿宋" w:cs="宋体"/>
          <w:color w:val="000000"/>
          <w:kern w:val="0"/>
          <w:sz w:val="24"/>
          <w:szCs w:val="24"/>
          <w:highlight w:val="none"/>
          <w:lang w:val="en-US" w:eastAsia="zh-CN"/>
        </w:rPr>
        <w:t>30</w:t>
      </w:r>
      <w:r>
        <w:rPr>
          <w:rFonts w:hint="eastAsia" w:ascii="仿宋" w:hAnsi="仿宋" w:eastAsia="仿宋" w:cs="宋体"/>
          <w:color w:val="000000"/>
          <w:kern w:val="0"/>
          <w:sz w:val="24"/>
          <w:szCs w:val="24"/>
          <w:highlight w:val="none"/>
        </w:rPr>
        <w:t>分）</w:t>
      </w:r>
    </w:p>
    <w:p w14:paraId="4E732398">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 市场比价（1</w:t>
      </w:r>
      <w:r>
        <w:rPr>
          <w:rFonts w:hint="eastAsia" w:ascii="仿宋" w:hAnsi="仿宋" w:eastAsia="仿宋" w:cs="宋体"/>
          <w:color w:val="000000"/>
          <w:kern w:val="0"/>
          <w:sz w:val="24"/>
          <w:szCs w:val="24"/>
          <w:highlight w:val="none"/>
          <w:lang w:val="en-US" w:eastAsia="zh-CN"/>
        </w:rPr>
        <w:t>5</w:t>
      </w:r>
      <w:r>
        <w:rPr>
          <w:rFonts w:hint="eastAsia" w:ascii="仿宋" w:hAnsi="仿宋" w:eastAsia="仿宋" w:cs="宋体"/>
          <w:color w:val="000000"/>
          <w:kern w:val="0"/>
          <w:sz w:val="24"/>
          <w:szCs w:val="24"/>
          <w:highlight w:val="none"/>
        </w:rPr>
        <w:t>分）</w:t>
      </w:r>
    </w:p>
    <w:p w14:paraId="2C53A035">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每周与当地农贸市场、批发市场的均价进行对比。价格持平不扣分；高于市场均价5%以内扣3分；高于10%以上扣5-10分。如存在长期明显偏高，需约谈调整。</w:t>
      </w:r>
    </w:p>
    <w:p w14:paraId="11D45C65">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 调价机制（</w:t>
      </w:r>
      <w:r>
        <w:rPr>
          <w:rFonts w:hint="eastAsia" w:ascii="仿宋" w:hAnsi="仿宋" w:eastAsia="仿宋" w:cs="宋体"/>
          <w:color w:val="000000"/>
          <w:kern w:val="0"/>
          <w:sz w:val="24"/>
          <w:szCs w:val="24"/>
          <w:highlight w:val="none"/>
          <w:lang w:val="en-US" w:eastAsia="zh-CN"/>
        </w:rPr>
        <w:t>5</w:t>
      </w:r>
      <w:r>
        <w:rPr>
          <w:rFonts w:hint="eastAsia" w:ascii="仿宋" w:hAnsi="仿宋" w:eastAsia="仿宋" w:cs="宋体"/>
          <w:color w:val="000000"/>
          <w:kern w:val="0"/>
          <w:sz w:val="24"/>
          <w:szCs w:val="24"/>
          <w:highlight w:val="none"/>
        </w:rPr>
        <w:t>分）</w:t>
      </w:r>
    </w:p>
    <w:p w14:paraId="4A52638E">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遇市场价格大幅波动，供应商应至少提前1天通知食堂调价，并说明原因。私自提价、临时涨价或涨价幅度严重不合理的，发现一次扣3分。</w:t>
      </w:r>
    </w:p>
    <w:p w14:paraId="33837020">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 报价透明度（</w:t>
      </w:r>
      <w:r>
        <w:rPr>
          <w:rFonts w:hint="eastAsia" w:ascii="仿宋" w:hAnsi="仿宋" w:eastAsia="仿宋" w:cs="宋体"/>
          <w:color w:val="000000"/>
          <w:kern w:val="0"/>
          <w:sz w:val="24"/>
          <w:szCs w:val="24"/>
          <w:highlight w:val="none"/>
          <w:lang w:val="en-US" w:eastAsia="zh-CN"/>
        </w:rPr>
        <w:t>10</w:t>
      </w:r>
      <w:r>
        <w:rPr>
          <w:rFonts w:hint="eastAsia" w:ascii="仿宋" w:hAnsi="仿宋" w:eastAsia="仿宋" w:cs="宋体"/>
          <w:color w:val="000000"/>
          <w:kern w:val="0"/>
          <w:sz w:val="24"/>
          <w:szCs w:val="24"/>
          <w:highlight w:val="none"/>
        </w:rPr>
        <w:t>分）</w:t>
      </w:r>
    </w:p>
    <w:p w14:paraId="11BBD298">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应</w:t>
      </w:r>
      <w:r>
        <w:rPr>
          <w:rFonts w:hint="eastAsia" w:ascii="仿宋" w:hAnsi="仿宋" w:eastAsia="仿宋" w:cs="宋体"/>
          <w:color w:val="000000"/>
          <w:kern w:val="0"/>
          <w:sz w:val="24"/>
          <w:szCs w:val="24"/>
          <w:highlight w:val="none"/>
          <w:lang w:val="en-US" w:eastAsia="zh-CN"/>
        </w:rPr>
        <w:t>配合甲方每日提供报价单，并</w:t>
      </w:r>
      <w:r>
        <w:rPr>
          <w:rFonts w:hint="eastAsia" w:ascii="仿宋" w:hAnsi="仿宋" w:eastAsia="仿宋" w:cs="宋体"/>
          <w:color w:val="000000"/>
          <w:kern w:val="0"/>
          <w:sz w:val="24"/>
          <w:szCs w:val="24"/>
          <w:highlight w:val="none"/>
        </w:rPr>
        <w:t>清晰列出品名、规格、单价、单位，无隐形收费。若发现乱加价、缺斤短两等舞弊行为，该项0分，并按合同约定予以罚款。</w:t>
      </w:r>
    </w:p>
    <w:p w14:paraId="2925CF62">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服务指标（权重20分）</w:t>
      </w:r>
    </w:p>
    <w:p w14:paraId="48E9008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1. 下单响应（5分）</w:t>
      </w:r>
    </w:p>
    <w:p w14:paraId="7FEDF5D9">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供应商需设专人对接，确保下单渠道（电话、微信、系统）畅通，并能及时响应临时加单、改单需求。漏接订单一次扣2分。</w:t>
      </w:r>
    </w:p>
    <w:p w14:paraId="212D2F98">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2. 送货准时率（10分）</w:t>
      </w:r>
    </w:p>
    <w:p w14:paraId="5130869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必须严格按照约定时间（如早晨7：30前）送达，以免影响加工。迟到15分钟以内扣2分；迟到30分钟以上严重影响备餐的扣5分。</w:t>
      </w:r>
    </w:p>
    <w:p w14:paraId="3BFB8DD7">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3. 退换货服务（5分）</w:t>
      </w:r>
    </w:p>
    <w:p w14:paraId="142F0138">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对不合格产品，供应商需无条件迅速退换。出现推诿、拖延、拒绝退换的一次扣3分。</w:t>
      </w:r>
    </w:p>
    <w:p w14:paraId="519B4E68">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4. 协调配合（附加分）</w:t>
      </w:r>
    </w:p>
    <w:p w14:paraId="333C6F58">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积极配合食堂应对临时检查、紧急活动备货、提供额外帮助的，可加1-3分，计入总分。</w:t>
      </w:r>
    </w:p>
    <w:p w14:paraId="3C896AD4">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资质与配合度（权重5分）</w:t>
      </w:r>
    </w:p>
    <w:p w14:paraId="7EA70D7D">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1. 资质有效性（1分）</w:t>
      </w:r>
    </w:p>
    <w:p w14:paraId="12326B3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营业执照、食品经营/生产许可证等主体资质需在有效期内，且无违规经营记录。资质过期未及时更新扣1分；若资质被吊销或出现严重违法记录，直接淘汰。</w:t>
      </w:r>
    </w:p>
    <w:p w14:paraId="224315AC">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2. 送货人员（2分）</w:t>
      </w:r>
    </w:p>
    <w:p w14:paraId="21D5B8F0">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送货人员需持有效健康证，着装整洁，遵守食堂出入管理规定。与食堂工作人员发生冲突或不文明行为一次扣2分。</w:t>
      </w:r>
    </w:p>
    <w:p w14:paraId="51A04318">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3. 票据结算（2分）</w:t>
      </w:r>
    </w:p>
    <w:p w14:paraId="6815BB9D">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送货单、对账单字迹清晰，保存完好，月底对账准确及时。账目混乱、单据丢失导致对账困难扣2分。</w:t>
      </w:r>
    </w:p>
    <w:p w14:paraId="62B95F02">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考核结果分级与处理</w:t>
      </w:r>
    </w:p>
    <w:p w14:paraId="0CA8918D">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一票否决（直接淘汰）</w:t>
      </w:r>
    </w:p>
    <w:p w14:paraId="761357CD">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出现以下任一情况，当月考核为0分，立即终止合作并列入黑名单：</w:t>
      </w:r>
    </w:p>
    <w:p w14:paraId="15F37ED1">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提供假冒伪劣产品；</w:t>
      </w:r>
    </w:p>
    <w:p w14:paraId="768C7A8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提供过期食品；</w:t>
      </w:r>
    </w:p>
    <w:p w14:paraId="02634DFE">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产品含有有毒有害物质；</w:t>
      </w:r>
    </w:p>
    <w:p w14:paraId="23461D09">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存在商业贿赂行为。</w:t>
      </w:r>
    </w:p>
    <w:p w14:paraId="21A74FB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分级处理标准：</w:t>
      </w:r>
    </w:p>
    <w:p w14:paraId="2F95F124">
      <w:pPr>
        <w:widowControl/>
        <w:topLinePunct/>
        <w:spacing w:line="360" w:lineRule="auto"/>
        <w:ind w:left="3" w:leftChars="0" w:firstLine="415" w:firstLineChars="173"/>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根据月度考核结果，每半年对供应商进行一次评级，取月度考核平均分确定级别。评定为D级的供应商份额调减5%，评定为A级的供应商份额调增5%。</w:t>
      </w:r>
    </w:p>
    <w:p w14:paraId="0F53CD6A">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A级（95分以上）：优秀供应商，通报表扬，增加采购份额、优先续签。</w:t>
      </w:r>
    </w:p>
    <w:p w14:paraId="641B97B7">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B级（85-94分）：合格供应商，正常合作，要求保持。</w:t>
      </w:r>
    </w:p>
    <w:p w14:paraId="6FD430F2">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C级（75-84分）：警告供应商，要求提交书面整改报告，并列为重点复查对象。</w:t>
      </w:r>
    </w:p>
    <w:p w14:paraId="79310AB5">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  · D级（75分以下）：黄牌警告，调减份额；连续两次D级，启动淘汰程序。</w:t>
      </w:r>
    </w:p>
    <w:p w14:paraId="11388D84">
      <w:pPr>
        <w:widowControl/>
        <w:topLinePunct/>
        <w:spacing w:line="360" w:lineRule="auto"/>
        <w:ind w:left="3" w:leftChars="0" w:firstLine="415" w:firstLineChars="173"/>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处罚机制</w:t>
      </w:r>
    </w:p>
    <w:p w14:paraId="670FD7AF">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1</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如出现一次伪劣、不合格、不新鲜、数量少、质量不达要求的，每次罚款￥</w:t>
      </w:r>
      <w:r>
        <w:rPr>
          <w:rFonts w:hint="eastAsia" w:ascii="仿宋" w:hAnsi="仿宋" w:eastAsia="仿宋" w:cs="宋体"/>
          <w:color w:val="000000"/>
          <w:kern w:val="0"/>
          <w:sz w:val="24"/>
          <w:szCs w:val="24"/>
          <w:highlight w:val="none"/>
          <w:lang w:val="en-US" w:eastAsia="zh-CN"/>
        </w:rPr>
        <w:t>1</w:t>
      </w:r>
      <w:r>
        <w:rPr>
          <w:rFonts w:hint="eastAsia" w:ascii="仿宋" w:hAnsi="仿宋" w:eastAsia="仿宋" w:cs="宋体"/>
          <w:color w:val="000000"/>
          <w:kern w:val="0"/>
          <w:sz w:val="24"/>
          <w:szCs w:val="24"/>
          <w:highlight w:val="none"/>
        </w:rPr>
        <w:t>000.00元；出现三次及以上的，取消中标人的配送资质。</w:t>
      </w:r>
    </w:p>
    <w:p w14:paraId="1138329B">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2</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如当日配送的货物由甲方验收员或食堂操作员发现数量缺斤少两或质量未达到合同约定标准的副食品，采购金额达到当日该单位总货款的10%时，第一次扣除当天总货款的 10％，第二次扣除当天总货款的20％，不符合要求达到三次的，甲方有权解除本合同，由其他备选供应商接替。</w:t>
      </w:r>
    </w:p>
    <w:p w14:paraId="346DFB96">
      <w:pPr>
        <w:widowControl/>
        <w:topLinePunct/>
        <w:spacing w:line="360" w:lineRule="auto"/>
        <w:ind w:left="3" w:leftChars="0" w:firstLine="415" w:firstLineChars="173"/>
        <w:rPr>
          <w:rFonts w:hint="eastAsia" w:ascii="仿宋" w:hAnsi="仿宋" w:eastAsia="仿宋" w:cs="宋体"/>
          <w:color w:val="000000"/>
          <w:kern w:val="0"/>
          <w:sz w:val="24"/>
          <w:szCs w:val="24"/>
          <w:highlight w:val="none"/>
          <w:lang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3</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发生食物中毒事故，由地方政府相关权威机构确认为乙方责任时，乙方按照饮食安全规定、国家《食品安全法》和卫生防疫部门的有关规定接受相应的处罚外，还必须由乙方承担甲方带来的一切损失和经济赔偿，同时甲方可即时解除本合同，有其他备选供应商接替</w:t>
      </w:r>
      <w:r>
        <w:rPr>
          <w:rFonts w:hint="eastAsia" w:ascii="仿宋" w:hAnsi="仿宋" w:eastAsia="仿宋" w:cs="宋体"/>
          <w:color w:val="000000"/>
          <w:kern w:val="0"/>
          <w:sz w:val="24"/>
          <w:szCs w:val="24"/>
          <w:highlight w:val="none"/>
          <w:lang w:eastAsia="zh-CN"/>
        </w:rPr>
        <w:t>。</w:t>
      </w:r>
    </w:p>
    <w:p w14:paraId="7BDD6F42">
      <w:pPr>
        <w:widowControl/>
        <w:topLinePunct/>
        <w:spacing w:line="360" w:lineRule="auto"/>
        <w:ind w:left="3" w:leftChars="0" w:firstLine="415" w:firstLineChars="173"/>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lang w:val="en-US" w:eastAsia="zh-CN"/>
        </w:rPr>
        <w:t>4</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三个月之内连续出现三起重大投诉事件（严重影响就餐质量和严重卫生投诉事件），甲方可随时终止合同。</w:t>
      </w:r>
    </w:p>
    <w:p w14:paraId="5472F1A7">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w:t>
      </w:r>
      <w:r>
        <w:rPr>
          <w:rFonts w:hint="eastAsia" w:ascii="仿宋" w:hAnsi="仿宋" w:eastAsia="仿宋" w:cs="宋体"/>
          <w:color w:val="000000"/>
          <w:kern w:val="0"/>
          <w:sz w:val="24"/>
          <w:szCs w:val="24"/>
          <w:highlight w:val="none"/>
          <w:lang w:val="en-US" w:eastAsia="zh-CN"/>
        </w:rPr>
        <w:t>三</w:t>
      </w:r>
      <w:r>
        <w:rPr>
          <w:rFonts w:hint="eastAsia" w:ascii="仿宋" w:hAnsi="仿宋" w:eastAsia="仿宋" w:cs="宋体"/>
          <w:color w:val="000000"/>
          <w:kern w:val="0"/>
          <w:sz w:val="24"/>
          <w:szCs w:val="24"/>
          <w:highlight w:val="none"/>
        </w:rPr>
        <w:t>）付款安排</w:t>
      </w:r>
    </w:p>
    <w:p w14:paraId="557D77D7">
      <w:pPr>
        <w:widowControl/>
        <w:topLinePunct/>
        <w:spacing w:line="360" w:lineRule="auto"/>
        <w:ind w:left="3" w:leftChars="0" w:firstLine="415" w:firstLineChars="173"/>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预计按照采购货物总和月度付款</w:t>
      </w:r>
      <w:r>
        <w:rPr>
          <w:rFonts w:hint="eastAsia" w:ascii="仿宋" w:hAnsi="仿宋" w:eastAsia="仿宋" w:cs="宋体"/>
          <w:color w:val="000000"/>
          <w:kern w:val="0"/>
          <w:sz w:val="24"/>
          <w:szCs w:val="24"/>
          <w:highlight w:val="none"/>
          <w:lang w:eastAsia="zh-CN"/>
        </w:rPr>
        <w:t>，</w:t>
      </w:r>
      <w:r>
        <w:rPr>
          <w:rFonts w:hint="eastAsia" w:ascii="仿宋" w:hAnsi="仿宋" w:eastAsia="仿宋" w:cs="宋体"/>
          <w:color w:val="000000"/>
          <w:kern w:val="0"/>
          <w:sz w:val="24"/>
          <w:szCs w:val="24"/>
          <w:highlight w:val="none"/>
        </w:rPr>
        <w:t>验收通过后60日内支付货款100%。</w:t>
      </w:r>
    </w:p>
    <w:p w14:paraId="32767643">
      <w:pPr>
        <w:pStyle w:val="3"/>
        <w:rPr>
          <w:rFonts w:hint="eastAsia" w:ascii="仿宋" w:hAnsi="仿宋" w:cs="宋体"/>
          <w:color w:val="000000"/>
          <w:highlight w:val="none"/>
        </w:rPr>
      </w:pPr>
      <w:r>
        <w:rPr>
          <w:rFonts w:hint="eastAsia" w:ascii="仿宋" w:hAnsi="仿宋" w:eastAsia="仿宋" w:cs="宋体"/>
          <w:color w:val="000000"/>
          <w:kern w:val="0"/>
          <w:sz w:val="24"/>
          <w:szCs w:val="24"/>
          <w:highlight w:val="none"/>
        </w:rPr>
        <w:br w:type="page"/>
      </w:r>
      <w:bookmarkEnd w:id="646"/>
      <w:bookmarkEnd w:id="647"/>
      <w:bookmarkStart w:id="650" w:name="_Toc65683002"/>
      <w:bookmarkStart w:id="651" w:name="_Toc15177"/>
      <w:bookmarkStart w:id="652" w:name="_Toc28744"/>
      <w:bookmarkStart w:id="653" w:name="_Toc22300"/>
      <w:bookmarkStart w:id="654" w:name="_Toc109124314"/>
      <w:r>
        <w:rPr>
          <w:rFonts w:hint="eastAsia" w:ascii="仿宋" w:hAnsi="仿宋" w:cs="宋体"/>
          <w:color w:val="auto"/>
          <w:highlight w:val="none"/>
        </w:rPr>
        <w:t>第六章 投标文件格式</w:t>
      </w:r>
      <w:bookmarkEnd w:id="648"/>
      <w:bookmarkEnd w:id="650"/>
      <w:bookmarkEnd w:id="651"/>
      <w:bookmarkEnd w:id="652"/>
      <w:bookmarkEnd w:id="653"/>
      <w:bookmarkEnd w:id="654"/>
    </w:p>
    <w:p w14:paraId="19369549">
      <w:pPr>
        <w:spacing w:line="360" w:lineRule="auto"/>
        <w:rPr>
          <w:rFonts w:hint="eastAsia" w:ascii="仿宋" w:hAnsi="仿宋" w:eastAsia="仿宋" w:cs="宋体"/>
          <w:b/>
          <w:color w:val="000000"/>
          <w:highlight w:val="none"/>
        </w:rPr>
      </w:pPr>
      <w:r>
        <w:rPr>
          <w:rFonts w:hint="eastAsia" w:ascii="仿宋" w:hAnsi="仿宋" w:eastAsia="仿宋" w:cs="宋体"/>
          <w:b/>
          <w:color w:val="000000"/>
          <w:sz w:val="24"/>
          <w:szCs w:val="24"/>
          <w:highlight w:val="none"/>
        </w:rPr>
        <w:t>纸质投标文件封面格式</w:t>
      </w:r>
    </w:p>
    <w:tbl>
      <w:tblPr>
        <w:tblStyle w:val="32"/>
        <w:tblW w:w="0" w:type="auto"/>
        <w:jc w:val="center"/>
        <w:tblLayout w:type="fixed"/>
        <w:tblCellMar>
          <w:top w:w="0" w:type="dxa"/>
          <w:left w:w="108" w:type="dxa"/>
          <w:bottom w:w="0" w:type="dxa"/>
          <w:right w:w="108" w:type="dxa"/>
        </w:tblCellMar>
      </w:tblPr>
      <w:tblGrid>
        <w:gridCol w:w="9854"/>
      </w:tblGrid>
      <w:tr w14:paraId="2627265C">
        <w:tblPrEx>
          <w:tblCellMar>
            <w:top w:w="0" w:type="dxa"/>
            <w:left w:w="108" w:type="dxa"/>
            <w:bottom w:w="0" w:type="dxa"/>
            <w:right w:w="108" w:type="dxa"/>
          </w:tblCellMar>
        </w:tblPrEx>
        <w:trPr>
          <w:trHeight w:val="10007" w:hRule="atLeast"/>
          <w:jc w:val="center"/>
        </w:trPr>
        <w:tc>
          <w:tcPr>
            <w:tcW w:w="9854" w:type="dxa"/>
            <w:tcBorders>
              <w:top w:val="single" w:color="000000" w:sz="4" w:space="0"/>
              <w:left w:val="single" w:color="000000" w:sz="4" w:space="0"/>
              <w:bottom w:val="single" w:color="000000" w:sz="4" w:space="0"/>
              <w:right w:val="single" w:color="000000" w:sz="4" w:space="0"/>
            </w:tcBorders>
            <w:noWrap w:val="0"/>
            <w:vAlign w:val="top"/>
          </w:tcPr>
          <w:p w14:paraId="6E9A91A6">
            <w:pPr>
              <w:pStyle w:val="113"/>
              <w:keepNext w:val="0"/>
              <w:keepLines w:val="0"/>
              <w:suppressLineNumbers w:val="0"/>
              <w:spacing w:before="156" w:beforeAutospacing="0" w:after="312" w:afterAutospacing="0"/>
              <w:ind w:left="0" w:right="508"/>
              <w:jc w:val="right"/>
              <w:rPr>
                <w:rFonts w:hint="eastAsia" w:ascii="仿宋" w:hAnsi="仿宋" w:eastAsia="仿宋" w:cs="宋体"/>
                <w:color w:val="000000"/>
                <w:sz w:val="32"/>
                <w:szCs w:val="20"/>
                <w:highlight w:val="none"/>
              </w:rPr>
            </w:pPr>
            <w:r>
              <w:rPr>
                <w:rFonts w:hint="eastAsia" w:ascii="仿宋" w:hAnsi="仿宋" w:eastAsia="仿宋" w:cs="宋体"/>
                <w:color w:val="000000"/>
                <w:sz w:val="32"/>
                <w:szCs w:val="20"/>
                <w:highlight w:val="none"/>
              </w:rPr>
              <w:t>正本/副本</w:t>
            </w:r>
          </w:p>
          <w:p w14:paraId="41BBC098">
            <w:pPr>
              <w:pStyle w:val="113"/>
              <w:keepNext w:val="0"/>
              <w:keepLines w:val="0"/>
              <w:suppressLineNumbers w:val="0"/>
              <w:spacing w:before="156" w:beforeAutospacing="0" w:after="312" w:afterAutospacing="0"/>
              <w:ind w:left="0" w:right="-284"/>
              <w:jc w:val="center"/>
              <w:rPr>
                <w:rFonts w:hint="eastAsia" w:ascii="仿宋" w:hAnsi="仿宋" w:eastAsia="仿宋" w:cs="宋体"/>
                <w:color w:val="000000"/>
                <w:sz w:val="32"/>
                <w:szCs w:val="20"/>
                <w:highlight w:val="none"/>
              </w:rPr>
            </w:pPr>
            <w:r>
              <w:rPr>
                <w:rFonts w:hint="eastAsia" w:ascii="仿宋" w:hAnsi="仿宋" w:eastAsia="仿宋" w:cs="宋体"/>
                <w:color w:val="000000"/>
                <w:sz w:val="32"/>
                <w:szCs w:val="20"/>
                <w:highlight w:val="none"/>
                <w:u w:val="single"/>
              </w:rPr>
              <w:t xml:space="preserve">     （项目名称）    </w:t>
            </w:r>
            <w:r>
              <w:rPr>
                <w:rFonts w:hint="eastAsia" w:ascii="仿宋" w:hAnsi="仿宋" w:eastAsia="仿宋" w:cs="宋体"/>
                <w:color w:val="000000"/>
                <w:sz w:val="32"/>
                <w:szCs w:val="20"/>
                <w:highlight w:val="none"/>
              </w:rPr>
              <w:t>项目</w:t>
            </w:r>
          </w:p>
          <w:p w14:paraId="1E9D12D6">
            <w:pPr>
              <w:pStyle w:val="113"/>
              <w:keepNext w:val="0"/>
              <w:keepLines w:val="0"/>
              <w:suppressLineNumbers w:val="0"/>
              <w:spacing w:before="624" w:beforeAutospacing="0" w:after="156" w:afterAutospacing="0" w:line="160" w:lineRule="atLeast"/>
              <w:ind w:left="0" w:right="-284"/>
              <w:jc w:val="center"/>
              <w:rPr>
                <w:rFonts w:hint="eastAsia" w:ascii="仿宋" w:hAnsi="仿宋" w:eastAsia="仿宋" w:cs="宋体"/>
                <w:color w:val="000000"/>
                <w:sz w:val="52"/>
                <w:szCs w:val="20"/>
                <w:highlight w:val="none"/>
              </w:rPr>
            </w:pPr>
            <w:r>
              <w:rPr>
                <w:rFonts w:hint="eastAsia" w:ascii="仿宋" w:hAnsi="仿宋" w:eastAsia="仿宋" w:cs="宋体"/>
                <w:color w:val="000000"/>
                <w:sz w:val="52"/>
                <w:szCs w:val="20"/>
                <w:highlight w:val="none"/>
              </w:rPr>
              <w:t>投标文件</w:t>
            </w:r>
          </w:p>
          <w:p w14:paraId="2483A85A">
            <w:pPr>
              <w:pStyle w:val="113"/>
              <w:keepNext w:val="0"/>
              <w:keepLines w:val="0"/>
              <w:suppressLineNumbers w:val="0"/>
              <w:spacing w:before="624" w:beforeAutospacing="0" w:after="156" w:afterAutospacing="0" w:line="240" w:lineRule="atLeast"/>
              <w:ind w:left="0" w:right="0"/>
              <w:jc w:val="center"/>
              <w:rPr>
                <w:rFonts w:hint="default" w:ascii="仿宋" w:hAnsi="仿宋" w:eastAsia="仿宋" w:cs="宋体"/>
                <w:color w:val="000000"/>
                <w:sz w:val="40"/>
                <w:szCs w:val="20"/>
                <w:highlight w:val="none"/>
                <w:lang w:val="en-US" w:eastAsia="zh-CN"/>
              </w:rPr>
            </w:pPr>
            <w:r>
              <w:rPr>
                <w:rFonts w:hint="eastAsia" w:ascii="仿宋" w:hAnsi="仿宋" w:eastAsia="仿宋" w:cs="宋体"/>
                <w:color w:val="000000"/>
                <w:sz w:val="40"/>
                <w:szCs w:val="20"/>
                <w:highlight w:val="none"/>
                <w:lang w:val="en-US" w:eastAsia="zh-CN"/>
              </w:rPr>
              <w:t>标包号</w:t>
            </w:r>
          </w:p>
          <w:p w14:paraId="432E48B3">
            <w:pPr>
              <w:pStyle w:val="113"/>
              <w:keepNext w:val="0"/>
              <w:keepLines w:val="0"/>
              <w:suppressLineNumbers w:val="0"/>
              <w:spacing w:before="624" w:beforeAutospacing="0" w:after="156" w:afterAutospacing="0" w:line="240" w:lineRule="atLeast"/>
              <w:ind w:left="0" w:right="0"/>
              <w:jc w:val="center"/>
              <w:rPr>
                <w:rFonts w:hint="eastAsia" w:ascii="仿宋" w:hAnsi="仿宋" w:eastAsia="仿宋" w:cs="宋体"/>
                <w:color w:val="000000"/>
                <w:sz w:val="40"/>
                <w:szCs w:val="20"/>
                <w:highlight w:val="none"/>
              </w:rPr>
            </w:pPr>
            <w:r>
              <w:rPr>
                <w:rFonts w:hint="eastAsia" w:ascii="仿宋" w:hAnsi="仿宋" w:eastAsia="仿宋" w:cs="宋体"/>
                <w:color w:val="000000"/>
                <w:sz w:val="40"/>
                <w:szCs w:val="20"/>
                <w:highlight w:val="none"/>
              </w:rPr>
              <w:t>（商务文件/技术文件/报价文件）</w:t>
            </w:r>
          </w:p>
          <w:p w14:paraId="560BACE7">
            <w:pPr>
              <w:pStyle w:val="113"/>
              <w:keepNext w:val="0"/>
              <w:keepLines w:val="0"/>
              <w:suppressLineNumbers w:val="0"/>
              <w:spacing w:before="1560" w:beforeAutospacing="0" w:after="0" w:afterAutospacing="0" w:line="480" w:lineRule="auto"/>
              <w:ind w:left="0" w:right="-284"/>
              <w:jc w:val="center"/>
              <w:rPr>
                <w:rFonts w:hint="eastAsia" w:ascii="仿宋" w:hAnsi="仿宋" w:eastAsia="仿宋" w:cs="宋体"/>
                <w:color w:val="000000"/>
                <w:sz w:val="24"/>
                <w:szCs w:val="20"/>
                <w:highlight w:val="none"/>
              </w:rPr>
            </w:pPr>
            <w:r>
              <w:rPr>
                <w:rFonts w:hint="eastAsia" w:ascii="仿宋" w:hAnsi="仿宋" w:eastAsia="仿宋" w:cs="宋体"/>
                <w:color w:val="000000"/>
                <w:sz w:val="24"/>
                <w:szCs w:val="20"/>
                <w:highlight w:val="none"/>
              </w:rPr>
              <w:t>投标人名称：</w:t>
            </w:r>
            <w:r>
              <w:rPr>
                <w:rFonts w:hint="eastAsia" w:ascii="仿宋" w:hAnsi="仿宋" w:eastAsia="仿宋" w:cs="宋体"/>
                <w:color w:val="000000"/>
                <w:sz w:val="24"/>
                <w:szCs w:val="20"/>
                <w:highlight w:val="none"/>
                <w:u w:val="single"/>
              </w:rPr>
              <w:t xml:space="preserve"> </w:t>
            </w:r>
            <w:r>
              <w:rPr>
                <w:rFonts w:hint="default" w:ascii="仿宋" w:hAnsi="仿宋" w:eastAsia="仿宋" w:cs="宋体"/>
                <w:color w:val="000000"/>
                <w:sz w:val="24"/>
                <w:szCs w:val="20"/>
                <w:highlight w:val="none"/>
                <w:u w:val="single"/>
              </w:rPr>
              <w:t xml:space="preserve">       </w:t>
            </w:r>
            <w:r>
              <w:rPr>
                <w:rFonts w:hint="eastAsia" w:ascii="仿宋" w:hAnsi="仿宋" w:eastAsia="仿宋" w:cs="宋体"/>
                <w:color w:val="000000"/>
                <w:sz w:val="24"/>
                <w:szCs w:val="20"/>
                <w:highlight w:val="none"/>
                <w:u w:val="single"/>
              </w:rPr>
              <w:t xml:space="preserve">（盖章） </w:t>
            </w:r>
          </w:p>
          <w:p w14:paraId="7A6826B1">
            <w:pPr>
              <w:pStyle w:val="113"/>
              <w:keepNext w:val="0"/>
              <w:keepLines w:val="0"/>
              <w:suppressLineNumbers w:val="0"/>
              <w:spacing w:before="0" w:beforeAutospacing="0" w:after="156" w:afterAutospacing="0" w:line="480" w:lineRule="auto"/>
              <w:ind w:left="0" w:right="-284"/>
              <w:jc w:val="center"/>
              <w:rPr>
                <w:rFonts w:hint="eastAsia" w:ascii="仿宋" w:hAnsi="仿宋" w:eastAsia="仿宋" w:cs="宋体"/>
                <w:color w:val="000000"/>
                <w:sz w:val="24"/>
                <w:szCs w:val="20"/>
                <w:highlight w:val="none"/>
                <w:u w:val="single"/>
              </w:rPr>
            </w:pPr>
            <w:r>
              <w:rPr>
                <w:rFonts w:hint="eastAsia" w:ascii="仿宋" w:hAnsi="仿宋" w:eastAsia="仿宋" w:cs="宋体"/>
                <w:color w:val="000000"/>
                <w:sz w:val="24"/>
                <w:szCs w:val="20"/>
                <w:highlight w:val="none"/>
              </w:rPr>
              <w:t>法定代表人（负责人）或其委托的代理人：</w:t>
            </w:r>
            <w:r>
              <w:rPr>
                <w:rFonts w:hint="eastAsia" w:ascii="仿宋" w:hAnsi="仿宋" w:eastAsia="仿宋" w:cs="宋体"/>
                <w:color w:val="000000"/>
                <w:sz w:val="24"/>
                <w:szCs w:val="20"/>
                <w:highlight w:val="none"/>
                <w:u w:val="single"/>
              </w:rPr>
              <w:t>（签字或盖章）</w:t>
            </w:r>
          </w:p>
          <w:p w14:paraId="35DFFB51">
            <w:pPr>
              <w:pStyle w:val="113"/>
              <w:keepNext w:val="0"/>
              <w:keepLines w:val="0"/>
              <w:suppressLineNumbers w:val="0"/>
              <w:spacing w:before="0" w:beforeAutospacing="0" w:after="156" w:afterAutospacing="0" w:line="480" w:lineRule="auto"/>
              <w:ind w:left="0" w:right="-284" w:firstLine="1920"/>
              <w:rPr>
                <w:rFonts w:hint="eastAsia" w:ascii="仿宋" w:hAnsi="仿宋" w:eastAsia="仿宋" w:cs="宋体"/>
                <w:color w:val="000000"/>
                <w:sz w:val="24"/>
                <w:szCs w:val="20"/>
                <w:highlight w:val="none"/>
                <w:u w:val="single"/>
              </w:rPr>
            </w:pPr>
            <w:r>
              <w:rPr>
                <w:rFonts w:hint="eastAsia" w:ascii="仿宋" w:hAnsi="仿宋" w:eastAsia="仿宋" w:cs="宋体"/>
                <w:color w:val="000000"/>
                <w:sz w:val="24"/>
                <w:szCs w:val="20"/>
                <w:highlight w:val="none"/>
              </w:rPr>
              <w:t>投标人地址：</w:t>
            </w:r>
            <w:r>
              <w:rPr>
                <w:rFonts w:hint="eastAsia" w:ascii="仿宋" w:hAnsi="仿宋" w:eastAsia="仿宋" w:cs="宋体"/>
                <w:color w:val="000000"/>
                <w:sz w:val="24"/>
                <w:szCs w:val="20"/>
                <w:highlight w:val="none"/>
                <w:u w:val="single"/>
              </w:rPr>
              <w:t xml:space="preserve"> </w:t>
            </w:r>
            <w:r>
              <w:rPr>
                <w:rFonts w:hint="default" w:ascii="仿宋" w:hAnsi="仿宋" w:eastAsia="仿宋" w:cs="宋体"/>
                <w:color w:val="000000"/>
                <w:sz w:val="24"/>
                <w:szCs w:val="20"/>
                <w:highlight w:val="none"/>
                <w:u w:val="single"/>
              </w:rPr>
              <w:t xml:space="preserve">                                </w:t>
            </w:r>
          </w:p>
          <w:p w14:paraId="4FC69FBB">
            <w:pPr>
              <w:pStyle w:val="113"/>
              <w:keepNext w:val="0"/>
              <w:keepLines w:val="0"/>
              <w:suppressLineNumbers w:val="0"/>
              <w:spacing w:before="0" w:beforeAutospacing="0" w:after="624" w:afterAutospacing="0"/>
              <w:ind w:left="0" w:right="-284"/>
              <w:jc w:val="center"/>
              <w:rPr>
                <w:rFonts w:hint="eastAsia" w:ascii="仿宋" w:hAnsi="仿宋" w:eastAsia="仿宋" w:cs="宋体"/>
                <w:color w:val="000000"/>
                <w:szCs w:val="20"/>
                <w:highlight w:val="none"/>
              </w:rPr>
            </w:pPr>
            <w:r>
              <w:rPr>
                <w:rFonts w:hint="eastAsia" w:ascii="仿宋" w:hAnsi="仿宋" w:eastAsia="仿宋" w:cs="宋体"/>
                <w:color w:val="000000"/>
                <w:sz w:val="24"/>
                <w:szCs w:val="20"/>
                <w:highlight w:val="none"/>
              </w:rPr>
              <w:t xml:space="preserve">年     月   </w:t>
            </w:r>
            <w:r>
              <w:rPr>
                <w:rFonts w:hint="default" w:ascii="仿宋" w:hAnsi="仿宋" w:eastAsia="仿宋" w:cs="宋体"/>
                <w:color w:val="000000"/>
                <w:sz w:val="24"/>
                <w:szCs w:val="20"/>
                <w:highlight w:val="none"/>
              </w:rPr>
              <w:t xml:space="preserve"> </w:t>
            </w:r>
            <w:r>
              <w:rPr>
                <w:rFonts w:hint="eastAsia" w:ascii="仿宋" w:hAnsi="仿宋" w:eastAsia="仿宋" w:cs="宋体"/>
                <w:color w:val="000000"/>
                <w:sz w:val="24"/>
                <w:szCs w:val="20"/>
                <w:highlight w:val="none"/>
              </w:rPr>
              <w:t xml:space="preserve"> 日</w:t>
            </w:r>
          </w:p>
        </w:tc>
      </w:tr>
    </w:tbl>
    <w:p w14:paraId="2E9E875B">
      <w:pPr>
        <w:spacing w:line="360" w:lineRule="auto"/>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格式：封口</w:t>
      </w:r>
    </w:p>
    <w:tbl>
      <w:tblPr>
        <w:tblStyle w:val="32"/>
        <w:tblW w:w="0" w:type="auto"/>
        <w:tblInd w:w="0" w:type="dxa"/>
        <w:tblLayout w:type="fixed"/>
        <w:tblCellMar>
          <w:top w:w="0" w:type="dxa"/>
          <w:left w:w="108" w:type="dxa"/>
          <w:bottom w:w="0" w:type="dxa"/>
          <w:right w:w="108" w:type="dxa"/>
        </w:tblCellMar>
      </w:tblPr>
      <w:tblGrid>
        <w:gridCol w:w="9854"/>
      </w:tblGrid>
      <w:tr w14:paraId="6EE87D46">
        <w:tblPrEx>
          <w:tblCellMar>
            <w:top w:w="0" w:type="dxa"/>
            <w:left w:w="108" w:type="dxa"/>
            <w:bottom w:w="0" w:type="dxa"/>
            <w:right w:w="108" w:type="dxa"/>
          </w:tblCellMar>
        </w:tblPrEx>
        <w:trPr>
          <w:trHeight w:val="1503" w:hRule="atLeast"/>
        </w:trPr>
        <w:tc>
          <w:tcPr>
            <w:tcW w:w="9854" w:type="dxa"/>
            <w:tcBorders>
              <w:top w:val="single" w:color="000000" w:sz="4" w:space="0"/>
              <w:left w:val="single" w:color="000000" w:sz="4" w:space="0"/>
              <w:bottom w:val="single" w:color="000000" w:sz="4" w:space="0"/>
              <w:right w:val="single" w:color="000000" w:sz="4" w:space="0"/>
            </w:tcBorders>
            <w:noWrap w:val="0"/>
            <w:vAlign w:val="center"/>
          </w:tcPr>
          <w:p w14:paraId="593B6988">
            <w:pPr>
              <w:pStyle w:val="113"/>
              <w:keepNext w:val="0"/>
              <w:keepLines w:val="0"/>
              <w:suppressLineNumbers w:val="0"/>
              <w:spacing w:before="0" w:beforeAutospacing="0" w:after="0" w:afterAutospacing="0"/>
              <w:ind w:left="0" w:right="-284"/>
              <w:jc w:val="center"/>
              <w:rPr>
                <w:rFonts w:hint="eastAsia" w:ascii="仿宋" w:hAnsi="仿宋" w:eastAsia="仿宋" w:cs="宋体"/>
                <w:b/>
                <w:color w:val="000000"/>
                <w:szCs w:val="20"/>
                <w:highlight w:val="none"/>
              </w:rPr>
            </w:pPr>
            <w:r>
              <w:rPr>
                <w:rFonts w:hint="eastAsia" w:ascii="仿宋" w:hAnsi="仿宋" w:eastAsia="仿宋" w:cs="宋体"/>
                <w:b/>
                <w:color w:val="000000"/>
                <w:szCs w:val="20"/>
                <w:highlight w:val="none"/>
              </w:rPr>
              <w:t>-------------于年月日时分之前不准启封（公章）------------</w:t>
            </w:r>
          </w:p>
        </w:tc>
      </w:tr>
    </w:tbl>
    <w:p w14:paraId="58B10EAB">
      <w:pPr>
        <w:pStyle w:val="4"/>
        <w:rPr>
          <w:rFonts w:hint="eastAsia" w:ascii="仿宋" w:hAnsi="仿宋" w:cs="宋体"/>
          <w:color w:val="000000"/>
          <w:highlight w:val="none"/>
        </w:rPr>
      </w:pPr>
      <w:bookmarkStart w:id="655" w:name="_Toc13951"/>
      <w:bookmarkStart w:id="656" w:name="_Toc65683003"/>
      <w:r>
        <w:rPr>
          <w:rFonts w:hint="eastAsia" w:ascii="仿宋" w:hAnsi="仿宋" w:cs="宋体"/>
          <w:color w:val="000000"/>
          <w:highlight w:val="none"/>
        </w:rPr>
        <w:br w:type="page"/>
      </w:r>
      <w:bookmarkStart w:id="657" w:name="_Toc109124315"/>
      <w:bookmarkStart w:id="658" w:name="_Toc12294"/>
      <w:r>
        <w:rPr>
          <w:rFonts w:hint="eastAsia" w:ascii="仿宋" w:hAnsi="仿宋" w:cs="宋体"/>
          <w:color w:val="000000"/>
          <w:highlight w:val="none"/>
        </w:rPr>
        <w:t>一、商务文件</w:t>
      </w:r>
      <w:bookmarkEnd w:id="655"/>
      <w:bookmarkEnd w:id="656"/>
      <w:bookmarkEnd w:id="657"/>
      <w:bookmarkEnd w:id="658"/>
    </w:p>
    <w:p w14:paraId="12C858DD">
      <w:pPr>
        <w:pStyle w:val="5"/>
        <w:ind w:firstLine="0" w:firstLineChars="0"/>
        <w:jc w:val="center"/>
        <w:rPr>
          <w:rFonts w:ascii="仿宋" w:hAnsi="仿宋" w:cs="宋体"/>
          <w:color w:val="000000"/>
          <w:highlight w:val="none"/>
        </w:rPr>
      </w:pPr>
      <w:bookmarkStart w:id="659" w:name="_Toc112068405"/>
      <w:bookmarkStart w:id="660" w:name="_Toc27497"/>
      <w:r>
        <w:rPr>
          <w:rFonts w:ascii="仿宋" w:hAnsi="仿宋" w:cs="宋体"/>
          <w:color w:val="000000"/>
          <w:highlight w:val="none"/>
        </w:rPr>
        <w:t>初步评审索引表</w:t>
      </w:r>
      <w:bookmarkEnd w:id="659"/>
      <w:bookmarkEnd w:id="660"/>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1277"/>
        <w:gridCol w:w="3825"/>
        <w:gridCol w:w="3460"/>
      </w:tblGrid>
      <w:tr w14:paraId="4965E931">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2189" w:type="dxa"/>
            <w:gridSpan w:val="2"/>
            <w:noWrap w:val="0"/>
            <w:vAlign w:val="center"/>
          </w:tcPr>
          <w:p w14:paraId="74302C9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条款号</w:t>
            </w:r>
          </w:p>
        </w:tc>
        <w:tc>
          <w:tcPr>
            <w:tcW w:w="3825" w:type="dxa"/>
            <w:noWrap w:val="0"/>
            <w:vAlign w:val="center"/>
          </w:tcPr>
          <w:p w14:paraId="7F34E5BA">
            <w:pPr>
              <w:keepNext w:val="0"/>
              <w:keepLines w:val="0"/>
              <w:widowControl/>
              <w:suppressLineNumbers w:val="0"/>
              <w:spacing w:before="24" w:beforeAutospacing="0" w:after="24"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评审因素</w:t>
            </w:r>
          </w:p>
        </w:tc>
        <w:tc>
          <w:tcPr>
            <w:tcW w:w="3460" w:type="dxa"/>
            <w:noWrap w:val="0"/>
            <w:vAlign w:val="center"/>
          </w:tcPr>
          <w:p w14:paraId="16B59B73">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4FB4B0E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restart"/>
            <w:noWrap w:val="0"/>
            <w:vAlign w:val="center"/>
          </w:tcPr>
          <w:p w14:paraId="03D06B5C">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1</w:t>
            </w:r>
          </w:p>
        </w:tc>
        <w:tc>
          <w:tcPr>
            <w:tcW w:w="1277" w:type="dxa"/>
            <w:vMerge w:val="restart"/>
            <w:noWrap w:val="0"/>
            <w:vAlign w:val="center"/>
          </w:tcPr>
          <w:p w14:paraId="75A31E12">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形式评审标准</w:t>
            </w:r>
          </w:p>
        </w:tc>
        <w:tc>
          <w:tcPr>
            <w:tcW w:w="3825" w:type="dxa"/>
            <w:noWrap w:val="0"/>
            <w:vAlign w:val="center"/>
          </w:tcPr>
          <w:p w14:paraId="0E46368B">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投标人名称</w:t>
            </w:r>
          </w:p>
        </w:tc>
        <w:tc>
          <w:tcPr>
            <w:tcW w:w="3460" w:type="dxa"/>
            <w:noWrap w:val="0"/>
            <w:vAlign w:val="center"/>
          </w:tcPr>
          <w:p w14:paraId="0DFA6AB7">
            <w:pPr>
              <w:keepNext w:val="0"/>
              <w:keepLines w:val="0"/>
              <w:widowControl/>
              <w:suppressLineNumbers w:val="0"/>
              <w:adjustRightInd w:val="0"/>
              <w:snapToGrid w:val="0"/>
              <w:spacing w:before="0" w:beforeAutospacing="0" w:after="0" w:afterAutospacing="0" w:line="24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5EDD26A5">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详见N-M页</w:t>
            </w:r>
          </w:p>
        </w:tc>
      </w:tr>
      <w:tr w14:paraId="32701855">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17" w:hRule="atLeast"/>
          <w:jc w:val="center"/>
        </w:trPr>
        <w:tc>
          <w:tcPr>
            <w:tcW w:w="912" w:type="dxa"/>
            <w:vMerge w:val="continue"/>
            <w:noWrap w:val="0"/>
            <w:vAlign w:val="center"/>
          </w:tcPr>
          <w:p w14:paraId="3265C6D1">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277" w:type="dxa"/>
            <w:vMerge w:val="continue"/>
            <w:noWrap w:val="0"/>
            <w:vAlign w:val="center"/>
          </w:tcPr>
          <w:p w14:paraId="191A11B8">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3825" w:type="dxa"/>
            <w:noWrap w:val="0"/>
            <w:vAlign w:val="center"/>
          </w:tcPr>
          <w:p w14:paraId="53D6D714">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法定代表人（负责人）身份证明</w:t>
            </w:r>
          </w:p>
        </w:tc>
        <w:tc>
          <w:tcPr>
            <w:tcW w:w="3460" w:type="dxa"/>
            <w:noWrap w:val="0"/>
            <w:vAlign w:val="center"/>
          </w:tcPr>
          <w:p w14:paraId="061B0161">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6F81ABA7">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51E62547">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47F34971">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19D3116A">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pacing w:val="-4"/>
                <w:kern w:val="0"/>
                <w:szCs w:val="21"/>
                <w:highlight w:val="none"/>
              </w:rPr>
            </w:pPr>
            <w:r>
              <w:rPr>
                <w:rFonts w:hint="eastAsia" w:ascii="仿宋" w:hAnsi="仿宋" w:eastAsia="仿宋" w:cs="宋体"/>
                <w:color w:val="000000"/>
                <w:szCs w:val="21"/>
                <w:highlight w:val="none"/>
              </w:rPr>
              <w:t>法定代表人（负责人）授权委托书</w:t>
            </w:r>
          </w:p>
        </w:tc>
        <w:tc>
          <w:tcPr>
            <w:tcW w:w="3460" w:type="dxa"/>
            <w:noWrap w:val="0"/>
            <w:vAlign w:val="center"/>
          </w:tcPr>
          <w:p w14:paraId="0FCDF7FF">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201CE9EC">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912" w:type="dxa"/>
            <w:vMerge w:val="continue"/>
            <w:noWrap w:val="0"/>
            <w:vAlign w:val="center"/>
          </w:tcPr>
          <w:p w14:paraId="64DB9D37">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760D170D">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3680321C">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投标文件的签字、盖章</w:t>
            </w:r>
          </w:p>
        </w:tc>
        <w:tc>
          <w:tcPr>
            <w:tcW w:w="3460" w:type="dxa"/>
            <w:noWrap w:val="0"/>
            <w:vAlign w:val="center"/>
          </w:tcPr>
          <w:p w14:paraId="188B430D">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427C32C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5E92927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2</w:t>
            </w:r>
          </w:p>
        </w:tc>
        <w:tc>
          <w:tcPr>
            <w:tcW w:w="1277" w:type="dxa"/>
            <w:vMerge w:val="restart"/>
            <w:noWrap w:val="0"/>
            <w:vAlign w:val="center"/>
          </w:tcPr>
          <w:p w14:paraId="023E475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资格评审标准</w:t>
            </w:r>
          </w:p>
        </w:tc>
        <w:tc>
          <w:tcPr>
            <w:tcW w:w="3825" w:type="dxa"/>
            <w:noWrap w:val="0"/>
            <w:vAlign w:val="center"/>
          </w:tcPr>
          <w:p w14:paraId="14F94BC0">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在中华人民共和国境内依法登记的法人或其他组织，具有独立承担民事责任的能力</w:t>
            </w:r>
            <w:r>
              <w:rPr>
                <w:rFonts w:hint="eastAsia" w:ascii="仿宋" w:hAnsi="仿宋" w:eastAsia="仿宋" w:cs="宋体"/>
                <w:color w:val="000000"/>
                <w:szCs w:val="21"/>
                <w:highlight w:val="none"/>
                <w:lang w:eastAsia="zh-CN"/>
              </w:rPr>
              <w:t>。</w:t>
            </w:r>
          </w:p>
        </w:tc>
        <w:tc>
          <w:tcPr>
            <w:tcW w:w="3460" w:type="dxa"/>
            <w:noWrap w:val="0"/>
            <w:vAlign w:val="top"/>
          </w:tcPr>
          <w:p w14:paraId="69E237AC">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p>
        </w:tc>
      </w:tr>
      <w:tr w14:paraId="3873BE7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continue"/>
            <w:noWrap w:val="0"/>
            <w:vAlign w:val="center"/>
          </w:tcPr>
          <w:p w14:paraId="729E1877">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1277" w:type="dxa"/>
            <w:vMerge w:val="continue"/>
            <w:noWrap w:val="0"/>
            <w:vAlign w:val="center"/>
          </w:tcPr>
          <w:p w14:paraId="1E037FE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p>
        </w:tc>
        <w:tc>
          <w:tcPr>
            <w:tcW w:w="3825" w:type="dxa"/>
            <w:noWrap w:val="0"/>
            <w:vAlign w:val="center"/>
          </w:tcPr>
          <w:p w14:paraId="5550E19D">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具有良好的商业信誉和健全的财务会计制度</w:t>
            </w:r>
            <w:r>
              <w:rPr>
                <w:rFonts w:hint="eastAsia" w:ascii="仿宋" w:hAnsi="仿宋" w:eastAsia="仿宋" w:cs="仿宋"/>
                <w:color w:val="000000"/>
                <w:szCs w:val="21"/>
                <w:highlight w:val="none"/>
                <w:lang w:eastAsia="zh-CN"/>
              </w:rPr>
              <w:t>。</w:t>
            </w:r>
          </w:p>
        </w:tc>
        <w:tc>
          <w:tcPr>
            <w:tcW w:w="3460" w:type="dxa"/>
            <w:noWrap w:val="0"/>
            <w:vAlign w:val="top"/>
          </w:tcPr>
          <w:p w14:paraId="32BC52CC">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p>
        </w:tc>
      </w:tr>
      <w:tr w14:paraId="1A79D17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09913BEB">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0FD38734">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12995B88">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投标人应具有履行合同所必需的设备和专业技术能力</w:t>
            </w:r>
            <w:r>
              <w:rPr>
                <w:rFonts w:hint="eastAsia" w:ascii="仿宋" w:hAnsi="仿宋" w:eastAsia="仿宋" w:cs="仿宋"/>
                <w:color w:val="000000"/>
                <w:szCs w:val="21"/>
                <w:highlight w:val="none"/>
                <w:lang w:eastAsia="zh-CN"/>
              </w:rPr>
              <w:t>。</w:t>
            </w:r>
          </w:p>
        </w:tc>
        <w:tc>
          <w:tcPr>
            <w:tcW w:w="3460" w:type="dxa"/>
            <w:noWrap w:val="0"/>
            <w:vAlign w:val="top"/>
          </w:tcPr>
          <w:p w14:paraId="36F078BF">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r>
      <w:tr w14:paraId="05592F4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6D4EB11E">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33EEA4F9">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1AC33B80">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szCs w:val="21"/>
                <w:highlight w:val="none"/>
              </w:rPr>
            </w:pPr>
            <w:r>
              <w:rPr>
                <w:rFonts w:hint="eastAsia" w:ascii="仿宋" w:hAnsi="仿宋" w:eastAsia="仿宋" w:cs="仿宋"/>
                <w:color w:val="000000"/>
                <w:szCs w:val="21"/>
                <w:highlight w:val="none"/>
              </w:rPr>
              <w:t>具有依法缴纳税收和社会保障资金的良好记录</w:t>
            </w:r>
            <w:r>
              <w:rPr>
                <w:rFonts w:hint="eastAsia" w:ascii="仿宋" w:hAnsi="仿宋" w:eastAsia="仿宋" w:cs="仿宋"/>
                <w:color w:val="000000"/>
                <w:szCs w:val="21"/>
                <w:highlight w:val="none"/>
                <w:lang w:eastAsia="zh-CN"/>
              </w:rPr>
              <w:t>。</w:t>
            </w:r>
          </w:p>
        </w:tc>
        <w:tc>
          <w:tcPr>
            <w:tcW w:w="3460" w:type="dxa"/>
            <w:noWrap w:val="0"/>
            <w:vAlign w:val="center"/>
          </w:tcPr>
          <w:p w14:paraId="20D1CDA6">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607A79E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246206B9">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1105D5D4">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5F84CB5F">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FF0000"/>
                <w:szCs w:val="21"/>
                <w:highlight w:val="none"/>
                <w:lang w:val="en-US" w:eastAsia="zh-CN"/>
              </w:rPr>
            </w:pPr>
            <w:r>
              <w:rPr>
                <w:rFonts w:hint="eastAsia" w:ascii="仿宋" w:hAnsi="仿宋" w:eastAsia="仿宋" w:cs="仿宋"/>
                <w:color w:val="000000"/>
                <w:szCs w:val="21"/>
                <w:highlight w:val="none"/>
                <w:lang w:val="en-US" w:eastAsia="zh-CN"/>
              </w:rPr>
              <w:t>投标人应经营状况良好，且近三年内（2023年1月1日至今）无违法违规记录。</w:t>
            </w:r>
            <w:bookmarkStart w:id="730" w:name="_GoBack"/>
            <w:bookmarkEnd w:id="730"/>
          </w:p>
        </w:tc>
        <w:tc>
          <w:tcPr>
            <w:tcW w:w="3460" w:type="dxa"/>
            <w:noWrap w:val="0"/>
            <w:vAlign w:val="center"/>
          </w:tcPr>
          <w:p w14:paraId="0084B8BE">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292B39F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5E2F0A3E">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10FC2A2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27999100">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FF0000"/>
                <w:szCs w:val="21"/>
                <w:highlight w:val="none"/>
                <w:lang w:val="en-US" w:eastAsia="zh-CN"/>
              </w:rPr>
            </w:pPr>
            <w:r>
              <w:rPr>
                <w:rFonts w:hint="eastAsia" w:ascii="仿宋" w:hAnsi="仿宋" w:eastAsia="仿宋" w:cs="仿宋"/>
                <w:color w:val="000000"/>
                <w:szCs w:val="21"/>
                <w:highlight w:val="none"/>
                <w:lang w:val="en-US" w:eastAsia="zh-CN"/>
              </w:rPr>
              <w:t>严禁列入招标人及其所隶属的中国人民保险各级机构的供应商黑名单且在禁入期内的供应商参与采购活动。</w:t>
            </w:r>
          </w:p>
        </w:tc>
        <w:tc>
          <w:tcPr>
            <w:tcW w:w="3460" w:type="dxa"/>
            <w:noWrap w:val="0"/>
            <w:vAlign w:val="center"/>
          </w:tcPr>
          <w:p w14:paraId="33170108">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236AAC5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133413DF">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7CA3F8CF">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2C2DDD8F">
            <w:pPr>
              <w:keepNext w:val="0"/>
              <w:keepLines w:val="0"/>
              <w:suppressLineNumbers w:val="0"/>
              <w:spacing w:before="24" w:beforeAutospacing="0" w:after="24" w:afterAutospacing="0"/>
              <w:ind w:left="0" w:leftChars="0" w:right="0" w:rightChars="0"/>
              <w:jc w:val="center"/>
              <w:rPr>
                <w:rFonts w:hint="default" w:ascii="仿宋" w:hAnsi="仿宋" w:eastAsia="仿宋" w:cs="宋体"/>
                <w:color w:val="FF0000"/>
                <w:szCs w:val="21"/>
                <w:highlight w:val="none"/>
                <w:lang w:val="en-US" w:eastAsia="zh-CN"/>
              </w:rPr>
            </w:pPr>
            <w:r>
              <w:rPr>
                <w:rFonts w:hint="eastAsia" w:ascii="仿宋" w:hAnsi="仿宋" w:eastAsia="仿宋" w:cs="仿宋"/>
                <w:color w:val="000000"/>
                <w:szCs w:val="21"/>
                <w:highlight w:val="none"/>
                <w:lang w:val="en-US" w:eastAsia="zh-CN"/>
              </w:rPr>
              <w:t>单位负责人为同一人或存在控股、管理关系的不同单位，不得参加同一标段/标包投标或未划分标段/标包的同一招标项目投标。</w:t>
            </w:r>
          </w:p>
        </w:tc>
        <w:tc>
          <w:tcPr>
            <w:tcW w:w="3460" w:type="dxa"/>
            <w:noWrap w:val="0"/>
            <w:vAlign w:val="center"/>
          </w:tcPr>
          <w:p w14:paraId="3BEA923A">
            <w:pPr>
              <w:keepNext w:val="0"/>
              <w:keepLines w:val="0"/>
              <w:suppressLineNumbers w:val="0"/>
              <w:spacing w:before="24" w:beforeAutospacing="0" w:after="24" w:afterAutospacing="0"/>
              <w:ind w:left="0" w:right="0"/>
              <w:jc w:val="left"/>
              <w:rPr>
                <w:rFonts w:hint="eastAsia" w:ascii="仿宋" w:hAnsi="仿宋" w:eastAsia="仿宋" w:cs="宋体"/>
                <w:color w:val="000000"/>
                <w:kern w:val="0"/>
                <w:szCs w:val="21"/>
                <w:highlight w:val="none"/>
              </w:rPr>
            </w:pPr>
          </w:p>
        </w:tc>
      </w:tr>
      <w:tr w14:paraId="73E17D09">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60FAACA7">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2D59D767">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566266F1">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FF0000"/>
                <w:szCs w:val="21"/>
                <w:highlight w:val="none"/>
                <w:lang w:val="en-US" w:eastAsia="zh-CN"/>
              </w:rPr>
            </w:pPr>
            <w:r>
              <w:rPr>
                <w:rFonts w:hint="eastAsia" w:ascii="仿宋" w:hAnsi="仿宋" w:eastAsia="仿宋" w:cs="仿宋"/>
                <w:color w:val="000000"/>
                <w:szCs w:val="21"/>
                <w:highlight w:val="none"/>
                <w:lang w:val="en-US" w:eastAsia="zh-CN"/>
              </w:rPr>
              <w:t>本项目接受/不接受联合体投标。</w:t>
            </w:r>
          </w:p>
        </w:tc>
        <w:tc>
          <w:tcPr>
            <w:tcW w:w="3460" w:type="dxa"/>
            <w:noWrap w:val="0"/>
            <w:vAlign w:val="center"/>
          </w:tcPr>
          <w:p w14:paraId="23907BA5">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p>
        </w:tc>
      </w:tr>
      <w:tr w14:paraId="3279B532">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76" w:hRule="atLeast"/>
          <w:jc w:val="center"/>
        </w:trPr>
        <w:tc>
          <w:tcPr>
            <w:tcW w:w="912" w:type="dxa"/>
            <w:vMerge w:val="continue"/>
            <w:noWrap w:val="0"/>
            <w:vAlign w:val="center"/>
          </w:tcPr>
          <w:p w14:paraId="54BFE404">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607A078F">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34CED1BD">
            <w:pPr>
              <w:keepNext w:val="0"/>
              <w:keepLines w:val="0"/>
              <w:suppressLineNumbers w:val="0"/>
              <w:spacing w:before="24" w:beforeAutospacing="0" w:after="24" w:afterAutospacing="0"/>
              <w:ind w:left="0" w:leftChars="0" w:right="0" w:rightChars="0"/>
              <w:jc w:val="center"/>
              <w:rPr>
                <w:rFonts w:hint="default"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其他资格要求</w:t>
            </w:r>
          </w:p>
        </w:tc>
        <w:tc>
          <w:tcPr>
            <w:tcW w:w="3460" w:type="dxa"/>
            <w:noWrap w:val="0"/>
            <w:vAlign w:val="center"/>
          </w:tcPr>
          <w:p w14:paraId="32112930">
            <w:pPr>
              <w:keepNext w:val="0"/>
              <w:keepLines w:val="0"/>
              <w:suppressLineNumbers w:val="0"/>
              <w:spacing w:before="24" w:beforeAutospacing="0" w:after="24" w:afterAutospacing="0"/>
              <w:ind w:left="0" w:right="0"/>
              <w:jc w:val="left"/>
              <w:rPr>
                <w:rFonts w:hint="eastAsia" w:ascii="仿宋" w:hAnsi="仿宋" w:eastAsia="仿宋" w:cs="宋体"/>
                <w:color w:val="000000"/>
                <w:szCs w:val="21"/>
                <w:highlight w:val="none"/>
              </w:rPr>
            </w:pPr>
          </w:p>
        </w:tc>
      </w:tr>
      <w:tr w14:paraId="5CF34A86">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361" w:hRule="atLeast"/>
          <w:jc w:val="center"/>
        </w:trPr>
        <w:tc>
          <w:tcPr>
            <w:tcW w:w="912" w:type="dxa"/>
            <w:vMerge w:val="restart"/>
            <w:noWrap w:val="0"/>
            <w:vAlign w:val="center"/>
          </w:tcPr>
          <w:p w14:paraId="0CEB81A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3</w:t>
            </w:r>
          </w:p>
        </w:tc>
        <w:tc>
          <w:tcPr>
            <w:tcW w:w="1277" w:type="dxa"/>
            <w:vMerge w:val="restart"/>
            <w:noWrap w:val="0"/>
            <w:vAlign w:val="center"/>
          </w:tcPr>
          <w:p w14:paraId="06E5461B">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响应性评审标准</w:t>
            </w:r>
          </w:p>
        </w:tc>
        <w:tc>
          <w:tcPr>
            <w:tcW w:w="3825" w:type="dxa"/>
            <w:noWrap w:val="0"/>
            <w:vAlign w:val="center"/>
          </w:tcPr>
          <w:p w14:paraId="1B4E0B2C">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lang w:val="en-US" w:eastAsia="zh-CN"/>
              </w:rPr>
            </w:pPr>
            <w:r>
              <w:rPr>
                <w:rFonts w:hint="eastAsia" w:ascii="仿宋" w:hAnsi="仿宋" w:eastAsia="仿宋" w:cs="仿宋"/>
                <w:color w:val="000000"/>
                <w:szCs w:val="21"/>
                <w:highlight w:val="none"/>
              </w:rPr>
              <w:t>投标函</w:t>
            </w:r>
          </w:p>
        </w:tc>
        <w:tc>
          <w:tcPr>
            <w:tcW w:w="3460" w:type="dxa"/>
            <w:noWrap w:val="0"/>
            <w:vAlign w:val="center"/>
          </w:tcPr>
          <w:p w14:paraId="2A5C75D6">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r w14:paraId="2022D93F">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611A0EEE">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4DD3289A">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5621F4C2">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供应商行为准则承诺书</w:t>
            </w:r>
          </w:p>
        </w:tc>
        <w:tc>
          <w:tcPr>
            <w:tcW w:w="3460" w:type="dxa"/>
            <w:noWrap w:val="0"/>
            <w:vAlign w:val="center"/>
          </w:tcPr>
          <w:p w14:paraId="334D39F7">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r w14:paraId="554E523D">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3CB9C5EB">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3B0658C6">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50A18F82">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宋体"/>
                <w:color w:val="000000"/>
                <w:szCs w:val="21"/>
                <w:highlight w:val="none"/>
              </w:rPr>
              <w:t>供应商廉洁诚信承诺书</w:t>
            </w:r>
          </w:p>
        </w:tc>
        <w:tc>
          <w:tcPr>
            <w:tcW w:w="3460" w:type="dxa"/>
            <w:noWrap w:val="0"/>
            <w:vAlign w:val="center"/>
          </w:tcPr>
          <w:p w14:paraId="5ADCAC40">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r w14:paraId="2D8C55CE">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02FE6956">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3BCDAB0C">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10F51784">
            <w:pPr>
              <w:keepNext w:val="0"/>
              <w:keepLines w:val="0"/>
              <w:suppressLineNumbers w:val="0"/>
              <w:spacing w:before="24" w:beforeAutospacing="0" w:after="24" w:afterAutospacing="0"/>
              <w:ind w:left="0" w:leftChars="0" w:right="0" w:rightChars="0"/>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投标一览表</w:t>
            </w:r>
          </w:p>
        </w:tc>
        <w:tc>
          <w:tcPr>
            <w:tcW w:w="3460" w:type="dxa"/>
            <w:noWrap w:val="0"/>
            <w:vAlign w:val="center"/>
          </w:tcPr>
          <w:p w14:paraId="5D44B761">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r w14:paraId="01914534">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B990709">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719D77EC">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5A0C9B5D">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仿宋"/>
                <w:color w:val="000000"/>
                <w:szCs w:val="21"/>
                <w:highlight w:val="none"/>
              </w:rPr>
              <w:t>偏离表应答</w:t>
            </w:r>
          </w:p>
        </w:tc>
        <w:tc>
          <w:tcPr>
            <w:tcW w:w="3460" w:type="dxa"/>
            <w:noWrap w:val="0"/>
            <w:vAlign w:val="center"/>
          </w:tcPr>
          <w:p w14:paraId="42E24C1E">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r w14:paraId="7D159228">
        <w:tblPrEx>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12" w:type="dxa"/>
            <w:vMerge w:val="continue"/>
            <w:noWrap w:val="0"/>
            <w:vAlign w:val="center"/>
          </w:tcPr>
          <w:p w14:paraId="757906E5">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1277" w:type="dxa"/>
            <w:vMerge w:val="continue"/>
            <w:noWrap w:val="0"/>
            <w:vAlign w:val="center"/>
          </w:tcPr>
          <w:p w14:paraId="4FF2C960">
            <w:pPr>
              <w:keepNext w:val="0"/>
              <w:keepLines w:val="0"/>
              <w:widowControl/>
              <w:suppressLineNumbers w:val="0"/>
              <w:spacing w:before="0" w:beforeAutospacing="0" w:after="0" w:afterAutospacing="0" w:line="240" w:lineRule="auto"/>
              <w:ind w:left="0" w:right="0"/>
              <w:jc w:val="left"/>
              <w:rPr>
                <w:rFonts w:hint="eastAsia" w:ascii="仿宋" w:hAnsi="仿宋" w:eastAsia="仿宋" w:cs="宋体"/>
                <w:color w:val="000000"/>
                <w:kern w:val="0"/>
                <w:szCs w:val="21"/>
                <w:highlight w:val="none"/>
              </w:rPr>
            </w:pPr>
          </w:p>
        </w:tc>
        <w:tc>
          <w:tcPr>
            <w:tcW w:w="3825" w:type="dxa"/>
            <w:noWrap w:val="0"/>
            <w:vAlign w:val="center"/>
          </w:tcPr>
          <w:p w14:paraId="0D0E8F51">
            <w:pPr>
              <w:keepNext w:val="0"/>
              <w:keepLines w:val="0"/>
              <w:suppressLineNumbers w:val="0"/>
              <w:spacing w:before="24" w:beforeAutospacing="0" w:after="24" w:afterAutospacing="0"/>
              <w:ind w:left="0" w:leftChars="0" w:right="0" w:rightChars="0"/>
              <w:jc w:val="center"/>
              <w:rPr>
                <w:rFonts w:hint="eastAsia" w:ascii="仿宋" w:hAnsi="仿宋" w:eastAsia="仿宋" w:cs="宋体"/>
                <w:color w:val="000000"/>
                <w:kern w:val="0"/>
                <w:szCs w:val="21"/>
                <w:highlight w:val="none"/>
              </w:rPr>
            </w:pPr>
            <w:r>
              <w:rPr>
                <w:rFonts w:hint="eastAsia" w:ascii="仿宋" w:hAnsi="仿宋" w:eastAsia="仿宋" w:cs="宋体"/>
                <w:color w:val="000000"/>
                <w:szCs w:val="21"/>
                <w:highlight w:val="none"/>
              </w:rPr>
              <w:t>其他实质性响应情况</w:t>
            </w:r>
          </w:p>
        </w:tc>
        <w:tc>
          <w:tcPr>
            <w:tcW w:w="3460" w:type="dxa"/>
            <w:noWrap w:val="0"/>
            <w:vAlign w:val="center"/>
          </w:tcPr>
          <w:p w14:paraId="5CFAB5B9">
            <w:pPr>
              <w:keepNext w:val="0"/>
              <w:keepLines w:val="0"/>
              <w:suppressLineNumbers w:val="0"/>
              <w:spacing w:before="0" w:beforeAutospacing="0" w:after="0" w:afterAutospacing="0"/>
              <w:ind w:left="0" w:right="0"/>
              <w:rPr>
                <w:rFonts w:hint="eastAsia" w:ascii="仿宋" w:hAnsi="仿宋" w:eastAsia="仿宋" w:cs="宋体"/>
                <w:color w:val="000000"/>
                <w:kern w:val="0"/>
                <w:szCs w:val="21"/>
                <w:highlight w:val="none"/>
              </w:rPr>
            </w:pPr>
          </w:p>
        </w:tc>
      </w:tr>
    </w:tbl>
    <w:p w14:paraId="2E97D6A2">
      <w:pPr>
        <w:rPr>
          <w:rFonts w:hint="eastAsia" w:ascii="仿宋" w:hAnsi="仿宋" w:eastAsia="仿宋" w:cs="宋体"/>
          <w:color w:val="000000"/>
          <w:highlight w:val="none"/>
        </w:rPr>
      </w:pPr>
    </w:p>
    <w:p w14:paraId="67699E57">
      <w:pPr>
        <w:rPr>
          <w:rFonts w:hint="eastAsia" w:ascii="仿宋" w:hAnsi="仿宋" w:eastAsia="仿宋" w:cs="宋体"/>
          <w:color w:val="000000"/>
          <w:highlight w:val="none"/>
        </w:rPr>
      </w:pPr>
    </w:p>
    <w:p w14:paraId="05236180">
      <w:pPr>
        <w:pStyle w:val="2"/>
        <w:ind w:firstLine="0"/>
        <w:rPr>
          <w:rFonts w:hint="eastAsia" w:ascii="仿宋" w:hAnsi="仿宋" w:eastAsia="仿宋" w:cs="宋体"/>
          <w:b/>
          <w:color w:val="000000"/>
          <w:highlight w:val="none"/>
        </w:rPr>
      </w:pPr>
      <w:r>
        <w:rPr>
          <w:rFonts w:ascii="仿宋" w:hAnsi="仿宋" w:cs="宋体"/>
          <w:color w:val="000000"/>
          <w:highlight w:val="none"/>
        </w:rPr>
        <w:br w:type="page"/>
      </w:r>
    </w:p>
    <w:p w14:paraId="173E5F06">
      <w:pPr>
        <w:pStyle w:val="5"/>
        <w:ind w:firstLine="482"/>
        <w:jc w:val="center"/>
        <w:rPr>
          <w:rFonts w:ascii="仿宋" w:hAnsi="仿宋" w:cs="宋体"/>
          <w:b w:val="0"/>
          <w:color w:val="000000"/>
          <w:highlight w:val="none"/>
        </w:rPr>
      </w:pPr>
      <w:bookmarkStart w:id="661" w:name="_Toc24334"/>
      <w:bookmarkStart w:id="662" w:name="_Toc6993"/>
      <w:bookmarkStart w:id="663" w:name="_Toc109124317"/>
      <w:bookmarkStart w:id="664" w:name="_Toc65683005"/>
      <w:r>
        <w:rPr>
          <w:rFonts w:ascii="仿宋" w:hAnsi="仿宋" w:cs="宋体"/>
          <w:color w:val="000000"/>
          <w:highlight w:val="none"/>
        </w:rPr>
        <w:t>详细评审索引表</w:t>
      </w:r>
      <w:bookmarkEnd w:id="661"/>
    </w:p>
    <w:tbl>
      <w:tblPr>
        <w:tblStyle w:val="32"/>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62556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50A274B5">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754AB56C">
            <w:pPr>
              <w:keepNext w:val="0"/>
              <w:keepLines w:val="0"/>
              <w:suppressLineNumbers w:val="0"/>
              <w:spacing w:before="0" w:beforeAutospacing="0" w:after="0" w:afterAutospacing="0"/>
              <w:ind w:left="0" w:right="0"/>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34C6D42A">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26FF0BF3">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0F02A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65846F1C">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noWrap w:val="0"/>
            <w:tcMar>
              <w:top w:w="15" w:type="dxa"/>
              <w:left w:w="15" w:type="dxa"/>
              <w:right w:w="15" w:type="dxa"/>
            </w:tcMar>
            <w:vAlign w:val="center"/>
          </w:tcPr>
          <w:p w14:paraId="1C4DBB10">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商务得分</w:t>
            </w:r>
          </w:p>
          <w:p w14:paraId="57342C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14:paraId="11655C2D">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详见评审表</w:t>
            </w:r>
          </w:p>
          <w:p w14:paraId="69A20B5A">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4051B99E">
            <w:pPr>
              <w:keepNext w:val="0"/>
              <w:keepLines w:val="0"/>
              <w:widowControl/>
              <w:suppressLineNumbers w:val="0"/>
              <w:adjustRightInd w:val="0"/>
              <w:snapToGrid w:val="0"/>
              <w:spacing w:before="0" w:beforeAutospacing="0" w:after="0" w:afterAutospacing="0" w:line="24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09010FC6">
            <w:pPr>
              <w:keepNext w:val="0"/>
              <w:keepLines w:val="0"/>
              <w:suppressLineNumbers w:val="0"/>
              <w:spacing w:before="0" w:beforeAutospacing="0" w:after="0" w:afterAutospacing="0" w:line="240" w:lineRule="auto"/>
              <w:ind w:left="0" w:right="0"/>
              <w:rPr>
                <w:rStyle w:val="101"/>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54156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00A57D3A">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val="en-US" w:eastAsia="zh-CN" w:bidi="ar"/>
              </w:rPr>
            </w:pPr>
          </w:p>
        </w:tc>
        <w:tc>
          <w:tcPr>
            <w:tcW w:w="1696" w:type="dxa"/>
            <w:noWrap w:val="0"/>
            <w:tcMar>
              <w:top w:w="15" w:type="dxa"/>
              <w:left w:w="15" w:type="dxa"/>
              <w:right w:w="15" w:type="dxa"/>
            </w:tcMar>
            <w:vAlign w:val="center"/>
          </w:tcPr>
          <w:p w14:paraId="3D37C84D">
            <w:pPr>
              <w:keepNext w:val="0"/>
              <w:keepLines w:val="0"/>
              <w:widowControl/>
              <w:suppressLineNumbers w:val="0"/>
              <w:spacing w:before="0" w:beforeAutospacing="0" w:after="0" w:afterAutospacing="0"/>
              <w:ind w:left="0" w:right="0"/>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w:t>
            </w:r>
          </w:p>
        </w:tc>
        <w:tc>
          <w:tcPr>
            <w:tcW w:w="2268" w:type="dxa"/>
            <w:noWrap w:val="0"/>
            <w:vAlign w:val="center"/>
          </w:tcPr>
          <w:p w14:paraId="453E3D2E">
            <w:pPr>
              <w:keepNext w:val="0"/>
              <w:keepLines w:val="0"/>
              <w:widowControl/>
              <w:suppressLineNumbers w:val="0"/>
              <w:spacing w:before="0" w:beforeAutospacing="0" w:after="0" w:afterAutospacing="0"/>
              <w:ind w:left="0" w:right="0"/>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w:t>
            </w:r>
          </w:p>
        </w:tc>
        <w:tc>
          <w:tcPr>
            <w:tcW w:w="4820" w:type="dxa"/>
            <w:noWrap w:val="0"/>
            <w:tcMar>
              <w:top w:w="15" w:type="dxa"/>
              <w:left w:w="15" w:type="dxa"/>
              <w:right w:w="15" w:type="dxa"/>
            </w:tcMar>
            <w:vAlign w:val="center"/>
          </w:tcPr>
          <w:p w14:paraId="16CAC6E2">
            <w:pPr>
              <w:keepNext w:val="0"/>
              <w:keepLines w:val="0"/>
              <w:suppressLineNumbers w:val="0"/>
              <w:spacing w:before="0" w:beforeAutospacing="0" w:after="0" w:afterAutospacing="0" w:line="240" w:lineRule="auto"/>
              <w:ind w:left="0" w:right="0"/>
              <w:rPr>
                <w:rStyle w:val="101"/>
                <w:rFonts w:hint="default" w:cs="宋体"/>
                <w:color w:val="000000"/>
                <w:highlight w:val="none"/>
                <w:lang w:val="en-US" w:bidi="ar"/>
              </w:rPr>
            </w:pPr>
          </w:p>
        </w:tc>
      </w:tr>
    </w:tbl>
    <w:p w14:paraId="00FA6645">
      <w:pP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br w:type="page"/>
      </w:r>
    </w:p>
    <w:p w14:paraId="3EA87FFA">
      <w:pPr>
        <w:pStyle w:val="2"/>
        <w:ind w:left="0" w:leftChars="0" w:firstLine="0" w:firstLineChars="0"/>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（一）投标函</w:t>
      </w:r>
      <w:bookmarkEnd w:id="662"/>
      <w:bookmarkEnd w:id="663"/>
      <w:bookmarkEnd w:id="664"/>
    </w:p>
    <w:p w14:paraId="27D91ED1">
      <w:pPr>
        <w:pStyle w:val="113"/>
        <w:spacing w:line="360" w:lineRule="auto"/>
        <w:jc w:val="center"/>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投标函</w:t>
      </w:r>
    </w:p>
    <w:p w14:paraId="590AD7F8">
      <w:pPr>
        <w:pStyle w:val="113"/>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u w:val="single"/>
        </w:rPr>
        <w:t>致：（招标人</w:t>
      </w:r>
      <w:r>
        <w:rPr>
          <w:rFonts w:hint="eastAsia" w:ascii="仿宋" w:hAnsi="仿宋" w:eastAsia="仿宋" w:cs="宋体"/>
          <w:color w:val="000000"/>
          <w:sz w:val="24"/>
          <w:szCs w:val="24"/>
          <w:highlight w:val="none"/>
          <w:u w:val="single"/>
          <w:lang w:val="en-US" w:eastAsia="zh-CN"/>
        </w:rPr>
        <w:t>名称</w:t>
      </w:r>
      <w:r>
        <w:rPr>
          <w:rFonts w:hint="eastAsia" w:ascii="仿宋" w:hAnsi="仿宋" w:eastAsia="仿宋" w:cs="宋体"/>
          <w:color w:val="000000"/>
          <w:sz w:val="24"/>
          <w:szCs w:val="24"/>
          <w:highlight w:val="none"/>
          <w:u w:val="single"/>
        </w:rPr>
        <w:t xml:space="preserve">）   </w:t>
      </w:r>
    </w:p>
    <w:p w14:paraId="3AEDF36B">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u w:val="single"/>
        </w:rPr>
        <w:t xml:space="preserve">   （投标人名称）   </w:t>
      </w:r>
      <w:r>
        <w:rPr>
          <w:rFonts w:hint="eastAsia" w:ascii="仿宋" w:hAnsi="仿宋" w:eastAsia="仿宋" w:cs="宋体"/>
          <w:color w:val="000000"/>
          <w:kern w:val="0"/>
          <w:sz w:val="24"/>
          <w:szCs w:val="24"/>
          <w:highlight w:val="none"/>
        </w:rPr>
        <w:t>（以下称“我方”）已仔细研究了</w:t>
      </w:r>
      <w:r>
        <w:rPr>
          <w:rFonts w:hint="eastAsia" w:ascii="仿宋" w:hAnsi="仿宋" w:eastAsia="仿宋" w:cs="宋体"/>
          <w:color w:val="000000"/>
          <w:kern w:val="0"/>
          <w:sz w:val="24"/>
          <w:szCs w:val="24"/>
          <w:highlight w:val="none"/>
          <w:u w:val="single"/>
        </w:rPr>
        <w:t xml:space="preserve">    （项目名称）   </w:t>
      </w:r>
      <w:r>
        <w:rPr>
          <w:rFonts w:hint="eastAsia" w:ascii="仿宋" w:hAnsi="仿宋" w:eastAsia="仿宋" w:cs="宋体"/>
          <w:color w:val="000000"/>
          <w:kern w:val="0"/>
          <w:sz w:val="24"/>
          <w:szCs w:val="24"/>
          <w:highlight w:val="none"/>
        </w:rPr>
        <w:t>招标文件的全部内容，包括澄清或者修改文件以及有关附件，我方将严格按照招标文件要求递交符合要求的全部投标文件。</w:t>
      </w:r>
    </w:p>
    <w:p w14:paraId="1812AA41">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现我方承诺如下内容：</w:t>
      </w:r>
    </w:p>
    <w:p w14:paraId="187FFDDE">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 本投标函及投标文件自投标文件提交截止日起</w:t>
      </w:r>
      <w:r>
        <w:rPr>
          <w:rFonts w:hint="eastAsia" w:ascii="仿宋" w:hAnsi="仿宋" w:eastAsia="仿宋" w:cs="宋体"/>
          <w:color w:val="000000"/>
          <w:kern w:val="0"/>
          <w:sz w:val="24"/>
          <w:szCs w:val="24"/>
          <w:highlight w:val="none"/>
          <w:u w:val="single"/>
        </w:rPr>
        <w:t>有效期为</w:t>
      </w:r>
      <w:r>
        <w:rPr>
          <w:rFonts w:hint="eastAsia" w:ascii="仿宋" w:hAnsi="仿宋" w:eastAsia="仿宋" w:cs="宋体"/>
          <w:color w:val="000000"/>
          <w:kern w:val="0"/>
          <w:sz w:val="24"/>
          <w:szCs w:val="24"/>
          <w:highlight w:val="none"/>
          <w:u w:val="single"/>
          <w:lang w:val="en-US" w:eastAsia="zh-CN"/>
        </w:rPr>
        <w:t>XX</w:t>
      </w:r>
      <w:r>
        <w:rPr>
          <w:rFonts w:hint="eastAsia" w:ascii="仿宋" w:hAnsi="仿宋" w:eastAsia="仿宋" w:cs="宋体"/>
          <w:color w:val="000000"/>
          <w:kern w:val="0"/>
          <w:sz w:val="24"/>
          <w:szCs w:val="24"/>
          <w:highlight w:val="none"/>
          <w:u w:val="single"/>
        </w:rPr>
        <w:t>天</w:t>
      </w:r>
      <w:r>
        <w:rPr>
          <w:rFonts w:hint="eastAsia" w:ascii="仿宋" w:hAnsi="仿宋" w:eastAsia="仿宋" w:cs="宋体"/>
          <w:color w:val="000000"/>
          <w:kern w:val="0"/>
          <w:sz w:val="24"/>
          <w:szCs w:val="24"/>
          <w:highlight w:val="none"/>
        </w:rPr>
        <w:t>，我方承诺在投标有效期内不修改、撤销投标文件。</w:t>
      </w:r>
    </w:p>
    <w:p w14:paraId="551BCEEB">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 随同本投标函提交投标保证</w:t>
      </w:r>
      <w:r>
        <w:rPr>
          <w:rFonts w:hint="eastAsia" w:ascii="仿宋" w:hAnsi="仿宋" w:eastAsia="仿宋" w:cs="宋体"/>
          <w:color w:val="000000"/>
          <w:kern w:val="0"/>
          <w:sz w:val="24"/>
          <w:szCs w:val="24"/>
          <w:highlight w:val="none"/>
          <w:lang w:val="en-US" w:eastAsia="zh-CN"/>
        </w:rPr>
        <w:t>金</w:t>
      </w:r>
      <w:r>
        <w:rPr>
          <w:rFonts w:hint="eastAsia" w:ascii="仿宋" w:hAnsi="仿宋" w:eastAsia="仿宋" w:cs="宋体"/>
          <w:color w:val="000000"/>
          <w:kern w:val="0"/>
          <w:sz w:val="24"/>
          <w:szCs w:val="24"/>
          <w:highlight w:val="none"/>
        </w:rPr>
        <w:t>一份。</w:t>
      </w:r>
    </w:p>
    <w:p w14:paraId="62FB5E0A">
      <w:pPr>
        <w:widowControl/>
        <w:spacing w:line="360" w:lineRule="auto"/>
        <w:ind w:firstLine="420"/>
        <w:rPr>
          <w:rFonts w:hint="eastAsia" w:ascii="仿宋" w:hAnsi="仿宋" w:eastAsia="仿宋" w:cs="仿宋"/>
          <w:color w:val="000000"/>
          <w:kern w:val="0"/>
          <w:sz w:val="24"/>
          <w:szCs w:val="24"/>
          <w:highlight w:val="none"/>
        </w:rPr>
      </w:pPr>
      <w:r>
        <w:rPr>
          <w:rFonts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rPr>
        <w:t>.</w:t>
      </w:r>
      <w:r>
        <w:rPr>
          <w:rFonts w:ascii="仿宋" w:hAnsi="仿宋" w:eastAsia="仿宋" w:cs="仿宋"/>
          <w:color w:val="000000"/>
          <w:kern w:val="0"/>
          <w:sz w:val="24"/>
          <w:szCs w:val="24"/>
          <w:highlight w:val="none"/>
        </w:rPr>
        <w:t xml:space="preserve"> </w:t>
      </w:r>
      <w:r>
        <w:rPr>
          <w:rFonts w:hint="eastAsia" w:ascii="仿宋" w:hAnsi="仿宋" w:eastAsia="仿宋" w:cs="宋体"/>
          <w:color w:val="000000"/>
          <w:kern w:val="0"/>
          <w:sz w:val="24"/>
          <w:szCs w:val="24"/>
          <w:highlight w:val="none"/>
        </w:rPr>
        <w:t>我方承诺提供评标过程中可能要求的澄清、说明、补正或者算术性错误修正确认，并同意我方提供的以上材料构成我方投标文件的组成部分。</w:t>
      </w:r>
    </w:p>
    <w:p w14:paraId="44A5A496">
      <w:pPr>
        <w:widowControl/>
        <w:spacing w:line="360" w:lineRule="auto"/>
        <w:ind w:firstLine="42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 xml:space="preserve">4 </w:t>
      </w:r>
      <w:r>
        <w:rPr>
          <w:rFonts w:hint="eastAsia" w:ascii="仿宋" w:hAnsi="仿宋" w:eastAsia="仿宋" w:cs="宋体"/>
          <w:color w:val="000000"/>
          <w:kern w:val="0"/>
          <w:sz w:val="24"/>
          <w:szCs w:val="24"/>
          <w:highlight w:val="none"/>
        </w:rPr>
        <w:t>我方同意提供贵方可能要求的与我方投标文件有关的一切数据、资料、</w:t>
      </w:r>
      <w:r>
        <w:rPr>
          <w:rFonts w:hint="eastAsia" w:ascii="仿宋" w:hAnsi="仿宋" w:eastAsia="仿宋" w:cs="宋体"/>
          <w:color w:val="000000"/>
          <w:kern w:val="0"/>
          <w:sz w:val="24"/>
          <w:highlight w:val="none"/>
        </w:rPr>
        <w:t>证明原件、证件原件</w:t>
      </w:r>
      <w:r>
        <w:rPr>
          <w:rFonts w:hint="eastAsia" w:ascii="仿宋" w:hAnsi="仿宋" w:eastAsia="仿宋" w:cs="宋体"/>
          <w:color w:val="000000"/>
          <w:kern w:val="0"/>
          <w:sz w:val="24"/>
          <w:szCs w:val="24"/>
          <w:highlight w:val="none"/>
        </w:rPr>
        <w:t>，并完全理解贵方不一定接受最低价的投标。</w:t>
      </w:r>
    </w:p>
    <w:p w14:paraId="1EB934B5">
      <w:pPr>
        <w:widowControl/>
        <w:spacing w:line="360" w:lineRule="auto"/>
        <w:ind w:firstLine="42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5</w:t>
      </w:r>
      <w:r>
        <w:rPr>
          <w:rFonts w:hint="eastAsia" w:ascii="仿宋" w:hAnsi="仿宋" w:eastAsia="仿宋" w:cs="宋体"/>
          <w:color w:val="000000"/>
          <w:kern w:val="0"/>
          <w:sz w:val="24"/>
          <w:szCs w:val="24"/>
          <w:highlight w:val="none"/>
        </w:rPr>
        <w:t>. 我方承诺对在本次招标活动过程中所获知贵方一切商业秘密保密，不会向任何第三方泄露，不会用于本次招标活动之外的任何其他目的。</w:t>
      </w:r>
    </w:p>
    <w:p w14:paraId="162A2932">
      <w:pPr>
        <w:widowControl/>
        <w:spacing w:line="360" w:lineRule="auto"/>
        <w:ind w:firstLine="420"/>
        <w:rPr>
          <w:rFonts w:hint="eastAsia" w:ascii="仿宋" w:hAnsi="仿宋" w:eastAsia="仿宋" w:cs="宋体"/>
          <w:color w:val="000000"/>
          <w:kern w:val="0"/>
          <w:sz w:val="24"/>
          <w:highlight w:val="none"/>
        </w:rPr>
      </w:pPr>
      <w:r>
        <w:rPr>
          <w:rFonts w:ascii="仿宋" w:hAnsi="仿宋" w:eastAsia="仿宋" w:cs="宋体"/>
          <w:color w:val="000000"/>
          <w:kern w:val="0"/>
          <w:sz w:val="24"/>
          <w:szCs w:val="24"/>
          <w:highlight w:val="none"/>
        </w:rPr>
        <w:t>6</w:t>
      </w:r>
      <w:r>
        <w:rPr>
          <w:rFonts w:hint="eastAsia" w:ascii="仿宋" w:hAnsi="仿宋" w:eastAsia="仿宋" w:cs="宋体"/>
          <w:color w:val="000000"/>
          <w:kern w:val="0"/>
          <w:sz w:val="24"/>
          <w:szCs w:val="24"/>
          <w:highlight w:val="none"/>
        </w:rPr>
        <w:t>．我方承诺对所递交的投标文件及有关材料</w:t>
      </w:r>
      <w:r>
        <w:rPr>
          <w:rFonts w:hint="eastAsia" w:ascii="仿宋" w:hAnsi="仿宋" w:eastAsia="仿宋" w:cs="宋体"/>
          <w:color w:val="000000"/>
          <w:kern w:val="0"/>
          <w:sz w:val="24"/>
          <w:highlight w:val="none"/>
        </w:rPr>
        <w:t>的真实性、合法性、完整性、准确性承担法律责任。</w:t>
      </w:r>
      <w:r>
        <w:rPr>
          <w:rFonts w:hint="eastAsia" w:ascii="仿宋" w:hAnsi="仿宋" w:eastAsia="仿宋" w:cs="宋体"/>
          <w:color w:val="000000"/>
          <w:kern w:val="0"/>
          <w:sz w:val="24"/>
          <w:szCs w:val="24"/>
          <w:highlight w:val="none"/>
        </w:rPr>
        <w:t>如有弄虚作假、串通投标、行贿等违法违规行为，将承担相应的法律责任，并赔偿由此给贵方造成的一切损失。</w:t>
      </w:r>
    </w:p>
    <w:p w14:paraId="2AC78E31">
      <w:pPr>
        <w:widowControl/>
        <w:spacing w:line="360" w:lineRule="auto"/>
        <w:ind w:firstLine="420"/>
        <w:rPr>
          <w:rFonts w:hint="eastAsia" w:ascii="仿宋" w:hAnsi="仿宋" w:eastAsia="仿宋" w:cs="宋体"/>
          <w:color w:val="000000"/>
          <w:kern w:val="0"/>
          <w:sz w:val="24"/>
          <w:szCs w:val="24"/>
          <w:highlight w:val="none"/>
        </w:rPr>
      </w:pPr>
      <w:r>
        <w:rPr>
          <w:rFonts w:ascii="仿宋" w:hAnsi="仿宋" w:eastAsia="仿宋" w:cs="宋体"/>
          <w:color w:val="000000"/>
          <w:kern w:val="0"/>
          <w:sz w:val="24"/>
          <w:szCs w:val="24"/>
          <w:highlight w:val="none"/>
        </w:rPr>
        <w:t>7</w:t>
      </w:r>
      <w:r>
        <w:rPr>
          <w:rFonts w:hint="eastAsia" w:ascii="仿宋" w:hAnsi="仿宋" w:eastAsia="仿宋" w:cs="宋体"/>
          <w:color w:val="000000"/>
          <w:kern w:val="0"/>
          <w:sz w:val="24"/>
          <w:szCs w:val="24"/>
          <w:highlight w:val="none"/>
        </w:rPr>
        <w:t>. 如我方中标：</w:t>
      </w:r>
    </w:p>
    <w:p w14:paraId="0877DDAA">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（1）我方承诺在收到中标通知书后，在中标通知书规定的期限内与贵方签订合同。</w:t>
      </w:r>
    </w:p>
    <w:p w14:paraId="50BB0CCF">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（2）我方承诺按照招标文件规定递交履约保证金、支付招标代理服务费。</w:t>
      </w:r>
    </w:p>
    <w:p w14:paraId="712D90E5">
      <w:pPr>
        <w:widowControl/>
        <w:spacing w:line="360" w:lineRule="auto"/>
        <w:ind w:firstLine="420"/>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（3）我方承诺按照招标文件的规定及合同约定履行相关责任和义务。</w:t>
      </w:r>
    </w:p>
    <w:p w14:paraId="52C50E67">
      <w:pPr>
        <w:widowControl/>
        <w:spacing w:line="360" w:lineRule="auto"/>
        <w:ind w:firstLine="420"/>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（4）我方承诺双方合作后，我方可开具增值税专用发票。</w:t>
      </w:r>
    </w:p>
    <w:p w14:paraId="02C46BDB">
      <w:pPr>
        <w:pStyle w:val="113"/>
        <w:spacing w:line="360" w:lineRule="auto"/>
        <w:rPr>
          <w:rFonts w:hint="eastAsia" w:ascii="仿宋" w:hAnsi="仿宋" w:eastAsia="仿宋" w:cs="宋体"/>
          <w:color w:val="000000"/>
          <w:sz w:val="24"/>
          <w:szCs w:val="24"/>
          <w:highlight w:val="none"/>
        </w:rPr>
      </w:pPr>
    </w:p>
    <w:p w14:paraId="157D0DF5">
      <w:pPr>
        <w:spacing w:line="360" w:lineRule="auto"/>
        <w:ind w:firstLine="4080" w:firstLineChars="170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48D01115">
      <w:pPr>
        <w:spacing w:line="360" w:lineRule="auto"/>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365F9554">
      <w:pPr>
        <w:tabs>
          <w:tab w:val="left" w:pos="338"/>
        </w:tabs>
        <w:spacing w:line="360" w:lineRule="auto"/>
        <w:ind w:right="120"/>
        <w:jc w:val="right"/>
        <w:rPr>
          <w:rFonts w:ascii="仿宋" w:hAnsi="仿宋" w:cs="宋体"/>
          <w:color w:val="000000"/>
          <w:szCs w:val="24"/>
          <w:highlight w:val="none"/>
        </w:rPr>
      </w:pPr>
      <w:r>
        <w:rPr>
          <w:rFonts w:ascii="仿宋" w:hAnsi="仿宋" w:eastAsia="仿宋" w:cs="宋体"/>
          <w:color w:val="000000"/>
          <w:sz w:val="24"/>
          <w:szCs w:val="24"/>
          <w:highlight w:val="none"/>
        </w:rPr>
        <w:tab/>
      </w:r>
      <w:bookmarkStart w:id="665" w:name="_Toc2403"/>
      <w:bookmarkStart w:id="666" w:name="_Toc65683006"/>
      <w:bookmarkStart w:id="667" w:name="_Toc109124318"/>
    </w:p>
    <w:p w14:paraId="7AFA6469">
      <w:pPr>
        <w:pStyle w:val="5"/>
        <w:spacing w:line="360" w:lineRule="auto"/>
        <w:ind w:firstLine="0" w:firstLineChars="0"/>
        <w:rPr>
          <w:rFonts w:ascii="仿宋" w:hAnsi="仿宋" w:cs="宋体"/>
          <w:color w:val="000000"/>
          <w:szCs w:val="24"/>
          <w:highlight w:val="none"/>
        </w:rPr>
      </w:pPr>
    </w:p>
    <w:p w14:paraId="6C8FB191">
      <w:pPr>
        <w:pStyle w:val="5"/>
        <w:spacing w:line="360" w:lineRule="auto"/>
        <w:ind w:firstLine="0" w:firstLineChars="0"/>
        <w:rPr>
          <w:rFonts w:ascii="仿宋" w:hAnsi="仿宋" w:cs="宋体"/>
          <w:color w:val="000000"/>
          <w:szCs w:val="24"/>
          <w:highlight w:val="none"/>
        </w:rPr>
      </w:pPr>
      <w:bookmarkStart w:id="668" w:name="_Toc27171"/>
      <w:r>
        <w:rPr>
          <w:rFonts w:ascii="仿宋" w:hAnsi="仿宋" w:cs="宋体"/>
          <w:color w:val="000000"/>
          <w:szCs w:val="24"/>
          <w:highlight w:val="none"/>
        </w:rPr>
        <w:t>（二）法定代表人（负责人）身份证明</w:t>
      </w:r>
      <w:bookmarkEnd w:id="665"/>
      <w:bookmarkEnd w:id="666"/>
      <w:bookmarkEnd w:id="667"/>
      <w:bookmarkEnd w:id="668"/>
    </w:p>
    <w:p w14:paraId="33E6C2ED">
      <w:pPr>
        <w:pStyle w:val="113"/>
        <w:spacing w:line="360" w:lineRule="auto"/>
        <w:jc w:val="center"/>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法定代表人（负责人）身份证明</w:t>
      </w:r>
    </w:p>
    <w:p w14:paraId="029B6F08">
      <w:pPr>
        <w:widowControl/>
        <w:topLinePunct/>
        <w:spacing w:line="360" w:lineRule="auto"/>
        <w:rPr>
          <w:rFonts w:hint="eastAsia" w:ascii="仿宋" w:hAnsi="仿宋" w:eastAsia="仿宋" w:cs="宋体"/>
          <w:color w:val="000000"/>
          <w:kern w:val="0"/>
          <w:sz w:val="24"/>
          <w:szCs w:val="24"/>
          <w:highlight w:val="none"/>
          <w:u w:val="single"/>
        </w:rPr>
      </w:pPr>
      <w:r>
        <w:rPr>
          <w:rFonts w:hint="eastAsia" w:ascii="仿宋" w:hAnsi="仿宋" w:eastAsia="仿宋" w:cs="宋体"/>
          <w:color w:val="000000"/>
          <w:kern w:val="0"/>
          <w:sz w:val="24"/>
          <w:szCs w:val="24"/>
          <w:highlight w:val="none"/>
        </w:rPr>
        <w:t>投标人名称：</w:t>
      </w:r>
      <w:r>
        <w:rPr>
          <w:rFonts w:hint="eastAsia" w:ascii="仿宋" w:hAnsi="仿宋" w:eastAsia="仿宋" w:cs="宋体"/>
          <w:color w:val="000000"/>
          <w:kern w:val="0"/>
          <w:sz w:val="24"/>
          <w:szCs w:val="24"/>
          <w:highlight w:val="none"/>
          <w:u w:val="single"/>
        </w:rPr>
        <w:t xml:space="preserve">                         </w:t>
      </w:r>
    </w:p>
    <w:p w14:paraId="4696ED8B">
      <w:pPr>
        <w:widowControl/>
        <w:topLinePunct/>
        <w:spacing w:line="360" w:lineRule="auto"/>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成立时间：</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年</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月</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日</w:t>
      </w:r>
    </w:p>
    <w:p w14:paraId="76EC26F5">
      <w:pPr>
        <w:widowControl/>
        <w:topLinePunct/>
        <w:spacing w:line="360" w:lineRule="auto"/>
        <w:rPr>
          <w:rFonts w:hint="eastAsia" w:ascii="仿宋" w:hAnsi="仿宋" w:eastAsia="仿宋" w:cs="宋体"/>
          <w:color w:val="000000"/>
          <w:kern w:val="0"/>
          <w:sz w:val="24"/>
          <w:szCs w:val="24"/>
          <w:highlight w:val="none"/>
          <w:u w:val="single"/>
        </w:rPr>
      </w:pPr>
      <w:r>
        <w:rPr>
          <w:rFonts w:hint="eastAsia" w:ascii="仿宋" w:hAnsi="仿宋" w:eastAsia="仿宋" w:cs="宋体"/>
          <w:color w:val="000000"/>
          <w:kern w:val="0"/>
          <w:sz w:val="24"/>
          <w:szCs w:val="24"/>
          <w:highlight w:val="none"/>
        </w:rPr>
        <w:t>姓名：</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性别：</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年龄：</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职务：</w:t>
      </w:r>
      <w:r>
        <w:rPr>
          <w:rFonts w:hint="eastAsia" w:ascii="仿宋" w:hAnsi="仿宋" w:eastAsia="仿宋" w:cs="宋体"/>
          <w:color w:val="000000"/>
          <w:kern w:val="0"/>
          <w:sz w:val="24"/>
          <w:szCs w:val="24"/>
          <w:highlight w:val="none"/>
          <w:u w:val="single"/>
        </w:rPr>
        <w:t xml:space="preserve">         </w:t>
      </w:r>
    </w:p>
    <w:p w14:paraId="60563EA6">
      <w:pPr>
        <w:widowControl/>
        <w:topLinePunct/>
        <w:spacing w:line="360" w:lineRule="auto"/>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系</w:t>
      </w:r>
      <w:r>
        <w:rPr>
          <w:rFonts w:hint="eastAsia" w:ascii="仿宋" w:hAnsi="仿宋" w:eastAsia="仿宋" w:cs="宋体"/>
          <w:color w:val="000000"/>
          <w:kern w:val="0"/>
          <w:sz w:val="24"/>
          <w:szCs w:val="24"/>
          <w:highlight w:val="none"/>
          <w:u w:val="single"/>
        </w:rPr>
        <w:t xml:space="preserve">                   </w:t>
      </w:r>
      <w:r>
        <w:rPr>
          <w:rFonts w:hint="eastAsia" w:ascii="仿宋" w:hAnsi="仿宋" w:eastAsia="仿宋" w:cs="宋体"/>
          <w:color w:val="000000"/>
          <w:kern w:val="0"/>
          <w:sz w:val="24"/>
          <w:szCs w:val="24"/>
          <w:highlight w:val="none"/>
        </w:rPr>
        <w:t>（投标人名称）的法定代表人（负责人）。</w:t>
      </w:r>
    </w:p>
    <w:p w14:paraId="597B603B">
      <w:pPr>
        <w:widowControl/>
        <w:topLinePunct/>
        <w:spacing w:line="360" w:lineRule="auto"/>
        <w:rPr>
          <w:rFonts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特此证明。</w:t>
      </w:r>
    </w:p>
    <w:p w14:paraId="1E7DE555">
      <w:pPr>
        <w:pStyle w:val="12"/>
        <w:rPr>
          <w:rFonts w:hint="eastAsia" w:ascii="宋体" w:hAnsi="宋体"/>
          <w:szCs w:val="21"/>
          <w:highlight w:val="none"/>
        </w:rPr>
      </w:pPr>
    </w:p>
    <w:p w14:paraId="4931548A">
      <w:pPr>
        <w:widowControl/>
        <w:spacing w:line="360" w:lineRule="auto"/>
        <w:rPr>
          <w:rFonts w:hint="eastAsia" w:ascii="仿宋" w:hAnsi="仿宋" w:eastAsia="仿宋" w:cs="宋体"/>
          <w:color w:val="000000"/>
          <w:kern w:val="0"/>
          <w:sz w:val="24"/>
          <w:szCs w:val="24"/>
          <w:highlight w:val="none"/>
        </w:rPr>
      </w:pPr>
      <w:r>
        <w:rPr>
          <w:rFonts w:hint="eastAsia" w:ascii="仿宋" w:hAnsi="仿宋" w:eastAsia="仿宋" w:cs="宋体"/>
          <w:b/>
          <w:bCs/>
          <w:color w:val="000000"/>
          <w:kern w:val="0"/>
          <w:sz w:val="24"/>
          <w:szCs w:val="24"/>
          <w:highlight w:val="none"/>
        </w:rPr>
        <w:t>附：法定代表人（负责人）身份证复印件（需同时提供正面及背面）</w:t>
      </w:r>
      <w:r>
        <w:rPr>
          <w:rFonts w:hint="eastAsia" w:ascii="仿宋" w:hAnsi="仿宋" w:eastAsia="仿宋" w:cs="宋体"/>
          <w:color w:val="000000"/>
          <w:kern w:val="0"/>
          <w:sz w:val="24"/>
          <w:szCs w:val="24"/>
          <w:highlight w:val="none"/>
        </w:rPr>
        <w:t>。</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4111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14:paraId="6E4AE4FF">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c>
          <w:tcPr>
            <w:tcW w:w="4927" w:type="dxa"/>
            <w:shd w:val="clear" w:color="auto" w:fill="A8D08D"/>
            <w:noWrap w:val="0"/>
            <w:vAlign w:val="top"/>
          </w:tcPr>
          <w:p w14:paraId="50427DB1">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r>
    </w:tbl>
    <w:p w14:paraId="1EBB53D8">
      <w:pPr>
        <w:widowControl/>
        <w:spacing w:line="360" w:lineRule="auto"/>
        <w:rPr>
          <w:rFonts w:hint="eastAsia" w:ascii="仿宋" w:hAnsi="仿宋" w:eastAsia="仿宋" w:cs="宋体"/>
          <w:color w:val="000000"/>
          <w:kern w:val="0"/>
          <w:highlight w:val="none"/>
        </w:rPr>
      </w:pPr>
    </w:p>
    <w:p w14:paraId="560198C1">
      <w:pPr>
        <w:pStyle w:val="113"/>
        <w:spacing w:line="440" w:lineRule="atLeast"/>
        <w:jc w:val="center"/>
        <w:rPr>
          <w:rFonts w:hint="eastAsia" w:ascii="仿宋" w:hAnsi="仿宋" w:eastAsia="仿宋" w:cs="宋体"/>
          <w:color w:val="000000"/>
          <w:highlight w:val="none"/>
        </w:rPr>
      </w:pPr>
    </w:p>
    <w:p w14:paraId="6E364318">
      <w:pPr>
        <w:pStyle w:val="113"/>
        <w:spacing w:line="440" w:lineRule="atLeast"/>
        <w:jc w:val="center"/>
        <w:rPr>
          <w:rFonts w:hint="eastAsia" w:ascii="仿宋" w:hAnsi="仿宋" w:eastAsia="仿宋" w:cs="宋体"/>
          <w:color w:val="000000"/>
          <w:highlight w:val="none"/>
        </w:rPr>
      </w:pPr>
    </w:p>
    <w:p w14:paraId="4FA6F722">
      <w:pPr>
        <w:spacing w:line="440" w:lineRule="exact"/>
        <w:ind w:firstLine="4080" w:firstLineChars="170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2942BF15">
      <w:pPr>
        <w:spacing w:line="440" w:lineRule="exact"/>
        <w:jc w:val="right"/>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71C5871A">
      <w:pPr>
        <w:pStyle w:val="113"/>
        <w:spacing w:line="440" w:lineRule="atLeast"/>
        <w:jc w:val="center"/>
        <w:rPr>
          <w:rFonts w:hint="eastAsia" w:ascii="仿宋" w:hAnsi="仿宋" w:eastAsia="仿宋" w:cs="宋体"/>
          <w:color w:val="000000"/>
          <w:sz w:val="24"/>
          <w:szCs w:val="24"/>
          <w:highlight w:val="none"/>
        </w:rPr>
      </w:pPr>
    </w:p>
    <w:p w14:paraId="0A010B92">
      <w:pPr>
        <w:pStyle w:val="5"/>
        <w:spacing w:line="360" w:lineRule="auto"/>
        <w:ind w:firstLine="0" w:firstLineChars="0"/>
        <w:rPr>
          <w:rFonts w:ascii="仿宋" w:hAnsi="仿宋" w:cs="宋体"/>
          <w:color w:val="000000"/>
          <w:szCs w:val="24"/>
          <w:highlight w:val="none"/>
        </w:rPr>
      </w:pPr>
      <w:r>
        <w:rPr>
          <w:rFonts w:ascii="仿宋" w:hAnsi="仿宋" w:cs="宋体"/>
          <w:color w:val="000000"/>
          <w:highlight w:val="none"/>
        </w:rPr>
        <w:br w:type="page"/>
      </w:r>
      <w:bookmarkStart w:id="669" w:name="_Toc109124319"/>
      <w:bookmarkStart w:id="670" w:name="_Toc65683007"/>
      <w:bookmarkStart w:id="671" w:name="_Toc6523"/>
      <w:bookmarkStart w:id="672" w:name="_Toc20619"/>
      <w:r>
        <w:rPr>
          <w:rFonts w:ascii="仿宋" w:hAnsi="仿宋" w:cs="宋体"/>
          <w:color w:val="000000"/>
          <w:szCs w:val="24"/>
          <w:highlight w:val="none"/>
        </w:rPr>
        <w:t>（三）法定代表人（负责人）授权委托书</w:t>
      </w:r>
      <w:bookmarkEnd w:id="669"/>
      <w:bookmarkEnd w:id="670"/>
      <w:bookmarkEnd w:id="671"/>
      <w:bookmarkEnd w:id="672"/>
    </w:p>
    <w:p w14:paraId="57579D8B">
      <w:pPr>
        <w:pStyle w:val="113"/>
        <w:spacing w:line="360" w:lineRule="auto"/>
        <w:jc w:val="center"/>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法定代表人（负责人）授权委托书</w:t>
      </w:r>
    </w:p>
    <w:p w14:paraId="23D5E4FD">
      <w:pPr>
        <w:pStyle w:val="113"/>
        <w:topLinePunct/>
        <w:spacing w:line="360" w:lineRule="auto"/>
        <w:ind w:firstLine="480" w:firstLineChars="20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本人</w:t>
      </w:r>
      <w:r>
        <w:rPr>
          <w:rFonts w:hint="eastAsia" w:ascii="仿宋" w:hAnsi="仿宋" w:eastAsia="仿宋" w:cs="宋体"/>
          <w:color w:val="000000"/>
          <w:sz w:val="24"/>
          <w:szCs w:val="24"/>
          <w:highlight w:val="none"/>
          <w:u w:val="single"/>
        </w:rPr>
        <w:t>（姓名）</w:t>
      </w:r>
      <w:r>
        <w:rPr>
          <w:rFonts w:hint="eastAsia" w:ascii="仿宋" w:hAnsi="仿宋" w:eastAsia="仿宋" w:cs="宋体"/>
          <w:color w:val="000000"/>
          <w:sz w:val="24"/>
          <w:szCs w:val="24"/>
          <w:highlight w:val="none"/>
        </w:rPr>
        <w:t>系</w:t>
      </w:r>
      <w:r>
        <w:rPr>
          <w:rFonts w:hint="eastAsia" w:ascii="仿宋" w:hAnsi="仿宋" w:eastAsia="仿宋" w:cs="宋体"/>
          <w:color w:val="000000"/>
          <w:sz w:val="24"/>
          <w:szCs w:val="24"/>
          <w:highlight w:val="none"/>
          <w:u w:val="single"/>
        </w:rPr>
        <w:t>（投标人名称）</w:t>
      </w:r>
      <w:r>
        <w:rPr>
          <w:rFonts w:hint="eastAsia" w:ascii="仿宋" w:hAnsi="仿宋" w:eastAsia="仿宋" w:cs="宋体"/>
          <w:color w:val="000000"/>
          <w:sz w:val="24"/>
          <w:szCs w:val="24"/>
          <w:highlight w:val="none"/>
        </w:rPr>
        <w:t>的法定代表人（负责人），现委托</w:t>
      </w:r>
      <w:r>
        <w:rPr>
          <w:rFonts w:hint="eastAsia" w:ascii="仿宋" w:hAnsi="仿宋" w:eastAsia="仿宋" w:cs="宋体"/>
          <w:color w:val="000000"/>
          <w:sz w:val="24"/>
          <w:szCs w:val="24"/>
          <w:highlight w:val="none"/>
          <w:u w:val="single"/>
        </w:rPr>
        <w:t>（姓名）</w:t>
      </w:r>
      <w:r>
        <w:rPr>
          <w:rFonts w:hint="eastAsia" w:ascii="仿宋" w:hAnsi="仿宋" w:eastAsia="仿宋" w:cs="宋体"/>
          <w:color w:val="000000"/>
          <w:sz w:val="24"/>
          <w:szCs w:val="24"/>
          <w:highlight w:val="none"/>
        </w:rPr>
        <w:t>为我方代理人。代理人根据授权，以我方名义签署、澄清、说明、补正、递交、撤回、修改</w:t>
      </w:r>
      <w:r>
        <w:rPr>
          <w:rFonts w:hint="eastAsia" w:ascii="仿宋" w:hAnsi="仿宋" w:eastAsia="仿宋" w:cs="宋体"/>
          <w:color w:val="000000"/>
          <w:sz w:val="24"/>
          <w:szCs w:val="24"/>
          <w:highlight w:val="none"/>
          <w:u w:val="single"/>
        </w:rPr>
        <w:t>（项目名称）</w:t>
      </w:r>
      <w:r>
        <w:rPr>
          <w:rFonts w:hint="eastAsia" w:ascii="仿宋" w:hAnsi="仿宋" w:eastAsia="仿宋" w:cs="宋体"/>
          <w:color w:val="000000"/>
          <w:sz w:val="24"/>
          <w:szCs w:val="24"/>
          <w:highlight w:val="none"/>
        </w:rPr>
        <w:t>投标文件、签订合同和处理有关事宜，其法律后果由我方承担。</w:t>
      </w:r>
    </w:p>
    <w:p w14:paraId="467A156C">
      <w:pPr>
        <w:widowControl/>
        <w:spacing w:line="360" w:lineRule="auto"/>
        <w:ind w:firstLine="480" w:firstLineChars="200"/>
        <w:jc w:val="left"/>
        <w:rPr>
          <w:rFonts w:hint="eastAsia" w:ascii="仿宋" w:hAnsi="仿宋" w:eastAsia="仿宋" w:cs="宋体"/>
          <w:color w:val="000000"/>
          <w:kern w:val="0"/>
          <w:sz w:val="24"/>
          <w:szCs w:val="24"/>
          <w:highlight w:val="none"/>
        </w:rPr>
      </w:pPr>
      <w:r>
        <w:rPr>
          <w:rFonts w:hint="eastAsia" w:ascii="仿宋" w:hAnsi="仿宋" w:eastAsia="仿宋" w:cs="宋体"/>
          <w:color w:val="000000"/>
          <w:kern w:val="0"/>
          <w:sz w:val="24"/>
          <w:szCs w:val="24"/>
          <w:highlight w:val="none"/>
        </w:rPr>
        <w:t>委托期限：</w:t>
      </w:r>
      <w:r>
        <w:rPr>
          <w:rFonts w:hint="eastAsia" w:ascii="仿宋" w:hAnsi="仿宋" w:eastAsia="仿宋" w:cs="微软雅黑"/>
          <w:color w:val="000000"/>
          <w:kern w:val="0"/>
          <w:sz w:val="24"/>
          <w:szCs w:val="24"/>
          <w:highlight w:val="none"/>
          <w:u w:val="single"/>
        </w:rPr>
        <w:t>自本委托书签字盖章生效之日起至投标有效期到期之日为止</w:t>
      </w:r>
      <w:r>
        <w:rPr>
          <w:rFonts w:hint="eastAsia" w:ascii="仿宋" w:hAnsi="仿宋" w:eastAsia="仿宋" w:cs="宋体"/>
          <w:color w:val="000000"/>
          <w:kern w:val="0"/>
          <w:sz w:val="24"/>
          <w:szCs w:val="24"/>
          <w:highlight w:val="none"/>
        </w:rPr>
        <w:t>。</w:t>
      </w:r>
    </w:p>
    <w:p w14:paraId="5638BC62">
      <w:pPr>
        <w:pStyle w:val="113"/>
        <w:spacing w:line="360" w:lineRule="auto"/>
        <w:ind w:firstLine="480" w:firstLineChars="20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代理人无转委托权。</w:t>
      </w:r>
    </w:p>
    <w:p w14:paraId="552EC110">
      <w:pPr>
        <w:pStyle w:val="113"/>
        <w:spacing w:line="360" w:lineRule="auto"/>
        <w:ind w:firstLine="480" w:firstLineChars="200"/>
        <w:rPr>
          <w:rFonts w:hint="eastAsia" w:ascii="仿宋" w:hAnsi="仿宋" w:eastAsia="仿宋" w:cs="宋体"/>
          <w:color w:val="000000"/>
          <w:sz w:val="24"/>
          <w:szCs w:val="24"/>
          <w:highlight w:val="none"/>
        </w:rPr>
      </w:pPr>
    </w:p>
    <w:p w14:paraId="05AD0072">
      <w:pPr>
        <w:pStyle w:val="113"/>
        <w:spacing w:line="360" w:lineRule="auto"/>
        <w:ind w:firstLine="200"/>
        <w:rPr>
          <w:rFonts w:hint="eastAsia" w:ascii="仿宋" w:hAnsi="仿宋" w:eastAsia="仿宋" w:cs="宋体"/>
          <w:color w:val="000000"/>
          <w:sz w:val="24"/>
          <w:szCs w:val="24"/>
          <w:highlight w:val="none"/>
        </w:rPr>
      </w:pPr>
      <w:r>
        <w:rPr>
          <w:rFonts w:hint="eastAsia" w:ascii="仿宋" w:hAnsi="仿宋" w:eastAsia="仿宋" w:cs="宋体"/>
          <w:b/>
          <w:bCs/>
          <w:color w:val="000000"/>
          <w:sz w:val="24"/>
          <w:szCs w:val="24"/>
          <w:highlight w:val="none"/>
        </w:rPr>
        <w:t>附：委托代理人身份证复印件（需同时提供正面及背面）</w:t>
      </w:r>
      <w:r>
        <w:rPr>
          <w:rFonts w:hint="eastAsia" w:ascii="仿宋" w:hAnsi="仿宋" w:eastAsia="仿宋" w:cs="宋体"/>
          <w:color w:val="000000"/>
          <w:sz w:val="24"/>
          <w:szCs w:val="24"/>
          <w:highlight w:val="none"/>
        </w:rPr>
        <w:t>。</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Layout w:type="autofit"/>
        <w:tblCellMar>
          <w:top w:w="0" w:type="dxa"/>
          <w:left w:w="108" w:type="dxa"/>
          <w:bottom w:w="0" w:type="dxa"/>
          <w:right w:w="108" w:type="dxa"/>
        </w:tblCellMar>
      </w:tblPr>
      <w:tblGrid>
        <w:gridCol w:w="4927"/>
        <w:gridCol w:w="4927"/>
      </w:tblGrid>
      <w:tr w14:paraId="2C5E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DD6EE"/>
          <w:tblCellMar>
            <w:top w:w="0" w:type="dxa"/>
            <w:left w:w="108" w:type="dxa"/>
            <w:bottom w:w="0" w:type="dxa"/>
            <w:right w:w="108" w:type="dxa"/>
          </w:tblCellMar>
        </w:tblPrEx>
        <w:trPr>
          <w:trHeight w:val="3432" w:hRule="atLeast"/>
        </w:trPr>
        <w:tc>
          <w:tcPr>
            <w:tcW w:w="4927" w:type="dxa"/>
            <w:shd w:val="clear" w:color="auto" w:fill="A8D08D"/>
            <w:noWrap w:val="0"/>
            <w:vAlign w:val="top"/>
          </w:tcPr>
          <w:p w14:paraId="59458082">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c>
          <w:tcPr>
            <w:tcW w:w="4927" w:type="dxa"/>
            <w:shd w:val="clear" w:color="auto" w:fill="A8D08D"/>
            <w:noWrap w:val="0"/>
            <w:vAlign w:val="top"/>
          </w:tcPr>
          <w:p w14:paraId="0433C03C">
            <w:pPr>
              <w:keepNext w:val="0"/>
              <w:keepLines w:val="0"/>
              <w:widowControl/>
              <w:suppressLineNumbers w:val="0"/>
              <w:spacing w:before="0" w:beforeAutospacing="0" w:after="0" w:afterAutospacing="0" w:line="360" w:lineRule="auto"/>
              <w:ind w:left="0" w:right="0"/>
              <w:rPr>
                <w:rFonts w:hint="eastAsia" w:ascii="仿宋" w:hAnsi="仿宋" w:eastAsia="仿宋" w:cs="仿宋"/>
                <w:color w:val="000000"/>
                <w:kern w:val="0"/>
                <w:szCs w:val="20"/>
                <w:highlight w:val="none"/>
              </w:rPr>
            </w:pPr>
          </w:p>
        </w:tc>
      </w:tr>
    </w:tbl>
    <w:p w14:paraId="62052BC7">
      <w:pPr>
        <w:pStyle w:val="113"/>
        <w:spacing w:line="360" w:lineRule="auto"/>
        <w:jc w:val="center"/>
        <w:rPr>
          <w:rFonts w:hint="eastAsia" w:ascii="仿宋" w:hAnsi="仿宋" w:eastAsia="仿宋" w:cs="宋体"/>
          <w:color w:val="000000"/>
          <w:sz w:val="24"/>
          <w:szCs w:val="24"/>
          <w:highlight w:val="none"/>
        </w:rPr>
      </w:pPr>
    </w:p>
    <w:p w14:paraId="2C986271">
      <w:pPr>
        <w:spacing w:line="360" w:lineRule="auto"/>
        <w:ind w:right="42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70045EB0">
      <w:pPr>
        <w:spacing w:line="360" w:lineRule="auto"/>
        <w:ind w:right="42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法定代表人（负责人）：</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（签字或盖章）</w:t>
      </w:r>
    </w:p>
    <w:p w14:paraId="0A3C74B3">
      <w:pPr>
        <w:pStyle w:val="113"/>
        <w:wordWrap w:val="0"/>
        <w:spacing w:line="360" w:lineRule="auto"/>
        <w:ind w:right="105"/>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委托代理人：</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（签字或盖章） </w:t>
      </w:r>
    </w:p>
    <w:p w14:paraId="6718C7C6">
      <w:pPr>
        <w:wordWrap w:val="0"/>
        <w:spacing w:line="360" w:lineRule="auto"/>
        <w:jc w:val="right"/>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46542645">
      <w:pPr>
        <w:pStyle w:val="113"/>
        <w:jc w:val="center"/>
        <w:rPr>
          <w:rFonts w:hint="eastAsia" w:ascii="仿宋" w:hAnsi="仿宋" w:eastAsia="仿宋" w:cs="宋体"/>
          <w:color w:val="000000"/>
          <w:sz w:val="20"/>
          <w:highlight w:val="none"/>
        </w:rPr>
        <w:sectPr>
          <w:pgSz w:w="11906" w:h="16838"/>
          <w:pgMar w:top="1417" w:right="1134" w:bottom="1134" w:left="1134" w:header="851" w:footer="992" w:gutter="0"/>
          <w:cols w:space="720" w:num="1"/>
          <w:titlePg/>
          <w:docGrid w:type="lines" w:linePitch="312" w:charSpace="0"/>
        </w:sectPr>
      </w:pPr>
    </w:p>
    <w:p w14:paraId="3CECC3FA">
      <w:pPr>
        <w:pStyle w:val="5"/>
        <w:spacing w:line="360" w:lineRule="auto"/>
        <w:ind w:firstLine="0" w:firstLineChars="0"/>
        <w:rPr>
          <w:rFonts w:ascii="仿宋" w:hAnsi="仿宋" w:cs="宋体"/>
          <w:color w:val="000000"/>
          <w:szCs w:val="24"/>
          <w:highlight w:val="none"/>
        </w:rPr>
      </w:pPr>
      <w:bookmarkStart w:id="673" w:name="_Toc65683008"/>
      <w:bookmarkStart w:id="674" w:name="_Toc109124320"/>
      <w:bookmarkStart w:id="675" w:name="_Toc6476"/>
      <w:bookmarkStart w:id="676" w:name="_Toc8696"/>
      <w:r>
        <w:rPr>
          <w:rFonts w:ascii="仿宋" w:hAnsi="仿宋" w:cs="宋体"/>
          <w:color w:val="000000"/>
          <w:szCs w:val="24"/>
          <w:highlight w:val="none"/>
        </w:rPr>
        <w:t>（四）资格证明文件</w:t>
      </w:r>
      <w:bookmarkEnd w:id="673"/>
      <w:bookmarkEnd w:id="674"/>
      <w:bookmarkEnd w:id="675"/>
      <w:bookmarkEnd w:id="676"/>
    </w:p>
    <w:p w14:paraId="766D6B0A">
      <w:pPr>
        <w:pStyle w:val="6"/>
        <w:rPr>
          <w:rFonts w:hint="eastAsia" w:ascii="仿宋" w:hAnsi="仿宋" w:cs="宋体"/>
          <w:color w:val="000000"/>
          <w:highlight w:val="none"/>
        </w:rPr>
      </w:pPr>
      <w:r>
        <w:rPr>
          <w:rFonts w:hint="eastAsia" w:ascii="仿宋" w:hAnsi="仿宋" w:cs="宋体"/>
          <w:color w:val="000000"/>
          <w:highlight w:val="none"/>
        </w:rPr>
        <w:t>1、投标人基本情况信息表</w:t>
      </w:r>
    </w:p>
    <w:p w14:paraId="4079721F">
      <w:pPr>
        <w:pStyle w:val="113"/>
        <w:spacing w:line="360" w:lineRule="auto"/>
        <w:jc w:val="center"/>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投标人基本情况信息表</w:t>
      </w:r>
    </w:p>
    <w:tbl>
      <w:tblPr>
        <w:tblStyle w:val="32"/>
        <w:tblW w:w="0" w:type="auto"/>
        <w:tblInd w:w="0" w:type="dxa"/>
        <w:tblLayout w:type="fixed"/>
        <w:tblCellMar>
          <w:top w:w="0" w:type="dxa"/>
          <w:left w:w="108" w:type="dxa"/>
          <w:bottom w:w="0" w:type="dxa"/>
          <w:right w:w="108" w:type="dxa"/>
        </w:tblCellMar>
      </w:tblPr>
      <w:tblGrid>
        <w:gridCol w:w="2243"/>
        <w:gridCol w:w="775"/>
        <w:gridCol w:w="366"/>
        <w:gridCol w:w="979"/>
        <w:gridCol w:w="713"/>
        <w:gridCol w:w="755"/>
        <w:gridCol w:w="1789"/>
        <w:gridCol w:w="102"/>
        <w:gridCol w:w="985"/>
        <w:gridCol w:w="1145"/>
      </w:tblGrid>
      <w:tr w14:paraId="695FB006">
        <w:tblPrEx>
          <w:tblCellMar>
            <w:top w:w="0" w:type="dxa"/>
            <w:left w:w="108" w:type="dxa"/>
            <w:bottom w:w="0" w:type="dxa"/>
            <w:right w:w="108" w:type="dxa"/>
          </w:tblCellMar>
        </w:tblPrEx>
        <w:trPr>
          <w:trHeight w:val="283" w:hRule="atLeast"/>
        </w:trPr>
        <w:tc>
          <w:tcPr>
            <w:tcW w:w="2243" w:type="dxa"/>
            <w:tcBorders>
              <w:top w:val="single" w:color="000000" w:sz="4" w:space="0"/>
              <w:left w:val="single" w:color="000000" w:sz="4" w:space="0"/>
              <w:bottom w:val="single" w:color="000000" w:sz="4" w:space="0"/>
              <w:right w:val="single" w:color="000000" w:sz="4" w:space="0"/>
            </w:tcBorders>
            <w:noWrap w:val="0"/>
            <w:vAlign w:val="center"/>
          </w:tcPr>
          <w:p w14:paraId="160C419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投标人名称</w:t>
            </w:r>
          </w:p>
        </w:tc>
        <w:tc>
          <w:tcPr>
            <w:tcW w:w="7609" w:type="dxa"/>
            <w:gridSpan w:val="9"/>
            <w:tcBorders>
              <w:top w:val="single" w:color="000000" w:sz="4" w:space="0"/>
              <w:left w:val="nil"/>
              <w:bottom w:val="single" w:color="000000" w:sz="4" w:space="0"/>
              <w:right w:val="single" w:color="000000" w:sz="4" w:space="0"/>
            </w:tcBorders>
            <w:noWrap w:val="0"/>
            <w:vAlign w:val="center"/>
          </w:tcPr>
          <w:p w14:paraId="53F113AB">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0C3ED8B1">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D04F831">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注册地址</w:t>
            </w:r>
          </w:p>
        </w:tc>
        <w:tc>
          <w:tcPr>
            <w:tcW w:w="3588" w:type="dxa"/>
            <w:gridSpan w:val="5"/>
            <w:tcBorders>
              <w:top w:val="nil"/>
              <w:left w:val="nil"/>
              <w:bottom w:val="single" w:color="000000" w:sz="4" w:space="0"/>
              <w:right w:val="single" w:color="000000" w:sz="4" w:space="0"/>
            </w:tcBorders>
            <w:noWrap w:val="0"/>
            <w:vAlign w:val="center"/>
          </w:tcPr>
          <w:p w14:paraId="27A1DEDE">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1789" w:type="dxa"/>
            <w:tcBorders>
              <w:top w:val="single" w:color="000000" w:sz="4" w:space="0"/>
              <w:left w:val="nil"/>
              <w:bottom w:val="single" w:color="000000" w:sz="4" w:space="0"/>
              <w:right w:val="single" w:color="000000" w:sz="4" w:space="0"/>
            </w:tcBorders>
            <w:noWrap w:val="0"/>
            <w:vAlign w:val="center"/>
          </w:tcPr>
          <w:p w14:paraId="1008CF1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邮政编码</w:t>
            </w:r>
          </w:p>
        </w:tc>
        <w:tc>
          <w:tcPr>
            <w:tcW w:w="2232" w:type="dxa"/>
            <w:gridSpan w:val="3"/>
            <w:tcBorders>
              <w:top w:val="single" w:color="000000" w:sz="4" w:space="0"/>
              <w:left w:val="nil"/>
              <w:bottom w:val="single" w:color="000000" w:sz="4" w:space="0"/>
              <w:right w:val="single" w:color="000000" w:sz="4" w:space="0"/>
            </w:tcBorders>
            <w:noWrap w:val="0"/>
            <w:vAlign w:val="center"/>
          </w:tcPr>
          <w:p w14:paraId="75687D8A">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3BB26E3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55CB3F43">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公司办公场所面职</w:t>
            </w:r>
          </w:p>
        </w:tc>
        <w:tc>
          <w:tcPr>
            <w:tcW w:w="3588" w:type="dxa"/>
            <w:gridSpan w:val="5"/>
            <w:tcBorders>
              <w:top w:val="nil"/>
              <w:left w:val="nil"/>
              <w:bottom w:val="single" w:color="000000" w:sz="4" w:space="0"/>
              <w:right w:val="single" w:color="000000" w:sz="4" w:space="0"/>
            </w:tcBorders>
            <w:noWrap w:val="0"/>
            <w:vAlign w:val="center"/>
          </w:tcPr>
          <w:p w14:paraId="58C57441">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平米</w:t>
            </w:r>
          </w:p>
        </w:tc>
        <w:tc>
          <w:tcPr>
            <w:tcW w:w="1789" w:type="dxa"/>
            <w:tcBorders>
              <w:top w:val="nil"/>
              <w:left w:val="nil"/>
              <w:bottom w:val="single" w:color="000000" w:sz="4" w:space="0"/>
              <w:right w:val="single" w:color="000000" w:sz="4" w:space="0"/>
            </w:tcBorders>
            <w:noWrap w:val="0"/>
            <w:vAlign w:val="center"/>
          </w:tcPr>
          <w:p w14:paraId="1A5DCE96">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办事处地址</w:t>
            </w:r>
          </w:p>
        </w:tc>
        <w:tc>
          <w:tcPr>
            <w:tcW w:w="2232" w:type="dxa"/>
            <w:gridSpan w:val="3"/>
            <w:tcBorders>
              <w:top w:val="nil"/>
              <w:left w:val="nil"/>
              <w:bottom w:val="single" w:color="000000" w:sz="4" w:space="0"/>
              <w:right w:val="single" w:color="000000" w:sz="4" w:space="0"/>
            </w:tcBorders>
            <w:noWrap w:val="0"/>
            <w:vAlign w:val="center"/>
          </w:tcPr>
          <w:p w14:paraId="342CB30F">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469D9C73">
        <w:tblPrEx>
          <w:tblCellMar>
            <w:top w:w="0" w:type="dxa"/>
            <w:left w:w="108" w:type="dxa"/>
            <w:bottom w:w="0" w:type="dxa"/>
            <w:right w:w="108" w:type="dxa"/>
          </w:tblCellMar>
        </w:tblPrEx>
        <w:trPr>
          <w:trHeight w:val="283" w:hRule="atLeast"/>
        </w:trPr>
        <w:tc>
          <w:tcPr>
            <w:tcW w:w="2243" w:type="dxa"/>
            <w:vMerge w:val="restart"/>
            <w:tcBorders>
              <w:top w:val="nil"/>
              <w:left w:val="single" w:color="000000" w:sz="4" w:space="0"/>
              <w:bottom w:val="single" w:color="000000" w:sz="4" w:space="0"/>
              <w:right w:val="single" w:color="000000" w:sz="4" w:space="0"/>
            </w:tcBorders>
            <w:noWrap w:val="0"/>
            <w:vAlign w:val="center"/>
          </w:tcPr>
          <w:p w14:paraId="0E7575CC">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联系方式</w:t>
            </w:r>
          </w:p>
        </w:tc>
        <w:tc>
          <w:tcPr>
            <w:tcW w:w="1141" w:type="dxa"/>
            <w:gridSpan w:val="2"/>
            <w:tcBorders>
              <w:top w:val="nil"/>
              <w:left w:val="nil"/>
              <w:bottom w:val="single" w:color="000000" w:sz="4" w:space="0"/>
              <w:right w:val="single" w:color="000000" w:sz="4" w:space="0"/>
            </w:tcBorders>
            <w:noWrap w:val="0"/>
            <w:vAlign w:val="center"/>
          </w:tcPr>
          <w:p w14:paraId="28BFECD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联系人</w:t>
            </w:r>
          </w:p>
        </w:tc>
        <w:tc>
          <w:tcPr>
            <w:tcW w:w="2447" w:type="dxa"/>
            <w:gridSpan w:val="3"/>
            <w:tcBorders>
              <w:top w:val="nil"/>
              <w:left w:val="nil"/>
              <w:bottom w:val="single" w:color="000000" w:sz="4" w:space="0"/>
              <w:right w:val="single" w:color="000000" w:sz="4" w:space="0"/>
            </w:tcBorders>
            <w:noWrap w:val="0"/>
            <w:vAlign w:val="center"/>
          </w:tcPr>
          <w:p w14:paraId="4A60FFB1">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1789" w:type="dxa"/>
            <w:tcBorders>
              <w:top w:val="nil"/>
              <w:left w:val="nil"/>
              <w:bottom w:val="single" w:color="000000" w:sz="4" w:space="0"/>
              <w:right w:val="single" w:color="000000" w:sz="4" w:space="0"/>
            </w:tcBorders>
            <w:noWrap w:val="0"/>
            <w:vAlign w:val="center"/>
          </w:tcPr>
          <w:p w14:paraId="21848B85">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电话</w:t>
            </w:r>
          </w:p>
        </w:tc>
        <w:tc>
          <w:tcPr>
            <w:tcW w:w="2232" w:type="dxa"/>
            <w:gridSpan w:val="3"/>
            <w:tcBorders>
              <w:top w:val="single" w:color="000000" w:sz="4" w:space="0"/>
              <w:left w:val="nil"/>
              <w:bottom w:val="single" w:color="000000" w:sz="4" w:space="0"/>
              <w:right w:val="single" w:color="000000" w:sz="4" w:space="0"/>
            </w:tcBorders>
            <w:noWrap w:val="0"/>
            <w:vAlign w:val="center"/>
          </w:tcPr>
          <w:p w14:paraId="1A453B4E">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7F6A1C66">
        <w:tblPrEx>
          <w:tblCellMar>
            <w:top w:w="0" w:type="dxa"/>
            <w:left w:w="108" w:type="dxa"/>
            <w:bottom w:w="0" w:type="dxa"/>
            <w:right w:w="108" w:type="dxa"/>
          </w:tblCellMar>
        </w:tblPrEx>
        <w:trPr>
          <w:trHeight w:val="283" w:hRule="atLeast"/>
        </w:trPr>
        <w:tc>
          <w:tcPr>
            <w:tcW w:w="2243" w:type="dxa"/>
            <w:vMerge w:val="continue"/>
            <w:tcBorders>
              <w:top w:val="nil"/>
              <w:left w:val="single" w:color="000000" w:sz="4" w:space="0"/>
              <w:bottom w:val="single" w:color="000000" w:sz="4" w:space="0"/>
              <w:right w:val="single" w:color="000000" w:sz="4" w:space="0"/>
            </w:tcBorders>
            <w:noWrap w:val="0"/>
            <w:vAlign w:val="center"/>
          </w:tcPr>
          <w:p w14:paraId="057EBD9B">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c>
          <w:tcPr>
            <w:tcW w:w="1141" w:type="dxa"/>
            <w:gridSpan w:val="2"/>
            <w:tcBorders>
              <w:top w:val="nil"/>
              <w:left w:val="nil"/>
              <w:bottom w:val="single" w:color="000000" w:sz="4" w:space="0"/>
              <w:right w:val="single" w:color="000000" w:sz="4" w:space="0"/>
            </w:tcBorders>
            <w:noWrap w:val="0"/>
            <w:vAlign w:val="center"/>
          </w:tcPr>
          <w:p w14:paraId="3E7451B5">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传真</w:t>
            </w:r>
          </w:p>
        </w:tc>
        <w:tc>
          <w:tcPr>
            <w:tcW w:w="2447" w:type="dxa"/>
            <w:gridSpan w:val="3"/>
            <w:tcBorders>
              <w:top w:val="nil"/>
              <w:left w:val="nil"/>
              <w:bottom w:val="single" w:color="000000" w:sz="4" w:space="0"/>
              <w:right w:val="single" w:color="000000" w:sz="4" w:space="0"/>
            </w:tcBorders>
            <w:noWrap w:val="0"/>
            <w:vAlign w:val="center"/>
          </w:tcPr>
          <w:p w14:paraId="55B004E5">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1789" w:type="dxa"/>
            <w:tcBorders>
              <w:top w:val="nil"/>
              <w:left w:val="nil"/>
              <w:bottom w:val="single" w:color="000000" w:sz="4" w:space="0"/>
              <w:right w:val="single" w:color="000000" w:sz="4" w:space="0"/>
            </w:tcBorders>
            <w:noWrap w:val="0"/>
            <w:vAlign w:val="center"/>
          </w:tcPr>
          <w:p w14:paraId="41F03E6A">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网址</w:t>
            </w:r>
          </w:p>
        </w:tc>
        <w:tc>
          <w:tcPr>
            <w:tcW w:w="2232" w:type="dxa"/>
            <w:gridSpan w:val="3"/>
            <w:tcBorders>
              <w:top w:val="nil"/>
              <w:left w:val="nil"/>
              <w:bottom w:val="single" w:color="000000" w:sz="4" w:space="0"/>
              <w:right w:val="single" w:color="000000" w:sz="4" w:space="0"/>
            </w:tcBorders>
            <w:noWrap w:val="0"/>
            <w:vAlign w:val="center"/>
          </w:tcPr>
          <w:p w14:paraId="22405140">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78C7E7F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507727D">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组织结构</w:t>
            </w:r>
          </w:p>
        </w:tc>
        <w:tc>
          <w:tcPr>
            <w:tcW w:w="7609" w:type="dxa"/>
            <w:gridSpan w:val="9"/>
            <w:tcBorders>
              <w:top w:val="nil"/>
              <w:left w:val="nil"/>
              <w:bottom w:val="single" w:color="000000" w:sz="4" w:space="0"/>
              <w:right w:val="single" w:color="000000" w:sz="4" w:space="0"/>
            </w:tcBorders>
            <w:noWrap w:val="0"/>
            <w:vAlign w:val="center"/>
          </w:tcPr>
          <w:p w14:paraId="73AE9616">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7F5F51C8">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1235199">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法定代表人（负责人）</w:t>
            </w:r>
          </w:p>
        </w:tc>
        <w:tc>
          <w:tcPr>
            <w:tcW w:w="775" w:type="dxa"/>
            <w:tcBorders>
              <w:top w:val="nil"/>
              <w:left w:val="nil"/>
              <w:bottom w:val="single" w:color="000000" w:sz="4" w:space="0"/>
              <w:right w:val="single" w:color="000000" w:sz="4" w:space="0"/>
            </w:tcBorders>
            <w:noWrap w:val="0"/>
            <w:vAlign w:val="center"/>
          </w:tcPr>
          <w:p w14:paraId="2560AFA7">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姓名</w:t>
            </w:r>
          </w:p>
        </w:tc>
        <w:tc>
          <w:tcPr>
            <w:tcW w:w="1345" w:type="dxa"/>
            <w:gridSpan w:val="2"/>
            <w:tcBorders>
              <w:top w:val="single" w:color="000000" w:sz="4" w:space="0"/>
              <w:left w:val="nil"/>
              <w:bottom w:val="single" w:color="000000" w:sz="4" w:space="0"/>
              <w:right w:val="single" w:color="000000" w:sz="4" w:space="0"/>
            </w:tcBorders>
            <w:noWrap w:val="0"/>
            <w:vAlign w:val="center"/>
          </w:tcPr>
          <w:p w14:paraId="5EAC8B2A">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1468" w:type="dxa"/>
            <w:gridSpan w:val="2"/>
            <w:tcBorders>
              <w:top w:val="single" w:color="000000" w:sz="4" w:space="0"/>
              <w:left w:val="nil"/>
              <w:bottom w:val="single" w:color="000000" w:sz="4" w:space="0"/>
              <w:right w:val="single" w:color="000000" w:sz="4" w:space="0"/>
            </w:tcBorders>
            <w:noWrap w:val="0"/>
            <w:vAlign w:val="center"/>
          </w:tcPr>
          <w:p w14:paraId="3614E49B">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职称</w:t>
            </w:r>
          </w:p>
        </w:tc>
        <w:tc>
          <w:tcPr>
            <w:tcW w:w="1891" w:type="dxa"/>
            <w:gridSpan w:val="2"/>
            <w:tcBorders>
              <w:top w:val="single" w:color="000000" w:sz="4" w:space="0"/>
              <w:left w:val="nil"/>
              <w:bottom w:val="single" w:color="000000" w:sz="4" w:space="0"/>
              <w:right w:val="single" w:color="000000" w:sz="4" w:space="0"/>
            </w:tcBorders>
            <w:noWrap w:val="0"/>
            <w:vAlign w:val="center"/>
          </w:tcPr>
          <w:p w14:paraId="373CBC0D">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985" w:type="dxa"/>
            <w:tcBorders>
              <w:top w:val="single" w:color="000000" w:sz="4" w:space="0"/>
              <w:left w:val="nil"/>
              <w:bottom w:val="single" w:color="000000" w:sz="4" w:space="0"/>
              <w:right w:val="single" w:color="000000" w:sz="4" w:space="0"/>
            </w:tcBorders>
            <w:noWrap w:val="0"/>
            <w:vAlign w:val="center"/>
          </w:tcPr>
          <w:p w14:paraId="68E11BEF">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电话</w:t>
            </w:r>
          </w:p>
        </w:tc>
        <w:tc>
          <w:tcPr>
            <w:tcW w:w="1145" w:type="dxa"/>
            <w:tcBorders>
              <w:top w:val="single" w:color="000000" w:sz="4" w:space="0"/>
              <w:left w:val="nil"/>
              <w:bottom w:val="single" w:color="000000" w:sz="4" w:space="0"/>
              <w:right w:val="single" w:color="000000" w:sz="4" w:space="0"/>
            </w:tcBorders>
            <w:noWrap w:val="0"/>
            <w:vAlign w:val="center"/>
          </w:tcPr>
          <w:p w14:paraId="0857971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1D54303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811C149">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技术负责人</w:t>
            </w:r>
          </w:p>
        </w:tc>
        <w:tc>
          <w:tcPr>
            <w:tcW w:w="775" w:type="dxa"/>
            <w:tcBorders>
              <w:top w:val="nil"/>
              <w:left w:val="nil"/>
              <w:bottom w:val="single" w:color="000000" w:sz="4" w:space="0"/>
              <w:right w:val="single" w:color="000000" w:sz="4" w:space="0"/>
            </w:tcBorders>
            <w:noWrap w:val="0"/>
            <w:vAlign w:val="center"/>
          </w:tcPr>
          <w:p w14:paraId="6DEF0275">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姓名</w:t>
            </w:r>
          </w:p>
        </w:tc>
        <w:tc>
          <w:tcPr>
            <w:tcW w:w="1345" w:type="dxa"/>
            <w:gridSpan w:val="2"/>
            <w:tcBorders>
              <w:top w:val="nil"/>
              <w:left w:val="nil"/>
              <w:bottom w:val="single" w:color="000000" w:sz="4" w:space="0"/>
              <w:right w:val="single" w:color="000000" w:sz="4" w:space="0"/>
            </w:tcBorders>
            <w:noWrap w:val="0"/>
            <w:vAlign w:val="center"/>
          </w:tcPr>
          <w:p w14:paraId="53E0C98D">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1468" w:type="dxa"/>
            <w:gridSpan w:val="2"/>
            <w:tcBorders>
              <w:top w:val="nil"/>
              <w:left w:val="nil"/>
              <w:bottom w:val="single" w:color="000000" w:sz="4" w:space="0"/>
              <w:right w:val="single" w:color="000000" w:sz="4" w:space="0"/>
            </w:tcBorders>
            <w:noWrap w:val="0"/>
            <w:vAlign w:val="center"/>
          </w:tcPr>
          <w:p w14:paraId="5CE24546">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职称</w:t>
            </w:r>
          </w:p>
        </w:tc>
        <w:tc>
          <w:tcPr>
            <w:tcW w:w="1891" w:type="dxa"/>
            <w:gridSpan w:val="2"/>
            <w:tcBorders>
              <w:top w:val="nil"/>
              <w:left w:val="nil"/>
              <w:bottom w:val="single" w:color="000000" w:sz="4" w:space="0"/>
              <w:right w:val="single" w:color="000000" w:sz="4" w:space="0"/>
            </w:tcBorders>
            <w:noWrap w:val="0"/>
            <w:vAlign w:val="center"/>
          </w:tcPr>
          <w:p w14:paraId="7CC61B83">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985" w:type="dxa"/>
            <w:tcBorders>
              <w:top w:val="nil"/>
              <w:left w:val="nil"/>
              <w:bottom w:val="single" w:color="000000" w:sz="4" w:space="0"/>
              <w:right w:val="single" w:color="000000" w:sz="4" w:space="0"/>
            </w:tcBorders>
            <w:noWrap w:val="0"/>
            <w:vAlign w:val="center"/>
          </w:tcPr>
          <w:p w14:paraId="56DC8987">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电话</w:t>
            </w:r>
          </w:p>
        </w:tc>
        <w:tc>
          <w:tcPr>
            <w:tcW w:w="1145" w:type="dxa"/>
            <w:tcBorders>
              <w:top w:val="nil"/>
              <w:left w:val="nil"/>
              <w:bottom w:val="single" w:color="000000" w:sz="4" w:space="0"/>
              <w:right w:val="single" w:color="000000" w:sz="4" w:space="0"/>
            </w:tcBorders>
            <w:noWrap w:val="0"/>
            <w:vAlign w:val="center"/>
          </w:tcPr>
          <w:p w14:paraId="1C54FDEE">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289E260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EE1351F">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成立时间</w:t>
            </w:r>
          </w:p>
        </w:tc>
        <w:tc>
          <w:tcPr>
            <w:tcW w:w="2120" w:type="dxa"/>
            <w:gridSpan w:val="3"/>
            <w:tcBorders>
              <w:top w:val="nil"/>
              <w:left w:val="nil"/>
              <w:bottom w:val="single" w:color="000000" w:sz="4" w:space="0"/>
              <w:right w:val="single" w:color="000000" w:sz="4" w:space="0"/>
            </w:tcBorders>
            <w:noWrap w:val="0"/>
            <w:vAlign w:val="center"/>
          </w:tcPr>
          <w:p w14:paraId="259B2F1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5489" w:type="dxa"/>
            <w:gridSpan w:val="6"/>
            <w:tcBorders>
              <w:top w:val="nil"/>
              <w:left w:val="nil"/>
              <w:bottom w:val="single" w:color="000000" w:sz="4" w:space="0"/>
              <w:right w:val="single" w:color="000000" w:sz="4" w:space="0"/>
            </w:tcBorders>
            <w:noWrap w:val="0"/>
            <w:vAlign w:val="center"/>
          </w:tcPr>
          <w:p w14:paraId="5BEB95DC">
            <w:pPr>
              <w:pStyle w:val="113"/>
              <w:keepNext w:val="0"/>
              <w:keepLines w:val="0"/>
              <w:suppressLineNumbers w:val="0"/>
              <w:topLinePunct/>
              <w:spacing w:before="0" w:beforeAutospacing="0" w:after="0" w:afterAutospacing="0"/>
              <w:ind w:left="0" w:right="0" w:firstLine="105"/>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员工总人数：</w:t>
            </w:r>
          </w:p>
        </w:tc>
      </w:tr>
      <w:tr w14:paraId="4B58332A">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2D0E18C">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企业资质等级</w:t>
            </w:r>
          </w:p>
        </w:tc>
        <w:tc>
          <w:tcPr>
            <w:tcW w:w="2120" w:type="dxa"/>
            <w:gridSpan w:val="3"/>
            <w:tcBorders>
              <w:top w:val="nil"/>
              <w:left w:val="nil"/>
              <w:bottom w:val="single" w:color="000000" w:sz="4" w:space="0"/>
              <w:right w:val="single" w:color="000000" w:sz="4" w:space="0"/>
            </w:tcBorders>
            <w:noWrap w:val="0"/>
            <w:vAlign w:val="center"/>
          </w:tcPr>
          <w:p w14:paraId="2771EDFF">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713" w:type="dxa"/>
            <w:vMerge w:val="restart"/>
            <w:tcBorders>
              <w:top w:val="nil"/>
              <w:left w:val="nil"/>
              <w:bottom w:val="single" w:color="000000" w:sz="4" w:space="0"/>
              <w:right w:val="single" w:color="000000" w:sz="4" w:space="0"/>
            </w:tcBorders>
            <w:noWrap w:val="0"/>
            <w:vAlign w:val="center"/>
          </w:tcPr>
          <w:p w14:paraId="1533755C">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其中</w:t>
            </w:r>
          </w:p>
        </w:tc>
        <w:tc>
          <w:tcPr>
            <w:tcW w:w="2646" w:type="dxa"/>
            <w:gridSpan w:val="3"/>
            <w:tcBorders>
              <w:top w:val="single" w:color="000000" w:sz="4" w:space="0"/>
              <w:left w:val="nil"/>
              <w:bottom w:val="single" w:color="000000" w:sz="4" w:space="0"/>
              <w:right w:val="single" w:color="000000" w:sz="4" w:space="0"/>
            </w:tcBorders>
            <w:noWrap w:val="0"/>
            <w:vAlign w:val="center"/>
          </w:tcPr>
          <w:p w14:paraId="43A54253">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项目负责人</w:t>
            </w:r>
          </w:p>
        </w:tc>
        <w:tc>
          <w:tcPr>
            <w:tcW w:w="2130" w:type="dxa"/>
            <w:gridSpan w:val="2"/>
            <w:tcBorders>
              <w:top w:val="single" w:color="000000" w:sz="4" w:space="0"/>
              <w:left w:val="nil"/>
              <w:bottom w:val="single" w:color="000000" w:sz="4" w:space="0"/>
              <w:right w:val="single" w:color="000000" w:sz="4" w:space="0"/>
            </w:tcBorders>
            <w:noWrap w:val="0"/>
            <w:vAlign w:val="center"/>
          </w:tcPr>
          <w:p w14:paraId="2746606A">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0689FCE5">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2140049F">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营业执照号</w:t>
            </w:r>
          </w:p>
        </w:tc>
        <w:tc>
          <w:tcPr>
            <w:tcW w:w="2120" w:type="dxa"/>
            <w:gridSpan w:val="3"/>
            <w:tcBorders>
              <w:top w:val="nil"/>
              <w:left w:val="nil"/>
              <w:bottom w:val="single" w:color="000000" w:sz="4" w:space="0"/>
              <w:right w:val="single" w:color="000000" w:sz="4" w:space="0"/>
            </w:tcBorders>
            <w:noWrap w:val="0"/>
            <w:vAlign w:val="center"/>
          </w:tcPr>
          <w:p w14:paraId="01EE80FC">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5BD3B945">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1D4F91DB">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高级职称人员</w:t>
            </w:r>
          </w:p>
        </w:tc>
        <w:tc>
          <w:tcPr>
            <w:tcW w:w="2130" w:type="dxa"/>
            <w:gridSpan w:val="2"/>
            <w:tcBorders>
              <w:top w:val="nil"/>
              <w:left w:val="nil"/>
              <w:bottom w:val="single" w:color="000000" w:sz="4" w:space="0"/>
              <w:right w:val="single" w:color="000000" w:sz="4" w:space="0"/>
            </w:tcBorders>
            <w:noWrap w:val="0"/>
            <w:vAlign w:val="center"/>
          </w:tcPr>
          <w:p w14:paraId="4BDB705B">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5AF645DE">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B81447B">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注册资金</w:t>
            </w:r>
          </w:p>
        </w:tc>
        <w:tc>
          <w:tcPr>
            <w:tcW w:w="2120" w:type="dxa"/>
            <w:gridSpan w:val="3"/>
            <w:tcBorders>
              <w:top w:val="nil"/>
              <w:left w:val="nil"/>
              <w:bottom w:val="single" w:color="000000" w:sz="4" w:space="0"/>
              <w:right w:val="single" w:color="000000" w:sz="4" w:space="0"/>
            </w:tcBorders>
            <w:noWrap w:val="0"/>
            <w:vAlign w:val="center"/>
          </w:tcPr>
          <w:p w14:paraId="4A875458">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5DF5A767">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c>
          <w:tcPr>
            <w:tcW w:w="2646" w:type="dxa"/>
            <w:gridSpan w:val="3"/>
            <w:tcBorders>
              <w:top w:val="nil"/>
              <w:left w:val="nil"/>
              <w:bottom w:val="single" w:color="000000" w:sz="4" w:space="0"/>
              <w:right w:val="single" w:color="000000" w:sz="4" w:space="0"/>
            </w:tcBorders>
            <w:noWrap w:val="0"/>
            <w:vAlign w:val="center"/>
          </w:tcPr>
          <w:p w14:paraId="4BAB49A4">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中级职称人员</w:t>
            </w:r>
          </w:p>
        </w:tc>
        <w:tc>
          <w:tcPr>
            <w:tcW w:w="2130" w:type="dxa"/>
            <w:gridSpan w:val="2"/>
            <w:tcBorders>
              <w:top w:val="nil"/>
              <w:left w:val="nil"/>
              <w:bottom w:val="single" w:color="000000" w:sz="4" w:space="0"/>
              <w:right w:val="single" w:color="000000" w:sz="4" w:space="0"/>
            </w:tcBorders>
            <w:noWrap w:val="0"/>
            <w:vAlign w:val="center"/>
          </w:tcPr>
          <w:p w14:paraId="1E9DD668">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22776DD7">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6C4517A8">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开户银行</w:t>
            </w:r>
          </w:p>
        </w:tc>
        <w:tc>
          <w:tcPr>
            <w:tcW w:w="2120" w:type="dxa"/>
            <w:gridSpan w:val="3"/>
            <w:tcBorders>
              <w:top w:val="nil"/>
              <w:left w:val="nil"/>
              <w:bottom w:val="single" w:color="000000" w:sz="4" w:space="0"/>
              <w:right w:val="single" w:color="000000" w:sz="4" w:space="0"/>
            </w:tcBorders>
            <w:noWrap w:val="0"/>
            <w:vAlign w:val="center"/>
          </w:tcPr>
          <w:p w14:paraId="3EFDE66A">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3AD596CD">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c>
          <w:tcPr>
            <w:tcW w:w="2646" w:type="dxa"/>
            <w:gridSpan w:val="3"/>
            <w:vMerge w:val="restart"/>
            <w:tcBorders>
              <w:top w:val="nil"/>
              <w:left w:val="nil"/>
              <w:right w:val="single" w:color="000000" w:sz="4" w:space="0"/>
            </w:tcBorders>
            <w:noWrap w:val="0"/>
            <w:vAlign w:val="center"/>
          </w:tcPr>
          <w:p w14:paraId="27169443">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初级职称人员</w:t>
            </w:r>
          </w:p>
        </w:tc>
        <w:tc>
          <w:tcPr>
            <w:tcW w:w="2130" w:type="dxa"/>
            <w:gridSpan w:val="2"/>
            <w:vMerge w:val="restart"/>
            <w:tcBorders>
              <w:top w:val="nil"/>
              <w:left w:val="nil"/>
              <w:right w:val="single" w:color="000000" w:sz="4" w:space="0"/>
            </w:tcBorders>
            <w:noWrap w:val="0"/>
            <w:vAlign w:val="center"/>
          </w:tcPr>
          <w:p w14:paraId="20520259">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0AA190CF">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703A9725">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账号</w:t>
            </w:r>
          </w:p>
        </w:tc>
        <w:tc>
          <w:tcPr>
            <w:tcW w:w="2120" w:type="dxa"/>
            <w:gridSpan w:val="3"/>
            <w:tcBorders>
              <w:top w:val="nil"/>
              <w:left w:val="nil"/>
              <w:bottom w:val="single" w:color="000000" w:sz="4" w:space="0"/>
              <w:right w:val="single" w:color="000000" w:sz="4" w:space="0"/>
            </w:tcBorders>
            <w:noWrap w:val="0"/>
            <w:vAlign w:val="center"/>
          </w:tcPr>
          <w:p w14:paraId="779D17B3">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713" w:type="dxa"/>
            <w:vMerge w:val="continue"/>
            <w:tcBorders>
              <w:top w:val="nil"/>
              <w:left w:val="nil"/>
              <w:bottom w:val="single" w:color="000000" w:sz="4" w:space="0"/>
              <w:right w:val="single" w:color="000000" w:sz="4" w:space="0"/>
            </w:tcBorders>
            <w:noWrap w:val="0"/>
            <w:vAlign w:val="center"/>
          </w:tcPr>
          <w:p w14:paraId="3429546F">
            <w:pPr>
              <w:keepNext w:val="0"/>
              <w:keepLines w:val="0"/>
              <w:suppressLineNumbers w:val="0"/>
              <w:spacing w:before="0" w:beforeAutospacing="0" w:after="0" w:afterAutospacing="0"/>
              <w:ind w:left="0" w:right="0"/>
              <w:rPr>
                <w:rFonts w:hint="eastAsia" w:ascii="仿宋" w:hAnsi="仿宋" w:eastAsia="仿宋" w:cs="宋体"/>
                <w:color w:val="000000"/>
                <w:szCs w:val="21"/>
                <w:highlight w:val="none"/>
              </w:rPr>
            </w:pPr>
          </w:p>
        </w:tc>
        <w:tc>
          <w:tcPr>
            <w:tcW w:w="2646" w:type="dxa"/>
            <w:gridSpan w:val="3"/>
            <w:vMerge w:val="continue"/>
            <w:tcBorders>
              <w:left w:val="nil"/>
              <w:bottom w:val="single" w:color="000000" w:sz="4" w:space="0"/>
              <w:right w:val="single" w:color="000000" w:sz="4" w:space="0"/>
            </w:tcBorders>
            <w:noWrap w:val="0"/>
            <w:vAlign w:val="center"/>
          </w:tcPr>
          <w:p w14:paraId="20C82756">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c>
          <w:tcPr>
            <w:tcW w:w="2130" w:type="dxa"/>
            <w:gridSpan w:val="2"/>
            <w:vMerge w:val="continue"/>
            <w:tcBorders>
              <w:left w:val="nil"/>
              <w:bottom w:val="single" w:color="000000" w:sz="4" w:space="0"/>
              <w:right w:val="single" w:color="000000" w:sz="4" w:space="0"/>
            </w:tcBorders>
            <w:noWrap w:val="0"/>
            <w:vAlign w:val="center"/>
          </w:tcPr>
          <w:p w14:paraId="698FA5B8">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r w14:paraId="51339FE9">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4ED735C1">
            <w:pPr>
              <w:pStyle w:val="113"/>
              <w:keepNext w:val="0"/>
              <w:keepLines w:val="0"/>
              <w:suppressLineNumbers w:val="0"/>
              <w:topLinePunct/>
              <w:spacing w:before="0" w:beforeAutospacing="0" w:after="0" w:afterAutospacing="0"/>
              <w:ind w:left="0" w:right="0" w:firstLine="21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经营范围</w:t>
            </w:r>
          </w:p>
        </w:tc>
        <w:tc>
          <w:tcPr>
            <w:tcW w:w="7609" w:type="dxa"/>
            <w:gridSpan w:val="9"/>
            <w:tcBorders>
              <w:top w:val="nil"/>
              <w:left w:val="nil"/>
              <w:bottom w:val="single" w:color="000000" w:sz="4" w:space="0"/>
              <w:right w:val="single" w:color="000000" w:sz="4" w:space="0"/>
            </w:tcBorders>
            <w:noWrap w:val="0"/>
            <w:vAlign w:val="center"/>
          </w:tcPr>
          <w:p w14:paraId="4ADDCDD1">
            <w:pPr>
              <w:pStyle w:val="113"/>
              <w:keepNext w:val="0"/>
              <w:keepLines w:val="0"/>
              <w:suppressLineNumbers w:val="0"/>
              <w:topLinePunct/>
              <w:spacing w:before="0" w:beforeAutospacing="0" w:after="0" w:afterAutospacing="0"/>
              <w:ind w:left="0" w:right="0"/>
              <w:rPr>
                <w:rFonts w:hint="eastAsia" w:ascii="仿宋" w:hAnsi="仿宋" w:eastAsia="仿宋" w:cs="宋体"/>
                <w:color w:val="000000"/>
                <w:szCs w:val="21"/>
                <w:highlight w:val="none"/>
              </w:rPr>
            </w:pPr>
          </w:p>
        </w:tc>
      </w:tr>
      <w:tr w14:paraId="6652B524">
        <w:tblPrEx>
          <w:tblCellMar>
            <w:top w:w="0" w:type="dxa"/>
            <w:left w:w="108" w:type="dxa"/>
            <w:bottom w:w="0" w:type="dxa"/>
            <w:right w:w="108" w:type="dxa"/>
          </w:tblCellMar>
        </w:tblPrEx>
        <w:trPr>
          <w:trHeight w:val="283" w:hRule="atLeast"/>
        </w:trPr>
        <w:tc>
          <w:tcPr>
            <w:tcW w:w="2243" w:type="dxa"/>
            <w:tcBorders>
              <w:top w:val="nil"/>
              <w:left w:val="single" w:color="000000" w:sz="4" w:space="0"/>
              <w:bottom w:val="single" w:color="000000" w:sz="4" w:space="0"/>
              <w:right w:val="single" w:color="000000" w:sz="4" w:space="0"/>
            </w:tcBorders>
            <w:noWrap w:val="0"/>
            <w:vAlign w:val="center"/>
          </w:tcPr>
          <w:p w14:paraId="0A44200C">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备注</w:t>
            </w:r>
          </w:p>
        </w:tc>
        <w:tc>
          <w:tcPr>
            <w:tcW w:w="7609" w:type="dxa"/>
            <w:gridSpan w:val="9"/>
            <w:tcBorders>
              <w:top w:val="nil"/>
              <w:left w:val="nil"/>
              <w:bottom w:val="single" w:color="000000" w:sz="4" w:space="0"/>
              <w:right w:val="single" w:color="000000" w:sz="4" w:space="0"/>
            </w:tcBorders>
            <w:noWrap w:val="0"/>
            <w:vAlign w:val="center"/>
          </w:tcPr>
          <w:p w14:paraId="6F675562">
            <w:pPr>
              <w:pStyle w:val="113"/>
              <w:keepNext w:val="0"/>
              <w:keepLines w:val="0"/>
              <w:suppressLineNumbers w:val="0"/>
              <w:topLinePunct/>
              <w:spacing w:before="0" w:beforeAutospacing="0" w:after="0" w:afterAutospacing="0"/>
              <w:ind w:left="0" w:right="0"/>
              <w:jc w:val="center"/>
              <w:rPr>
                <w:rFonts w:hint="eastAsia" w:ascii="仿宋" w:hAnsi="仿宋" w:eastAsia="仿宋" w:cs="宋体"/>
                <w:color w:val="000000"/>
                <w:szCs w:val="21"/>
                <w:highlight w:val="none"/>
              </w:rPr>
            </w:pPr>
          </w:p>
        </w:tc>
      </w:tr>
    </w:tbl>
    <w:p w14:paraId="3C1FE596">
      <w:pPr>
        <w:spacing w:line="360" w:lineRule="auto"/>
        <w:ind w:left="482" w:hanging="482" w:hangingChars="200"/>
        <w:rPr>
          <w:rFonts w:hint="eastAsia" w:ascii="仿宋" w:hAnsi="仿宋" w:eastAsia="仿宋" w:cs="宋体"/>
          <w:color w:val="000000"/>
          <w:szCs w:val="21"/>
          <w:highlight w:val="none"/>
        </w:rPr>
      </w:pPr>
      <w:bookmarkStart w:id="677" w:name="_Hlk122532292"/>
      <w:r>
        <w:rPr>
          <w:rFonts w:hint="eastAsia" w:ascii="仿宋" w:hAnsi="仿宋" w:eastAsia="仿宋" w:cs="宋体"/>
          <w:b/>
          <w:color w:val="000000"/>
          <w:sz w:val="24"/>
          <w:szCs w:val="24"/>
          <w:highlight w:val="none"/>
        </w:rPr>
        <w:t>注：提供由工商部门核发的最新营业执照（正副本皆可）。</w:t>
      </w:r>
      <w:bookmarkEnd w:id="677"/>
    </w:p>
    <w:p w14:paraId="4C7428F9">
      <w:pPr>
        <w:spacing w:line="440" w:lineRule="exact"/>
        <w:ind w:firstLine="3570" w:firstLineChars="1700"/>
        <w:jc w:val="right"/>
        <w:rPr>
          <w:rFonts w:ascii="仿宋" w:hAnsi="仿宋" w:eastAsia="仿宋" w:cs="宋体"/>
          <w:color w:val="000000"/>
          <w:szCs w:val="21"/>
          <w:highlight w:val="none"/>
        </w:rPr>
      </w:pPr>
    </w:p>
    <w:p w14:paraId="4F239B78">
      <w:pPr>
        <w:pStyle w:val="113"/>
        <w:jc w:val="left"/>
        <w:rPr>
          <w:rFonts w:hint="eastAsia" w:ascii="仿宋" w:hAnsi="仿宋" w:eastAsia="仿宋" w:cs="宋体"/>
          <w:b/>
          <w:color w:val="000000"/>
          <w:highlight w:val="none"/>
        </w:rPr>
      </w:pPr>
    </w:p>
    <w:p w14:paraId="0C3B0D92">
      <w:pPr>
        <w:pStyle w:val="113"/>
        <w:jc w:val="left"/>
        <w:rPr>
          <w:rFonts w:hint="eastAsia" w:ascii="仿宋" w:hAnsi="仿宋" w:eastAsia="仿宋" w:cs="宋体"/>
          <w:b/>
          <w:color w:val="000000"/>
          <w:highlight w:val="none"/>
        </w:rPr>
      </w:pPr>
    </w:p>
    <w:p w14:paraId="4ED61994">
      <w:pPr>
        <w:pStyle w:val="113"/>
        <w:jc w:val="left"/>
        <w:rPr>
          <w:rFonts w:hint="eastAsia" w:ascii="仿宋" w:hAnsi="仿宋" w:eastAsia="仿宋" w:cs="宋体"/>
          <w:b/>
          <w:color w:val="000000"/>
          <w:highlight w:val="none"/>
        </w:rPr>
      </w:pPr>
    </w:p>
    <w:p w14:paraId="7D3F8DD1">
      <w:pPr>
        <w:spacing w:line="360" w:lineRule="auto"/>
        <w:textAlignment w:val="baseline"/>
        <w:rPr>
          <w:rFonts w:hint="eastAsia" w:ascii="仿宋" w:hAnsi="仿宋" w:eastAsia="仿宋" w:cs="宋体"/>
          <w:b/>
          <w:color w:val="000000"/>
          <w:sz w:val="24"/>
          <w:szCs w:val="24"/>
          <w:highlight w:val="none"/>
        </w:rPr>
      </w:pPr>
    </w:p>
    <w:p w14:paraId="5DCF962A">
      <w:pPr>
        <w:spacing w:line="360" w:lineRule="auto"/>
        <w:jc w:val="left"/>
        <w:rPr>
          <w:rFonts w:hint="eastAsia" w:ascii="仿宋" w:hAnsi="仿宋" w:eastAsia="仿宋" w:cs="宋体"/>
          <w:color w:val="000000"/>
          <w:sz w:val="24"/>
          <w:szCs w:val="24"/>
          <w:highlight w:val="none"/>
        </w:rPr>
      </w:pPr>
    </w:p>
    <w:p w14:paraId="7D871C6E">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投标人名称：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0B938DFC">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4F4E3148">
      <w:pPr>
        <w:pStyle w:val="87"/>
        <w:topLinePunct/>
        <w:adjustRightInd w:val="0"/>
        <w:snapToGrid w:val="0"/>
        <w:spacing w:line="360" w:lineRule="auto"/>
        <w:ind w:left="1575" w:firstLine="0" w:firstLineChars="0"/>
        <w:rPr>
          <w:rFonts w:hint="eastAsia" w:ascii="仿宋" w:hAnsi="仿宋" w:eastAsia="仿宋" w:cs="宋体"/>
          <w:bCs/>
          <w:color w:val="000000"/>
          <w:sz w:val="24"/>
          <w:highlight w:val="none"/>
        </w:rPr>
      </w:pPr>
    </w:p>
    <w:p w14:paraId="638011CC">
      <w:pPr>
        <w:pStyle w:val="87"/>
        <w:topLinePunct/>
        <w:adjustRightInd w:val="0"/>
        <w:snapToGrid w:val="0"/>
        <w:spacing w:line="360" w:lineRule="auto"/>
        <w:ind w:left="1575" w:firstLine="0" w:firstLineChars="0"/>
        <w:rPr>
          <w:rFonts w:hint="eastAsia" w:ascii="仿宋" w:hAnsi="仿宋" w:eastAsia="仿宋" w:cs="宋体"/>
          <w:bCs/>
          <w:color w:val="000000"/>
          <w:sz w:val="24"/>
          <w:highlight w:val="none"/>
        </w:rPr>
      </w:pPr>
    </w:p>
    <w:p w14:paraId="4EA73A52">
      <w:pPr>
        <w:spacing w:line="360" w:lineRule="auto"/>
        <w:textAlignment w:val="baseline"/>
        <w:rPr>
          <w:rFonts w:hint="eastAsia" w:ascii="仿宋" w:hAnsi="仿宋" w:eastAsia="仿宋" w:cs="宋体"/>
          <w:color w:val="000000"/>
          <w:sz w:val="24"/>
          <w:szCs w:val="24"/>
          <w:highlight w:val="none"/>
        </w:rPr>
      </w:pPr>
    </w:p>
    <w:p w14:paraId="6B0D4015">
      <w:pPr>
        <w:pStyle w:val="6"/>
        <w:numPr>
          <w:ilvl w:val="0"/>
          <w:numId w:val="0"/>
        </w:numPr>
        <w:spacing w:line="360" w:lineRule="auto"/>
        <w:rPr>
          <w:rFonts w:hint="eastAsia" w:ascii="仿宋" w:hAnsi="仿宋" w:cs="宋体"/>
          <w:color w:val="000000"/>
          <w:szCs w:val="24"/>
          <w:highlight w:val="none"/>
        </w:rPr>
      </w:pPr>
      <w:r>
        <w:rPr>
          <w:rFonts w:hint="eastAsia" w:ascii="仿宋" w:hAnsi="仿宋" w:cs="宋体"/>
          <w:color w:val="000000"/>
          <w:szCs w:val="24"/>
          <w:highlight w:val="none"/>
        </w:rPr>
        <w:br w:type="page"/>
      </w:r>
      <w:r>
        <w:rPr>
          <w:rFonts w:hint="eastAsia" w:ascii="仿宋" w:hAnsi="仿宋" w:cs="宋体"/>
          <w:color w:val="000000"/>
          <w:szCs w:val="24"/>
          <w:highlight w:val="none"/>
          <w:lang w:val="en-US" w:eastAsia="zh-CN"/>
        </w:rPr>
        <w:t>2、</w:t>
      </w:r>
      <w:r>
        <w:rPr>
          <w:rFonts w:hint="eastAsia" w:ascii="仿宋" w:hAnsi="仿宋" w:cs="宋体"/>
          <w:color w:val="000000"/>
          <w:szCs w:val="24"/>
          <w:highlight w:val="none"/>
        </w:rPr>
        <w:t>财务审计报告或银行资信证明</w:t>
      </w:r>
    </w:p>
    <w:p w14:paraId="738BA53A">
      <w:pPr>
        <w:spacing w:line="360" w:lineRule="auto"/>
        <w:textAlignment w:val="baseline"/>
        <w:rPr>
          <w:rFonts w:hint="eastAsia" w:ascii="仿宋" w:hAnsi="仿宋" w:eastAsia="仿宋" w:cs="宋体"/>
          <w:color w:val="000000"/>
          <w:sz w:val="24"/>
          <w:szCs w:val="24"/>
          <w:highlight w:val="none"/>
        </w:rPr>
      </w:pPr>
    </w:p>
    <w:p w14:paraId="1E1CEF2F">
      <w:pPr>
        <w:pStyle w:val="2"/>
        <w:rPr>
          <w:rFonts w:hint="eastAsia"/>
        </w:rPr>
      </w:pPr>
    </w:p>
    <w:p w14:paraId="6B4D8876">
      <w:pPr>
        <w:rPr>
          <w:rFonts w:ascii="仿宋" w:hAnsi="仿宋" w:cs="宋体"/>
          <w:color w:val="000000"/>
          <w:highlight w:val="none"/>
        </w:rPr>
      </w:pPr>
      <w:r>
        <w:rPr>
          <w:rFonts w:ascii="仿宋" w:hAnsi="仿宋" w:cs="宋体"/>
          <w:color w:val="000000"/>
          <w:highlight w:val="none"/>
        </w:rPr>
        <w:br w:type="page"/>
      </w:r>
    </w:p>
    <w:p w14:paraId="0EEBF716">
      <w:pPr>
        <w:pStyle w:val="6"/>
        <w:numPr>
          <w:ilvl w:val="0"/>
          <w:numId w:val="0"/>
        </w:numPr>
        <w:rPr>
          <w:rFonts w:hint="eastAsia" w:ascii="仿宋" w:hAnsi="仿宋" w:cs="宋体"/>
          <w:color w:val="000000"/>
          <w:highlight w:val="none"/>
        </w:rPr>
      </w:pPr>
      <w:r>
        <w:rPr>
          <w:rFonts w:hint="eastAsia" w:ascii="仿宋" w:hAnsi="仿宋" w:cs="宋体"/>
          <w:color w:val="000000"/>
          <w:highlight w:val="none"/>
          <w:lang w:val="en-US" w:eastAsia="zh-CN"/>
        </w:rPr>
        <w:t>3、</w:t>
      </w:r>
      <w:r>
        <w:rPr>
          <w:rFonts w:hint="eastAsia" w:ascii="仿宋" w:hAnsi="仿宋" w:cs="宋体"/>
          <w:color w:val="000000"/>
          <w:highlight w:val="none"/>
        </w:rPr>
        <w:t>同类项目实施经验</w:t>
      </w:r>
    </w:p>
    <w:p w14:paraId="69850D77">
      <w:pPr>
        <w:jc w:val="center"/>
        <w:rPr>
          <w:rFonts w:hint="eastAsia" w:ascii="仿宋" w:hAnsi="仿宋" w:eastAsia="仿宋" w:cs="宋体"/>
          <w:b/>
          <w:color w:val="000000"/>
          <w:sz w:val="24"/>
          <w:szCs w:val="24"/>
          <w:highlight w:val="none"/>
        </w:rPr>
      </w:pPr>
    </w:p>
    <w:p w14:paraId="08239B6B">
      <w:pPr>
        <w:pStyle w:val="2"/>
        <w:rPr>
          <w:rFonts w:hint="eastAsia"/>
        </w:rPr>
      </w:pPr>
    </w:p>
    <w:p w14:paraId="07CF711B">
      <w:pPr>
        <w:jc w:val="center"/>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同类业绩汇总表</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827"/>
        <w:gridCol w:w="1068"/>
        <w:gridCol w:w="1192"/>
        <w:gridCol w:w="1160"/>
        <w:gridCol w:w="1275"/>
        <w:gridCol w:w="1134"/>
        <w:gridCol w:w="1418"/>
        <w:gridCol w:w="954"/>
      </w:tblGrid>
      <w:tr w14:paraId="4289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820" w:type="dxa"/>
            <w:noWrap w:val="0"/>
            <w:vAlign w:val="center"/>
          </w:tcPr>
          <w:p w14:paraId="4F5AF6A9">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序号</w:t>
            </w:r>
          </w:p>
        </w:tc>
        <w:tc>
          <w:tcPr>
            <w:tcW w:w="827" w:type="dxa"/>
            <w:noWrap w:val="0"/>
            <w:vAlign w:val="center"/>
          </w:tcPr>
          <w:p w14:paraId="496AEF1E">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合同名称</w:t>
            </w:r>
          </w:p>
        </w:tc>
        <w:tc>
          <w:tcPr>
            <w:tcW w:w="1068" w:type="dxa"/>
            <w:noWrap w:val="0"/>
            <w:vAlign w:val="center"/>
          </w:tcPr>
          <w:p w14:paraId="4156D3DB">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合同编号</w:t>
            </w:r>
          </w:p>
        </w:tc>
        <w:tc>
          <w:tcPr>
            <w:tcW w:w="1192" w:type="dxa"/>
            <w:noWrap w:val="0"/>
            <w:vAlign w:val="center"/>
          </w:tcPr>
          <w:p w14:paraId="158069E3">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签订时间</w:t>
            </w:r>
          </w:p>
        </w:tc>
        <w:tc>
          <w:tcPr>
            <w:tcW w:w="1160" w:type="dxa"/>
            <w:noWrap w:val="0"/>
            <w:vAlign w:val="center"/>
          </w:tcPr>
          <w:p w14:paraId="729F84D8">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采购内容</w:t>
            </w:r>
          </w:p>
        </w:tc>
        <w:tc>
          <w:tcPr>
            <w:tcW w:w="1275" w:type="dxa"/>
            <w:noWrap w:val="0"/>
            <w:vAlign w:val="center"/>
          </w:tcPr>
          <w:p w14:paraId="694513B7">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合同金额（万元）</w:t>
            </w:r>
          </w:p>
        </w:tc>
        <w:tc>
          <w:tcPr>
            <w:tcW w:w="1134" w:type="dxa"/>
            <w:noWrap w:val="0"/>
            <w:vAlign w:val="center"/>
          </w:tcPr>
          <w:p w14:paraId="0BAF6777">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合同甲方</w:t>
            </w:r>
          </w:p>
        </w:tc>
        <w:tc>
          <w:tcPr>
            <w:tcW w:w="1418" w:type="dxa"/>
            <w:noWrap w:val="0"/>
            <w:vAlign w:val="center"/>
          </w:tcPr>
          <w:p w14:paraId="59EC8B75">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甲方联系人及电话</w:t>
            </w:r>
          </w:p>
        </w:tc>
        <w:tc>
          <w:tcPr>
            <w:tcW w:w="954" w:type="dxa"/>
            <w:noWrap w:val="0"/>
            <w:vAlign w:val="center"/>
          </w:tcPr>
          <w:p w14:paraId="1E8982C4">
            <w:pPr>
              <w:keepNext w:val="0"/>
              <w:keepLines w:val="0"/>
              <w:suppressLineNumbers w:val="0"/>
              <w:spacing w:before="0" w:beforeAutospacing="0" w:after="0" w:afterAutospacing="0" w:line="24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备注</w:t>
            </w:r>
          </w:p>
        </w:tc>
      </w:tr>
      <w:tr w14:paraId="05A30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20" w:type="dxa"/>
            <w:noWrap w:val="0"/>
            <w:vAlign w:val="center"/>
          </w:tcPr>
          <w:p w14:paraId="22AD09C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23225850">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404E702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4B78043C">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46CC57A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2F283715">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2028AE15">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15EE1795">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05D07DF4">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5D55B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3AB106B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p w14:paraId="1E4FCCC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63F59531">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1FCB2C7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521218A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32A52CB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35ECECED">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713AFBC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14DABF8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0945520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41FD8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1A2C4E3C">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546F84E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1CA296A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641D8BB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731138F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455F192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0032880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2051713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27C3747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478B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5640914C">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3B1F1B2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73DE436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65A15DC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7AF95759">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4F4D5FE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61C9CC9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79EBE1C5">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5B98EFBD">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29C4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3F6FC250">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3B9E108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3B8C26C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595D809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26041F41">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4F1C549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0C53153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400432C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3D361622">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421B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791011E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7376956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59413BA3">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5011E510">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6257FD2D">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0EFE5F3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2D514377">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3FBF03A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2801754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0C491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283F9491">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378BC459">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678F491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5BC0DF3D">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544373F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74797A1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523A42B2">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099B45DB">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56E1D5A5">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r w14:paraId="65AB2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noWrap w:val="0"/>
            <w:vAlign w:val="center"/>
          </w:tcPr>
          <w:p w14:paraId="67647571">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827" w:type="dxa"/>
            <w:noWrap w:val="0"/>
            <w:vAlign w:val="center"/>
          </w:tcPr>
          <w:p w14:paraId="51157746">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068" w:type="dxa"/>
            <w:noWrap w:val="0"/>
            <w:vAlign w:val="center"/>
          </w:tcPr>
          <w:p w14:paraId="6F33C3E8">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92" w:type="dxa"/>
            <w:noWrap w:val="0"/>
            <w:vAlign w:val="center"/>
          </w:tcPr>
          <w:p w14:paraId="792A766E">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60" w:type="dxa"/>
            <w:noWrap w:val="0"/>
            <w:vAlign w:val="center"/>
          </w:tcPr>
          <w:p w14:paraId="7F18EFCC">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275" w:type="dxa"/>
            <w:noWrap w:val="0"/>
            <w:vAlign w:val="center"/>
          </w:tcPr>
          <w:p w14:paraId="6B5BF10A">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104A09FC">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1418" w:type="dxa"/>
            <w:noWrap w:val="0"/>
            <w:vAlign w:val="center"/>
          </w:tcPr>
          <w:p w14:paraId="77D16E7F">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c>
          <w:tcPr>
            <w:tcW w:w="954" w:type="dxa"/>
            <w:noWrap w:val="0"/>
            <w:vAlign w:val="center"/>
          </w:tcPr>
          <w:p w14:paraId="2F60F269">
            <w:pPr>
              <w:keepNext w:val="0"/>
              <w:keepLines w:val="0"/>
              <w:suppressLineNumbers w:val="0"/>
              <w:spacing w:before="0" w:beforeAutospacing="0" w:after="0" w:afterAutospacing="0" w:line="240" w:lineRule="auto"/>
              <w:ind w:left="0" w:right="0"/>
              <w:jc w:val="center"/>
              <w:rPr>
                <w:rFonts w:hint="eastAsia" w:ascii="仿宋" w:hAnsi="仿宋" w:eastAsia="仿宋" w:cs="宋体"/>
                <w:color w:val="000000"/>
                <w:szCs w:val="21"/>
                <w:highlight w:val="none"/>
              </w:rPr>
            </w:pPr>
          </w:p>
        </w:tc>
      </w:tr>
    </w:tbl>
    <w:p w14:paraId="3BCA80A6">
      <w:pPr>
        <w:spacing w:line="360" w:lineRule="auto"/>
        <w:jc w:val="left"/>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备注：</w:t>
      </w:r>
    </w:p>
    <w:p w14:paraId="488478D5">
      <w:pPr>
        <w:spacing w:line="360" w:lineRule="auto"/>
        <w:textAlignment w:val="baseline"/>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1）有效的业绩证明材料包括合同关键页、框架协议及订单等。合同关键页包含但不限于合同首页、合同标的页、签署日期页及盖章页等，按照业绩表的项目名称，顺序排放每个项目的证明材料。</w:t>
      </w:r>
    </w:p>
    <w:p w14:paraId="4F22872A">
      <w:pPr>
        <w:spacing w:line="360" w:lineRule="auto"/>
        <w:textAlignment w:val="baseline"/>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2）按照招标公告的资格要求，提供实施案例的有效证明材料，作为资格后审的评审依据。</w:t>
      </w:r>
    </w:p>
    <w:p w14:paraId="74DDECDF">
      <w:pPr>
        <w:spacing w:line="360" w:lineRule="auto"/>
        <w:textAlignment w:val="baseline"/>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3）本业绩表及证明材料也作为详细评审中对同类项目实施经验的评审及打分依据，投标人需根据详细评审要求，提供符合要求的业绩证明材料。</w:t>
      </w:r>
    </w:p>
    <w:p w14:paraId="1583FFA3">
      <w:pPr>
        <w:spacing w:line="360" w:lineRule="auto"/>
        <w:textAlignment w:val="baseline"/>
        <w:rPr>
          <w:rFonts w:hint="eastAsia" w:ascii="仿宋" w:hAnsi="仿宋" w:eastAsia="仿宋" w:cs="宋体"/>
          <w:b/>
          <w:color w:val="000000"/>
          <w:sz w:val="24"/>
          <w:szCs w:val="24"/>
          <w:highlight w:val="none"/>
        </w:rPr>
      </w:pPr>
    </w:p>
    <w:p w14:paraId="0DA812B4">
      <w:pPr>
        <w:spacing w:line="360" w:lineRule="auto"/>
        <w:textAlignment w:val="baseline"/>
        <w:rPr>
          <w:rFonts w:hint="eastAsia" w:ascii="仿宋" w:hAnsi="仿宋" w:eastAsia="仿宋" w:cs="宋体"/>
          <w:b/>
          <w:color w:val="000000"/>
          <w:sz w:val="24"/>
          <w:szCs w:val="24"/>
          <w:highlight w:val="none"/>
        </w:rPr>
      </w:pPr>
    </w:p>
    <w:p w14:paraId="416A5D46">
      <w:pPr>
        <w:spacing w:line="360" w:lineRule="auto"/>
        <w:jc w:val="right"/>
        <w:textAlignment w:val="baseline"/>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投标人名称：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4507435E">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7B27860F">
      <w:pPr>
        <w:rPr>
          <w:rFonts w:hint="eastAsia" w:ascii="仿宋" w:hAnsi="仿宋" w:cs="宋体"/>
          <w:color w:val="000000"/>
          <w:szCs w:val="24"/>
          <w:highlight w:val="none"/>
        </w:rPr>
      </w:pPr>
    </w:p>
    <w:p w14:paraId="163505C6">
      <w:pPr>
        <w:rPr>
          <w:rFonts w:hint="eastAsia" w:ascii="仿宋" w:hAnsi="仿宋" w:cs="宋体"/>
          <w:color w:val="000000"/>
          <w:szCs w:val="24"/>
          <w:highlight w:val="none"/>
          <w:lang w:val="en-US" w:eastAsia="zh-CN"/>
        </w:rPr>
      </w:pPr>
      <w:r>
        <w:rPr>
          <w:rFonts w:hint="eastAsia" w:ascii="仿宋" w:hAnsi="仿宋" w:cs="宋体"/>
          <w:color w:val="000000"/>
          <w:szCs w:val="24"/>
          <w:highlight w:val="none"/>
          <w:lang w:val="en-US" w:eastAsia="zh-CN"/>
        </w:rPr>
        <w:br w:type="page"/>
      </w:r>
    </w:p>
    <w:p w14:paraId="1872B2EF">
      <w:pPr>
        <w:pStyle w:val="6"/>
        <w:numPr>
          <w:ilvl w:val="0"/>
          <w:numId w:val="0"/>
        </w:numPr>
        <w:spacing w:line="360" w:lineRule="auto"/>
        <w:rPr>
          <w:rFonts w:hint="eastAsia" w:ascii="仿宋" w:hAnsi="仿宋" w:cs="宋体"/>
          <w:color w:val="000000"/>
          <w:szCs w:val="24"/>
          <w:highlight w:val="none"/>
        </w:rPr>
      </w:pPr>
      <w:r>
        <w:rPr>
          <w:rFonts w:hint="eastAsia" w:ascii="仿宋" w:hAnsi="仿宋" w:cs="宋体"/>
          <w:color w:val="000000"/>
          <w:szCs w:val="24"/>
          <w:highlight w:val="none"/>
          <w:lang w:val="en-US" w:eastAsia="zh-CN"/>
        </w:rPr>
        <w:t>4、</w:t>
      </w:r>
      <w:r>
        <w:rPr>
          <w:rFonts w:hint="eastAsia" w:ascii="仿宋" w:hAnsi="仿宋" w:cs="宋体"/>
          <w:color w:val="000000"/>
          <w:szCs w:val="24"/>
          <w:highlight w:val="none"/>
        </w:rPr>
        <w:t>企业税收和社会保障资金缴纳凭证</w:t>
      </w:r>
    </w:p>
    <w:p w14:paraId="6C67BE0F">
      <w:pPr>
        <w:rPr>
          <w:rFonts w:hint="eastAsia" w:ascii="仿宋" w:hAnsi="仿宋" w:cs="宋体"/>
          <w:color w:val="000000"/>
          <w:szCs w:val="24"/>
          <w:highlight w:val="none"/>
          <w:lang w:val="en-US" w:eastAsia="zh-CN"/>
        </w:rPr>
      </w:pPr>
    </w:p>
    <w:p w14:paraId="305CFFB8">
      <w:pPr>
        <w:rPr>
          <w:rFonts w:hint="eastAsia" w:ascii="仿宋" w:hAnsi="仿宋" w:cs="宋体"/>
          <w:color w:val="000000"/>
          <w:szCs w:val="24"/>
          <w:highlight w:val="none"/>
          <w:lang w:val="en-US" w:eastAsia="zh-CN"/>
        </w:rPr>
      </w:pPr>
      <w:r>
        <w:rPr>
          <w:rFonts w:hint="eastAsia" w:ascii="仿宋" w:hAnsi="仿宋" w:cs="宋体"/>
          <w:color w:val="000000"/>
          <w:szCs w:val="24"/>
          <w:highlight w:val="none"/>
          <w:lang w:val="en-US" w:eastAsia="zh-CN"/>
        </w:rPr>
        <w:br w:type="page"/>
      </w:r>
    </w:p>
    <w:p w14:paraId="00E5EC35">
      <w:pPr>
        <w:pStyle w:val="6"/>
        <w:spacing w:line="360" w:lineRule="auto"/>
        <w:rPr>
          <w:rFonts w:hint="eastAsia" w:ascii="仿宋" w:hAnsi="仿宋" w:cs="宋体"/>
          <w:color w:val="000000"/>
          <w:szCs w:val="24"/>
          <w:highlight w:val="none"/>
        </w:rPr>
      </w:pPr>
      <w:r>
        <w:rPr>
          <w:rFonts w:hint="eastAsia" w:ascii="仿宋" w:hAnsi="仿宋" w:cs="宋体"/>
          <w:color w:val="000000"/>
          <w:szCs w:val="24"/>
          <w:highlight w:val="none"/>
          <w:lang w:val="en-US" w:eastAsia="zh-CN"/>
        </w:rPr>
        <w:t>5</w:t>
      </w:r>
      <w:r>
        <w:rPr>
          <w:rFonts w:hint="eastAsia" w:ascii="仿宋" w:hAnsi="仿宋" w:cs="宋体"/>
          <w:color w:val="000000"/>
          <w:szCs w:val="24"/>
          <w:highlight w:val="none"/>
        </w:rPr>
        <w:t>、</w:t>
      </w:r>
      <w:r>
        <w:rPr>
          <w:rFonts w:hint="eastAsia" w:ascii="仿宋" w:hAnsi="仿宋" w:cs="仿宋"/>
          <w:color w:val="000000"/>
          <w:szCs w:val="24"/>
          <w:highlight w:val="none"/>
        </w:rPr>
        <w:t>无违法违规记录查询截图</w:t>
      </w:r>
    </w:p>
    <w:p w14:paraId="5D2CDC1E">
      <w:pPr>
        <w:rPr>
          <w:rFonts w:ascii="仿宋" w:hAnsi="仿宋" w:eastAsia="仿宋" w:cs="微软雅黑"/>
          <w:color w:val="000000"/>
          <w:sz w:val="24"/>
          <w:highlight w:val="none"/>
        </w:rPr>
      </w:pPr>
      <w:r>
        <w:rPr>
          <w:rFonts w:hint="eastAsia" w:ascii="仿宋" w:hAnsi="仿宋" w:eastAsia="仿宋" w:cs="微软雅黑"/>
          <w:color w:val="000000"/>
          <w:sz w:val="24"/>
          <w:highlight w:val="none"/>
        </w:rPr>
        <w:t>（1）失信被执行人查询截图范例：</w:t>
      </w:r>
    </w:p>
    <w:p w14:paraId="5FDD6150">
      <w:pPr>
        <w:rPr>
          <w:rFonts w:ascii="仿宋" w:hAnsi="仿宋" w:eastAsia="仿宋"/>
          <w:color w:val="000000"/>
          <w:highlight w:val="none"/>
        </w:rPr>
      </w:pPr>
      <w:r>
        <w:rPr>
          <w:highlight w:val="none"/>
        </w:rPr>
        <w:drawing>
          <wp:inline distT="0" distB="0" distL="114300" distR="114300">
            <wp:extent cx="6120765" cy="4262755"/>
            <wp:effectExtent l="0" t="0" r="63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4"/>
                    <a:stretch>
                      <a:fillRect/>
                    </a:stretch>
                  </pic:blipFill>
                  <pic:spPr>
                    <a:xfrm>
                      <a:off x="0" y="0"/>
                      <a:ext cx="6120765" cy="4262755"/>
                    </a:xfrm>
                    <a:prstGeom prst="rect">
                      <a:avLst/>
                    </a:prstGeom>
                    <a:noFill/>
                    <a:ln>
                      <a:noFill/>
                    </a:ln>
                  </pic:spPr>
                </pic:pic>
              </a:graphicData>
            </a:graphic>
          </wp:inline>
        </w:drawing>
      </w:r>
    </w:p>
    <w:p w14:paraId="6C953BEC">
      <w:pPr>
        <w:rPr>
          <w:rFonts w:hint="eastAsia" w:ascii="仿宋" w:hAnsi="仿宋" w:eastAsia="仿宋"/>
          <w:color w:val="000000"/>
          <w:szCs w:val="21"/>
          <w:highlight w:val="none"/>
        </w:rPr>
      </w:pPr>
      <w:r>
        <w:rPr>
          <w:rFonts w:hint="eastAsia" w:ascii="仿宋" w:hAnsi="仿宋" w:eastAsia="仿宋" w:cs="微软雅黑"/>
          <w:color w:val="000000"/>
          <w:sz w:val="24"/>
          <w:highlight w:val="none"/>
        </w:rPr>
        <w:t>（2）</w:t>
      </w:r>
      <w:bookmarkStart w:id="678" w:name="_Hlk112078474"/>
      <w:r>
        <w:rPr>
          <w:rFonts w:hint="eastAsia" w:ascii="仿宋" w:hAnsi="仿宋" w:eastAsia="仿宋" w:cs="微软雅黑"/>
          <w:color w:val="000000"/>
          <w:sz w:val="24"/>
          <w:highlight w:val="none"/>
        </w:rPr>
        <w:t>重大</w:t>
      </w:r>
      <w:r>
        <w:rPr>
          <w:rFonts w:hint="eastAsia" w:ascii="仿宋" w:hAnsi="仿宋" w:eastAsia="仿宋" w:cs="仿宋"/>
          <w:color w:val="000000"/>
          <w:sz w:val="24"/>
          <w:szCs w:val="24"/>
          <w:highlight w:val="none"/>
        </w:rPr>
        <w:t>税收违法失信主体</w:t>
      </w:r>
      <w:r>
        <w:rPr>
          <w:rFonts w:hint="eastAsia" w:ascii="仿宋" w:hAnsi="仿宋" w:eastAsia="仿宋" w:cs="微软雅黑"/>
          <w:color w:val="000000"/>
          <w:sz w:val="24"/>
          <w:highlight w:val="none"/>
        </w:rPr>
        <w:t>查询截图范例：</w:t>
      </w:r>
    </w:p>
    <w:bookmarkEnd w:id="678"/>
    <w:p w14:paraId="33CD8A74">
      <w:pPr>
        <w:rPr>
          <w:rFonts w:ascii="仿宋" w:hAnsi="仿宋" w:eastAsia="仿宋"/>
          <w:color w:val="000000"/>
          <w:highlight w:val="none"/>
        </w:rPr>
      </w:pPr>
      <w:bookmarkStart w:id="679" w:name="_Hlk112078519"/>
      <w:r>
        <w:rPr>
          <w:rFonts w:ascii="仿宋" w:hAnsi="仿宋" w:eastAsia="仿宋"/>
          <w:color w:val="000000"/>
          <w:szCs w:val="21"/>
          <w:highlight w:val="none"/>
        </w:rPr>
        <w:drawing>
          <wp:inline distT="0" distB="0" distL="114300" distR="114300">
            <wp:extent cx="6119495" cy="3312795"/>
            <wp:effectExtent l="0" t="0" r="1905" b="1905"/>
            <wp:docPr id="3" name="图片 2" descr="微信图片_2022071315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微信图片_20220713154746"/>
                    <pic:cNvPicPr>
                      <a:picLocks noChangeAspect="1"/>
                    </pic:cNvPicPr>
                  </pic:nvPicPr>
                  <pic:blipFill>
                    <a:blip r:embed="rId15"/>
                    <a:stretch>
                      <a:fillRect/>
                    </a:stretch>
                  </pic:blipFill>
                  <pic:spPr>
                    <a:xfrm>
                      <a:off x="0" y="0"/>
                      <a:ext cx="6119495" cy="3312795"/>
                    </a:xfrm>
                    <a:prstGeom prst="rect">
                      <a:avLst/>
                    </a:prstGeom>
                    <a:noFill/>
                    <a:ln>
                      <a:noFill/>
                    </a:ln>
                  </pic:spPr>
                </pic:pic>
              </a:graphicData>
            </a:graphic>
          </wp:inline>
        </w:drawing>
      </w:r>
      <w:bookmarkEnd w:id="679"/>
    </w:p>
    <w:p w14:paraId="55222654">
      <w:pPr>
        <w:rPr>
          <w:rFonts w:ascii="仿宋" w:hAnsi="仿宋" w:eastAsia="仿宋" w:cs="微软雅黑"/>
          <w:color w:val="000000"/>
          <w:sz w:val="24"/>
          <w:highlight w:val="none"/>
        </w:rPr>
      </w:pPr>
      <w:r>
        <w:rPr>
          <w:rFonts w:hint="eastAsia" w:ascii="仿宋" w:hAnsi="仿宋" w:eastAsia="仿宋" w:cs="微软雅黑"/>
          <w:color w:val="000000"/>
          <w:sz w:val="24"/>
          <w:highlight w:val="none"/>
        </w:rPr>
        <w:t>（3）政府采购严重违法失信行为记录名单查询截图范例：</w:t>
      </w:r>
    </w:p>
    <w:p w14:paraId="7FC5AE96">
      <w:pPr>
        <w:rPr>
          <w:rFonts w:hint="eastAsia"/>
          <w:color w:val="000000"/>
          <w:highlight w:val="none"/>
        </w:rPr>
      </w:pPr>
      <w:r>
        <w:rPr>
          <w:rFonts w:ascii="仿宋" w:hAnsi="仿宋" w:eastAsia="仿宋"/>
          <w:color w:val="000000"/>
          <w:highlight w:val="none"/>
        </w:rPr>
        <w:drawing>
          <wp:inline distT="0" distB="0" distL="114300" distR="114300">
            <wp:extent cx="6109335" cy="3307715"/>
            <wp:effectExtent l="0" t="0" r="12065" b="6985"/>
            <wp:docPr id="4" name="图片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
                    <pic:cNvPicPr>
                      <a:picLocks noChangeAspect="1"/>
                    </pic:cNvPicPr>
                  </pic:nvPicPr>
                  <pic:blipFill>
                    <a:blip r:embed="rId16"/>
                    <a:stretch>
                      <a:fillRect/>
                    </a:stretch>
                  </pic:blipFill>
                  <pic:spPr>
                    <a:xfrm>
                      <a:off x="0" y="0"/>
                      <a:ext cx="6109335" cy="3307715"/>
                    </a:xfrm>
                    <a:prstGeom prst="rect">
                      <a:avLst/>
                    </a:prstGeom>
                    <a:noFill/>
                    <a:ln>
                      <a:noFill/>
                    </a:ln>
                  </pic:spPr>
                </pic:pic>
              </a:graphicData>
            </a:graphic>
          </wp:inline>
        </w:drawing>
      </w:r>
    </w:p>
    <w:p w14:paraId="701103FB">
      <w:pPr>
        <w:rPr>
          <w:rFonts w:ascii="仿宋" w:hAnsi="仿宋" w:eastAsia="仿宋"/>
          <w:color w:val="000000"/>
          <w:highlight w:val="none"/>
        </w:rPr>
      </w:pPr>
    </w:p>
    <w:p w14:paraId="120EE908">
      <w:pPr>
        <w:pStyle w:val="6"/>
        <w:rPr>
          <w:rFonts w:hint="eastAsia" w:ascii="仿宋" w:hAnsi="仿宋" w:cs="微软雅黑"/>
          <w:color w:val="000000"/>
          <w:szCs w:val="24"/>
          <w:highlight w:val="none"/>
        </w:rPr>
      </w:pPr>
      <w:r>
        <w:rPr>
          <w:color w:val="000000"/>
          <w:highlight w:val="none"/>
        </w:rPr>
        <w:br w:type="page"/>
      </w:r>
      <w:r>
        <w:rPr>
          <w:rFonts w:hint="eastAsia" w:ascii="仿宋" w:hAnsi="仿宋" w:cs="仿宋"/>
          <w:color w:val="000000"/>
          <w:highlight w:val="none"/>
          <w:lang w:val="en-US" w:eastAsia="zh-CN"/>
        </w:rPr>
        <w:t>6</w:t>
      </w:r>
      <w:r>
        <w:rPr>
          <w:rFonts w:hint="eastAsia"/>
          <w:color w:val="000000"/>
          <w:highlight w:val="none"/>
        </w:rPr>
        <w:t>、</w:t>
      </w:r>
      <w:r>
        <w:rPr>
          <w:rFonts w:hint="eastAsia" w:ascii="仿宋" w:hAnsi="仿宋" w:cs="微软雅黑"/>
          <w:color w:val="000000"/>
          <w:szCs w:val="24"/>
          <w:highlight w:val="none"/>
        </w:rPr>
        <w:t>未列入供应商黑名单且未在禁入期承诺函</w:t>
      </w:r>
    </w:p>
    <w:p w14:paraId="02160E2B">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招标人名称</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rPr>
        <w:t>：</w:t>
      </w:r>
    </w:p>
    <w:p w14:paraId="6442CBEE">
      <w:pPr>
        <w:adjustRightInd w:val="0"/>
        <w:snapToGrid w:val="0"/>
        <w:spacing w:before="240" w:line="360" w:lineRule="auto"/>
        <w:ind w:firstLine="480" w:firstLine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（投标人名称）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承诺截至本项目投标文件递交截止时间，我方未被列入招标人及其所隶属的中国人民保险各级机构的供应商黑名单且未在禁入期内。</w:t>
      </w:r>
    </w:p>
    <w:p w14:paraId="4CF2B6E9">
      <w:pPr>
        <w:pStyle w:val="12"/>
        <w:ind w:firstLine="480" w:firstLineChars="200"/>
        <w:rPr>
          <w:rFonts w:ascii="仿宋" w:hAnsi="仿宋" w:eastAsia="仿宋" w:cs="Cambria Math"/>
          <w:color w:val="000000"/>
          <w:sz w:val="24"/>
          <w:highlight w:val="none"/>
        </w:rPr>
      </w:pPr>
    </w:p>
    <w:p w14:paraId="116A5F67">
      <w:pPr>
        <w:pStyle w:val="12"/>
        <w:ind w:firstLine="480" w:firstLine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特此承诺。</w:t>
      </w:r>
    </w:p>
    <w:p w14:paraId="7016F9DA">
      <w:pPr>
        <w:pStyle w:val="124"/>
        <w:ind w:firstLine="640"/>
        <w:rPr>
          <w:rFonts w:ascii="仿宋" w:hAnsi="仿宋" w:eastAsia="仿宋"/>
          <w:highlight w:val="none"/>
        </w:rPr>
      </w:pPr>
    </w:p>
    <w:p w14:paraId="39DB34C9">
      <w:pPr>
        <w:spacing w:line="360" w:lineRule="auto"/>
        <w:ind w:firstLine="4080" w:firstLineChars="1700"/>
        <w:jc w:val="right"/>
        <w:rPr>
          <w:rFonts w:ascii="仿宋" w:hAnsi="仿宋" w:eastAsia="仿宋" w:cs="Cambria Math"/>
          <w:color w:val="000000"/>
          <w:sz w:val="24"/>
          <w:highlight w:val="none"/>
        </w:rPr>
      </w:pPr>
    </w:p>
    <w:p w14:paraId="68F1C5DD">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投标人名称：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6CBC41F4">
      <w:pPr>
        <w:spacing w:line="360" w:lineRule="auto"/>
        <w:jc w:val="right"/>
        <w:rPr>
          <w:rFonts w:hint="eastAsia" w:ascii="仿宋" w:hAnsi="仿宋" w:eastAsia="仿宋" w:cs="Cambria Math"/>
          <w:b/>
          <w:bCs/>
          <w:color w:val="000000"/>
          <w:sz w:val="24"/>
          <w:highlight w:val="none"/>
        </w:rPr>
      </w:pPr>
      <w:r>
        <w:rPr>
          <w:rFonts w:hint="eastAsia" w:ascii="仿宋" w:hAnsi="仿宋" w:eastAsia="仿宋" w:cs="Cambria Math"/>
          <w:color w:val="000000"/>
          <w:sz w:val="24"/>
          <w:highlight w:val="none"/>
        </w:rPr>
        <w:t>日期：</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年</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月</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日</w:t>
      </w:r>
    </w:p>
    <w:p w14:paraId="3E9E58A7">
      <w:pPr>
        <w:pStyle w:val="6"/>
        <w:rPr>
          <w:rFonts w:hint="eastAsia" w:ascii="仿宋" w:hAnsi="仿宋" w:cs="宋体"/>
          <w:color w:val="000000"/>
          <w:highlight w:val="none"/>
        </w:rPr>
      </w:pPr>
      <w:r>
        <w:rPr>
          <w:rFonts w:ascii="仿宋" w:hAnsi="仿宋" w:cs="宋体"/>
          <w:color w:val="000000"/>
          <w:szCs w:val="24"/>
          <w:highlight w:val="none"/>
        </w:rPr>
        <w:br w:type="page"/>
      </w:r>
      <w:r>
        <w:rPr>
          <w:rFonts w:hint="eastAsia" w:ascii="仿宋" w:hAnsi="仿宋" w:cs="宋体"/>
          <w:color w:val="000000"/>
          <w:highlight w:val="none"/>
          <w:lang w:val="en-US" w:eastAsia="zh-CN"/>
        </w:rPr>
        <w:t>7</w:t>
      </w:r>
      <w:r>
        <w:rPr>
          <w:rFonts w:hint="eastAsia" w:ascii="仿宋" w:hAnsi="仿宋" w:cs="宋体"/>
          <w:color w:val="000000"/>
          <w:highlight w:val="none"/>
        </w:rPr>
        <w:t>、投标人控股及管理关系情况申报表</w:t>
      </w:r>
    </w:p>
    <w:p w14:paraId="715AA80E">
      <w:pPr>
        <w:pStyle w:val="87"/>
        <w:spacing w:line="360" w:lineRule="auto"/>
        <w:ind w:firstLine="0" w:firstLineChars="0"/>
        <w:jc w:val="center"/>
        <w:rPr>
          <w:rFonts w:hint="eastAsia" w:ascii="仿宋" w:hAnsi="仿宋" w:eastAsia="仿宋" w:cs="宋体"/>
          <w:b/>
          <w:color w:val="000000"/>
          <w:sz w:val="24"/>
          <w:highlight w:val="none"/>
        </w:rPr>
      </w:pPr>
      <w:r>
        <w:rPr>
          <w:rFonts w:hint="eastAsia" w:ascii="仿宋" w:hAnsi="仿宋" w:eastAsia="仿宋" w:cs="宋体"/>
          <w:b/>
          <w:color w:val="000000"/>
          <w:sz w:val="24"/>
          <w:highlight w:val="none"/>
        </w:rPr>
        <w:t>投标人控股及管理关系情况申报表</w:t>
      </w:r>
    </w:p>
    <w:p w14:paraId="47718EDA">
      <w:pPr>
        <w:pStyle w:val="87"/>
        <w:spacing w:line="360" w:lineRule="auto"/>
        <w:ind w:firstLine="0" w:firstLineChars="0"/>
        <w:jc w:val="center"/>
        <w:rPr>
          <w:rFonts w:hint="eastAsia" w:ascii="仿宋" w:hAnsi="仿宋" w:eastAsia="仿宋" w:cs="宋体"/>
          <w:b/>
          <w:color w:val="000000"/>
          <w:sz w:val="24"/>
          <w:highlight w:val="none"/>
        </w:rPr>
      </w:pPr>
    </w:p>
    <w:p w14:paraId="54686D50">
      <w:pPr>
        <w:adjustRightInd w:val="0"/>
        <w:snapToGrid w:val="0"/>
        <w:spacing w:line="360" w:lineRule="auto"/>
        <w:ind w:left="0" w:leftChars="0" w:firstLine="0" w:firstLineChars="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致：</w:t>
      </w:r>
      <w:r>
        <w:rPr>
          <w:rFonts w:hint="eastAsia" w:ascii="仿宋" w:hAnsi="仿宋" w:eastAsia="仿宋" w:cs="宋体"/>
          <w:color w:val="000000"/>
          <w:sz w:val="24"/>
          <w:szCs w:val="24"/>
          <w:highlight w:val="none"/>
          <w:u w:val="single"/>
        </w:rPr>
        <w:t xml:space="preserve">  （招标人名称）  </w:t>
      </w:r>
      <w:r>
        <w:rPr>
          <w:rFonts w:hint="eastAsia" w:ascii="仿宋" w:hAnsi="仿宋" w:eastAsia="仿宋" w:cs="宋体"/>
          <w:color w:val="000000"/>
          <w:sz w:val="24"/>
          <w:szCs w:val="24"/>
          <w:highlight w:val="none"/>
        </w:rPr>
        <w:t>：</w:t>
      </w:r>
    </w:p>
    <w:p w14:paraId="709F72ED">
      <w:pPr>
        <w:adjustRightInd w:val="0"/>
        <w:snapToGrid w:val="0"/>
        <w:spacing w:line="360" w:lineRule="auto"/>
        <w:ind w:left="0" w:leftChars="0" w:right="-21" w:rightChars="-10" w:firstLine="420" w:firstLineChars="175"/>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我方参加</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（项目名称）的投标，根据法律法规维护投标公正性的相关规定，</w:t>
      </w:r>
      <w:r>
        <w:rPr>
          <w:rFonts w:hint="eastAsia" w:ascii="仿宋" w:hAnsi="仿宋" w:eastAsia="仿宋" w:cs="宋体"/>
          <w:color w:val="000000"/>
          <w:sz w:val="24"/>
          <w:szCs w:val="24"/>
          <w:highlight w:val="none"/>
          <w:lang w:val="en-US" w:eastAsia="zh-CN"/>
        </w:rPr>
        <w:t>我方与招标人之间</w:t>
      </w:r>
      <w:r>
        <w:rPr>
          <w:rFonts w:hint="eastAsia" w:ascii="仿宋" w:hAnsi="仿宋" w:eastAsia="仿宋" w:cs="宋体"/>
          <w:color w:val="auto"/>
          <w:sz w:val="24"/>
          <w:szCs w:val="24"/>
          <w:highlight w:val="none"/>
          <w:lang w:val="en-US" w:eastAsia="zh-CN"/>
        </w:rPr>
        <w:t>不存在利害关系可</w:t>
      </w:r>
      <w:r>
        <w:rPr>
          <w:rFonts w:hint="eastAsia" w:ascii="仿宋" w:hAnsi="仿宋" w:eastAsia="仿宋" w:cs="宋体"/>
          <w:color w:val="000000"/>
          <w:sz w:val="24"/>
          <w:szCs w:val="24"/>
          <w:highlight w:val="none"/>
          <w:lang w:val="en-US" w:eastAsia="zh-CN"/>
        </w:rPr>
        <w:t>能影响招标公正性的法人、其他组织或者个人，</w:t>
      </w:r>
      <w:r>
        <w:rPr>
          <w:rFonts w:hint="eastAsia" w:ascii="仿宋" w:hAnsi="仿宋" w:eastAsia="仿宋" w:cs="宋体"/>
          <w:color w:val="000000"/>
          <w:sz w:val="24"/>
          <w:szCs w:val="24"/>
          <w:highlight w:val="none"/>
        </w:rPr>
        <w:t>特就本单位控股及管理关系情况申报如下</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rPr>
        <w:t>并承担申报不实的责任</w:t>
      </w:r>
      <w:r>
        <w:rPr>
          <w:rFonts w:hint="eastAsia" w:ascii="仿宋" w:hAnsi="仿宋" w:eastAsia="仿宋" w:cs="宋体"/>
          <w:color w:val="000000"/>
          <w:sz w:val="24"/>
          <w:szCs w:val="24"/>
          <w:highlight w:val="none"/>
          <w:lang w:eastAsia="zh-CN"/>
        </w:rPr>
        <w:t>。</w:t>
      </w:r>
      <w:r>
        <w:rPr>
          <w:rFonts w:hint="eastAsia" w:ascii="仿宋" w:hAnsi="仿宋" w:eastAsia="仿宋" w:cs="宋体"/>
          <w:color w:val="000000"/>
          <w:sz w:val="24"/>
          <w:szCs w:val="24"/>
          <w:highlight w:val="none"/>
          <w:lang w:val="en-US" w:eastAsia="zh-CN"/>
        </w:rPr>
        <w:t>如我方中标该项目并签署合同后，一旦发现我方申报不实，招标人可无条件终止合同</w:t>
      </w:r>
      <w:r>
        <w:rPr>
          <w:rFonts w:hint="eastAsia" w:ascii="仿宋" w:hAnsi="仿宋" w:eastAsia="仿宋" w:cs="宋体"/>
          <w:color w:val="000000"/>
          <w:sz w:val="24"/>
          <w:szCs w:val="24"/>
          <w:highlight w:val="none"/>
        </w:rPr>
        <w:t>。</w:t>
      </w:r>
    </w:p>
    <w:tbl>
      <w:tblPr>
        <w:tblStyle w:val="32"/>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14:paraId="4E9C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noWrap w:val="0"/>
            <w:vAlign w:val="center"/>
          </w:tcPr>
          <w:p w14:paraId="49A5FAE5">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rPr>
              <w:t>申报人名称</w:t>
            </w:r>
          </w:p>
        </w:tc>
        <w:tc>
          <w:tcPr>
            <w:tcW w:w="7926" w:type="dxa"/>
            <w:gridSpan w:val="2"/>
            <w:noWrap w:val="0"/>
            <w:vAlign w:val="center"/>
          </w:tcPr>
          <w:p w14:paraId="37A8FBC2">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73348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926" w:type="dxa"/>
            <w:vMerge w:val="restart"/>
            <w:noWrap w:val="0"/>
            <w:vAlign w:val="center"/>
          </w:tcPr>
          <w:p w14:paraId="4003F6C2">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rPr>
              <w:t>法定代表人/单位负责人</w:t>
            </w:r>
          </w:p>
        </w:tc>
        <w:tc>
          <w:tcPr>
            <w:tcW w:w="2356" w:type="dxa"/>
            <w:noWrap w:val="0"/>
            <w:vAlign w:val="center"/>
          </w:tcPr>
          <w:p w14:paraId="76684CFB">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rPr>
              <w:t>姓    名</w:t>
            </w:r>
          </w:p>
        </w:tc>
        <w:tc>
          <w:tcPr>
            <w:tcW w:w="5570" w:type="dxa"/>
            <w:noWrap w:val="0"/>
            <w:vAlign w:val="center"/>
          </w:tcPr>
          <w:p w14:paraId="136EB787">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2B0CB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926" w:type="dxa"/>
            <w:vMerge w:val="continue"/>
            <w:noWrap w:val="0"/>
            <w:vAlign w:val="center"/>
          </w:tcPr>
          <w:p w14:paraId="17DF4B0C">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c>
          <w:tcPr>
            <w:tcW w:w="2356" w:type="dxa"/>
            <w:noWrap w:val="0"/>
            <w:vAlign w:val="center"/>
          </w:tcPr>
          <w:p w14:paraId="4FF68E98">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rPr>
              <w:t>身份证号</w:t>
            </w:r>
          </w:p>
        </w:tc>
        <w:tc>
          <w:tcPr>
            <w:tcW w:w="5570" w:type="dxa"/>
            <w:noWrap w:val="0"/>
            <w:vAlign w:val="center"/>
          </w:tcPr>
          <w:p w14:paraId="4A96AADA">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25BD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noWrap w:val="0"/>
            <w:vAlign w:val="center"/>
          </w:tcPr>
          <w:p w14:paraId="0FFB01AB">
            <w:pPr>
              <w:keepNext w:val="0"/>
              <w:keepLines w:val="0"/>
              <w:suppressLineNumbers w:val="0"/>
              <w:adjustRightInd w:val="0"/>
              <w:snapToGrid w:val="0"/>
              <w:spacing w:before="0" w:beforeAutospacing="0" w:after="0" w:afterAutospacing="0" w:line="440" w:lineRule="exact"/>
              <w:ind w:left="0" w:right="0"/>
              <w:rPr>
                <w:rFonts w:hint="default" w:ascii="仿宋" w:hAnsi="仿宋" w:eastAsia="仿宋" w:cs="宋体"/>
                <w:color w:val="000000"/>
                <w:szCs w:val="20"/>
                <w:highlight w:val="none"/>
                <w:lang w:val="en-US" w:eastAsia="zh-CN"/>
              </w:rPr>
            </w:pPr>
            <w:r>
              <w:rPr>
                <w:rFonts w:hint="eastAsia" w:ascii="仿宋" w:hAnsi="仿宋" w:eastAsia="仿宋" w:cs="宋体"/>
                <w:color w:val="000000"/>
                <w:szCs w:val="20"/>
                <w:highlight w:val="none"/>
                <w:lang w:val="en-US" w:eastAsia="zh-CN"/>
              </w:rPr>
              <w:t>单位负责人为同一人单位名称</w:t>
            </w:r>
          </w:p>
        </w:tc>
        <w:tc>
          <w:tcPr>
            <w:tcW w:w="7926" w:type="dxa"/>
            <w:gridSpan w:val="2"/>
            <w:noWrap w:val="0"/>
            <w:vAlign w:val="center"/>
          </w:tcPr>
          <w:p w14:paraId="64D158B1">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7618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1926" w:type="dxa"/>
            <w:vMerge w:val="restart"/>
            <w:noWrap w:val="0"/>
            <w:vAlign w:val="center"/>
          </w:tcPr>
          <w:p w14:paraId="7C0CA836">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lang w:eastAsia="zh-CN"/>
              </w:rPr>
            </w:pPr>
            <w:r>
              <w:rPr>
                <w:rFonts w:hint="eastAsia" w:ascii="仿宋" w:hAnsi="仿宋" w:eastAsia="仿宋" w:cs="宋体"/>
                <w:color w:val="000000"/>
                <w:szCs w:val="20"/>
                <w:highlight w:val="none"/>
              </w:rPr>
              <w:t>控股</w:t>
            </w:r>
            <w:r>
              <w:rPr>
                <w:rFonts w:hint="eastAsia" w:ascii="仿宋" w:hAnsi="仿宋" w:eastAsia="仿宋" w:cs="宋体"/>
                <w:color w:val="000000"/>
                <w:szCs w:val="20"/>
                <w:highlight w:val="none"/>
                <w:lang w:val="en-US" w:eastAsia="zh-CN"/>
              </w:rPr>
              <w:t>关系</w:t>
            </w:r>
          </w:p>
        </w:tc>
        <w:tc>
          <w:tcPr>
            <w:tcW w:w="2356" w:type="dxa"/>
            <w:noWrap w:val="0"/>
            <w:vAlign w:val="center"/>
          </w:tcPr>
          <w:p w14:paraId="3CD58D11">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rPr>
              <w:t>控股股东/投资人名称及出资比例</w:t>
            </w:r>
          </w:p>
        </w:tc>
        <w:tc>
          <w:tcPr>
            <w:tcW w:w="5570" w:type="dxa"/>
            <w:noWrap w:val="0"/>
            <w:vAlign w:val="center"/>
          </w:tcPr>
          <w:p w14:paraId="11B56252">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77807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1926" w:type="dxa"/>
            <w:vMerge w:val="continue"/>
            <w:noWrap w:val="0"/>
            <w:vAlign w:val="center"/>
          </w:tcPr>
          <w:p w14:paraId="05E17029">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c>
          <w:tcPr>
            <w:tcW w:w="2356" w:type="dxa"/>
            <w:noWrap w:val="0"/>
            <w:vAlign w:val="center"/>
          </w:tcPr>
          <w:p w14:paraId="52FB799D">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r>
              <w:rPr>
                <w:rFonts w:hint="eastAsia" w:ascii="仿宋" w:hAnsi="仿宋" w:eastAsia="仿宋" w:cs="宋体"/>
                <w:color w:val="000000"/>
                <w:szCs w:val="20"/>
                <w:highlight w:val="none"/>
                <w:lang w:val="en-US" w:eastAsia="zh-CN"/>
              </w:rPr>
              <w:t>被</w:t>
            </w:r>
            <w:r>
              <w:rPr>
                <w:rFonts w:hint="eastAsia" w:ascii="仿宋" w:hAnsi="仿宋" w:eastAsia="仿宋" w:cs="宋体"/>
                <w:color w:val="000000"/>
                <w:szCs w:val="20"/>
                <w:highlight w:val="none"/>
              </w:rPr>
              <w:t>控股/</w:t>
            </w:r>
            <w:r>
              <w:rPr>
                <w:rFonts w:hint="eastAsia" w:ascii="仿宋" w:hAnsi="仿宋" w:eastAsia="仿宋" w:cs="宋体"/>
                <w:color w:val="000000"/>
                <w:szCs w:val="20"/>
                <w:highlight w:val="none"/>
                <w:lang w:val="en-US" w:eastAsia="zh-CN"/>
              </w:rPr>
              <w:t>被</w:t>
            </w:r>
            <w:r>
              <w:rPr>
                <w:rFonts w:hint="eastAsia" w:ascii="仿宋" w:hAnsi="仿宋" w:eastAsia="仿宋" w:cs="宋体"/>
                <w:color w:val="000000"/>
                <w:szCs w:val="20"/>
                <w:highlight w:val="none"/>
              </w:rPr>
              <w:t>投资</w:t>
            </w:r>
            <w:r>
              <w:rPr>
                <w:rFonts w:hint="eastAsia" w:ascii="仿宋" w:hAnsi="仿宋" w:eastAsia="仿宋" w:cs="宋体"/>
                <w:color w:val="000000"/>
                <w:szCs w:val="20"/>
                <w:highlight w:val="none"/>
                <w:lang w:val="en-US" w:eastAsia="zh-CN"/>
              </w:rPr>
              <w:t>单位</w:t>
            </w:r>
            <w:r>
              <w:rPr>
                <w:rFonts w:hint="eastAsia" w:ascii="仿宋" w:hAnsi="仿宋" w:eastAsia="仿宋" w:cs="宋体"/>
                <w:color w:val="000000"/>
                <w:szCs w:val="20"/>
                <w:highlight w:val="none"/>
              </w:rPr>
              <w:t>名称及出资比例</w:t>
            </w:r>
          </w:p>
        </w:tc>
        <w:tc>
          <w:tcPr>
            <w:tcW w:w="5570" w:type="dxa"/>
            <w:noWrap w:val="0"/>
            <w:vAlign w:val="center"/>
          </w:tcPr>
          <w:p w14:paraId="2535C866">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highlight w:val="none"/>
              </w:rPr>
            </w:pPr>
          </w:p>
        </w:tc>
      </w:tr>
      <w:tr w14:paraId="0A976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926" w:type="dxa"/>
            <w:vMerge w:val="restart"/>
            <w:noWrap w:val="0"/>
            <w:vAlign w:val="center"/>
          </w:tcPr>
          <w:p w14:paraId="55C8AE3E">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r>
              <w:rPr>
                <w:rFonts w:hint="eastAsia" w:ascii="仿宋" w:hAnsi="仿宋" w:eastAsia="仿宋" w:cs="宋体"/>
                <w:color w:val="000000"/>
                <w:szCs w:val="20"/>
              </w:rPr>
              <w:t>管理关系</w:t>
            </w:r>
          </w:p>
        </w:tc>
        <w:tc>
          <w:tcPr>
            <w:tcW w:w="2356" w:type="dxa"/>
            <w:noWrap w:val="0"/>
            <w:vAlign w:val="center"/>
          </w:tcPr>
          <w:p w14:paraId="594AED7F">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r>
              <w:rPr>
                <w:rFonts w:hint="eastAsia" w:ascii="仿宋" w:hAnsi="仿宋" w:eastAsia="仿宋" w:cs="宋体"/>
                <w:color w:val="000000"/>
                <w:szCs w:val="20"/>
              </w:rPr>
              <w:t>管理关系单位名称</w:t>
            </w:r>
          </w:p>
        </w:tc>
        <w:tc>
          <w:tcPr>
            <w:tcW w:w="5570" w:type="dxa"/>
            <w:noWrap w:val="0"/>
            <w:vAlign w:val="center"/>
          </w:tcPr>
          <w:p w14:paraId="6AA5987C">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p>
        </w:tc>
      </w:tr>
      <w:tr w14:paraId="7B0C8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926" w:type="dxa"/>
            <w:vMerge w:val="continue"/>
            <w:noWrap w:val="0"/>
            <w:vAlign w:val="center"/>
          </w:tcPr>
          <w:p w14:paraId="0FC6FFE2">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p>
        </w:tc>
        <w:tc>
          <w:tcPr>
            <w:tcW w:w="2356" w:type="dxa"/>
            <w:noWrap w:val="0"/>
            <w:vAlign w:val="center"/>
          </w:tcPr>
          <w:p w14:paraId="6CC1A4D9">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r>
              <w:rPr>
                <w:rFonts w:hint="eastAsia" w:ascii="仿宋" w:hAnsi="仿宋" w:eastAsia="仿宋" w:cs="宋体"/>
                <w:color w:val="000000"/>
                <w:szCs w:val="20"/>
              </w:rPr>
              <w:t>被管理关系单位名称</w:t>
            </w:r>
          </w:p>
        </w:tc>
        <w:tc>
          <w:tcPr>
            <w:tcW w:w="5570" w:type="dxa"/>
            <w:noWrap w:val="0"/>
            <w:vAlign w:val="center"/>
          </w:tcPr>
          <w:p w14:paraId="5E6DE62E">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p>
        </w:tc>
      </w:tr>
      <w:tr w14:paraId="418F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852" w:type="dxa"/>
            <w:gridSpan w:val="3"/>
            <w:noWrap w:val="0"/>
            <w:vAlign w:val="center"/>
          </w:tcPr>
          <w:p w14:paraId="41FB9535">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宋体"/>
                <w:color w:val="000000"/>
                <w:szCs w:val="20"/>
              </w:rPr>
            </w:pPr>
            <w:r>
              <w:rPr>
                <w:rFonts w:hint="eastAsia" w:ascii="仿宋" w:hAnsi="仿宋" w:eastAsia="仿宋" w:cs="宋体"/>
                <w:color w:val="000000"/>
                <w:szCs w:val="20"/>
              </w:rPr>
              <w:t>备注：</w:t>
            </w:r>
          </w:p>
        </w:tc>
      </w:tr>
    </w:tbl>
    <w:p w14:paraId="1539E432">
      <w:pPr>
        <w:adjustRightInd w:val="0"/>
        <w:snapToGrid w:val="0"/>
        <w:spacing w:line="360" w:lineRule="auto"/>
        <w:ind w:left="0" w:leftChars="0" w:firstLine="0" w:firstLineChars="0"/>
        <w:rPr>
          <w:rFonts w:hint="eastAsia" w:ascii="仿宋" w:hAnsi="仿宋" w:eastAsia="仿宋" w:cs="宋体"/>
          <w:color w:val="000000"/>
          <w:sz w:val="24"/>
        </w:rPr>
      </w:pPr>
      <w:r>
        <w:rPr>
          <w:rFonts w:hint="eastAsia" w:ascii="仿宋" w:hAnsi="仿宋" w:eastAsia="仿宋" w:cs="宋体"/>
          <w:color w:val="000000"/>
          <w:sz w:val="24"/>
          <w:szCs w:val="24"/>
        </w:rPr>
        <w:t>注</w:t>
      </w:r>
      <w:r>
        <w:rPr>
          <w:rFonts w:hint="eastAsia" w:ascii="仿宋" w:hAnsi="仿宋" w:eastAsia="仿宋" w:cs="宋体"/>
          <w:color w:val="000000"/>
          <w:sz w:val="24"/>
          <w:szCs w:val="24"/>
          <w:lang w:val="en-US" w:eastAsia="zh-CN"/>
        </w:rPr>
        <w:t xml:space="preserve"> </w:t>
      </w:r>
      <w:r>
        <w:rPr>
          <w:rFonts w:hint="eastAsia" w:ascii="仿宋" w:hAnsi="仿宋" w:eastAsia="仿宋" w:cs="宋体"/>
          <w:color w:val="000000"/>
          <w:sz w:val="24"/>
          <w:szCs w:val="24"/>
        </w:rPr>
        <w:t>：</w:t>
      </w:r>
      <w:r>
        <w:rPr>
          <w:rFonts w:hint="eastAsia" w:ascii="仿宋" w:hAnsi="仿宋" w:eastAsia="仿宋" w:cs="宋体"/>
          <w:color w:val="000000"/>
          <w:sz w:val="24"/>
          <w:szCs w:val="24"/>
          <w:lang w:val="en-US" w:eastAsia="zh-CN"/>
        </w:rPr>
        <w:t>1.</w:t>
      </w:r>
      <w:r>
        <w:rPr>
          <w:rFonts w:hint="eastAsia" w:ascii="仿宋" w:hAnsi="仿宋" w:eastAsia="仿宋" w:cs="宋体"/>
          <w:color w:val="000000"/>
          <w:sz w:val="24"/>
        </w:rPr>
        <w:t>控股股东/投资人是指出资比例在50%以上，或者出资比例不足50%，但享有公司股东会/董事会控制权的投资方（含单位或者个人）；</w:t>
      </w:r>
    </w:p>
    <w:p w14:paraId="1C098779">
      <w:pPr>
        <w:pStyle w:val="140"/>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2.</w:t>
      </w:r>
      <w:r>
        <w:rPr>
          <w:rFonts w:hint="eastAsia" w:ascii="仿宋" w:hAnsi="仿宋" w:eastAsia="仿宋" w:cs="宋体"/>
          <w:color w:val="000000"/>
          <w:sz w:val="24"/>
        </w:rPr>
        <w:t xml:space="preserve">管理关系单位是指与不具有出资持股关系的其他单位之间存在管理与被管理关系的单位； </w:t>
      </w:r>
    </w:p>
    <w:p w14:paraId="25914DFE">
      <w:pPr>
        <w:pStyle w:val="140"/>
        <w:numPr>
          <w:ilvl w:val="0"/>
          <w:numId w:val="0"/>
        </w:numPr>
        <w:adjustRightInd w:val="0"/>
        <w:snapToGrid w:val="0"/>
        <w:spacing w:line="360" w:lineRule="auto"/>
        <w:ind w:leftChars="0"/>
        <w:rPr>
          <w:rFonts w:hint="eastAsia" w:ascii="仿宋" w:hAnsi="仿宋" w:eastAsia="仿宋" w:cs="宋体"/>
          <w:color w:val="000000"/>
          <w:sz w:val="24"/>
        </w:rPr>
      </w:pPr>
      <w:r>
        <w:rPr>
          <w:rFonts w:hint="eastAsia" w:ascii="仿宋" w:hAnsi="仿宋" w:eastAsia="仿宋" w:cs="宋体"/>
          <w:color w:val="000000"/>
          <w:sz w:val="24"/>
          <w:lang w:val="en-US" w:eastAsia="zh-CN"/>
        </w:rPr>
        <w:t>3.</w:t>
      </w:r>
      <w:r>
        <w:rPr>
          <w:rFonts w:hint="eastAsia" w:ascii="仿宋" w:hAnsi="仿宋" w:eastAsia="仿宋" w:cs="宋体"/>
          <w:color w:val="000000"/>
          <w:sz w:val="24"/>
        </w:rPr>
        <w:t>如未有相关情况，请在相应栏填写“无”。</w:t>
      </w:r>
    </w:p>
    <w:p w14:paraId="673C75A2">
      <w:pPr>
        <w:spacing w:line="360" w:lineRule="auto"/>
        <w:ind w:left="480" w:hanging="480" w:hangingChars="200"/>
        <w:rPr>
          <w:rFonts w:hint="eastAsia" w:ascii="仿宋" w:hAnsi="仿宋" w:eastAsia="仿宋" w:cs="宋体"/>
          <w:color w:val="000000"/>
          <w:sz w:val="24"/>
          <w:szCs w:val="24"/>
        </w:rPr>
      </w:pPr>
    </w:p>
    <w:p w14:paraId="7ED544A3">
      <w:pPr>
        <w:spacing w:line="360" w:lineRule="auto"/>
        <w:ind w:firstLine="4080" w:firstLineChars="1700"/>
        <w:jc w:val="right"/>
        <w:rPr>
          <w:rFonts w:hint="eastAsia" w:ascii="仿宋" w:hAnsi="仿宋" w:eastAsia="仿宋" w:cs="宋体"/>
          <w:color w:val="000000"/>
          <w:sz w:val="24"/>
          <w:szCs w:val="24"/>
        </w:rPr>
      </w:pPr>
      <w:r>
        <w:rPr>
          <w:rFonts w:hint="eastAsia" w:ascii="仿宋" w:hAnsi="仿宋" w:eastAsia="仿宋" w:cs="宋体"/>
          <w:color w:val="000000"/>
          <w:sz w:val="24"/>
          <w:szCs w:val="24"/>
        </w:rPr>
        <w:t>投标人名称：</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（盖章）</w:t>
      </w:r>
    </w:p>
    <w:p w14:paraId="7D077B43">
      <w:pPr>
        <w:spacing w:line="360" w:lineRule="auto"/>
        <w:jc w:val="right"/>
      </w:pPr>
      <w:r>
        <w:rPr>
          <w:rFonts w:hint="eastAsia" w:ascii="仿宋" w:hAnsi="仿宋" w:eastAsia="仿宋" w:cs="宋体"/>
          <w:color w:val="000000"/>
          <w:sz w:val="24"/>
          <w:szCs w:val="24"/>
        </w:rPr>
        <w:t>日期：</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年</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月</w:t>
      </w:r>
      <w:r>
        <w:rPr>
          <w:rFonts w:hint="eastAsia" w:ascii="仿宋" w:hAnsi="仿宋" w:eastAsia="仿宋" w:cs="宋体"/>
          <w:color w:val="000000"/>
          <w:sz w:val="24"/>
          <w:szCs w:val="24"/>
          <w:u w:val="single"/>
        </w:rPr>
        <w:t xml:space="preserve">   </w:t>
      </w:r>
      <w:r>
        <w:rPr>
          <w:rFonts w:hint="eastAsia" w:ascii="仿宋" w:hAnsi="仿宋" w:eastAsia="仿宋" w:cs="宋体"/>
          <w:color w:val="000000"/>
          <w:sz w:val="24"/>
          <w:szCs w:val="24"/>
        </w:rPr>
        <w:t>日</w:t>
      </w:r>
    </w:p>
    <w:p w14:paraId="7F35BA83">
      <w:pPr>
        <w:pStyle w:val="6"/>
        <w:numPr>
          <w:ilvl w:val="0"/>
          <w:numId w:val="0"/>
        </w:numPr>
        <w:bidi w:val="0"/>
        <w:rPr>
          <w:rFonts w:hint="eastAsia" w:ascii="仿宋" w:hAnsi="仿宋" w:eastAsia="仿宋" w:cs="仿宋"/>
          <w:b/>
          <w:bCs/>
          <w:color w:val="000000"/>
          <w:szCs w:val="24"/>
          <w:highlight w:val="none"/>
        </w:rPr>
      </w:pPr>
      <w:r>
        <w:rPr>
          <w:rFonts w:hint="eastAsia" w:ascii="仿宋" w:hAnsi="仿宋" w:cs="宋体"/>
          <w:color w:val="000000"/>
          <w:szCs w:val="24"/>
          <w:highlight w:val="none"/>
        </w:rPr>
        <w:br w:type="page"/>
      </w:r>
      <w:r>
        <w:rPr>
          <w:rFonts w:hint="eastAsia" w:ascii="仿宋" w:hAnsi="仿宋" w:cs="宋体"/>
          <w:color w:val="000000"/>
          <w:szCs w:val="24"/>
          <w:highlight w:val="none"/>
          <w:lang w:val="en-US" w:eastAsia="zh-CN"/>
        </w:rPr>
        <w:t>8-</w:t>
      </w:r>
      <w:r>
        <w:rPr>
          <w:rFonts w:hint="eastAsia" w:ascii="仿宋" w:hAnsi="仿宋" w:eastAsia="仿宋" w:cs="仿宋"/>
          <w:b/>
          <w:bCs/>
          <w:color w:val="000000"/>
          <w:szCs w:val="24"/>
          <w:highlight w:val="none"/>
        </w:rPr>
        <w:t>非联合体投标声明</w:t>
      </w:r>
    </w:p>
    <w:p w14:paraId="594227CE">
      <w:pPr>
        <w:pStyle w:val="12"/>
        <w:spacing w:before="240"/>
        <w:jc w:val="center"/>
        <w:rPr>
          <w:rFonts w:hint="eastAsia" w:ascii="仿宋" w:hAnsi="仿宋" w:eastAsia="仿宋" w:cs="Cambria Math"/>
          <w:b/>
          <w:bCs/>
          <w:color w:val="000000"/>
          <w:sz w:val="24"/>
          <w:highlight w:val="none"/>
        </w:rPr>
      </w:pPr>
    </w:p>
    <w:p w14:paraId="7984911E">
      <w:pPr>
        <w:pStyle w:val="12"/>
        <w:spacing w:before="240"/>
        <w:jc w:val="center"/>
        <w:rPr>
          <w:rFonts w:hint="eastAsia" w:ascii="仿宋" w:hAnsi="仿宋" w:eastAsia="仿宋" w:cs="Cambria Math"/>
          <w:b/>
          <w:bCs/>
          <w:color w:val="000000"/>
          <w:sz w:val="24"/>
          <w:highlight w:val="none"/>
        </w:rPr>
      </w:pPr>
      <w:r>
        <w:rPr>
          <w:rFonts w:hint="eastAsia" w:ascii="仿宋" w:hAnsi="仿宋" w:eastAsia="仿宋" w:cs="Cambria Math"/>
          <w:b/>
          <w:bCs/>
          <w:color w:val="000000"/>
          <w:sz w:val="24"/>
          <w:highlight w:val="none"/>
        </w:rPr>
        <w:t>非联合体投标声明</w:t>
      </w:r>
    </w:p>
    <w:p w14:paraId="59A84FFA">
      <w:pPr>
        <w:adjustRightInd w:val="0"/>
        <w:snapToGrid w:val="0"/>
        <w:spacing w:before="240" w:line="360" w:lineRule="auto"/>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致：</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lang w:val="en-US" w:eastAsia="zh-CN"/>
        </w:rPr>
        <w:t>招标人</w:t>
      </w:r>
      <w:r>
        <w:rPr>
          <w:rFonts w:hint="eastAsia" w:ascii="仿宋" w:hAnsi="仿宋" w:eastAsia="仿宋" w:cs="Cambria Math"/>
          <w:color w:val="000000"/>
          <w:sz w:val="24"/>
          <w:highlight w:val="none"/>
          <w:u w:val="single"/>
          <w:lang w:eastAsia="zh-CN"/>
        </w:rPr>
        <w:t>）</w:t>
      </w:r>
      <w:r>
        <w:rPr>
          <w:rFonts w:hint="eastAsia" w:ascii="仿宋" w:hAnsi="仿宋" w:eastAsia="仿宋" w:cs="Cambria Math"/>
          <w:color w:val="000000"/>
          <w:sz w:val="24"/>
          <w:highlight w:val="none"/>
          <w:u w:val="single"/>
        </w:rPr>
        <w:t>：</w:t>
      </w:r>
    </w:p>
    <w:p w14:paraId="4A1777C3">
      <w:pPr>
        <w:adjustRightInd w:val="0"/>
        <w:snapToGrid w:val="0"/>
        <w:spacing w:before="240" w:line="360" w:lineRule="auto"/>
        <w:ind w:firstLine="480" w:firstLineChars="200"/>
        <w:rPr>
          <w:rFonts w:ascii="仿宋" w:hAnsi="仿宋" w:eastAsia="仿宋" w:cs="Cambria Math"/>
          <w:color w:val="000000"/>
          <w:sz w:val="24"/>
          <w:highlight w:val="none"/>
        </w:rPr>
      </w:pPr>
      <w:r>
        <w:rPr>
          <w:rFonts w:hint="eastAsia" w:ascii="仿宋" w:hAnsi="仿宋" w:eastAsia="仿宋" w:cs="Cambria Math"/>
          <w:color w:val="000000"/>
          <w:sz w:val="24"/>
          <w:highlight w:val="none"/>
        </w:rPr>
        <w:t>我方</w:t>
      </w:r>
      <w:r>
        <w:rPr>
          <w:rFonts w:hint="eastAsia" w:ascii="仿宋" w:hAnsi="仿宋" w:eastAsia="仿宋" w:cs="Cambria Math"/>
          <w:color w:val="000000"/>
          <w:sz w:val="24"/>
          <w:highlight w:val="none"/>
          <w:u w:val="single"/>
        </w:rPr>
        <w:t xml:space="preserve">     </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（投标人名称）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独立参与</w:t>
      </w:r>
      <w:r>
        <w:rPr>
          <w:rFonts w:hint="eastAsia" w:ascii="仿宋" w:hAnsi="仿宋" w:eastAsia="仿宋" w:cs="Cambria Math"/>
          <w:color w:val="000000"/>
          <w:sz w:val="24"/>
          <w:highlight w:val="none"/>
          <w:u w:val="single"/>
        </w:rPr>
        <w:t xml:space="preserve">    （项目名称）</w:t>
      </w:r>
      <w:r>
        <w:rPr>
          <w:rFonts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u w:val="single"/>
        </w:rPr>
        <w:t>的</w:t>
      </w:r>
      <w:r>
        <w:rPr>
          <w:rFonts w:hint="eastAsia" w:ascii="仿宋" w:hAnsi="仿宋" w:eastAsia="仿宋" w:cs="Cambria Math"/>
          <w:color w:val="000000"/>
          <w:sz w:val="24"/>
          <w:highlight w:val="none"/>
        </w:rPr>
        <w:t>投标，非联合体参与投标。</w:t>
      </w:r>
      <w:r>
        <w:rPr>
          <w:rFonts w:ascii="仿宋" w:hAnsi="仿宋" w:eastAsia="仿宋" w:cs="Cambria Math"/>
          <w:color w:val="000000"/>
          <w:sz w:val="24"/>
          <w:highlight w:val="none"/>
        </w:rPr>
        <w:t xml:space="preserve"> </w:t>
      </w:r>
    </w:p>
    <w:p w14:paraId="1C6A5C53">
      <w:pPr>
        <w:pStyle w:val="12"/>
        <w:ind w:firstLine="480" w:firstLineChars="200"/>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特此声明。</w:t>
      </w:r>
    </w:p>
    <w:p w14:paraId="470FBF12">
      <w:pPr>
        <w:pStyle w:val="124"/>
        <w:ind w:firstLine="640"/>
        <w:rPr>
          <w:rFonts w:ascii="仿宋" w:hAnsi="仿宋" w:eastAsia="仿宋"/>
          <w:highlight w:val="none"/>
        </w:rPr>
      </w:pPr>
    </w:p>
    <w:p w14:paraId="1E5BCCCD">
      <w:pPr>
        <w:pStyle w:val="124"/>
        <w:ind w:firstLine="640"/>
        <w:rPr>
          <w:rFonts w:ascii="仿宋" w:hAnsi="仿宋" w:eastAsia="仿宋"/>
          <w:highlight w:val="none"/>
        </w:rPr>
      </w:pPr>
    </w:p>
    <w:p w14:paraId="53700936">
      <w:pPr>
        <w:pStyle w:val="124"/>
        <w:ind w:firstLine="640"/>
        <w:rPr>
          <w:rFonts w:ascii="仿宋" w:hAnsi="仿宋" w:eastAsia="仿宋"/>
          <w:highlight w:val="none"/>
        </w:rPr>
      </w:pPr>
    </w:p>
    <w:p w14:paraId="7882AFDF">
      <w:pPr>
        <w:pStyle w:val="124"/>
        <w:ind w:firstLine="640"/>
        <w:rPr>
          <w:rFonts w:ascii="仿宋" w:hAnsi="仿宋" w:eastAsia="仿宋"/>
          <w:highlight w:val="none"/>
        </w:rPr>
      </w:pPr>
    </w:p>
    <w:p w14:paraId="739D9423">
      <w:pPr>
        <w:pStyle w:val="124"/>
        <w:ind w:firstLine="640"/>
        <w:rPr>
          <w:rFonts w:ascii="仿宋" w:hAnsi="仿宋" w:eastAsia="仿宋"/>
          <w:highlight w:val="none"/>
        </w:rPr>
      </w:pPr>
    </w:p>
    <w:p w14:paraId="5CE4944F">
      <w:pPr>
        <w:pStyle w:val="124"/>
        <w:ind w:firstLine="640"/>
        <w:rPr>
          <w:rFonts w:hint="eastAsia" w:ascii="仿宋" w:hAnsi="仿宋" w:eastAsia="仿宋"/>
          <w:highlight w:val="none"/>
        </w:rPr>
      </w:pPr>
    </w:p>
    <w:p w14:paraId="5F0312DA">
      <w:pPr>
        <w:spacing w:line="360" w:lineRule="auto"/>
        <w:ind w:firstLine="4080" w:firstLineChars="1700"/>
        <w:jc w:val="right"/>
        <w:rPr>
          <w:rFonts w:hint="eastAsia" w:ascii="仿宋" w:hAnsi="仿宋" w:eastAsia="仿宋" w:cs="Cambria Math"/>
          <w:color w:val="000000"/>
          <w:sz w:val="24"/>
          <w:highlight w:val="none"/>
        </w:rPr>
      </w:pPr>
      <w:r>
        <w:rPr>
          <w:rFonts w:hint="eastAsia" w:ascii="仿宋" w:hAnsi="仿宋" w:eastAsia="仿宋" w:cs="Cambria Math"/>
          <w:color w:val="000000"/>
          <w:sz w:val="24"/>
          <w:highlight w:val="none"/>
        </w:rPr>
        <w:t>投标人名称：</w:t>
      </w:r>
      <w:r>
        <w:rPr>
          <w:rFonts w:hint="eastAsia" w:ascii="仿宋" w:hAnsi="仿宋" w:eastAsia="仿宋" w:cs="Cambria Math"/>
          <w:color w:val="000000"/>
          <w:sz w:val="24"/>
          <w:highlight w:val="none"/>
          <w:u w:val="single"/>
        </w:rPr>
        <w:t xml:space="preserve">     </w:t>
      </w:r>
      <w:r>
        <w:rPr>
          <w:rFonts w:hint="eastAsia" w:ascii="仿宋" w:hAnsi="仿宋" w:eastAsia="仿宋" w:cs="Cambria Math"/>
          <w:color w:val="000000"/>
          <w:sz w:val="24"/>
          <w:highlight w:val="none"/>
        </w:rPr>
        <w:t>（盖章）</w:t>
      </w:r>
    </w:p>
    <w:p w14:paraId="363D6E41">
      <w:pPr>
        <w:pStyle w:val="118"/>
        <w:spacing w:line="360" w:lineRule="auto"/>
        <w:jc w:val="right"/>
        <w:rPr>
          <w:rFonts w:hint="eastAsia" w:ascii="仿宋" w:hAnsi="仿宋" w:eastAsia="仿宋" w:cs="宋体"/>
          <w:color w:val="000000"/>
          <w:szCs w:val="21"/>
          <w:highlight w:val="none"/>
        </w:rPr>
      </w:pPr>
      <w:r>
        <w:rPr>
          <w:rFonts w:hint="eastAsia" w:ascii="仿宋" w:hAnsi="仿宋" w:eastAsia="仿宋" w:cs="Cambria Math"/>
          <w:color w:val="000000"/>
          <w:highlight w:val="none"/>
        </w:rPr>
        <w:t>日期：</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年</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月</w:t>
      </w:r>
      <w:r>
        <w:rPr>
          <w:rFonts w:hint="eastAsia" w:ascii="仿宋" w:hAnsi="仿宋" w:eastAsia="仿宋" w:cs="Cambria Math"/>
          <w:color w:val="000000"/>
          <w:highlight w:val="none"/>
          <w:u w:val="single"/>
        </w:rPr>
        <w:t xml:space="preserve">   </w:t>
      </w:r>
      <w:r>
        <w:rPr>
          <w:rFonts w:hint="eastAsia" w:ascii="仿宋" w:hAnsi="仿宋" w:eastAsia="仿宋" w:cs="Cambria Math"/>
          <w:color w:val="000000"/>
          <w:highlight w:val="none"/>
        </w:rPr>
        <w:t>日</w:t>
      </w:r>
    </w:p>
    <w:p w14:paraId="057FC92E">
      <w:pPr>
        <w:pStyle w:val="118"/>
        <w:spacing w:line="360" w:lineRule="auto"/>
        <w:rPr>
          <w:rFonts w:ascii="仿宋" w:hAnsi="仿宋" w:eastAsia="仿宋" w:cs="宋体"/>
          <w:color w:val="000000"/>
          <w:szCs w:val="24"/>
          <w:highlight w:val="none"/>
        </w:rPr>
      </w:pPr>
    </w:p>
    <w:p w14:paraId="5BA9790D">
      <w:pPr>
        <w:pStyle w:val="118"/>
        <w:spacing w:line="360" w:lineRule="auto"/>
        <w:rPr>
          <w:rFonts w:ascii="仿宋" w:hAnsi="仿宋" w:eastAsia="仿宋" w:cs="宋体"/>
          <w:color w:val="000000"/>
          <w:szCs w:val="24"/>
          <w:highlight w:val="none"/>
        </w:rPr>
      </w:pPr>
    </w:p>
    <w:p w14:paraId="1F0C9715">
      <w:pPr>
        <w:pStyle w:val="118"/>
        <w:spacing w:line="360" w:lineRule="auto"/>
        <w:rPr>
          <w:rFonts w:ascii="仿宋" w:hAnsi="仿宋" w:eastAsia="仿宋" w:cs="宋体"/>
          <w:color w:val="000000"/>
          <w:szCs w:val="24"/>
          <w:highlight w:val="none"/>
        </w:rPr>
      </w:pPr>
    </w:p>
    <w:p w14:paraId="7DD8E5F3">
      <w:pPr>
        <w:pStyle w:val="118"/>
        <w:spacing w:line="360" w:lineRule="auto"/>
        <w:rPr>
          <w:rFonts w:hint="eastAsia" w:ascii="仿宋" w:hAnsi="仿宋" w:eastAsia="仿宋" w:cs="宋体"/>
          <w:color w:val="000000"/>
          <w:highlight w:val="none"/>
        </w:rPr>
      </w:pPr>
    </w:p>
    <w:p w14:paraId="09C90861">
      <w:pPr>
        <w:pStyle w:val="5"/>
        <w:ind w:firstLine="0" w:firstLineChars="0"/>
        <w:rPr>
          <w:rFonts w:ascii="仿宋" w:hAnsi="仿宋" w:cs="宋体"/>
          <w:color w:val="000000"/>
          <w:szCs w:val="24"/>
          <w:highlight w:val="none"/>
        </w:rPr>
      </w:pPr>
      <w:r>
        <w:rPr>
          <w:rFonts w:ascii="仿宋" w:hAnsi="仿宋" w:cs="宋体"/>
          <w:color w:val="000000"/>
          <w:szCs w:val="24"/>
          <w:highlight w:val="none"/>
        </w:rPr>
        <w:br w:type="page"/>
      </w:r>
      <w:bookmarkStart w:id="680" w:name="_Toc65683009"/>
      <w:bookmarkStart w:id="681" w:name="_Toc21072"/>
      <w:bookmarkStart w:id="682" w:name="_Toc109124321"/>
      <w:bookmarkStart w:id="683" w:name="_Toc18208"/>
      <w:r>
        <w:rPr>
          <w:rFonts w:ascii="仿宋" w:hAnsi="仿宋" w:cs="宋体"/>
          <w:color w:val="000000"/>
          <w:szCs w:val="24"/>
          <w:highlight w:val="none"/>
        </w:rPr>
        <w:t>（五）投标人须知应答偏离表</w:t>
      </w:r>
      <w:bookmarkEnd w:id="680"/>
      <w:bookmarkEnd w:id="681"/>
      <w:bookmarkEnd w:id="682"/>
      <w:bookmarkEnd w:id="683"/>
    </w:p>
    <w:p w14:paraId="3788FAD3">
      <w:pPr>
        <w:spacing w:after="240" w:line="360" w:lineRule="auto"/>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投标人须知应答偏离表</w:t>
      </w:r>
    </w:p>
    <w:p w14:paraId="4502EF87">
      <w:pPr>
        <w:spacing w:line="360" w:lineRule="auto"/>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     </w:t>
      </w:r>
    </w:p>
    <w:tbl>
      <w:tblPr>
        <w:tblStyle w:val="32"/>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5EA3E81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0C099AE7">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3C6476E9">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1BA6823D">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6C1D83D7">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6ED24FA7">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5ACBBE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7CE473F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2C8B05D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2EE3B28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06E217A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3DD4FB8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0FCEE2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8B03D2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6A0E169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62A71D6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3EEE986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6732B80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60F25EA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67B366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510FBA4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0A1E24A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28B4229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7E95EA9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4A65D48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4616580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019600D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177ED4A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404AAA7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04DB7B7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55EA294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1C003F3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51F340C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637E429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3ECFAC2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351E456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555D652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D9496B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656D377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7E3CED8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4C82918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5AAB694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205054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71BB1B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1773B8D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32B0B25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5531C83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30D63F4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472E93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3CD807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465C3AC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79D6D2F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3E11350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5943575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482D124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EF9917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0EDC694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4B3E545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4BB773F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16F312C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126B51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3353B6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7E0AE30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72B5A64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14F69C3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7234BD8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bl>
    <w:p w14:paraId="40BC5469">
      <w:pPr>
        <w:spacing w:line="360" w:lineRule="auto"/>
        <w:ind w:left="480" w:hanging="480" w:hangingChars="200"/>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注：所有偏离须在本表中列出，未在本偏离表中列出偏离，将视为投标人已完全接受招标文件要求</w:t>
      </w:r>
      <w:r>
        <w:rPr>
          <w:rFonts w:hint="eastAsia" w:ascii="仿宋" w:hAnsi="仿宋" w:eastAsia="仿宋" w:cs="宋体"/>
          <w:b/>
          <w:bCs/>
          <w:color w:val="000000"/>
          <w:sz w:val="24"/>
          <w:szCs w:val="24"/>
          <w:highlight w:val="none"/>
        </w:rPr>
        <w:t>。如全部满足，在偏离表中应答“全部满足”即可。</w:t>
      </w:r>
    </w:p>
    <w:p w14:paraId="3E5DAB9E">
      <w:pPr>
        <w:spacing w:line="360" w:lineRule="auto"/>
        <w:ind w:firstLine="4080" w:firstLineChars="1700"/>
        <w:jc w:val="right"/>
        <w:rPr>
          <w:rFonts w:ascii="仿宋" w:hAnsi="仿宋" w:eastAsia="仿宋" w:cs="宋体"/>
          <w:color w:val="000000"/>
          <w:sz w:val="24"/>
          <w:szCs w:val="24"/>
          <w:highlight w:val="none"/>
        </w:rPr>
      </w:pPr>
    </w:p>
    <w:p w14:paraId="5F23AF88">
      <w:pPr>
        <w:spacing w:line="360" w:lineRule="auto"/>
        <w:ind w:firstLine="4080" w:firstLineChars="170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5DD6AD4A">
      <w:pPr>
        <w:spacing w:line="360" w:lineRule="auto"/>
        <w:jc w:val="right"/>
        <w:rPr>
          <w:rFonts w:hint="eastAsia" w:ascii="仿宋" w:hAnsi="仿宋" w:eastAsia="仿宋" w:cs="宋体"/>
          <w:color w:val="000000"/>
          <w:sz w:val="24"/>
          <w:szCs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2BCAACC3">
      <w:pPr>
        <w:pStyle w:val="5"/>
        <w:spacing w:line="360" w:lineRule="auto"/>
        <w:ind w:firstLine="0" w:firstLineChars="0"/>
        <w:rPr>
          <w:rFonts w:ascii="仿宋" w:hAnsi="仿宋" w:cs="宋体"/>
          <w:color w:val="000000"/>
          <w:szCs w:val="24"/>
          <w:highlight w:val="none"/>
        </w:rPr>
      </w:pPr>
      <w:bookmarkStart w:id="684" w:name="_Toc65683010"/>
      <w:bookmarkStart w:id="685" w:name="_Toc6107"/>
      <w:bookmarkStart w:id="686" w:name="_Toc109124322"/>
      <w:bookmarkStart w:id="687" w:name="_Toc8442"/>
      <w:r>
        <w:rPr>
          <w:rFonts w:ascii="仿宋" w:hAnsi="仿宋" w:cs="宋体"/>
          <w:color w:val="000000"/>
          <w:szCs w:val="24"/>
          <w:highlight w:val="none"/>
        </w:rPr>
        <w:t>（六）合同条款应答偏离表</w:t>
      </w:r>
      <w:bookmarkEnd w:id="684"/>
      <w:bookmarkEnd w:id="685"/>
      <w:bookmarkEnd w:id="686"/>
      <w:bookmarkEnd w:id="687"/>
    </w:p>
    <w:p w14:paraId="1B40C2CB">
      <w:pPr>
        <w:spacing w:line="360" w:lineRule="auto"/>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 w:val="24"/>
          <w:szCs w:val="24"/>
          <w:highlight w:val="none"/>
        </w:rPr>
        <w:t>合同条款应答偏离表</w:t>
      </w:r>
    </w:p>
    <w:p w14:paraId="4F23E76D">
      <w:pPr>
        <w:spacing w:line="360" w:lineRule="auto"/>
        <w:rPr>
          <w:rFonts w:hint="eastAsia" w:ascii="仿宋" w:hAnsi="仿宋" w:eastAsia="仿宋" w:cs="宋体"/>
          <w:color w:val="000000"/>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     </w:t>
      </w:r>
    </w:p>
    <w:tbl>
      <w:tblPr>
        <w:tblStyle w:val="32"/>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6"/>
        <w:gridCol w:w="2285"/>
        <w:gridCol w:w="2495"/>
        <w:gridCol w:w="2704"/>
        <w:gridCol w:w="1408"/>
      </w:tblGrid>
      <w:tr w14:paraId="443CBF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center"/>
          </w:tcPr>
          <w:p w14:paraId="6FA733E0">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序号</w:t>
            </w:r>
          </w:p>
        </w:tc>
        <w:tc>
          <w:tcPr>
            <w:tcW w:w="2285" w:type="dxa"/>
            <w:noWrap w:val="0"/>
            <w:vAlign w:val="center"/>
          </w:tcPr>
          <w:p w14:paraId="1AAE6ECE">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条目号</w:t>
            </w:r>
          </w:p>
        </w:tc>
        <w:tc>
          <w:tcPr>
            <w:tcW w:w="2495" w:type="dxa"/>
            <w:noWrap w:val="0"/>
            <w:vAlign w:val="center"/>
          </w:tcPr>
          <w:p w14:paraId="5F4C5CD2">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原文内容</w:t>
            </w:r>
          </w:p>
        </w:tc>
        <w:tc>
          <w:tcPr>
            <w:tcW w:w="2704" w:type="dxa"/>
            <w:noWrap w:val="0"/>
            <w:vAlign w:val="center"/>
          </w:tcPr>
          <w:p w14:paraId="79AF5CBC">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应答</w:t>
            </w:r>
          </w:p>
        </w:tc>
        <w:tc>
          <w:tcPr>
            <w:tcW w:w="1408" w:type="dxa"/>
            <w:noWrap w:val="0"/>
            <w:vAlign w:val="center"/>
          </w:tcPr>
          <w:p w14:paraId="74089B13">
            <w:pPr>
              <w:keepNext w:val="0"/>
              <w:keepLines w:val="0"/>
              <w:suppressLineNumbers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说明</w:t>
            </w:r>
          </w:p>
        </w:tc>
      </w:tr>
      <w:tr w14:paraId="5B60C96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2ED8C72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01C9483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64BA2E7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7354439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4C844D3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337EF0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446D5F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29CF1E8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563C1C4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5569772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79D7DA3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7E34D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ACF2BB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26DF20E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2730C4E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07FD50A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26B70B7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7676BB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7A12D8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11CC737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1300888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0C6D197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48B8756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753ED16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30F72A3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33EF85D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0DA2410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2C40DFC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36BCD60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7E221FD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39BAA82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6300722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1574B24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0B10C70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2442B01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2A4791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040F2C7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2D5876F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6489254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5EC4063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761B91B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277998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76096C4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0268547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36C5993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4927ADC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0ADCC2B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65B2C8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956" w:type="dxa"/>
            <w:noWrap w:val="0"/>
            <w:vAlign w:val="top"/>
          </w:tcPr>
          <w:p w14:paraId="6B5ED678">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3252252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4DB6A0FE">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356EB3C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43560F6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41A151F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56" w:type="dxa"/>
            <w:noWrap w:val="0"/>
            <w:vAlign w:val="top"/>
          </w:tcPr>
          <w:p w14:paraId="5A6E1F9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85" w:type="dxa"/>
            <w:noWrap w:val="0"/>
            <w:vAlign w:val="top"/>
          </w:tcPr>
          <w:p w14:paraId="71A49AF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495" w:type="dxa"/>
            <w:noWrap w:val="0"/>
            <w:vAlign w:val="top"/>
          </w:tcPr>
          <w:p w14:paraId="539252F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704" w:type="dxa"/>
            <w:noWrap w:val="0"/>
            <w:vAlign w:val="top"/>
          </w:tcPr>
          <w:p w14:paraId="41CEAF1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08" w:type="dxa"/>
            <w:noWrap w:val="0"/>
            <w:vAlign w:val="top"/>
          </w:tcPr>
          <w:p w14:paraId="60D0132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bl>
    <w:p w14:paraId="046E8597">
      <w:pPr>
        <w:spacing w:line="360" w:lineRule="auto"/>
        <w:ind w:left="480" w:hanging="480" w:hangingChars="200"/>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注：所有偏离必须在本表中列出，未在本偏离表中列出偏离，将视为投标人已完全接受招标文件要求。</w:t>
      </w:r>
      <w:r>
        <w:rPr>
          <w:rFonts w:hint="eastAsia" w:ascii="仿宋" w:hAnsi="仿宋" w:eastAsia="仿宋" w:cs="宋体"/>
          <w:b/>
          <w:bCs/>
          <w:color w:val="000000"/>
          <w:sz w:val="24"/>
          <w:szCs w:val="24"/>
          <w:highlight w:val="none"/>
        </w:rPr>
        <w:t>如全部满足，在偏离表中应答“全部满足”即可。</w:t>
      </w:r>
    </w:p>
    <w:p w14:paraId="29563B1E">
      <w:pPr>
        <w:spacing w:line="360" w:lineRule="auto"/>
        <w:ind w:firstLine="4080" w:firstLineChars="1700"/>
        <w:jc w:val="right"/>
        <w:rPr>
          <w:rFonts w:ascii="仿宋" w:hAnsi="仿宋" w:eastAsia="仿宋" w:cs="宋体"/>
          <w:color w:val="000000"/>
          <w:sz w:val="24"/>
          <w:szCs w:val="24"/>
          <w:highlight w:val="none"/>
        </w:rPr>
      </w:pPr>
    </w:p>
    <w:p w14:paraId="7EED7154">
      <w:pPr>
        <w:spacing w:line="360" w:lineRule="auto"/>
        <w:ind w:firstLine="4080" w:firstLineChars="170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3C5E4A2B">
      <w:pPr>
        <w:spacing w:line="360" w:lineRule="auto"/>
        <w:jc w:val="right"/>
        <w:rPr>
          <w:rFonts w:hint="eastAsia"/>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756CA3C9">
      <w:pPr>
        <w:pStyle w:val="5"/>
        <w:spacing w:line="360" w:lineRule="auto"/>
        <w:ind w:firstLine="0" w:firstLineChars="0"/>
        <w:rPr>
          <w:rFonts w:ascii="仿宋" w:hAnsi="仿宋" w:cs="宋体"/>
          <w:color w:val="000000"/>
          <w:szCs w:val="24"/>
          <w:highlight w:val="none"/>
        </w:rPr>
      </w:pPr>
      <w:bookmarkStart w:id="688" w:name="_Toc76569394"/>
      <w:bookmarkStart w:id="689" w:name="_Toc109124325"/>
      <w:bookmarkStart w:id="690" w:name="_Toc13858"/>
      <w:bookmarkStart w:id="691" w:name="_Toc65683012"/>
      <w:bookmarkStart w:id="692" w:name="_Toc17493"/>
      <w:r>
        <w:rPr>
          <w:rFonts w:ascii="仿宋" w:hAnsi="仿宋" w:cs="宋体"/>
          <w:color w:val="000000"/>
          <w:szCs w:val="24"/>
          <w:highlight w:val="none"/>
        </w:rPr>
        <w:t>（七）供应商</w:t>
      </w:r>
      <w:r>
        <w:rPr>
          <w:rFonts w:hint="default" w:ascii="仿宋" w:hAnsi="仿宋" w:cs="宋体"/>
          <w:color w:val="000000"/>
          <w:szCs w:val="24"/>
          <w:highlight w:val="none"/>
        </w:rPr>
        <w:t>行为准则承诺</w:t>
      </w:r>
      <w:r>
        <w:rPr>
          <w:rFonts w:ascii="仿宋" w:hAnsi="仿宋" w:cs="宋体"/>
          <w:color w:val="000000"/>
          <w:szCs w:val="24"/>
          <w:highlight w:val="none"/>
        </w:rPr>
        <w:t>书</w:t>
      </w:r>
      <w:bookmarkEnd w:id="688"/>
      <w:bookmarkEnd w:id="689"/>
      <w:bookmarkEnd w:id="690"/>
    </w:p>
    <w:p w14:paraId="2E807FB3">
      <w:pPr>
        <w:spacing w:line="240" w:lineRule="auto"/>
        <w:jc w:val="center"/>
        <w:rPr>
          <w:rFonts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供应商行为准则承诺书</w:t>
      </w:r>
    </w:p>
    <w:p w14:paraId="2B4058B7">
      <w:pPr>
        <w:spacing w:line="360" w:lineRule="auto"/>
        <w:ind w:firstLine="480" w:firstLineChars="200"/>
        <w:rPr>
          <w:rFonts w:hint="eastAsia" w:ascii="仿宋" w:hAnsi="仿宋" w:eastAsia="仿宋" w:cs="仿宋"/>
          <w:color w:val="000000"/>
          <w:sz w:val="24"/>
        </w:rPr>
      </w:pPr>
      <w:bookmarkStart w:id="693" w:name="_Toc15599"/>
      <w:bookmarkStart w:id="694" w:name="_Toc76569395"/>
      <w:bookmarkStart w:id="695" w:name="_Toc109124326"/>
    </w:p>
    <w:p w14:paraId="77A3679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14:paraId="09B4AD08">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14:paraId="077AA36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14:paraId="0B06E591">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14:paraId="149184D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14:paraId="5817F3AF">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14:paraId="063DE53D">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14:paraId="0877AE4E">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14:paraId="5BC3332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14:paraId="02540402">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14:paraId="671EA7A0">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14:paraId="52E297BC">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14:paraId="3F5416C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14:paraId="31C06421">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14:paraId="3FADFFE5">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54067019">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法定代表人（负责人）姓名、职务：__________________</w:t>
      </w:r>
    </w:p>
    <w:p w14:paraId="1D12CBB4">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邮编：__________地址：__________________</w:t>
      </w:r>
    </w:p>
    <w:p w14:paraId="00490BDF">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电话：__________传真：__________________</w:t>
      </w:r>
    </w:p>
    <w:p w14:paraId="62D28937">
      <w:pPr>
        <w:pStyle w:val="119"/>
        <w:tabs>
          <w:tab w:val="left" w:pos="3060"/>
        </w:tabs>
        <w:spacing w:line="360" w:lineRule="auto"/>
        <w:ind w:firstLine="480"/>
        <w:jc w:val="both"/>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法定代表人（负责人）或授权代表签字：______________</w:t>
      </w:r>
    </w:p>
    <w:p w14:paraId="39173892">
      <w:pPr>
        <w:pStyle w:val="5"/>
        <w:ind w:firstLine="0" w:firstLineChars="0"/>
        <w:rPr>
          <w:rFonts w:hint="default"/>
          <w:highlight w:val="none"/>
        </w:rPr>
      </w:pPr>
      <w:r>
        <w:rPr>
          <w:rFonts w:hint="eastAsia" w:ascii="仿宋" w:hAnsi="仿宋" w:eastAsia="仿宋" w:cs="仿宋"/>
          <w:color w:val="000000"/>
        </w:rPr>
        <w:br w:type="page"/>
      </w:r>
      <w:bookmarkStart w:id="696" w:name="_Toc3210"/>
      <w:r>
        <w:rPr>
          <w:highlight w:val="none"/>
        </w:rPr>
        <w:t>（八）供应商廉洁诚信承诺书</w:t>
      </w:r>
      <w:bookmarkEnd w:id="693"/>
      <w:bookmarkEnd w:id="696"/>
    </w:p>
    <w:p w14:paraId="17A2D5BB">
      <w:pPr>
        <w:spacing w:line="600" w:lineRule="exact"/>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14:paraId="39763A7D">
      <w:pPr>
        <w:spacing w:line="360" w:lineRule="auto"/>
        <w:ind w:firstLine="480" w:firstLineChars="200"/>
        <w:rPr>
          <w:rFonts w:hint="eastAsia" w:ascii="仿宋" w:hAnsi="仿宋" w:eastAsia="仿宋" w:cs="宋体"/>
          <w:color w:val="000000"/>
          <w:sz w:val="24"/>
        </w:rPr>
      </w:pPr>
    </w:p>
    <w:p w14:paraId="03393E1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14:paraId="4BD532B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14:paraId="4DC8475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14:paraId="584A102D">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14:paraId="4C031CE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14:paraId="3D3DF2A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14:paraId="19719BF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14:paraId="6BCEC5B4">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14:paraId="792D1E0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14:paraId="35EF592C">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14:paraId="7A285B9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14:paraId="4113C24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14:paraId="1822023A">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14:paraId="1D6A528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14:paraId="25E07EB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14:paraId="5DCF795F">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14:paraId="4844B5B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14:paraId="1C974F2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14:paraId="0AEB186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14:paraId="02756A8B">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14:paraId="69783415">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14:paraId="3F7E1826">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14:paraId="0F92260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14:paraId="0A854947">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14:paraId="72BABFA8">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14:paraId="7C8FA00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14:paraId="6E98AA0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14:paraId="07D4A063">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14:paraId="385502E0">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14:paraId="34BF21BE">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14:paraId="3FD38271">
      <w:pPr>
        <w:spacing w:line="360" w:lineRule="auto"/>
        <w:ind w:firstLine="480" w:firstLineChars="200"/>
        <w:rPr>
          <w:rFonts w:hint="eastAsia" w:ascii="仿宋" w:hAnsi="仿宋" w:eastAsia="仿宋" w:cs="宋体"/>
          <w:color w:val="000000"/>
          <w:sz w:val="24"/>
        </w:rPr>
      </w:pPr>
    </w:p>
    <w:p w14:paraId="03608612">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14:paraId="776B0BCE">
      <w:pPr>
        <w:spacing w:line="360" w:lineRule="auto"/>
        <w:ind w:firstLine="480" w:firstLineChars="200"/>
        <w:rPr>
          <w:rFonts w:hint="eastAsia" w:ascii="仿宋" w:hAnsi="仿宋" w:eastAsia="仿宋" w:cs="宋体"/>
          <w:color w:val="000000"/>
          <w:sz w:val="24"/>
        </w:rPr>
      </w:pPr>
    </w:p>
    <w:p w14:paraId="0E44CAD6">
      <w:pPr>
        <w:tabs>
          <w:tab w:val="left" w:pos="458"/>
        </w:tabs>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公司名称（全称、盖章）：________________</w:t>
      </w:r>
    </w:p>
    <w:p w14:paraId="56AB21B0">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法定代表人姓名、职务：__________________</w:t>
      </w:r>
    </w:p>
    <w:p w14:paraId="10992F89">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14:paraId="4907A185">
      <w:pPr>
        <w:spacing w:line="360" w:lineRule="auto"/>
        <w:ind w:firstLine="3578" w:firstLineChars="1491"/>
        <w:rPr>
          <w:rFonts w:ascii="宋体" w:hAnsi="宋体" w:cs="宋体"/>
          <w:vanish/>
          <w:sz w:val="24"/>
        </w:rPr>
      </w:pPr>
      <w:r>
        <w:rPr>
          <w:rFonts w:hint="eastAsia" w:ascii="仿宋" w:hAnsi="仿宋" w:eastAsia="仿宋" w:cs="宋体"/>
          <w:color w:val="000000"/>
          <w:sz w:val="24"/>
        </w:rPr>
        <w:t>日期：</w:t>
      </w:r>
      <w:r>
        <w:rPr>
          <w:rFonts w:hint="eastAsia" w:ascii="仿宋" w:hAnsi="仿宋" w:eastAsia="仿宋" w:cs="仿宋"/>
          <w:color w:val="000000"/>
          <w:sz w:val="24"/>
        </w:rPr>
        <w:t>__________________________________</w:t>
      </w:r>
    </w:p>
    <w:p w14:paraId="521271E2">
      <w:pPr>
        <w:tabs>
          <w:tab w:val="left" w:pos="458"/>
        </w:tabs>
        <w:spacing w:line="600" w:lineRule="exact"/>
        <w:ind w:firstLine="3578" w:firstLineChars="1491"/>
        <w:rPr>
          <w:rFonts w:hint="eastAsia" w:ascii="仿宋" w:hAnsi="仿宋" w:eastAsia="仿宋" w:cs="仿宋"/>
          <w:color w:val="000000"/>
          <w:sz w:val="24"/>
          <w:highlight w:val="none"/>
        </w:rPr>
      </w:pPr>
    </w:p>
    <w:p w14:paraId="1134C99E">
      <w:pPr>
        <w:pStyle w:val="5"/>
        <w:spacing w:line="360" w:lineRule="auto"/>
        <w:ind w:firstLine="0" w:firstLineChars="0"/>
        <w:rPr>
          <w:color w:val="000000"/>
          <w:highlight w:val="none"/>
        </w:rPr>
      </w:pPr>
      <w:r>
        <w:rPr>
          <w:rFonts w:hint="default" w:ascii="仿宋" w:hAnsi="仿宋"/>
          <w:color w:val="000000"/>
          <w:highlight w:val="none"/>
        </w:rPr>
        <w:br w:type="page"/>
      </w:r>
      <w:bookmarkStart w:id="697" w:name="_Toc15311"/>
      <w:r>
        <w:rPr>
          <w:rFonts w:ascii="仿宋" w:hAnsi="仿宋" w:cs="仿宋"/>
          <w:color w:val="000000"/>
          <w:szCs w:val="24"/>
          <w:highlight w:val="none"/>
        </w:rPr>
        <w:t>（九）其他材料</w:t>
      </w:r>
      <w:bookmarkEnd w:id="691"/>
      <w:bookmarkEnd w:id="692"/>
      <w:bookmarkEnd w:id="694"/>
      <w:bookmarkEnd w:id="695"/>
      <w:bookmarkEnd w:id="697"/>
    </w:p>
    <w:p w14:paraId="43849952">
      <w:pPr>
        <w:rPr>
          <w:rFonts w:hint="eastAsia" w:ascii="宋体" w:hAnsi="宋体"/>
          <w:color w:val="000000"/>
          <w:szCs w:val="21"/>
          <w:highlight w:val="none"/>
        </w:rPr>
      </w:pPr>
      <w:r>
        <w:rPr>
          <w:rFonts w:hint="eastAsia" w:ascii="仿宋" w:hAnsi="仿宋" w:eastAsia="仿宋" w:cs="Cambria Math"/>
          <w:color w:val="000000"/>
          <w:sz w:val="24"/>
          <w:highlight w:val="none"/>
        </w:rPr>
        <w:t>详细评审中商务部分涉及的文件及证明材料、</w:t>
      </w:r>
      <w:r>
        <w:rPr>
          <w:rFonts w:ascii="仿宋" w:hAnsi="仿宋" w:eastAsia="仿宋" w:cs="宋体"/>
          <w:color w:val="000000"/>
          <w:sz w:val="24"/>
          <w:szCs w:val="24"/>
          <w:highlight w:val="none"/>
        </w:rPr>
        <w:t>投标人认为需提供的其他材料</w:t>
      </w:r>
      <w:r>
        <w:rPr>
          <w:rFonts w:hint="eastAsia" w:ascii="仿宋" w:hAnsi="仿宋" w:eastAsia="仿宋" w:cs="宋体"/>
          <w:color w:val="000000"/>
          <w:sz w:val="24"/>
          <w:szCs w:val="24"/>
          <w:highlight w:val="none"/>
        </w:rPr>
        <w:t>。</w:t>
      </w:r>
    </w:p>
    <w:p w14:paraId="6B332603">
      <w:pPr>
        <w:pStyle w:val="4"/>
        <w:jc w:val="center"/>
        <w:rPr>
          <w:rFonts w:hint="eastAsia" w:ascii="仿宋" w:hAnsi="仿宋" w:cs="宋体"/>
          <w:color w:val="000000"/>
          <w:szCs w:val="24"/>
          <w:highlight w:val="none"/>
        </w:rPr>
      </w:pPr>
      <w:r>
        <w:rPr>
          <w:rFonts w:hint="eastAsia" w:ascii="仿宋" w:hAnsi="仿宋" w:cs="宋体"/>
          <w:color w:val="000000"/>
          <w:highlight w:val="none"/>
        </w:rPr>
        <w:br w:type="page"/>
      </w:r>
      <w:bookmarkStart w:id="698" w:name="_Toc109124327"/>
      <w:bookmarkStart w:id="699" w:name="_Toc20302"/>
      <w:bookmarkStart w:id="700" w:name="_Toc1018"/>
      <w:bookmarkStart w:id="701" w:name="_Toc65683013"/>
      <w:r>
        <w:rPr>
          <w:rFonts w:hint="eastAsia" w:ascii="仿宋" w:hAnsi="仿宋" w:cs="宋体"/>
          <w:color w:val="000000"/>
          <w:szCs w:val="24"/>
          <w:highlight w:val="none"/>
        </w:rPr>
        <w:t>二、技术文件</w:t>
      </w:r>
      <w:bookmarkEnd w:id="698"/>
      <w:bookmarkEnd w:id="699"/>
      <w:bookmarkEnd w:id="700"/>
      <w:bookmarkEnd w:id="701"/>
    </w:p>
    <w:p w14:paraId="7BBCB6D4">
      <w:pPr>
        <w:pStyle w:val="5"/>
        <w:ind w:firstLine="482"/>
        <w:rPr>
          <w:rFonts w:ascii="仿宋" w:hAnsi="仿宋" w:cs="宋体"/>
          <w:b w:val="0"/>
          <w:color w:val="000000"/>
          <w:highlight w:val="none"/>
        </w:rPr>
      </w:pPr>
      <w:bookmarkStart w:id="702" w:name="_Toc112068406"/>
      <w:bookmarkStart w:id="703" w:name="_Toc8506"/>
      <w:bookmarkStart w:id="704" w:name="_Toc65683014"/>
      <w:bookmarkStart w:id="705" w:name="_Toc29153"/>
      <w:bookmarkStart w:id="706" w:name="_Toc109124328"/>
      <w:r>
        <w:rPr>
          <w:rFonts w:ascii="仿宋" w:hAnsi="仿宋" w:cs="宋体"/>
          <w:color w:val="000000"/>
          <w:highlight w:val="none"/>
        </w:rPr>
        <w:t>详细评审索引表</w:t>
      </w:r>
      <w:bookmarkEnd w:id="702"/>
      <w:bookmarkEnd w:id="703"/>
    </w:p>
    <w:tbl>
      <w:tblPr>
        <w:tblStyle w:val="32"/>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29"/>
        <w:gridCol w:w="1696"/>
        <w:gridCol w:w="2268"/>
        <w:gridCol w:w="4820"/>
      </w:tblGrid>
      <w:tr w14:paraId="3F441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729" w:type="dxa"/>
            <w:noWrap w:val="0"/>
            <w:tcMar>
              <w:top w:w="15" w:type="dxa"/>
              <w:left w:w="15" w:type="dxa"/>
              <w:right w:w="15" w:type="dxa"/>
            </w:tcMar>
            <w:vAlign w:val="center"/>
          </w:tcPr>
          <w:p w14:paraId="4C7E258E">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b/>
                <w:color w:val="000000"/>
                <w:szCs w:val="21"/>
                <w:highlight w:val="none"/>
              </w:rPr>
            </w:pPr>
            <w:r>
              <w:rPr>
                <w:rFonts w:hint="eastAsia" w:ascii="仿宋" w:hAnsi="仿宋" w:eastAsia="仿宋" w:cs="宋体"/>
                <w:b/>
                <w:color w:val="000000"/>
                <w:kern w:val="0"/>
                <w:szCs w:val="21"/>
                <w:highlight w:val="none"/>
                <w:lang w:bidi="ar"/>
              </w:rPr>
              <w:t>序号</w:t>
            </w:r>
          </w:p>
        </w:tc>
        <w:tc>
          <w:tcPr>
            <w:tcW w:w="1696" w:type="dxa"/>
            <w:noWrap w:val="0"/>
            <w:tcMar>
              <w:top w:w="15" w:type="dxa"/>
              <w:left w:w="15" w:type="dxa"/>
              <w:right w:w="15" w:type="dxa"/>
            </w:tcMar>
            <w:vAlign w:val="center"/>
          </w:tcPr>
          <w:p w14:paraId="4FAA03B7">
            <w:pPr>
              <w:keepNext w:val="0"/>
              <w:keepLines w:val="0"/>
              <w:suppressLineNumbers w:val="0"/>
              <w:spacing w:before="0" w:beforeAutospacing="0" w:after="0" w:afterAutospacing="0"/>
              <w:ind w:left="0" w:right="0"/>
              <w:jc w:val="center"/>
              <w:rPr>
                <w:rFonts w:hint="eastAsia" w:ascii="仿宋" w:hAnsi="仿宋" w:eastAsia="仿宋" w:cs="宋体"/>
                <w:b/>
                <w:color w:val="000000"/>
                <w:kern w:val="0"/>
                <w:szCs w:val="21"/>
                <w:highlight w:val="none"/>
                <w:lang w:bidi="ar"/>
              </w:rPr>
            </w:pPr>
            <w:r>
              <w:rPr>
                <w:rFonts w:hint="eastAsia" w:ascii="仿宋" w:hAnsi="仿宋" w:eastAsia="仿宋" w:cs="宋体"/>
                <w:b/>
                <w:bCs/>
                <w:color w:val="000000"/>
                <w:szCs w:val="21"/>
                <w:highlight w:val="none"/>
              </w:rPr>
              <w:t>评审项</w:t>
            </w:r>
          </w:p>
        </w:tc>
        <w:tc>
          <w:tcPr>
            <w:tcW w:w="2268" w:type="dxa"/>
            <w:noWrap w:val="0"/>
            <w:vAlign w:val="top"/>
          </w:tcPr>
          <w:p w14:paraId="4A3D73C9">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lang w:bidi="ar"/>
              </w:rPr>
              <w:t>评审因素</w:t>
            </w:r>
          </w:p>
        </w:tc>
        <w:tc>
          <w:tcPr>
            <w:tcW w:w="4820" w:type="dxa"/>
            <w:noWrap w:val="0"/>
            <w:tcMar>
              <w:top w:w="15" w:type="dxa"/>
              <w:left w:w="15" w:type="dxa"/>
              <w:right w:w="15" w:type="dxa"/>
            </w:tcMar>
            <w:vAlign w:val="center"/>
          </w:tcPr>
          <w:p w14:paraId="5919DF98">
            <w:pPr>
              <w:keepNext w:val="0"/>
              <w:keepLines w:val="0"/>
              <w:widowControl/>
              <w:suppressLineNumbers w:val="0"/>
              <w:spacing w:before="0" w:beforeAutospacing="0" w:after="0" w:afterAutospacing="0" w:line="240" w:lineRule="auto"/>
              <w:ind w:left="0" w:right="0"/>
              <w:jc w:val="center"/>
              <w:rPr>
                <w:rFonts w:hint="eastAsia" w:ascii="仿宋" w:hAnsi="仿宋" w:eastAsia="仿宋" w:cs="宋体"/>
                <w:b/>
                <w:color w:val="000000"/>
                <w:kern w:val="0"/>
                <w:szCs w:val="21"/>
                <w:highlight w:val="none"/>
              </w:rPr>
            </w:pPr>
            <w:r>
              <w:rPr>
                <w:rFonts w:hint="eastAsia" w:ascii="仿宋" w:hAnsi="仿宋" w:eastAsia="仿宋" w:cs="宋体"/>
                <w:b/>
                <w:color w:val="000000"/>
                <w:kern w:val="0"/>
                <w:szCs w:val="21"/>
                <w:highlight w:val="none"/>
              </w:rPr>
              <w:t>页码范围及说明</w:t>
            </w:r>
          </w:p>
        </w:tc>
      </w:tr>
      <w:tr w14:paraId="10E28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jc w:val="center"/>
        </w:trPr>
        <w:tc>
          <w:tcPr>
            <w:tcW w:w="729" w:type="dxa"/>
            <w:noWrap w:val="0"/>
            <w:tcMar>
              <w:top w:w="15" w:type="dxa"/>
              <w:left w:w="15" w:type="dxa"/>
              <w:right w:w="15" w:type="dxa"/>
            </w:tcMar>
            <w:vAlign w:val="center"/>
          </w:tcPr>
          <w:p w14:paraId="5FBE54CC">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1</w:t>
            </w:r>
          </w:p>
        </w:tc>
        <w:tc>
          <w:tcPr>
            <w:tcW w:w="1696" w:type="dxa"/>
            <w:noWrap w:val="0"/>
            <w:tcMar>
              <w:top w:w="15" w:type="dxa"/>
              <w:left w:w="15" w:type="dxa"/>
              <w:right w:w="15" w:type="dxa"/>
            </w:tcMar>
            <w:vAlign w:val="center"/>
          </w:tcPr>
          <w:p w14:paraId="40C0D8B0">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val="en-US" w:eastAsia="zh-CN" w:bidi="ar"/>
              </w:rPr>
              <w:t>技术</w:t>
            </w:r>
            <w:r>
              <w:rPr>
                <w:rFonts w:hint="eastAsia" w:ascii="仿宋" w:hAnsi="仿宋" w:eastAsia="仿宋" w:cs="宋体"/>
                <w:color w:val="000000"/>
                <w:kern w:val="0"/>
                <w:szCs w:val="21"/>
                <w:highlight w:val="none"/>
                <w:lang w:bidi="ar"/>
              </w:rPr>
              <w:t>得分</w:t>
            </w:r>
          </w:p>
          <w:p w14:paraId="393B25FD">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2268" w:type="dxa"/>
            <w:noWrap w:val="0"/>
            <w:vAlign w:val="center"/>
          </w:tcPr>
          <w:p w14:paraId="414587C9">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详见评审表</w:t>
            </w:r>
          </w:p>
          <w:p w14:paraId="690BD3C8">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bidi="ar"/>
              </w:rPr>
            </w:pPr>
            <w:r>
              <w:rPr>
                <w:rFonts w:hint="eastAsia" w:ascii="仿宋" w:hAnsi="仿宋" w:eastAsia="仿宋" w:cs="宋体"/>
                <w:color w:val="000000"/>
                <w:kern w:val="0"/>
                <w:szCs w:val="21"/>
                <w:highlight w:val="none"/>
                <w:lang w:bidi="ar"/>
              </w:rPr>
              <w:t>（XX分）</w:t>
            </w:r>
          </w:p>
        </w:tc>
        <w:tc>
          <w:tcPr>
            <w:tcW w:w="4820" w:type="dxa"/>
            <w:noWrap w:val="0"/>
            <w:tcMar>
              <w:top w:w="15" w:type="dxa"/>
              <w:left w:w="15" w:type="dxa"/>
              <w:right w:w="15" w:type="dxa"/>
            </w:tcMar>
            <w:vAlign w:val="center"/>
          </w:tcPr>
          <w:p w14:paraId="4095184B">
            <w:pPr>
              <w:keepNext w:val="0"/>
              <w:keepLines w:val="0"/>
              <w:widowControl/>
              <w:suppressLineNumbers w:val="0"/>
              <w:adjustRightInd w:val="0"/>
              <w:snapToGrid w:val="0"/>
              <w:spacing w:before="0" w:beforeAutospacing="0" w:after="0" w:afterAutospacing="0" w:line="240" w:lineRule="auto"/>
              <w:ind w:left="0" w:right="0"/>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说明：XX</w:t>
            </w:r>
          </w:p>
          <w:p w14:paraId="28546441">
            <w:pPr>
              <w:keepNext w:val="0"/>
              <w:keepLines w:val="0"/>
              <w:suppressLineNumbers w:val="0"/>
              <w:spacing w:before="0" w:beforeAutospacing="0" w:after="0" w:afterAutospacing="0" w:line="240" w:lineRule="auto"/>
              <w:ind w:left="0" w:right="0"/>
              <w:rPr>
                <w:rStyle w:val="101"/>
                <w:rFonts w:hint="default" w:cs="宋体"/>
                <w:color w:val="000000"/>
                <w:highlight w:val="none"/>
                <w:lang w:bidi="ar"/>
              </w:rPr>
            </w:pPr>
            <w:r>
              <w:rPr>
                <w:rFonts w:hint="eastAsia" w:ascii="仿宋" w:hAnsi="仿宋" w:eastAsia="仿宋" w:cs="宋体"/>
                <w:color w:val="000000"/>
                <w:kern w:val="0"/>
                <w:szCs w:val="21"/>
                <w:highlight w:val="none"/>
              </w:rPr>
              <w:t>详见N-M页</w:t>
            </w:r>
          </w:p>
        </w:tc>
      </w:tr>
      <w:tr w14:paraId="7643B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0" w:hRule="atLeast"/>
          <w:jc w:val="center"/>
        </w:trPr>
        <w:tc>
          <w:tcPr>
            <w:tcW w:w="729" w:type="dxa"/>
            <w:noWrap w:val="0"/>
            <w:tcMar>
              <w:top w:w="15" w:type="dxa"/>
              <w:left w:w="15" w:type="dxa"/>
              <w:right w:w="15" w:type="dxa"/>
            </w:tcMar>
            <w:vAlign w:val="center"/>
          </w:tcPr>
          <w:p w14:paraId="53A00C09">
            <w:pPr>
              <w:keepNext w:val="0"/>
              <w:keepLines w:val="0"/>
              <w:widowControl/>
              <w:suppressLineNumbers w:val="0"/>
              <w:spacing w:before="0" w:beforeAutospacing="0" w:after="0" w:afterAutospacing="0"/>
              <w:ind w:left="0" w:right="0"/>
              <w:jc w:val="center"/>
              <w:textAlignment w:val="center"/>
              <w:rPr>
                <w:rFonts w:hint="eastAsia" w:ascii="仿宋" w:hAnsi="仿宋" w:eastAsia="仿宋" w:cs="宋体"/>
                <w:color w:val="000000"/>
                <w:kern w:val="0"/>
                <w:szCs w:val="21"/>
                <w:highlight w:val="none"/>
                <w:lang w:val="en-US" w:eastAsia="zh-CN" w:bidi="ar"/>
              </w:rPr>
            </w:pPr>
          </w:p>
        </w:tc>
        <w:tc>
          <w:tcPr>
            <w:tcW w:w="1696" w:type="dxa"/>
            <w:noWrap w:val="0"/>
            <w:tcMar>
              <w:top w:w="15" w:type="dxa"/>
              <w:left w:w="15" w:type="dxa"/>
              <w:right w:w="15" w:type="dxa"/>
            </w:tcMar>
            <w:vAlign w:val="center"/>
          </w:tcPr>
          <w:p w14:paraId="337A2199">
            <w:pPr>
              <w:keepNext w:val="0"/>
              <w:keepLines w:val="0"/>
              <w:widowControl/>
              <w:suppressLineNumbers w:val="0"/>
              <w:spacing w:before="0" w:beforeAutospacing="0" w:after="0" w:afterAutospacing="0"/>
              <w:ind w:left="0" w:right="0"/>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w:t>
            </w:r>
          </w:p>
        </w:tc>
        <w:tc>
          <w:tcPr>
            <w:tcW w:w="2268" w:type="dxa"/>
            <w:noWrap w:val="0"/>
            <w:vAlign w:val="center"/>
          </w:tcPr>
          <w:p w14:paraId="0D50B8FF">
            <w:pPr>
              <w:keepNext w:val="0"/>
              <w:keepLines w:val="0"/>
              <w:widowControl/>
              <w:suppressLineNumbers w:val="0"/>
              <w:spacing w:before="0" w:beforeAutospacing="0" w:after="0" w:afterAutospacing="0"/>
              <w:ind w:left="0" w:right="0"/>
              <w:jc w:val="center"/>
              <w:textAlignment w:val="center"/>
              <w:rPr>
                <w:rFonts w:hint="default" w:ascii="仿宋" w:hAnsi="仿宋" w:eastAsia="仿宋" w:cs="宋体"/>
                <w:color w:val="000000"/>
                <w:kern w:val="0"/>
                <w:szCs w:val="21"/>
                <w:highlight w:val="none"/>
                <w:lang w:val="en-US" w:eastAsia="zh-CN" w:bidi="ar"/>
              </w:rPr>
            </w:pPr>
            <w:r>
              <w:rPr>
                <w:rFonts w:hint="eastAsia" w:ascii="仿宋" w:hAnsi="仿宋" w:eastAsia="仿宋" w:cs="宋体"/>
                <w:color w:val="000000"/>
                <w:kern w:val="0"/>
                <w:szCs w:val="21"/>
                <w:highlight w:val="none"/>
                <w:lang w:val="en-US" w:eastAsia="zh-CN" w:bidi="ar"/>
              </w:rPr>
              <w:t>....</w:t>
            </w:r>
          </w:p>
        </w:tc>
        <w:tc>
          <w:tcPr>
            <w:tcW w:w="4820" w:type="dxa"/>
            <w:noWrap w:val="0"/>
            <w:tcMar>
              <w:top w:w="15" w:type="dxa"/>
              <w:left w:w="15" w:type="dxa"/>
              <w:right w:w="15" w:type="dxa"/>
            </w:tcMar>
            <w:vAlign w:val="center"/>
          </w:tcPr>
          <w:p w14:paraId="16E9238F">
            <w:pPr>
              <w:keepNext w:val="0"/>
              <w:keepLines w:val="0"/>
              <w:suppressLineNumbers w:val="0"/>
              <w:spacing w:before="0" w:beforeAutospacing="0" w:after="0" w:afterAutospacing="0" w:line="240" w:lineRule="auto"/>
              <w:ind w:left="0" w:right="0"/>
              <w:rPr>
                <w:rStyle w:val="101"/>
                <w:rFonts w:hint="default" w:cs="宋体"/>
                <w:color w:val="000000"/>
                <w:highlight w:val="none"/>
                <w:lang w:val="en-US" w:bidi="ar"/>
              </w:rPr>
            </w:pPr>
          </w:p>
        </w:tc>
      </w:tr>
    </w:tbl>
    <w:p w14:paraId="31295D40">
      <w:pPr>
        <w:rPr>
          <w:rFonts w:ascii="仿宋" w:hAnsi="仿宋" w:cs="宋体"/>
          <w:color w:val="000000"/>
          <w:szCs w:val="24"/>
          <w:highlight w:val="none"/>
        </w:rPr>
      </w:pPr>
      <w:r>
        <w:rPr>
          <w:rFonts w:ascii="仿宋" w:hAnsi="仿宋" w:cs="宋体"/>
          <w:color w:val="000000"/>
          <w:szCs w:val="24"/>
          <w:highlight w:val="none"/>
        </w:rPr>
        <w:br w:type="page"/>
      </w:r>
    </w:p>
    <w:p w14:paraId="7370CCD5">
      <w:pPr>
        <w:pStyle w:val="5"/>
        <w:spacing w:line="360" w:lineRule="auto"/>
        <w:rPr>
          <w:rFonts w:ascii="仿宋" w:hAnsi="仿宋" w:cs="宋体"/>
          <w:color w:val="000000"/>
          <w:szCs w:val="24"/>
          <w:highlight w:val="none"/>
        </w:rPr>
      </w:pPr>
      <w:bookmarkStart w:id="707" w:name="_Toc16677"/>
      <w:r>
        <w:rPr>
          <w:rFonts w:ascii="仿宋" w:hAnsi="仿宋" w:cs="宋体"/>
          <w:color w:val="000000"/>
          <w:szCs w:val="24"/>
          <w:highlight w:val="none"/>
        </w:rPr>
        <w:t>（一）技术规范书应答偏离表</w:t>
      </w:r>
      <w:bookmarkEnd w:id="704"/>
      <w:bookmarkEnd w:id="705"/>
      <w:bookmarkEnd w:id="706"/>
      <w:bookmarkEnd w:id="707"/>
    </w:p>
    <w:p w14:paraId="3D3136E2">
      <w:pPr>
        <w:spacing w:line="360" w:lineRule="auto"/>
        <w:jc w:val="center"/>
        <w:rPr>
          <w:rFonts w:hint="eastAsia" w:ascii="仿宋" w:hAnsi="仿宋" w:eastAsia="仿宋" w:cs="宋体"/>
          <w:b/>
          <w:bCs/>
          <w:color w:val="000000"/>
          <w:sz w:val="24"/>
          <w:szCs w:val="24"/>
          <w:highlight w:val="none"/>
        </w:rPr>
      </w:pPr>
      <w:bookmarkStart w:id="708" w:name="_Toc125771198"/>
      <w:bookmarkStart w:id="709" w:name="_Toc293297544"/>
      <w:bookmarkStart w:id="710" w:name="_Toc125561188"/>
      <w:r>
        <w:rPr>
          <w:rFonts w:hint="eastAsia" w:ascii="仿宋" w:hAnsi="仿宋" w:eastAsia="仿宋" w:cs="宋体"/>
          <w:b/>
          <w:bCs/>
          <w:color w:val="000000"/>
          <w:sz w:val="24"/>
          <w:szCs w:val="24"/>
          <w:highlight w:val="none"/>
        </w:rPr>
        <w:t>技术规范书应答偏离表</w:t>
      </w:r>
      <w:bookmarkEnd w:id="708"/>
      <w:bookmarkEnd w:id="709"/>
      <w:bookmarkEnd w:id="710"/>
    </w:p>
    <w:p w14:paraId="72E343DC">
      <w:pPr>
        <w:spacing w:line="360" w:lineRule="auto"/>
        <w:rPr>
          <w:rFonts w:hint="eastAsia" w:ascii="仿宋" w:hAnsi="仿宋" w:eastAsia="仿宋" w:cs="宋体"/>
          <w:color w:val="000000"/>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 xml:space="preserve">       </w:t>
      </w:r>
    </w:p>
    <w:tbl>
      <w:tblPr>
        <w:tblStyle w:val="32"/>
        <w:tblW w:w="0" w:type="auto"/>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835"/>
        <w:gridCol w:w="2268"/>
        <w:gridCol w:w="2640"/>
        <w:gridCol w:w="1434"/>
      </w:tblGrid>
      <w:tr w14:paraId="6FDB02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double" w:color="auto" w:sz="4" w:space="0"/>
              <w:left w:val="double" w:color="auto" w:sz="4" w:space="0"/>
              <w:bottom w:val="single" w:color="auto" w:sz="4" w:space="0"/>
              <w:right w:val="single" w:color="auto" w:sz="4" w:space="0"/>
            </w:tcBorders>
            <w:noWrap w:val="0"/>
            <w:vAlign w:val="center"/>
          </w:tcPr>
          <w:p w14:paraId="6EFDCD72">
            <w:pPr>
              <w:keepNext w:val="0"/>
              <w:keepLines w:val="0"/>
              <w:suppressLineNumbers w:val="0"/>
              <w:spacing w:before="0" w:beforeAutospacing="0" w:after="0" w:afterAutospacing="0" w:line="36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序号</w:t>
            </w:r>
          </w:p>
        </w:tc>
        <w:tc>
          <w:tcPr>
            <w:tcW w:w="2835" w:type="dxa"/>
            <w:tcBorders>
              <w:top w:val="double" w:color="auto" w:sz="4" w:space="0"/>
              <w:left w:val="single" w:color="auto" w:sz="4" w:space="0"/>
              <w:bottom w:val="single" w:color="auto" w:sz="4" w:space="0"/>
              <w:right w:val="single" w:color="auto" w:sz="4" w:space="0"/>
            </w:tcBorders>
            <w:noWrap w:val="0"/>
            <w:vAlign w:val="center"/>
          </w:tcPr>
          <w:p w14:paraId="62229AA4">
            <w:pPr>
              <w:keepNext w:val="0"/>
              <w:keepLines w:val="0"/>
              <w:suppressLineNumbers w:val="0"/>
              <w:spacing w:before="0" w:beforeAutospacing="0" w:after="0" w:afterAutospacing="0"/>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Cs w:val="20"/>
                <w:highlight w:val="none"/>
              </w:rPr>
              <w:t>技术偏离类型(正负偏离)</w:t>
            </w:r>
          </w:p>
        </w:tc>
        <w:tc>
          <w:tcPr>
            <w:tcW w:w="2268" w:type="dxa"/>
            <w:tcBorders>
              <w:top w:val="double" w:color="auto" w:sz="4" w:space="0"/>
              <w:left w:val="single" w:color="auto" w:sz="4" w:space="0"/>
              <w:bottom w:val="single" w:color="auto" w:sz="4" w:space="0"/>
              <w:right w:val="single" w:color="auto" w:sz="4" w:space="0"/>
            </w:tcBorders>
            <w:noWrap w:val="0"/>
            <w:vAlign w:val="center"/>
          </w:tcPr>
          <w:p w14:paraId="40CA415E">
            <w:pPr>
              <w:keepNext w:val="0"/>
              <w:keepLines w:val="0"/>
              <w:suppressLineNumbers w:val="0"/>
              <w:spacing w:before="0" w:beforeAutospacing="0" w:after="0" w:afterAutospacing="0"/>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Cs w:val="20"/>
                <w:highlight w:val="none"/>
              </w:rPr>
              <w:t>技术偏离的文档章节号及页号</w:t>
            </w:r>
          </w:p>
        </w:tc>
        <w:tc>
          <w:tcPr>
            <w:tcW w:w="2640" w:type="dxa"/>
            <w:tcBorders>
              <w:top w:val="double" w:color="auto" w:sz="4" w:space="0"/>
              <w:left w:val="single" w:color="auto" w:sz="4" w:space="0"/>
              <w:bottom w:val="single" w:color="auto" w:sz="4" w:space="0"/>
              <w:right w:val="single" w:color="auto" w:sz="4" w:space="0"/>
            </w:tcBorders>
            <w:noWrap w:val="0"/>
            <w:vAlign w:val="center"/>
          </w:tcPr>
          <w:p w14:paraId="5CB65267">
            <w:pPr>
              <w:keepNext w:val="0"/>
              <w:keepLines w:val="0"/>
              <w:suppressLineNumbers w:val="0"/>
              <w:spacing w:before="0" w:beforeAutospacing="0" w:after="0" w:afterAutospacing="0"/>
              <w:ind w:left="0" w:right="0"/>
              <w:jc w:val="center"/>
              <w:rPr>
                <w:rFonts w:hint="eastAsia" w:ascii="仿宋" w:hAnsi="仿宋" w:eastAsia="仿宋" w:cs="宋体"/>
                <w:b/>
                <w:bCs/>
                <w:color w:val="000000"/>
                <w:sz w:val="24"/>
                <w:szCs w:val="24"/>
                <w:highlight w:val="none"/>
              </w:rPr>
            </w:pPr>
            <w:r>
              <w:rPr>
                <w:rFonts w:hint="eastAsia" w:ascii="仿宋" w:hAnsi="仿宋" w:eastAsia="仿宋" w:cs="宋体"/>
                <w:b/>
                <w:bCs/>
                <w:color w:val="000000"/>
                <w:szCs w:val="20"/>
                <w:highlight w:val="none"/>
              </w:rPr>
              <w:t>技术偏离的主要内容说明</w:t>
            </w:r>
          </w:p>
        </w:tc>
        <w:tc>
          <w:tcPr>
            <w:tcW w:w="1434" w:type="dxa"/>
            <w:tcBorders>
              <w:top w:val="double" w:color="auto" w:sz="4" w:space="0"/>
              <w:left w:val="single" w:color="auto" w:sz="4" w:space="0"/>
              <w:bottom w:val="single" w:color="auto" w:sz="4" w:space="0"/>
              <w:right w:val="double" w:color="auto" w:sz="4" w:space="0"/>
            </w:tcBorders>
            <w:noWrap w:val="0"/>
            <w:vAlign w:val="center"/>
          </w:tcPr>
          <w:p w14:paraId="030C2AE5">
            <w:pPr>
              <w:keepNext w:val="0"/>
              <w:keepLines w:val="0"/>
              <w:suppressLineNumbers w:val="0"/>
              <w:spacing w:before="0" w:beforeAutospacing="0" w:after="0" w:afterAutospacing="0" w:line="360" w:lineRule="auto"/>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备注</w:t>
            </w:r>
          </w:p>
        </w:tc>
      </w:tr>
      <w:tr w14:paraId="02E6172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6F6F50D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0273C8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负偏离(不满足)</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E5B261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33370F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5A24587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7477B8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D99469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D5D5A3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5EBF57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052AEB8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73BBBC1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4C51A2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4B794E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7ADDF43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2F6B703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460CC1E">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42D8E7C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2C345B0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EA2CED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65C724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1712B1A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0738595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63CAE9E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604CA2C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B6412E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4BE29B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7D0544A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0AA14CA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41C016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2BD23C2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772770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6F0711F6">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28AC3B4">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67FC8F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46E0FE7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6EFF83E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318D0CF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1AF840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正偏离(优于)</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5AFC237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1A1914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0BBF09CE">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3FBD4571">
        <w:tblPrEx>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7E62C1E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03F493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791ACB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5CE0A4E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4BA739E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18644F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033B3CB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4A67572">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195A5C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7E7051CE">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69384F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1E62932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40A2C2C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1BE664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6464DE3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36EE506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7430057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367D5F0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1F4B5B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2835" w:type="dxa"/>
            <w:tcBorders>
              <w:top w:val="single" w:color="auto" w:sz="4" w:space="0"/>
              <w:left w:val="single" w:color="auto" w:sz="4" w:space="0"/>
              <w:bottom w:val="single" w:color="auto" w:sz="4" w:space="0"/>
              <w:right w:val="single" w:color="auto" w:sz="4" w:space="0"/>
            </w:tcBorders>
            <w:noWrap w:val="0"/>
            <w:vAlign w:val="top"/>
          </w:tcPr>
          <w:p w14:paraId="0D775E77">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0F79239B">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11A3341">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C12B95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14E34A0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227FF10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559F330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446FF60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2AC7AB8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2CE686F3">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1577C85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single" w:color="auto" w:sz="4" w:space="0"/>
              <w:right w:val="single" w:color="auto" w:sz="4" w:space="0"/>
            </w:tcBorders>
            <w:noWrap w:val="0"/>
            <w:vAlign w:val="top"/>
          </w:tcPr>
          <w:p w14:paraId="68FD055A">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62B7519C">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6428D88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single" w:color="auto" w:sz="4" w:space="0"/>
              <w:right w:val="single" w:color="auto" w:sz="4" w:space="0"/>
            </w:tcBorders>
            <w:noWrap w:val="0"/>
            <w:vAlign w:val="top"/>
          </w:tcPr>
          <w:p w14:paraId="6C299E1F">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single" w:color="auto" w:sz="4" w:space="0"/>
              <w:right w:val="double" w:color="auto" w:sz="4" w:space="0"/>
            </w:tcBorders>
            <w:noWrap w:val="0"/>
            <w:vAlign w:val="top"/>
          </w:tcPr>
          <w:p w14:paraId="3421AC7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r w14:paraId="099292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75" w:type="dxa"/>
            <w:tcBorders>
              <w:top w:val="single" w:color="auto" w:sz="4" w:space="0"/>
              <w:left w:val="double" w:color="auto" w:sz="4" w:space="0"/>
              <w:bottom w:val="double" w:color="auto" w:sz="4" w:space="0"/>
              <w:right w:val="single" w:color="auto" w:sz="4" w:space="0"/>
            </w:tcBorders>
            <w:noWrap w:val="0"/>
            <w:vAlign w:val="top"/>
          </w:tcPr>
          <w:p w14:paraId="0CDB524D">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835" w:type="dxa"/>
            <w:tcBorders>
              <w:top w:val="single" w:color="auto" w:sz="4" w:space="0"/>
              <w:left w:val="single" w:color="auto" w:sz="4" w:space="0"/>
              <w:bottom w:val="double" w:color="auto" w:sz="4" w:space="0"/>
              <w:right w:val="single" w:color="auto" w:sz="4" w:space="0"/>
            </w:tcBorders>
            <w:noWrap w:val="0"/>
            <w:vAlign w:val="top"/>
          </w:tcPr>
          <w:p w14:paraId="7C85ECF5">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268" w:type="dxa"/>
            <w:tcBorders>
              <w:top w:val="single" w:color="auto" w:sz="4" w:space="0"/>
              <w:left w:val="single" w:color="auto" w:sz="4" w:space="0"/>
              <w:bottom w:val="double" w:color="auto" w:sz="4" w:space="0"/>
              <w:right w:val="single" w:color="auto" w:sz="4" w:space="0"/>
            </w:tcBorders>
            <w:noWrap w:val="0"/>
            <w:vAlign w:val="top"/>
          </w:tcPr>
          <w:p w14:paraId="605FD9A9">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2640" w:type="dxa"/>
            <w:tcBorders>
              <w:top w:val="single" w:color="auto" w:sz="4" w:space="0"/>
              <w:left w:val="single" w:color="auto" w:sz="4" w:space="0"/>
              <w:bottom w:val="double" w:color="auto" w:sz="4" w:space="0"/>
              <w:right w:val="single" w:color="auto" w:sz="4" w:space="0"/>
            </w:tcBorders>
            <w:noWrap w:val="0"/>
            <w:vAlign w:val="top"/>
          </w:tcPr>
          <w:p w14:paraId="1DA3D1F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c>
          <w:tcPr>
            <w:tcW w:w="1434" w:type="dxa"/>
            <w:tcBorders>
              <w:top w:val="single" w:color="auto" w:sz="4" w:space="0"/>
              <w:left w:val="single" w:color="auto" w:sz="4" w:space="0"/>
              <w:bottom w:val="double" w:color="auto" w:sz="4" w:space="0"/>
              <w:right w:val="double" w:color="auto" w:sz="4" w:space="0"/>
            </w:tcBorders>
            <w:noWrap w:val="0"/>
            <w:vAlign w:val="top"/>
          </w:tcPr>
          <w:p w14:paraId="679C7A60">
            <w:pPr>
              <w:keepNext w:val="0"/>
              <w:keepLines w:val="0"/>
              <w:suppressLineNumbers w:val="0"/>
              <w:spacing w:before="0" w:beforeAutospacing="0" w:after="0" w:afterAutospacing="0" w:line="360" w:lineRule="auto"/>
              <w:ind w:left="0" w:right="0"/>
              <w:rPr>
                <w:rFonts w:hint="eastAsia" w:ascii="仿宋" w:hAnsi="仿宋" w:eastAsia="仿宋" w:cs="宋体"/>
                <w:color w:val="000000"/>
                <w:szCs w:val="21"/>
                <w:highlight w:val="none"/>
              </w:rPr>
            </w:pPr>
          </w:p>
        </w:tc>
      </w:tr>
    </w:tbl>
    <w:p w14:paraId="697BCECC">
      <w:pPr>
        <w:spacing w:before="240" w:line="360" w:lineRule="auto"/>
        <w:rPr>
          <w:rFonts w:hint="eastAsia" w:ascii="仿宋" w:hAnsi="仿宋" w:eastAsia="仿宋" w:cs="Cambria Math"/>
          <w:color w:val="000000"/>
          <w:sz w:val="24"/>
          <w:highlight w:val="none"/>
        </w:rPr>
      </w:pPr>
      <w:r>
        <w:rPr>
          <w:rFonts w:hint="eastAsia" w:ascii="仿宋" w:hAnsi="仿宋" w:eastAsia="仿宋" w:cs="宋体"/>
          <w:color w:val="000000"/>
          <w:sz w:val="24"/>
          <w:szCs w:val="24"/>
          <w:highlight w:val="none"/>
        </w:rPr>
        <w:t>注：对于未列出的偏离内容视同投标人已完全接受招标文件的要求。</w:t>
      </w:r>
      <w:r>
        <w:rPr>
          <w:rFonts w:hint="eastAsia" w:ascii="仿宋" w:hAnsi="仿宋" w:eastAsia="仿宋" w:cs="Cambria Math"/>
          <w:b/>
          <w:bCs/>
          <w:color w:val="000000"/>
          <w:sz w:val="24"/>
          <w:highlight w:val="none"/>
        </w:rPr>
        <w:t>如全部满足，在偏离表中应答“全部满足”即可</w:t>
      </w:r>
      <w:r>
        <w:rPr>
          <w:rFonts w:hint="eastAsia" w:ascii="仿宋" w:hAnsi="仿宋" w:eastAsia="仿宋" w:cs="Cambria Math"/>
          <w:color w:val="000000"/>
          <w:sz w:val="24"/>
          <w:highlight w:val="none"/>
        </w:rPr>
        <w:t>。</w:t>
      </w:r>
    </w:p>
    <w:p w14:paraId="7A56DDF7">
      <w:pPr>
        <w:spacing w:line="440" w:lineRule="exact"/>
        <w:ind w:firstLine="4080" w:firstLineChars="1700"/>
        <w:jc w:val="right"/>
        <w:rPr>
          <w:rFonts w:hint="eastAsia" w:ascii="仿宋" w:hAnsi="仿宋" w:eastAsia="仿宋" w:cs="宋体"/>
          <w:color w:val="000000"/>
          <w:sz w:val="24"/>
          <w:szCs w:val="24"/>
          <w:highlight w:val="none"/>
        </w:rPr>
      </w:pPr>
    </w:p>
    <w:p w14:paraId="6181CC77">
      <w:pPr>
        <w:spacing w:line="440" w:lineRule="exact"/>
        <w:ind w:firstLine="4080" w:firstLineChars="1700"/>
        <w:jc w:val="right"/>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投标人名称：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（盖章）</w:t>
      </w:r>
    </w:p>
    <w:p w14:paraId="7AF90906">
      <w:pPr>
        <w:spacing w:line="440" w:lineRule="exact"/>
        <w:jc w:val="right"/>
        <w:rPr>
          <w:rFonts w:hint="eastAsia" w:ascii="仿宋" w:hAnsi="仿宋" w:eastAsia="仿宋" w:cs="宋体"/>
          <w:b/>
          <w:bCs/>
          <w:color w:val="000000"/>
          <w:sz w:val="24"/>
          <w:szCs w:val="24"/>
          <w:highlight w:val="none"/>
        </w:rPr>
      </w:pPr>
      <w:r>
        <w:rPr>
          <w:rFonts w:hint="eastAsia" w:ascii="仿宋" w:hAnsi="仿宋" w:eastAsia="仿宋" w:cs="宋体"/>
          <w:color w:val="000000"/>
          <w:sz w:val="24"/>
          <w:szCs w:val="24"/>
          <w:highlight w:val="none"/>
        </w:rPr>
        <w:t>日期：</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年</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月</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rPr>
        <w:t>日</w:t>
      </w:r>
    </w:p>
    <w:p w14:paraId="0FEA2AC2">
      <w:pPr>
        <w:spacing w:line="360" w:lineRule="auto"/>
        <w:rPr>
          <w:rFonts w:hint="eastAsia" w:ascii="仿宋" w:hAnsi="仿宋" w:eastAsia="仿宋" w:cs="宋体"/>
          <w:color w:val="000000"/>
          <w:sz w:val="24"/>
          <w:szCs w:val="24"/>
          <w:highlight w:val="none"/>
        </w:rPr>
      </w:pPr>
    </w:p>
    <w:p w14:paraId="48845A93">
      <w:pPr>
        <w:rPr>
          <w:rFonts w:ascii="仿宋" w:hAnsi="仿宋" w:cs="宋体"/>
          <w:color w:val="000000"/>
          <w:szCs w:val="24"/>
          <w:highlight w:val="none"/>
        </w:rPr>
      </w:pPr>
      <w:bookmarkStart w:id="711" w:name="_Toc58177623"/>
      <w:bookmarkStart w:id="712" w:name="_Toc4895"/>
      <w:bookmarkStart w:id="713" w:name="_Toc109124329"/>
      <w:bookmarkStart w:id="714" w:name="_Toc65683015"/>
      <w:r>
        <w:rPr>
          <w:rFonts w:ascii="仿宋" w:hAnsi="仿宋" w:cs="宋体"/>
          <w:color w:val="000000"/>
          <w:szCs w:val="24"/>
          <w:highlight w:val="none"/>
        </w:rPr>
        <w:br w:type="page"/>
      </w:r>
    </w:p>
    <w:p w14:paraId="1F757075">
      <w:pPr>
        <w:pStyle w:val="5"/>
        <w:spacing w:line="360" w:lineRule="auto"/>
        <w:ind w:firstLine="0" w:firstLineChars="0"/>
        <w:rPr>
          <w:rFonts w:ascii="仿宋" w:hAnsi="仿宋" w:cs="宋体"/>
          <w:color w:val="000000"/>
          <w:szCs w:val="24"/>
          <w:highlight w:val="none"/>
        </w:rPr>
      </w:pPr>
      <w:bookmarkStart w:id="715" w:name="_Toc12176"/>
      <w:r>
        <w:rPr>
          <w:rFonts w:ascii="仿宋" w:hAnsi="仿宋" w:cs="宋体"/>
          <w:color w:val="000000"/>
          <w:szCs w:val="24"/>
          <w:highlight w:val="none"/>
        </w:rPr>
        <w:t>（二）技术方案</w:t>
      </w:r>
      <w:bookmarkEnd w:id="711"/>
      <w:bookmarkEnd w:id="712"/>
      <w:bookmarkEnd w:id="713"/>
      <w:bookmarkEnd w:id="714"/>
      <w:bookmarkEnd w:id="715"/>
    </w:p>
    <w:p w14:paraId="21DE1122">
      <w:pPr>
        <w:spacing w:line="360" w:lineRule="auto"/>
        <w:ind w:firstLine="480" w:firstLineChars="200"/>
        <w:rPr>
          <w:rFonts w:hint="eastAsia" w:ascii="仿宋" w:hAnsi="仿宋" w:eastAsia="仿宋" w:cs="宋体"/>
          <w:color w:val="000000"/>
          <w:sz w:val="24"/>
          <w:szCs w:val="24"/>
          <w:highlight w:val="none"/>
          <w:lang w:bidi="ar"/>
        </w:rPr>
      </w:pPr>
      <w:r>
        <w:rPr>
          <w:rFonts w:hint="eastAsia" w:ascii="仿宋" w:hAnsi="仿宋" w:eastAsia="仿宋" w:cs="宋体"/>
          <w:color w:val="000000"/>
          <w:sz w:val="24"/>
          <w:szCs w:val="24"/>
          <w:highlight w:val="none"/>
          <w:lang w:bidi="ar"/>
        </w:rPr>
        <w:t>在充分响应技术规范书各项要求的基础上，编制技术方案，并提供技术规范书要求的证书、资质、承诺等材料。</w:t>
      </w:r>
    </w:p>
    <w:p w14:paraId="1BA021FF">
      <w:pPr>
        <w:spacing w:line="360" w:lineRule="auto"/>
        <w:ind w:firstLine="480" w:firstLineChars="200"/>
        <w:rPr>
          <w:rFonts w:hint="eastAsia" w:ascii="仿宋" w:hAnsi="仿宋" w:eastAsia="仿宋" w:cs="宋体"/>
          <w:color w:val="000000"/>
          <w:sz w:val="24"/>
          <w:szCs w:val="24"/>
          <w:highlight w:val="none"/>
          <w:lang w:bidi="ar"/>
        </w:rPr>
      </w:pPr>
      <w:r>
        <w:rPr>
          <w:rFonts w:hint="eastAsia" w:ascii="仿宋" w:hAnsi="仿宋" w:eastAsia="仿宋" w:cs="宋体"/>
          <w:color w:val="000000"/>
          <w:sz w:val="24"/>
          <w:szCs w:val="24"/>
          <w:highlight w:val="none"/>
          <w:lang w:bidi="ar"/>
        </w:rPr>
        <w:t>技术方案包括但不限于：产品性能、进度管控方案、开发方案、集成实施方案、运维方案、培训方案、应急响应方案、拟派团队方案、服务承诺等内容。</w:t>
      </w:r>
    </w:p>
    <w:p w14:paraId="1498A64E">
      <w:pPr>
        <w:pStyle w:val="6"/>
        <w:rPr>
          <w:rFonts w:hint="eastAsia" w:ascii="仿宋" w:hAnsi="仿宋" w:cs="宋体"/>
          <w:color w:val="000000"/>
          <w:highlight w:val="none"/>
        </w:rPr>
      </w:pPr>
      <w:r>
        <w:rPr>
          <w:rFonts w:hint="eastAsia" w:ascii="仿宋" w:hAnsi="仿宋" w:cs="宋体"/>
          <w:color w:val="000000"/>
          <w:highlight w:val="none"/>
          <w:lang w:bidi="ar"/>
        </w:rPr>
        <w:br w:type="page"/>
      </w:r>
      <w:r>
        <w:rPr>
          <w:rFonts w:hint="eastAsia" w:ascii="仿宋" w:hAnsi="仿宋" w:cs="宋体"/>
          <w:color w:val="000000"/>
          <w:highlight w:val="none"/>
        </w:rPr>
        <w:t>1、拟派服务团队成员汇总表</w:t>
      </w:r>
    </w:p>
    <w:tbl>
      <w:tblPr>
        <w:tblStyle w:val="3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260"/>
        <w:gridCol w:w="851"/>
        <w:gridCol w:w="980"/>
        <w:gridCol w:w="992"/>
        <w:gridCol w:w="1276"/>
        <w:gridCol w:w="1134"/>
        <w:gridCol w:w="1695"/>
      </w:tblGrid>
      <w:tr w14:paraId="5FB94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3" w:hRule="atLeast"/>
          <w:tblHeader/>
          <w:jc w:val="center"/>
        </w:trPr>
        <w:tc>
          <w:tcPr>
            <w:tcW w:w="750" w:type="dxa"/>
            <w:noWrap w:val="0"/>
            <w:vAlign w:val="center"/>
          </w:tcPr>
          <w:p w14:paraId="189B802A">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序号</w:t>
            </w:r>
          </w:p>
        </w:tc>
        <w:tc>
          <w:tcPr>
            <w:tcW w:w="1260" w:type="dxa"/>
            <w:noWrap w:val="0"/>
            <w:vAlign w:val="center"/>
          </w:tcPr>
          <w:p w14:paraId="19332328">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姓名</w:t>
            </w:r>
          </w:p>
        </w:tc>
        <w:tc>
          <w:tcPr>
            <w:tcW w:w="851" w:type="dxa"/>
            <w:noWrap w:val="0"/>
            <w:vAlign w:val="center"/>
          </w:tcPr>
          <w:p w14:paraId="465F42F0">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学历</w:t>
            </w:r>
          </w:p>
        </w:tc>
        <w:tc>
          <w:tcPr>
            <w:tcW w:w="980" w:type="dxa"/>
            <w:noWrap w:val="0"/>
            <w:vAlign w:val="center"/>
          </w:tcPr>
          <w:p w14:paraId="08865B33">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专业资质</w:t>
            </w:r>
          </w:p>
        </w:tc>
        <w:tc>
          <w:tcPr>
            <w:tcW w:w="992" w:type="dxa"/>
            <w:noWrap w:val="0"/>
            <w:vAlign w:val="center"/>
          </w:tcPr>
          <w:p w14:paraId="6151F837">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工作年限</w:t>
            </w:r>
          </w:p>
        </w:tc>
        <w:tc>
          <w:tcPr>
            <w:tcW w:w="1276" w:type="dxa"/>
            <w:noWrap w:val="0"/>
            <w:vAlign w:val="center"/>
          </w:tcPr>
          <w:p w14:paraId="6B740CC5">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本项目职务</w:t>
            </w:r>
          </w:p>
        </w:tc>
        <w:tc>
          <w:tcPr>
            <w:tcW w:w="1134" w:type="dxa"/>
            <w:noWrap w:val="0"/>
            <w:vAlign w:val="center"/>
          </w:tcPr>
          <w:p w14:paraId="56870FE7">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服务内容</w:t>
            </w:r>
          </w:p>
        </w:tc>
        <w:tc>
          <w:tcPr>
            <w:tcW w:w="1695" w:type="dxa"/>
            <w:noWrap w:val="0"/>
            <w:vAlign w:val="center"/>
          </w:tcPr>
          <w:p w14:paraId="6C00A72E">
            <w:pPr>
              <w:keepNext w:val="0"/>
              <w:keepLines w:val="0"/>
              <w:suppressLineNumbers w:val="0"/>
              <w:snapToGrid w:val="0"/>
              <w:spacing w:before="0" w:beforeAutospacing="0" w:after="0" w:afterAutospacing="0" w:line="300" w:lineRule="exact"/>
              <w:ind w:left="0" w:right="0"/>
              <w:jc w:val="center"/>
              <w:rPr>
                <w:rFonts w:hint="eastAsia" w:ascii="仿宋" w:hAnsi="仿宋" w:eastAsia="仿宋" w:cs="宋体"/>
                <w:b/>
                <w:color w:val="000000"/>
                <w:szCs w:val="21"/>
                <w:highlight w:val="none"/>
              </w:rPr>
            </w:pPr>
            <w:r>
              <w:rPr>
                <w:rFonts w:hint="eastAsia" w:ascii="仿宋" w:hAnsi="仿宋" w:eastAsia="仿宋" w:cs="宋体"/>
                <w:b/>
                <w:color w:val="000000"/>
                <w:szCs w:val="21"/>
                <w:highlight w:val="none"/>
              </w:rPr>
              <w:t>同类项目实施案例</w:t>
            </w:r>
          </w:p>
        </w:tc>
      </w:tr>
      <w:tr w14:paraId="2387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50" w:type="dxa"/>
            <w:noWrap w:val="0"/>
            <w:vAlign w:val="center"/>
          </w:tcPr>
          <w:p w14:paraId="3173B13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1</w:t>
            </w:r>
          </w:p>
        </w:tc>
        <w:tc>
          <w:tcPr>
            <w:tcW w:w="1260" w:type="dxa"/>
            <w:noWrap w:val="0"/>
            <w:vAlign w:val="center"/>
          </w:tcPr>
          <w:p w14:paraId="4E85901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38BB086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6B5AB08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6A02FB8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37E4C56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3D6D28F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29AEF6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r w14:paraId="5F7D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5BD44ADE">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2</w:t>
            </w:r>
          </w:p>
        </w:tc>
        <w:tc>
          <w:tcPr>
            <w:tcW w:w="1260" w:type="dxa"/>
            <w:noWrap w:val="0"/>
            <w:vAlign w:val="center"/>
          </w:tcPr>
          <w:p w14:paraId="662C539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74B8BBA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6D15FB8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0BB4D87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67D1870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6123AF6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3438998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r w14:paraId="258BA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FD8014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3</w:t>
            </w:r>
          </w:p>
        </w:tc>
        <w:tc>
          <w:tcPr>
            <w:tcW w:w="1260" w:type="dxa"/>
            <w:noWrap w:val="0"/>
            <w:vAlign w:val="center"/>
          </w:tcPr>
          <w:p w14:paraId="117CFF1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04803A6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2B946E4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56F2633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17249183">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49B3A782">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32CBAFC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r w14:paraId="78991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3FCF06A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4</w:t>
            </w:r>
          </w:p>
        </w:tc>
        <w:tc>
          <w:tcPr>
            <w:tcW w:w="1260" w:type="dxa"/>
            <w:noWrap w:val="0"/>
            <w:vAlign w:val="center"/>
          </w:tcPr>
          <w:p w14:paraId="7DEDDFF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2E3C97A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098B2E0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403049E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3F61B27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6C798264">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457E2CBA">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r w14:paraId="7F43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0570B66D">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1260" w:type="dxa"/>
            <w:noWrap w:val="0"/>
            <w:vAlign w:val="center"/>
          </w:tcPr>
          <w:p w14:paraId="17FCEB9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1AB9DFA0">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6995EDC8">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695802A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0B704BF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483D921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45291991">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r w14:paraId="067F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50" w:type="dxa"/>
            <w:noWrap w:val="0"/>
            <w:vAlign w:val="center"/>
          </w:tcPr>
          <w:p w14:paraId="4171C505">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r>
              <w:rPr>
                <w:rFonts w:hint="eastAsia" w:ascii="仿宋" w:hAnsi="仿宋" w:eastAsia="仿宋" w:cs="宋体"/>
                <w:color w:val="000000"/>
                <w:szCs w:val="21"/>
                <w:highlight w:val="none"/>
              </w:rPr>
              <w:t>...</w:t>
            </w:r>
          </w:p>
        </w:tc>
        <w:tc>
          <w:tcPr>
            <w:tcW w:w="1260" w:type="dxa"/>
            <w:noWrap w:val="0"/>
            <w:vAlign w:val="center"/>
          </w:tcPr>
          <w:p w14:paraId="14BFD8E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851" w:type="dxa"/>
            <w:noWrap w:val="0"/>
            <w:vAlign w:val="top"/>
          </w:tcPr>
          <w:p w14:paraId="4ABA66D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80" w:type="dxa"/>
            <w:noWrap w:val="0"/>
            <w:vAlign w:val="center"/>
          </w:tcPr>
          <w:p w14:paraId="7A54B839">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992" w:type="dxa"/>
            <w:noWrap w:val="0"/>
            <w:vAlign w:val="center"/>
          </w:tcPr>
          <w:p w14:paraId="4B058A4C">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276" w:type="dxa"/>
            <w:noWrap w:val="0"/>
            <w:vAlign w:val="center"/>
          </w:tcPr>
          <w:p w14:paraId="6C306C06">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134" w:type="dxa"/>
            <w:noWrap w:val="0"/>
            <w:vAlign w:val="center"/>
          </w:tcPr>
          <w:p w14:paraId="705F6E07">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c>
          <w:tcPr>
            <w:tcW w:w="1695" w:type="dxa"/>
            <w:noWrap w:val="0"/>
            <w:vAlign w:val="center"/>
          </w:tcPr>
          <w:p w14:paraId="2BD5935F">
            <w:pPr>
              <w:keepNext w:val="0"/>
              <w:keepLines w:val="0"/>
              <w:suppressLineNumbers w:val="0"/>
              <w:snapToGrid w:val="0"/>
              <w:spacing w:before="0" w:beforeAutospacing="0" w:after="0" w:afterAutospacing="0" w:line="360" w:lineRule="auto"/>
              <w:ind w:left="0" w:right="0"/>
              <w:jc w:val="center"/>
              <w:rPr>
                <w:rFonts w:hint="eastAsia" w:ascii="仿宋" w:hAnsi="仿宋" w:eastAsia="仿宋" w:cs="宋体"/>
                <w:color w:val="000000"/>
                <w:szCs w:val="21"/>
                <w:highlight w:val="none"/>
              </w:rPr>
            </w:pPr>
          </w:p>
        </w:tc>
      </w:tr>
    </w:tbl>
    <w:p w14:paraId="076D8BFD">
      <w:pPr>
        <w:ind w:firstLine="480" w:firstLineChars="200"/>
        <w:rPr>
          <w:rFonts w:hint="eastAsia" w:ascii="仿宋" w:hAnsi="仿宋" w:eastAsia="仿宋" w:cs="宋体"/>
          <w:color w:val="000000"/>
          <w:sz w:val="24"/>
          <w:szCs w:val="24"/>
          <w:highlight w:val="none"/>
          <w:lang w:bidi="ar"/>
        </w:rPr>
      </w:pPr>
    </w:p>
    <w:p w14:paraId="27745D38">
      <w:pPr>
        <w:rPr>
          <w:rFonts w:hint="eastAsia" w:ascii="仿宋" w:hAnsi="仿宋" w:eastAsia="仿宋" w:cs="宋体"/>
          <w:b/>
          <w:color w:val="000000"/>
          <w:sz w:val="24"/>
          <w:szCs w:val="24"/>
          <w:highlight w:val="none"/>
          <w:lang w:bidi="ar"/>
        </w:rPr>
      </w:pPr>
      <w:r>
        <w:rPr>
          <w:rFonts w:hint="eastAsia" w:ascii="仿宋" w:hAnsi="仿宋" w:eastAsia="仿宋" w:cs="宋体"/>
          <w:b/>
          <w:color w:val="000000"/>
          <w:sz w:val="24"/>
          <w:szCs w:val="24"/>
          <w:highlight w:val="none"/>
          <w:lang w:bidi="ar"/>
        </w:rPr>
        <w:t>备注：</w:t>
      </w:r>
    </w:p>
    <w:p w14:paraId="78449C49">
      <w:pPr>
        <w:rPr>
          <w:rFonts w:hint="eastAsia" w:ascii="仿宋" w:hAnsi="仿宋" w:eastAsia="仿宋" w:cs="宋体"/>
          <w:b/>
          <w:color w:val="000000"/>
          <w:sz w:val="24"/>
          <w:szCs w:val="24"/>
          <w:highlight w:val="none"/>
          <w:lang w:bidi="ar"/>
        </w:rPr>
      </w:pPr>
      <w:r>
        <w:rPr>
          <w:rFonts w:hint="eastAsia" w:ascii="仿宋" w:hAnsi="仿宋" w:eastAsia="仿宋" w:cs="宋体"/>
          <w:b/>
          <w:color w:val="000000"/>
          <w:sz w:val="24"/>
          <w:szCs w:val="24"/>
          <w:highlight w:val="none"/>
          <w:lang w:bidi="ar"/>
        </w:rPr>
        <w:t>需按照技术规范书中的相关要求，列明本项目服务团队所有人员信息及职责分工。</w:t>
      </w:r>
    </w:p>
    <w:p w14:paraId="288AFCEB">
      <w:pPr>
        <w:spacing w:line="360" w:lineRule="auto"/>
        <w:ind w:firstLine="4080" w:firstLineChars="1700"/>
        <w:jc w:val="right"/>
        <w:rPr>
          <w:rFonts w:hint="eastAsia" w:ascii="仿宋" w:hAnsi="仿宋" w:eastAsia="仿宋" w:cs="宋体"/>
          <w:color w:val="000000"/>
          <w:sz w:val="24"/>
          <w:szCs w:val="24"/>
          <w:highlight w:val="none"/>
        </w:rPr>
      </w:pPr>
    </w:p>
    <w:p w14:paraId="0B77696C">
      <w:pPr>
        <w:spacing w:line="360" w:lineRule="auto"/>
        <w:ind w:firstLine="4080" w:firstLineChars="1700"/>
        <w:jc w:val="right"/>
        <w:rPr>
          <w:rFonts w:hint="eastAsia" w:ascii="仿宋" w:hAnsi="仿宋" w:eastAsia="仿宋" w:cs="宋体"/>
          <w:color w:val="000000"/>
          <w:sz w:val="24"/>
          <w:szCs w:val="24"/>
          <w:highlight w:val="none"/>
        </w:rPr>
      </w:pPr>
    </w:p>
    <w:p w14:paraId="364037EA">
      <w:pPr>
        <w:ind w:firstLine="482" w:firstLineChars="200"/>
        <w:rPr>
          <w:rFonts w:hint="eastAsia" w:ascii="仿宋" w:hAnsi="仿宋" w:eastAsia="仿宋" w:cs="宋体"/>
          <w:b/>
          <w:bCs/>
          <w:color w:val="000000"/>
          <w:sz w:val="24"/>
          <w:highlight w:val="none"/>
        </w:rPr>
      </w:pPr>
    </w:p>
    <w:p w14:paraId="32DB137B">
      <w:pPr>
        <w:ind w:firstLine="482" w:firstLineChars="200"/>
        <w:rPr>
          <w:rFonts w:hint="eastAsia" w:ascii="仿宋" w:hAnsi="仿宋" w:eastAsia="仿宋" w:cs="宋体"/>
          <w:b/>
          <w:bCs/>
          <w:color w:val="000000"/>
          <w:sz w:val="24"/>
          <w:highlight w:val="none"/>
        </w:rPr>
        <w:sectPr>
          <w:pgSz w:w="11906" w:h="16838"/>
          <w:pgMar w:top="1417" w:right="1134" w:bottom="1134" w:left="1134" w:header="851" w:footer="992" w:gutter="0"/>
          <w:cols w:space="720" w:num="1"/>
          <w:titlePg/>
          <w:docGrid w:type="lines" w:linePitch="312" w:charSpace="0"/>
        </w:sectPr>
      </w:pPr>
    </w:p>
    <w:p w14:paraId="0175C958">
      <w:pPr>
        <w:pStyle w:val="6"/>
        <w:rPr>
          <w:rFonts w:hint="eastAsia" w:ascii="仿宋" w:hAnsi="仿宋" w:cs="宋体"/>
          <w:color w:val="000000"/>
          <w:highlight w:val="none"/>
        </w:rPr>
      </w:pPr>
      <w:r>
        <w:rPr>
          <w:rFonts w:hint="eastAsia" w:ascii="仿宋" w:hAnsi="仿宋" w:cs="宋体"/>
          <w:color w:val="000000"/>
          <w:highlight w:val="none"/>
        </w:rPr>
        <w:t>2、拟派团队成员简历表</w:t>
      </w:r>
    </w:p>
    <w:tbl>
      <w:tblPr>
        <w:tblStyle w:val="3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321"/>
        <w:gridCol w:w="294"/>
        <w:gridCol w:w="1065"/>
        <w:gridCol w:w="909"/>
        <w:gridCol w:w="36"/>
        <w:gridCol w:w="945"/>
        <w:gridCol w:w="1287"/>
        <w:gridCol w:w="567"/>
        <w:gridCol w:w="2694"/>
      </w:tblGrid>
      <w:tr w14:paraId="022BC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trPr>
        <w:tc>
          <w:tcPr>
            <w:tcW w:w="1380" w:type="dxa"/>
            <w:noWrap w:val="0"/>
            <w:vAlign w:val="center"/>
          </w:tcPr>
          <w:p w14:paraId="6B2244C1">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姓  名</w:t>
            </w:r>
          </w:p>
        </w:tc>
        <w:tc>
          <w:tcPr>
            <w:tcW w:w="1680" w:type="dxa"/>
            <w:gridSpan w:val="3"/>
            <w:noWrap w:val="0"/>
            <w:vAlign w:val="center"/>
          </w:tcPr>
          <w:p w14:paraId="1C3AC178">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p>
        </w:tc>
        <w:tc>
          <w:tcPr>
            <w:tcW w:w="945" w:type="dxa"/>
            <w:gridSpan w:val="2"/>
            <w:noWrap w:val="0"/>
            <w:vAlign w:val="center"/>
          </w:tcPr>
          <w:p w14:paraId="430211ED">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性 别</w:t>
            </w:r>
          </w:p>
        </w:tc>
        <w:tc>
          <w:tcPr>
            <w:tcW w:w="945" w:type="dxa"/>
            <w:noWrap w:val="0"/>
            <w:vAlign w:val="center"/>
          </w:tcPr>
          <w:p w14:paraId="27D5E9F1">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1854" w:type="dxa"/>
            <w:gridSpan w:val="2"/>
            <w:noWrap w:val="0"/>
            <w:vAlign w:val="center"/>
          </w:tcPr>
          <w:p w14:paraId="2E161F32">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出 生 日 期</w:t>
            </w:r>
          </w:p>
        </w:tc>
        <w:tc>
          <w:tcPr>
            <w:tcW w:w="2694" w:type="dxa"/>
            <w:noWrap w:val="0"/>
            <w:vAlign w:val="center"/>
          </w:tcPr>
          <w:p w14:paraId="5462D03D">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      年    月   日</w:t>
            </w:r>
          </w:p>
        </w:tc>
      </w:tr>
      <w:tr w14:paraId="558B0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1380" w:type="dxa"/>
            <w:noWrap w:val="0"/>
            <w:vAlign w:val="center"/>
          </w:tcPr>
          <w:p w14:paraId="0F4AC8FC">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毕业院校及专业</w:t>
            </w:r>
          </w:p>
        </w:tc>
        <w:tc>
          <w:tcPr>
            <w:tcW w:w="3570" w:type="dxa"/>
            <w:gridSpan w:val="6"/>
            <w:noWrap w:val="0"/>
            <w:vAlign w:val="center"/>
          </w:tcPr>
          <w:p w14:paraId="6DCC4D4B">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1854" w:type="dxa"/>
            <w:gridSpan w:val="2"/>
            <w:noWrap w:val="0"/>
            <w:vAlign w:val="center"/>
          </w:tcPr>
          <w:p w14:paraId="3D609D93">
            <w:pPr>
              <w:keepNext w:val="0"/>
              <w:keepLines w:val="0"/>
              <w:suppressLineNumbers w:val="0"/>
              <w:spacing w:before="0" w:beforeAutospacing="0" w:after="0" w:afterAutospacing="0"/>
              <w:ind w:left="-18"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学历</w:t>
            </w:r>
          </w:p>
        </w:tc>
        <w:tc>
          <w:tcPr>
            <w:tcW w:w="2694" w:type="dxa"/>
            <w:noWrap w:val="0"/>
            <w:vAlign w:val="center"/>
          </w:tcPr>
          <w:p w14:paraId="19084780">
            <w:pPr>
              <w:keepNext w:val="0"/>
              <w:keepLines w:val="0"/>
              <w:suppressLineNumbers w:val="0"/>
              <w:spacing w:before="0" w:beforeAutospacing="0" w:after="0" w:afterAutospacing="0"/>
              <w:ind w:left="45"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    </w:t>
            </w:r>
          </w:p>
        </w:tc>
      </w:tr>
      <w:tr w14:paraId="24C48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995" w:type="dxa"/>
            <w:gridSpan w:val="3"/>
            <w:noWrap w:val="0"/>
            <w:vAlign w:val="center"/>
          </w:tcPr>
          <w:p w14:paraId="0D545900">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工作年限</w:t>
            </w:r>
          </w:p>
        </w:tc>
        <w:tc>
          <w:tcPr>
            <w:tcW w:w="1974" w:type="dxa"/>
            <w:gridSpan w:val="2"/>
            <w:noWrap w:val="0"/>
            <w:vAlign w:val="center"/>
          </w:tcPr>
          <w:p w14:paraId="6FC202CF">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2835" w:type="dxa"/>
            <w:gridSpan w:val="4"/>
            <w:noWrap w:val="0"/>
            <w:vAlign w:val="center"/>
          </w:tcPr>
          <w:p w14:paraId="041C9781">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为投标人服务时间</w:t>
            </w:r>
          </w:p>
        </w:tc>
        <w:tc>
          <w:tcPr>
            <w:tcW w:w="2694" w:type="dxa"/>
            <w:noWrap w:val="0"/>
            <w:vAlign w:val="center"/>
          </w:tcPr>
          <w:p w14:paraId="100D8C96">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4B43D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95" w:type="dxa"/>
            <w:gridSpan w:val="3"/>
            <w:noWrap w:val="0"/>
            <w:vAlign w:val="center"/>
          </w:tcPr>
          <w:p w14:paraId="0D2C3208">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专业资质</w:t>
            </w:r>
          </w:p>
        </w:tc>
        <w:tc>
          <w:tcPr>
            <w:tcW w:w="1974" w:type="dxa"/>
            <w:gridSpan w:val="2"/>
            <w:noWrap w:val="0"/>
            <w:vAlign w:val="center"/>
          </w:tcPr>
          <w:p w14:paraId="62DE4F1B">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2835" w:type="dxa"/>
            <w:gridSpan w:val="4"/>
            <w:noWrap w:val="0"/>
            <w:vAlign w:val="center"/>
          </w:tcPr>
          <w:p w14:paraId="3C7B808C">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在本项目中的职务</w:t>
            </w:r>
          </w:p>
        </w:tc>
        <w:tc>
          <w:tcPr>
            <w:tcW w:w="2694" w:type="dxa"/>
            <w:noWrap w:val="0"/>
            <w:vAlign w:val="center"/>
          </w:tcPr>
          <w:p w14:paraId="73192F03">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58E4F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9498" w:type="dxa"/>
            <w:gridSpan w:val="10"/>
            <w:noWrap w:val="0"/>
            <w:vAlign w:val="center"/>
          </w:tcPr>
          <w:p w14:paraId="0538A824">
            <w:pPr>
              <w:keepNext w:val="0"/>
              <w:keepLines w:val="0"/>
              <w:suppressLineNumbers w:val="0"/>
              <w:spacing w:before="0" w:beforeAutospacing="0" w:after="0" w:afterAutospacing="0"/>
              <w:ind w:left="0" w:right="0" w:firstLine="3360" w:firstLineChars="140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服    务    内    容</w:t>
            </w:r>
          </w:p>
        </w:tc>
      </w:tr>
      <w:tr w14:paraId="17B0D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8" w:hRule="atLeast"/>
        </w:trPr>
        <w:tc>
          <w:tcPr>
            <w:tcW w:w="9498" w:type="dxa"/>
            <w:gridSpan w:val="10"/>
            <w:noWrap w:val="0"/>
            <w:vAlign w:val="center"/>
          </w:tcPr>
          <w:p w14:paraId="44AED855">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4E1C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trPr>
        <w:tc>
          <w:tcPr>
            <w:tcW w:w="9498" w:type="dxa"/>
            <w:gridSpan w:val="10"/>
            <w:noWrap w:val="0"/>
            <w:vAlign w:val="center"/>
          </w:tcPr>
          <w:p w14:paraId="4E1C3216">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 xml:space="preserve">                          主  要  经  历</w:t>
            </w:r>
          </w:p>
        </w:tc>
      </w:tr>
      <w:tr w14:paraId="67E2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01" w:type="dxa"/>
            <w:gridSpan w:val="2"/>
            <w:noWrap w:val="0"/>
            <w:vAlign w:val="center"/>
          </w:tcPr>
          <w:p w14:paraId="5FA7063C">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时   间</w:t>
            </w:r>
          </w:p>
        </w:tc>
        <w:tc>
          <w:tcPr>
            <w:tcW w:w="4536" w:type="dxa"/>
            <w:gridSpan w:val="6"/>
            <w:noWrap w:val="0"/>
            <w:vAlign w:val="center"/>
          </w:tcPr>
          <w:p w14:paraId="39FE7D35">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同类项目名称及简要描述</w:t>
            </w:r>
          </w:p>
        </w:tc>
        <w:tc>
          <w:tcPr>
            <w:tcW w:w="3261" w:type="dxa"/>
            <w:gridSpan w:val="2"/>
            <w:noWrap w:val="0"/>
            <w:vAlign w:val="center"/>
          </w:tcPr>
          <w:p w14:paraId="2E93B2D6">
            <w:pPr>
              <w:keepNext w:val="0"/>
              <w:keepLines w:val="0"/>
              <w:suppressLineNumbers w:val="0"/>
              <w:spacing w:before="0" w:beforeAutospacing="0" w:after="0" w:afterAutospacing="0"/>
              <w:ind w:left="0" w:right="0"/>
              <w:jc w:val="center"/>
              <w:rPr>
                <w:rFonts w:hint="eastAsia" w:ascii="仿宋" w:hAnsi="仿宋" w:eastAsia="仿宋" w:cs="宋体"/>
                <w:color w:val="000000"/>
                <w:sz w:val="24"/>
                <w:szCs w:val="24"/>
                <w:highlight w:val="none"/>
              </w:rPr>
            </w:pPr>
            <w:r>
              <w:rPr>
                <w:rFonts w:hint="eastAsia" w:ascii="仿宋" w:hAnsi="仿宋" w:eastAsia="仿宋" w:cs="宋体"/>
                <w:color w:val="000000"/>
                <w:sz w:val="24"/>
                <w:szCs w:val="24"/>
                <w:highlight w:val="none"/>
              </w:rPr>
              <w:t>该项目中职务及工作职责</w:t>
            </w:r>
          </w:p>
        </w:tc>
      </w:tr>
      <w:tr w14:paraId="0FEA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1701" w:type="dxa"/>
            <w:gridSpan w:val="2"/>
            <w:noWrap w:val="0"/>
            <w:vAlign w:val="top"/>
          </w:tcPr>
          <w:p w14:paraId="22BD5618">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4536" w:type="dxa"/>
            <w:gridSpan w:val="6"/>
            <w:noWrap w:val="0"/>
            <w:vAlign w:val="top"/>
          </w:tcPr>
          <w:p w14:paraId="2C031D57">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3261" w:type="dxa"/>
            <w:gridSpan w:val="2"/>
            <w:noWrap w:val="0"/>
            <w:vAlign w:val="top"/>
          </w:tcPr>
          <w:p w14:paraId="7105DB89">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3B6D6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701" w:type="dxa"/>
            <w:gridSpan w:val="2"/>
            <w:noWrap w:val="0"/>
            <w:vAlign w:val="top"/>
          </w:tcPr>
          <w:p w14:paraId="18A0584C">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4536" w:type="dxa"/>
            <w:gridSpan w:val="6"/>
            <w:noWrap w:val="0"/>
            <w:vAlign w:val="top"/>
          </w:tcPr>
          <w:p w14:paraId="571F038B">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3261" w:type="dxa"/>
            <w:gridSpan w:val="2"/>
            <w:noWrap w:val="0"/>
            <w:vAlign w:val="top"/>
          </w:tcPr>
          <w:p w14:paraId="52D90DC3">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6127E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701" w:type="dxa"/>
            <w:gridSpan w:val="2"/>
            <w:noWrap w:val="0"/>
            <w:vAlign w:val="top"/>
          </w:tcPr>
          <w:p w14:paraId="0BEC4E29">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4536" w:type="dxa"/>
            <w:gridSpan w:val="6"/>
            <w:noWrap w:val="0"/>
            <w:vAlign w:val="top"/>
          </w:tcPr>
          <w:p w14:paraId="768D2986">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3261" w:type="dxa"/>
            <w:gridSpan w:val="2"/>
            <w:noWrap w:val="0"/>
            <w:vAlign w:val="top"/>
          </w:tcPr>
          <w:p w14:paraId="5ABCAF48">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r w14:paraId="53D3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1" w:type="dxa"/>
            <w:gridSpan w:val="2"/>
            <w:noWrap w:val="0"/>
            <w:vAlign w:val="top"/>
          </w:tcPr>
          <w:p w14:paraId="58B66AD2">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4536" w:type="dxa"/>
            <w:gridSpan w:val="6"/>
            <w:noWrap w:val="0"/>
            <w:vAlign w:val="top"/>
          </w:tcPr>
          <w:p w14:paraId="3C66FB37">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c>
          <w:tcPr>
            <w:tcW w:w="3261" w:type="dxa"/>
            <w:gridSpan w:val="2"/>
            <w:noWrap w:val="0"/>
            <w:vAlign w:val="top"/>
          </w:tcPr>
          <w:p w14:paraId="041448F3">
            <w:pPr>
              <w:keepNext w:val="0"/>
              <w:keepLines w:val="0"/>
              <w:suppressLineNumbers w:val="0"/>
              <w:spacing w:before="0" w:beforeAutospacing="0" w:after="0" w:afterAutospacing="0"/>
              <w:ind w:left="0" w:right="0"/>
              <w:rPr>
                <w:rFonts w:hint="eastAsia" w:ascii="仿宋" w:hAnsi="仿宋" w:eastAsia="仿宋" w:cs="宋体"/>
                <w:color w:val="000000"/>
                <w:sz w:val="24"/>
                <w:szCs w:val="24"/>
                <w:highlight w:val="none"/>
              </w:rPr>
            </w:pPr>
          </w:p>
        </w:tc>
      </w:tr>
    </w:tbl>
    <w:p w14:paraId="6571EF2C">
      <w:pPr>
        <w:spacing w:line="560" w:lineRule="exact"/>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备注：</w:t>
      </w:r>
    </w:p>
    <w:p w14:paraId="02115054">
      <w:pPr>
        <w:spacing w:line="360" w:lineRule="auto"/>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1、</w:t>
      </w:r>
      <w:r>
        <w:rPr>
          <w:rFonts w:hint="eastAsia" w:ascii="仿宋" w:hAnsi="仿宋" w:eastAsia="仿宋" w:cs="宋体"/>
          <w:b/>
          <w:color w:val="000000"/>
          <w:sz w:val="24"/>
          <w:szCs w:val="24"/>
          <w:highlight w:val="none"/>
          <w:lang w:bidi="ar"/>
        </w:rPr>
        <w:t>根据技术规范书中的团队要求，</w:t>
      </w:r>
      <w:r>
        <w:rPr>
          <w:rFonts w:hint="eastAsia" w:ascii="仿宋" w:hAnsi="仿宋" w:eastAsia="仿宋" w:cs="宋体"/>
          <w:b/>
          <w:color w:val="000000"/>
          <w:sz w:val="24"/>
          <w:szCs w:val="24"/>
          <w:highlight w:val="none"/>
        </w:rPr>
        <w:t>投标人需随此表附上团队成员的身份证、毕业证、专业资质证书、同类项目实施经验证明等材料。</w:t>
      </w:r>
    </w:p>
    <w:p w14:paraId="48A7810E">
      <w:pPr>
        <w:spacing w:line="360" w:lineRule="auto"/>
        <w:jc w:val="left"/>
        <w:rPr>
          <w:rFonts w:hint="eastAsia" w:ascii="仿宋" w:hAnsi="仿宋" w:eastAsia="仿宋" w:cs="宋体"/>
          <w:b/>
          <w:color w:val="000000"/>
          <w:sz w:val="24"/>
          <w:szCs w:val="24"/>
          <w:highlight w:val="none"/>
        </w:rPr>
      </w:pPr>
      <w:r>
        <w:rPr>
          <w:rFonts w:hint="eastAsia" w:ascii="仿宋" w:hAnsi="仿宋" w:eastAsia="仿宋" w:cs="宋体"/>
          <w:b/>
          <w:color w:val="000000"/>
          <w:sz w:val="24"/>
          <w:szCs w:val="24"/>
          <w:highlight w:val="none"/>
        </w:rPr>
        <w:t>2、“先附简历、再附材料”为一个人员的完整材料，人员简历排放顺序需与人员汇总表一致。</w:t>
      </w:r>
    </w:p>
    <w:p w14:paraId="22B697C2">
      <w:pPr>
        <w:pStyle w:val="5"/>
        <w:ind w:firstLine="0" w:firstLineChars="0"/>
        <w:rPr>
          <w:rFonts w:ascii="仿宋" w:hAnsi="仿宋" w:cs="宋体"/>
          <w:color w:val="000000"/>
          <w:szCs w:val="24"/>
          <w:highlight w:val="none"/>
        </w:rPr>
      </w:pPr>
      <w:r>
        <w:rPr>
          <w:rFonts w:ascii="仿宋" w:hAnsi="仿宋" w:cs="宋体"/>
          <w:color w:val="000000"/>
          <w:szCs w:val="24"/>
          <w:highlight w:val="none"/>
        </w:rPr>
        <w:br w:type="page"/>
      </w:r>
      <w:bookmarkStart w:id="716" w:name="_Toc109124330"/>
      <w:bookmarkStart w:id="717" w:name="_Toc23092"/>
      <w:bookmarkStart w:id="718" w:name="_Toc65683016"/>
      <w:bookmarkStart w:id="719" w:name="_Toc6712"/>
      <w:r>
        <w:rPr>
          <w:rFonts w:ascii="仿宋" w:hAnsi="仿宋" w:cs="宋体"/>
          <w:color w:val="000000"/>
          <w:szCs w:val="24"/>
          <w:highlight w:val="none"/>
        </w:rPr>
        <w:t>（三）其他材料</w:t>
      </w:r>
      <w:bookmarkEnd w:id="716"/>
      <w:bookmarkEnd w:id="717"/>
      <w:bookmarkEnd w:id="718"/>
      <w:bookmarkEnd w:id="719"/>
      <w:r>
        <w:rPr>
          <w:rFonts w:ascii="仿宋" w:hAnsi="仿宋" w:cs="宋体"/>
          <w:color w:val="000000"/>
          <w:szCs w:val="24"/>
          <w:highlight w:val="none"/>
        </w:rPr>
        <w:tab/>
      </w:r>
    </w:p>
    <w:p w14:paraId="1C7BF281">
      <w:pPr>
        <w:spacing w:line="360" w:lineRule="auto"/>
        <w:rPr>
          <w:rFonts w:hint="eastAsia" w:ascii="仿宋" w:hAnsi="仿宋" w:eastAsia="仿宋" w:cs="宋体"/>
          <w:color w:val="000000"/>
          <w:sz w:val="24"/>
          <w:szCs w:val="24"/>
          <w:highlight w:val="none"/>
        </w:rPr>
      </w:pPr>
      <w:r>
        <w:rPr>
          <w:rFonts w:hint="eastAsia" w:ascii="仿宋" w:hAnsi="仿宋" w:eastAsia="仿宋" w:cs="Cambria Math"/>
          <w:color w:val="000000"/>
          <w:sz w:val="24"/>
          <w:highlight w:val="none"/>
        </w:rPr>
        <w:t>详细评审中技术部分涉及的文件及证明材料、</w:t>
      </w:r>
      <w:r>
        <w:rPr>
          <w:rFonts w:hint="eastAsia" w:ascii="仿宋" w:hAnsi="仿宋" w:eastAsia="仿宋" w:cs="宋体"/>
          <w:color w:val="000000"/>
          <w:sz w:val="24"/>
          <w:szCs w:val="24"/>
          <w:highlight w:val="none"/>
        </w:rPr>
        <w:t>投标人认为需提供的其他材料。</w:t>
      </w:r>
    </w:p>
    <w:p w14:paraId="2327FAF5">
      <w:pPr>
        <w:rPr>
          <w:rFonts w:hint="eastAsia" w:ascii="仿宋" w:hAnsi="仿宋" w:eastAsia="仿宋" w:cs="宋体"/>
          <w:color w:val="000000"/>
          <w:sz w:val="24"/>
          <w:szCs w:val="24"/>
          <w:highlight w:val="none"/>
        </w:rPr>
        <w:sectPr>
          <w:pgSz w:w="11906" w:h="16838"/>
          <w:pgMar w:top="1417" w:right="1134" w:bottom="1134" w:left="1134" w:header="851" w:footer="992" w:gutter="0"/>
          <w:cols w:space="720" w:num="1"/>
          <w:titlePg/>
          <w:docGrid w:type="lines" w:linePitch="312" w:charSpace="0"/>
        </w:sectPr>
      </w:pPr>
    </w:p>
    <w:p w14:paraId="151E74E7">
      <w:pPr>
        <w:pStyle w:val="4"/>
        <w:jc w:val="center"/>
        <w:rPr>
          <w:rFonts w:hint="eastAsia" w:ascii="仿宋" w:hAnsi="仿宋" w:cs="宋体"/>
          <w:color w:val="000000"/>
          <w:szCs w:val="24"/>
          <w:highlight w:val="none"/>
        </w:rPr>
      </w:pPr>
      <w:bookmarkStart w:id="720" w:name="_Toc65683017"/>
      <w:bookmarkStart w:id="721" w:name="_Toc5944"/>
      <w:bookmarkStart w:id="722" w:name="_Toc109124331"/>
      <w:bookmarkStart w:id="723" w:name="_Toc29561"/>
      <w:r>
        <w:rPr>
          <w:rFonts w:hint="eastAsia" w:ascii="仿宋" w:hAnsi="仿宋" w:cs="宋体"/>
          <w:color w:val="000000"/>
          <w:szCs w:val="24"/>
          <w:highlight w:val="none"/>
        </w:rPr>
        <w:t>三、报价文件</w:t>
      </w:r>
      <w:bookmarkEnd w:id="720"/>
      <w:bookmarkEnd w:id="721"/>
      <w:bookmarkEnd w:id="722"/>
      <w:bookmarkEnd w:id="723"/>
    </w:p>
    <w:p w14:paraId="47000B5E">
      <w:pPr>
        <w:pStyle w:val="5"/>
        <w:spacing w:line="360" w:lineRule="auto"/>
        <w:ind w:firstLine="0" w:firstLineChars="0"/>
        <w:jc w:val="center"/>
        <w:rPr>
          <w:rFonts w:ascii="仿宋" w:hAnsi="仿宋" w:cs="宋体"/>
          <w:color w:val="000000"/>
          <w:szCs w:val="24"/>
          <w:highlight w:val="none"/>
        </w:rPr>
      </w:pPr>
      <w:bookmarkStart w:id="724" w:name="_Toc20305"/>
      <w:bookmarkStart w:id="725" w:name="_Toc109124332"/>
      <w:bookmarkStart w:id="726" w:name="_Toc65683018"/>
      <w:bookmarkStart w:id="727" w:name="_Toc3391"/>
      <w:r>
        <w:rPr>
          <w:rFonts w:ascii="仿宋" w:hAnsi="仿宋" w:cs="宋体"/>
          <w:color w:val="000000"/>
          <w:szCs w:val="24"/>
          <w:highlight w:val="none"/>
        </w:rPr>
        <w:t>（一）投标一览表</w:t>
      </w:r>
      <w:bookmarkEnd w:id="724"/>
      <w:bookmarkEnd w:id="725"/>
      <w:bookmarkEnd w:id="726"/>
      <w:bookmarkEnd w:id="727"/>
    </w:p>
    <w:p w14:paraId="74EAFFF3">
      <w:pPr>
        <w:pStyle w:val="2"/>
        <w:spacing w:line="360" w:lineRule="auto"/>
        <w:ind w:hanging="142"/>
        <w:rPr>
          <w:rFonts w:hint="eastAsia" w:ascii="仿宋" w:hAnsi="仿宋" w:eastAsia="仿宋" w:cs="宋体"/>
          <w:color w:val="000000"/>
          <w:sz w:val="24"/>
          <w:szCs w:val="24"/>
          <w:highlight w:val="none"/>
        </w:rPr>
      </w:pPr>
    </w:p>
    <w:p w14:paraId="5549850C">
      <w:pPr>
        <w:pStyle w:val="2"/>
        <w:spacing w:line="360" w:lineRule="auto"/>
        <w:ind w:left="0" w:leftChars="0" w:firstLine="0" w:firstLineChars="0"/>
        <w:rPr>
          <w:rFonts w:ascii="仿宋" w:hAnsi="仿宋" w:eastAsia="仿宋" w:cs="宋体"/>
          <w:color w:val="000000"/>
          <w:sz w:val="24"/>
          <w:szCs w:val="24"/>
          <w:highlight w:val="none"/>
        </w:rPr>
      </w:pPr>
      <w:r>
        <w:rPr>
          <w:rFonts w:hint="eastAsia" w:ascii="仿宋" w:hAnsi="仿宋" w:eastAsia="仿宋" w:cs="宋体"/>
          <w:color w:val="000000"/>
          <w:sz w:val="24"/>
          <w:szCs w:val="24"/>
          <w:highlight w:val="none"/>
        </w:rPr>
        <w:t>项目名称：</w:t>
      </w:r>
      <w:r>
        <w:rPr>
          <w:rFonts w:hint="eastAsia" w:ascii="仿宋" w:hAnsi="仿宋" w:eastAsia="仿宋" w:cs="宋体"/>
          <w:color w:val="000000"/>
          <w:sz w:val="24"/>
          <w:szCs w:val="24"/>
          <w:highlight w:val="none"/>
          <w:u w:val="single"/>
        </w:rPr>
        <w:t xml:space="preserve">                         </w:t>
      </w:r>
      <w:r>
        <w:rPr>
          <w:rFonts w:hint="eastAsia" w:ascii="仿宋" w:hAnsi="仿宋" w:eastAsia="仿宋" w:cs="宋体"/>
          <w:color w:val="000000"/>
          <w:sz w:val="24"/>
          <w:szCs w:val="24"/>
          <w:highlight w:val="none"/>
          <w:u w:val="single"/>
        </w:rPr>
        <w:br w:type="textWrapping"/>
      </w:r>
      <w:r>
        <w:rPr>
          <w:rFonts w:hint="eastAsia" w:ascii="仿宋" w:hAnsi="仿宋" w:eastAsia="仿宋" w:cs="宋体"/>
          <w:color w:val="000000"/>
          <w:sz w:val="24"/>
          <w:szCs w:val="24"/>
          <w:highlight w:val="none"/>
          <w:lang w:val="en-US" w:eastAsia="zh-CN"/>
        </w:rPr>
        <w:t>标包号</w:t>
      </w:r>
      <w:r>
        <w:rPr>
          <w:rFonts w:hint="eastAsia" w:ascii="仿宋" w:hAnsi="仿宋" w:eastAsia="仿宋" w:cs="宋体"/>
          <w:color w:val="000000"/>
          <w:sz w:val="24"/>
          <w:szCs w:val="24"/>
          <w:highlight w:val="none"/>
        </w:rPr>
        <w:t>：</w:t>
      </w:r>
      <w:r>
        <w:rPr>
          <w:rFonts w:hint="eastAsia" w:ascii="仿宋" w:hAnsi="仿宋" w:eastAsia="仿宋" w:cs="宋体"/>
          <w:color w:val="000000"/>
          <w:sz w:val="24"/>
          <w:szCs w:val="24"/>
          <w:highlight w:val="none"/>
          <w:u w:val="single"/>
        </w:rPr>
        <w:t xml:space="preserve">                         </w:t>
      </w:r>
    </w:p>
    <w:p w14:paraId="1F70C514">
      <w:pPr>
        <w:pStyle w:val="2"/>
        <w:spacing w:line="360" w:lineRule="auto"/>
        <w:ind w:left="0" w:leftChars="0" w:firstLine="0" w:firstLineChars="0"/>
        <w:rPr>
          <w:rFonts w:hint="eastAsia" w:ascii="仿宋" w:hAnsi="仿宋" w:eastAsia="仿宋" w:cs="宋体"/>
          <w:color w:val="000000"/>
          <w:sz w:val="24"/>
          <w:szCs w:val="24"/>
          <w:highlight w:val="none"/>
          <w:u w:val="single"/>
          <w:lang w:eastAsia="zh-CN"/>
        </w:rPr>
      </w:pPr>
      <w:r>
        <w:rPr>
          <w:rFonts w:hint="eastAsia" w:ascii="仿宋" w:hAnsi="仿宋" w:eastAsia="仿宋" w:cs="宋体"/>
          <w:color w:val="000000"/>
          <w:sz w:val="24"/>
          <w:szCs w:val="24"/>
          <w:highlight w:val="none"/>
        </w:rPr>
        <w:t>货币单位：</w:t>
      </w:r>
      <w:r>
        <w:rPr>
          <w:rFonts w:hint="eastAsia" w:ascii="仿宋" w:hAnsi="仿宋" w:eastAsia="仿宋" w:cs="宋体"/>
          <w:color w:val="000000"/>
          <w:sz w:val="24"/>
          <w:szCs w:val="24"/>
          <w:highlight w:val="none"/>
          <w:u w:val="single"/>
          <w:lang w:val="en-US" w:eastAsia="zh-CN"/>
        </w:rPr>
        <w:t>%</w:t>
      </w:r>
    </w:p>
    <w:tbl>
      <w:tblPr>
        <w:tblStyle w:val="32"/>
        <w:tblW w:w="4898" w:type="pct"/>
        <w:jc w:val="center"/>
        <w:tblLayout w:type="autofit"/>
        <w:tblCellMar>
          <w:top w:w="0" w:type="dxa"/>
          <w:left w:w="108" w:type="dxa"/>
          <w:bottom w:w="0" w:type="dxa"/>
          <w:right w:w="108" w:type="dxa"/>
        </w:tblCellMar>
      </w:tblPr>
      <w:tblGrid>
        <w:gridCol w:w="1201"/>
        <w:gridCol w:w="2341"/>
        <w:gridCol w:w="2474"/>
        <w:gridCol w:w="2598"/>
        <w:gridCol w:w="1039"/>
      </w:tblGrid>
      <w:tr w14:paraId="26B0E5F2">
        <w:tblPrEx>
          <w:tblCellMar>
            <w:top w:w="0" w:type="dxa"/>
            <w:left w:w="108" w:type="dxa"/>
            <w:bottom w:w="0" w:type="dxa"/>
            <w:right w:w="108" w:type="dxa"/>
          </w:tblCellMar>
        </w:tblPrEx>
        <w:trPr>
          <w:trHeight w:val="1028" w:hRule="atLeast"/>
          <w:jc w:val="center"/>
        </w:trPr>
        <w:tc>
          <w:tcPr>
            <w:tcW w:w="622" w:type="pct"/>
            <w:tcBorders>
              <w:top w:val="single" w:color="auto" w:sz="4" w:space="0"/>
              <w:left w:val="single" w:color="auto" w:sz="4" w:space="0"/>
              <w:bottom w:val="single" w:color="auto" w:sz="4" w:space="0"/>
              <w:right w:val="single" w:color="auto" w:sz="4" w:space="0"/>
            </w:tcBorders>
            <w:noWrap w:val="0"/>
            <w:vAlign w:val="center"/>
          </w:tcPr>
          <w:p w14:paraId="4CBC5078">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序号</w:t>
            </w:r>
          </w:p>
        </w:tc>
        <w:tc>
          <w:tcPr>
            <w:tcW w:w="1212" w:type="pct"/>
            <w:tcBorders>
              <w:top w:val="single" w:color="auto" w:sz="4" w:space="0"/>
              <w:left w:val="nil"/>
              <w:bottom w:val="single" w:color="auto" w:sz="4" w:space="0"/>
              <w:right w:val="single" w:color="auto" w:sz="4" w:space="0"/>
            </w:tcBorders>
            <w:noWrap w:val="0"/>
            <w:vAlign w:val="center"/>
          </w:tcPr>
          <w:p w14:paraId="4132469E">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报价内容</w:t>
            </w:r>
          </w:p>
        </w:tc>
        <w:tc>
          <w:tcPr>
            <w:tcW w:w="1281" w:type="pct"/>
            <w:tcBorders>
              <w:top w:val="single" w:color="auto" w:sz="4" w:space="0"/>
              <w:left w:val="nil"/>
              <w:bottom w:val="single" w:color="auto" w:sz="4" w:space="0"/>
              <w:right w:val="single" w:color="auto" w:sz="4" w:space="0"/>
            </w:tcBorders>
            <w:noWrap w:val="0"/>
            <w:vAlign w:val="center"/>
          </w:tcPr>
          <w:p w14:paraId="3C953BE2">
            <w:pPr>
              <w:keepNext w:val="0"/>
              <w:keepLines w:val="0"/>
              <w:widowControl/>
              <w:suppressLineNumbers w:val="0"/>
              <w:spacing w:before="0" w:beforeAutospacing="0" w:after="0" w:afterAutospacing="0"/>
              <w:ind w:left="0" w:right="0"/>
              <w:jc w:val="center"/>
              <w:rPr>
                <w:rFonts w:hint="default"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投标</w:t>
            </w:r>
            <w:r>
              <w:rPr>
                <w:rFonts w:hint="eastAsia" w:ascii="仿宋" w:hAnsi="仿宋" w:eastAsia="仿宋" w:cs="宋体"/>
                <w:b/>
                <w:bCs/>
                <w:color w:val="000000"/>
                <w:kern w:val="0"/>
                <w:szCs w:val="21"/>
                <w:highlight w:val="none"/>
                <w:lang w:val="en-US" w:eastAsia="zh-CN"/>
              </w:rPr>
              <w:t>折扣</w:t>
            </w:r>
            <w:r>
              <w:rPr>
                <w:rFonts w:hint="eastAsia" w:ascii="仿宋" w:hAnsi="仿宋" w:eastAsia="仿宋" w:cs="宋体"/>
                <w:b/>
                <w:bCs/>
                <w:color w:val="000000"/>
                <w:kern w:val="0"/>
                <w:szCs w:val="21"/>
                <w:highlight w:val="none"/>
              </w:rPr>
              <w:t>（</w:t>
            </w:r>
            <w:r>
              <w:rPr>
                <w:rFonts w:hint="eastAsia" w:ascii="仿宋" w:hAnsi="仿宋" w:eastAsia="仿宋" w:cs="宋体"/>
                <w:b/>
                <w:bCs/>
                <w:color w:val="000000"/>
                <w:kern w:val="0"/>
                <w:szCs w:val="21"/>
                <w:highlight w:val="none"/>
                <w:lang w:val="en-US" w:eastAsia="zh-CN"/>
              </w:rPr>
              <w:t>%</w:t>
            </w:r>
            <w:r>
              <w:rPr>
                <w:rFonts w:hint="eastAsia" w:ascii="仿宋" w:hAnsi="仿宋" w:eastAsia="仿宋" w:cs="宋体"/>
                <w:b/>
                <w:bCs/>
                <w:color w:val="000000"/>
                <w:kern w:val="0"/>
                <w:szCs w:val="21"/>
                <w:highlight w:val="none"/>
              </w:rPr>
              <w:t>）</w:t>
            </w:r>
          </w:p>
        </w:tc>
        <w:tc>
          <w:tcPr>
            <w:tcW w:w="1345" w:type="pct"/>
            <w:tcBorders>
              <w:top w:val="single" w:color="auto" w:sz="4" w:space="0"/>
              <w:left w:val="nil"/>
              <w:bottom w:val="single" w:color="auto" w:sz="4" w:space="0"/>
              <w:right w:val="single" w:color="auto" w:sz="4" w:space="0"/>
            </w:tcBorders>
            <w:noWrap w:val="0"/>
            <w:vAlign w:val="center"/>
          </w:tcPr>
          <w:p w14:paraId="561644AD">
            <w:pPr>
              <w:keepNext w:val="0"/>
              <w:keepLines w:val="0"/>
              <w:widowControl/>
              <w:suppressLineNumbers w:val="0"/>
              <w:spacing w:before="0" w:beforeAutospacing="0" w:after="0" w:afterAutospacing="0"/>
              <w:ind w:left="0" w:right="0"/>
              <w:jc w:val="center"/>
              <w:rPr>
                <w:rFonts w:hint="eastAsia" w:ascii="仿宋" w:hAnsi="仿宋" w:eastAsia="仿宋" w:cs="宋体"/>
                <w:color w:val="000000"/>
                <w:szCs w:val="21"/>
                <w:highlight w:val="none"/>
              </w:rPr>
            </w:pPr>
            <w:r>
              <w:rPr>
                <w:rFonts w:hint="eastAsia" w:ascii="仿宋" w:hAnsi="仿宋" w:eastAsia="仿宋" w:cs="宋体"/>
                <w:b/>
                <w:bCs/>
                <w:color w:val="000000"/>
                <w:kern w:val="0"/>
                <w:szCs w:val="21"/>
                <w:highlight w:val="none"/>
              </w:rPr>
              <w:t>税率（%）</w:t>
            </w:r>
          </w:p>
        </w:tc>
        <w:tc>
          <w:tcPr>
            <w:tcW w:w="538" w:type="pct"/>
            <w:tcBorders>
              <w:top w:val="single" w:color="auto" w:sz="4" w:space="0"/>
              <w:left w:val="single" w:color="auto" w:sz="4" w:space="0"/>
              <w:bottom w:val="single" w:color="auto" w:sz="4" w:space="0"/>
              <w:right w:val="single" w:color="auto" w:sz="4" w:space="0"/>
            </w:tcBorders>
            <w:noWrap w:val="0"/>
            <w:vAlign w:val="center"/>
          </w:tcPr>
          <w:p w14:paraId="1A19F41C">
            <w:pPr>
              <w:keepNext w:val="0"/>
              <w:keepLines w:val="0"/>
              <w:widowControl/>
              <w:suppressLineNumbers w:val="0"/>
              <w:spacing w:before="0" w:beforeAutospacing="0" w:after="0" w:afterAutospacing="0"/>
              <w:ind w:left="0" w:right="0"/>
              <w:jc w:val="center"/>
              <w:rPr>
                <w:rFonts w:hint="eastAsia" w:ascii="仿宋" w:hAnsi="仿宋" w:eastAsia="仿宋" w:cs="宋体"/>
                <w:b/>
                <w:bCs/>
                <w:color w:val="000000"/>
                <w:kern w:val="0"/>
                <w:szCs w:val="21"/>
                <w:highlight w:val="none"/>
              </w:rPr>
            </w:pPr>
            <w:r>
              <w:rPr>
                <w:rFonts w:hint="eastAsia" w:ascii="仿宋" w:hAnsi="仿宋" w:eastAsia="仿宋" w:cs="宋体"/>
                <w:b/>
                <w:bCs/>
                <w:color w:val="000000"/>
                <w:kern w:val="0"/>
                <w:szCs w:val="21"/>
                <w:highlight w:val="none"/>
              </w:rPr>
              <w:t>备注</w:t>
            </w:r>
          </w:p>
        </w:tc>
      </w:tr>
      <w:tr w14:paraId="40C53DFA">
        <w:tblPrEx>
          <w:tblCellMar>
            <w:top w:w="0" w:type="dxa"/>
            <w:left w:w="108" w:type="dxa"/>
            <w:bottom w:w="0" w:type="dxa"/>
            <w:right w:w="108" w:type="dxa"/>
          </w:tblCellMar>
        </w:tblPrEx>
        <w:trPr>
          <w:trHeight w:val="1563" w:hRule="atLeast"/>
          <w:jc w:val="center"/>
        </w:trPr>
        <w:tc>
          <w:tcPr>
            <w:tcW w:w="622" w:type="pct"/>
            <w:tcBorders>
              <w:top w:val="nil"/>
              <w:left w:val="single" w:color="auto" w:sz="4" w:space="0"/>
              <w:bottom w:val="single" w:color="auto" w:sz="4" w:space="0"/>
              <w:right w:val="single" w:color="auto" w:sz="4" w:space="0"/>
            </w:tcBorders>
            <w:noWrap w:val="0"/>
            <w:vAlign w:val="center"/>
          </w:tcPr>
          <w:p w14:paraId="0CB7FC92">
            <w:pPr>
              <w:keepNext w:val="0"/>
              <w:keepLines w:val="0"/>
              <w:widowControl/>
              <w:suppressLineNumbers w:val="0"/>
              <w:spacing w:before="0" w:beforeAutospacing="0" w:after="0" w:afterAutospacing="0"/>
              <w:ind w:left="0" w:right="0"/>
              <w:jc w:val="center"/>
              <w:rPr>
                <w:rFonts w:hint="eastAsia" w:ascii="仿宋" w:hAnsi="仿宋" w:eastAsia="仿宋" w:cs="宋体"/>
                <w:bCs/>
                <w:color w:val="000000"/>
                <w:kern w:val="0"/>
                <w:szCs w:val="21"/>
                <w:highlight w:val="none"/>
              </w:rPr>
            </w:pPr>
            <w:r>
              <w:rPr>
                <w:rFonts w:hint="eastAsia" w:ascii="仿宋" w:hAnsi="仿宋" w:eastAsia="仿宋" w:cs="宋体"/>
                <w:bCs/>
                <w:color w:val="000000"/>
                <w:kern w:val="0"/>
                <w:szCs w:val="21"/>
                <w:highlight w:val="none"/>
              </w:rPr>
              <w:t>1</w:t>
            </w:r>
          </w:p>
        </w:tc>
        <w:tc>
          <w:tcPr>
            <w:tcW w:w="1212" w:type="pct"/>
            <w:tcBorders>
              <w:top w:val="nil"/>
              <w:left w:val="nil"/>
              <w:bottom w:val="single" w:color="auto" w:sz="4" w:space="0"/>
              <w:right w:val="single" w:color="auto" w:sz="4" w:space="0"/>
            </w:tcBorders>
            <w:noWrap w:val="0"/>
            <w:vAlign w:val="center"/>
          </w:tcPr>
          <w:p w14:paraId="044FA75D">
            <w:pPr>
              <w:keepNext w:val="0"/>
              <w:keepLines w:val="0"/>
              <w:widowControl/>
              <w:suppressLineNumbers w:val="0"/>
              <w:spacing w:before="0" w:beforeAutospacing="0" w:after="0" w:afterAutospacing="0"/>
              <w:ind w:left="0" w:right="0"/>
              <w:jc w:val="center"/>
              <w:rPr>
                <w:rFonts w:hint="eastAsia" w:ascii="仿宋" w:hAnsi="仿宋" w:eastAsia="仿宋" w:cs="宋体"/>
                <w:bCs/>
                <w:color w:val="000000"/>
                <w:kern w:val="0"/>
                <w:szCs w:val="21"/>
                <w:highlight w:val="none"/>
              </w:rPr>
            </w:pPr>
          </w:p>
        </w:tc>
        <w:tc>
          <w:tcPr>
            <w:tcW w:w="1281" w:type="pct"/>
            <w:tcBorders>
              <w:top w:val="nil"/>
              <w:left w:val="nil"/>
              <w:bottom w:val="single" w:color="auto" w:sz="4" w:space="0"/>
              <w:right w:val="single" w:color="auto" w:sz="4" w:space="0"/>
            </w:tcBorders>
            <w:noWrap w:val="0"/>
            <w:vAlign w:val="center"/>
          </w:tcPr>
          <w:p w14:paraId="707BAF21">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Cs w:val="21"/>
                <w:highlight w:val="none"/>
              </w:rPr>
            </w:pPr>
          </w:p>
        </w:tc>
        <w:tc>
          <w:tcPr>
            <w:tcW w:w="1345" w:type="pct"/>
            <w:tcBorders>
              <w:top w:val="nil"/>
              <w:left w:val="nil"/>
              <w:bottom w:val="single" w:color="auto" w:sz="4" w:space="0"/>
              <w:right w:val="single" w:color="auto" w:sz="4" w:space="0"/>
            </w:tcBorders>
            <w:noWrap w:val="0"/>
            <w:vAlign w:val="center"/>
          </w:tcPr>
          <w:p w14:paraId="6CA4D2FB">
            <w:pPr>
              <w:keepNext w:val="0"/>
              <w:keepLines w:val="0"/>
              <w:widowControl/>
              <w:suppressLineNumbers w:val="0"/>
              <w:spacing w:before="0" w:beforeAutospacing="0" w:after="0" w:afterAutospacing="0"/>
              <w:ind w:left="0" w:right="0"/>
              <w:jc w:val="left"/>
              <w:rPr>
                <w:rFonts w:hint="eastAsia" w:ascii="仿宋" w:hAnsi="仿宋" w:eastAsia="仿宋" w:cs="宋体"/>
                <w:color w:val="000000"/>
                <w:kern w:val="0"/>
                <w:szCs w:val="21"/>
                <w:highlight w:val="none"/>
              </w:rPr>
            </w:pPr>
            <w:r>
              <w:rPr>
                <w:rFonts w:hint="eastAsia" w:ascii="仿宋" w:hAnsi="仿宋" w:eastAsia="仿宋" w:cs="宋体"/>
                <w:color w:val="000000"/>
                <w:kern w:val="0"/>
                <w:szCs w:val="21"/>
                <w:highlight w:val="none"/>
              </w:rPr>
              <w:t>产品：</w:t>
            </w:r>
            <w:r>
              <w:rPr>
                <w:rFonts w:hint="eastAsia" w:ascii="仿宋" w:hAnsi="仿宋" w:eastAsia="仿宋" w:cs="宋体"/>
                <w:color w:val="000000"/>
                <w:szCs w:val="21"/>
                <w:highlight w:val="none"/>
                <w:u w:val="single"/>
              </w:rPr>
              <w:t xml:space="preserve">   </w:t>
            </w:r>
          </w:p>
          <w:p w14:paraId="563EE287">
            <w:pPr>
              <w:keepNext w:val="0"/>
              <w:keepLines w:val="0"/>
              <w:suppressLineNumbers w:val="0"/>
              <w:bidi w:val="0"/>
              <w:spacing w:before="0" w:beforeAutospacing="0" w:after="0" w:afterAutospacing="0"/>
              <w:ind w:left="0" w:right="0"/>
              <w:rPr>
                <w:rFonts w:hint="eastAsia" w:ascii="仿宋" w:hAnsi="仿宋" w:cs="宋体"/>
                <w:b w:val="0"/>
                <w:color w:val="000000"/>
                <w:sz w:val="21"/>
                <w:szCs w:val="21"/>
                <w:highlight w:val="none"/>
              </w:rPr>
            </w:pPr>
            <w:bookmarkStart w:id="728" w:name="_Toc11686"/>
            <w:bookmarkStart w:id="729" w:name="_Toc7034"/>
            <w:r>
              <w:rPr>
                <w:rFonts w:hint="eastAsia" w:ascii="仿宋" w:hAnsi="仿宋" w:eastAsia="仿宋" w:cs="宋体"/>
                <w:color w:val="000000"/>
                <w:kern w:val="0"/>
                <w:szCs w:val="21"/>
                <w:highlight w:val="none"/>
              </w:rPr>
              <w:t>服务：</w:t>
            </w:r>
            <w:bookmarkEnd w:id="728"/>
            <w:bookmarkEnd w:id="729"/>
            <w:r>
              <w:rPr>
                <w:rFonts w:hint="eastAsia" w:ascii="仿宋" w:hAnsi="仿宋" w:cs="宋体"/>
                <w:color w:val="000000"/>
                <w:sz w:val="21"/>
                <w:szCs w:val="21"/>
                <w:highlight w:val="none"/>
                <w:u w:val="single"/>
              </w:rPr>
              <w:t xml:space="preserve">   </w:t>
            </w:r>
          </w:p>
        </w:tc>
        <w:tc>
          <w:tcPr>
            <w:tcW w:w="538" w:type="pct"/>
            <w:tcBorders>
              <w:top w:val="single" w:color="auto" w:sz="4" w:space="0"/>
              <w:left w:val="single" w:color="auto" w:sz="4" w:space="0"/>
              <w:bottom w:val="single" w:color="auto" w:sz="4" w:space="0"/>
              <w:right w:val="single" w:color="auto" w:sz="4" w:space="0"/>
            </w:tcBorders>
            <w:noWrap w:val="0"/>
            <w:vAlign w:val="center"/>
          </w:tcPr>
          <w:p w14:paraId="233E4BDB">
            <w:pPr>
              <w:keepNext w:val="0"/>
              <w:keepLines w:val="0"/>
              <w:widowControl/>
              <w:suppressLineNumbers w:val="0"/>
              <w:spacing w:before="0" w:beforeAutospacing="0" w:after="0" w:afterAutospacing="0"/>
              <w:ind w:left="0" w:right="0"/>
              <w:jc w:val="center"/>
              <w:rPr>
                <w:rFonts w:hint="eastAsia" w:ascii="仿宋" w:hAnsi="仿宋" w:eastAsia="仿宋" w:cs="宋体"/>
                <w:color w:val="000000"/>
                <w:kern w:val="0"/>
                <w:szCs w:val="21"/>
                <w:highlight w:val="none"/>
              </w:rPr>
            </w:pPr>
          </w:p>
        </w:tc>
      </w:tr>
    </w:tbl>
    <w:p w14:paraId="3D13E9ED">
      <w:pPr>
        <w:pStyle w:val="12"/>
        <w:rPr>
          <w:rFonts w:hint="eastAsia" w:ascii="宋体" w:hAnsi="宋体"/>
          <w:szCs w:val="21"/>
          <w:highlight w:val="none"/>
        </w:rPr>
      </w:pPr>
    </w:p>
    <w:p w14:paraId="286E99C6">
      <w:pPr>
        <w:rPr>
          <w:rFonts w:hint="eastAsia" w:ascii="仿宋" w:hAnsi="仿宋" w:eastAsia="仿宋" w:cs="宋体"/>
          <w:bCs/>
          <w:color w:val="000000"/>
          <w:sz w:val="24"/>
          <w:szCs w:val="24"/>
          <w:highlight w:val="none"/>
        </w:rPr>
      </w:pPr>
      <w:r>
        <w:rPr>
          <w:rFonts w:hint="eastAsia" w:ascii="仿宋" w:hAnsi="仿宋" w:eastAsia="仿宋" w:cs="宋体"/>
          <w:bCs/>
          <w:color w:val="000000"/>
          <w:sz w:val="24"/>
          <w:szCs w:val="24"/>
          <w:highlight w:val="none"/>
        </w:rPr>
        <w:t>备注：</w:t>
      </w:r>
    </w:p>
    <w:p w14:paraId="5DE8C058">
      <w:pPr>
        <w:widowControl/>
        <w:topLinePunct/>
        <w:spacing w:line="360" w:lineRule="auto"/>
        <w:ind w:left="0" w:leftChars="0" w:firstLine="480" w:firstLineChars="200"/>
        <w:rPr>
          <w:rFonts w:hint="default" w:ascii="仿宋" w:hAnsi="仿宋" w:eastAsia="仿宋" w:cs="宋体"/>
          <w:color w:val="000000"/>
          <w:kern w:val="0"/>
          <w:sz w:val="24"/>
          <w:szCs w:val="24"/>
          <w:highlight w:val="none"/>
          <w:lang w:val="en-US" w:eastAsia="zh-CN"/>
        </w:rPr>
      </w:pPr>
      <w:r>
        <w:rPr>
          <w:rFonts w:hint="eastAsia" w:ascii="仿宋" w:hAnsi="仿宋" w:eastAsia="仿宋" w:cs="宋体"/>
          <w:color w:val="000000"/>
          <w:kern w:val="0"/>
          <w:sz w:val="24"/>
          <w:szCs w:val="24"/>
          <w:highlight w:val="none"/>
          <w:lang w:val="en-US" w:eastAsia="zh-CN"/>
        </w:rPr>
        <w:t>本项目采用综合折扣报价(如供货价格为标准价的90%，则投标报价为90%，以此类推）。</w:t>
      </w:r>
    </w:p>
    <w:p w14:paraId="166878F8">
      <w:pPr>
        <w:pStyle w:val="2"/>
        <w:rPr>
          <w:rFonts w:hint="eastAsia" w:ascii="仿宋" w:hAnsi="仿宋" w:eastAsia="仿宋" w:cs="宋体"/>
          <w:color w:val="000000"/>
          <w:szCs w:val="21"/>
          <w:highlight w:val="none"/>
        </w:rPr>
      </w:pPr>
    </w:p>
    <w:p w14:paraId="3E89B45D">
      <w:pPr>
        <w:pStyle w:val="2"/>
        <w:rPr>
          <w:rFonts w:hint="eastAsia" w:ascii="仿宋" w:hAnsi="仿宋" w:eastAsia="仿宋" w:cs="宋体"/>
          <w:color w:val="000000"/>
          <w:szCs w:val="21"/>
          <w:highlight w:val="none"/>
        </w:rPr>
      </w:pPr>
    </w:p>
    <w:p w14:paraId="081D664C">
      <w:pPr>
        <w:numPr>
          <w:ilvl w:val="0"/>
          <w:numId w:val="2"/>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lang w:val="en-US" w:eastAsia="zh-CN"/>
        </w:rPr>
        <w:t>投标人</w:t>
      </w:r>
      <w:r>
        <w:rPr>
          <w:rFonts w:hint="eastAsia" w:ascii="仿宋" w:hAnsi="仿宋" w:eastAsia="仿宋" w:cs="宋体"/>
          <w:color w:val="000000"/>
          <w:sz w:val="24"/>
          <w:highlight w:val="none"/>
        </w:rPr>
        <w:t>名称：</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（盖章）</w:t>
      </w:r>
    </w:p>
    <w:p w14:paraId="6E7A96FD">
      <w:pPr>
        <w:numPr>
          <w:ilvl w:val="0"/>
          <w:numId w:val="2"/>
        </w:numPr>
        <w:spacing w:line="440" w:lineRule="exact"/>
        <w:jc w:val="right"/>
        <w:rPr>
          <w:rFonts w:hint="eastAsia" w:ascii="仿宋" w:hAnsi="仿宋" w:eastAsia="仿宋" w:cs="宋体"/>
          <w:color w:val="000000"/>
          <w:sz w:val="24"/>
          <w:highlight w:val="none"/>
        </w:rPr>
      </w:pPr>
      <w:r>
        <w:rPr>
          <w:rFonts w:hint="eastAsia" w:ascii="仿宋" w:hAnsi="仿宋" w:eastAsia="仿宋" w:cs="宋体"/>
          <w:color w:val="000000"/>
          <w:sz w:val="24"/>
          <w:highlight w:val="none"/>
        </w:rPr>
        <w:t>法定代表人或其授权代理人：</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u w:val="single"/>
          <w:lang w:val="en-US" w:eastAsia="zh-CN"/>
        </w:rPr>
        <w:t xml:space="preserve">         </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（签字）</w:t>
      </w:r>
    </w:p>
    <w:p w14:paraId="6F17DF8B">
      <w:pPr>
        <w:numPr>
          <w:ilvl w:val="0"/>
          <w:numId w:val="2"/>
        </w:numPr>
        <w:spacing w:line="440" w:lineRule="exact"/>
        <w:jc w:val="right"/>
        <w:rPr>
          <w:rFonts w:hint="eastAsia" w:ascii="仿宋" w:hAnsi="仿宋" w:eastAsia="仿宋" w:cs="宋体"/>
          <w:color w:val="000000"/>
          <w:sz w:val="24"/>
          <w:szCs w:val="24"/>
          <w:highlight w:val="none"/>
        </w:rPr>
        <w:sectPr>
          <w:pgSz w:w="11906" w:h="16838"/>
          <w:pgMar w:top="1417" w:right="1134" w:bottom="1134" w:left="1134" w:header="851" w:footer="992" w:gutter="0"/>
          <w:cols w:space="720" w:num="1"/>
          <w:titlePg/>
          <w:docGrid w:type="lines" w:linePitch="312" w:charSpace="0"/>
        </w:sectPr>
      </w:pPr>
      <w:r>
        <w:rPr>
          <w:rFonts w:hint="eastAsia" w:ascii="仿宋" w:hAnsi="仿宋" w:eastAsia="仿宋" w:cs="宋体"/>
          <w:color w:val="000000"/>
          <w:sz w:val="24"/>
          <w:highlight w:val="none"/>
        </w:rPr>
        <w:t>日期：</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年</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月</w:t>
      </w:r>
      <w:r>
        <w:rPr>
          <w:rFonts w:hint="eastAsia" w:ascii="仿宋" w:hAnsi="仿宋" w:eastAsia="仿宋" w:cs="宋体"/>
          <w:color w:val="000000"/>
          <w:sz w:val="24"/>
          <w:highlight w:val="none"/>
          <w:u w:val="single"/>
        </w:rPr>
        <w:t xml:space="preserve">   </w:t>
      </w:r>
      <w:r>
        <w:rPr>
          <w:rFonts w:hint="eastAsia" w:ascii="仿宋" w:hAnsi="仿宋" w:eastAsia="仿宋" w:cs="宋体"/>
          <w:color w:val="000000"/>
          <w:sz w:val="24"/>
          <w:highlight w:val="none"/>
        </w:rPr>
        <w:t>日</w:t>
      </w:r>
    </w:p>
    <w:p w14:paraId="170447FD">
      <w:pPr>
        <w:rPr>
          <w:rFonts w:hint="eastAsia" w:hAnsi="宋体"/>
          <w:color w:val="000000"/>
          <w:szCs w:val="21"/>
          <w:highlight w:val="none"/>
        </w:rPr>
      </w:pPr>
    </w:p>
    <w:sectPr>
      <w:headerReference r:id="rId12" w:type="first"/>
      <w:headerReference r:id="rId11" w:type="default"/>
      <w:type w:val="continuous"/>
      <w:pgSz w:w="11906" w:h="16838"/>
      <w:pgMar w:top="1418" w:right="1134" w:bottom="1134" w:left="1134" w:header="851" w:footer="992" w:gutter="0"/>
      <w:cols w:space="720" w:num="2"/>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02"/>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aco">
    <w:altName w:val="Courier New"/>
    <w:panose1 w:val="00000000000000000000"/>
    <w:charset w:val="00"/>
    <w:family w:val="modern"/>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altName w:val="宋体"/>
    <w:panose1 w:val="02010600040101010101"/>
    <w:charset w:val="86"/>
    <w:family w:val="auto"/>
    <w:pitch w:val="default"/>
    <w:sig w:usb0="00000000" w:usb1="00000000" w:usb2="00000000" w:usb3="00000000" w:csb0="0004009F" w:csb1="DFD70000"/>
  </w:font>
  <w:font w:name="Wingdings 2">
    <w:altName w:val="Wingdings"/>
    <w:panose1 w:val="05020102010507070707"/>
    <w:charset w:val="02"/>
    <w:family w:val="roman"/>
    <w:pitch w:val="default"/>
    <w:sig w:usb0="00000000" w:usb1="00000000" w:usb2="00000000" w:usb3="00000000" w:csb0="80000000" w:csb1="00000000"/>
  </w:font>
  <w:font w:name="Kingsoft UE">
    <w:altName w:val="ksdb"/>
    <w:panose1 w:val="00000000000000000000"/>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D7407D">
    <w:pPr>
      <w:pStyle w:val="21"/>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6E9D9">
    <w:pPr>
      <w:pStyle w:val="21"/>
      <w:jc w:val="center"/>
      <w:rPr>
        <w:rFonts w:ascii="黑体" w:hAnsi="黑体" w:eastAsia="黑体"/>
        <w:szCs w:val="18"/>
      </w:rPr>
    </w:pPr>
  </w:p>
  <w:p w14:paraId="21C38690">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279F">
    <w:pPr>
      <w:pStyle w:val="21"/>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38100</wp:posOffset>
              </wp:positionV>
              <wp:extent cx="210185" cy="1327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10185" cy="132715"/>
                      </a:xfrm>
                      <a:prstGeom prst="rect">
                        <a:avLst/>
                      </a:prstGeom>
                      <a:noFill/>
                      <a:ln>
                        <a:noFill/>
                      </a:ln>
                    </wps:spPr>
                    <wps:txbx>
                      <w:txbxContent>
                        <w:p w14:paraId="71CE8416">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3pt;height:10.45pt;width:16.55pt;mso-position-horizontal:center;mso-position-horizontal-relative:margin;z-index:251660288;mso-width-relative:page;mso-height-relative:page;" filled="f" stroked="f" coordsize="21600,21600" o:gfxdata="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J6zRGTUAAAABAEAAA8AAAAAAAAAAQAgAAAAIgAAAGRycy9kb3ducmV2Lnht&#10;bFBLAQIUABQAAAAIAIdO4kAw7za9xAEAAH8DAAAOAAAAAAAAAAEAIAAAACMBAABkcnMvZTJvRG9j&#10;LnhtbFBLBQYAAAAABgAGAFkBAABZBQAAAAA=&#10;">
              <v:fill on="f" focussize="0,0"/>
              <v:stroke on="f"/>
              <v:imagedata o:title=""/>
              <o:lock v:ext="edit" aspectratio="f"/>
              <v:textbox inset="0mm,0mm,0mm,0mm">
                <w:txbxContent>
                  <w:p w14:paraId="71CE8416">
                    <w:pPr>
                      <w:pStyle w:val="21"/>
                      <w:rPr>
                        <w:rFonts w:hint="eastAsia"/>
                      </w:rPr>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p w14:paraId="5B93E19B"/>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4BA589">
    <w:pPr>
      <w:pStyle w:val="21"/>
      <w:jc w:val="center"/>
      <w:rPr>
        <w:rFonts w:ascii="黑体" w:hAnsi="黑体" w:eastAsia="黑体"/>
        <w:szCs w:val="18"/>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4310" cy="15938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94310" cy="159385"/>
                      </a:xfrm>
                      <a:prstGeom prst="rect">
                        <a:avLst/>
                      </a:prstGeom>
                      <a:noFill/>
                      <a:ln>
                        <a:noFill/>
                      </a:ln>
                    </wps:spPr>
                    <wps:txbx>
                      <w:txbxContent>
                        <w:p w14:paraId="6EA6D8D5">
                          <w:pPr>
                            <w:pStyle w:val="21"/>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wps:txbx>
                    <wps:bodyPr wrap="square" lIns="0" tIns="0" rIns="0" bIns="0" upright="0"/>
                  </wps:wsp>
                </a:graphicData>
              </a:graphic>
            </wp:anchor>
          </w:drawing>
        </mc:Choice>
        <mc:Fallback>
          <w:pict>
            <v:shape id="_x0000_s1026" o:spid="_x0000_s1026" o:spt="202" type="#_x0000_t202" style="position:absolute;left:0pt;margin-top:0pt;height:12.55pt;width:15.3pt;mso-position-horizontal:center;mso-position-horizontal-relative:margin;z-index:251661312;mso-width-relative:page;mso-height-relative:page;" filled="f" stroked="f" coordsize="21600,21600" o:gfxdata="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w0jvN9MAAAADAQAADwAAAAAAAAABACAAAAAiAAAAZHJzL2Rvd25yZXYueG1s&#10;UEsBAhQAFAAAAAgAh07iQCIcqCfEAQAAfwMAAA4AAAAAAAAAAQAgAAAAIgEAAGRycy9lMm9Eb2Mu&#10;eG1sUEsFBgAAAAAGAAYAWQEAAFgFAAAAAA==&#10;">
              <v:fill on="f" focussize="0,0"/>
              <v:stroke on="f"/>
              <v:imagedata o:title=""/>
              <o:lock v:ext="edit" aspectratio="f"/>
              <v:textbox inset="0mm,0mm,0mm,0mm">
                <w:txbxContent>
                  <w:p w14:paraId="6EA6D8D5">
                    <w:pPr>
                      <w:pStyle w:val="21"/>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1</w:t>
                    </w:r>
                    <w:r>
                      <w:rPr>
                        <w:rFonts w:hint="eastAsia" w:ascii="仿宋" w:hAnsi="仿宋" w:eastAsia="仿宋" w:cs="仿宋"/>
                      </w:rPr>
                      <w:fldChar w:fldCharType="end"/>
                    </w:r>
                  </w:p>
                </w:txbxContent>
              </v:textbox>
            </v:shape>
          </w:pict>
        </mc:Fallback>
      </mc:AlternateContent>
    </w:r>
  </w:p>
  <w:p w14:paraId="71D1F4EB">
    <w:pPr>
      <w:pStyle w:val="2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B8697">
    <w:pPr>
      <w:pStyle w:val="22"/>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05077">
    <w:pPr>
      <w:pStyle w:val="22"/>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04AE3F9B">
    <w:pPr>
      <w:pStyle w:val="22"/>
      <w:rPr>
        <w:rFonts w:hint="eastAsia" w:ascii="仿宋" w:hAnsi="仿宋" w:eastAsia="仿宋" w:cs="仿宋"/>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325BC6">
    <w:pPr>
      <w:pStyle w:val="22"/>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A409E">
    <w:pPr>
      <w:pStyle w:val="22"/>
      <w:pBdr>
        <w:top w:val="none" w:color="auto" w:sz="0" w:space="0"/>
        <w:left w:val="none" w:color="auto" w:sz="0" w:space="0"/>
        <w:bottom w:val="single" w:color="auto" w:sz="4" w:space="1"/>
        <w:right w:val="none" w:color="auto" w:sz="0" w:space="0"/>
      </w:pBdr>
      <w:jc w:val="center"/>
      <w:rPr>
        <w:rFonts w:hint="eastAsia" w:ascii="仿宋" w:hAnsi="仿宋" w:eastAsia="仿宋" w:cs="仿宋"/>
      </w:rPr>
    </w:pPr>
    <w:r>
      <w:rPr>
        <w:rFonts w:hint="eastAsia" w:ascii="仿宋" w:hAnsi="仿宋" w:eastAsia="仿宋" w:cs="仿宋"/>
      </w:rPr>
      <w:t>招标文件</w:t>
    </w:r>
  </w:p>
  <w:p w14:paraId="67D34DDB">
    <w:pPr>
      <w:pStyle w:val="22"/>
      <w:rPr>
        <w:rFonts w:hint="eastAsia"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C3CB0"/>
    <w:multiLevelType w:val="singleLevel"/>
    <w:tmpl w:val="A81C3CB0"/>
    <w:lvl w:ilvl="0" w:tentative="0">
      <w:start w:val="11"/>
      <w:numFmt w:val="decimal"/>
      <w:suff w:val="space"/>
      <w:lvlText w:val="%1."/>
      <w:lvlJc w:val="left"/>
    </w:lvl>
  </w:abstractNum>
  <w:abstractNum w:abstractNumId="1">
    <w:nsid w:val="00000016"/>
    <w:multiLevelType w:val="multilevel"/>
    <w:tmpl w:val="00000016"/>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E3NDhhZTMxN2IwZjg1OGE5ZGE4Yzc5MzJkZTg3MmUifQ=="/>
  </w:docVars>
  <w:rsids>
    <w:rsidRoot w:val="005F55AF"/>
    <w:rsid w:val="000001C4"/>
    <w:rsid w:val="00000C81"/>
    <w:rsid w:val="00000EAA"/>
    <w:rsid w:val="0000139C"/>
    <w:rsid w:val="000016E8"/>
    <w:rsid w:val="00003FC1"/>
    <w:rsid w:val="00004A95"/>
    <w:rsid w:val="00004F37"/>
    <w:rsid w:val="000050AE"/>
    <w:rsid w:val="00006707"/>
    <w:rsid w:val="000068F2"/>
    <w:rsid w:val="0000699B"/>
    <w:rsid w:val="00006B2B"/>
    <w:rsid w:val="00006F75"/>
    <w:rsid w:val="00010234"/>
    <w:rsid w:val="00011607"/>
    <w:rsid w:val="00012105"/>
    <w:rsid w:val="00013761"/>
    <w:rsid w:val="000151FB"/>
    <w:rsid w:val="0001709E"/>
    <w:rsid w:val="00021824"/>
    <w:rsid w:val="00022109"/>
    <w:rsid w:val="00024256"/>
    <w:rsid w:val="00024350"/>
    <w:rsid w:val="000243B2"/>
    <w:rsid w:val="000252D2"/>
    <w:rsid w:val="0002645E"/>
    <w:rsid w:val="00026C1C"/>
    <w:rsid w:val="00026C66"/>
    <w:rsid w:val="00027DA6"/>
    <w:rsid w:val="000312AD"/>
    <w:rsid w:val="00032A4D"/>
    <w:rsid w:val="000335FC"/>
    <w:rsid w:val="00033C35"/>
    <w:rsid w:val="00034D22"/>
    <w:rsid w:val="000352ED"/>
    <w:rsid w:val="00035B05"/>
    <w:rsid w:val="00037ECD"/>
    <w:rsid w:val="0004355F"/>
    <w:rsid w:val="00044E20"/>
    <w:rsid w:val="00044F68"/>
    <w:rsid w:val="00045339"/>
    <w:rsid w:val="00045927"/>
    <w:rsid w:val="00045B07"/>
    <w:rsid w:val="000479A4"/>
    <w:rsid w:val="00047FE6"/>
    <w:rsid w:val="000515DB"/>
    <w:rsid w:val="00051BFE"/>
    <w:rsid w:val="000523F6"/>
    <w:rsid w:val="00052EBC"/>
    <w:rsid w:val="0005366F"/>
    <w:rsid w:val="00054842"/>
    <w:rsid w:val="00054BC2"/>
    <w:rsid w:val="00055A7F"/>
    <w:rsid w:val="0005610E"/>
    <w:rsid w:val="00060DE9"/>
    <w:rsid w:val="00061265"/>
    <w:rsid w:val="0006160A"/>
    <w:rsid w:val="00062034"/>
    <w:rsid w:val="000629FD"/>
    <w:rsid w:val="00063375"/>
    <w:rsid w:val="0006458B"/>
    <w:rsid w:val="0006524F"/>
    <w:rsid w:val="0006708E"/>
    <w:rsid w:val="000676F4"/>
    <w:rsid w:val="00067701"/>
    <w:rsid w:val="00067C40"/>
    <w:rsid w:val="000739F8"/>
    <w:rsid w:val="0007443C"/>
    <w:rsid w:val="00074AB1"/>
    <w:rsid w:val="00074F22"/>
    <w:rsid w:val="000767AC"/>
    <w:rsid w:val="000767DF"/>
    <w:rsid w:val="00077111"/>
    <w:rsid w:val="00081825"/>
    <w:rsid w:val="00082F19"/>
    <w:rsid w:val="00084FF4"/>
    <w:rsid w:val="00086193"/>
    <w:rsid w:val="00087142"/>
    <w:rsid w:val="00087E33"/>
    <w:rsid w:val="000903F5"/>
    <w:rsid w:val="00090AE3"/>
    <w:rsid w:val="00090D3B"/>
    <w:rsid w:val="00091DCE"/>
    <w:rsid w:val="000925AF"/>
    <w:rsid w:val="0009613B"/>
    <w:rsid w:val="000963DE"/>
    <w:rsid w:val="00097B9F"/>
    <w:rsid w:val="000A073A"/>
    <w:rsid w:val="000A3063"/>
    <w:rsid w:val="000A38E9"/>
    <w:rsid w:val="000A499E"/>
    <w:rsid w:val="000A4ADD"/>
    <w:rsid w:val="000A616D"/>
    <w:rsid w:val="000A6A7C"/>
    <w:rsid w:val="000A73A9"/>
    <w:rsid w:val="000A7841"/>
    <w:rsid w:val="000A7896"/>
    <w:rsid w:val="000B36D6"/>
    <w:rsid w:val="000B5486"/>
    <w:rsid w:val="000B700F"/>
    <w:rsid w:val="000C0CFB"/>
    <w:rsid w:val="000C0FC6"/>
    <w:rsid w:val="000C2AD8"/>
    <w:rsid w:val="000C3CC6"/>
    <w:rsid w:val="000C4137"/>
    <w:rsid w:val="000C75E9"/>
    <w:rsid w:val="000C7872"/>
    <w:rsid w:val="000D079E"/>
    <w:rsid w:val="000D2C19"/>
    <w:rsid w:val="000D3528"/>
    <w:rsid w:val="000D3953"/>
    <w:rsid w:val="000D4B03"/>
    <w:rsid w:val="000D4D9F"/>
    <w:rsid w:val="000D5661"/>
    <w:rsid w:val="000D628B"/>
    <w:rsid w:val="000D644C"/>
    <w:rsid w:val="000D7E11"/>
    <w:rsid w:val="000E0407"/>
    <w:rsid w:val="000E18A1"/>
    <w:rsid w:val="000E259E"/>
    <w:rsid w:val="000E369E"/>
    <w:rsid w:val="000E3CF6"/>
    <w:rsid w:val="000E5233"/>
    <w:rsid w:val="000E586E"/>
    <w:rsid w:val="000E61DA"/>
    <w:rsid w:val="000F3605"/>
    <w:rsid w:val="000F3B51"/>
    <w:rsid w:val="000F3BBD"/>
    <w:rsid w:val="000F3C06"/>
    <w:rsid w:val="000F3F3E"/>
    <w:rsid w:val="000F45C4"/>
    <w:rsid w:val="000F46D5"/>
    <w:rsid w:val="000F61EE"/>
    <w:rsid w:val="000F7110"/>
    <w:rsid w:val="000F790F"/>
    <w:rsid w:val="000F7E6D"/>
    <w:rsid w:val="0010147B"/>
    <w:rsid w:val="001015DB"/>
    <w:rsid w:val="001026CD"/>
    <w:rsid w:val="001049FD"/>
    <w:rsid w:val="001061DB"/>
    <w:rsid w:val="00110277"/>
    <w:rsid w:val="00110EDE"/>
    <w:rsid w:val="00111D8D"/>
    <w:rsid w:val="00112169"/>
    <w:rsid w:val="001125F7"/>
    <w:rsid w:val="00113131"/>
    <w:rsid w:val="00114EC3"/>
    <w:rsid w:val="00116821"/>
    <w:rsid w:val="00116E5C"/>
    <w:rsid w:val="0011762E"/>
    <w:rsid w:val="0011797C"/>
    <w:rsid w:val="00117B54"/>
    <w:rsid w:val="00120076"/>
    <w:rsid w:val="00120253"/>
    <w:rsid w:val="00121851"/>
    <w:rsid w:val="00122A54"/>
    <w:rsid w:val="00124F11"/>
    <w:rsid w:val="00125019"/>
    <w:rsid w:val="00126C7E"/>
    <w:rsid w:val="00126CE7"/>
    <w:rsid w:val="00130D12"/>
    <w:rsid w:val="001310E5"/>
    <w:rsid w:val="00131208"/>
    <w:rsid w:val="001315B3"/>
    <w:rsid w:val="001315FE"/>
    <w:rsid w:val="00131681"/>
    <w:rsid w:val="001335CE"/>
    <w:rsid w:val="00134630"/>
    <w:rsid w:val="00135174"/>
    <w:rsid w:val="00135531"/>
    <w:rsid w:val="0014075B"/>
    <w:rsid w:val="00142288"/>
    <w:rsid w:val="001425CB"/>
    <w:rsid w:val="0014286F"/>
    <w:rsid w:val="001442A6"/>
    <w:rsid w:val="00146BDC"/>
    <w:rsid w:val="001471AD"/>
    <w:rsid w:val="001512A0"/>
    <w:rsid w:val="0015276A"/>
    <w:rsid w:val="001541A3"/>
    <w:rsid w:val="001574F6"/>
    <w:rsid w:val="00164FA4"/>
    <w:rsid w:val="00165099"/>
    <w:rsid w:val="0016661C"/>
    <w:rsid w:val="00167F84"/>
    <w:rsid w:val="00177E38"/>
    <w:rsid w:val="00181527"/>
    <w:rsid w:val="00181732"/>
    <w:rsid w:val="00184CCD"/>
    <w:rsid w:val="00185C2F"/>
    <w:rsid w:val="00187293"/>
    <w:rsid w:val="001877DD"/>
    <w:rsid w:val="00190A02"/>
    <w:rsid w:val="00190C5A"/>
    <w:rsid w:val="0019442B"/>
    <w:rsid w:val="001A0890"/>
    <w:rsid w:val="001A19D2"/>
    <w:rsid w:val="001A1C87"/>
    <w:rsid w:val="001A1F38"/>
    <w:rsid w:val="001A3857"/>
    <w:rsid w:val="001A4F0D"/>
    <w:rsid w:val="001A5E58"/>
    <w:rsid w:val="001A6377"/>
    <w:rsid w:val="001A6A87"/>
    <w:rsid w:val="001A7699"/>
    <w:rsid w:val="001A77C6"/>
    <w:rsid w:val="001B29DD"/>
    <w:rsid w:val="001B32F5"/>
    <w:rsid w:val="001B4523"/>
    <w:rsid w:val="001B5337"/>
    <w:rsid w:val="001C0D18"/>
    <w:rsid w:val="001C28D2"/>
    <w:rsid w:val="001C4F00"/>
    <w:rsid w:val="001C543F"/>
    <w:rsid w:val="001C569A"/>
    <w:rsid w:val="001C65C1"/>
    <w:rsid w:val="001C6D9E"/>
    <w:rsid w:val="001C7899"/>
    <w:rsid w:val="001D076F"/>
    <w:rsid w:val="001D23AF"/>
    <w:rsid w:val="001D23B6"/>
    <w:rsid w:val="001D3757"/>
    <w:rsid w:val="001D3A3C"/>
    <w:rsid w:val="001D5E2F"/>
    <w:rsid w:val="001D6FE1"/>
    <w:rsid w:val="001D7261"/>
    <w:rsid w:val="001D7701"/>
    <w:rsid w:val="001D7AA1"/>
    <w:rsid w:val="001E2456"/>
    <w:rsid w:val="001E3189"/>
    <w:rsid w:val="001E3D4C"/>
    <w:rsid w:val="001E3E86"/>
    <w:rsid w:val="001F2953"/>
    <w:rsid w:val="001F3F80"/>
    <w:rsid w:val="001F4609"/>
    <w:rsid w:val="001F7B1B"/>
    <w:rsid w:val="0020115E"/>
    <w:rsid w:val="00201575"/>
    <w:rsid w:val="00203CDC"/>
    <w:rsid w:val="00203FC1"/>
    <w:rsid w:val="00204A32"/>
    <w:rsid w:val="00206322"/>
    <w:rsid w:val="0020688B"/>
    <w:rsid w:val="00206ACA"/>
    <w:rsid w:val="00207D3B"/>
    <w:rsid w:val="002124EF"/>
    <w:rsid w:val="00212967"/>
    <w:rsid w:val="00212A52"/>
    <w:rsid w:val="00212AEE"/>
    <w:rsid w:val="00213736"/>
    <w:rsid w:val="0021403B"/>
    <w:rsid w:val="00214FDB"/>
    <w:rsid w:val="00215FF1"/>
    <w:rsid w:val="00216402"/>
    <w:rsid w:val="00217033"/>
    <w:rsid w:val="0021729F"/>
    <w:rsid w:val="00217F9A"/>
    <w:rsid w:val="002207FA"/>
    <w:rsid w:val="00221931"/>
    <w:rsid w:val="0022202B"/>
    <w:rsid w:val="00222CCB"/>
    <w:rsid w:val="00225E48"/>
    <w:rsid w:val="00226E29"/>
    <w:rsid w:val="0022792D"/>
    <w:rsid w:val="00230C7F"/>
    <w:rsid w:val="00231390"/>
    <w:rsid w:val="00232123"/>
    <w:rsid w:val="002329BA"/>
    <w:rsid w:val="00232AA2"/>
    <w:rsid w:val="00232AAB"/>
    <w:rsid w:val="002346E9"/>
    <w:rsid w:val="00236429"/>
    <w:rsid w:val="00236DA6"/>
    <w:rsid w:val="00237699"/>
    <w:rsid w:val="00237869"/>
    <w:rsid w:val="00237EED"/>
    <w:rsid w:val="002406AC"/>
    <w:rsid w:val="00242173"/>
    <w:rsid w:val="002439E8"/>
    <w:rsid w:val="00243A60"/>
    <w:rsid w:val="00245799"/>
    <w:rsid w:val="00250A52"/>
    <w:rsid w:val="00250DB4"/>
    <w:rsid w:val="002512C9"/>
    <w:rsid w:val="00251EF0"/>
    <w:rsid w:val="00252704"/>
    <w:rsid w:val="00252B10"/>
    <w:rsid w:val="00253CB6"/>
    <w:rsid w:val="00254037"/>
    <w:rsid w:val="00254EA1"/>
    <w:rsid w:val="00255444"/>
    <w:rsid w:val="002575A1"/>
    <w:rsid w:val="00257B18"/>
    <w:rsid w:val="0026035F"/>
    <w:rsid w:val="00261D4D"/>
    <w:rsid w:val="00262C07"/>
    <w:rsid w:val="00262D23"/>
    <w:rsid w:val="0026340E"/>
    <w:rsid w:val="00264B7B"/>
    <w:rsid w:val="002675F1"/>
    <w:rsid w:val="00270522"/>
    <w:rsid w:val="00273999"/>
    <w:rsid w:val="002753BD"/>
    <w:rsid w:val="00277663"/>
    <w:rsid w:val="0028413A"/>
    <w:rsid w:val="00284617"/>
    <w:rsid w:val="00286A3E"/>
    <w:rsid w:val="00287A9F"/>
    <w:rsid w:val="002900A1"/>
    <w:rsid w:val="00291F2A"/>
    <w:rsid w:val="00293253"/>
    <w:rsid w:val="00293FFB"/>
    <w:rsid w:val="00296B57"/>
    <w:rsid w:val="00297182"/>
    <w:rsid w:val="0029781A"/>
    <w:rsid w:val="00297FA6"/>
    <w:rsid w:val="002A0528"/>
    <w:rsid w:val="002A0871"/>
    <w:rsid w:val="002A08A9"/>
    <w:rsid w:val="002A29D5"/>
    <w:rsid w:val="002A3645"/>
    <w:rsid w:val="002A5816"/>
    <w:rsid w:val="002A59D8"/>
    <w:rsid w:val="002A6404"/>
    <w:rsid w:val="002A6CA1"/>
    <w:rsid w:val="002A6F20"/>
    <w:rsid w:val="002A6F8B"/>
    <w:rsid w:val="002A7397"/>
    <w:rsid w:val="002A74AC"/>
    <w:rsid w:val="002B284D"/>
    <w:rsid w:val="002B2F7A"/>
    <w:rsid w:val="002B3116"/>
    <w:rsid w:val="002B3356"/>
    <w:rsid w:val="002B3722"/>
    <w:rsid w:val="002B4923"/>
    <w:rsid w:val="002B604E"/>
    <w:rsid w:val="002B7C9A"/>
    <w:rsid w:val="002C0D19"/>
    <w:rsid w:val="002C15D2"/>
    <w:rsid w:val="002C243E"/>
    <w:rsid w:val="002C2771"/>
    <w:rsid w:val="002C2E36"/>
    <w:rsid w:val="002C3120"/>
    <w:rsid w:val="002C3D1E"/>
    <w:rsid w:val="002C4B6A"/>
    <w:rsid w:val="002C4DC4"/>
    <w:rsid w:val="002C6826"/>
    <w:rsid w:val="002D00D8"/>
    <w:rsid w:val="002D17D7"/>
    <w:rsid w:val="002D672A"/>
    <w:rsid w:val="002D6B06"/>
    <w:rsid w:val="002D764A"/>
    <w:rsid w:val="002D76A9"/>
    <w:rsid w:val="002E07B7"/>
    <w:rsid w:val="002E1286"/>
    <w:rsid w:val="002E153E"/>
    <w:rsid w:val="002E1C7B"/>
    <w:rsid w:val="002E2D72"/>
    <w:rsid w:val="002E4C41"/>
    <w:rsid w:val="002E56F8"/>
    <w:rsid w:val="002E5D16"/>
    <w:rsid w:val="002F0299"/>
    <w:rsid w:val="002F29C3"/>
    <w:rsid w:val="002F3452"/>
    <w:rsid w:val="002F6CC1"/>
    <w:rsid w:val="003008A4"/>
    <w:rsid w:val="00301A76"/>
    <w:rsid w:val="00304544"/>
    <w:rsid w:val="00306024"/>
    <w:rsid w:val="00306366"/>
    <w:rsid w:val="003074D7"/>
    <w:rsid w:val="0030768D"/>
    <w:rsid w:val="0031082E"/>
    <w:rsid w:val="003110A2"/>
    <w:rsid w:val="003129B0"/>
    <w:rsid w:val="00312A4D"/>
    <w:rsid w:val="00313685"/>
    <w:rsid w:val="00313E5A"/>
    <w:rsid w:val="00313F53"/>
    <w:rsid w:val="00314FEF"/>
    <w:rsid w:val="00315070"/>
    <w:rsid w:val="003154D6"/>
    <w:rsid w:val="00320097"/>
    <w:rsid w:val="00320423"/>
    <w:rsid w:val="0032047C"/>
    <w:rsid w:val="0032264D"/>
    <w:rsid w:val="00323E67"/>
    <w:rsid w:val="003254D7"/>
    <w:rsid w:val="003264ED"/>
    <w:rsid w:val="003270C6"/>
    <w:rsid w:val="00327AB4"/>
    <w:rsid w:val="00332AEA"/>
    <w:rsid w:val="00332E12"/>
    <w:rsid w:val="00333B4D"/>
    <w:rsid w:val="00333C26"/>
    <w:rsid w:val="00335187"/>
    <w:rsid w:val="00340A6B"/>
    <w:rsid w:val="00341088"/>
    <w:rsid w:val="0034186F"/>
    <w:rsid w:val="00341D12"/>
    <w:rsid w:val="00341E25"/>
    <w:rsid w:val="00342CD4"/>
    <w:rsid w:val="00343528"/>
    <w:rsid w:val="0034554B"/>
    <w:rsid w:val="00346017"/>
    <w:rsid w:val="00347120"/>
    <w:rsid w:val="00350901"/>
    <w:rsid w:val="0035152A"/>
    <w:rsid w:val="00351579"/>
    <w:rsid w:val="003610E4"/>
    <w:rsid w:val="003618A1"/>
    <w:rsid w:val="00362263"/>
    <w:rsid w:val="00362507"/>
    <w:rsid w:val="00363A11"/>
    <w:rsid w:val="00363E37"/>
    <w:rsid w:val="00365FB4"/>
    <w:rsid w:val="00366DED"/>
    <w:rsid w:val="00367063"/>
    <w:rsid w:val="003676AE"/>
    <w:rsid w:val="003721DF"/>
    <w:rsid w:val="0037437C"/>
    <w:rsid w:val="003743C4"/>
    <w:rsid w:val="00375F12"/>
    <w:rsid w:val="003767A0"/>
    <w:rsid w:val="00377423"/>
    <w:rsid w:val="00377636"/>
    <w:rsid w:val="00377970"/>
    <w:rsid w:val="00380A93"/>
    <w:rsid w:val="00381978"/>
    <w:rsid w:val="003822CD"/>
    <w:rsid w:val="00383C4B"/>
    <w:rsid w:val="003854B0"/>
    <w:rsid w:val="003859FD"/>
    <w:rsid w:val="00386D20"/>
    <w:rsid w:val="00387A30"/>
    <w:rsid w:val="00391172"/>
    <w:rsid w:val="00392E3A"/>
    <w:rsid w:val="00393F5A"/>
    <w:rsid w:val="003944F6"/>
    <w:rsid w:val="00396011"/>
    <w:rsid w:val="003973C4"/>
    <w:rsid w:val="00397EC0"/>
    <w:rsid w:val="003A078F"/>
    <w:rsid w:val="003A1256"/>
    <w:rsid w:val="003A2726"/>
    <w:rsid w:val="003A3056"/>
    <w:rsid w:val="003A353C"/>
    <w:rsid w:val="003A35AE"/>
    <w:rsid w:val="003A3AD6"/>
    <w:rsid w:val="003A7214"/>
    <w:rsid w:val="003A7C2B"/>
    <w:rsid w:val="003B09D9"/>
    <w:rsid w:val="003B244B"/>
    <w:rsid w:val="003B3BB4"/>
    <w:rsid w:val="003B406D"/>
    <w:rsid w:val="003B4CB2"/>
    <w:rsid w:val="003B5B88"/>
    <w:rsid w:val="003B5C8D"/>
    <w:rsid w:val="003B7BF1"/>
    <w:rsid w:val="003C0809"/>
    <w:rsid w:val="003C1A69"/>
    <w:rsid w:val="003C1EED"/>
    <w:rsid w:val="003C24F3"/>
    <w:rsid w:val="003C2CC6"/>
    <w:rsid w:val="003C3683"/>
    <w:rsid w:val="003C3F26"/>
    <w:rsid w:val="003C486E"/>
    <w:rsid w:val="003C4B52"/>
    <w:rsid w:val="003C4F36"/>
    <w:rsid w:val="003C6380"/>
    <w:rsid w:val="003C7512"/>
    <w:rsid w:val="003C7A1C"/>
    <w:rsid w:val="003D0AC8"/>
    <w:rsid w:val="003D24C5"/>
    <w:rsid w:val="003D30DD"/>
    <w:rsid w:val="003D3CC3"/>
    <w:rsid w:val="003D41FB"/>
    <w:rsid w:val="003D59DD"/>
    <w:rsid w:val="003D5CA2"/>
    <w:rsid w:val="003D6103"/>
    <w:rsid w:val="003E1E87"/>
    <w:rsid w:val="003E31A1"/>
    <w:rsid w:val="003E332E"/>
    <w:rsid w:val="003E3691"/>
    <w:rsid w:val="003E520B"/>
    <w:rsid w:val="003E52BB"/>
    <w:rsid w:val="003F0758"/>
    <w:rsid w:val="003F07D0"/>
    <w:rsid w:val="003F108A"/>
    <w:rsid w:val="003F2A3D"/>
    <w:rsid w:val="003F2F9E"/>
    <w:rsid w:val="003F38AD"/>
    <w:rsid w:val="003F3CB4"/>
    <w:rsid w:val="003F41E1"/>
    <w:rsid w:val="003F4C05"/>
    <w:rsid w:val="003F4DBE"/>
    <w:rsid w:val="00400EA9"/>
    <w:rsid w:val="0040189E"/>
    <w:rsid w:val="00401BE0"/>
    <w:rsid w:val="00401EFD"/>
    <w:rsid w:val="00402334"/>
    <w:rsid w:val="00402F29"/>
    <w:rsid w:val="00403FC1"/>
    <w:rsid w:val="004043FD"/>
    <w:rsid w:val="0040553E"/>
    <w:rsid w:val="004057DD"/>
    <w:rsid w:val="00405CD6"/>
    <w:rsid w:val="00410763"/>
    <w:rsid w:val="00411048"/>
    <w:rsid w:val="00412281"/>
    <w:rsid w:val="00412DBA"/>
    <w:rsid w:val="0041352C"/>
    <w:rsid w:val="004137E6"/>
    <w:rsid w:val="004141BE"/>
    <w:rsid w:val="00415995"/>
    <w:rsid w:val="00421CE4"/>
    <w:rsid w:val="00422CF1"/>
    <w:rsid w:val="00424391"/>
    <w:rsid w:val="004246AA"/>
    <w:rsid w:val="00425AC4"/>
    <w:rsid w:val="00426E30"/>
    <w:rsid w:val="004275DC"/>
    <w:rsid w:val="00427660"/>
    <w:rsid w:val="00430CD5"/>
    <w:rsid w:val="00430E84"/>
    <w:rsid w:val="00431F4B"/>
    <w:rsid w:val="004347E5"/>
    <w:rsid w:val="00435287"/>
    <w:rsid w:val="00440AC7"/>
    <w:rsid w:val="00440F2E"/>
    <w:rsid w:val="00441326"/>
    <w:rsid w:val="004416AA"/>
    <w:rsid w:val="004416D2"/>
    <w:rsid w:val="00442DB7"/>
    <w:rsid w:val="00443CDC"/>
    <w:rsid w:val="004442DD"/>
    <w:rsid w:val="00445F86"/>
    <w:rsid w:val="004460F1"/>
    <w:rsid w:val="004469DB"/>
    <w:rsid w:val="00446C8E"/>
    <w:rsid w:val="00450005"/>
    <w:rsid w:val="004501FD"/>
    <w:rsid w:val="004515B3"/>
    <w:rsid w:val="004537B2"/>
    <w:rsid w:val="00453BE3"/>
    <w:rsid w:val="00454FF0"/>
    <w:rsid w:val="0046260D"/>
    <w:rsid w:val="00462CE5"/>
    <w:rsid w:val="0046466C"/>
    <w:rsid w:val="00465093"/>
    <w:rsid w:val="0046549F"/>
    <w:rsid w:val="00467E6C"/>
    <w:rsid w:val="004707EC"/>
    <w:rsid w:val="00470D2E"/>
    <w:rsid w:val="00471C9E"/>
    <w:rsid w:val="00471E49"/>
    <w:rsid w:val="00472DA4"/>
    <w:rsid w:val="00473191"/>
    <w:rsid w:val="0047331B"/>
    <w:rsid w:val="00473B30"/>
    <w:rsid w:val="004742AE"/>
    <w:rsid w:val="0047460A"/>
    <w:rsid w:val="004753B4"/>
    <w:rsid w:val="00477783"/>
    <w:rsid w:val="00477AB0"/>
    <w:rsid w:val="004812DE"/>
    <w:rsid w:val="00481624"/>
    <w:rsid w:val="00484786"/>
    <w:rsid w:val="00485755"/>
    <w:rsid w:val="00485FF4"/>
    <w:rsid w:val="0048796B"/>
    <w:rsid w:val="00487C7A"/>
    <w:rsid w:val="0049302E"/>
    <w:rsid w:val="004944F7"/>
    <w:rsid w:val="00494679"/>
    <w:rsid w:val="004947F1"/>
    <w:rsid w:val="0049487A"/>
    <w:rsid w:val="00495419"/>
    <w:rsid w:val="004960AA"/>
    <w:rsid w:val="004960EA"/>
    <w:rsid w:val="0049628A"/>
    <w:rsid w:val="004976AB"/>
    <w:rsid w:val="00497E7C"/>
    <w:rsid w:val="004A5C7D"/>
    <w:rsid w:val="004A7F15"/>
    <w:rsid w:val="004B00D9"/>
    <w:rsid w:val="004B1287"/>
    <w:rsid w:val="004B1357"/>
    <w:rsid w:val="004B162F"/>
    <w:rsid w:val="004B186D"/>
    <w:rsid w:val="004B7CEF"/>
    <w:rsid w:val="004C1099"/>
    <w:rsid w:val="004C2A70"/>
    <w:rsid w:val="004C2DDC"/>
    <w:rsid w:val="004C356A"/>
    <w:rsid w:val="004C4046"/>
    <w:rsid w:val="004C42E3"/>
    <w:rsid w:val="004C676F"/>
    <w:rsid w:val="004C7026"/>
    <w:rsid w:val="004D0721"/>
    <w:rsid w:val="004D0F69"/>
    <w:rsid w:val="004D1AFE"/>
    <w:rsid w:val="004D1BA7"/>
    <w:rsid w:val="004D2FB7"/>
    <w:rsid w:val="004D35F3"/>
    <w:rsid w:val="004D3D72"/>
    <w:rsid w:val="004D3F41"/>
    <w:rsid w:val="004D5703"/>
    <w:rsid w:val="004E0470"/>
    <w:rsid w:val="004E2C4F"/>
    <w:rsid w:val="004E3876"/>
    <w:rsid w:val="004E3BBF"/>
    <w:rsid w:val="004E585E"/>
    <w:rsid w:val="004E646C"/>
    <w:rsid w:val="004E64DE"/>
    <w:rsid w:val="004F0580"/>
    <w:rsid w:val="004F1032"/>
    <w:rsid w:val="004F18DA"/>
    <w:rsid w:val="004F1E5E"/>
    <w:rsid w:val="004F3A50"/>
    <w:rsid w:val="004F4BE6"/>
    <w:rsid w:val="004F5E89"/>
    <w:rsid w:val="004F60C5"/>
    <w:rsid w:val="004F6784"/>
    <w:rsid w:val="005014A6"/>
    <w:rsid w:val="00501AF0"/>
    <w:rsid w:val="005036C3"/>
    <w:rsid w:val="00503AE7"/>
    <w:rsid w:val="00503B5E"/>
    <w:rsid w:val="00505E27"/>
    <w:rsid w:val="0050690F"/>
    <w:rsid w:val="0051272C"/>
    <w:rsid w:val="00514D95"/>
    <w:rsid w:val="005156F6"/>
    <w:rsid w:val="00516180"/>
    <w:rsid w:val="0051663E"/>
    <w:rsid w:val="0051716D"/>
    <w:rsid w:val="00517241"/>
    <w:rsid w:val="00517E5C"/>
    <w:rsid w:val="00520135"/>
    <w:rsid w:val="005204D0"/>
    <w:rsid w:val="005207A5"/>
    <w:rsid w:val="00520D65"/>
    <w:rsid w:val="00521412"/>
    <w:rsid w:val="0052195D"/>
    <w:rsid w:val="00522848"/>
    <w:rsid w:val="005260F6"/>
    <w:rsid w:val="005267F9"/>
    <w:rsid w:val="00526F10"/>
    <w:rsid w:val="005273CD"/>
    <w:rsid w:val="005312CC"/>
    <w:rsid w:val="00531809"/>
    <w:rsid w:val="00533DEF"/>
    <w:rsid w:val="00534BE8"/>
    <w:rsid w:val="005355AA"/>
    <w:rsid w:val="00535A6B"/>
    <w:rsid w:val="00536E63"/>
    <w:rsid w:val="0053757F"/>
    <w:rsid w:val="005375FD"/>
    <w:rsid w:val="0054076C"/>
    <w:rsid w:val="005411A1"/>
    <w:rsid w:val="005426FD"/>
    <w:rsid w:val="00543768"/>
    <w:rsid w:val="005444F6"/>
    <w:rsid w:val="00544D80"/>
    <w:rsid w:val="00546B54"/>
    <w:rsid w:val="00550BB6"/>
    <w:rsid w:val="0055160B"/>
    <w:rsid w:val="005525B7"/>
    <w:rsid w:val="005577F4"/>
    <w:rsid w:val="00557AAB"/>
    <w:rsid w:val="00562694"/>
    <w:rsid w:val="00563850"/>
    <w:rsid w:val="00565FE7"/>
    <w:rsid w:val="005709A2"/>
    <w:rsid w:val="00570AC5"/>
    <w:rsid w:val="00573B57"/>
    <w:rsid w:val="00574F13"/>
    <w:rsid w:val="005811DF"/>
    <w:rsid w:val="00581787"/>
    <w:rsid w:val="00581A29"/>
    <w:rsid w:val="00581BFB"/>
    <w:rsid w:val="00581EB8"/>
    <w:rsid w:val="00583D61"/>
    <w:rsid w:val="00583D82"/>
    <w:rsid w:val="00584436"/>
    <w:rsid w:val="0058482D"/>
    <w:rsid w:val="00584A9B"/>
    <w:rsid w:val="00585881"/>
    <w:rsid w:val="00585C2E"/>
    <w:rsid w:val="00586650"/>
    <w:rsid w:val="00586F6A"/>
    <w:rsid w:val="00590674"/>
    <w:rsid w:val="00590D38"/>
    <w:rsid w:val="00591D0B"/>
    <w:rsid w:val="0059358C"/>
    <w:rsid w:val="00593C7A"/>
    <w:rsid w:val="00593D0E"/>
    <w:rsid w:val="00594695"/>
    <w:rsid w:val="00594E24"/>
    <w:rsid w:val="00595A0A"/>
    <w:rsid w:val="005967D1"/>
    <w:rsid w:val="00596AA4"/>
    <w:rsid w:val="00596E1D"/>
    <w:rsid w:val="005972B1"/>
    <w:rsid w:val="005A3129"/>
    <w:rsid w:val="005A579D"/>
    <w:rsid w:val="005A62FB"/>
    <w:rsid w:val="005A6510"/>
    <w:rsid w:val="005A6AE3"/>
    <w:rsid w:val="005A7121"/>
    <w:rsid w:val="005B0E95"/>
    <w:rsid w:val="005B175D"/>
    <w:rsid w:val="005B2C65"/>
    <w:rsid w:val="005B3FBF"/>
    <w:rsid w:val="005B405D"/>
    <w:rsid w:val="005B447B"/>
    <w:rsid w:val="005B5599"/>
    <w:rsid w:val="005B796E"/>
    <w:rsid w:val="005B7FF6"/>
    <w:rsid w:val="005C0E17"/>
    <w:rsid w:val="005C1784"/>
    <w:rsid w:val="005C2492"/>
    <w:rsid w:val="005C2791"/>
    <w:rsid w:val="005C340A"/>
    <w:rsid w:val="005C3F2E"/>
    <w:rsid w:val="005C6082"/>
    <w:rsid w:val="005C7BEF"/>
    <w:rsid w:val="005D11E5"/>
    <w:rsid w:val="005D4977"/>
    <w:rsid w:val="005D5C1C"/>
    <w:rsid w:val="005D6144"/>
    <w:rsid w:val="005D753A"/>
    <w:rsid w:val="005D7D43"/>
    <w:rsid w:val="005D7E4E"/>
    <w:rsid w:val="005E0A0F"/>
    <w:rsid w:val="005E113E"/>
    <w:rsid w:val="005E1E83"/>
    <w:rsid w:val="005E2F78"/>
    <w:rsid w:val="005E3B9B"/>
    <w:rsid w:val="005E4B3D"/>
    <w:rsid w:val="005E4E01"/>
    <w:rsid w:val="005E58AB"/>
    <w:rsid w:val="005E7467"/>
    <w:rsid w:val="005F0532"/>
    <w:rsid w:val="005F06A9"/>
    <w:rsid w:val="005F23CA"/>
    <w:rsid w:val="005F28B5"/>
    <w:rsid w:val="005F4867"/>
    <w:rsid w:val="005F55AF"/>
    <w:rsid w:val="005F5A8C"/>
    <w:rsid w:val="005F5F5A"/>
    <w:rsid w:val="005F6D8A"/>
    <w:rsid w:val="005F7031"/>
    <w:rsid w:val="005F7451"/>
    <w:rsid w:val="00602570"/>
    <w:rsid w:val="006041D9"/>
    <w:rsid w:val="00604516"/>
    <w:rsid w:val="00604A91"/>
    <w:rsid w:val="0060688E"/>
    <w:rsid w:val="00607974"/>
    <w:rsid w:val="00611618"/>
    <w:rsid w:val="006133CE"/>
    <w:rsid w:val="006141BE"/>
    <w:rsid w:val="0061641E"/>
    <w:rsid w:val="00617819"/>
    <w:rsid w:val="006238B9"/>
    <w:rsid w:val="00623924"/>
    <w:rsid w:val="00623944"/>
    <w:rsid w:val="00623D88"/>
    <w:rsid w:val="00624A69"/>
    <w:rsid w:val="00624FFC"/>
    <w:rsid w:val="0062553A"/>
    <w:rsid w:val="00626B07"/>
    <w:rsid w:val="00627546"/>
    <w:rsid w:val="00630F55"/>
    <w:rsid w:val="00634610"/>
    <w:rsid w:val="00634AE6"/>
    <w:rsid w:val="00635383"/>
    <w:rsid w:val="00635D44"/>
    <w:rsid w:val="00637EA6"/>
    <w:rsid w:val="006404AB"/>
    <w:rsid w:val="00641500"/>
    <w:rsid w:val="00642E68"/>
    <w:rsid w:val="00643DE7"/>
    <w:rsid w:val="006459A9"/>
    <w:rsid w:val="00647497"/>
    <w:rsid w:val="00647AF8"/>
    <w:rsid w:val="0065029B"/>
    <w:rsid w:val="0065052C"/>
    <w:rsid w:val="00651949"/>
    <w:rsid w:val="006529FC"/>
    <w:rsid w:val="00653FB4"/>
    <w:rsid w:val="00654DA8"/>
    <w:rsid w:val="006557E7"/>
    <w:rsid w:val="00657CE4"/>
    <w:rsid w:val="00660FDD"/>
    <w:rsid w:val="00662B03"/>
    <w:rsid w:val="006642D5"/>
    <w:rsid w:val="00667144"/>
    <w:rsid w:val="006679AB"/>
    <w:rsid w:val="00670912"/>
    <w:rsid w:val="00671842"/>
    <w:rsid w:val="006718A7"/>
    <w:rsid w:val="00674CC4"/>
    <w:rsid w:val="00677615"/>
    <w:rsid w:val="00677B3E"/>
    <w:rsid w:val="0068003B"/>
    <w:rsid w:val="00680896"/>
    <w:rsid w:val="00683BFF"/>
    <w:rsid w:val="0068542A"/>
    <w:rsid w:val="00685671"/>
    <w:rsid w:val="00685906"/>
    <w:rsid w:val="00686A31"/>
    <w:rsid w:val="00686D0D"/>
    <w:rsid w:val="006902F4"/>
    <w:rsid w:val="00690ED3"/>
    <w:rsid w:val="00692025"/>
    <w:rsid w:val="00694021"/>
    <w:rsid w:val="00694F47"/>
    <w:rsid w:val="006950E9"/>
    <w:rsid w:val="00696F3E"/>
    <w:rsid w:val="00696FEC"/>
    <w:rsid w:val="006A01DF"/>
    <w:rsid w:val="006A0453"/>
    <w:rsid w:val="006A2362"/>
    <w:rsid w:val="006A2E13"/>
    <w:rsid w:val="006A314A"/>
    <w:rsid w:val="006A3A09"/>
    <w:rsid w:val="006A3B0B"/>
    <w:rsid w:val="006A7573"/>
    <w:rsid w:val="006A7E7A"/>
    <w:rsid w:val="006B036F"/>
    <w:rsid w:val="006B1D23"/>
    <w:rsid w:val="006B2994"/>
    <w:rsid w:val="006B2DFA"/>
    <w:rsid w:val="006B4BCF"/>
    <w:rsid w:val="006B5AD9"/>
    <w:rsid w:val="006B6460"/>
    <w:rsid w:val="006B6CA7"/>
    <w:rsid w:val="006B6D6B"/>
    <w:rsid w:val="006B7ADD"/>
    <w:rsid w:val="006C0167"/>
    <w:rsid w:val="006C02AB"/>
    <w:rsid w:val="006C0981"/>
    <w:rsid w:val="006C1F0B"/>
    <w:rsid w:val="006C27BA"/>
    <w:rsid w:val="006C311C"/>
    <w:rsid w:val="006C3FCD"/>
    <w:rsid w:val="006C5AA2"/>
    <w:rsid w:val="006C5CA0"/>
    <w:rsid w:val="006C5DBC"/>
    <w:rsid w:val="006C6688"/>
    <w:rsid w:val="006D0CD0"/>
    <w:rsid w:val="006D115D"/>
    <w:rsid w:val="006D1303"/>
    <w:rsid w:val="006D472C"/>
    <w:rsid w:val="006D7121"/>
    <w:rsid w:val="006E28DC"/>
    <w:rsid w:val="006E54C5"/>
    <w:rsid w:val="006E6833"/>
    <w:rsid w:val="006E6BFE"/>
    <w:rsid w:val="006F091D"/>
    <w:rsid w:val="006F1572"/>
    <w:rsid w:val="006F1809"/>
    <w:rsid w:val="006F1930"/>
    <w:rsid w:val="006F1FF1"/>
    <w:rsid w:val="006F32BA"/>
    <w:rsid w:val="006F6C4A"/>
    <w:rsid w:val="006F7EC3"/>
    <w:rsid w:val="00700795"/>
    <w:rsid w:val="00700C05"/>
    <w:rsid w:val="00700F7E"/>
    <w:rsid w:val="00701A53"/>
    <w:rsid w:val="00703422"/>
    <w:rsid w:val="00704521"/>
    <w:rsid w:val="007062DA"/>
    <w:rsid w:val="00706DFA"/>
    <w:rsid w:val="00707C84"/>
    <w:rsid w:val="00707E8B"/>
    <w:rsid w:val="00710017"/>
    <w:rsid w:val="00712D3B"/>
    <w:rsid w:val="00713718"/>
    <w:rsid w:val="00714FFB"/>
    <w:rsid w:val="0071631D"/>
    <w:rsid w:val="0071647F"/>
    <w:rsid w:val="007164C8"/>
    <w:rsid w:val="00716C41"/>
    <w:rsid w:val="00716DB7"/>
    <w:rsid w:val="007205DE"/>
    <w:rsid w:val="00720ACC"/>
    <w:rsid w:val="00721480"/>
    <w:rsid w:val="00721776"/>
    <w:rsid w:val="00721C70"/>
    <w:rsid w:val="0072257C"/>
    <w:rsid w:val="00723EB5"/>
    <w:rsid w:val="00731FC7"/>
    <w:rsid w:val="00732320"/>
    <w:rsid w:val="00734005"/>
    <w:rsid w:val="00736553"/>
    <w:rsid w:val="0073670E"/>
    <w:rsid w:val="00737E72"/>
    <w:rsid w:val="00740B4C"/>
    <w:rsid w:val="00740D20"/>
    <w:rsid w:val="00740E0A"/>
    <w:rsid w:val="0074113C"/>
    <w:rsid w:val="00741D7B"/>
    <w:rsid w:val="007421F5"/>
    <w:rsid w:val="00744791"/>
    <w:rsid w:val="00745331"/>
    <w:rsid w:val="007454FD"/>
    <w:rsid w:val="00746A54"/>
    <w:rsid w:val="00746B09"/>
    <w:rsid w:val="007478DE"/>
    <w:rsid w:val="00747A63"/>
    <w:rsid w:val="00750055"/>
    <w:rsid w:val="007517A0"/>
    <w:rsid w:val="00751AD1"/>
    <w:rsid w:val="00751B1D"/>
    <w:rsid w:val="00752B3A"/>
    <w:rsid w:val="00752E78"/>
    <w:rsid w:val="007540A5"/>
    <w:rsid w:val="00755CC2"/>
    <w:rsid w:val="007566E4"/>
    <w:rsid w:val="007578FD"/>
    <w:rsid w:val="00760F13"/>
    <w:rsid w:val="00761FDE"/>
    <w:rsid w:val="00762ECA"/>
    <w:rsid w:val="007649BB"/>
    <w:rsid w:val="00766415"/>
    <w:rsid w:val="0077091D"/>
    <w:rsid w:val="0077145C"/>
    <w:rsid w:val="00771541"/>
    <w:rsid w:val="007720C9"/>
    <w:rsid w:val="00774CF8"/>
    <w:rsid w:val="00775211"/>
    <w:rsid w:val="007758AE"/>
    <w:rsid w:val="007758D7"/>
    <w:rsid w:val="00776AD9"/>
    <w:rsid w:val="0077718D"/>
    <w:rsid w:val="00777CC8"/>
    <w:rsid w:val="00781C5D"/>
    <w:rsid w:val="00782236"/>
    <w:rsid w:val="00783D45"/>
    <w:rsid w:val="00787801"/>
    <w:rsid w:val="00790013"/>
    <w:rsid w:val="00791FF6"/>
    <w:rsid w:val="007927D5"/>
    <w:rsid w:val="00792D30"/>
    <w:rsid w:val="00793AC2"/>
    <w:rsid w:val="00793D6E"/>
    <w:rsid w:val="00794BEB"/>
    <w:rsid w:val="007950B2"/>
    <w:rsid w:val="007975D4"/>
    <w:rsid w:val="00797882"/>
    <w:rsid w:val="007A384D"/>
    <w:rsid w:val="007A3BCC"/>
    <w:rsid w:val="007B00A6"/>
    <w:rsid w:val="007B67C9"/>
    <w:rsid w:val="007C0533"/>
    <w:rsid w:val="007C0A64"/>
    <w:rsid w:val="007C1725"/>
    <w:rsid w:val="007C4CB6"/>
    <w:rsid w:val="007C76F8"/>
    <w:rsid w:val="007D001C"/>
    <w:rsid w:val="007D14C2"/>
    <w:rsid w:val="007D19AC"/>
    <w:rsid w:val="007D1A06"/>
    <w:rsid w:val="007D2112"/>
    <w:rsid w:val="007D266B"/>
    <w:rsid w:val="007D316E"/>
    <w:rsid w:val="007D375E"/>
    <w:rsid w:val="007D3ADC"/>
    <w:rsid w:val="007D3C92"/>
    <w:rsid w:val="007D44B9"/>
    <w:rsid w:val="007D5338"/>
    <w:rsid w:val="007D5875"/>
    <w:rsid w:val="007D58B1"/>
    <w:rsid w:val="007D71D9"/>
    <w:rsid w:val="007E0C2D"/>
    <w:rsid w:val="007E1714"/>
    <w:rsid w:val="007E2B90"/>
    <w:rsid w:val="007E34F9"/>
    <w:rsid w:val="007E4EFD"/>
    <w:rsid w:val="007E56D9"/>
    <w:rsid w:val="007E7D1C"/>
    <w:rsid w:val="007F3263"/>
    <w:rsid w:val="007F35DB"/>
    <w:rsid w:val="007F48EB"/>
    <w:rsid w:val="007F4F3A"/>
    <w:rsid w:val="007F5A25"/>
    <w:rsid w:val="007F6174"/>
    <w:rsid w:val="007F6C60"/>
    <w:rsid w:val="007F76F9"/>
    <w:rsid w:val="007F7B86"/>
    <w:rsid w:val="008016BE"/>
    <w:rsid w:val="00802869"/>
    <w:rsid w:val="008031B2"/>
    <w:rsid w:val="008037A3"/>
    <w:rsid w:val="0080579D"/>
    <w:rsid w:val="00806631"/>
    <w:rsid w:val="00807824"/>
    <w:rsid w:val="00811FC5"/>
    <w:rsid w:val="0081309B"/>
    <w:rsid w:val="00813511"/>
    <w:rsid w:val="00813C46"/>
    <w:rsid w:val="008175A2"/>
    <w:rsid w:val="008176A7"/>
    <w:rsid w:val="00821978"/>
    <w:rsid w:val="0082538C"/>
    <w:rsid w:val="00825958"/>
    <w:rsid w:val="00830843"/>
    <w:rsid w:val="00831A1D"/>
    <w:rsid w:val="008326F0"/>
    <w:rsid w:val="00833647"/>
    <w:rsid w:val="00834BE0"/>
    <w:rsid w:val="00834C8A"/>
    <w:rsid w:val="00835BB8"/>
    <w:rsid w:val="008362BF"/>
    <w:rsid w:val="008363C1"/>
    <w:rsid w:val="00836C5A"/>
    <w:rsid w:val="008402B9"/>
    <w:rsid w:val="00841E24"/>
    <w:rsid w:val="00843EE5"/>
    <w:rsid w:val="008446C2"/>
    <w:rsid w:val="008449ED"/>
    <w:rsid w:val="00844C19"/>
    <w:rsid w:val="00845173"/>
    <w:rsid w:val="00845ABD"/>
    <w:rsid w:val="00845E60"/>
    <w:rsid w:val="008472E2"/>
    <w:rsid w:val="0085067C"/>
    <w:rsid w:val="00850E25"/>
    <w:rsid w:val="00851458"/>
    <w:rsid w:val="00852D75"/>
    <w:rsid w:val="00854D8F"/>
    <w:rsid w:val="008557FE"/>
    <w:rsid w:val="008559BB"/>
    <w:rsid w:val="00855ECD"/>
    <w:rsid w:val="00855F5A"/>
    <w:rsid w:val="00856330"/>
    <w:rsid w:val="00860909"/>
    <w:rsid w:val="008618C2"/>
    <w:rsid w:val="00861E7C"/>
    <w:rsid w:val="00865373"/>
    <w:rsid w:val="00866A08"/>
    <w:rsid w:val="00867360"/>
    <w:rsid w:val="00870052"/>
    <w:rsid w:val="0087079D"/>
    <w:rsid w:val="00871086"/>
    <w:rsid w:val="00871AC9"/>
    <w:rsid w:val="00872D0B"/>
    <w:rsid w:val="00874568"/>
    <w:rsid w:val="00874A14"/>
    <w:rsid w:val="008754C4"/>
    <w:rsid w:val="00877905"/>
    <w:rsid w:val="00880029"/>
    <w:rsid w:val="00880752"/>
    <w:rsid w:val="008814F8"/>
    <w:rsid w:val="008816DB"/>
    <w:rsid w:val="008821ED"/>
    <w:rsid w:val="00883698"/>
    <w:rsid w:val="008838C4"/>
    <w:rsid w:val="00883F6C"/>
    <w:rsid w:val="00884273"/>
    <w:rsid w:val="008844A3"/>
    <w:rsid w:val="00884957"/>
    <w:rsid w:val="00884A85"/>
    <w:rsid w:val="008851D9"/>
    <w:rsid w:val="0088613B"/>
    <w:rsid w:val="00887515"/>
    <w:rsid w:val="0089000B"/>
    <w:rsid w:val="008913EE"/>
    <w:rsid w:val="0089161B"/>
    <w:rsid w:val="008931CE"/>
    <w:rsid w:val="008941AF"/>
    <w:rsid w:val="00894E74"/>
    <w:rsid w:val="00895333"/>
    <w:rsid w:val="008959DF"/>
    <w:rsid w:val="00895C76"/>
    <w:rsid w:val="00895E49"/>
    <w:rsid w:val="008A097C"/>
    <w:rsid w:val="008A3CE7"/>
    <w:rsid w:val="008A569B"/>
    <w:rsid w:val="008A5818"/>
    <w:rsid w:val="008A68F6"/>
    <w:rsid w:val="008A70C0"/>
    <w:rsid w:val="008A7D63"/>
    <w:rsid w:val="008A7DF3"/>
    <w:rsid w:val="008B041C"/>
    <w:rsid w:val="008B13F5"/>
    <w:rsid w:val="008B1E9A"/>
    <w:rsid w:val="008B28F9"/>
    <w:rsid w:val="008B33F1"/>
    <w:rsid w:val="008B43F9"/>
    <w:rsid w:val="008B5AE1"/>
    <w:rsid w:val="008B5C25"/>
    <w:rsid w:val="008B72D7"/>
    <w:rsid w:val="008C169B"/>
    <w:rsid w:val="008C41AA"/>
    <w:rsid w:val="008C4EA0"/>
    <w:rsid w:val="008C509F"/>
    <w:rsid w:val="008C5C32"/>
    <w:rsid w:val="008C6AF0"/>
    <w:rsid w:val="008D10A7"/>
    <w:rsid w:val="008D3A0F"/>
    <w:rsid w:val="008D3AEF"/>
    <w:rsid w:val="008D5DD7"/>
    <w:rsid w:val="008D77C0"/>
    <w:rsid w:val="008D7927"/>
    <w:rsid w:val="008D7B7E"/>
    <w:rsid w:val="008E1FE4"/>
    <w:rsid w:val="008E231B"/>
    <w:rsid w:val="008E36E7"/>
    <w:rsid w:val="008E468A"/>
    <w:rsid w:val="008F0032"/>
    <w:rsid w:val="008F0265"/>
    <w:rsid w:val="008F1850"/>
    <w:rsid w:val="008F2FDA"/>
    <w:rsid w:val="008F3B0E"/>
    <w:rsid w:val="008F5577"/>
    <w:rsid w:val="008F5B71"/>
    <w:rsid w:val="008F5FA0"/>
    <w:rsid w:val="008F6F94"/>
    <w:rsid w:val="008F6F98"/>
    <w:rsid w:val="008F768C"/>
    <w:rsid w:val="008F7693"/>
    <w:rsid w:val="0090379D"/>
    <w:rsid w:val="00903890"/>
    <w:rsid w:val="00904F94"/>
    <w:rsid w:val="009068A6"/>
    <w:rsid w:val="00907173"/>
    <w:rsid w:val="009149C5"/>
    <w:rsid w:val="009154DF"/>
    <w:rsid w:val="00920DC3"/>
    <w:rsid w:val="00922185"/>
    <w:rsid w:val="009238F8"/>
    <w:rsid w:val="009260EB"/>
    <w:rsid w:val="00930CD4"/>
    <w:rsid w:val="00931E72"/>
    <w:rsid w:val="00932427"/>
    <w:rsid w:val="0093296D"/>
    <w:rsid w:val="00933CC4"/>
    <w:rsid w:val="00933F31"/>
    <w:rsid w:val="00934057"/>
    <w:rsid w:val="0093468B"/>
    <w:rsid w:val="009354BD"/>
    <w:rsid w:val="009355A0"/>
    <w:rsid w:val="009362F8"/>
    <w:rsid w:val="009405DE"/>
    <w:rsid w:val="009416BC"/>
    <w:rsid w:val="00942279"/>
    <w:rsid w:val="0094256D"/>
    <w:rsid w:val="009425A5"/>
    <w:rsid w:val="00942F7F"/>
    <w:rsid w:val="009431D4"/>
    <w:rsid w:val="009434A2"/>
    <w:rsid w:val="009463CF"/>
    <w:rsid w:val="009464BA"/>
    <w:rsid w:val="00950822"/>
    <w:rsid w:val="00951262"/>
    <w:rsid w:val="00951D54"/>
    <w:rsid w:val="00956488"/>
    <w:rsid w:val="00956E20"/>
    <w:rsid w:val="0096137B"/>
    <w:rsid w:val="0096311B"/>
    <w:rsid w:val="00964B7F"/>
    <w:rsid w:val="0096504B"/>
    <w:rsid w:val="00965078"/>
    <w:rsid w:val="009667C7"/>
    <w:rsid w:val="0096692C"/>
    <w:rsid w:val="00973D31"/>
    <w:rsid w:val="00974E3B"/>
    <w:rsid w:val="00977C3E"/>
    <w:rsid w:val="00977E7D"/>
    <w:rsid w:val="00980FC3"/>
    <w:rsid w:val="0098158A"/>
    <w:rsid w:val="0098353C"/>
    <w:rsid w:val="00983FE2"/>
    <w:rsid w:val="0098473C"/>
    <w:rsid w:val="0098708E"/>
    <w:rsid w:val="00987374"/>
    <w:rsid w:val="00992312"/>
    <w:rsid w:val="00992F9B"/>
    <w:rsid w:val="00993264"/>
    <w:rsid w:val="00993BDA"/>
    <w:rsid w:val="00993DEA"/>
    <w:rsid w:val="00994B3F"/>
    <w:rsid w:val="00994C1A"/>
    <w:rsid w:val="00996467"/>
    <w:rsid w:val="00997859"/>
    <w:rsid w:val="009A0D30"/>
    <w:rsid w:val="009A3DB5"/>
    <w:rsid w:val="009A4809"/>
    <w:rsid w:val="009A7AEF"/>
    <w:rsid w:val="009B06F5"/>
    <w:rsid w:val="009B1061"/>
    <w:rsid w:val="009B2DA2"/>
    <w:rsid w:val="009B2E51"/>
    <w:rsid w:val="009B2F5F"/>
    <w:rsid w:val="009B4AB0"/>
    <w:rsid w:val="009B6753"/>
    <w:rsid w:val="009C0C90"/>
    <w:rsid w:val="009C16A8"/>
    <w:rsid w:val="009C1F2E"/>
    <w:rsid w:val="009C4317"/>
    <w:rsid w:val="009C5169"/>
    <w:rsid w:val="009C553B"/>
    <w:rsid w:val="009C5E99"/>
    <w:rsid w:val="009C5F27"/>
    <w:rsid w:val="009C636F"/>
    <w:rsid w:val="009C7A62"/>
    <w:rsid w:val="009C7BBD"/>
    <w:rsid w:val="009D0196"/>
    <w:rsid w:val="009D0557"/>
    <w:rsid w:val="009D0A1B"/>
    <w:rsid w:val="009D255A"/>
    <w:rsid w:val="009D3FF6"/>
    <w:rsid w:val="009D45AF"/>
    <w:rsid w:val="009D6B14"/>
    <w:rsid w:val="009D7C04"/>
    <w:rsid w:val="009E0597"/>
    <w:rsid w:val="009E0D55"/>
    <w:rsid w:val="009E20FD"/>
    <w:rsid w:val="009E286C"/>
    <w:rsid w:val="009E31AD"/>
    <w:rsid w:val="009E4C27"/>
    <w:rsid w:val="009E4D29"/>
    <w:rsid w:val="009E5519"/>
    <w:rsid w:val="009E5EBF"/>
    <w:rsid w:val="009E61FE"/>
    <w:rsid w:val="009E75D8"/>
    <w:rsid w:val="009F0833"/>
    <w:rsid w:val="009F14E9"/>
    <w:rsid w:val="009F17EE"/>
    <w:rsid w:val="009F28DC"/>
    <w:rsid w:val="009F300D"/>
    <w:rsid w:val="009F3026"/>
    <w:rsid w:val="009F3EE5"/>
    <w:rsid w:val="009F41E2"/>
    <w:rsid w:val="009F4537"/>
    <w:rsid w:val="009F6429"/>
    <w:rsid w:val="009F69C9"/>
    <w:rsid w:val="009F751C"/>
    <w:rsid w:val="00A02CA1"/>
    <w:rsid w:val="00A04538"/>
    <w:rsid w:val="00A0573A"/>
    <w:rsid w:val="00A05AA4"/>
    <w:rsid w:val="00A12B2E"/>
    <w:rsid w:val="00A13CD1"/>
    <w:rsid w:val="00A1427A"/>
    <w:rsid w:val="00A14889"/>
    <w:rsid w:val="00A15346"/>
    <w:rsid w:val="00A15BC7"/>
    <w:rsid w:val="00A179A5"/>
    <w:rsid w:val="00A17B51"/>
    <w:rsid w:val="00A201DD"/>
    <w:rsid w:val="00A21E8C"/>
    <w:rsid w:val="00A2287D"/>
    <w:rsid w:val="00A22FB1"/>
    <w:rsid w:val="00A23DD9"/>
    <w:rsid w:val="00A24E1D"/>
    <w:rsid w:val="00A25802"/>
    <w:rsid w:val="00A25947"/>
    <w:rsid w:val="00A260E7"/>
    <w:rsid w:val="00A26B08"/>
    <w:rsid w:val="00A273C8"/>
    <w:rsid w:val="00A27521"/>
    <w:rsid w:val="00A30619"/>
    <w:rsid w:val="00A31BCE"/>
    <w:rsid w:val="00A32849"/>
    <w:rsid w:val="00A33A4C"/>
    <w:rsid w:val="00A36137"/>
    <w:rsid w:val="00A36334"/>
    <w:rsid w:val="00A36D93"/>
    <w:rsid w:val="00A37C1C"/>
    <w:rsid w:val="00A400F9"/>
    <w:rsid w:val="00A41C83"/>
    <w:rsid w:val="00A442BF"/>
    <w:rsid w:val="00A4634C"/>
    <w:rsid w:val="00A4642B"/>
    <w:rsid w:val="00A47681"/>
    <w:rsid w:val="00A47E10"/>
    <w:rsid w:val="00A51ECD"/>
    <w:rsid w:val="00A53588"/>
    <w:rsid w:val="00A54391"/>
    <w:rsid w:val="00A574BB"/>
    <w:rsid w:val="00A57A4D"/>
    <w:rsid w:val="00A62FCD"/>
    <w:rsid w:val="00A631F1"/>
    <w:rsid w:val="00A636A2"/>
    <w:rsid w:val="00A6386E"/>
    <w:rsid w:val="00A64675"/>
    <w:rsid w:val="00A64745"/>
    <w:rsid w:val="00A64D41"/>
    <w:rsid w:val="00A64FC4"/>
    <w:rsid w:val="00A653FB"/>
    <w:rsid w:val="00A65DCE"/>
    <w:rsid w:val="00A66F8F"/>
    <w:rsid w:val="00A67B27"/>
    <w:rsid w:val="00A7011B"/>
    <w:rsid w:val="00A7029C"/>
    <w:rsid w:val="00A71337"/>
    <w:rsid w:val="00A71E0F"/>
    <w:rsid w:val="00A7332E"/>
    <w:rsid w:val="00A7560C"/>
    <w:rsid w:val="00A757BF"/>
    <w:rsid w:val="00A75E95"/>
    <w:rsid w:val="00A75F12"/>
    <w:rsid w:val="00A76F13"/>
    <w:rsid w:val="00A7790D"/>
    <w:rsid w:val="00A80C81"/>
    <w:rsid w:val="00A80E37"/>
    <w:rsid w:val="00A81A7A"/>
    <w:rsid w:val="00A81CFB"/>
    <w:rsid w:val="00A82965"/>
    <w:rsid w:val="00A849B4"/>
    <w:rsid w:val="00A85247"/>
    <w:rsid w:val="00A8529D"/>
    <w:rsid w:val="00A86D3C"/>
    <w:rsid w:val="00A9228A"/>
    <w:rsid w:val="00A9430F"/>
    <w:rsid w:val="00A95514"/>
    <w:rsid w:val="00A95711"/>
    <w:rsid w:val="00A97C78"/>
    <w:rsid w:val="00AA0C8A"/>
    <w:rsid w:val="00AA268C"/>
    <w:rsid w:val="00AA2D72"/>
    <w:rsid w:val="00AA2F8D"/>
    <w:rsid w:val="00AA500C"/>
    <w:rsid w:val="00AA59D0"/>
    <w:rsid w:val="00AA5E46"/>
    <w:rsid w:val="00AA6307"/>
    <w:rsid w:val="00AA6340"/>
    <w:rsid w:val="00AA7982"/>
    <w:rsid w:val="00AB4965"/>
    <w:rsid w:val="00AB4CB6"/>
    <w:rsid w:val="00AB5641"/>
    <w:rsid w:val="00AB69B1"/>
    <w:rsid w:val="00AC1940"/>
    <w:rsid w:val="00AC227F"/>
    <w:rsid w:val="00AD0193"/>
    <w:rsid w:val="00AD0288"/>
    <w:rsid w:val="00AD1653"/>
    <w:rsid w:val="00AD1693"/>
    <w:rsid w:val="00AD55D3"/>
    <w:rsid w:val="00AD5A3D"/>
    <w:rsid w:val="00AD7ED1"/>
    <w:rsid w:val="00AE3663"/>
    <w:rsid w:val="00AE392A"/>
    <w:rsid w:val="00AE4990"/>
    <w:rsid w:val="00AE5A06"/>
    <w:rsid w:val="00AE60C5"/>
    <w:rsid w:val="00AF0B49"/>
    <w:rsid w:val="00AF250B"/>
    <w:rsid w:val="00AF2B40"/>
    <w:rsid w:val="00AF3199"/>
    <w:rsid w:val="00AF5447"/>
    <w:rsid w:val="00AF55D6"/>
    <w:rsid w:val="00AF5AB9"/>
    <w:rsid w:val="00AF6991"/>
    <w:rsid w:val="00AF6A53"/>
    <w:rsid w:val="00B02B7E"/>
    <w:rsid w:val="00B02C7C"/>
    <w:rsid w:val="00B03EE6"/>
    <w:rsid w:val="00B04B08"/>
    <w:rsid w:val="00B06BC0"/>
    <w:rsid w:val="00B10AC0"/>
    <w:rsid w:val="00B113DB"/>
    <w:rsid w:val="00B12C76"/>
    <w:rsid w:val="00B131FC"/>
    <w:rsid w:val="00B15E4E"/>
    <w:rsid w:val="00B164C3"/>
    <w:rsid w:val="00B17B63"/>
    <w:rsid w:val="00B17ED5"/>
    <w:rsid w:val="00B20FDD"/>
    <w:rsid w:val="00B21881"/>
    <w:rsid w:val="00B21CDA"/>
    <w:rsid w:val="00B22AAF"/>
    <w:rsid w:val="00B24DF1"/>
    <w:rsid w:val="00B260EE"/>
    <w:rsid w:val="00B26DF9"/>
    <w:rsid w:val="00B2728F"/>
    <w:rsid w:val="00B32A19"/>
    <w:rsid w:val="00B32C77"/>
    <w:rsid w:val="00B3335C"/>
    <w:rsid w:val="00B33DBC"/>
    <w:rsid w:val="00B341A8"/>
    <w:rsid w:val="00B34C17"/>
    <w:rsid w:val="00B367D0"/>
    <w:rsid w:val="00B40827"/>
    <w:rsid w:val="00B414B7"/>
    <w:rsid w:val="00B41EB2"/>
    <w:rsid w:val="00B42995"/>
    <w:rsid w:val="00B42E7E"/>
    <w:rsid w:val="00B44136"/>
    <w:rsid w:val="00B46391"/>
    <w:rsid w:val="00B46737"/>
    <w:rsid w:val="00B47BC4"/>
    <w:rsid w:val="00B504DD"/>
    <w:rsid w:val="00B532F6"/>
    <w:rsid w:val="00B53F3C"/>
    <w:rsid w:val="00B54385"/>
    <w:rsid w:val="00B54AF2"/>
    <w:rsid w:val="00B568A7"/>
    <w:rsid w:val="00B57621"/>
    <w:rsid w:val="00B6063F"/>
    <w:rsid w:val="00B60934"/>
    <w:rsid w:val="00B61B81"/>
    <w:rsid w:val="00B646D6"/>
    <w:rsid w:val="00B64F95"/>
    <w:rsid w:val="00B65C02"/>
    <w:rsid w:val="00B65D3D"/>
    <w:rsid w:val="00B67216"/>
    <w:rsid w:val="00B67622"/>
    <w:rsid w:val="00B711AE"/>
    <w:rsid w:val="00B719BF"/>
    <w:rsid w:val="00B71BBD"/>
    <w:rsid w:val="00B735E1"/>
    <w:rsid w:val="00B73822"/>
    <w:rsid w:val="00B752F4"/>
    <w:rsid w:val="00B763E7"/>
    <w:rsid w:val="00B778A1"/>
    <w:rsid w:val="00B80715"/>
    <w:rsid w:val="00B81B39"/>
    <w:rsid w:val="00B81C0B"/>
    <w:rsid w:val="00B81CAB"/>
    <w:rsid w:val="00B82352"/>
    <w:rsid w:val="00B82E2A"/>
    <w:rsid w:val="00B860E2"/>
    <w:rsid w:val="00B8646E"/>
    <w:rsid w:val="00B866E0"/>
    <w:rsid w:val="00B87D06"/>
    <w:rsid w:val="00B92C0D"/>
    <w:rsid w:val="00B93598"/>
    <w:rsid w:val="00B94800"/>
    <w:rsid w:val="00B953C4"/>
    <w:rsid w:val="00B95793"/>
    <w:rsid w:val="00B96615"/>
    <w:rsid w:val="00B96E16"/>
    <w:rsid w:val="00B9777B"/>
    <w:rsid w:val="00BA098A"/>
    <w:rsid w:val="00BA4704"/>
    <w:rsid w:val="00BA4CD9"/>
    <w:rsid w:val="00BA5B09"/>
    <w:rsid w:val="00BA605C"/>
    <w:rsid w:val="00BA6E6D"/>
    <w:rsid w:val="00BA7F64"/>
    <w:rsid w:val="00BB04F2"/>
    <w:rsid w:val="00BB2D83"/>
    <w:rsid w:val="00BB462C"/>
    <w:rsid w:val="00BB4DBC"/>
    <w:rsid w:val="00BB5BBA"/>
    <w:rsid w:val="00BB5D2C"/>
    <w:rsid w:val="00BB6833"/>
    <w:rsid w:val="00BC074D"/>
    <w:rsid w:val="00BC14E8"/>
    <w:rsid w:val="00BC2CDA"/>
    <w:rsid w:val="00BC2E56"/>
    <w:rsid w:val="00BC3449"/>
    <w:rsid w:val="00BC4A81"/>
    <w:rsid w:val="00BC5ACE"/>
    <w:rsid w:val="00BC6024"/>
    <w:rsid w:val="00BC6B38"/>
    <w:rsid w:val="00BC7AC3"/>
    <w:rsid w:val="00BD1702"/>
    <w:rsid w:val="00BD18EA"/>
    <w:rsid w:val="00BD2932"/>
    <w:rsid w:val="00BD297C"/>
    <w:rsid w:val="00BD2A7B"/>
    <w:rsid w:val="00BD35F5"/>
    <w:rsid w:val="00BD38CF"/>
    <w:rsid w:val="00BD4D3F"/>
    <w:rsid w:val="00BD6CAE"/>
    <w:rsid w:val="00BE0695"/>
    <w:rsid w:val="00BE1E51"/>
    <w:rsid w:val="00BE4723"/>
    <w:rsid w:val="00BE4840"/>
    <w:rsid w:val="00BE5365"/>
    <w:rsid w:val="00BE62AD"/>
    <w:rsid w:val="00BE7E67"/>
    <w:rsid w:val="00BF24C7"/>
    <w:rsid w:val="00BF41D5"/>
    <w:rsid w:val="00BF42B8"/>
    <w:rsid w:val="00BF5706"/>
    <w:rsid w:val="00BF5F14"/>
    <w:rsid w:val="00BF641F"/>
    <w:rsid w:val="00BF762E"/>
    <w:rsid w:val="00BF78FD"/>
    <w:rsid w:val="00BF7CB5"/>
    <w:rsid w:val="00C01423"/>
    <w:rsid w:val="00C02205"/>
    <w:rsid w:val="00C0258F"/>
    <w:rsid w:val="00C02766"/>
    <w:rsid w:val="00C03DF7"/>
    <w:rsid w:val="00C06F17"/>
    <w:rsid w:val="00C07049"/>
    <w:rsid w:val="00C10189"/>
    <w:rsid w:val="00C106FF"/>
    <w:rsid w:val="00C1077A"/>
    <w:rsid w:val="00C122DF"/>
    <w:rsid w:val="00C12325"/>
    <w:rsid w:val="00C13607"/>
    <w:rsid w:val="00C137C4"/>
    <w:rsid w:val="00C13801"/>
    <w:rsid w:val="00C14BAC"/>
    <w:rsid w:val="00C14F25"/>
    <w:rsid w:val="00C153B3"/>
    <w:rsid w:val="00C15C7E"/>
    <w:rsid w:val="00C1621A"/>
    <w:rsid w:val="00C1739B"/>
    <w:rsid w:val="00C2280D"/>
    <w:rsid w:val="00C229B8"/>
    <w:rsid w:val="00C22BC4"/>
    <w:rsid w:val="00C23845"/>
    <w:rsid w:val="00C23BCD"/>
    <w:rsid w:val="00C2442B"/>
    <w:rsid w:val="00C25E26"/>
    <w:rsid w:val="00C26EC6"/>
    <w:rsid w:val="00C32ACF"/>
    <w:rsid w:val="00C33B3D"/>
    <w:rsid w:val="00C33B49"/>
    <w:rsid w:val="00C35136"/>
    <w:rsid w:val="00C3717A"/>
    <w:rsid w:val="00C37AD5"/>
    <w:rsid w:val="00C37F64"/>
    <w:rsid w:val="00C406E2"/>
    <w:rsid w:val="00C41193"/>
    <w:rsid w:val="00C44039"/>
    <w:rsid w:val="00C44417"/>
    <w:rsid w:val="00C45B6E"/>
    <w:rsid w:val="00C4732E"/>
    <w:rsid w:val="00C47743"/>
    <w:rsid w:val="00C50711"/>
    <w:rsid w:val="00C50D0C"/>
    <w:rsid w:val="00C51266"/>
    <w:rsid w:val="00C520B2"/>
    <w:rsid w:val="00C54A44"/>
    <w:rsid w:val="00C54C8E"/>
    <w:rsid w:val="00C54CB1"/>
    <w:rsid w:val="00C5546E"/>
    <w:rsid w:val="00C554DA"/>
    <w:rsid w:val="00C55CEA"/>
    <w:rsid w:val="00C56D4E"/>
    <w:rsid w:val="00C57E81"/>
    <w:rsid w:val="00C60C55"/>
    <w:rsid w:val="00C60E2D"/>
    <w:rsid w:val="00C61467"/>
    <w:rsid w:val="00C6158E"/>
    <w:rsid w:val="00C617B9"/>
    <w:rsid w:val="00C62651"/>
    <w:rsid w:val="00C6320E"/>
    <w:rsid w:val="00C70959"/>
    <w:rsid w:val="00C71A7D"/>
    <w:rsid w:val="00C7235A"/>
    <w:rsid w:val="00C723D8"/>
    <w:rsid w:val="00C728AF"/>
    <w:rsid w:val="00C72BBF"/>
    <w:rsid w:val="00C72FBE"/>
    <w:rsid w:val="00C738F8"/>
    <w:rsid w:val="00C745CE"/>
    <w:rsid w:val="00C746FA"/>
    <w:rsid w:val="00C762FD"/>
    <w:rsid w:val="00C770C9"/>
    <w:rsid w:val="00C81B54"/>
    <w:rsid w:val="00C83183"/>
    <w:rsid w:val="00C8399B"/>
    <w:rsid w:val="00C83B4B"/>
    <w:rsid w:val="00C83D1A"/>
    <w:rsid w:val="00C84D62"/>
    <w:rsid w:val="00C85BBD"/>
    <w:rsid w:val="00C85D68"/>
    <w:rsid w:val="00C864A2"/>
    <w:rsid w:val="00C86AA7"/>
    <w:rsid w:val="00C870F8"/>
    <w:rsid w:val="00C871C5"/>
    <w:rsid w:val="00C87B13"/>
    <w:rsid w:val="00C90630"/>
    <w:rsid w:val="00C90AD5"/>
    <w:rsid w:val="00C96667"/>
    <w:rsid w:val="00C973F2"/>
    <w:rsid w:val="00C975D9"/>
    <w:rsid w:val="00CA067D"/>
    <w:rsid w:val="00CA0845"/>
    <w:rsid w:val="00CA0A07"/>
    <w:rsid w:val="00CA1214"/>
    <w:rsid w:val="00CA13BE"/>
    <w:rsid w:val="00CA1CAF"/>
    <w:rsid w:val="00CA4238"/>
    <w:rsid w:val="00CA51A6"/>
    <w:rsid w:val="00CA596B"/>
    <w:rsid w:val="00CA5E22"/>
    <w:rsid w:val="00CA6B7F"/>
    <w:rsid w:val="00CA6BB6"/>
    <w:rsid w:val="00CA6E3D"/>
    <w:rsid w:val="00CA734D"/>
    <w:rsid w:val="00CA7B89"/>
    <w:rsid w:val="00CA7D59"/>
    <w:rsid w:val="00CB0897"/>
    <w:rsid w:val="00CB0E56"/>
    <w:rsid w:val="00CB109E"/>
    <w:rsid w:val="00CB299C"/>
    <w:rsid w:val="00CB3CC7"/>
    <w:rsid w:val="00CB4361"/>
    <w:rsid w:val="00CB4A74"/>
    <w:rsid w:val="00CB51C7"/>
    <w:rsid w:val="00CB5902"/>
    <w:rsid w:val="00CB636C"/>
    <w:rsid w:val="00CB6CDC"/>
    <w:rsid w:val="00CC157B"/>
    <w:rsid w:val="00CC232F"/>
    <w:rsid w:val="00CC2C85"/>
    <w:rsid w:val="00CC4203"/>
    <w:rsid w:val="00CC522E"/>
    <w:rsid w:val="00CC5687"/>
    <w:rsid w:val="00CC5A18"/>
    <w:rsid w:val="00CC6648"/>
    <w:rsid w:val="00CC67DC"/>
    <w:rsid w:val="00CD0F90"/>
    <w:rsid w:val="00CD142C"/>
    <w:rsid w:val="00CD1561"/>
    <w:rsid w:val="00CD233F"/>
    <w:rsid w:val="00CD3484"/>
    <w:rsid w:val="00CD4DBE"/>
    <w:rsid w:val="00CD4E76"/>
    <w:rsid w:val="00CD5A5F"/>
    <w:rsid w:val="00CD5ADB"/>
    <w:rsid w:val="00CD5E34"/>
    <w:rsid w:val="00CD6632"/>
    <w:rsid w:val="00CE17FC"/>
    <w:rsid w:val="00CE1809"/>
    <w:rsid w:val="00CE251B"/>
    <w:rsid w:val="00CE2BD4"/>
    <w:rsid w:val="00CE4A45"/>
    <w:rsid w:val="00CE5721"/>
    <w:rsid w:val="00CF243F"/>
    <w:rsid w:val="00CF3142"/>
    <w:rsid w:val="00CF341D"/>
    <w:rsid w:val="00CF5D10"/>
    <w:rsid w:val="00CF7128"/>
    <w:rsid w:val="00CF741F"/>
    <w:rsid w:val="00CF79FD"/>
    <w:rsid w:val="00D00119"/>
    <w:rsid w:val="00D036E3"/>
    <w:rsid w:val="00D03930"/>
    <w:rsid w:val="00D04198"/>
    <w:rsid w:val="00D04B95"/>
    <w:rsid w:val="00D05B09"/>
    <w:rsid w:val="00D068D9"/>
    <w:rsid w:val="00D068F6"/>
    <w:rsid w:val="00D13C18"/>
    <w:rsid w:val="00D16BBA"/>
    <w:rsid w:val="00D16D7F"/>
    <w:rsid w:val="00D16F0B"/>
    <w:rsid w:val="00D2045C"/>
    <w:rsid w:val="00D209C6"/>
    <w:rsid w:val="00D211A4"/>
    <w:rsid w:val="00D2262F"/>
    <w:rsid w:val="00D23067"/>
    <w:rsid w:val="00D24CDA"/>
    <w:rsid w:val="00D2685B"/>
    <w:rsid w:val="00D27C18"/>
    <w:rsid w:val="00D310E4"/>
    <w:rsid w:val="00D3284C"/>
    <w:rsid w:val="00D35022"/>
    <w:rsid w:val="00D35FF1"/>
    <w:rsid w:val="00D36993"/>
    <w:rsid w:val="00D4050E"/>
    <w:rsid w:val="00D418A8"/>
    <w:rsid w:val="00D419C4"/>
    <w:rsid w:val="00D4287F"/>
    <w:rsid w:val="00D431B5"/>
    <w:rsid w:val="00D435F3"/>
    <w:rsid w:val="00D45D5A"/>
    <w:rsid w:val="00D45D5F"/>
    <w:rsid w:val="00D478A6"/>
    <w:rsid w:val="00D47C10"/>
    <w:rsid w:val="00D50F8E"/>
    <w:rsid w:val="00D5124E"/>
    <w:rsid w:val="00D51454"/>
    <w:rsid w:val="00D5160D"/>
    <w:rsid w:val="00D51612"/>
    <w:rsid w:val="00D516B4"/>
    <w:rsid w:val="00D538D9"/>
    <w:rsid w:val="00D5490F"/>
    <w:rsid w:val="00D5496D"/>
    <w:rsid w:val="00D55968"/>
    <w:rsid w:val="00D55B20"/>
    <w:rsid w:val="00D55EA0"/>
    <w:rsid w:val="00D614C8"/>
    <w:rsid w:val="00D6198E"/>
    <w:rsid w:val="00D61D70"/>
    <w:rsid w:val="00D6217B"/>
    <w:rsid w:val="00D623AD"/>
    <w:rsid w:val="00D6421E"/>
    <w:rsid w:val="00D645ED"/>
    <w:rsid w:val="00D64DB8"/>
    <w:rsid w:val="00D66675"/>
    <w:rsid w:val="00D66811"/>
    <w:rsid w:val="00D67E3C"/>
    <w:rsid w:val="00D72307"/>
    <w:rsid w:val="00D745DC"/>
    <w:rsid w:val="00D770E0"/>
    <w:rsid w:val="00D77B9B"/>
    <w:rsid w:val="00D812FF"/>
    <w:rsid w:val="00D814EA"/>
    <w:rsid w:val="00D826F1"/>
    <w:rsid w:val="00D82732"/>
    <w:rsid w:val="00D82E83"/>
    <w:rsid w:val="00D83281"/>
    <w:rsid w:val="00D832CD"/>
    <w:rsid w:val="00D849A1"/>
    <w:rsid w:val="00D8612B"/>
    <w:rsid w:val="00D872BF"/>
    <w:rsid w:val="00D87BD1"/>
    <w:rsid w:val="00D903D9"/>
    <w:rsid w:val="00D9088E"/>
    <w:rsid w:val="00D93BDE"/>
    <w:rsid w:val="00D94037"/>
    <w:rsid w:val="00D94071"/>
    <w:rsid w:val="00D95D41"/>
    <w:rsid w:val="00D95FD5"/>
    <w:rsid w:val="00D96F03"/>
    <w:rsid w:val="00DA216A"/>
    <w:rsid w:val="00DA3201"/>
    <w:rsid w:val="00DA4654"/>
    <w:rsid w:val="00DA4D91"/>
    <w:rsid w:val="00DB059E"/>
    <w:rsid w:val="00DB0E1B"/>
    <w:rsid w:val="00DB2598"/>
    <w:rsid w:val="00DB507A"/>
    <w:rsid w:val="00DB58CD"/>
    <w:rsid w:val="00DB5989"/>
    <w:rsid w:val="00DB5C32"/>
    <w:rsid w:val="00DC0461"/>
    <w:rsid w:val="00DC0A67"/>
    <w:rsid w:val="00DC0E3A"/>
    <w:rsid w:val="00DC17C6"/>
    <w:rsid w:val="00DC4415"/>
    <w:rsid w:val="00DC45CC"/>
    <w:rsid w:val="00DC4E85"/>
    <w:rsid w:val="00DC5051"/>
    <w:rsid w:val="00DC53A8"/>
    <w:rsid w:val="00DC6795"/>
    <w:rsid w:val="00DC6A6B"/>
    <w:rsid w:val="00DD1C75"/>
    <w:rsid w:val="00DD25E3"/>
    <w:rsid w:val="00DD2A23"/>
    <w:rsid w:val="00DD320D"/>
    <w:rsid w:val="00DD4130"/>
    <w:rsid w:val="00DD5534"/>
    <w:rsid w:val="00DD5A0B"/>
    <w:rsid w:val="00DD5C72"/>
    <w:rsid w:val="00DD7CDF"/>
    <w:rsid w:val="00DE05DC"/>
    <w:rsid w:val="00DE25D4"/>
    <w:rsid w:val="00DE31C5"/>
    <w:rsid w:val="00DE3A35"/>
    <w:rsid w:val="00DE4F41"/>
    <w:rsid w:val="00DE4F8E"/>
    <w:rsid w:val="00DE584F"/>
    <w:rsid w:val="00DF0733"/>
    <w:rsid w:val="00DF07CC"/>
    <w:rsid w:val="00DF13EA"/>
    <w:rsid w:val="00DF4226"/>
    <w:rsid w:val="00DF443C"/>
    <w:rsid w:val="00DF46EB"/>
    <w:rsid w:val="00DF5354"/>
    <w:rsid w:val="00DF642E"/>
    <w:rsid w:val="00DF6581"/>
    <w:rsid w:val="00DF7577"/>
    <w:rsid w:val="00E00A78"/>
    <w:rsid w:val="00E00D18"/>
    <w:rsid w:val="00E01163"/>
    <w:rsid w:val="00E0534B"/>
    <w:rsid w:val="00E1048C"/>
    <w:rsid w:val="00E10CB1"/>
    <w:rsid w:val="00E11289"/>
    <w:rsid w:val="00E11496"/>
    <w:rsid w:val="00E11B3A"/>
    <w:rsid w:val="00E120C5"/>
    <w:rsid w:val="00E142B5"/>
    <w:rsid w:val="00E1451A"/>
    <w:rsid w:val="00E147C9"/>
    <w:rsid w:val="00E14AC5"/>
    <w:rsid w:val="00E14E13"/>
    <w:rsid w:val="00E14FB4"/>
    <w:rsid w:val="00E201D0"/>
    <w:rsid w:val="00E20A48"/>
    <w:rsid w:val="00E25416"/>
    <w:rsid w:val="00E26235"/>
    <w:rsid w:val="00E278AF"/>
    <w:rsid w:val="00E27FD2"/>
    <w:rsid w:val="00E30E9B"/>
    <w:rsid w:val="00E32843"/>
    <w:rsid w:val="00E32BBC"/>
    <w:rsid w:val="00E35858"/>
    <w:rsid w:val="00E368D3"/>
    <w:rsid w:val="00E37015"/>
    <w:rsid w:val="00E40642"/>
    <w:rsid w:val="00E40DDA"/>
    <w:rsid w:val="00E41D5A"/>
    <w:rsid w:val="00E440C6"/>
    <w:rsid w:val="00E4421C"/>
    <w:rsid w:val="00E45E08"/>
    <w:rsid w:val="00E45E64"/>
    <w:rsid w:val="00E47930"/>
    <w:rsid w:val="00E5122C"/>
    <w:rsid w:val="00E52050"/>
    <w:rsid w:val="00E54AFE"/>
    <w:rsid w:val="00E5765F"/>
    <w:rsid w:val="00E579EF"/>
    <w:rsid w:val="00E6053C"/>
    <w:rsid w:val="00E60CCD"/>
    <w:rsid w:val="00E61828"/>
    <w:rsid w:val="00E627F8"/>
    <w:rsid w:val="00E62ACA"/>
    <w:rsid w:val="00E62CC8"/>
    <w:rsid w:val="00E63632"/>
    <w:rsid w:val="00E64EAC"/>
    <w:rsid w:val="00E65C4A"/>
    <w:rsid w:val="00E65D0F"/>
    <w:rsid w:val="00E660E6"/>
    <w:rsid w:val="00E66481"/>
    <w:rsid w:val="00E668C6"/>
    <w:rsid w:val="00E71473"/>
    <w:rsid w:val="00E750E5"/>
    <w:rsid w:val="00E7569C"/>
    <w:rsid w:val="00E76AD0"/>
    <w:rsid w:val="00E80760"/>
    <w:rsid w:val="00E80E86"/>
    <w:rsid w:val="00E80F1C"/>
    <w:rsid w:val="00E81520"/>
    <w:rsid w:val="00E81BAF"/>
    <w:rsid w:val="00E83DA2"/>
    <w:rsid w:val="00E8425D"/>
    <w:rsid w:val="00E848F5"/>
    <w:rsid w:val="00E8542D"/>
    <w:rsid w:val="00E8686E"/>
    <w:rsid w:val="00E86C74"/>
    <w:rsid w:val="00E86EF6"/>
    <w:rsid w:val="00E87C15"/>
    <w:rsid w:val="00E93570"/>
    <w:rsid w:val="00E9363F"/>
    <w:rsid w:val="00E93F17"/>
    <w:rsid w:val="00E944A0"/>
    <w:rsid w:val="00E94B1A"/>
    <w:rsid w:val="00EA35DE"/>
    <w:rsid w:val="00EA4C05"/>
    <w:rsid w:val="00EA75E5"/>
    <w:rsid w:val="00EA774A"/>
    <w:rsid w:val="00EB1504"/>
    <w:rsid w:val="00EB169D"/>
    <w:rsid w:val="00EB1F03"/>
    <w:rsid w:val="00EB1F95"/>
    <w:rsid w:val="00EB4A68"/>
    <w:rsid w:val="00EB56D3"/>
    <w:rsid w:val="00EB594D"/>
    <w:rsid w:val="00EB5E38"/>
    <w:rsid w:val="00EB737B"/>
    <w:rsid w:val="00EC1525"/>
    <w:rsid w:val="00EC2BFE"/>
    <w:rsid w:val="00EC303D"/>
    <w:rsid w:val="00EC3590"/>
    <w:rsid w:val="00EC6C0E"/>
    <w:rsid w:val="00EC7BD8"/>
    <w:rsid w:val="00ED025E"/>
    <w:rsid w:val="00ED02EA"/>
    <w:rsid w:val="00ED04ED"/>
    <w:rsid w:val="00ED0CC3"/>
    <w:rsid w:val="00ED1958"/>
    <w:rsid w:val="00ED2480"/>
    <w:rsid w:val="00ED2E53"/>
    <w:rsid w:val="00ED40E9"/>
    <w:rsid w:val="00ED4824"/>
    <w:rsid w:val="00ED5CE6"/>
    <w:rsid w:val="00ED669E"/>
    <w:rsid w:val="00ED6EC1"/>
    <w:rsid w:val="00ED783F"/>
    <w:rsid w:val="00EE0971"/>
    <w:rsid w:val="00EE0B96"/>
    <w:rsid w:val="00EE0CB8"/>
    <w:rsid w:val="00EE122F"/>
    <w:rsid w:val="00EE2192"/>
    <w:rsid w:val="00EE2838"/>
    <w:rsid w:val="00EE5A97"/>
    <w:rsid w:val="00EE616B"/>
    <w:rsid w:val="00EE66BB"/>
    <w:rsid w:val="00EF1DB1"/>
    <w:rsid w:val="00EF32B3"/>
    <w:rsid w:val="00EF4542"/>
    <w:rsid w:val="00EF4818"/>
    <w:rsid w:val="00EF50E8"/>
    <w:rsid w:val="00EF5229"/>
    <w:rsid w:val="00EF5945"/>
    <w:rsid w:val="00EF5976"/>
    <w:rsid w:val="00EF5AA7"/>
    <w:rsid w:val="00EF7857"/>
    <w:rsid w:val="00F01B30"/>
    <w:rsid w:val="00F01DBB"/>
    <w:rsid w:val="00F02AE7"/>
    <w:rsid w:val="00F02EDD"/>
    <w:rsid w:val="00F04F3E"/>
    <w:rsid w:val="00F05DF2"/>
    <w:rsid w:val="00F0730D"/>
    <w:rsid w:val="00F1124C"/>
    <w:rsid w:val="00F13DE9"/>
    <w:rsid w:val="00F14964"/>
    <w:rsid w:val="00F160FF"/>
    <w:rsid w:val="00F1673C"/>
    <w:rsid w:val="00F167AC"/>
    <w:rsid w:val="00F1712E"/>
    <w:rsid w:val="00F20F53"/>
    <w:rsid w:val="00F20F60"/>
    <w:rsid w:val="00F22B2D"/>
    <w:rsid w:val="00F22F14"/>
    <w:rsid w:val="00F2505B"/>
    <w:rsid w:val="00F253EE"/>
    <w:rsid w:val="00F31DD8"/>
    <w:rsid w:val="00F33401"/>
    <w:rsid w:val="00F340AD"/>
    <w:rsid w:val="00F34511"/>
    <w:rsid w:val="00F34ABE"/>
    <w:rsid w:val="00F34C2B"/>
    <w:rsid w:val="00F3569E"/>
    <w:rsid w:val="00F3595C"/>
    <w:rsid w:val="00F3630D"/>
    <w:rsid w:val="00F37D3A"/>
    <w:rsid w:val="00F40743"/>
    <w:rsid w:val="00F41833"/>
    <w:rsid w:val="00F41D8E"/>
    <w:rsid w:val="00F42021"/>
    <w:rsid w:val="00F4240C"/>
    <w:rsid w:val="00F4291E"/>
    <w:rsid w:val="00F42A56"/>
    <w:rsid w:val="00F43512"/>
    <w:rsid w:val="00F4622C"/>
    <w:rsid w:val="00F46B81"/>
    <w:rsid w:val="00F5046C"/>
    <w:rsid w:val="00F50902"/>
    <w:rsid w:val="00F50F22"/>
    <w:rsid w:val="00F51168"/>
    <w:rsid w:val="00F5119C"/>
    <w:rsid w:val="00F5431E"/>
    <w:rsid w:val="00F544C8"/>
    <w:rsid w:val="00F55432"/>
    <w:rsid w:val="00F558C4"/>
    <w:rsid w:val="00F5607E"/>
    <w:rsid w:val="00F57973"/>
    <w:rsid w:val="00F608BA"/>
    <w:rsid w:val="00F60F6C"/>
    <w:rsid w:val="00F6293F"/>
    <w:rsid w:val="00F62E47"/>
    <w:rsid w:val="00F64E36"/>
    <w:rsid w:val="00F6544D"/>
    <w:rsid w:val="00F65873"/>
    <w:rsid w:val="00F67883"/>
    <w:rsid w:val="00F7078F"/>
    <w:rsid w:val="00F72EE6"/>
    <w:rsid w:val="00F72EFC"/>
    <w:rsid w:val="00F74231"/>
    <w:rsid w:val="00F742FB"/>
    <w:rsid w:val="00F75D78"/>
    <w:rsid w:val="00F75DA8"/>
    <w:rsid w:val="00F76383"/>
    <w:rsid w:val="00F777D4"/>
    <w:rsid w:val="00F77CA9"/>
    <w:rsid w:val="00F82AFB"/>
    <w:rsid w:val="00F82E66"/>
    <w:rsid w:val="00F832A6"/>
    <w:rsid w:val="00F84FD4"/>
    <w:rsid w:val="00F92749"/>
    <w:rsid w:val="00F93957"/>
    <w:rsid w:val="00F94386"/>
    <w:rsid w:val="00F95B57"/>
    <w:rsid w:val="00F96D57"/>
    <w:rsid w:val="00FA03C1"/>
    <w:rsid w:val="00FA137C"/>
    <w:rsid w:val="00FA16F4"/>
    <w:rsid w:val="00FA1FEA"/>
    <w:rsid w:val="00FA2461"/>
    <w:rsid w:val="00FA67C9"/>
    <w:rsid w:val="00FA6B40"/>
    <w:rsid w:val="00FB2453"/>
    <w:rsid w:val="00FB2829"/>
    <w:rsid w:val="00FB28AA"/>
    <w:rsid w:val="00FB3986"/>
    <w:rsid w:val="00FB491D"/>
    <w:rsid w:val="00FB49C0"/>
    <w:rsid w:val="00FB5ACA"/>
    <w:rsid w:val="00FB602B"/>
    <w:rsid w:val="00FB620E"/>
    <w:rsid w:val="00FC10F7"/>
    <w:rsid w:val="00FC1312"/>
    <w:rsid w:val="00FC227B"/>
    <w:rsid w:val="00FC5454"/>
    <w:rsid w:val="00FC5991"/>
    <w:rsid w:val="00FC77B5"/>
    <w:rsid w:val="00FC793D"/>
    <w:rsid w:val="00FC7C63"/>
    <w:rsid w:val="00FD016B"/>
    <w:rsid w:val="00FD0A80"/>
    <w:rsid w:val="00FD0BEF"/>
    <w:rsid w:val="00FD1CC1"/>
    <w:rsid w:val="00FD27B0"/>
    <w:rsid w:val="00FD2C3C"/>
    <w:rsid w:val="00FD2EF3"/>
    <w:rsid w:val="00FD32A1"/>
    <w:rsid w:val="00FD3BAB"/>
    <w:rsid w:val="00FD4495"/>
    <w:rsid w:val="00FD4866"/>
    <w:rsid w:val="00FD6C6B"/>
    <w:rsid w:val="00FE17C8"/>
    <w:rsid w:val="00FE23E7"/>
    <w:rsid w:val="00FE296E"/>
    <w:rsid w:val="00FE3329"/>
    <w:rsid w:val="00FE4234"/>
    <w:rsid w:val="00FE602F"/>
    <w:rsid w:val="00FE6C56"/>
    <w:rsid w:val="00FE6E34"/>
    <w:rsid w:val="00FE7199"/>
    <w:rsid w:val="00FE79CF"/>
    <w:rsid w:val="00FF0118"/>
    <w:rsid w:val="00FF0594"/>
    <w:rsid w:val="00FF1B03"/>
    <w:rsid w:val="00FF1DF2"/>
    <w:rsid w:val="00FF214C"/>
    <w:rsid w:val="00FF36DE"/>
    <w:rsid w:val="00FF4A28"/>
    <w:rsid w:val="00FF4D71"/>
    <w:rsid w:val="00FF4E71"/>
    <w:rsid w:val="00FF5608"/>
    <w:rsid w:val="00FF66B5"/>
    <w:rsid w:val="010334B8"/>
    <w:rsid w:val="012F3F26"/>
    <w:rsid w:val="0131333F"/>
    <w:rsid w:val="013B7EF0"/>
    <w:rsid w:val="013D282B"/>
    <w:rsid w:val="01877E8E"/>
    <w:rsid w:val="01C70C78"/>
    <w:rsid w:val="0202104C"/>
    <w:rsid w:val="02021952"/>
    <w:rsid w:val="020434B6"/>
    <w:rsid w:val="023127B7"/>
    <w:rsid w:val="02456EC8"/>
    <w:rsid w:val="024F56D9"/>
    <w:rsid w:val="02F82ED5"/>
    <w:rsid w:val="03327ECA"/>
    <w:rsid w:val="03502647"/>
    <w:rsid w:val="03652CA2"/>
    <w:rsid w:val="036E6EA7"/>
    <w:rsid w:val="038C12F2"/>
    <w:rsid w:val="039008D9"/>
    <w:rsid w:val="03CB4CAD"/>
    <w:rsid w:val="040530EF"/>
    <w:rsid w:val="04324791"/>
    <w:rsid w:val="043E553B"/>
    <w:rsid w:val="04625319"/>
    <w:rsid w:val="04AD0A3B"/>
    <w:rsid w:val="04F433AE"/>
    <w:rsid w:val="0547151B"/>
    <w:rsid w:val="05902396"/>
    <w:rsid w:val="06420D31"/>
    <w:rsid w:val="06451DC1"/>
    <w:rsid w:val="06486493"/>
    <w:rsid w:val="06A72FF5"/>
    <w:rsid w:val="06A833D6"/>
    <w:rsid w:val="06B2082D"/>
    <w:rsid w:val="07082B86"/>
    <w:rsid w:val="07207806"/>
    <w:rsid w:val="077B78D4"/>
    <w:rsid w:val="07914B3D"/>
    <w:rsid w:val="07C32F0C"/>
    <w:rsid w:val="07FA7E23"/>
    <w:rsid w:val="082442EE"/>
    <w:rsid w:val="08643CB0"/>
    <w:rsid w:val="08B11B50"/>
    <w:rsid w:val="09110C6F"/>
    <w:rsid w:val="091D19C7"/>
    <w:rsid w:val="093211A4"/>
    <w:rsid w:val="0977182B"/>
    <w:rsid w:val="09926C3F"/>
    <w:rsid w:val="0A1C2427"/>
    <w:rsid w:val="0A3245DB"/>
    <w:rsid w:val="0A940DEC"/>
    <w:rsid w:val="0AB530F7"/>
    <w:rsid w:val="0ABB3F83"/>
    <w:rsid w:val="0AE0202E"/>
    <w:rsid w:val="0AF04A48"/>
    <w:rsid w:val="0B410F04"/>
    <w:rsid w:val="0B6D4B9E"/>
    <w:rsid w:val="0B7A2363"/>
    <w:rsid w:val="0B7D6BB3"/>
    <w:rsid w:val="0BC74660"/>
    <w:rsid w:val="0BD9237C"/>
    <w:rsid w:val="0C0F7455"/>
    <w:rsid w:val="0C750266"/>
    <w:rsid w:val="0C927091"/>
    <w:rsid w:val="0CC10761"/>
    <w:rsid w:val="0CE74614"/>
    <w:rsid w:val="0CE9383E"/>
    <w:rsid w:val="0CFD1664"/>
    <w:rsid w:val="0D4C0A39"/>
    <w:rsid w:val="0D4D2ED2"/>
    <w:rsid w:val="0D8536BD"/>
    <w:rsid w:val="0DC66082"/>
    <w:rsid w:val="0DC86327"/>
    <w:rsid w:val="0DCF42FB"/>
    <w:rsid w:val="0E2E2597"/>
    <w:rsid w:val="0E572473"/>
    <w:rsid w:val="0E6B707E"/>
    <w:rsid w:val="0E7E5FC5"/>
    <w:rsid w:val="0EA26E0B"/>
    <w:rsid w:val="0EF752E4"/>
    <w:rsid w:val="0F380290"/>
    <w:rsid w:val="0F4D3916"/>
    <w:rsid w:val="0F6E32CF"/>
    <w:rsid w:val="0FE8258B"/>
    <w:rsid w:val="101507B9"/>
    <w:rsid w:val="10455D10"/>
    <w:rsid w:val="107D1AA2"/>
    <w:rsid w:val="10BB439B"/>
    <w:rsid w:val="10FE239E"/>
    <w:rsid w:val="11103220"/>
    <w:rsid w:val="111A671C"/>
    <w:rsid w:val="112626DD"/>
    <w:rsid w:val="11277FB0"/>
    <w:rsid w:val="11520EE3"/>
    <w:rsid w:val="11550756"/>
    <w:rsid w:val="11632FCB"/>
    <w:rsid w:val="11977C51"/>
    <w:rsid w:val="119B239A"/>
    <w:rsid w:val="11D54078"/>
    <w:rsid w:val="122B75B6"/>
    <w:rsid w:val="1243022B"/>
    <w:rsid w:val="12E65F6D"/>
    <w:rsid w:val="131555DD"/>
    <w:rsid w:val="13403A80"/>
    <w:rsid w:val="135C1124"/>
    <w:rsid w:val="136A01E4"/>
    <w:rsid w:val="13A44930"/>
    <w:rsid w:val="13D51308"/>
    <w:rsid w:val="13F14830"/>
    <w:rsid w:val="147A1696"/>
    <w:rsid w:val="14856738"/>
    <w:rsid w:val="148F29C6"/>
    <w:rsid w:val="14981823"/>
    <w:rsid w:val="14BA370F"/>
    <w:rsid w:val="14D659A8"/>
    <w:rsid w:val="150F3E5F"/>
    <w:rsid w:val="154F0574"/>
    <w:rsid w:val="15687DA2"/>
    <w:rsid w:val="15730ED9"/>
    <w:rsid w:val="158108CE"/>
    <w:rsid w:val="15816CBF"/>
    <w:rsid w:val="15844E19"/>
    <w:rsid w:val="15A80C9F"/>
    <w:rsid w:val="15B46403"/>
    <w:rsid w:val="16394E85"/>
    <w:rsid w:val="167B36D8"/>
    <w:rsid w:val="16882D6F"/>
    <w:rsid w:val="16966BA2"/>
    <w:rsid w:val="16AE7042"/>
    <w:rsid w:val="16B1711F"/>
    <w:rsid w:val="16BF056C"/>
    <w:rsid w:val="16C67F1D"/>
    <w:rsid w:val="17550AD5"/>
    <w:rsid w:val="176104DD"/>
    <w:rsid w:val="17AF79FE"/>
    <w:rsid w:val="17B71779"/>
    <w:rsid w:val="17D07906"/>
    <w:rsid w:val="17FA31CA"/>
    <w:rsid w:val="17FD2ADD"/>
    <w:rsid w:val="180F54BF"/>
    <w:rsid w:val="189C0FC8"/>
    <w:rsid w:val="18BD132A"/>
    <w:rsid w:val="18CF0AF0"/>
    <w:rsid w:val="194F4112"/>
    <w:rsid w:val="19577BAC"/>
    <w:rsid w:val="196A334B"/>
    <w:rsid w:val="19743821"/>
    <w:rsid w:val="19A04370"/>
    <w:rsid w:val="19B7283D"/>
    <w:rsid w:val="19D1627E"/>
    <w:rsid w:val="19E54205"/>
    <w:rsid w:val="1A0C35CC"/>
    <w:rsid w:val="1A2E0B73"/>
    <w:rsid w:val="1A3A03E9"/>
    <w:rsid w:val="1A5328A6"/>
    <w:rsid w:val="1A614149"/>
    <w:rsid w:val="1A8C6E4F"/>
    <w:rsid w:val="1AA16AAD"/>
    <w:rsid w:val="1AB908CE"/>
    <w:rsid w:val="1AE6196C"/>
    <w:rsid w:val="1B232DD2"/>
    <w:rsid w:val="1B4F69CC"/>
    <w:rsid w:val="1B6D2D79"/>
    <w:rsid w:val="1B7C5480"/>
    <w:rsid w:val="1B83C617"/>
    <w:rsid w:val="1B8F09E8"/>
    <w:rsid w:val="1B9A2B6F"/>
    <w:rsid w:val="1BCCDB89"/>
    <w:rsid w:val="1BEB0EA0"/>
    <w:rsid w:val="1BEFAF36"/>
    <w:rsid w:val="1BFF5757"/>
    <w:rsid w:val="1C053387"/>
    <w:rsid w:val="1C0A1EEA"/>
    <w:rsid w:val="1C167AAF"/>
    <w:rsid w:val="1C46068E"/>
    <w:rsid w:val="1C567B70"/>
    <w:rsid w:val="1C7C20CC"/>
    <w:rsid w:val="1C8B7AE5"/>
    <w:rsid w:val="1C990B07"/>
    <w:rsid w:val="1CCF4FB5"/>
    <w:rsid w:val="1CCF653B"/>
    <w:rsid w:val="1CD929D4"/>
    <w:rsid w:val="1CDC7DE0"/>
    <w:rsid w:val="1D172BD3"/>
    <w:rsid w:val="1D7468DE"/>
    <w:rsid w:val="1D764A7B"/>
    <w:rsid w:val="1D8368C1"/>
    <w:rsid w:val="1D851279"/>
    <w:rsid w:val="1DA77C4B"/>
    <w:rsid w:val="1E1504DD"/>
    <w:rsid w:val="1E167A51"/>
    <w:rsid w:val="1E5913F5"/>
    <w:rsid w:val="1E64416A"/>
    <w:rsid w:val="1E7159FF"/>
    <w:rsid w:val="1E7344F9"/>
    <w:rsid w:val="1E9B2DB3"/>
    <w:rsid w:val="1E9D3448"/>
    <w:rsid w:val="1EE71BE2"/>
    <w:rsid w:val="1F4B7FF0"/>
    <w:rsid w:val="1F567358"/>
    <w:rsid w:val="1F661DE6"/>
    <w:rsid w:val="1F761A29"/>
    <w:rsid w:val="1FC97281"/>
    <w:rsid w:val="1FD7CA57"/>
    <w:rsid w:val="1FF4E560"/>
    <w:rsid w:val="1FF6C78D"/>
    <w:rsid w:val="1FFCF853"/>
    <w:rsid w:val="201A79C2"/>
    <w:rsid w:val="202D6FD9"/>
    <w:rsid w:val="203E70ED"/>
    <w:rsid w:val="20474300"/>
    <w:rsid w:val="20653ACF"/>
    <w:rsid w:val="2066046D"/>
    <w:rsid w:val="20910690"/>
    <w:rsid w:val="209460BE"/>
    <w:rsid w:val="209928D1"/>
    <w:rsid w:val="20E31D07"/>
    <w:rsid w:val="20E932C7"/>
    <w:rsid w:val="212E298C"/>
    <w:rsid w:val="212F0B22"/>
    <w:rsid w:val="21505E37"/>
    <w:rsid w:val="21712C8B"/>
    <w:rsid w:val="217B0E7A"/>
    <w:rsid w:val="218D0BA4"/>
    <w:rsid w:val="21B83D27"/>
    <w:rsid w:val="21C115EE"/>
    <w:rsid w:val="22074B87"/>
    <w:rsid w:val="22356DAF"/>
    <w:rsid w:val="223728B2"/>
    <w:rsid w:val="22556A28"/>
    <w:rsid w:val="22955FEA"/>
    <w:rsid w:val="22B53180"/>
    <w:rsid w:val="23A8781B"/>
    <w:rsid w:val="23D63116"/>
    <w:rsid w:val="23E462A2"/>
    <w:rsid w:val="240A022E"/>
    <w:rsid w:val="24271D5D"/>
    <w:rsid w:val="248014F2"/>
    <w:rsid w:val="24B07D05"/>
    <w:rsid w:val="24E45993"/>
    <w:rsid w:val="255E47A3"/>
    <w:rsid w:val="25926C2E"/>
    <w:rsid w:val="25C951D7"/>
    <w:rsid w:val="25EE7D3A"/>
    <w:rsid w:val="25FC1810"/>
    <w:rsid w:val="26163C4F"/>
    <w:rsid w:val="26446854"/>
    <w:rsid w:val="27327946"/>
    <w:rsid w:val="277B1D73"/>
    <w:rsid w:val="27987506"/>
    <w:rsid w:val="27B94C74"/>
    <w:rsid w:val="27BD6D7E"/>
    <w:rsid w:val="28200BC3"/>
    <w:rsid w:val="28285B9C"/>
    <w:rsid w:val="29148838"/>
    <w:rsid w:val="297D0908"/>
    <w:rsid w:val="29A504DF"/>
    <w:rsid w:val="29DF1B62"/>
    <w:rsid w:val="2A983B65"/>
    <w:rsid w:val="2AC923B3"/>
    <w:rsid w:val="2B675381"/>
    <w:rsid w:val="2B7C3D4A"/>
    <w:rsid w:val="2B963063"/>
    <w:rsid w:val="2BB0561E"/>
    <w:rsid w:val="2BBF7C01"/>
    <w:rsid w:val="2BD40FC2"/>
    <w:rsid w:val="2BF734FA"/>
    <w:rsid w:val="2C3725E9"/>
    <w:rsid w:val="2CDD2F47"/>
    <w:rsid w:val="2CDE7399"/>
    <w:rsid w:val="2CDF5740"/>
    <w:rsid w:val="2CEF679C"/>
    <w:rsid w:val="2CFA4760"/>
    <w:rsid w:val="2D1A587D"/>
    <w:rsid w:val="2D7723FE"/>
    <w:rsid w:val="2D7838E8"/>
    <w:rsid w:val="2DA43948"/>
    <w:rsid w:val="2DC028EA"/>
    <w:rsid w:val="2DF223B9"/>
    <w:rsid w:val="2E2425C2"/>
    <w:rsid w:val="2E454CF5"/>
    <w:rsid w:val="2E7110F5"/>
    <w:rsid w:val="2E9F113C"/>
    <w:rsid w:val="2EA7FCA6"/>
    <w:rsid w:val="2EDE68DA"/>
    <w:rsid w:val="2F022843"/>
    <w:rsid w:val="2F305F78"/>
    <w:rsid w:val="2F3350DA"/>
    <w:rsid w:val="2F650060"/>
    <w:rsid w:val="2F8957A0"/>
    <w:rsid w:val="2FBF99C0"/>
    <w:rsid w:val="2FC25681"/>
    <w:rsid w:val="2FC43A36"/>
    <w:rsid w:val="2FCF7B1D"/>
    <w:rsid w:val="2FD86909"/>
    <w:rsid w:val="2FDFB2A7"/>
    <w:rsid w:val="2FEE19FC"/>
    <w:rsid w:val="300F7D73"/>
    <w:rsid w:val="301B2E73"/>
    <w:rsid w:val="30844326"/>
    <w:rsid w:val="3088272F"/>
    <w:rsid w:val="30FD3EF5"/>
    <w:rsid w:val="312E383F"/>
    <w:rsid w:val="313E0256"/>
    <w:rsid w:val="31470B66"/>
    <w:rsid w:val="31561180"/>
    <w:rsid w:val="31665236"/>
    <w:rsid w:val="317FFE95"/>
    <w:rsid w:val="318C5DD7"/>
    <w:rsid w:val="31A43407"/>
    <w:rsid w:val="31B373F4"/>
    <w:rsid w:val="31D15E2F"/>
    <w:rsid w:val="31DA2D13"/>
    <w:rsid w:val="32316565"/>
    <w:rsid w:val="325176EF"/>
    <w:rsid w:val="3262046B"/>
    <w:rsid w:val="32743B56"/>
    <w:rsid w:val="32DA733F"/>
    <w:rsid w:val="330B3CCA"/>
    <w:rsid w:val="33195B29"/>
    <w:rsid w:val="339F73A0"/>
    <w:rsid w:val="33A72ED9"/>
    <w:rsid w:val="33B51F64"/>
    <w:rsid w:val="33B605E0"/>
    <w:rsid w:val="33B75F17"/>
    <w:rsid w:val="33B80537"/>
    <w:rsid w:val="33BC38CE"/>
    <w:rsid w:val="33DF0A33"/>
    <w:rsid w:val="33E74B70"/>
    <w:rsid w:val="33EB6BBB"/>
    <w:rsid w:val="33FB093E"/>
    <w:rsid w:val="340A7C17"/>
    <w:rsid w:val="347C35F2"/>
    <w:rsid w:val="3486483B"/>
    <w:rsid w:val="348D2EC8"/>
    <w:rsid w:val="34FA58D6"/>
    <w:rsid w:val="353942DE"/>
    <w:rsid w:val="35792B4A"/>
    <w:rsid w:val="35A16C14"/>
    <w:rsid w:val="35A2048B"/>
    <w:rsid w:val="3601311E"/>
    <w:rsid w:val="365D49E4"/>
    <w:rsid w:val="36B10201"/>
    <w:rsid w:val="37175ECB"/>
    <w:rsid w:val="37976AC4"/>
    <w:rsid w:val="379F4B4D"/>
    <w:rsid w:val="37AA17C2"/>
    <w:rsid w:val="37EA3B69"/>
    <w:rsid w:val="37FD6DAF"/>
    <w:rsid w:val="38143DCD"/>
    <w:rsid w:val="3831783F"/>
    <w:rsid w:val="3860343D"/>
    <w:rsid w:val="3890049B"/>
    <w:rsid w:val="38925CB0"/>
    <w:rsid w:val="390513B5"/>
    <w:rsid w:val="39234AA0"/>
    <w:rsid w:val="39442D14"/>
    <w:rsid w:val="396A637E"/>
    <w:rsid w:val="396B184F"/>
    <w:rsid w:val="399C6A91"/>
    <w:rsid w:val="39A81DCF"/>
    <w:rsid w:val="39BC24D5"/>
    <w:rsid w:val="39BD52B4"/>
    <w:rsid w:val="39E65C0C"/>
    <w:rsid w:val="3A25472B"/>
    <w:rsid w:val="3A436859"/>
    <w:rsid w:val="3A627756"/>
    <w:rsid w:val="3A8B11B8"/>
    <w:rsid w:val="3AB90945"/>
    <w:rsid w:val="3AC53FE9"/>
    <w:rsid w:val="3AE77312"/>
    <w:rsid w:val="3AF70D19"/>
    <w:rsid w:val="3B075CE3"/>
    <w:rsid w:val="3B266598"/>
    <w:rsid w:val="3B4D3EA5"/>
    <w:rsid w:val="3B7C7E71"/>
    <w:rsid w:val="3B857597"/>
    <w:rsid w:val="3BAF391F"/>
    <w:rsid w:val="3BB03082"/>
    <w:rsid w:val="3BC91625"/>
    <w:rsid w:val="3BE556D1"/>
    <w:rsid w:val="3C0813D9"/>
    <w:rsid w:val="3C14073A"/>
    <w:rsid w:val="3C196E25"/>
    <w:rsid w:val="3C290978"/>
    <w:rsid w:val="3C756E43"/>
    <w:rsid w:val="3C7C4964"/>
    <w:rsid w:val="3C8B5A78"/>
    <w:rsid w:val="3C900B1D"/>
    <w:rsid w:val="3CA116E0"/>
    <w:rsid w:val="3CB5E8A7"/>
    <w:rsid w:val="3CBF37BC"/>
    <w:rsid w:val="3CC80D88"/>
    <w:rsid w:val="3CE04670"/>
    <w:rsid w:val="3CF20A77"/>
    <w:rsid w:val="3CFDCA63"/>
    <w:rsid w:val="3CFEA4A8"/>
    <w:rsid w:val="3D026DA3"/>
    <w:rsid w:val="3D2B5047"/>
    <w:rsid w:val="3D5A48FB"/>
    <w:rsid w:val="3D5D3C39"/>
    <w:rsid w:val="3D653D41"/>
    <w:rsid w:val="3D69E6AC"/>
    <w:rsid w:val="3D6DE757"/>
    <w:rsid w:val="3D8B6303"/>
    <w:rsid w:val="3DAD4CBD"/>
    <w:rsid w:val="3DAEC812"/>
    <w:rsid w:val="3DB87FDB"/>
    <w:rsid w:val="3E0943BD"/>
    <w:rsid w:val="3E14209A"/>
    <w:rsid w:val="3E3671A0"/>
    <w:rsid w:val="3E432768"/>
    <w:rsid w:val="3E6F2FA9"/>
    <w:rsid w:val="3EE10AA9"/>
    <w:rsid w:val="3EFF237A"/>
    <w:rsid w:val="3F0F98C3"/>
    <w:rsid w:val="3F2F0A6C"/>
    <w:rsid w:val="3F4179B2"/>
    <w:rsid w:val="3F5ECFBF"/>
    <w:rsid w:val="3F7B4780"/>
    <w:rsid w:val="3F7E85CC"/>
    <w:rsid w:val="3FB35063"/>
    <w:rsid w:val="3FC612EB"/>
    <w:rsid w:val="3FF0B015"/>
    <w:rsid w:val="3FF7826E"/>
    <w:rsid w:val="3FFCEEDE"/>
    <w:rsid w:val="3FFF80BA"/>
    <w:rsid w:val="40030A15"/>
    <w:rsid w:val="4039319A"/>
    <w:rsid w:val="406B7F41"/>
    <w:rsid w:val="40A959C8"/>
    <w:rsid w:val="40B52A37"/>
    <w:rsid w:val="4143359F"/>
    <w:rsid w:val="414E51B4"/>
    <w:rsid w:val="415E5D0C"/>
    <w:rsid w:val="417D62FA"/>
    <w:rsid w:val="41A13939"/>
    <w:rsid w:val="41AD1CDA"/>
    <w:rsid w:val="41AE628C"/>
    <w:rsid w:val="41BC53EC"/>
    <w:rsid w:val="41CC21FF"/>
    <w:rsid w:val="422B001A"/>
    <w:rsid w:val="42524C1A"/>
    <w:rsid w:val="426D00FA"/>
    <w:rsid w:val="4288086F"/>
    <w:rsid w:val="42E30F10"/>
    <w:rsid w:val="43094082"/>
    <w:rsid w:val="431D5CC6"/>
    <w:rsid w:val="431D66A9"/>
    <w:rsid w:val="43494C8F"/>
    <w:rsid w:val="435B6CCA"/>
    <w:rsid w:val="437CB373"/>
    <w:rsid w:val="438B3949"/>
    <w:rsid w:val="439E597D"/>
    <w:rsid w:val="43BC29BB"/>
    <w:rsid w:val="440F5CF9"/>
    <w:rsid w:val="44146C41"/>
    <w:rsid w:val="44167FBB"/>
    <w:rsid w:val="44204C51"/>
    <w:rsid w:val="44520388"/>
    <w:rsid w:val="447137A5"/>
    <w:rsid w:val="447174D3"/>
    <w:rsid w:val="44A17B34"/>
    <w:rsid w:val="44C34AB0"/>
    <w:rsid w:val="44EC2702"/>
    <w:rsid w:val="45066BBD"/>
    <w:rsid w:val="45465B73"/>
    <w:rsid w:val="45813BAC"/>
    <w:rsid w:val="4586587B"/>
    <w:rsid w:val="45A977B7"/>
    <w:rsid w:val="45BA50C5"/>
    <w:rsid w:val="45EE3F48"/>
    <w:rsid w:val="45FB1277"/>
    <w:rsid w:val="4660447C"/>
    <w:rsid w:val="4697524D"/>
    <w:rsid w:val="46AF0077"/>
    <w:rsid w:val="46E95BE0"/>
    <w:rsid w:val="472B1978"/>
    <w:rsid w:val="4730365B"/>
    <w:rsid w:val="477D0CB9"/>
    <w:rsid w:val="47BF62BB"/>
    <w:rsid w:val="47D4536A"/>
    <w:rsid w:val="47E38F4A"/>
    <w:rsid w:val="47EB4110"/>
    <w:rsid w:val="47F079DF"/>
    <w:rsid w:val="47F5B470"/>
    <w:rsid w:val="4810456E"/>
    <w:rsid w:val="486E5261"/>
    <w:rsid w:val="48786E75"/>
    <w:rsid w:val="48987F0A"/>
    <w:rsid w:val="48FB40DF"/>
    <w:rsid w:val="49196398"/>
    <w:rsid w:val="495E25EB"/>
    <w:rsid w:val="49605AEE"/>
    <w:rsid w:val="49A61CC7"/>
    <w:rsid w:val="49DC6357"/>
    <w:rsid w:val="4A483D94"/>
    <w:rsid w:val="4A5F1294"/>
    <w:rsid w:val="4AD0649A"/>
    <w:rsid w:val="4ADD7DE7"/>
    <w:rsid w:val="4ADFB618"/>
    <w:rsid w:val="4B0A4A82"/>
    <w:rsid w:val="4B0A68BA"/>
    <w:rsid w:val="4B7BE624"/>
    <w:rsid w:val="4BBA024C"/>
    <w:rsid w:val="4BD444F6"/>
    <w:rsid w:val="4BD8527D"/>
    <w:rsid w:val="4BDE0179"/>
    <w:rsid w:val="4BDF6F7B"/>
    <w:rsid w:val="4BEC3A7E"/>
    <w:rsid w:val="4C473333"/>
    <w:rsid w:val="4C816990"/>
    <w:rsid w:val="4CA7016C"/>
    <w:rsid w:val="4CB12AEA"/>
    <w:rsid w:val="4CB23482"/>
    <w:rsid w:val="4CDFDCED"/>
    <w:rsid w:val="4CF03D27"/>
    <w:rsid w:val="4D4354F8"/>
    <w:rsid w:val="4D5D5079"/>
    <w:rsid w:val="4D705EB3"/>
    <w:rsid w:val="4D7C49BF"/>
    <w:rsid w:val="4DEA1C16"/>
    <w:rsid w:val="4E07961D"/>
    <w:rsid w:val="4E2552CD"/>
    <w:rsid w:val="4E263D32"/>
    <w:rsid w:val="4E286CB3"/>
    <w:rsid w:val="4E5C081F"/>
    <w:rsid w:val="4E6362B4"/>
    <w:rsid w:val="4EAD12F4"/>
    <w:rsid w:val="4EC8055E"/>
    <w:rsid w:val="4ED13B11"/>
    <w:rsid w:val="4EFFC0D9"/>
    <w:rsid w:val="4F1E3EDA"/>
    <w:rsid w:val="4F1F5413"/>
    <w:rsid w:val="4F3504E4"/>
    <w:rsid w:val="4F373BA2"/>
    <w:rsid w:val="4F637BD2"/>
    <w:rsid w:val="4F667EBB"/>
    <w:rsid w:val="4F7A6685"/>
    <w:rsid w:val="4F963F07"/>
    <w:rsid w:val="4F9D33AA"/>
    <w:rsid w:val="4FB2281C"/>
    <w:rsid w:val="4FDA6B31"/>
    <w:rsid w:val="4FDB6AC3"/>
    <w:rsid w:val="4FDFB145"/>
    <w:rsid w:val="4FFB47F8"/>
    <w:rsid w:val="4FFF8B31"/>
    <w:rsid w:val="503B0253"/>
    <w:rsid w:val="50CE6F9F"/>
    <w:rsid w:val="50E23A41"/>
    <w:rsid w:val="50E24577"/>
    <w:rsid w:val="50E90E4D"/>
    <w:rsid w:val="51085492"/>
    <w:rsid w:val="511F4786"/>
    <w:rsid w:val="51293414"/>
    <w:rsid w:val="51477AF7"/>
    <w:rsid w:val="514F07F2"/>
    <w:rsid w:val="516C4861"/>
    <w:rsid w:val="519D33E8"/>
    <w:rsid w:val="51AD665B"/>
    <w:rsid w:val="51B726A1"/>
    <w:rsid w:val="51E31065"/>
    <w:rsid w:val="51F4603A"/>
    <w:rsid w:val="522D1C14"/>
    <w:rsid w:val="52391A74"/>
    <w:rsid w:val="52395732"/>
    <w:rsid w:val="52DD2582"/>
    <w:rsid w:val="52E03507"/>
    <w:rsid w:val="52E5CFE7"/>
    <w:rsid w:val="52F42F00"/>
    <w:rsid w:val="531F0DC4"/>
    <w:rsid w:val="5327679F"/>
    <w:rsid w:val="532F3286"/>
    <w:rsid w:val="535E63FC"/>
    <w:rsid w:val="535F6276"/>
    <w:rsid w:val="537A0DDF"/>
    <w:rsid w:val="5382108B"/>
    <w:rsid w:val="539239D5"/>
    <w:rsid w:val="53AA7564"/>
    <w:rsid w:val="53AF708C"/>
    <w:rsid w:val="53BD4EA8"/>
    <w:rsid w:val="53FD503B"/>
    <w:rsid w:val="541D2076"/>
    <w:rsid w:val="541F57C4"/>
    <w:rsid w:val="54641104"/>
    <w:rsid w:val="546A1731"/>
    <w:rsid w:val="546E1A14"/>
    <w:rsid w:val="5476101E"/>
    <w:rsid w:val="54823ACB"/>
    <w:rsid w:val="54A37834"/>
    <w:rsid w:val="54AC462D"/>
    <w:rsid w:val="54BC71D4"/>
    <w:rsid w:val="54BE6593"/>
    <w:rsid w:val="54CC5B08"/>
    <w:rsid w:val="54E1752E"/>
    <w:rsid w:val="55086644"/>
    <w:rsid w:val="55306FE0"/>
    <w:rsid w:val="55456DCF"/>
    <w:rsid w:val="5580671C"/>
    <w:rsid w:val="55D9149E"/>
    <w:rsid w:val="55DC3A47"/>
    <w:rsid w:val="55DD2EEF"/>
    <w:rsid w:val="55FAA0EC"/>
    <w:rsid w:val="5646212F"/>
    <w:rsid w:val="56643532"/>
    <w:rsid w:val="566A2753"/>
    <w:rsid w:val="56A94582"/>
    <w:rsid w:val="56FB3887"/>
    <w:rsid w:val="56FF5D39"/>
    <w:rsid w:val="5706158F"/>
    <w:rsid w:val="57596BC3"/>
    <w:rsid w:val="576D6CEE"/>
    <w:rsid w:val="57907415"/>
    <w:rsid w:val="57F31DEF"/>
    <w:rsid w:val="57F4E729"/>
    <w:rsid w:val="5807127B"/>
    <w:rsid w:val="582137F9"/>
    <w:rsid w:val="5844565B"/>
    <w:rsid w:val="587800F2"/>
    <w:rsid w:val="587C0B99"/>
    <w:rsid w:val="589037A1"/>
    <w:rsid w:val="58B765E7"/>
    <w:rsid w:val="58E541D3"/>
    <w:rsid w:val="59660712"/>
    <w:rsid w:val="59A35698"/>
    <w:rsid w:val="59D33B74"/>
    <w:rsid w:val="59EFDFB2"/>
    <w:rsid w:val="5A030EFA"/>
    <w:rsid w:val="5A201D86"/>
    <w:rsid w:val="5AE90E31"/>
    <w:rsid w:val="5B0453E0"/>
    <w:rsid w:val="5B362056"/>
    <w:rsid w:val="5B4B35D6"/>
    <w:rsid w:val="5B545C61"/>
    <w:rsid w:val="5B5E790E"/>
    <w:rsid w:val="5B5FB9AE"/>
    <w:rsid w:val="5B7FBC1C"/>
    <w:rsid w:val="5B8C403F"/>
    <w:rsid w:val="5BA96C40"/>
    <w:rsid w:val="5BE36FFD"/>
    <w:rsid w:val="5BEF2741"/>
    <w:rsid w:val="5BFEBFF7"/>
    <w:rsid w:val="5BFF8BB8"/>
    <w:rsid w:val="5C072027"/>
    <w:rsid w:val="5C412946"/>
    <w:rsid w:val="5C5F08E6"/>
    <w:rsid w:val="5C851ABC"/>
    <w:rsid w:val="5C926447"/>
    <w:rsid w:val="5CB47325"/>
    <w:rsid w:val="5CF52B7F"/>
    <w:rsid w:val="5D165457"/>
    <w:rsid w:val="5D1F2257"/>
    <w:rsid w:val="5D456C14"/>
    <w:rsid w:val="5D4705D0"/>
    <w:rsid w:val="5D8F55DF"/>
    <w:rsid w:val="5DAFD236"/>
    <w:rsid w:val="5DCDF051"/>
    <w:rsid w:val="5DDEA683"/>
    <w:rsid w:val="5DEBAC04"/>
    <w:rsid w:val="5DEBCBAF"/>
    <w:rsid w:val="5DFBDDD7"/>
    <w:rsid w:val="5DFF5B7B"/>
    <w:rsid w:val="5DFF7B56"/>
    <w:rsid w:val="5DFFB025"/>
    <w:rsid w:val="5E122AE4"/>
    <w:rsid w:val="5E1501E6"/>
    <w:rsid w:val="5E1E671C"/>
    <w:rsid w:val="5E230800"/>
    <w:rsid w:val="5E6FBB37"/>
    <w:rsid w:val="5E801C8C"/>
    <w:rsid w:val="5E840981"/>
    <w:rsid w:val="5EB22AF1"/>
    <w:rsid w:val="5EDD0429"/>
    <w:rsid w:val="5EEE8772"/>
    <w:rsid w:val="5EF99371"/>
    <w:rsid w:val="5F176F53"/>
    <w:rsid w:val="5F1B6809"/>
    <w:rsid w:val="5F3E404E"/>
    <w:rsid w:val="5F3FDDED"/>
    <w:rsid w:val="5F5F0216"/>
    <w:rsid w:val="5F653D10"/>
    <w:rsid w:val="5F702A21"/>
    <w:rsid w:val="5F7104A2"/>
    <w:rsid w:val="5F9955BE"/>
    <w:rsid w:val="5F9B531E"/>
    <w:rsid w:val="5FCD8A84"/>
    <w:rsid w:val="5FD5EBF1"/>
    <w:rsid w:val="5FEA7D81"/>
    <w:rsid w:val="5FFB8D2C"/>
    <w:rsid w:val="6017688D"/>
    <w:rsid w:val="60661CB4"/>
    <w:rsid w:val="6072051B"/>
    <w:rsid w:val="609E0F14"/>
    <w:rsid w:val="60F87024"/>
    <w:rsid w:val="613622D6"/>
    <w:rsid w:val="6141140F"/>
    <w:rsid w:val="6169605F"/>
    <w:rsid w:val="61753344"/>
    <w:rsid w:val="618518AD"/>
    <w:rsid w:val="61970FC4"/>
    <w:rsid w:val="61F0503E"/>
    <w:rsid w:val="6201784E"/>
    <w:rsid w:val="62663996"/>
    <w:rsid w:val="62776E6D"/>
    <w:rsid w:val="629E48DB"/>
    <w:rsid w:val="62E6447A"/>
    <w:rsid w:val="62F277E6"/>
    <w:rsid w:val="6355235E"/>
    <w:rsid w:val="637815D0"/>
    <w:rsid w:val="637F327F"/>
    <w:rsid w:val="63DE0FE6"/>
    <w:rsid w:val="63E853BE"/>
    <w:rsid w:val="63FA13A3"/>
    <w:rsid w:val="64440FCE"/>
    <w:rsid w:val="644C4E9D"/>
    <w:rsid w:val="6460554D"/>
    <w:rsid w:val="646733D7"/>
    <w:rsid w:val="647D1DE9"/>
    <w:rsid w:val="64F962AD"/>
    <w:rsid w:val="651A759E"/>
    <w:rsid w:val="651C2B51"/>
    <w:rsid w:val="65557753"/>
    <w:rsid w:val="65B20905"/>
    <w:rsid w:val="65B456E9"/>
    <w:rsid w:val="65C435EA"/>
    <w:rsid w:val="65FFAEAF"/>
    <w:rsid w:val="66360241"/>
    <w:rsid w:val="664D7A74"/>
    <w:rsid w:val="66525C9F"/>
    <w:rsid w:val="6672090D"/>
    <w:rsid w:val="66893500"/>
    <w:rsid w:val="66BF9386"/>
    <w:rsid w:val="66CC2B8D"/>
    <w:rsid w:val="66FDBC74"/>
    <w:rsid w:val="67090D47"/>
    <w:rsid w:val="672023DA"/>
    <w:rsid w:val="672C74D4"/>
    <w:rsid w:val="673E274D"/>
    <w:rsid w:val="6775142A"/>
    <w:rsid w:val="67796A91"/>
    <w:rsid w:val="678377BA"/>
    <w:rsid w:val="67A4264C"/>
    <w:rsid w:val="67E07486"/>
    <w:rsid w:val="67E31201"/>
    <w:rsid w:val="67E501F3"/>
    <w:rsid w:val="67ED3000"/>
    <w:rsid w:val="67F75E6D"/>
    <w:rsid w:val="67F78D05"/>
    <w:rsid w:val="68045C9E"/>
    <w:rsid w:val="68424832"/>
    <w:rsid w:val="68E3340F"/>
    <w:rsid w:val="68E82DDB"/>
    <w:rsid w:val="68F17B2F"/>
    <w:rsid w:val="69491767"/>
    <w:rsid w:val="69887333"/>
    <w:rsid w:val="69A16E5D"/>
    <w:rsid w:val="69A557BF"/>
    <w:rsid w:val="69DFC411"/>
    <w:rsid w:val="69E34D6C"/>
    <w:rsid w:val="69E61B07"/>
    <w:rsid w:val="69E87526"/>
    <w:rsid w:val="69F8F1BB"/>
    <w:rsid w:val="6A0311FB"/>
    <w:rsid w:val="6A4B46B5"/>
    <w:rsid w:val="6AB25B1C"/>
    <w:rsid w:val="6AB82BB0"/>
    <w:rsid w:val="6AC12A02"/>
    <w:rsid w:val="6AC975E8"/>
    <w:rsid w:val="6AD202EA"/>
    <w:rsid w:val="6AD20C96"/>
    <w:rsid w:val="6AE3353E"/>
    <w:rsid w:val="6AF7EA9B"/>
    <w:rsid w:val="6B362FBA"/>
    <w:rsid w:val="6B462871"/>
    <w:rsid w:val="6B76AEF9"/>
    <w:rsid w:val="6B985110"/>
    <w:rsid w:val="6BA352CE"/>
    <w:rsid w:val="6BA66561"/>
    <w:rsid w:val="6BD05458"/>
    <w:rsid w:val="6BD21A70"/>
    <w:rsid w:val="6BED2021"/>
    <w:rsid w:val="6BF3EAB1"/>
    <w:rsid w:val="6BF52C3B"/>
    <w:rsid w:val="6BFF3D72"/>
    <w:rsid w:val="6BFF7343"/>
    <w:rsid w:val="6C2077F5"/>
    <w:rsid w:val="6C3C5623"/>
    <w:rsid w:val="6C691554"/>
    <w:rsid w:val="6C8B6DBB"/>
    <w:rsid w:val="6D061455"/>
    <w:rsid w:val="6D215542"/>
    <w:rsid w:val="6D370D3E"/>
    <w:rsid w:val="6D571C1E"/>
    <w:rsid w:val="6D5FF211"/>
    <w:rsid w:val="6D6C2BD7"/>
    <w:rsid w:val="6D710A84"/>
    <w:rsid w:val="6D7F6B76"/>
    <w:rsid w:val="6D883FC0"/>
    <w:rsid w:val="6D9A5389"/>
    <w:rsid w:val="6DBF7B2E"/>
    <w:rsid w:val="6DC26230"/>
    <w:rsid w:val="6DCD80E4"/>
    <w:rsid w:val="6E2C660A"/>
    <w:rsid w:val="6E50356B"/>
    <w:rsid w:val="6EB39598"/>
    <w:rsid w:val="6EC61449"/>
    <w:rsid w:val="6EC63F2A"/>
    <w:rsid w:val="6EDD753D"/>
    <w:rsid w:val="6EE739AB"/>
    <w:rsid w:val="6F3F5BAB"/>
    <w:rsid w:val="6F6B6019"/>
    <w:rsid w:val="6F7B3BF5"/>
    <w:rsid w:val="6F7F9E18"/>
    <w:rsid w:val="6FBDF22D"/>
    <w:rsid w:val="6FBF0126"/>
    <w:rsid w:val="6FDF2C0C"/>
    <w:rsid w:val="6FE351E0"/>
    <w:rsid w:val="6FE7DF74"/>
    <w:rsid w:val="6FF83C47"/>
    <w:rsid w:val="6FF9D30E"/>
    <w:rsid w:val="6FFB311D"/>
    <w:rsid w:val="6FFCF3E1"/>
    <w:rsid w:val="6FFE7A12"/>
    <w:rsid w:val="6FFF69A6"/>
    <w:rsid w:val="6FFFB32B"/>
    <w:rsid w:val="705231B5"/>
    <w:rsid w:val="706A7F50"/>
    <w:rsid w:val="70BA63CA"/>
    <w:rsid w:val="70D06252"/>
    <w:rsid w:val="70E07055"/>
    <w:rsid w:val="70EF5D31"/>
    <w:rsid w:val="71021E3C"/>
    <w:rsid w:val="710651EE"/>
    <w:rsid w:val="71301831"/>
    <w:rsid w:val="71E26A6B"/>
    <w:rsid w:val="71E76C8F"/>
    <w:rsid w:val="71FE11D9"/>
    <w:rsid w:val="721365E8"/>
    <w:rsid w:val="7214563D"/>
    <w:rsid w:val="72A3715A"/>
    <w:rsid w:val="72B4738A"/>
    <w:rsid w:val="73011B3E"/>
    <w:rsid w:val="737B3E9F"/>
    <w:rsid w:val="73933B8C"/>
    <w:rsid w:val="73935A63"/>
    <w:rsid w:val="739973B4"/>
    <w:rsid w:val="73CF7C0D"/>
    <w:rsid w:val="73D2582D"/>
    <w:rsid w:val="73D74B32"/>
    <w:rsid w:val="73DD1B54"/>
    <w:rsid w:val="73F64AAB"/>
    <w:rsid w:val="73FFD3B5"/>
    <w:rsid w:val="740500E7"/>
    <w:rsid w:val="74346C5B"/>
    <w:rsid w:val="744028AD"/>
    <w:rsid w:val="745774B6"/>
    <w:rsid w:val="747131CA"/>
    <w:rsid w:val="74776FD1"/>
    <w:rsid w:val="74792B65"/>
    <w:rsid w:val="7491162A"/>
    <w:rsid w:val="74B64D90"/>
    <w:rsid w:val="74B85EAD"/>
    <w:rsid w:val="74C26852"/>
    <w:rsid w:val="753F00FB"/>
    <w:rsid w:val="75481BD4"/>
    <w:rsid w:val="75956274"/>
    <w:rsid w:val="75B774E3"/>
    <w:rsid w:val="75BF8449"/>
    <w:rsid w:val="75DA47EA"/>
    <w:rsid w:val="75EB142F"/>
    <w:rsid w:val="75ED433D"/>
    <w:rsid w:val="75FAB938"/>
    <w:rsid w:val="75FACCD0"/>
    <w:rsid w:val="75FF6DB8"/>
    <w:rsid w:val="761F24FC"/>
    <w:rsid w:val="765353AD"/>
    <w:rsid w:val="765F06C0"/>
    <w:rsid w:val="765F2314"/>
    <w:rsid w:val="766844C5"/>
    <w:rsid w:val="7669406C"/>
    <w:rsid w:val="767F6D01"/>
    <w:rsid w:val="76AD3E5B"/>
    <w:rsid w:val="76CB0598"/>
    <w:rsid w:val="770045CD"/>
    <w:rsid w:val="77396925"/>
    <w:rsid w:val="774570AB"/>
    <w:rsid w:val="77472876"/>
    <w:rsid w:val="774E2CAE"/>
    <w:rsid w:val="775128CA"/>
    <w:rsid w:val="775C236A"/>
    <w:rsid w:val="777F07DD"/>
    <w:rsid w:val="778FEA3B"/>
    <w:rsid w:val="77994FE1"/>
    <w:rsid w:val="77BA62C2"/>
    <w:rsid w:val="77BBDACE"/>
    <w:rsid w:val="77BD08BC"/>
    <w:rsid w:val="77D5725F"/>
    <w:rsid w:val="77EC4C1C"/>
    <w:rsid w:val="77F78C32"/>
    <w:rsid w:val="77FDFC13"/>
    <w:rsid w:val="78497407"/>
    <w:rsid w:val="78754E4A"/>
    <w:rsid w:val="788B0DD6"/>
    <w:rsid w:val="788B41A6"/>
    <w:rsid w:val="78E7AE36"/>
    <w:rsid w:val="7957B951"/>
    <w:rsid w:val="79C74F0B"/>
    <w:rsid w:val="79FB8050"/>
    <w:rsid w:val="79FD3ED0"/>
    <w:rsid w:val="7A337657"/>
    <w:rsid w:val="7A3B2CA7"/>
    <w:rsid w:val="7A7FE278"/>
    <w:rsid w:val="7A924401"/>
    <w:rsid w:val="7AAB52DE"/>
    <w:rsid w:val="7ACA2120"/>
    <w:rsid w:val="7ACF95DB"/>
    <w:rsid w:val="7AF3AD0A"/>
    <w:rsid w:val="7AFD66D2"/>
    <w:rsid w:val="7AFF4121"/>
    <w:rsid w:val="7B1E6340"/>
    <w:rsid w:val="7B251B25"/>
    <w:rsid w:val="7B2D257D"/>
    <w:rsid w:val="7B59BF53"/>
    <w:rsid w:val="7B664481"/>
    <w:rsid w:val="7B756C9A"/>
    <w:rsid w:val="7B785252"/>
    <w:rsid w:val="7B7D78FD"/>
    <w:rsid w:val="7B7DBD4A"/>
    <w:rsid w:val="7B7F8410"/>
    <w:rsid w:val="7B90588E"/>
    <w:rsid w:val="7BB73828"/>
    <w:rsid w:val="7BCFDFCD"/>
    <w:rsid w:val="7BCFFB6F"/>
    <w:rsid w:val="7BD08A76"/>
    <w:rsid w:val="7BDD9921"/>
    <w:rsid w:val="7BEF0FCD"/>
    <w:rsid w:val="7BF00B62"/>
    <w:rsid w:val="7BF6F451"/>
    <w:rsid w:val="7BFE83C2"/>
    <w:rsid w:val="7C474DF4"/>
    <w:rsid w:val="7C67278A"/>
    <w:rsid w:val="7C715D3A"/>
    <w:rsid w:val="7C773AC9"/>
    <w:rsid w:val="7C940F41"/>
    <w:rsid w:val="7CBBB0B9"/>
    <w:rsid w:val="7CBF6743"/>
    <w:rsid w:val="7CE73CFF"/>
    <w:rsid w:val="7CF0780B"/>
    <w:rsid w:val="7CF72891"/>
    <w:rsid w:val="7CFF4BCB"/>
    <w:rsid w:val="7D0A03B5"/>
    <w:rsid w:val="7D7A61CF"/>
    <w:rsid w:val="7D7B08AD"/>
    <w:rsid w:val="7D7FD221"/>
    <w:rsid w:val="7DAF0C19"/>
    <w:rsid w:val="7DB9BAFC"/>
    <w:rsid w:val="7DBC4B71"/>
    <w:rsid w:val="7DBDA68D"/>
    <w:rsid w:val="7DD94C28"/>
    <w:rsid w:val="7DDFBCD9"/>
    <w:rsid w:val="7DF9051F"/>
    <w:rsid w:val="7DFD87C3"/>
    <w:rsid w:val="7DFE5366"/>
    <w:rsid w:val="7DFF2909"/>
    <w:rsid w:val="7DFF3EB7"/>
    <w:rsid w:val="7DFFEA5C"/>
    <w:rsid w:val="7E3A2CA5"/>
    <w:rsid w:val="7E3FAC03"/>
    <w:rsid w:val="7E4222BA"/>
    <w:rsid w:val="7E466939"/>
    <w:rsid w:val="7E597CD7"/>
    <w:rsid w:val="7E67B6D4"/>
    <w:rsid w:val="7E8DC893"/>
    <w:rsid w:val="7EAD658C"/>
    <w:rsid w:val="7EAF7B26"/>
    <w:rsid w:val="7EBFCB41"/>
    <w:rsid w:val="7ED2626D"/>
    <w:rsid w:val="7EDD7213"/>
    <w:rsid w:val="7EDDD10A"/>
    <w:rsid w:val="7EFB5E8F"/>
    <w:rsid w:val="7EFBA54F"/>
    <w:rsid w:val="7EFEC3CB"/>
    <w:rsid w:val="7EFF9B55"/>
    <w:rsid w:val="7EFFD3FE"/>
    <w:rsid w:val="7EFFD69D"/>
    <w:rsid w:val="7EFFFE40"/>
    <w:rsid w:val="7F1E1436"/>
    <w:rsid w:val="7F2F6C75"/>
    <w:rsid w:val="7F4606E0"/>
    <w:rsid w:val="7F492E62"/>
    <w:rsid w:val="7F587BFA"/>
    <w:rsid w:val="7F5D4DB4"/>
    <w:rsid w:val="7F5F3E3D"/>
    <w:rsid w:val="7F5F64D7"/>
    <w:rsid w:val="7F6B0FEB"/>
    <w:rsid w:val="7F733D91"/>
    <w:rsid w:val="7F7BF2F6"/>
    <w:rsid w:val="7F7E56A0"/>
    <w:rsid w:val="7F7EE898"/>
    <w:rsid w:val="7F7FF1C7"/>
    <w:rsid w:val="7F8A3E0E"/>
    <w:rsid w:val="7F9B456B"/>
    <w:rsid w:val="7FA90C3E"/>
    <w:rsid w:val="7FAADB19"/>
    <w:rsid w:val="7FB7EE4A"/>
    <w:rsid w:val="7FBB1F64"/>
    <w:rsid w:val="7FD37057"/>
    <w:rsid w:val="7FD508D3"/>
    <w:rsid w:val="7FD76031"/>
    <w:rsid w:val="7FD82720"/>
    <w:rsid w:val="7FD9A7F6"/>
    <w:rsid w:val="7FDB8B0A"/>
    <w:rsid w:val="7FDE1157"/>
    <w:rsid w:val="7FDF3FB8"/>
    <w:rsid w:val="7FDF84C8"/>
    <w:rsid w:val="7FDF8EB6"/>
    <w:rsid w:val="7FE5F30E"/>
    <w:rsid w:val="7FE702A7"/>
    <w:rsid w:val="7FE7578D"/>
    <w:rsid w:val="7FED8ACC"/>
    <w:rsid w:val="7FEF303B"/>
    <w:rsid w:val="7FEF4955"/>
    <w:rsid w:val="7FEFB90A"/>
    <w:rsid w:val="7FF38258"/>
    <w:rsid w:val="7FF3A5D5"/>
    <w:rsid w:val="7FF5598C"/>
    <w:rsid w:val="7FF66044"/>
    <w:rsid w:val="7FF7CB70"/>
    <w:rsid w:val="7FFB03C8"/>
    <w:rsid w:val="7FFB2508"/>
    <w:rsid w:val="7FFB4AD3"/>
    <w:rsid w:val="7FFB6169"/>
    <w:rsid w:val="7FFBDB0E"/>
    <w:rsid w:val="7FFBFF23"/>
    <w:rsid w:val="7FFC8FB0"/>
    <w:rsid w:val="7FFEA47E"/>
    <w:rsid w:val="7FFF08F1"/>
    <w:rsid w:val="7FFF346B"/>
    <w:rsid w:val="7FFF97EC"/>
    <w:rsid w:val="7FFFA6DE"/>
    <w:rsid w:val="7FFFD9DC"/>
    <w:rsid w:val="89FFD0A3"/>
    <w:rsid w:val="8CF9790A"/>
    <w:rsid w:val="8FFDED42"/>
    <w:rsid w:val="94FFED46"/>
    <w:rsid w:val="9ADF3E33"/>
    <w:rsid w:val="9BFD8884"/>
    <w:rsid w:val="9D1F19EB"/>
    <w:rsid w:val="9FFD6CCF"/>
    <w:rsid w:val="9FFFC2A0"/>
    <w:rsid w:val="A37E8E75"/>
    <w:rsid w:val="A6F0C1A2"/>
    <w:rsid w:val="A7F0C0B8"/>
    <w:rsid w:val="ABCB3C34"/>
    <w:rsid w:val="ABCF87D1"/>
    <w:rsid w:val="ACF2F2E5"/>
    <w:rsid w:val="ADE1E39E"/>
    <w:rsid w:val="AF3FC1F4"/>
    <w:rsid w:val="AFFF5A59"/>
    <w:rsid w:val="B2F238A4"/>
    <w:rsid w:val="B3BDA764"/>
    <w:rsid w:val="B5F5EBFA"/>
    <w:rsid w:val="B6EFEBE3"/>
    <w:rsid w:val="B7D70765"/>
    <w:rsid w:val="B7DBA881"/>
    <w:rsid w:val="B7F69B3C"/>
    <w:rsid w:val="B8D739CC"/>
    <w:rsid w:val="B9E57D8C"/>
    <w:rsid w:val="B9F75AE5"/>
    <w:rsid w:val="BA36523E"/>
    <w:rsid w:val="BB77A637"/>
    <w:rsid w:val="BB9DC487"/>
    <w:rsid w:val="BBCD3280"/>
    <w:rsid w:val="BBD7E073"/>
    <w:rsid w:val="BBE2AA31"/>
    <w:rsid w:val="BC665DAB"/>
    <w:rsid w:val="BD7E3D9B"/>
    <w:rsid w:val="BDD3A48E"/>
    <w:rsid w:val="BDF785E5"/>
    <w:rsid w:val="BE5EDA05"/>
    <w:rsid w:val="BE676398"/>
    <w:rsid w:val="BE779A69"/>
    <w:rsid w:val="BE9BFF11"/>
    <w:rsid w:val="BEE3EFD1"/>
    <w:rsid w:val="BEFFAD93"/>
    <w:rsid w:val="BF9B1FFB"/>
    <w:rsid w:val="BFAD70B9"/>
    <w:rsid w:val="BFBD3820"/>
    <w:rsid w:val="BFD55FBD"/>
    <w:rsid w:val="BFF73E85"/>
    <w:rsid w:val="BFF9E441"/>
    <w:rsid w:val="BFFA7494"/>
    <w:rsid w:val="BFFBDFCB"/>
    <w:rsid w:val="C2FCC403"/>
    <w:rsid w:val="C6220233"/>
    <w:rsid w:val="C70B91ED"/>
    <w:rsid w:val="CAF7F7D9"/>
    <w:rsid w:val="CBAAB46A"/>
    <w:rsid w:val="CBF2F63F"/>
    <w:rsid w:val="CDB19D00"/>
    <w:rsid w:val="CDFFE294"/>
    <w:rsid w:val="CE4636B8"/>
    <w:rsid w:val="CE9D4FEB"/>
    <w:rsid w:val="CF764F6A"/>
    <w:rsid w:val="CFBFC87E"/>
    <w:rsid w:val="CFDE7BFE"/>
    <w:rsid w:val="CFFC44F3"/>
    <w:rsid w:val="CFFD2026"/>
    <w:rsid w:val="D3DFAF1D"/>
    <w:rsid w:val="D3E31AE1"/>
    <w:rsid w:val="D563F1D8"/>
    <w:rsid w:val="D75700DC"/>
    <w:rsid w:val="D7E7E5F7"/>
    <w:rsid w:val="D7EC3280"/>
    <w:rsid w:val="D7FD828B"/>
    <w:rsid w:val="D85E106A"/>
    <w:rsid w:val="D9B9FDD5"/>
    <w:rsid w:val="D9CDD73B"/>
    <w:rsid w:val="DBB94371"/>
    <w:rsid w:val="DBFF4F90"/>
    <w:rsid w:val="DD3E4826"/>
    <w:rsid w:val="DDDB6E0A"/>
    <w:rsid w:val="DDF708AD"/>
    <w:rsid w:val="DDFFEE29"/>
    <w:rsid w:val="DE3B2F56"/>
    <w:rsid w:val="DE6E5E00"/>
    <w:rsid w:val="DEDF6332"/>
    <w:rsid w:val="DEFC9BAD"/>
    <w:rsid w:val="DEFEF671"/>
    <w:rsid w:val="DEFF24A9"/>
    <w:rsid w:val="DF378C10"/>
    <w:rsid w:val="DF53F1E8"/>
    <w:rsid w:val="DF64AE34"/>
    <w:rsid w:val="DF6FCC97"/>
    <w:rsid w:val="DF77944F"/>
    <w:rsid w:val="DF79D786"/>
    <w:rsid w:val="DFCF79C6"/>
    <w:rsid w:val="DFD7CDA4"/>
    <w:rsid w:val="DFDBA1A3"/>
    <w:rsid w:val="DFE9BE3E"/>
    <w:rsid w:val="DFEB8FE4"/>
    <w:rsid w:val="DFEF9B0D"/>
    <w:rsid w:val="DFEFC483"/>
    <w:rsid w:val="DFFDC6FC"/>
    <w:rsid w:val="DFFF3EB8"/>
    <w:rsid w:val="DFFFB74C"/>
    <w:rsid w:val="E1DF732E"/>
    <w:rsid w:val="E23BC2FE"/>
    <w:rsid w:val="E3FF1731"/>
    <w:rsid w:val="E3FF373A"/>
    <w:rsid w:val="E5EF6884"/>
    <w:rsid w:val="E7D9CCAE"/>
    <w:rsid w:val="E9AD4FD6"/>
    <w:rsid w:val="EA758FF0"/>
    <w:rsid w:val="EAEAA41E"/>
    <w:rsid w:val="EB77A327"/>
    <w:rsid w:val="EB7B0D6A"/>
    <w:rsid w:val="EB7ECFA1"/>
    <w:rsid w:val="EBD7E1C2"/>
    <w:rsid w:val="EBDCCF2D"/>
    <w:rsid w:val="EBFD1F58"/>
    <w:rsid w:val="EBFF6A18"/>
    <w:rsid w:val="EBFF715A"/>
    <w:rsid w:val="EDAFD7A5"/>
    <w:rsid w:val="EDF70E8E"/>
    <w:rsid w:val="EDFFBBBE"/>
    <w:rsid w:val="EE5FF822"/>
    <w:rsid w:val="EE7F3F76"/>
    <w:rsid w:val="EEA71FC0"/>
    <w:rsid w:val="EEBFF998"/>
    <w:rsid w:val="EF399E3D"/>
    <w:rsid w:val="EF4DE1BB"/>
    <w:rsid w:val="EF5D11C6"/>
    <w:rsid w:val="EF7F6DDF"/>
    <w:rsid w:val="EF87DE3E"/>
    <w:rsid w:val="EFBFAFEB"/>
    <w:rsid w:val="EFC10E7F"/>
    <w:rsid w:val="EFD63B24"/>
    <w:rsid w:val="EFE209DD"/>
    <w:rsid w:val="EFEE64B5"/>
    <w:rsid w:val="EFEFF585"/>
    <w:rsid w:val="EFF629E6"/>
    <w:rsid w:val="EFF7FE83"/>
    <w:rsid w:val="EFFDF711"/>
    <w:rsid w:val="EFFE719C"/>
    <w:rsid w:val="EFFEBCD3"/>
    <w:rsid w:val="EFFF174C"/>
    <w:rsid w:val="EFFF2E0F"/>
    <w:rsid w:val="EFFF85F6"/>
    <w:rsid w:val="F1E6B424"/>
    <w:rsid w:val="F3EB7345"/>
    <w:rsid w:val="F3EBD6A4"/>
    <w:rsid w:val="F54FC710"/>
    <w:rsid w:val="F57B1A8A"/>
    <w:rsid w:val="F5BE6E60"/>
    <w:rsid w:val="F5FF1077"/>
    <w:rsid w:val="F67FC504"/>
    <w:rsid w:val="F6A7FF89"/>
    <w:rsid w:val="F73D5848"/>
    <w:rsid w:val="F77BCFAF"/>
    <w:rsid w:val="F7BFA9C1"/>
    <w:rsid w:val="F7BFF6F2"/>
    <w:rsid w:val="F7DF1FA5"/>
    <w:rsid w:val="F7F976B6"/>
    <w:rsid w:val="F7FD50AD"/>
    <w:rsid w:val="F7FE39D8"/>
    <w:rsid w:val="F7FF05EB"/>
    <w:rsid w:val="F7FF6C7A"/>
    <w:rsid w:val="F7FF8FEB"/>
    <w:rsid w:val="F85B52E7"/>
    <w:rsid w:val="F8DF59DD"/>
    <w:rsid w:val="F979A706"/>
    <w:rsid w:val="F9FA6D0A"/>
    <w:rsid w:val="FA2FD95A"/>
    <w:rsid w:val="FA686CCC"/>
    <w:rsid w:val="FAB61478"/>
    <w:rsid w:val="FB3F94E2"/>
    <w:rsid w:val="FBBB1CC1"/>
    <w:rsid w:val="FBDF0BD5"/>
    <w:rsid w:val="FBE68691"/>
    <w:rsid w:val="FBE7BCB8"/>
    <w:rsid w:val="FBEF89D8"/>
    <w:rsid w:val="FBF38638"/>
    <w:rsid w:val="FBF889FB"/>
    <w:rsid w:val="FBFD743B"/>
    <w:rsid w:val="FC161E5A"/>
    <w:rsid w:val="FC77D9B4"/>
    <w:rsid w:val="FD7EA595"/>
    <w:rsid w:val="FDA89D5B"/>
    <w:rsid w:val="FDBEBB0F"/>
    <w:rsid w:val="FDDFBA30"/>
    <w:rsid w:val="FDED4966"/>
    <w:rsid w:val="FDF7AD13"/>
    <w:rsid w:val="FDFB78B1"/>
    <w:rsid w:val="FDFB8FF4"/>
    <w:rsid w:val="FDFD13FF"/>
    <w:rsid w:val="FDFD4FE7"/>
    <w:rsid w:val="FDFE90FC"/>
    <w:rsid w:val="FDFF035D"/>
    <w:rsid w:val="FE959A4A"/>
    <w:rsid w:val="FEAE54C9"/>
    <w:rsid w:val="FEBD3995"/>
    <w:rsid w:val="FECB9968"/>
    <w:rsid w:val="FECBEBDF"/>
    <w:rsid w:val="FED4FECA"/>
    <w:rsid w:val="FEDDE377"/>
    <w:rsid w:val="FEDFA97A"/>
    <w:rsid w:val="FEEF7227"/>
    <w:rsid w:val="FEF81B79"/>
    <w:rsid w:val="FEFD1DD9"/>
    <w:rsid w:val="FEFD47DD"/>
    <w:rsid w:val="FEFF3683"/>
    <w:rsid w:val="FF2DCDEA"/>
    <w:rsid w:val="FF4C2390"/>
    <w:rsid w:val="FF4D7913"/>
    <w:rsid w:val="FF5D0ACF"/>
    <w:rsid w:val="FF6E1794"/>
    <w:rsid w:val="FF8D8EB4"/>
    <w:rsid w:val="FF9B0916"/>
    <w:rsid w:val="FFAB9B7B"/>
    <w:rsid w:val="FFACB3AA"/>
    <w:rsid w:val="FFB5F5C6"/>
    <w:rsid w:val="FFB64D38"/>
    <w:rsid w:val="FFBB43A3"/>
    <w:rsid w:val="FFBC311D"/>
    <w:rsid w:val="FFBE4E78"/>
    <w:rsid w:val="FFBFFBA3"/>
    <w:rsid w:val="FFCD5D22"/>
    <w:rsid w:val="FFDCFEBB"/>
    <w:rsid w:val="FFDF1367"/>
    <w:rsid w:val="FFDFFB83"/>
    <w:rsid w:val="FFE2D492"/>
    <w:rsid w:val="FFED588D"/>
    <w:rsid w:val="FFEEDE62"/>
    <w:rsid w:val="FFF58605"/>
    <w:rsid w:val="FFF74E23"/>
    <w:rsid w:val="FFF79F3D"/>
    <w:rsid w:val="FFF7FF06"/>
    <w:rsid w:val="FFFB553C"/>
    <w:rsid w:val="FFFC7036"/>
    <w:rsid w:val="FFFD0548"/>
    <w:rsid w:val="FFFD83F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iPriority="99"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paragraph" w:styleId="3">
    <w:name w:val="heading 1"/>
    <w:basedOn w:val="1"/>
    <w:next w:val="1"/>
    <w:link w:val="46"/>
    <w:qFormat/>
    <w:uiPriority w:val="0"/>
    <w:pPr>
      <w:keepNext/>
      <w:keepLines/>
      <w:spacing w:before="340" w:after="330" w:line="576" w:lineRule="auto"/>
      <w:jc w:val="center"/>
      <w:outlineLvl w:val="0"/>
    </w:pPr>
    <w:rPr>
      <w:rFonts w:eastAsia="仿宋"/>
      <w:b/>
      <w:kern w:val="44"/>
      <w:sz w:val="28"/>
    </w:rPr>
  </w:style>
  <w:style w:type="paragraph" w:styleId="4">
    <w:name w:val="heading 2"/>
    <w:basedOn w:val="1"/>
    <w:next w:val="1"/>
    <w:link w:val="47"/>
    <w:qFormat/>
    <w:uiPriority w:val="0"/>
    <w:pPr>
      <w:keepNext/>
      <w:keepLines/>
      <w:adjustRightInd w:val="0"/>
      <w:snapToGrid w:val="0"/>
      <w:spacing w:before="120" w:after="120" w:line="360" w:lineRule="auto"/>
      <w:jc w:val="left"/>
      <w:outlineLvl w:val="1"/>
    </w:pPr>
    <w:rPr>
      <w:rFonts w:ascii="宋体" w:hAnsi="Arial" w:eastAsia="仿宋"/>
      <w:b/>
      <w:sz w:val="24"/>
    </w:rPr>
  </w:style>
  <w:style w:type="paragraph" w:styleId="5">
    <w:name w:val="heading 3"/>
    <w:basedOn w:val="1"/>
    <w:next w:val="1"/>
    <w:link w:val="49"/>
    <w:qFormat/>
    <w:uiPriority w:val="9"/>
    <w:pPr>
      <w:spacing w:before="120" w:after="120" w:line="17" w:lineRule="atLeast"/>
      <w:jc w:val="left"/>
      <w:outlineLvl w:val="2"/>
    </w:pPr>
    <w:rPr>
      <w:rFonts w:hint="eastAsia" w:ascii="宋体" w:hAnsi="宋体" w:eastAsia="仿宋"/>
      <w:b/>
      <w:kern w:val="0"/>
      <w:sz w:val="24"/>
      <w:szCs w:val="36"/>
    </w:rPr>
  </w:style>
  <w:style w:type="paragraph" w:styleId="6">
    <w:name w:val="heading 4"/>
    <w:basedOn w:val="1"/>
    <w:next w:val="1"/>
    <w:link w:val="51"/>
    <w:qFormat/>
    <w:uiPriority w:val="0"/>
    <w:pPr>
      <w:keepNext/>
      <w:keepLines/>
      <w:spacing w:line="376" w:lineRule="auto"/>
      <w:outlineLvl w:val="3"/>
    </w:pPr>
    <w:rPr>
      <w:rFonts w:ascii="Cambria" w:hAnsi="Cambria" w:eastAsia="仿宋"/>
      <w:b/>
      <w:bCs/>
      <w:sz w:val="24"/>
      <w:szCs w:val="28"/>
    </w:rPr>
  </w:style>
  <w:style w:type="paragraph" w:styleId="7">
    <w:name w:val="heading 5"/>
    <w:basedOn w:val="1"/>
    <w:next w:val="1"/>
    <w:link w:val="52"/>
    <w:qFormat/>
    <w:uiPriority w:val="9"/>
    <w:pPr>
      <w:keepNext/>
      <w:keepLines/>
      <w:spacing w:before="280" w:after="290" w:line="376" w:lineRule="auto"/>
      <w:outlineLvl w:val="4"/>
    </w:pPr>
    <w:rPr>
      <w:b/>
      <w:bCs/>
      <w:sz w:val="28"/>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character" w:default="1" w:styleId="34">
    <w:name w:val="Default Paragraph Font"/>
    <w:qFormat/>
    <w:uiPriority w:val="0"/>
    <w:rPr>
      <w:rFonts w:ascii="宋体" w:hAnsi="宋体" w:eastAsia="宋体"/>
      <w:sz w:val="21"/>
      <w:szCs w:val="21"/>
      <w:lang w:val="en-US" w:eastAsia="zh-CN" w:bidi="ar-SA"/>
    </w:rPr>
  </w:style>
  <w:style w:type="table" w:default="1" w:styleId="3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Normal Indent"/>
    <w:basedOn w:val="1"/>
    <w:link w:val="50"/>
    <w:qFormat/>
    <w:uiPriority w:val="0"/>
    <w:pPr>
      <w:ind w:firstLine="420"/>
    </w:pPr>
    <w:rPr>
      <w:rFonts w:eastAsia="宋体"/>
      <w:sz w:val="21"/>
      <w:lang w:val="en-US" w:eastAsia="zh-CN"/>
    </w:rPr>
  </w:style>
  <w:style w:type="paragraph" w:styleId="9">
    <w:name w:val="toc 7"/>
    <w:basedOn w:val="1"/>
    <w:next w:val="1"/>
    <w:qFormat/>
    <w:uiPriority w:val="39"/>
    <w:pPr>
      <w:spacing w:line="240" w:lineRule="auto"/>
      <w:ind w:left="2520" w:leftChars="1200"/>
    </w:pPr>
    <w:rPr>
      <w:rFonts w:ascii="Calibri" w:hAnsi="Calibri" w:eastAsia="宋体"/>
    </w:rPr>
  </w:style>
  <w:style w:type="paragraph" w:styleId="10">
    <w:name w:val="Document Map"/>
    <w:basedOn w:val="1"/>
    <w:link w:val="53"/>
    <w:unhideWhenUsed/>
    <w:qFormat/>
    <w:uiPriority w:val="0"/>
    <w:rPr>
      <w:rFonts w:ascii="宋体"/>
      <w:sz w:val="18"/>
      <w:szCs w:val="18"/>
    </w:rPr>
  </w:style>
  <w:style w:type="paragraph" w:styleId="11">
    <w:name w:val="annotation text"/>
    <w:basedOn w:val="1"/>
    <w:link w:val="54"/>
    <w:qFormat/>
    <w:uiPriority w:val="99"/>
    <w:pPr>
      <w:jc w:val="left"/>
    </w:pPr>
  </w:style>
  <w:style w:type="paragraph" w:styleId="12">
    <w:name w:val="Body Text"/>
    <w:basedOn w:val="1"/>
    <w:link w:val="45"/>
    <w:unhideWhenUsed/>
    <w:qFormat/>
    <w:uiPriority w:val="99"/>
    <w:pPr>
      <w:spacing w:after="120"/>
    </w:pPr>
  </w:style>
  <w:style w:type="paragraph" w:styleId="13">
    <w:name w:val="Body Text Indent"/>
    <w:basedOn w:val="1"/>
    <w:link w:val="55"/>
    <w:qFormat/>
    <w:uiPriority w:val="0"/>
    <w:pPr>
      <w:spacing w:after="120" w:afterLines="0" w:afterAutospacing="0"/>
      <w:ind w:left="420" w:leftChars="200"/>
    </w:pPr>
  </w:style>
  <w:style w:type="paragraph" w:styleId="14">
    <w:name w:val="toc 5"/>
    <w:basedOn w:val="1"/>
    <w:next w:val="1"/>
    <w:qFormat/>
    <w:uiPriority w:val="39"/>
    <w:pPr>
      <w:spacing w:line="240" w:lineRule="auto"/>
      <w:ind w:left="1680" w:leftChars="800"/>
    </w:pPr>
    <w:rPr>
      <w:rFonts w:ascii="Calibri" w:hAnsi="Calibri" w:eastAsia="宋体"/>
    </w:rPr>
  </w:style>
  <w:style w:type="paragraph" w:styleId="15">
    <w:name w:val="toc 3"/>
    <w:basedOn w:val="1"/>
    <w:next w:val="1"/>
    <w:qFormat/>
    <w:uiPriority w:val="39"/>
    <w:pPr>
      <w:ind w:left="840" w:leftChars="400"/>
    </w:pPr>
  </w:style>
  <w:style w:type="paragraph" w:styleId="16">
    <w:name w:val="Plain Text"/>
    <w:basedOn w:val="1"/>
    <w:link w:val="56"/>
    <w:qFormat/>
    <w:uiPriority w:val="0"/>
    <w:pPr>
      <w:spacing w:line="240" w:lineRule="auto"/>
    </w:pPr>
    <w:rPr>
      <w:rFonts w:ascii="宋体" w:hAnsi="Courier New"/>
    </w:rPr>
  </w:style>
  <w:style w:type="paragraph" w:styleId="17">
    <w:name w:val="toc 8"/>
    <w:basedOn w:val="1"/>
    <w:next w:val="1"/>
    <w:qFormat/>
    <w:uiPriority w:val="39"/>
    <w:pPr>
      <w:spacing w:line="240" w:lineRule="auto"/>
      <w:ind w:left="2940" w:leftChars="1400"/>
    </w:pPr>
    <w:rPr>
      <w:rFonts w:ascii="Calibri" w:hAnsi="Calibri" w:eastAsia="宋体"/>
    </w:rPr>
  </w:style>
  <w:style w:type="paragraph" w:styleId="18">
    <w:name w:val="Date"/>
    <w:basedOn w:val="1"/>
    <w:next w:val="1"/>
    <w:link w:val="57"/>
    <w:qFormat/>
    <w:uiPriority w:val="0"/>
    <w:pPr>
      <w:spacing w:line="240" w:lineRule="auto"/>
    </w:pPr>
    <w:rPr>
      <w:rFonts w:ascii="Times New Roman" w:hAnsi="Times New Roman"/>
      <w:sz w:val="24"/>
    </w:rPr>
  </w:style>
  <w:style w:type="paragraph" w:styleId="19">
    <w:name w:val="Body Text Indent 2"/>
    <w:basedOn w:val="1"/>
    <w:link w:val="58"/>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59"/>
    <w:qFormat/>
    <w:uiPriority w:val="0"/>
    <w:rPr>
      <w:sz w:val="18"/>
    </w:rPr>
  </w:style>
  <w:style w:type="paragraph" w:styleId="21">
    <w:name w:val="footer"/>
    <w:basedOn w:val="1"/>
    <w:link w:val="60"/>
    <w:qFormat/>
    <w:uiPriority w:val="0"/>
    <w:pPr>
      <w:tabs>
        <w:tab w:val="center" w:pos="4153"/>
        <w:tab w:val="right" w:pos="8306"/>
      </w:tabs>
      <w:snapToGrid w:val="0"/>
      <w:jc w:val="left"/>
    </w:pPr>
    <w:rPr>
      <w:sz w:val="18"/>
    </w:rPr>
  </w:style>
  <w:style w:type="paragraph" w:styleId="22">
    <w:name w:val="header"/>
    <w:basedOn w:val="1"/>
    <w:link w:val="6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3">
    <w:name w:val="toc 1"/>
    <w:basedOn w:val="1"/>
    <w:next w:val="1"/>
    <w:qFormat/>
    <w:uiPriority w:val="39"/>
  </w:style>
  <w:style w:type="paragraph" w:styleId="24">
    <w:name w:val="toc 4"/>
    <w:basedOn w:val="1"/>
    <w:next w:val="1"/>
    <w:qFormat/>
    <w:uiPriority w:val="39"/>
    <w:pPr>
      <w:spacing w:line="240" w:lineRule="auto"/>
      <w:ind w:left="1260" w:leftChars="600"/>
    </w:pPr>
    <w:rPr>
      <w:rFonts w:ascii="Calibri" w:hAnsi="Calibri" w:eastAsia="宋体"/>
    </w:rPr>
  </w:style>
  <w:style w:type="paragraph" w:styleId="25">
    <w:name w:val="List"/>
    <w:basedOn w:val="1"/>
    <w:qFormat/>
    <w:uiPriority w:val="0"/>
    <w:pPr>
      <w:tabs>
        <w:tab w:val="left" w:pos="960"/>
      </w:tabs>
      <w:adjustRightInd w:val="0"/>
      <w:snapToGrid w:val="0"/>
      <w:spacing w:line="360" w:lineRule="auto"/>
      <w:ind w:left="960" w:hanging="420" w:firstLineChars="200"/>
    </w:pPr>
    <w:rPr>
      <w:bCs/>
      <w:kern w:val="0"/>
      <w:sz w:val="24"/>
    </w:rPr>
  </w:style>
  <w:style w:type="paragraph" w:styleId="26">
    <w:name w:val="toc 6"/>
    <w:basedOn w:val="1"/>
    <w:next w:val="1"/>
    <w:qFormat/>
    <w:uiPriority w:val="39"/>
    <w:pPr>
      <w:spacing w:line="240" w:lineRule="auto"/>
      <w:ind w:left="2100" w:leftChars="1000"/>
    </w:pPr>
    <w:rPr>
      <w:rFonts w:ascii="Calibri" w:hAnsi="Calibri" w:eastAsia="宋体"/>
    </w:rPr>
  </w:style>
  <w:style w:type="paragraph" w:styleId="27">
    <w:name w:val="Body Text Indent 3"/>
    <w:basedOn w:val="1"/>
    <w:link w:val="62"/>
    <w:unhideWhenUsed/>
    <w:qFormat/>
    <w:uiPriority w:val="99"/>
    <w:pPr>
      <w:spacing w:after="120"/>
      <w:ind w:left="420" w:leftChars="200"/>
    </w:pPr>
    <w:rPr>
      <w:sz w:val="16"/>
      <w:szCs w:val="16"/>
    </w:rPr>
  </w:style>
  <w:style w:type="paragraph" w:styleId="28">
    <w:name w:val="toc 2"/>
    <w:basedOn w:val="1"/>
    <w:next w:val="1"/>
    <w:qFormat/>
    <w:uiPriority w:val="39"/>
    <w:pPr>
      <w:ind w:left="420" w:leftChars="200"/>
    </w:pPr>
  </w:style>
  <w:style w:type="paragraph" w:styleId="29">
    <w:name w:val="toc 9"/>
    <w:basedOn w:val="1"/>
    <w:next w:val="1"/>
    <w:qFormat/>
    <w:uiPriority w:val="39"/>
    <w:pPr>
      <w:spacing w:line="240" w:lineRule="auto"/>
      <w:ind w:left="3360" w:leftChars="1600"/>
    </w:pPr>
    <w:rPr>
      <w:rFonts w:ascii="Calibri" w:hAnsi="Calibri" w:eastAsia="宋体"/>
    </w:rPr>
  </w:style>
  <w:style w:type="paragraph" w:styleId="30">
    <w:name w:val="Normal (Web)"/>
    <w:basedOn w:val="1"/>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1">
    <w:name w:val="annotation subject"/>
    <w:basedOn w:val="11"/>
    <w:next w:val="11"/>
    <w:link w:val="63"/>
    <w:qFormat/>
    <w:uiPriority w:val="0"/>
    <w:rPr>
      <w:b/>
    </w:rPr>
  </w:style>
  <w:style w:type="table" w:styleId="33">
    <w:name w:val="Table Grid"/>
    <w:basedOn w:val="3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Strong"/>
    <w:qFormat/>
    <w:uiPriority w:val="22"/>
    <w:rPr>
      <w:rFonts w:ascii="宋体" w:hAnsi="宋体" w:eastAsia="宋体"/>
      <w:b/>
      <w:sz w:val="21"/>
      <w:szCs w:val="21"/>
      <w:lang w:val="en-US" w:eastAsia="zh-CN" w:bidi="ar-SA"/>
    </w:rPr>
  </w:style>
  <w:style w:type="character" w:styleId="36">
    <w:name w:val="page number"/>
    <w:qFormat/>
    <w:uiPriority w:val="0"/>
    <w:rPr>
      <w:lang w:val="en-US" w:eastAsia="zh-CN" w:bidi="ar-SA"/>
    </w:rPr>
  </w:style>
  <w:style w:type="character" w:styleId="37">
    <w:name w:val="FollowedHyperlink"/>
    <w:unhideWhenUsed/>
    <w:qFormat/>
    <w:uiPriority w:val="99"/>
    <w:rPr>
      <w:rFonts w:ascii="宋体" w:hAnsi="宋体" w:eastAsia="宋体"/>
      <w:color w:val="333333"/>
      <w:sz w:val="21"/>
      <w:szCs w:val="21"/>
      <w:u w:val="none"/>
      <w:lang w:val="en-US" w:eastAsia="zh-CN" w:bidi="ar-SA"/>
    </w:rPr>
  </w:style>
  <w:style w:type="character" w:styleId="38">
    <w:name w:val="Emphasis"/>
    <w:qFormat/>
    <w:uiPriority w:val="20"/>
    <w:rPr>
      <w:rFonts w:ascii="宋体" w:hAnsi="宋体" w:eastAsia="宋体"/>
      <w:sz w:val="21"/>
      <w:szCs w:val="21"/>
      <w:shd w:val="clear" w:color="auto" w:fill="5BC0DE"/>
      <w:lang w:val="en-US" w:eastAsia="zh-CN" w:bidi="ar-SA"/>
    </w:rPr>
  </w:style>
  <w:style w:type="character" w:styleId="39">
    <w:name w:val="HTML Definition"/>
    <w:unhideWhenUsed/>
    <w:qFormat/>
    <w:uiPriority w:val="99"/>
    <w:rPr>
      <w:rFonts w:ascii="宋体" w:hAnsi="宋体" w:eastAsia="宋体"/>
      <w:i/>
      <w:sz w:val="21"/>
      <w:szCs w:val="21"/>
      <w:lang w:val="en-US" w:eastAsia="zh-CN" w:bidi="ar-SA"/>
    </w:rPr>
  </w:style>
  <w:style w:type="character" w:styleId="40">
    <w:name w:val="Hyperlink"/>
    <w:qFormat/>
    <w:uiPriority w:val="99"/>
    <w:rPr>
      <w:color w:val="0563C1"/>
      <w:u w:val="single"/>
    </w:rPr>
  </w:style>
  <w:style w:type="character" w:styleId="41">
    <w:name w:val="HTML Code"/>
    <w:unhideWhenUsed/>
    <w:qFormat/>
    <w:uiPriority w:val="99"/>
    <w:rPr>
      <w:rFonts w:ascii="Monaco" w:hAnsi="Monaco" w:eastAsia="Monaco" w:cs="Monaco"/>
      <w:color w:val="C7254E"/>
      <w:sz w:val="21"/>
      <w:szCs w:val="21"/>
      <w:shd w:val="clear" w:color="auto" w:fill="F9F2F4"/>
      <w:lang w:val="en-US" w:eastAsia="zh-CN" w:bidi="ar-SA"/>
    </w:rPr>
  </w:style>
  <w:style w:type="character" w:styleId="42">
    <w:name w:val="annotation reference"/>
    <w:qFormat/>
    <w:uiPriority w:val="0"/>
    <w:rPr>
      <w:sz w:val="21"/>
    </w:rPr>
  </w:style>
  <w:style w:type="character" w:styleId="43">
    <w:name w:val="HTML Keyboard"/>
    <w:unhideWhenUsed/>
    <w:qFormat/>
    <w:uiPriority w:val="99"/>
    <w:rPr>
      <w:rFonts w:hint="default" w:ascii="Monaco" w:hAnsi="Monaco" w:eastAsia="Monaco" w:cs="Monaco"/>
      <w:color w:val="FFFFFF"/>
      <w:sz w:val="21"/>
      <w:szCs w:val="21"/>
      <w:shd w:val="clear" w:color="auto" w:fill="333333"/>
      <w:lang w:val="en-US" w:eastAsia="zh-CN" w:bidi="ar-SA"/>
    </w:rPr>
  </w:style>
  <w:style w:type="character" w:styleId="44">
    <w:name w:val="HTML Sample"/>
    <w:unhideWhenUsed/>
    <w:qFormat/>
    <w:uiPriority w:val="99"/>
    <w:rPr>
      <w:rFonts w:hint="default" w:ascii="Monaco" w:hAnsi="Monaco" w:eastAsia="Monaco" w:cs="Monaco"/>
      <w:sz w:val="21"/>
      <w:szCs w:val="21"/>
      <w:lang w:val="en-US" w:eastAsia="zh-CN" w:bidi="ar-SA"/>
    </w:rPr>
  </w:style>
  <w:style w:type="character" w:customStyle="1" w:styleId="45">
    <w:name w:val="正文文本 字符"/>
    <w:link w:val="12"/>
    <w:semiHidden/>
    <w:qFormat/>
    <w:uiPriority w:val="99"/>
    <w:rPr>
      <w:kern w:val="2"/>
      <w:sz w:val="21"/>
    </w:rPr>
  </w:style>
  <w:style w:type="character" w:customStyle="1" w:styleId="46">
    <w:name w:val="标题 1 字符"/>
    <w:link w:val="3"/>
    <w:qFormat/>
    <w:uiPriority w:val="0"/>
    <w:rPr>
      <w:rFonts w:eastAsia="仿宋"/>
      <w:b/>
      <w:kern w:val="44"/>
      <w:sz w:val="28"/>
    </w:rPr>
  </w:style>
  <w:style w:type="character" w:customStyle="1" w:styleId="47">
    <w:name w:val="标题 2 字符"/>
    <w:link w:val="4"/>
    <w:qFormat/>
    <w:uiPriority w:val="9"/>
    <w:rPr>
      <w:rFonts w:ascii="宋体" w:hAnsi="Arial" w:eastAsia="仿宋"/>
      <w:b/>
      <w:kern w:val="2"/>
      <w:sz w:val="24"/>
    </w:rPr>
  </w:style>
  <w:style w:type="paragraph" w:customStyle="1" w:styleId="48">
    <w:name w:val="标题 60"/>
    <w:basedOn w:val="8"/>
    <w:qFormat/>
    <w:uiPriority w:val="0"/>
    <w:pPr>
      <w:spacing w:line="319" w:lineRule="auto"/>
      <w:ind w:firstLine="200" w:firstLineChars="200"/>
    </w:pPr>
    <w:rPr>
      <w:b w:val="0"/>
      <w:bCs w:val="0"/>
    </w:rPr>
  </w:style>
  <w:style w:type="character" w:customStyle="1" w:styleId="49">
    <w:name w:val="标题 3 字符"/>
    <w:link w:val="5"/>
    <w:qFormat/>
    <w:uiPriority w:val="9"/>
    <w:rPr>
      <w:rFonts w:ascii="宋体" w:hAnsi="宋体" w:eastAsia="仿宋"/>
      <w:b/>
      <w:sz w:val="24"/>
      <w:szCs w:val="36"/>
    </w:rPr>
  </w:style>
  <w:style w:type="character" w:customStyle="1" w:styleId="50">
    <w:name w:val="正文缩进 字符"/>
    <w:link w:val="2"/>
    <w:qFormat/>
    <w:uiPriority w:val="0"/>
    <w:rPr>
      <w:kern w:val="2"/>
      <w:sz w:val="21"/>
    </w:rPr>
  </w:style>
  <w:style w:type="character" w:customStyle="1" w:styleId="51">
    <w:name w:val="标题 4 字符"/>
    <w:link w:val="6"/>
    <w:qFormat/>
    <w:uiPriority w:val="0"/>
    <w:rPr>
      <w:rFonts w:ascii="Cambria" w:hAnsi="Cambria" w:eastAsia="仿宋"/>
      <w:b/>
      <w:bCs/>
      <w:kern w:val="2"/>
      <w:sz w:val="24"/>
      <w:szCs w:val="28"/>
    </w:rPr>
  </w:style>
  <w:style w:type="character" w:customStyle="1" w:styleId="52">
    <w:name w:val="标题 5 字符"/>
    <w:link w:val="7"/>
    <w:semiHidden/>
    <w:qFormat/>
    <w:uiPriority w:val="9"/>
    <w:rPr>
      <w:b/>
      <w:bCs/>
      <w:kern w:val="2"/>
      <w:sz w:val="28"/>
      <w:szCs w:val="28"/>
    </w:rPr>
  </w:style>
  <w:style w:type="character" w:customStyle="1" w:styleId="53">
    <w:name w:val="文档结构图 字符"/>
    <w:link w:val="10"/>
    <w:semiHidden/>
    <w:qFormat/>
    <w:uiPriority w:val="0"/>
    <w:rPr>
      <w:rFonts w:ascii="宋体"/>
      <w:kern w:val="2"/>
      <w:sz w:val="18"/>
      <w:szCs w:val="18"/>
    </w:rPr>
  </w:style>
  <w:style w:type="character" w:customStyle="1" w:styleId="54">
    <w:name w:val="批注文字 字符1"/>
    <w:link w:val="11"/>
    <w:qFormat/>
    <w:uiPriority w:val="99"/>
    <w:rPr>
      <w:kern w:val="2"/>
      <w:sz w:val="21"/>
    </w:rPr>
  </w:style>
  <w:style w:type="character" w:customStyle="1" w:styleId="55">
    <w:name w:val="正文文本缩进 字符"/>
    <w:link w:val="13"/>
    <w:qFormat/>
    <w:uiPriority w:val="0"/>
    <w:rPr>
      <w:kern w:val="2"/>
      <w:sz w:val="21"/>
    </w:rPr>
  </w:style>
  <w:style w:type="character" w:customStyle="1" w:styleId="56">
    <w:name w:val="纯文本 字符"/>
    <w:link w:val="16"/>
    <w:qFormat/>
    <w:uiPriority w:val="0"/>
    <w:rPr>
      <w:rFonts w:ascii="宋体" w:hAnsi="Courier New"/>
      <w:kern w:val="2"/>
      <w:sz w:val="21"/>
    </w:rPr>
  </w:style>
  <w:style w:type="character" w:customStyle="1" w:styleId="57">
    <w:name w:val="日期 字符"/>
    <w:link w:val="18"/>
    <w:qFormat/>
    <w:uiPriority w:val="0"/>
    <w:rPr>
      <w:rFonts w:ascii="Times New Roman" w:hAnsi="Times New Roman" w:eastAsia="宋体"/>
      <w:kern w:val="2"/>
      <w:sz w:val="24"/>
      <w:szCs w:val="21"/>
      <w:lang w:val="en-US" w:eastAsia="zh-CN" w:bidi="ar-SA"/>
    </w:rPr>
  </w:style>
  <w:style w:type="character" w:customStyle="1" w:styleId="58">
    <w:name w:val="正文文本缩进 2 字符"/>
    <w:link w:val="19"/>
    <w:qFormat/>
    <w:uiPriority w:val="0"/>
    <w:rPr>
      <w:rFonts w:ascii="Arial" w:hAnsi="Arial"/>
      <w:kern w:val="28"/>
      <w:sz w:val="24"/>
      <w:lang w:eastAsia="en-US"/>
    </w:rPr>
  </w:style>
  <w:style w:type="character" w:customStyle="1" w:styleId="59">
    <w:name w:val="批注框文本 字符"/>
    <w:link w:val="20"/>
    <w:qFormat/>
    <w:uiPriority w:val="0"/>
    <w:rPr>
      <w:kern w:val="2"/>
      <w:sz w:val="18"/>
    </w:rPr>
  </w:style>
  <w:style w:type="character" w:customStyle="1" w:styleId="60">
    <w:name w:val="页脚 字符"/>
    <w:link w:val="21"/>
    <w:qFormat/>
    <w:uiPriority w:val="99"/>
    <w:rPr>
      <w:rFonts w:eastAsia="宋体"/>
      <w:kern w:val="2"/>
      <w:sz w:val="18"/>
      <w:lang w:val="en-US" w:eastAsia="zh-CN"/>
    </w:rPr>
  </w:style>
  <w:style w:type="character" w:customStyle="1" w:styleId="61">
    <w:name w:val="页眉 字符"/>
    <w:link w:val="22"/>
    <w:qFormat/>
    <w:uiPriority w:val="0"/>
    <w:rPr>
      <w:rFonts w:eastAsia="宋体"/>
      <w:kern w:val="2"/>
      <w:sz w:val="18"/>
      <w:lang w:val="en-US" w:eastAsia="zh-CN"/>
    </w:rPr>
  </w:style>
  <w:style w:type="character" w:customStyle="1" w:styleId="62">
    <w:name w:val="正文文本缩进 3 字符"/>
    <w:link w:val="27"/>
    <w:semiHidden/>
    <w:qFormat/>
    <w:uiPriority w:val="99"/>
    <w:rPr>
      <w:rFonts w:ascii="宋体" w:hAnsi="宋体" w:eastAsia="宋体"/>
      <w:kern w:val="2"/>
      <w:sz w:val="16"/>
      <w:szCs w:val="16"/>
      <w:lang w:val="en-US" w:eastAsia="zh-CN" w:bidi="ar-SA"/>
    </w:rPr>
  </w:style>
  <w:style w:type="character" w:customStyle="1" w:styleId="63">
    <w:name w:val="批注主题 字符"/>
    <w:link w:val="31"/>
    <w:qFormat/>
    <w:uiPriority w:val="0"/>
    <w:rPr>
      <w:b/>
      <w:kern w:val="2"/>
      <w:sz w:val="21"/>
    </w:rPr>
  </w:style>
  <w:style w:type="character" w:customStyle="1" w:styleId="64">
    <w:name w:val="next"/>
    <w:qFormat/>
    <w:uiPriority w:val="0"/>
    <w:rPr>
      <w:rFonts w:ascii="宋体" w:hAnsi="宋体" w:eastAsia="宋体"/>
      <w:color w:val="888888"/>
      <w:sz w:val="21"/>
      <w:szCs w:val="21"/>
      <w:lang w:val="en-US" w:eastAsia="zh-CN" w:bidi="ar-SA"/>
    </w:rPr>
  </w:style>
  <w:style w:type="character" w:customStyle="1" w:styleId="65">
    <w:name w:val="bd-open"/>
    <w:qFormat/>
    <w:uiPriority w:val="0"/>
    <w:rPr>
      <w:lang w:val="en-US" w:eastAsia="zh-CN" w:bidi="ar-SA"/>
    </w:rPr>
  </w:style>
  <w:style w:type="character" w:customStyle="1" w:styleId="66">
    <w:name w:val="样式1 字符"/>
    <w:link w:val="67"/>
    <w:qFormat/>
    <w:uiPriority w:val="0"/>
    <w:rPr>
      <w:rFonts w:ascii="宋体" w:hAnsi="宋体" w:eastAsia="宋体"/>
      <w:b/>
      <w:kern w:val="2"/>
      <w:sz w:val="21"/>
      <w:szCs w:val="21"/>
      <w:lang w:val="en-US" w:eastAsia="zh-CN" w:bidi="ar-SA"/>
    </w:rPr>
  </w:style>
  <w:style w:type="paragraph" w:customStyle="1" w:styleId="67">
    <w:name w:val="样式1"/>
    <w:basedOn w:val="1"/>
    <w:link w:val="66"/>
    <w:qFormat/>
    <w:uiPriority w:val="0"/>
    <w:pPr>
      <w:spacing w:before="19" w:beforeLines="19" w:after="19" w:afterLines="19" w:line="360" w:lineRule="auto"/>
      <w:ind w:firstLine="200" w:firstLineChars="200"/>
      <w:textAlignment w:val="baseline"/>
      <w:outlineLvl w:val="2"/>
    </w:pPr>
    <w:rPr>
      <w:b/>
    </w:rPr>
  </w:style>
  <w:style w:type="character" w:customStyle="1" w:styleId="68">
    <w:name w:val="15"/>
    <w:qFormat/>
    <w:uiPriority w:val="0"/>
    <w:rPr>
      <w:rFonts w:hint="default" w:ascii="Times New Roman" w:hAnsi="Times New Roman"/>
      <w:b/>
      <w:sz w:val="20"/>
    </w:rPr>
  </w:style>
  <w:style w:type="character" w:customStyle="1" w:styleId="69">
    <w:name w:val="文档结构图 Char"/>
    <w:qFormat/>
    <w:uiPriority w:val="0"/>
    <w:rPr>
      <w:rFonts w:ascii="宋体"/>
      <w:kern w:val="2"/>
      <w:sz w:val="18"/>
      <w:szCs w:val="18"/>
    </w:rPr>
  </w:style>
  <w:style w:type="character" w:customStyle="1" w:styleId="70">
    <w:name w:val="hover34"/>
    <w:qFormat/>
    <w:uiPriority w:val="0"/>
    <w:rPr>
      <w:rFonts w:ascii="宋体" w:hAnsi="宋体" w:eastAsia="宋体"/>
      <w:sz w:val="21"/>
      <w:szCs w:val="21"/>
      <w:shd w:val="clear" w:color="auto" w:fill="F3F3F3"/>
      <w:lang w:val="en-US" w:eastAsia="zh-CN" w:bidi="ar-SA"/>
    </w:rPr>
  </w:style>
  <w:style w:type="character" w:customStyle="1" w:styleId="71">
    <w:name w:val="tmpztreemove_arrow"/>
    <w:qFormat/>
    <w:uiPriority w:val="0"/>
    <w:rPr>
      <w:rFonts w:ascii="宋体" w:hAnsi="宋体" w:eastAsia="宋体"/>
      <w:sz w:val="21"/>
      <w:szCs w:val="21"/>
      <w:lang w:val="en-US" w:eastAsia="zh-CN" w:bidi="ar-SA"/>
    </w:rPr>
  </w:style>
  <w:style w:type="character" w:customStyle="1" w:styleId="72">
    <w:name w:val="_Style 71"/>
    <w:qFormat/>
    <w:uiPriority w:val="21"/>
    <w:rPr>
      <w:rFonts w:ascii="宋体" w:hAnsi="宋体" w:eastAsia="宋体"/>
      <w:b/>
      <w:bCs/>
      <w:i/>
      <w:iCs/>
      <w:color w:val="4F81BD"/>
      <w:sz w:val="21"/>
      <w:szCs w:val="21"/>
      <w:lang w:val="en-US" w:eastAsia="zh-CN" w:bidi="ar-SA"/>
    </w:rPr>
  </w:style>
  <w:style w:type="character" w:customStyle="1" w:styleId="73">
    <w:name w:val="标题 4 Char"/>
    <w:semiHidden/>
    <w:qFormat/>
    <w:uiPriority w:val="0"/>
    <w:rPr>
      <w:rFonts w:ascii="Calibri Light" w:hAnsi="Calibri Light" w:eastAsia="宋体" w:cs="Times New Roman"/>
      <w:b/>
      <w:bCs/>
      <w:kern w:val="2"/>
      <w:sz w:val="28"/>
      <w:szCs w:val="28"/>
    </w:rPr>
  </w:style>
  <w:style w:type="character" w:customStyle="1" w:styleId="74">
    <w:name w:val="right"/>
    <w:qFormat/>
    <w:uiPriority w:val="0"/>
    <w:rPr>
      <w:lang w:val="en-US" w:eastAsia="zh-CN" w:bidi="ar-SA"/>
    </w:rPr>
  </w:style>
  <w:style w:type="character" w:customStyle="1" w:styleId="75">
    <w:name w:val="font31"/>
    <w:qFormat/>
    <w:uiPriority w:val="0"/>
    <w:rPr>
      <w:rFonts w:hint="eastAsia" w:ascii="仿宋" w:hAnsi="仿宋" w:eastAsia="仿宋" w:cs="仿宋"/>
      <w:color w:val="000000"/>
      <w:sz w:val="20"/>
      <w:szCs w:val="20"/>
      <w:u w:val="none"/>
      <w:lang w:val="en-US" w:eastAsia="zh-CN" w:bidi="ar-SA"/>
    </w:rPr>
  </w:style>
  <w:style w:type="character" w:customStyle="1" w:styleId="76">
    <w:name w:val="Plain Text Char1"/>
    <w:link w:val="77"/>
    <w:qFormat/>
    <w:uiPriority w:val="0"/>
    <w:rPr>
      <w:rFonts w:ascii="宋体" w:hAnsi="Courier New" w:cs="宋体"/>
      <w:szCs w:val="21"/>
    </w:rPr>
  </w:style>
  <w:style w:type="paragraph" w:customStyle="1" w:styleId="77">
    <w:name w:val="纯文本1"/>
    <w:basedOn w:val="1"/>
    <w:link w:val="76"/>
    <w:qFormat/>
    <w:uiPriority w:val="0"/>
    <w:pPr>
      <w:spacing w:line="240" w:lineRule="auto"/>
    </w:pPr>
    <w:rPr>
      <w:rFonts w:ascii="宋体" w:hAnsi="Courier New"/>
      <w:kern w:val="0"/>
      <w:sz w:val="20"/>
      <w:szCs w:val="21"/>
    </w:rPr>
  </w:style>
  <w:style w:type="character" w:customStyle="1" w:styleId="78">
    <w:name w:val="bd-close"/>
    <w:qFormat/>
    <w:uiPriority w:val="0"/>
    <w:rPr>
      <w:rFonts w:ascii="宋体" w:hAnsi="宋体" w:eastAsia="宋体"/>
      <w:vanish/>
      <w:sz w:val="21"/>
      <w:szCs w:val="21"/>
      <w:lang w:val="en-US" w:eastAsia="zh-CN" w:bidi="ar-SA"/>
    </w:rPr>
  </w:style>
  <w:style w:type="character" w:customStyle="1" w:styleId="79">
    <w:name w:val="ISMS-封面-内容"/>
    <w:qFormat/>
    <w:uiPriority w:val="0"/>
    <w:rPr>
      <w:rFonts w:ascii="宋体" w:hAnsi="宋体"/>
      <w:sz w:val="21"/>
    </w:rPr>
  </w:style>
  <w:style w:type="character" w:customStyle="1" w:styleId="80">
    <w:name w:val="批注框文本 Char"/>
    <w:qFormat/>
    <w:uiPriority w:val="0"/>
    <w:rPr>
      <w:kern w:val="2"/>
      <w:sz w:val="18"/>
      <w:szCs w:val="18"/>
    </w:rPr>
  </w:style>
  <w:style w:type="character" w:customStyle="1" w:styleId="81">
    <w:name w:val="hover35"/>
    <w:qFormat/>
    <w:uiPriority w:val="0"/>
    <w:rPr>
      <w:rFonts w:ascii="宋体" w:hAnsi="宋体" w:eastAsia="宋体"/>
      <w:sz w:val="21"/>
      <w:szCs w:val="21"/>
      <w:shd w:val="clear" w:color="auto" w:fill="F3F3F3"/>
      <w:lang w:val="en-US" w:eastAsia="zh-CN" w:bidi="ar-SA"/>
    </w:rPr>
  </w:style>
  <w:style w:type="character" w:customStyle="1" w:styleId="82">
    <w:name w:val="button"/>
    <w:qFormat/>
    <w:uiPriority w:val="0"/>
    <w:rPr>
      <w:rFonts w:ascii="宋体" w:hAnsi="宋体" w:eastAsia="宋体"/>
      <w:sz w:val="21"/>
      <w:szCs w:val="21"/>
      <w:lang w:val="en-US" w:eastAsia="zh-CN" w:bidi="ar-SA"/>
    </w:rPr>
  </w:style>
  <w:style w:type="character" w:customStyle="1" w:styleId="83">
    <w:name w:val="gpa"/>
    <w:qFormat/>
    <w:uiPriority w:val="0"/>
    <w:rPr>
      <w:rFonts w:ascii="Arial" w:hAnsi="Arial" w:eastAsia="宋体" w:cs="Arial"/>
      <w:sz w:val="15"/>
      <w:szCs w:val="15"/>
      <w:lang w:val="en-US" w:eastAsia="zh-CN" w:bidi="ar-SA"/>
    </w:rPr>
  </w:style>
  <w:style w:type="character" w:customStyle="1" w:styleId="84">
    <w:name w:val="标题 2 Char"/>
    <w:qFormat/>
    <w:uiPriority w:val="0"/>
    <w:rPr>
      <w:rFonts w:ascii="Arial" w:hAnsi="Arial" w:eastAsia="黑体"/>
      <w:b/>
      <w:bCs/>
      <w:sz w:val="32"/>
      <w:szCs w:val="32"/>
    </w:rPr>
  </w:style>
  <w:style w:type="character" w:customStyle="1" w:styleId="85">
    <w:name w:val="列出段落 Char"/>
    <w:link w:val="86"/>
    <w:qFormat/>
    <w:uiPriority w:val="34"/>
    <w:rPr>
      <w:rFonts w:ascii="Times New Roman" w:hAnsi="Times New Roman" w:eastAsia="宋体" w:cs="Times New Roman"/>
      <w:szCs w:val="24"/>
    </w:rPr>
  </w:style>
  <w:style w:type="paragraph" w:customStyle="1" w:styleId="86">
    <w:name w:val="_Style 128"/>
    <w:basedOn w:val="1"/>
    <w:next w:val="87"/>
    <w:link w:val="85"/>
    <w:qFormat/>
    <w:uiPriority w:val="34"/>
    <w:pPr>
      <w:widowControl/>
      <w:spacing w:line="240" w:lineRule="auto"/>
      <w:ind w:firstLine="420"/>
    </w:pPr>
    <w:rPr>
      <w:kern w:val="0"/>
      <w:sz w:val="20"/>
      <w:szCs w:val="24"/>
    </w:rPr>
  </w:style>
  <w:style w:type="paragraph" w:styleId="87">
    <w:name w:val="List Paragraph"/>
    <w:basedOn w:val="1"/>
    <w:link w:val="88"/>
    <w:qFormat/>
    <w:uiPriority w:val="34"/>
    <w:pPr>
      <w:spacing w:line="240" w:lineRule="auto"/>
      <w:ind w:firstLine="420" w:firstLineChars="200"/>
    </w:pPr>
    <w:rPr>
      <w:szCs w:val="24"/>
    </w:rPr>
  </w:style>
  <w:style w:type="character" w:customStyle="1" w:styleId="88">
    <w:name w:val="列表段落 字符"/>
    <w:link w:val="87"/>
    <w:qFormat/>
    <w:uiPriority w:val="34"/>
    <w:rPr>
      <w:kern w:val="2"/>
      <w:sz w:val="21"/>
      <w:szCs w:val="24"/>
    </w:rPr>
  </w:style>
  <w:style w:type="character" w:customStyle="1" w:styleId="89">
    <w:name w:val="批注主题 Char"/>
    <w:qFormat/>
    <w:uiPriority w:val="0"/>
    <w:rPr>
      <w:b/>
      <w:bCs/>
      <w:kern w:val="2"/>
      <w:sz w:val="21"/>
      <w:szCs w:val="24"/>
    </w:rPr>
  </w:style>
  <w:style w:type="character" w:customStyle="1" w:styleId="90">
    <w:name w:val="标题3 Char"/>
    <w:link w:val="91"/>
    <w:qFormat/>
    <w:uiPriority w:val="0"/>
    <w:rPr>
      <w:rFonts w:ascii="黑体" w:hAnsi="Arial" w:eastAsia="黑体"/>
      <w:b/>
      <w:kern w:val="2"/>
      <w:sz w:val="24"/>
    </w:rPr>
  </w:style>
  <w:style w:type="paragraph" w:customStyle="1" w:styleId="91">
    <w:name w:val="标题3"/>
    <w:basedOn w:val="4"/>
    <w:next w:val="2"/>
    <w:link w:val="90"/>
    <w:qFormat/>
    <w:uiPriority w:val="0"/>
    <w:pPr>
      <w:spacing w:before="156" w:beforeLines="50" w:beforeAutospacing="0" w:after="156" w:afterLines="50" w:afterAutospacing="0" w:line="440" w:lineRule="exact"/>
      <w:jc w:val="left"/>
      <w:outlineLvl w:val="2"/>
    </w:pPr>
    <w:rPr>
      <w:rFonts w:ascii="黑体" w:eastAsia="黑体"/>
      <w:b w:val="0"/>
      <w:sz w:val="24"/>
    </w:rPr>
  </w:style>
  <w:style w:type="character" w:customStyle="1" w:styleId="92">
    <w:name w:val="left2"/>
    <w:qFormat/>
    <w:uiPriority w:val="0"/>
    <w:rPr>
      <w:rFonts w:ascii="宋体" w:hAnsi="宋体" w:eastAsia="宋体"/>
      <w:color w:val="FF4700"/>
      <w:sz w:val="21"/>
      <w:szCs w:val="21"/>
      <w:lang w:val="en-US" w:eastAsia="zh-CN" w:bidi="ar-SA"/>
    </w:rPr>
  </w:style>
  <w:style w:type="character" w:customStyle="1" w:styleId="93">
    <w:name w:val="prev2"/>
    <w:qFormat/>
    <w:uiPriority w:val="0"/>
    <w:rPr>
      <w:rFonts w:ascii="宋体" w:hAnsi="宋体" w:eastAsia="宋体"/>
      <w:color w:val="888888"/>
      <w:sz w:val="21"/>
      <w:szCs w:val="21"/>
      <w:lang w:val="en-US" w:eastAsia="zh-CN" w:bidi="ar-SA"/>
    </w:rPr>
  </w:style>
  <w:style w:type="character" w:customStyle="1" w:styleId="94">
    <w:name w:val="批注文字 Char"/>
    <w:qFormat/>
    <w:uiPriority w:val="99"/>
    <w:rPr>
      <w:kern w:val="2"/>
      <w:sz w:val="21"/>
    </w:rPr>
  </w:style>
  <w:style w:type="character" w:customStyle="1" w:styleId="95">
    <w:name w:val="ISMS-封面-标题 Char"/>
    <w:link w:val="96"/>
    <w:qFormat/>
    <w:uiPriority w:val="0"/>
    <w:rPr>
      <w:b/>
      <w:bCs/>
      <w:kern w:val="2"/>
      <w:sz w:val="52"/>
      <w:szCs w:val="52"/>
    </w:rPr>
  </w:style>
  <w:style w:type="paragraph" w:customStyle="1" w:styleId="96">
    <w:name w:val="ISMS-封面-标题"/>
    <w:basedOn w:val="1"/>
    <w:link w:val="95"/>
    <w:qFormat/>
    <w:uiPriority w:val="0"/>
    <w:pPr>
      <w:spacing w:line="240" w:lineRule="auto"/>
      <w:jc w:val="center"/>
    </w:pPr>
    <w:rPr>
      <w:b/>
      <w:bCs/>
      <w:sz w:val="52"/>
      <w:szCs w:val="52"/>
    </w:rPr>
  </w:style>
  <w:style w:type="character" w:customStyle="1" w:styleId="97">
    <w:name w:val="layui-layer-tabnow"/>
    <w:qFormat/>
    <w:uiPriority w:val="0"/>
    <w:rPr>
      <w:rFonts w:ascii="宋体" w:hAnsi="宋体" w:eastAsia="宋体"/>
      <w:sz w:val="21"/>
      <w:szCs w:val="21"/>
      <w:bdr w:val="single" w:color="CCCCCC" w:sz="6" w:space="0"/>
      <w:shd w:val="clear" w:color="auto" w:fill="FFFFFF"/>
      <w:lang w:val="en-US" w:eastAsia="zh-CN" w:bidi="ar-SA"/>
    </w:rPr>
  </w:style>
  <w:style w:type="character" w:customStyle="1" w:styleId="98">
    <w:name w:val="inf"/>
    <w:qFormat/>
    <w:uiPriority w:val="0"/>
    <w:rPr>
      <w:rFonts w:ascii="宋体" w:hAnsi="宋体" w:eastAsia="宋体"/>
      <w:color w:val="333333"/>
      <w:sz w:val="18"/>
      <w:szCs w:val="18"/>
      <w:shd w:val="clear" w:color="auto" w:fill="EEEEEE"/>
      <w:lang w:val="en-US" w:eastAsia="zh-CN" w:bidi="ar-SA"/>
    </w:rPr>
  </w:style>
  <w:style w:type="character" w:customStyle="1" w:styleId="99">
    <w:name w:val="first-child"/>
    <w:qFormat/>
    <w:uiPriority w:val="0"/>
    <w:rPr>
      <w:rFonts w:ascii="宋体" w:hAnsi="宋体" w:eastAsia="宋体"/>
      <w:sz w:val="21"/>
      <w:szCs w:val="21"/>
      <w:lang w:val="en-US" w:eastAsia="zh-CN" w:bidi="ar-SA"/>
    </w:rPr>
  </w:style>
  <w:style w:type="character" w:customStyle="1" w:styleId="100">
    <w:name w:val="left"/>
    <w:qFormat/>
    <w:uiPriority w:val="0"/>
    <w:rPr>
      <w:rFonts w:ascii="宋体" w:hAnsi="宋体" w:eastAsia="宋体"/>
      <w:color w:val="FF4700"/>
      <w:sz w:val="21"/>
      <w:szCs w:val="21"/>
      <w:lang w:val="en-US" w:eastAsia="zh-CN" w:bidi="ar-SA"/>
    </w:rPr>
  </w:style>
  <w:style w:type="character" w:customStyle="1" w:styleId="101">
    <w:name w:val="font11"/>
    <w:qFormat/>
    <w:uiPriority w:val="0"/>
    <w:rPr>
      <w:rFonts w:hint="eastAsia" w:ascii="仿宋" w:hAnsi="仿宋" w:eastAsia="仿宋" w:cs="仿宋"/>
      <w:color w:val="FF0000"/>
      <w:sz w:val="20"/>
      <w:szCs w:val="20"/>
      <w:u w:val="none"/>
      <w:lang w:val="en-US" w:eastAsia="zh-CN" w:bidi="ar-SA"/>
    </w:rPr>
  </w:style>
  <w:style w:type="character" w:customStyle="1" w:styleId="102">
    <w:name w:val="列出段落 Char1"/>
    <w:link w:val="103"/>
    <w:qFormat/>
    <w:uiPriority w:val="34"/>
    <w:rPr>
      <w:kern w:val="2"/>
      <w:sz w:val="21"/>
      <w:szCs w:val="24"/>
    </w:rPr>
  </w:style>
  <w:style w:type="paragraph" w:customStyle="1" w:styleId="103">
    <w:name w:val="_Style 126"/>
    <w:basedOn w:val="1"/>
    <w:next w:val="87"/>
    <w:link w:val="102"/>
    <w:qFormat/>
    <w:uiPriority w:val="34"/>
    <w:pPr>
      <w:spacing w:line="240" w:lineRule="auto"/>
      <w:ind w:firstLine="420" w:firstLineChars="200"/>
    </w:pPr>
    <w:rPr>
      <w:szCs w:val="24"/>
    </w:rPr>
  </w:style>
  <w:style w:type="character" w:customStyle="1" w:styleId="104">
    <w:name w:val="正文文本 2 Char1"/>
    <w:qFormat/>
    <w:uiPriority w:val="99"/>
    <w:rPr>
      <w:rFonts w:ascii="Times New Roman" w:hAnsi="Times New Roman" w:eastAsia="宋体" w:cs="Times New Roman"/>
      <w:sz w:val="21"/>
      <w:szCs w:val="24"/>
      <w:lang w:val="en-US" w:eastAsia="zh-CN" w:bidi="ar-SA"/>
    </w:rPr>
  </w:style>
  <w:style w:type="character" w:customStyle="1" w:styleId="105">
    <w:name w:val="selected"/>
    <w:qFormat/>
    <w:uiPriority w:val="0"/>
    <w:rPr>
      <w:rFonts w:ascii="宋体" w:hAnsi="宋体" w:eastAsia="宋体"/>
      <w:sz w:val="21"/>
      <w:szCs w:val="21"/>
      <w:shd w:val="clear" w:color="auto" w:fill="B00006"/>
      <w:lang w:val="en-US" w:eastAsia="zh-CN" w:bidi="ar-SA"/>
    </w:rPr>
  </w:style>
  <w:style w:type="character" w:customStyle="1" w:styleId="106">
    <w:name w:val="_Style 105"/>
    <w:unhideWhenUsed/>
    <w:qFormat/>
    <w:uiPriority w:val="99"/>
    <w:rPr>
      <w:rFonts w:ascii="宋体" w:hAnsi="宋体" w:eastAsia="宋体"/>
      <w:color w:val="605E5C"/>
      <w:sz w:val="21"/>
      <w:szCs w:val="21"/>
      <w:shd w:val="clear" w:color="auto" w:fill="E1DFDD"/>
      <w:lang w:val="en-US" w:eastAsia="zh-CN" w:bidi="ar-SA"/>
    </w:rPr>
  </w:style>
  <w:style w:type="character" w:customStyle="1" w:styleId="107">
    <w:name w:val="font01"/>
    <w:qFormat/>
    <w:uiPriority w:val="0"/>
    <w:rPr>
      <w:rFonts w:hint="eastAsia" w:ascii="仿宋" w:hAnsi="仿宋" w:eastAsia="仿宋" w:cs="仿宋"/>
      <w:color w:val="000000"/>
      <w:sz w:val="20"/>
      <w:szCs w:val="20"/>
      <w:u w:val="none"/>
      <w:lang w:val="en-US" w:eastAsia="zh-CN" w:bidi="ar-SA"/>
    </w:rPr>
  </w:style>
  <w:style w:type="character" w:customStyle="1" w:styleId="108">
    <w:name w:val="info7"/>
    <w:qFormat/>
    <w:uiPriority w:val="0"/>
    <w:rPr>
      <w:lang w:val="en-US" w:eastAsia="zh-CN" w:bidi="ar-SA"/>
    </w:rPr>
  </w:style>
  <w:style w:type="character" w:customStyle="1" w:styleId="109">
    <w:name w:val="hover36"/>
    <w:qFormat/>
    <w:uiPriority w:val="0"/>
    <w:rPr>
      <w:rFonts w:ascii="宋体" w:hAnsi="宋体" w:eastAsia="宋体"/>
      <w:sz w:val="21"/>
      <w:szCs w:val="21"/>
      <w:lang w:val="en-US" w:eastAsia="zh-CN" w:bidi="ar-SA"/>
    </w:rPr>
  </w:style>
  <w:style w:type="character" w:customStyle="1" w:styleId="110">
    <w:name w:val="批注文字 字符"/>
    <w:qFormat/>
    <w:uiPriority w:val="99"/>
    <w:rPr>
      <w:kern w:val="2"/>
      <w:sz w:val="21"/>
    </w:rPr>
  </w:style>
  <w:style w:type="paragraph" w:customStyle="1" w:styleId="111">
    <w:name w:val="p18"/>
    <w:basedOn w:val="1"/>
    <w:qFormat/>
    <w:uiPriority w:val="0"/>
    <w:pPr>
      <w:widowControl/>
      <w:spacing w:after="120" w:afterLines="0" w:afterAutospacing="0" w:line="240" w:lineRule="auto"/>
    </w:pPr>
    <w:rPr>
      <w:kern w:val="0"/>
    </w:rPr>
  </w:style>
  <w:style w:type="paragraph" w:customStyle="1" w:styleId="112">
    <w:name w:val="_Style 111"/>
    <w:basedOn w:val="1"/>
    <w:next w:val="1"/>
    <w:qFormat/>
    <w:uiPriority w:val="0"/>
    <w:pPr>
      <w:pBdr>
        <w:top w:val="single" w:color="auto" w:sz="6" w:space="1"/>
      </w:pBdr>
      <w:jc w:val="center"/>
    </w:pPr>
    <w:rPr>
      <w:rFonts w:ascii="Arial" w:eastAsia="宋体"/>
      <w:vanish/>
      <w:sz w:val="16"/>
    </w:rPr>
  </w:style>
  <w:style w:type="paragraph" w:customStyle="1" w:styleId="113">
    <w:name w:val="p0"/>
    <w:basedOn w:val="1"/>
    <w:qFormat/>
    <w:uiPriority w:val="0"/>
    <w:pPr>
      <w:widowControl/>
    </w:pPr>
    <w:rPr>
      <w:kern w:val="0"/>
    </w:rPr>
  </w:style>
  <w:style w:type="paragraph" w:customStyle="1" w:styleId="114">
    <w:name w:val="p15"/>
    <w:basedOn w:val="1"/>
    <w:qFormat/>
    <w:uiPriority w:val="0"/>
    <w:pPr>
      <w:widowControl/>
      <w:spacing w:line="240" w:lineRule="auto"/>
    </w:pPr>
    <w:rPr>
      <w:rFonts w:ascii="宋体" w:hAnsi="宋体"/>
      <w:kern w:val="0"/>
      <w:sz w:val="24"/>
    </w:rPr>
  </w:style>
  <w:style w:type="paragraph" w:customStyle="1" w:styleId="115">
    <w:name w:val="p19"/>
    <w:basedOn w:val="1"/>
    <w:qFormat/>
    <w:uiPriority w:val="0"/>
    <w:pPr>
      <w:widowControl/>
      <w:spacing w:line="240" w:lineRule="auto"/>
      <w:ind w:firstLine="420"/>
    </w:pPr>
    <w:rPr>
      <w:kern w:val="0"/>
      <w:sz w:val="24"/>
    </w:rPr>
  </w:style>
  <w:style w:type="paragraph" w:customStyle="1" w:styleId="116">
    <w:name w:val="正文缩进(ALT+Z)"/>
    <w:basedOn w:val="1"/>
    <w:qFormat/>
    <w:uiPriority w:val="0"/>
    <w:pPr>
      <w:spacing w:line="360" w:lineRule="auto"/>
      <w:ind w:firstLine="200" w:firstLineChars="200"/>
    </w:pPr>
    <w:rPr>
      <w:rFonts w:ascii="宋体" w:eastAsia="仿宋_GB2312"/>
      <w:sz w:val="24"/>
      <w:szCs w:val="24"/>
    </w:rPr>
  </w:style>
  <w:style w:type="paragraph" w:customStyle="1" w:styleId="117">
    <w:name w:val="Body Text 3"/>
    <w:basedOn w:val="1"/>
    <w:qFormat/>
    <w:uiPriority w:val="0"/>
    <w:rPr>
      <w:rFonts w:ascii="宋体"/>
      <w:sz w:val="24"/>
    </w:rPr>
  </w:style>
  <w:style w:type="paragraph" w:customStyle="1" w:styleId="118">
    <w:name w:val="p16"/>
    <w:basedOn w:val="1"/>
    <w:qFormat/>
    <w:uiPriority w:val="0"/>
    <w:pPr>
      <w:widowControl/>
      <w:spacing w:line="240" w:lineRule="auto"/>
    </w:pPr>
    <w:rPr>
      <w:rFonts w:ascii="宋体" w:hAnsi="宋体"/>
      <w:kern w:val="0"/>
      <w:sz w:val="24"/>
    </w:rPr>
  </w:style>
  <w:style w:type="paragraph" w:customStyle="1" w:styleId="119">
    <w:name w:val="1"/>
    <w:basedOn w:val="1"/>
    <w:next w:val="19"/>
    <w:qFormat/>
    <w:uiPriority w:val="0"/>
    <w:pPr>
      <w:spacing w:afterLines="50" w:line="360" w:lineRule="auto"/>
      <w:jc w:val="center"/>
    </w:pPr>
    <w:rPr>
      <w:rFonts w:ascii="宋体" w:hAnsi="宋体"/>
      <w:b/>
      <w:sz w:val="30"/>
    </w:rPr>
  </w:style>
  <w:style w:type="paragraph" w:customStyle="1" w:styleId="120">
    <w:name w:val="段"/>
    <w:qFormat/>
    <w:uiPriority w:val="0"/>
    <w:pPr>
      <w:autoSpaceDE w:val="0"/>
      <w:autoSpaceDN w:val="0"/>
      <w:ind w:firstLine="200" w:firstLineChars="200"/>
      <w:jc w:val="both"/>
    </w:pPr>
    <w:rPr>
      <w:rFonts w:ascii="宋体" w:hAnsi="Calibri" w:eastAsia="宋体" w:cs="Calibri"/>
      <w:sz w:val="21"/>
      <w:lang w:val="en-US" w:eastAsia="zh-CN" w:bidi="ar-SA"/>
    </w:rPr>
  </w:style>
  <w:style w:type="paragraph" w:customStyle="1" w:styleId="121">
    <w:name w:val="header"/>
    <w:basedOn w:val="1"/>
    <w:qFormat/>
    <w:uiPriority w:val="0"/>
    <w:pPr>
      <w:pBdr>
        <w:bottom w:val="single" w:color="auto" w:sz="6" w:space="1"/>
      </w:pBdr>
      <w:tabs>
        <w:tab w:val="center" w:pos="4153"/>
        <w:tab w:val="right" w:pos="8306"/>
      </w:tabs>
      <w:snapToGrid w:val="0"/>
      <w:jc w:val="center"/>
    </w:pPr>
    <w:rPr>
      <w:sz w:val="18"/>
    </w:rPr>
  </w:style>
  <w:style w:type="paragraph" w:customStyle="1" w:styleId="122">
    <w:name w:val="_Style 52"/>
    <w:basedOn w:val="1"/>
    <w:next w:val="87"/>
    <w:qFormat/>
    <w:uiPriority w:val="34"/>
    <w:pPr>
      <w:spacing w:line="240" w:lineRule="auto"/>
      <w:ind w:firstLine="420" w:firstLineChars="200"/>
    </w:pPr>
    <w:rPr>
      <w:szCs w:val="24"/>
    </w:rPr>
  </w:style>
  <w:style w:type="paragraph" w:styleId="123">
    <w:name w:val="No Spacing"/>
    <w:qFormat/>
    <w:uiPriority w:val="1"/>
    <w:pPr>
      <w:widowControl w:val="0"/>
      <w:jc w:val="both"/>
    </w:pPr>
    <w:rPr>
      <w:rFonts w:ascii="Calibri" w:hAnsi="Calibri" w:eastAsia="宋体" w:cs="Calibri"/>
      <w:kern w:val="2"/>
      <w:sz w:val="24"/>
      <w:lang w:val="en-US" w:eastAsia="zh-CN" w:bidi="ar-SA"/>
    </w:rPr>
  </w:style>
  <w:style w:type="paragraph" w:customStyle="1" w:styleId="124">
    <w:name w:val="1正文"/>
    <w:basedOn w:val="1"/>
    <w:qFormat/>
    <w:uiPriority w:val="0"/>
    <w:pPr>
      <w:spacing w:line="560" w:lineRule="exact"/>
      <w:ind w:firstLine="200" w:firstLineChars="200"/>
    </w:pPr>
    <w:rPr>
      <w:rFonts w:ascii="Times New Roman" w:hAnsi="Times New Roman" w:eastAsia="Cambria Math" w:cs="Times New Roman"/>
      <w:sz w:val="32"/>
      <w:szCs w:val="24"/>
    </w:rPr>
  </w:style>
  <w:style w:type="paragraph" w:customStyle="1" w:styleId="125">
    <w:name w:val="p17"/>
    <w:basedOn w:val="1"/>
    <w:qFormat/>
    <w:uiPriority w:val="0"/>
    <w:pPr>
      <w:widowControl/>
      <w:spacing w:line="240" w:lineRule="auto"/>
      <w:ind w:firstLine="420"/>
    </w:pPr>
    <w:rPr>
      <w:kern w:val="0"/>
    </w:rPr>
  </w:style>
  <w:style w:type="paragraph" w:customStyle="1" w:styleId="126">
    <w:name w:val="footer"/>
    <w:basedOn w:val="1"/>
    <w:qFormat/>
    <w:uiPriority w:val="0"/>
    <w:pPr>
      <w:tabs>
        <w:tab w:val="center" w:pos="4153"/>
        <w:tab w:val="right" w:pos="8306"/>
      </w:tabs>
      <w:snapToGrid w:val="0"/>
      <w:jc w:val="left"/>
    </w:pPr>
    <w:rPr>
      <w:sz w:val="18"/>
    </w:rPr>
  </w:style>
  <w:style w:type="paragraph" w:customStyle="1" w:styleId="127">
    <w:name w:val="正文1"/>
    <w:basedOn w:val="1"/>
    <w:qFormat/>
    <w:uiPriority w:val="0"/>
    <w:pPr>
      <w:spacing w:line="360" w:lineRule="auto"/>
      <w:ind w:firstLine="200" w:firstLineChars="200"/>
    </w:pPr>
    <w:rPr>
      <w:rFonts w:ascii="宋体" w:hAnsi="宋体" w:cs="微软雅黑"/>
      <w:szCs w:val="24"/>
    </w:rPr>
  </w:style>
  <w:style w:type="paragraph" w:customStyle="1" w:styleId="128">
    <w:name w:val="Char2 Char Char Char1 Char Char Char Char Char Char Char Char1 Char1 Char Char1 Char"/>
    <w:basedOn w:val="1"/>
    <w:qFormat/>
    <w:uiPriority w:val="0"/>
    <w:pPr>
      <w:spacing w:line="240" w:lineRule="auto"/>
    </w:pPr>
    <w:rPr>
      <w:rFonts w:ascii="宋体" w:hAnsi="宋体"/>
      <w:kern w:val="0"/>
      <w:szCs w:val="21"/>
    </w:rPr>
  </w:style>
  <w:style w:type="paragraph" w:customStyle="1" w:styleId="129">
    <w:name w:val="正文格式"/>
    <w:basedOn w:val="1"/>
    <w:qFormat/>
    <w:uiPriority w:val="0"/>
    <w:pPr>
      <w:spacing w:line="300" w:lineRule="auto"/>
      <w:ind w:firstLine="480" w:firstLineChars="200"/>
    </w:pPr>
    <w:rPr>
      <w:rFonts w:ascii="Calibri" w:hAnsi="Calibri" w:eastAsia="宋体" w:cs="宋体"/>
      <w:sz w:val="24"/>
      <w:szCs w:val="22"/>
    </w:rPr>
  </w:style>
  <w:style w:type="paragraph" w:customStyle="1" w:styleId="130">
    <w:name w:val="_Style 129"/>
    <w:semiHidden/>
    <w:qFormat/>
    <w:uiPriority w:val="99"/>
    <w:rPr>
      <w:rFonts w:ascii="Calibri" w:hAnsi="Calibri" w:eastAsia="宋体" w:cs="Calibri"/>
      <w:kern w:val="2"/>
      <w:sz w:val="21"/>
      <w:lang w:val="en-US" w:eastAsia="zh-CN" w:bidi="ar-SA"/>
    </w:rPr>
  </w:style>
  <w:style w:type="paragraph" w:customStyle="1" w:styleId="13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rPr>
  </w:style>
  <w:style w:type="paragraph" w:customStyle="1" w:styleId="132">
    <w:name w:val="图中文字"/>
    <w:basedOn w:val="1"/>
    <w:qFormat/>
    <w:uiPriority w:val="0"/>
    <w:pPr>
      <w:adjustRightInd w:val="0"/>
      <w:snapToGrid w:val="0"/>
      <w:spacing w:line="0" w:lineRule="atLeast"/>
      <w:jc w:val="center"/>
    </w:pPr>
  </w:style>
  <w:style w:type="paragraph" w:customStyle="1" w:styleId="133">
    <w:name w:val="_Style 132"/>
    <w:basedOn w:val="1"/>
    <w:next w:val="1"/>
    <w:qFormat/>
    <w:uiPriority w:val="0"/>
    <w:pPr>
      <w:pBdr>
        <w:bottom w:val="single" w:color="auto" w:sz="6" w:space="1"/>
      </w:pBdr>
      <w:jc w:val="center"/>
    </w:pPr>
    <w:rPr>
      <w:rFonts w:ascii="Arial" w:eastAsia="宋体"/>
      <w:vanish/>
      <w:sz w:val="16"/>
    </w:rPr>
  </w:style>
  <w:style w:type="paragraph" w:customStyle="1" w:styleId="134">
    <w:name w:val="正文00"/>
    <w:basedOn w:val="1"/>
    <w:qFormat/>
    <w:uiPriority w:val="0"/>
    <w:pPr>
      <w:topLinePunct/>
      <w:spacing w:line="360" w:lineRule="auto"/>
      <w:ind w:firstLine="200" w:firstLineChars="200"/>
    </w:pPr>
    <w:rPr>
      <w:sz w:val="24"/>
      <w:szCs w:val="21"/>
    </w:rPr>
  </w:style>
  <w:style w:type="character" w:customStyle="1" w:styleId="135">
    <w:name w:val="批注文字 Char1"/>
    <w:qFormat/>
    <w:uiPriority w:val="99"/>
    <w:rPr>
      <w:kern w:val="2"/>
      <w:sz w:val="21"/>
    </w:rPr>
  </w:style>
  <w:style w:type="character" w:customStyle="1" w:styleId="136">
    <w:name w:val="标题 3 Char"/>
    <w:qFormat/>
    <w:uiPriority w:val="9"/>
    <w:rPr>
      <w:rFonts w:ascii="宋体" w:hAnsi="宋体" w:eastAsia="仿宋"/>
      <w:b/>
      <w:sz w:val="24"/>
      <w:szCs w:val="36"/>
    </w:rPr>
  </w:style>
  <w:style w:type="paragraph" w:customStyle="1" w:styleId="137">
    <w:name w:val="正文文本 33"/>
    <w:basedOn w:val="1"/>
    <w:qFormat/>
    <w:uiPriority w:val="0"/>
    <w:rPr>
      <w:rFonts w:ascii="宋体" w:hAnsi="Times New Roman" w:cs="Times New Roman"/>
      <w:sz w:val="24"/>
    </w:rPr>
  </w:style>
  <w:style w:type="character" w:customStyle="1" w:styleId="138">
    <w:name w:val="批注文字 字符2"/>
    <w:qFormat/>
    <w:uiPriority w:val="99"/>
    <w:rPr>
      <w:kern w:val="2"/>
      <w:sz w:val="21"/>
    </w:rPr>
  </w:style>
  <w:style w:type="paragraph" w:customStyle="1" w:styleId="139">
    <w:name w:val="彩色列表 - 强调文字颜色 11"/>
    <w:basedOn w:val="1"/>
    <w:qFormat/>
    <w:uiPriority w:val="34"/>
    <w:pPr>
      <w:ind w:firstLine="420" w:firstLineChars="200"/>
    </w:pPr>
    <w:rPr>
      <w:rFonts w:ascii="Calibri" w:hAnsi="Calibri"/>
      <w:szCs w:val="22"/>
    </w:rPr>
  </w:style>
  <w:style w:type="paragraph" w:customStyle="1" w:styleId="140">
    <w:name w:val="_Style 160"/>
    <w:basedOn w:val="1"/>
    <w:next w:val="87"/>
    <w:qFormat/>
    <w:uiPriority w:val="34"/>
    <w:pPr>
      <w:spacing w:line="240" w:lineRule="auto"/>
      <w:ind w:firstLine="420" w:firstLine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36130;&#21153;&#20250;&#35745;&#37096;\&#37319;&#36141;&#21046;&#24230;\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Normal.wpt</Template>
  <Company>GCMC</Company>
  <Pages>82</Pages>
  <Words>3112</Words>
  <Characters>3602</Characters>
  <Lines>282</Lines>
  <Paragraphs>79</Paragraphs>
  <TotalTime>52</TotalTime>
  <ScaleCrop>false</ScaleCrop>
  <LinksUpToDate>false</LinksUpToDate>
  <CharactersWithSpaces>3767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2024-08-22T06:50:00Z</dcterms:created>
  <dc:creator>GCMC-YD-Hzy</dc:creator>
  <cp:lastModifiedBy>Y依Y</cp:lastModifiedBy>
  <cp:lastPrinted>2022-03-05T05:57:00Z</cp:lastPrinted>
  <dcterms:modified xsi:type="dcterms:W3CDTF">2026-05-07T03:32:01Z</dcterms:modified>
  <dc:title>交通银行股份有限公司北京市分行阜外支行消防改造工程项目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EA7BDC5ED1FD4E3D99071409B7ACF9FB_13</vt:lpwstr>
  </property>
  <property fmtid="{D5CDD505-2E9C-101B-9397-08002B2CF9AE}" pid="4" name="KSOTemplateDocerSaveRecord">
    <vt:lpwstr>eyJoZGlkIjoiZjEzNDI4MmY2NTM3ZmE1YmFjYzk0NTI5MTI0MDg2YTIiLCJ1c2VySWQiOiI4NjYzMzAxMzgifQ==</vt:lpwstr>
  </property>
</Properties>
</file>