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FA0F1A">
      <w:pPr>
        <w:pStyle w:val="3"/>
        <w:spacing w:before="0" w:after="0" w:line="480" w:lineRule="auto"/>
        <w:rPr>
          <w:rFonts w:hint="eastAsia" w:ascii="仿宋" w:hAnsi="仿宋" w:eastAsia="仿宋" w:cs="仿宋"/>
          <w:color w:val="auto"/>
          <w:highlight w:val="none"/>
        </w:rPr>
      </w:pPr>
      <w:bookmarkStart w:id="0" w:name="_Toc65682912"/>
      <w:bookmarkStart w:id="1" w:name="_Toc7914"/>
      <w:bookmarkStart w:id="2" w:name="_Toc109124222"/>
      <w:bookmarkStart w:id="3" w:name="_Toc17378"/>
      <w:r>
        <w:rPr>
          <w:rFonts w:hint="eastAsia" w:ascii="仿宋" w:hAnsi="仿宋" w:eastAsia="仿宋" w:cs="仿宋"/>
          <w:color w:val="auto"/>
          <w:highlight w:val="none"/>
          <w:lang w:eastAsia="zh-CN"/>
        </w:rPr>
        <w:t>人保财险安徽省淮南市分公司洞山职场送餐服务采购项目（二次）</w:t>
      </w:r>
      <w:r>
        <w:rPr>
          <w:rFonts w:hint="eastAsia" w:ascii="仿宋" w:hAnsi="仿宋" w:eastAsia="仿宋" w:cs="仿宋"/>
          <w:color w:val="auto"/>
          <w:highlight w:val="none"/>
        </w:rPr>
        <w:t>招标公告</w:t>
      </w:r>
      <w:bookmarkEnd w:id="0"/>
      <w:bookmarkEnd w:id="1"/>
      <w:bookmarkEnd w:id="2"/>
      <w:bookmarkEnd w:id="3"/>
    </w:p>
    <w:p w14:paraId="4A0E4861">
      <w:pPr>
        <w:pStyle w:val="2"/>
        <w:rPr>
          <w:rFonts w:hint="eastAsia" w:ascii="仿宋" w:hAnsi="仿宋" w:eastAsia="仿宋" w:cs="仿宋"/>
          <w:color w:val="auto"/>
          <w:szCs w:val="24"/>
          <w:highlight w:val="none"/>
        </w:rPr>
      </w:pPr>
      <w:bookmarkStart w:id="4" w:name="_Toc24950"/>
      <w:bookmarkStart w:id="5" w:name="_Toc10131"/>
      <w:bookmarkStart w:id="6" w:name="_Toc25200"/>
      <w:bookmarkStart w:id="7" w:name="_Toc23271"/>
      <w:bookmarkStart w:id="8" w:name="_Toc109124223"/>
      <w:bookmarkStart w:id="9" w:name="_Toc65682913"/>
      <w:bookmarkStart w:id="10" w:name="_Toc25160"/>
      <w:r>
        <w:rPr>
          <w:rFonts w:hint="eastAsia" w:ascii="仿宋" w:hAnsi="仿宋" w:eastAsia="仿宋" w:cs="仿宋"/>
          <w:color w:val="auto"/>
          <w:szCs w:val="24"/>
          <w:highlight w:val="none"/>
        </w:rPr>
        <w:t>一、</w:t>
      </w:r>
      <w:bookmarkEnd w:id="4"/>
      <w:bookmarkEnd w:id="5"/>
      <w:bookmarkEnd w:id="6"/>
      <w:r>
        <w:rPr>
          <w:rFonts w:hint="eastAsia" w:ascii="仿宋" w:hAnsi="仿宋" w:eastAsia="仿宋" w:cs="仿宋"/>
          <w:color w:val="auto"/>
          <w:szCs w:val="24"/>
          <w:highlight w:val="none"/>
        </w:rPr>
        <w:t>招标条件</w:t>
      </w:r>
      <w:bookmarkEnd w:id="7"/>
      <w:bookmarkEnd w:id="8"/>
      <w:bookmarkEnd w:id="9"/>
      <w:bookmarkEnd w:id="10"/>
    </w:p>
    <w:p w14:paraId="7110E5FB">
      <w:pPr>
        <w:wordWrap w:val="0"/>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本招标项</w:t>
      </w:r>
      <w:r>
        <w:rPr>
          <w:rFonts w:hint="eastAsia" w:ascii="仿宋" w:hAnsi="仿宋" w:eastAsia="仿宋" w:cs="仿宋"/>
          <w:b w:val="0"/>
          <w:bCs w:val="0"/>
          <w:color w:val="auto"/>
          <w:sz w:val="24"/>
          <w:szCs w:val="24"/>
          <w:highlight w:val="none"/>
        </w:rPr>
        <w:t>目</w:t>
      </w:r>
      <w:r>
        <w:rPr>
          <w:rFonts w:hint="eastAsia" w:ascii="仿宋" w:hAnsi="仿宋" w:eastAsia="仿宋" w:cs="仿宋"/>
          <w:b w:val="0"/>
          <w:bCs w:val="0"/>
          <w:color w:val="auto"/>
          <w:sz w:val="24"/>
          <w:szCs w:val="24"/>
          <w:highlight w:val="none"/>
          <w:u w:val="single"/>
          <w:lang w:eastAsia="zh-CN"/>
        </w:rPr>
        <w:t>人保财险安徽省淮南市分公司洞山职场送餐服务采购项目（二次）</w:t>
      </w:r>
      <w:r>
        <w:rPr>
          <w:rFonts w:hint="eastAsia" w:ascii="仿宋" w:hAnsi="仿宋" w:eastAsia="仿宋" w:cs="仿宋"/>
          <w:b w:val="0"/>
          <w:bCs w:val="0"/>
          <w:color w:val="auto"/>
          <w:sz w:val="24"/>
          <w:szCs w:val="24"/>
          <w:highlight w:val="none"/>
        </w:rPr>
        <w:t>（招标代理项目编号：</w:t>
      </w:r>
      <w:r>
        <w:rPr>
          <w:rFonts w:hint="eastAsia" w:ascii="仿宋" w:hAnsi="仿宋" w:eastAsia="仿宋" w:cs="仿宋"/>
          <w:b w:val="0"/>
          <w:bCs w:val="0"/>
          <w:color w:val="auto"/>
          <w:sz w:val="24"/>
          <w:szCs w:val="24"/>
          <w:highlight w:val="none"/>
          <w:u w:val="single"/>
          <w:lang w:eastAsia="zh-CN"/>
        </w:rPr>
        <w:t>04-14-04A-2026-D-F-E02171C01</w:t>
      </w:r>
      <w:r>
        <w:rPr>
          <w:rFonts w:hint="eastAsia" w:ascii="仿宋" w:hAnsi="仿宋" w:eastAsia="仿宋" w:cs="仿宋"/>
          <w:b w:val="0"/>
          <w:bCs w:val="0"/>
          <w:color w:val="auto"/>
          <w:sz w:val="24"/>
          <w:szCs w:val="24"/>
          <w:highlight w:val="none"/>
        </w:rPr>
        <w:t>）</w:t>
      </w:r>
      <w:bookmarkStart w:id="11" w:name="_Hlk69906010"/>
      <w:r>
        <w:rPr>
          <w:rFonts w:hint="eastAsia" w:ascii="仿宋" w:hAnsi="仿宋" w:eastAsia="仿宋" w:cs="仿宋"/>
          <w:b w:val="0"/>
          <w:bCs w:val="0"/>
          <w:color w:val="auto"/>
          <w:sz w:val="24"/>
          <w:szCs w:val="24"/>
          <w:highlight w:val="none"/>
        </w:rPr>
        <w:t>由</w:t>
      </w:r>
      <w:r>
        <w:rPr>
          <w:rFonts w:hint="eastAsia" w:ascii="仿宋" w:hAnsi="仿宋" w:eastAsia="仿宋" w:cs="仿宋"/>
          <w:b w:val="0"/>
          <w:bCs w:val="0"/>
          <w:color w:val="auto"/>
          <w:sz w:val="24"/>
          <w:szCs w:val="24"/>
          <w:highlight w:val="none"/>
          <w:u w:val="single"/>
        </w:rPr>
        <w:t>中国人民财产保险股份有限公司</w:t>
      </w:r>
      <w:r>
        <w:rPr>
          <w:rFonts w:hint="eastAsia" w:ascii="仿宋" w:hAnsi="仿宋" w:eastAsia="仿宋" w:cs="仿宋"/>
          <w:b w:val="0"/>
          <w:bCs w:val="0"/>
          <w:color w:val="auto"/>
          <w:sz w:val="24"/>
          <w:szCs w:val="24"/>
          <w:highlight w:val="none"/>
          <w:u w:val="single"/>
          <w:lang w:val="en-US" w:eastAsia="zh-CN"/>
        </w:rPr>
        <w:t>淮南市</w:t>
      </w:r>
      <w:r>
        <w:rPr>
          <w:rFonts w:hint="eastAsia" w:ascii="仿宋" w:hAnsi="仿宋" w:eastAsia="仿宋" w:cs="仿宋"/>
          <w:b w:val="0"/>
          <w:bCs w:val="0"/>
          <w:color w:val="auto"/>
          <w:sz w:val="24"/>
          <w:szCs w:val="24"/>
          <w:highlight w:val="none"/>
          <w:u w:val="single"/>
        </w:rPr>
        <w:t>分公司</w:t>
      </w:r>
      <w:r>
        <w:rPr>
          <w:rFonts w:hint="eastAsia" w:ascii="仿宋" w:hAnsi="仿宋" w:eastAsia="仿宋" w:cs="仿宋"/>
          <w:b w:val="0"/>
          <w:bCs w:val="0"/>
          <w:color w:val="auto"/>
          <w:sz w:val="24"/>
          <w:szCs w:val="24"/>
          <w:highlight w:val="none"/>
        </w:rPr>
        <w:t>（以下简称“招标人”）批准并落实资金，组织本项目的相关招标工作，采购合同由</w:t>
      </w:r>
      <w:r>
        <w:rPr>
          <w:rFonts w:hint="eastAsia" w:ascii="仿宋" w:hAnsi="仿宋" w:eastAsia="仿宋" w:cs="仿宋"/>
          <w:b w:val="0"/>
          <w:bCs w:val="0"/>
          <w:color w:val="auto"/>
          <w:sz w:val="24"/>
          <w:szCs w:val="24"/>
          <w:highlight w:val="none"/>
          <w:u w:val="single"/>
        </w:rPr>
        <w:t>中国人民财产保险股份有限公司</w:t>
      </w:r>
      <w:r>
        <w:rPr>
          <w:rFonts w:hint="eastAsia" w:ascii="仿宋" w:hAnsi="仿宋" w:eastAsia="仿宋" w:cs="仿宋"/>
          <w:b w:val="0"/>
          <w:bCs w:val="0"/>
          <w:color w:val="auto"/>
          <w:sz w:val="24"/>
          <w:szCs w:val="24"/>
          <w:highlight w:val="none"/>
          <w:u w:val="single"/>
          <w:lang w:val="en-US" w:eastAsia="zh-CN"/>
        </w:rPr>
        <w:t>淮南市</w:t>
      </w:r>
      <w:r>
        <w:rPr>
          <w:rFonts w:hint="eastAsia" w:ascii="仿宋" w:hAnsi="仿宋" w:eastAsia="仿宋" w:cs="仿宋"/>
          <w:b w:val="0"/>
          <w:bCs w:val="0"/>
          <w:color w:val="auto"/>
          <w:sz w:val="24"/>
          <w:szCs w:val="24"/>
          <w:highlight w:val="none"/>
          <w:u w:val="single"/>
        </w:rPr>
        <w:t>分公司</w:t>
      </w:r>
      <w:r>
        <w:rPr>
          <w:rFonts w:hint="eastAsia" w:ascii="仿宋" w:hAnsi="仿宋" w:eastAsia="仿宋" w:cs="仿宋"/>
          <w:b w:val="0"/>
          <w:bCs w:val="0"/>
          <w:color w:val="auto"/>
          <w:sz w:val="24"/>
          <w:szCs w:val="24"/>
          <w:highlight w:val="none"/>
        </w:rPr>
        <w:t>（以下简称“人保</w:t>
      </w:r>
      <w:r>
        <w:rPr>
          <w:rFonts w:hint="eastAsia" w:ascii="仿宋" w:hAnsi="仿宋" w:eastAsia="仿宋" w:cs="仿宋"/>
          <w:b w:val="0"/>
          <w:bCs w:val="0"/>
          <w:color w:val="auto"/>
          <w:sz w:val="24"/>
          <w:szCs w:val="24"/>
          <w:highlight w:val="none"/>
          <w:lang w:val="en-US" w:eastAsia="zh-CN"/>
        </w:rPr>
        <w:t>财险淮南市分公司</w:t>
      </w:r>
      <w:r>
        <w:rPr>
          <w:rFonts w:hint="eastAsia" w:ascii="仿宋" w:hAnsi="仿宋" w:eastAsia="仿宋" w:cs="仿宋"/>
          <w:b w:val="0"/>
          <w:bCs w:val="0"/>
          <w:color w:val="auto"/>
          <w:sz w:val="24"/>
          <w:szCs w:val="24"/>
          <w:highlight w:val="none"/>
        </w:rPr>
        <w:t>”）根据中标结果与中标人签署。</w:t>
      </w:r>
      <w:bookmarkEnd w:id="11"/>
      <w:r>
        <w:rPr>
          <w:rFonts w:hint="eastAsia" w:ascii="仿宋" w:hAnsi="仿宋" w:eastAsia="仿宋" w:cs="仿宋"/>
          <w:b w:val="0"/>
          <w:bCs w:val="0"/>
          <w:color w:val="auto"/>
          <w:sz w:val="24"/>
          <w:szCs w:val="24"/>
          <w:highlight w:val="none"/>
        </w:rPr>
        <w:t>现委托</w:t>
      </w:r>
      <w:r>
        <w:rPr>
          <w:rFonts w:hint="eastAsia" w:ascii="仿宋" w:hAnsi="仿宋" w:eastAsia="仿宋" w:cs="仿宋"/>
          <w:b w:val="0"/>
          <w:bCs w:val="0"/>
          <w:color w:val="auto"/>
          <w:sz w:val="24"/>
          <w:szCs w:val="24"/>
          <w:highlight w:val="none"/>
          <w:u w:val="single"/>
        </w:rPr>
        <w:t xml:space="preserve">公诚管理咨询有限公司 </w:t>
      </w:r>
      <w:r>
        <w:rPr>
          <w:rFonts w:hint="eastAsia" w:ascii="仿宋" w:hAnsi="仿宋" w:eastAsia="仿宋" w:cs="仿宋"/>
          <w:b w:val="0"/>
          <w:bCs w:val="0"/>
          <w:color w:val="auto"/>
          <w:sz w:val="24"/>
          <w:szCs w:val="24"/>
          <w:highlight w:val="none"/>
        </w:rPr>
        <w:t>（以下简称“招标代理机构”）进行公开招标，有意向且具有提供标的物能力的潜在投标人（以下简称“投标人”）可前来</w:t>
      </w:r>
      <w:r>
        <w:rPr>
          <w:rFonts w:hint="eastAsia" w:ascii="仿宋" w:hAnsi="仿宋" w:eastAsia="仿宋" w:cs="仿宋"/>
          <w:color w:val="auto"/>
          <w:sz w:val="24"/>
          <w:szCs w:val="24"/>
          <w:highlight w:val="none"/>
        </w:rPr>
        <w:t>投标。</w:t>
      </w:r>
    </w:p>
    <w:p w14:paraId="1738F733">
      <w:pPr>
        <w:pStyle w:val="2"/>
        <w:rPr>
          <w:rFonts w:hint="eastAsia" w:ascii="仿宋" w:hAnsi="仿宋" w:eastAsia="仿宋" w:cs="仿宋"/>
          <w:color w:val="auto"/>
          <w:szCs w:val="24"/>
          <w:highlight w:val="none"/>
        </w:rPr>
      </w:pPr>
      <w:bookmarkStart w:id="12" w:name="_Toc18478"/>
      <w:bookmarkStart w:id="13" w:name="_Toc23136"/>
      <w:bookmarkStart w:id="14" w:name="_Toc65682914"/>
      <w:bookmarkStart w:id="15" w:name="_Toc109124224"/>
      <w:r>
        <w:rPr>
          <w:rFonts w:hint="eastAsia" w:ascii="仿宋" w:hAnsi="仿宋" w:eastAsia="仿宋" w:cs="仿宋"/>
          <w:color w:val="auto"/>
          <w:szCs w:val="24"/>
          <w:highlight w:val="none"/>
        </w:rPr>
        <w:t>二、项目概况与招标范围</w:t>
      </w:r>
      <w:bookmarkEnd w:id="12"/>
      <w:bookmarkEnd w:id="13"/>
      <w:bookmarkEnd w:id="14"/>
      <w:bookmarkEnd w:id="15"/>
    </w:p>
    <w:p w14:paraId="70CEE628">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b w:val="0"/>
          <w:bCs w:val="0"/>
          <w:color w:val="auto"/>
          <w:sz w:val="24"/>
          <w:szCs w:val="24"/>
          <w:highlight w:val="none"/>
        </w:rPr>
      </w:pPr>
      <w:bookmarkStart w:id="16" w:name="_Toc65682915"/>
      <w:bookmarkStart w:id="17" w:name="_Toc17299"/>
      <w:r>
        <w:rPr>
          <w:rFonts w:hint="eastAsia" w:ascii="仿宋" w:hAnsi="仿宋" w:eastAsia="仿宋" w:cs="仿宋"/>
          <w:color w:val="auto"/>
          <w:sz w:val="24"/>
          <w:szCs w:val="24"/>
          <w:highlight w:val="none"/>
        </w:rPr>
        <w:t>2.1项目名称：</w:t>
      </w:r>
      <w:r>
        <w:rPr>
          <w:rFonts w:hint="eastAsia" w:ascii="仿宋" w:hAnsi="仿宋" w:eastAsia="仿宋" w:cs="仿宋"/>
          <w:b w:val="0"/>
          <w:bCs w:val="0"/>
          <w:color w:val="auto"/>
          <w:sz w:val="24"/>
          <w:szCs w:val="24"/>
          <w:highlight w:val="none"/>
          <w:u w:val="single"/>
          <w:lang w:eastAsia="zh-CN"/>
        </w:rPr>
        <w:t>人保财险安徽省淮南市分公司洞山职场送餐服务采购项目（二次）</w:t>
      </w:r>
      <w:r>
        <w:rPr>
          <w:rFonts w:hint="eastAsia" w:ascii="仿宋" w:hAnsi="仿宋" w:eastAsia="仿宋" w:cs="仿宋"/>
          <w:b w:val="0"/>
          <w:bCs w:val="0"/>
          <w:color w:val="auto"/>
          <w:sz w:val="24"/>
          <w:szCs w:val="24"/>
          <w:highlight w:val="none"/>
        </w:rPr>
        <w:t>。</w:t>
      </w:r>
    </w:p>
    <w:p w14:paraId="6EDDF4F5">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rPr>
        <w:t>2.2招标范</w:t>
      </w:r>
      <w:r>
        <w:rPr>
          <w:rFonts w:hint="eastAsia" w:ascii="仿宋" w:hAnsi="仿宋" w:eastAsia="仿宋" w:cs="仿宋"/>
          <w:b w:val="0"/>
          <w:bCs w:val="0"/>
          <w:color w:val="auto"/>
          <w:kern w:val="2"/>
          <w:sz w:val="24"/>
          <w:szCs w:val="21"/>
          <w:highlight w:val="none"/>
          <w:lang w:val="en-US" w:eastAsia="zh-CN" w:bidi="ar-SA"/>
        </w:rPr>
        <w:t>围：淮南市分公司洞山职场员工中餐用餐人数约100人（HR员工、外包员工），餐标要求：荤菜一份（主料为肉类、禽类或水产等）、半荤菜一份（荤素搭配）、素菜一份（时令新鲜蔬菜）、米饭一份。餐标预算：单价不超过15元/人/餐（含打包盒及配送费），初步测算按248个工作日，年总预算37.2万元。拟选定1家供应商，淮南市分公司线上服务团队提供送餐服务，具体详见招标文件第五章《招标需求书》。</w:t>
      </w:r>
    </w:p>
    <w:p w14:paraId="2EDC1643">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sz w:val="24"/>
          <w:szCs w:val="24"/>
          <w:highlight w:val="none"/>
          <w:lang w:val="en-US" w:eastAsia="zh-CN"/>
        </w:rPr>
      </w:pPr>
      <w:bookmarkStart w:id="18" w:name="_Hlk69456893"/>
      <w:r>
        <w:rPr>
          <w:rFonts w:hint="eastAsia" w:ascii="仿宋" w:hAnsi="仿宋" w:eastAsia="仿宋" w:cs="仿宋"/>
          <w:color w:val="auto"/>
          <w:sz w:val="24"/>
          <w:szCs w:val="24"/>
          <w:highlight w:val="none"/>
          <w:lang w:val="en-US" w:eastAsia="zh-CN"/>
        </w:rPr>
        <w:t>2.3项目性质：服务。</w:t>
      </w:r>
    </w:p>
    <w:p w14:paraId="22EE9CA7">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2.4标包划分：不划分。</w:t>
      </w:r>
    </w:p>
    <w:p w14:paraId="6DF85877">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2.5</w:t>
      </w:r>
      <w:r>
        <w:rPr>
          <w:rFonts w:hint="eastAsia" w:ascii="仿宋" w:hAnsi="仿宋" w:eastAsia="仿宋" w:cs="仿宋"/>
          <w:color w:val="auto"/>
          <w:sz w:val="24"/>
          <w:szCs w:val="24"/>
          <w:highlight w:val="none"/>
          <w:lang w:val="en-US" w:eastAsia="zh-CN"/>
        </w:rPr>
        <w:t>服务期限：</w:t>
      </w:r>
      <w:r>
        <w:rPr>
          <w:rFonts w:hint="eastAsia" w:ascii="仿宋" w:hAnsi="仿宋" w:eastAsia="仿宋" w:cs="仿宋"/>
          <w:color w:val="000000"/>
          <w:sz w:val="24"/>
          <w:szCs w:val="24"/>
          <w:highlight w:val="none"/>
          <w:lang w:val="en-US" w:eastAsia="zh-CN"/>
        </w:rPr>
        <w:t>1年（到期不续签）</w:t>
      </w:r>
      <w:r>
        <w:rPr>
          <w:rFonts w:hint="eastAsia" w:ascii="仿宋" w:hAnsi="仿宋" w:eastAsia="仿宋" w:cs="仿宋"/>
          <w:color w:val="auto"/>
          <w:sz w:val="24"/>
          <w:szCs w:val="24"/>
          <w:highlight w:val="none"/>
          <w:lang w:val="en-US" w:eastAsia="zh-CN"/>
        </w:rPr>
        <w:t>。</w:t>
      </w:r>
    </w:p>
    <w:p w14:paraId="73A7477C">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lang w:eastAsia="zh-CN"/>
        </w:rPr>
        <w:t>服务地点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安徽省淮南市田家庵区</w:t>
      </w:r>
      <w:r>
        <w:rPr>
          <w:rFonts w:hint="eastAsia" w:ascii="仿宋" w:hAnsi="仿宋" w:eastAsia="仿宋" w:cs="仿宋"/>
          <w:color w:val="auto"/>
          <w:sz w:val="24"/>
          <w:szCs w:val="24"/>
          <w:highlight w:val="none"/>
          <w:lang w:eastAsia="zh-CN"/>
        </w:rPr>
        <w:t>。</w:t>
      </w:r>
      <w:bookmarkEnd w:id="18"/>
    </w:p>
    <w:p w14:paraId="6C272F6F">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2.7项目预算：37.2（含税）</w:t>
      </w:r>
      <w:r>
        <w:rPr>
          <w:rFonts w:hint="eastAsia" w:ascii="仿宋" w:hAnsi="仿宋" w:eastAsia="仿宋" w:cs="仿宋"/>
          <w:color w:val="auto"/>
          <w:sz w:val="24"/>
          <w:szCs w:val="24"/>
          <w:highlight w:val="none"/>
          <w:lang w:eastAsia="zh-CN"/>
        </w:rPr>
        <w:t>万元</w:t>
      </w:r>
      <w:r>
        <w:rPr>
          <w:rFonts w:hint="eastAsia" w:ascii="仿宋" w:hAnsi="仿宋" w:eastAsia="仿宋" w:cs="仿宋"/>
          <w:color w:val="auto"/>
          <w:sz w:val="24"/>
          <w:szCs w:val="24"/>
          <w:highlight w:val="none"/>
          <w:lang w:val="en-US" w:eastAsia="zh-CN"/>
        </w:rPr>
        <w:t>/年：</w:t>
      </w:r>
    </w:p>
    <w:p w14:paraId="120F861D">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2.8★最高限价：本项目采用投标单价（含税）报价，不得超过15元（含税）/人/餐，投标人报价不得高于该上限金额，否则将被视为无效报价。</w:t>
      </w:r>
    </w:p>
    <w:p w14:paraId="7A88302B">
      <w:pPr>
        <w:pStyle w:val="2"/>
        <w:rPr>
          <w:rFonts w:hint="eastAsia" w:ascii="仿宋" w:hAnsi="仿宋" w:eastAsia="仿宋" w:cs="仿宋"/>
          <w:color w:val="auto"/>
          <w:szCs w:val="24"/>
          <w:highlight w:val="none"/>
        </w:rPr>
      </w:pPr>
      <w:bookmarkStart w:id="19" w:name="_Toc12911"/>
      <w:bookmarkStart w:id="20" w:name="_Toc109124225"/>
      <w:r>
        <w:rPr>
          <w:rFonts w:hint="eastAsia" w:ascii="仿宋" w:hAnsi="仿宋" w:eastAsia="仿宋" w:cs="仿宋"/>
          <w:color w:val="auto"/>
          <w:szCs w:val="24"/>
          <w:highlight w:val="none"/>
        </w:rPr>
        <w:t>三、投标人资格要求</w:t>
      </w:r>
      <w:bookmarkEnd w:id="16"/>
      <w:bookmarkEnd w:id="17"/>
      <w:bookmarkEnd w:id="19"/>
      <w:bookmarkEnd w:id="20"/>
    </w:p>
    <w:p w14:paraId="05180F50">
      <w:pPr>
        <w:pStyle w:val="4"/>
        <w:ind w:firstLine="480" w:firstLineChars="200"/>
        <w:rPr>
          <w:rFonts w:hint="eastAsia" w:ascii="仿宋" w:hAnsi="仿宋" w:eastAsia="仿宋" w:cs="仿宋"/>
          <w:color w:val="auto"/>
          <w:szCs w:val="21"/>
          <w:highlight w:val="none"/>
        </w:rPr>
      </w:pPr>
      <w:r>
        <w:rPr>
          <w:rFonts w:hint="eastAsia" w:ascii="仿宋" w:hAnsi="仿宋" w:eastAsia="仿宋" w:cs="仿宋"/>
          <w:color w:val="auto"/>
          <w:sz w:val="24"/>
          <w:szCs w:val="24"/>
          <w:highlight w:val="none"/>
        </w:rPr>
        <w:t>3.1</w:t>
      </w:r>
      <w:r>
        <w:rPr>
          <w:rFonts w:hint="eastAsia" w:ascii="仿宋" w:hAnsi="仿宋" w:eastAsia="仿宋" w:cs="仿宋"/>
          <w:b/>
          <w:bCs/>
          <w:color w:val="auto"/>
          <w:sz w:val="24"/>
          <w:szCs w:val="24"/>
          <w:highlight w:val="none"/>
        </w:rPr>
        <w:t>在中华人民共和国境内依法登记的法人或其他组织，</w:t>
      </w:r>
      <w:r>
        <w:rPr>
          <w:rFonts w:hint="eastAsia" w:ascii="仿宋" w:hAnsi="仿宋" w:eastAsia="仿宋" w:cs="仿宋"/>
          <w:b/>
          <w:color w:val="auto"/>
          <w:sz w:val="24"/>
          <w:szCs w:val="24"/>
          <w:highlight w:val="none"/>
        </w:rPr>
        <w:t>具有独立承担民事责任的能力</w:t>
      </w:r>
      <w:r>
        <w:rPr>
          <w:rFonts w:hint="eastAsia" w:ascii="仿宋" w:hAnsi="仿宋" w:eastAsia="仿宋" w:cs="仿宋"/>
          <w:color w:val="auto"/>
          <w:sz w:val="24"/>
          <w:szCs w:val="24"/>
          <w:highlight w:val="none"/>
        </w:rPr>
        <w:t>，投标人如为企业法人，须提供企业法人营业执照</w:t>
      </w:r>
      <w:r>
        <w:rPr>
          <w:rFonts w:hint="eastAsia" w:ascii="仿宋" w:hAnsi="仿宋" w:eastAsia="仿宋" w:cs="仿宋"/>
          <w:color w:val="auto"/>
          <w:sz w:val="24"/>
          <w:highlight w:val="none"/>
        </w:rPr>
        <w:t>（复印件）</w:t>
      </w:r>
      <w:r>
        <w:rPr>
          <w:rFonts w:hint="eastAsia" w:ascii="仿宋" w:hAnsi="仿宋" w:eastAsia="仿宋" w:cs="仿宋"/>
          <w:color w:val="auto"/>
          <w:sz w:val="24"/>
          <w:szCs w:val="24"/>
          <w:highlight w:val="none"/>
        </w:rPr>
        <w:t>；投标人如为事业单位或其他组织，须提供事业单位法人证书或登记证或组织机构代码证或其他有效证明文件（复印件）。</w:t>
      </w:r>
    </w:p>
    <w:p w14:paraId="2791CD2C">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sz w:val="24"/>
          <w:szCs w:val="24"/>
          <w:highlight w:val="none"/>
        </w:rPr>
        <w:t>3.2</w:t>
      </w:r>
      <w:r>
        <w:rPr>
          <w:rFonts w:hint="eastAsia" w:ascii="仿宋" w:hAnsi="仿宋" w:eastAsia="仿宋" w:cs="仿宋"/>
          <w:b/>
          <w:color w:val="auto"/>
          <w:sz w:val="24"/>
          <w:szCs w:val="24"/>
          <w:highlight w:val="none"/>
        </w:rPr>
        <w:t>具有良好的商业信誉和健全的财务会计制度</w:t>
      </w:r>
      <w:r>
        <w:rPr>
          <w:rFonts w:hint="eastAsia" w:ascii="仿宋" w:hAnsi="仿宋" w:eastAsia="仿宋" w:cs="仿宋"/>
          <w:color w:val="auto"/>
          <w:sz w:val="24"/>
          <w:szCs w:val="24"/>
          <w:highlight w:val="none"/>
        </w:rPr>
        <w:t>，需提供202</w:t>
      </w:r>
      <w:r>
        <w:rPr>
          <w:rFonts w:hint="eastAsia" w:ascii="仿宋" w:hAnsi="仿宋" w:eastAsia="仿宋" w:cs="仿宋"/>
          <w:color w:val="auto"/>
          <w:sz w:val="24"/>
          <w:szCs w:val="24"/>
          <w:highlight w:val="none"/>
          <w:lang w:val="en-US" w:eastAsia="zh-CN"/>
        </w:rPr>
        <w:t>4年</w:t>
      </w:r>
      <w:r>
        <w:rPr>
          <w:rFonts w:hint="eastAsia" w:ascii="仿宋" w:hAnsi="仿宋" w:eastAsia="仿宋" w:cs="仿宋"/>
          <w:color w:val="auto"/>
          <w:sz w:val="24"/>
          <w:szCs w:val="24"/>
          <w:highlight w:val="none"/>
        </w:rPr>
        <w:t>度经会计师事务所或审计机构审计的财务审计报告及财务报表（至少包含会计师事务所或审计机构签章页、资产负债表、现金流量表、损益表/利润表）或开标日前6个月内开具的银行资信证明。</w:t>
      </w:r>
    </w:p>
    <w:p w14:paraId="720215C4">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3.3 </w:t>
      </w:r>
      <w:r>
        <w:rPr>
          <w:rFonts w:hint="eastAsia" w:ascii="仿宋" w:hAnsi="仿宋" w:eastAsia="仿宋" w:cs="仿宋"/>
          <w:b/>
          <w:color w:val="auto"/>
          <w:sz w:val="24"/>
          <w:szCs w:val="24"/>
          <w:highlight w:val="none"/>
        </w:rPr>
        <w:t>投标人应具有履行合同所必需的设备和专业技术能力</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近三年（</w:t>
      </w:r>
      <w:r>
        <w:rPr>
          <w:rFonts w:hint="eastAsia" w:ascii="仿宋" w:hAnsi="仿宋" w:eastAsia="仿宋" w:cs="仿宋"/>
          <w:color w:val="auto"/>
          <w:sz w:val="24"/>
          <w:szCs w:val="24"/>
          <w:highlight w:val="none"/>
          <w:lang w:eastAsia="zh-CN"/>
        </w:rPr>
        <w:t>自本项目投标文件递交截止时间往前追溯</w:t>
      </w:r>
      <w:r>
        <w:rPr>
          <w:rFonts w:hint="eastAsia" w:ascii="仿宋" w:hAnsi="仿宋" w:eastAsia="仿宋" w:cs="仿宋"/>
          <w:color w:val="auto"/>
          <w:sz w:val="24"/>
          <w:szCs w:val="24"/>
          <w:highlight w:val="none"/>
        </w:rPr>
        <w:t>）应</w:t>
      </w:r>
      <w:r>
        <w:rPr>
          <w:rFonts w:hint="eastAsia" w:ascii="仿宋" w:hAnsi="仿宋" w:eastAsia="仿宋" w:cs="仿宋"/>
          <w:color w:val="auto"/>
          <w:sz w:val="24"/>
          <w:szCs w:val="24"/>
          <w:highlight w:val="none"/>
          <w:lang w:val="en-US" w:eastAsia="zh-CN"/>
        </w:rPr>
        <w:t>至少</w:t>
      </w:r>
      <w:r>
        <w:rPr>
          <w:rFonts w:hint="eastAsia" w:ascii="仿宋" w:hAnsi="仿宋" w:eastAsia="仿宋" w:cs="仿宋"/>
          <w:color w:val="auto"/>
          <w:sz w:val="24"/>
          <w:szCs w:val="24"/>
          <w:highlight w:val="none"/>
        </w:rPr>
        <w:t>具有</w:t>
      </w:r>
      <w:r>
        <w:rPr>
          <w:rFonts w:hint="eastAsia" w:ascii="仿宋" w:hAnsi="仿宋" w:eastAsia="仿宋" w:cs="仿宋"/>
          <w:iCs/>
          <w:color w:val="auto"/>
          <w:sz w:val="24"/>
          <w:szCs w:val="24"/>
          <w:highlight w:val="none"/>
          <w:lang w:val="en-US" w:eastAsia="zh-CN"/>
        </w:rPr>
        <w:t>1</w:t>
      </w:r>
      <w:r>
        <w:rPr>
          <w:rFonts w:hint="eastAsia" w:ascii="仿宋" w:hAnsi="仿宋" w:eastAsia="仿宋" w:cs="仿宋"/>
          <w:iCs/>
          <w:color w:val="auto"/>
          <w:sz w:val="24"/>
          <w:szCs w:val="24"/>
          <w:highlight w:val="none"/>
        </w:rPr>
        <w:t>个</w:t>
      </w:r>
      <w:r>
        <w:rPr>
          <w:rFonts w:hint="eastAsia" w:ascii="仿宋" w:hAnsi="仿宋" w:eastAsia="仿宋" w:cs="仿宋"/>
          <w:color w:val="auto"/>
          <w:sz w:val="24"/>
          <w:szCs w:val="24"/>
          <w:highlight w:val="none"/>
        </w:rPr>
        <w:t>同类项目实施案例，并提供</w:t>
      </w:r>
      <w:r>
        <w:rPr>
          <w:rFonts w:hint="eastAsia" w:ascii="仿宋" w:hAnsi="仿宋" w:eastAsia="仿宋" w:cs="仿宋"/>
          <w:color w:val="auto"/>
          <w:sz w:val="24"/>
          <w:highlight w:val="none"/>
        </w:rPr>
        <w:t>符合上述要求的</w:t>
      </w:r>
      <w:r>
        <w:rPr>
          <w:rFonts w:hint="eastAsia" w:ascii="仿宋" w:hAnsi="仿宋" w:eastAsia="仿宋" w:cs="仿宋"/>
          <w:color w:val="auto"/>
          <w:sz w:val="24"/>
          <w:szCs w:val="24"/>
          <w:highlight w:val="none"/>
        </w:rPr>
        <w:t>合同关键页作为有效的业绩证明材料。合同关键页</w:t>
      </w:r>
      <w:r>
        <w:rPr>
          <w:rFonts w:hint="eastAsia" w:ascii="仿宋" w:hAnsi="仿宋" w:eastAsia="仿宋" w:cs="仿宋"/>
          <w:color w:val="auto"/>
          <w:sz w:val="24"/>
          <w:highlight w:val="none"/>
        </w:rPr>
        <w:t>包含但不限于合同首页、</w:t>
      </w:r>
      <w:r>
        <w:rPr>
          <w:rFonts w:hint="eastAsia" w:ascii="仿宋" w:hAnsi="仿宋" w:eastAsia="仿宋" w:cs="仿宋"/>
          <w:color w:val="auto"/>
          <w:sz w:val="24"/>
          <w:szCs w:val="24"/>
          <w:highlight w:val="none"/>
        </w:rPr>
        <w:t>合同标的页</w:t>
      </w:r>
      <w:r>
        <w:rPr>
          <w:rFonts w:hint="eastAsia" w:ascii="仿宋" w:hAnsi="仿宋" w:eastAsia="仿宋" w:cs="仿宋"/>
          <w:color w:val="auto"/>
          <w:sz w:val="24"/>
          <w:highlight w:val="none"/>
        </w:rPr>
        <w:t>、签署日期页及盖章页等。如合同为框架协议类，须同时提供该框架协议下经双方确认的、发生具体采购/服务事项的相关材料。</w:t>
      </w:r>
    </w:p>
    <w:p w14:paraId="752676B3">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color w:val="auto"/>
          <w:sz w:val="24"/>
          <w:szCs w:val="24"/>
          <w:highlight w:val="none"/>
        </w:rPr>
        <w:t>具有依法缴纳税收和社会保障资金的良好记录</w:t>
      </w:r>
      <w:r>
        <w:rPr>
          <w:rFonts w:hint="eastAsia" w:ascii="仿宋" w:hAnsi="仿宋" w:eastAsia="仿宋" w:cs="仿宋"/>
          <w:color w:val="auto"/>
          <w:sz w:val="24"/>
          <w:szCs w:val="24"/>
          <w:highlight w:val="none"/>
        </w:rPr>
        <w:t>，提供近6个月任意一个月的税收</w:t>
      </w:r>
      <w:r>
        <w:rPr>
          <w:rFonts w:hint="eastAsia" w:ascii="仿宋" w:hAnsi="仿宋" w:eastAsia="仿宋" w:cs="仿宋"/>
          <w:b/>
          <w:color w:val="auto"/>
          <w:sz w:val="24"/>
          <w:szCs w:val="24"/>
          <w:highlight w:val="none"/>
        </w:rPr>
        <w:t>和</w:t>
      </w:r>
      <w:r>
        <w:rPr>
          <w:rFonts w:hint="eastAsia" w:ascii="仿宋" w:hAnsi="仿宋" w:eastAsia="仿宋" w:cs="仿宋"/>
          <w:color w:val="auto"/>
          <w:sz w:val="24"/>
          <w:szCs w:val="24"/>
          <w:highlight w:val="none"/>
        </w:rPr>
        <w:t>社会保障资金缴纳凭证。</w:t>
      </w:r>
    </w:p>
    <w:p w14:paraId="4F7BE248">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r>
        <w:rPr>
          <w:rFonts w:hint="eastAsia" w:ascii="仿宋" w:hAnsi="仿宋" w:eastAsia="仿宋" w:cs="仿宋"/>
          <w:b/>
          <w:bCs/>
          <w:color w:val="auto"/>
          <w:sz w:val="24"/>
          <w:szCs w:val="24"/>
          <w:highlight w:val="none"/>
          <w:lang w:val="en-US" w:eastAsia="zh-CN"/>
        </w:rPr>
        <w:t>投标人应经营状况良好，且近三年内（自本项目投标截止时间往前追溯）无违法违规记录</w:t>
      </w:r>
      <w:r>
        <w:rPr>
          <w:rFonts w:hint="eastAsia" w:ascii="仿宋" w:hAnsi="仿宋" w:eastAsia="仿宋" w:cs="仿宋"/>
          <w:color w:val="auto"/>
          <w:sz w:val="24"/>
          <w:szCs w:val="24"/>
          <w:highlight w:val="none"/>
          <w:lang w:val="en-US" w:eastAsia="zh-CN"/>
        </w:rPr>
        <w:t>。投标人未被“信用中国”网站http//www.creditchina.gov.cn)列入重大税收违法失信主体、政府采购严重违法失信行为记录名单，未被中国执行信息公开网(https://zxgk.court.gov.cn/)列入失信被执行人。</w:t>
      </w:r>
    </w:p>
    <w:p w14:paraId="3C1C3FB1">
      <w:pPr>
        <w:spacing w:line="360" w:lineRule="auto"/>
        <w:ind w:firstLine="480" w:firstLineChars="200"/>
        <w:textAlignment w:val="baseline"/>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3.6 </w:t>
      </w:r>
      <w:r>
        <w:rPr>
          <w:rFonts w:hint="eastAsia" w:ascii="仿宋" w:hAnsi="仿宋" w:eastAsia="仿宋" w:cs="仿宋"/>
          <w:b/>
          <w:color w:val="auto"/>
          <w:sz w:val="24"/>
          <w:szCs w:val="24"/>
          <w:highlight w:val="none"/>
        </w:rPr>
        <w:t>严禁列入招标人及其所隶属的中国人民保险各级机构的供应商黑名单且在禁入期内的供应商参与采购活动。</w:t>
      </w:r>
    </w:p>
    <w:p w14:paraId="110A9A2C">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3.7单位负责人为同一人或存在控股、管理关系的不同单位，不得参加同一标段/标包投标或未划分标段/标包的同一招标项目投标，需填写《投标人控股及管理关系情况申报表》。</w:t>
      </w:r>
    </w:p>
    <w:p w14:paraId="1E275B3D">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 xml:space="preserve"> 本项目不接受联合体投标</w:t>
      </w:r>
      <w:r>
        <w:rPr>
          <w:rFonts w:hint="eastAsia" w:ascii="仿宋" w:hAnsi="仿宋" w:eastAsia="仿宋" w:cs="仿宋"/>
          <w:color w:val="auto"/>
          <w:sz w:val="24"/>
          <w:szCs w:val="24"/>
          <w:highlight w:val="none"/>
          <w:lang w:val="en-US" w:eastAsia="zh-CN"/>
        </w:rPr>
        <w:t>，不允许转包、分包</w:t>
      </w:r>
      <w:r>
        <w:rPr>
          <w:rFonts w:hint="eastAsia" w:ascii="仿宋" w:hAnsi="仿宋" w:eastAsia="仿宋" w:cs="仿宋"/>
          <w:color w:val="auto"/>
          <w:sz w:val="24"/>
          <w:szCs w:val="24"/>
          <w:highlight w:val="none"/>
        </w:rPr>
        <w:t>。</w:t>
      </w:r>
    </w:p>
    <w:p w14:paraId="3BA54691">
      <w:pPr>
        <w:spacing w:line="360" w:lineRule="auto"/>
        <w:ind w:firstLine="480" w:firstLineChars="200"/>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szCs w:val="24"/>
          <w:highlight w:val="none"/>
          <w:lang w:val="en-US" w:eastAsia="zh-CN"/>
        </w:rPr>
        <w:t>其它资格要求：投标人须具有有效的《食品经营许可证》。</w:t>
      </w:r>
    </w:p>
    <w:p w14:paraId="06DBC528">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3.10</w:t>
      </w:r>
      <w:r>
        <w:rPr>
          <w:rFonts w:hint="eastAsia" w:ascii="仿宋" w:hAnsi="仿宋" w:eastAsia="仿宋" w:cs="仿宋"/>
          <w:color w:val="auto"/>
          <w:sz w:val="24"/>
          <w:szCs w:val="24"/>
          <w:highlight w:val="none"/>
        </w:rPr>
        <w:t>供应商如为个体工商户的，无须满足上述（</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）条件，但须符合以下条件：</w:t>
      </w:r>
    </w:p>
    <w:p w14:paraId="7AE09F87">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w:t>
      </w:r>
      <w:r>
        <w:rPr>
          <w:rFonts w:hint="eastAsia" w:ascii="仿宋" w:hAnsi="仿宋" w:eastAsia="仿宋" w:cs="仿宋"/>
          <w:color w:val="auto"/>
          <w:sz w:val="24"/>
          <w:szCs w:val="24"/>
          <w:highlight w:val="none"/>
          <w:lang w:val="en-US" w:eastAsia="zh-CN"/>
        </w:rPr>
        <w:t>有效的</w:t>
      </w:r>
      <w:r>
        <w:rPr>
          <w:rFonts w:hint="eastAsia" w:ascii="仿宋" w:hAnsi="仿宋" w:eastAsia="仿宋" w:cs="仿宋"/>
          <w:color w:val="auto"/>
          <w:sz w:val="24"/>
          <w:szCs w:val="24"/>
          <w:highlight w:val="none"/>
        </w:rPr>
        <w:t>营业执照</w:t>
      </w:r>
      <w:r>
        <w:rPr>
          <w:rFonts w:hint="eastAsia" w:ascii="仿宋" w:hAnsi="仿宋" w:eastAsia="仿宋" w:cs="仿宋"/>
          <w:color w:val="auto"/>
          <w:sz w:val="24"/>
          <w:szCs w:val="24"/>
          <w:highlight w:val="none"/>
          <w:lang w:val="en-US" w:eastAsia="zh-CN"/>
        </w:rPr>
        <w:t>影印件和食品经营许可证</w:t>
      </w:r>
      <w:r>
        <w:rPr>
          <w:rFonts w:hint="eastAsia" w:ascii="仿宋" w:hAnsi="仿宋" w:eastAsia="仿宋" w:cs="仿宋"/>
          <w:color w:val="auto"/>
          <w:sz w:val="24"/>
          <w:szCs w:val="24"/>
          <w:highlight w:val="none"/>
        </w:rPr>
        <w:t>。</w:t>
      </w:r>
    </w:p>
    <w:p w14:paraId="42394912">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（2）财务和经营状况良好，具备履行合同能力，近</w:t>
      </w:r>
      <w:r>
        <w:rPr>
          <w:rFonts w:hint="eastAsia" w:ascii="仿宋" w:hAnsi="仿宋" w:eastAsia="仿宋" w:cs="仿宋"/>
          <w:color w:val="auto"/>
          <w:sz w:val="24"/>
          <w:szCs w:val="24"/>
          <w:highlight w:val="none"/>
          <w:lang w:eastAsia="zh-CN"/>
        </w:rPr>
        <w:t>2年</w:t>
      </w:r>
      <w:r>
        <w:rPr>
          <w:rFonts w:hint="eastAsia" w:ascii="仿宋" w:hAnsi="仿宋" w:eastAsia="仿宋" w:cs="仿宋"/>
          <w:color w:val="auto"/>
          <w:sz w:val="24"/>
          <w:szCs w:val="24"/>
          <w:highlight w:val="none"/>
        </w:rPr>
        <w:t>内无不良经营行为（提供承诺函原件加盖公章）。</w:t>
      </w:r>
    </w:p>
    <w:p w14:paraId="0EAC1A65">
      <w:pPr>
        <w:spacing w:line="360" w:lineRule="auto"/>
        <w:ind w:firstLine="480" w:firstLineChars="200"/>
        <w:textAlignment w:val="baseline"/>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（3）未被“信用中国”网站列入失信被执行人、重大税收违法案件当事人、政府采购严重违法失信行为记录名单（提供承诺函原件加盖公章）。</w:t>
      </w:r>
    </w:p>
    <w:p w14:paraId="7F3D75F1">
      <w:pPr>
        <w:pStyle w:val="2"/>
        <w:rPr>
          <w:rFonts w:hint="eastAsia" w:ascii="仿宋" w:hAnsi="仿宋" w:eastAsia="仿宋" w:cs="仿宋"/>
          <w:color w:val="auto"/>
          <w:highlight w:val="none"/>
        </w:rPr>
      </w:pPr>
      <w:bookmarkStart w:id="21" w:name="_Toc21224"/>
      <w:bookmarkStart w:id="22" w:name="_Toc31409"/>
      <w:bookmarkStart w:id="23" w:name="_Toc109124226"/>
      <w:bookmarkStart w:id="24" w:name="_Toc65682916"/>
      <w:r>
        <w:rPr>
          <w:rFonts w:hint="eastAsia" w:ascii="仿宋" w:hAnsi="仿宋" w:eastAsia="仿宋" w:cs="仿宋"/>
          <w:color w:val="auto"/>
          <w:highlight w:val="none"/>
        </w:rPr>
        <w:t>四、资格审查方法</w:t>
      </w:r>
      <w:bookmarkEnd w:id="21"/>
      <w:bookmarkEnd w:id="22"/>
      <w:bookmarkEnd w:id="23"/>
      <w:bookmarkEnd w:id="24"/>
    </w:p>
    <w:p w14:paraId="7CE00971">
      <w:pPr>
        <w:spacing w:line="360" w:lineRule="auto"/>
        <w:ind w:firstLine="480" w:firstLineChars="200"/>
        <w:textAlignment w:val="baseline"/>
        <w:rPr>
          <w:rFonts w:hint="eastAsia" w:ascii="仿宋" w:hAnsi="仿宋" w:eastAsia="仿宋" w:cs="仿宋"/>
          <w:color w:val="auto"/>
          <w:sz w:val="24"/>
          <w:szCs w:val="24"/>
          <w:highlight w:val="none"/>
        </w:rPr>
      </w:pPr>
      <w:bookmarkStart w:id="25" w:name="_Toc32460"/>
      <w:bookmarkStart w:id="26" w:name="_Toc65682917"/>
      <w:r>
        <w:rPr>
          <w:rFonts w:hint="eastAsia" w:ascii="仿宋" w:hAnsi="仿宋" w:eastAsia="仿宋" w:cs="仿宋"/>
          <w:color w:val="auto"/>
          <w:sz w:val="24"/>
          <w:szCs w:val="24"/>
          <w:highlight w:val="none"/>
        </w:rPr>
        <w:t>本项目将进行资格后审，资格审查方法为合格制，资格审查标准和内容见招标文件第三章“评标办法”。未通过资格后审的投标人，投标将被否决。</w:t>
      </w:r>
    </w:p>
    <w:p w14:paraId="4D66DBC1">
      <w:pPr>
        <w:pStyle w:val="2"/>
        <w:rPr>
          <w:rFonts w:hint="eastAsia" w:ascii="仿宋" w:hAnsi="仿宋" w:eastAsia="仿宋" w:cs="仿宋"/>
          <w:color w:val="auto"/>
          <w:szCs w:val="24"/>
          <w:highlight w:val="none"/>
        </w:rPr>
      </w:pPr>
      <w:bookmarkStart w:id="27" w:name="_Toc109124227"/>
      <w:bookmarkStart w:id="28" w:name="_Toc15438"/>
      <w:r>
        <w:rPr>
          <w:rFonts w:hint="eastAsia" w:ascii="仿宋" w:hAnsi="仿宋" w:eastAsia="仿宋" w:cs="仿宋"/>
          <w:color w:val="auto"/>
          <w:szCs w:val="24"/>
          <w:highlight w:val="none"/>
        </w:rPr>
        <w:t>五、招标文件的获取</w:t>
      </w:r>
      <w:bookmarkEnd w:id="25"/>
      <w:bookmarkEnd w:id="26"/>
      <w:bookmarkEnd w:id="27"/>
      <w:bookmarkEnd w:id="28"/>
    </w:p>
    <w:p w14:paraId="5D9BD6E4">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5.1凡有意参加投标者，请于</w:t>
      </w:r>
      <w:r>
        <w:rPr>
          <w:rFonts w:hint="eastAsia" w:ascii="仿宋" w:hAnsi="仿宋" w:eastAsia="仿宋" w:cs="仿宋"/>
          <w:b/>
          <w:bCs/>
          <w:color w:val="auto"/>
          <w:sz w:val="24"/>
          <w:highlight w:val="none"/>
          <w:u w:val="single"/>
          <w:lang w:val="en-US" w:eastAsia="zh-CN"/>
        </w:rPr>
        <w:t>2026</w:t>
      </w:r>
      <w:r>
        <w:rPr>
          <w:rFonts w:hint="eastAsia" w:ascii="仿宋" w:hAnsi="仿宋" w:eastAsia="仿宋" w:cs="仿宋"/>
          <w:b/>
          <w:bCs/>
          <w:color w:val="auto"/>
          <w:sz w:val="24"/>
          <w:highlight w:val="none"/>
        </w:rPr>
        <w:t>年</w:t>
      </w:r>
      <w:r>
        <w:rPr>
          <w:rFonts w:hint="eastAsia" w:ascii="仿宋" w:hAnsi="仿宋" w:eastAsia="仿宋" w:cs="仿宋"/>
          <w:b/>
          <w:bCs/>
          <w:color w:val="auto"/>
          <w:sz w:val="24"/>
          <w:highlight w:val="none"/>
          <w:u w:val="single"/>
          <w:lang w:val="en-US" w:eastAsia="zh-CN"/>
        </w:rPr>
        <w:t>05</w:t>
      </w:r>
      <w:r>
        <w:rPr>
          <w:rFonts w:hint="eastAsia" w:ascii="仿宋" w:hAnsi="仿宋" w:eastAsia="仿宋" w:cs="仿宋"/>
          <w:b/>
          <w:bCs/>
          <w:color w:val="auto"/>
          <w:sz w:val="24"/>
          <w:highlight w:val="none"/>
        </w:rPr>
        <w:t>月</w:t>
      </w:r>
      <w:r>
        <w:rPr>
          <w:rFonts w:hint="eastAsia" w:ascii="仿宋" w:hAnsi="仿宋" w:eastAsia="仿宋" w:cs="仿宋"/>
          <w:b/>
          <w:bCs/>
          <w:color w:val="auto"/>
          <w:sz w:val="24"/>
          <w:highlight w:val="none"/>
          <w:u w:val="single"/>
          <w:lang w:val="en-US" w:eastAsia="zh-CN"/>
        </w:rPr>
        <w:t>07</w:t>
      </w:r>
      <w:r>
        <w:rPr>
          <w:rFonts w:hint="eastAsia" w:ascii="仿宋" w:hAnsi="仿宋" w:eastAsia="仿宋" w:cs="仿宋"/>
          <w:b/>
          <w:bCs/>
          <w:color w:val="auto"/>
          <w:sz w:val="24"/>
          <w:highlight w:val="none"/>
        </w:rPr>
        <w:t>日至</w:t>
      </w:r>
      <w:r>
        <w:rPr>
          <w:rFonts w:hint="eastAsia" w:ascii="仿宋" w:hAnsi="仿宋" w:eastAsia="仿宋" w:cs="仿宋"/>
          <w:b/>
          <w:bCs/>
          <w:color w:val="auto"/>
          <w:sz w:val="24"/>
          <w:highlight w:val="none"/>
          <w:u w:val="single"/>
          <w:lang w:val="en-US" w:eastAsia="zh-CN"/>
        </w:rPr>
        <w:t>2026</w:t>
      </w:r>
      <w:r>
        <w:rPr>
          <w:rFonts w:hint="eastAsia" w:ascii="仿宋" w:hAnsi="仿宋" w:eastAsia="仿宋" w:cs="仿宋"/>
          <w:b/>
          <w:bCs/>
          <w:color w:val="auto"/>
          <w:sz w:val="24"/>
          <w:highlight w:val="none"/>
        </w:rPr>
        <w:t>年</w:t>
      </w:r>
      <w:r>
        <w:rPr>
          <w:rFonts w:hint="eastAsia" w:ascii="仿宋" w:hAnsi="仿宋" w:eastAsia="仿宋" w:cs="仿宋"/>
          <w:b/>
          <w:bCs/>
          <w:color w:val="auto"/>
          <w:sz w:val="24"/>
          <w:highlight w:val="none"/>
          <w:u w:val="single"/>
          <w:lang w:val="en-US" w:eastAsia="zh-CN"/>
        </w:rPr>
        <w:t>05</w:t>
      </w:r>
      <w:r>
        <w:rPr>
          <w:rFonts w:hint="eastAsia" w:ascii="仿宋" w:hAnsi="仿宋" w:eastAsia="仿宋" w:cs="仿宋"/>
          <w:b/>
          <w:bCs/>
          <w:color w:val="auto"/>
          <w:sz w:val="24"/>
          <w:highlight w:val="none"/>
        </w:rPr>
        <w:t>月</w:t>
      </w:r>
      <w:r>
        <w:rPr>
          <w:rFonts w:hint="eastAsia" w:ascii="仿宋" w:hAnsi="仿宋" w:eastAsia="仿宋" w:cs="仿宋"/>
          <w:b/>
          <w:bCs/>
          <w:color w:val="auto"/>
          <w:sz w:val="24"/>
          <w:highlight w:val="none"/>
          <w:u w:val="single"/>
          <w:lang w:val="en-US" w:eastAsia="zh-CN"/>
        </w:rPr>
        <w:t>14</w:t>
      </w:r>
      <w:r>
        <w:rPr>
          <w:rFonts w:hint="eastAsia" w:ascii="仿宋" w:hAnsi="仿宋" w:eastAsia="仿宋" w:cs="仿宋"/>
          <w:b/>
          <w:bCs/>
          <w:color w:val="auto"/>
          <w:sz w:val="24"/>
          <w:highlight w:val="none"/>
        </w:rPr>
        <w:t>日</w:t>
      </w:r>
      <w:r>
        <w:rPr>
          <w:rFonts w:hint="eastAsia" w:ascii="仿宋" w:hAnsi="仿宋" w:eastAsia="仿宋" w:cs="仿宋"/>
          <w:color w:val="auto"/>
          <w:sz w:val="24"/>
          <w:highlight w:val="none"/>
        </w:rPr>
        <w:t>，登录</w:t>
      </w:r>
      <w:r>
        <w:rPr>
          <w:rFonts w:hint="eastAsia" w:ascii="仿宋" w:hAnsi="仿宋" w:eastAsia="仿宋" w:cs="仿宋"/>
          <w:color w:val="auto"/>
          <w:sz w:val="24"/>
          <w:highlight w:val="none"/>
          <w:u w:val="single"/>
        </w:rPr>
        <w:t>诚E招电子采购交易平台（https://www.chengezhao.com/）</w:t>
      </w:r>
      <w:r>
        <w:rPr>
          <w:rFonts w:hint="eastAsia" w:ascii="仿宋" w:hAnsi="仿宋" w:eastAsia="仿宋" w:cs="仿宋"/>
          <w:color w:val="auto"/>
          <w:sz w:val="24"/>
          <w:highlight w:val="none"/>
        </w:rPr>
        <w:t>下载电子招标文件。请按以下步骤顺序进行操作：通过“诚E招电子采购交易平台”（网址：https://www.chengezhao.com/）完成本项目招标文件的费用支付并及时下载招标文件。</w:t>
      </w:r>
    </w:p>
    <w:p w14:paraId="521E5BE0">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（1）输入网址，点击【新用户注册】（注册步骤详见门户网站：【投标人操作指南】-【注册指引】）。登陆账号后点击【常用文件】，下载《投标人&amp;供应商操作手册》（已注册供应商跳过本步）；</w:t>
      </w:r>
    </w:p>
    <w:p w14:paraId="4B31FD4A">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（2）注册成功后登录平台，点击【商机发现】，检索本项目并直接支付；</w:t>
      </w:r>
    </w:p>
    <w:p w14:paraId="1F8C7BDC">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注意：无论招标文件是否收费，投标人请务必在标书售卖截止时间前登录平台，选择招标项目进行招标文件购买操作；否则将无法正常投标。</w:t>
      </w:r>
    </w:p>
    <w:p w14:paraId="17ADE143">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（3）选择支付方式：①网上支付（微信扫码）、②电汇（须上传汇款凭证）、③钱包支付（点击“钱包管理”，充值后即可支付）。</w:t>
      </w:r>
    </w:p>
    <w:p w14:paraId="59AC2F94">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（4）点击【我的项目】，进入项目后下载招标文件即完成文件获取。</w:t>
      </w:r>
    </w:p>
    <w:p w14:paraId="4DE83E65">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（5）疑问反馈：投标人针对投标人注册、招标文件获取、网上操作等相关业务的咨询，可查询平台首页“帮助中心”专区，或致电客服热线020-89524219，服务时间8:30-17:30（工作日）。</w:t>
      </w:r>
    </w:p>
    <w:p w14:paraId="1661D623">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（6）免责声明：“诚E招电子采购交易平台”（网址：https://www.chengezhao.com/）为本项目招标文件获取的唯一渠道，其他平台支付及获取文件均属无效。</w:t>
      </w:r>
    </w:p>
    <w:p w14:paraId="22B8EDC9">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注意：招标文件的获取方式及操作步骤详见《投标人&amp;供应商操作手册》-“购买文件”等。</w:t>
      </w:r>
    </w:p>
    <w:p w14:paraId="0BF821A5">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5.2 招标文件每套售价</w:t>
      </w:r>
      <w:r>
        <w:rPr>
          <w:rFonts w:hint="eastAsia" w:ascii="仿宋" w:hAnsi="仿宋" w:eastAsia="仿宋" w:cs="仿宋"/>
          <w:color w:val="auto"/>
          <w:sz w:val="24"/>
          <w:highlight w:val="none"/>
          <w:u w:val="single"/>
        </w:rPr>
        <w:t xml:space="preserve"> 400 </w:t>
      </w:r>
      <w:r>
        <w:rPr>
          <w:rFonts w:hint="eastAsia" w:ascii="仿宋" w:hAnsi="仿宋" w:eastAsia="仿宋" w:cs="仿宋"/>
          <w:color w:val="auto"/>
          <w:sz w:val="24"/>
          <w:highlight w:val="none"/>
        </w:rPr>
        <w:t>元，售后不退。</w:t>
      </w:r>
    </w:p>
    <w:p w14:paraId="105E75DE">
      <w:pPr>
        <w:pStyle w:val="2"/>
        <w:rPr>
          <w:rFonts w:hint="eastAsia" w:ascii="仿宋" w:hAnsi="仿宋" w:eastAsia="仿宋" w:cs="仿宋"/>
          <w:color w:val="auto"/>
          <w:highlight w:val="none"/>
        </w:rPr>
      </w:pPr>
      <w:bookmarkStart w:id="29" w:name="_Toc109124228"/>
      <w:bookmarkStart w:id="30" w:name="_Toc7435"/>
      <w:bookmarkStart w:id="31" w:name="_Toc17727"/>
      <w:r>
        <w:rPr>
          <w:rFonts w:hint="eastAsia" w:ascii="仿宋" w:hAnsi="仿宋" w:eastAsia="仿宋" w:cs="仿宋"/>
          <w:color w:val="auto"/>
          <w:highlight w:val="none"/>
        </w:rPr>
        <w:t>六、投标文件的递交</w:t>
      </w:r>
      <w:bookmarkEnd w:id="29"/>
      <w:bookmarkEnd w:id="30"/>
      <w:bookmarkEnd w:id="31"/>
    </w:p>
    <w:p w14:paraId="55A2BCEB">
      <w:pPr>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6.1投标</w:t>
      </w:r>
      <w:r>
        <w:rPr>
          <w:rFonts w:hint="eastAsia" w:ascii="仿宋" w:hAnsi="仿宋" w:eastAsia="仿宋" w:cs="仿宋"/>
          <w:color w:val="auto"/>
          <w:sz w:val="24"/>
          <w:szCs w:val="24"/>
          <w:highlight w:val="none"/>
          <w:lang w:val="en-US" w:eastAsia="zh-CN"/>
        </w:rPr>
        <w:t>文件递交</w:t>
      </w:r>
      <w:r>
        <w:rPr>
          <w:rFonts w:hint="eastAsia" w:ascii="仿宋" w:hAnsi="仿宋" w:eastAsia="仿宋" w:cs="仿宋"/>
          <w:color w:val="auto"/>
          <w:sz w:val="24"/>
          <w:szCs w:val="24"/>
          <w:highlight w:val="none"/>
        </w:rPr>
        <w:t>截止时间：</w:t>
      </w:r>
      <w:r>
        <w:rPr>
          <w:rFonts w:hint="eastAsia" w:ascii="仿宋" w:hAnsi="仿宋" w:eastAsia="仿宋" w:cs="仿宋"/>
          <w:b/>
          <w:bCs/>
          <w:color w:val="auto"/>
          <w:sz w:val="24"/>
          <w:highlight w:val="none"/>
          <w:u w:val="single"/>
          <w:lang w:val="en-US" w:eastAsia="zh-CN"/>
        </w:rPr>
        <w:t>2026</w:t>
      </w:r>
      <w:r>
        <w:rPr>
          <w:rFonts w:hint="eastAsia" w:ascii="仿宋" w:hAnsi="仿宋" w:eastAsia="仿宋" w:cs="仿宋"/>
          <w:b/>
          <w:bCs/>
          <w:color w:val="auto"/>
          <w:sz w:val="24"/>
          <w:szCs w:val="24"/>
          <w:highlight w:val="none"/>
          <w:u w:val="single"/>
        </w:rPr>
        <w:t>年</w:t>
      </w:r>
      <w:r>
        <w:rPr>
          <w:rFonts w:hint="eastAsia" w:ascii="仿宋" w:hAnsi="仿宋" w:eastAsia="仿宋" w:cs="仿宋"/>
          <w:b/>
          <w:bCs/>
          <w:color w:val="auto"/>
          <w:sz w:val="24"/>
          <w:szCs w:val="24"/>
          <w:highlight w:val="none"/>
          <w:u w:val="single"/>
          <w:lang w:val="en-US" w:eastAsia="zh-CN"/>
        </w:rPr>
        <w:t>05</w:t>
      </w:r>
      <w:r>
        <w:rPr>
          <w:rFonts w:hint="eastAsia" w:ascii="仿宋" w:hAnsi="仿宋" w:eastAsia="仿宋" w:cs="仿宋"/>
          <w:b/>
          <w:bCs/>
          <w:color w:val="auto"/>
          <w:sz w:val="24"/>
          <w:szCs w:val="24"/>
          <w:highlight w:val="none"/>
          <w:u w:val="single"/>
        </w:rPr>
        <w:t>月</w:t>
      </w:r>
      <w:r>
        <w:rPr>
          <w:rFonts w:hint="eastAsia" w:ascii="仿宋" w:hAnsi="仿宋" w:eastAsia="仿宋" w:cs="仿宋"/>
          <w:b/>
          <w:bCs/>
          <w:color w:val="auto"/>
          <w:sz w:val="24"/>
          <w:szCs w:val="24"/>
          <w:highlight w:val="none"/>
          <w:u w:val="single"/>
          <w:lang w:val="en-US" w:eastAsia="zh-CN"/>
        </w:rPr>
        <w:t>27</w:t>
      </w:r>
      <w:r>
        <w:rPr>
          <w:rFonts w:hint="eastAsia" w:ascii="仿宋" w:hAnsi="仿宋" w:eastAsia="仿宋" w:cs="仿宋"/>
          <w:b/>
          <w:bCs/>
          <w:color w:val="auto"/>
          <w:sz w:val="24"/>
          <w:szCs w:val="24"/>
          <w:highlight w:val="none"/>
          <w:u w:val="single"/>
        </w:rPr>
        <w:t>日</w:t>
      </w:r>
      <w:r>
        <w:rPr>
          <w:rFonts w:hint="eastAsia" w:ascii="仿宋" w:hAnsi="仿宋" w:eastAsia="仿宋" w:cs="仿宋"/>
          <w:b/>
          <w:bCs/>
          <w:color w:val="auto"/>
          <w:sz w:val="24"/>
          <w:szCs w:val="24"/>
          <w:highlight w:val="none"/>
          <w:u w:val="single"/>
          <w:lang w:val="en-US" w:eastAsia="zh-CN"/>
        </w:rPr>
        <w:t>14</w:t>
      </w:r>
      <w:r>
        <w:rPr>
          <w:rFonts w:hint="eastAsia" w:ascii="仿宋" w:hAnsi="仿宋" w:eastAsia="仿宋" w:cs="仿宋"/>
          <w:b/>
          <w:bCs/>
          <w:color w:val="auto"/>
          <w:sz w:val="24"/>
          <w:szCs w:val="24"/>
          <w:highlight w:val="none"/>
          <w:u w:val="single"/>
        </w:rPr>
        <w:t>时</w:t>
      </w:r>
      <w:r>
        <w:rPr>
          <w:rFonts w:hint="eastAsia" w:ascii="仿宋" w:hAnsi="仿宋" w:eastAsia="仿宋" w:cs="仿宋"/>
          <w:b/>
          <w:bCs/>
          <w:color w:val="auto"/>
          <w:sz w:val="24"/>
          <w:szCs w:val="24"/>
          <w:highlight w:val="none"/>
          <w:u w:val="single"/>
          <w:lang w:val="en-US" w:eastAsia="zh-CN"/>
        </w:rPr>
        <w:t>00</w:t>
      </w:r>
      <w:r>
        <w:rPr>
          <w:rFonts w:hint="eastAsia" w:ascii="仿宋" w:hAnsi="仿宋" w:eastAsia="仿宋" w:cs="仿宋"/>
          <w:b/>
          <w:bCs/>
          <w:color w:val="auto"/>
          <w:sz w:val="24"/>
          <w:szCs w:val="24"/>
          <w:highlight w:val="none"/>
          <w:u w:val="single"/>
        </w:rPr>
        <w:t>分00秒</w:t>
      </w:r>
      <w:r>
        <w:rPr>
          <w:rFonts w:hint="eastAsia" w:ascii="仿宋" w:hAnsi="仿宋" w:eastAsia="仿宋" w:cs="仿宋"/>
          <w:b/>
          <w:bCs/>
          <w:color w:val="auto"/>
          <w:sz w:val="24"/>
          <w:szCs w:val="24"/>
          <w:highlight w:val="none"/>
        </w:rPr>
        <w:t>。</w:t>
      </w:r>
    </w:p>
    <w:p w14:paraId="16F4A378">
      <w:pPr>
        <w:spacing w:line="360" w:lineRule="auto"/>
        <w:ind w:firstLine="480" w:firstLineChars="200"/>
        <w:textAlignment w:val="baseline"/>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6.2投标文件递交</w:t>
      </w:r>
      <w:r>
        <w:rPr>
          <w:rFonts w:hint="eastAsia" w:ascii="仿宋" w:hAnsi="仿宋" w:eastAsia="仿宋" w:cs="仿宋"/>
          <w:color w:val="auto"/>
          <w:sz w:val="24"/>
          <w:szCs w:val="24"/>
          <w:highlight w:val="none"/>
          <w:lang w:val="en-US" w:eastAsia="zh-CN"/>
        </w:rPr>
        <w:t>地点</w:t>
      </w:r>
      <w:r>
        <w:rPr>
          <w:rFonts w:hint="eastAsia" w:ascii="仿宋" w:hAnsi="仿宋" w:eastAsia="仿宋" w:cs="仿宋"/>
          <w:color w:val="auto"/>
          <w:sz w:val="24"/>
          <w:szCs w:val="24"/>
          <w:highlight w:val="none"/>
        </w:rPr>
        <w:t>：须现场递交至</w:t>
      </w:r>
      <w:r>
        <w:rPr>
          <w:rFonts w:hint="eastAsia" w:ascii="仿宋" w:hAnsi="仿宋" w:eastAsia="仿宋" w:cs="仿宋"/>
          <w:b w:val="0"/>
          <w:bCs/>
          <w:color w:val="auto"/>
          <w:sz w:val="24"/>
          <w:highlight w:val="none"/>
          <w:u w:val="single"/>
        </w:rPr>
        <w:t>安徽省合肥市包河区宿松路与汤泉路交口绿地中心D座54F公诚管理咨询有限公司开标室</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rPr>
        <w:t>逾期送达或者未送达指定地点或者未按照招标文件要求封装的纸质投标文件不予接收。</w:t>
      </w:r>
      <w:bookmarkStart w:id="32" w:name="_Toc3941"/>
      <w:bookmarkStart w:id="33" w:name="_Toc109124229"/>
    </w:p>
    <w:p w14:paraId="2FC4824E">
      <w:pPr>
        <w:spacing w:line="360" w:lineRule="auto"/>
        <w:ind w:firstLine="480" w:firstLineChars="200"/>
        <w:textAlignment w:val="baseline"/>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6.3</w:t>
      </w:r>
      <w:r>
        <w:rPr>
          <w:rFonts w:hint="eastAsia" w:ascii="仿宋" w:hAnsi="仿宋" w:eastAsia="仿宋" w:cs="仿宋"/>
          <w:b/>
          <w:bCs/>
          <w:color w:val="auto"/>
          <w:kern w:val="2"/>
          <w:sz w:val="24"/>
          <w:szCs w:val="24"/>
          <w:highlight w:val="none"/>
          <w:lang w:val="en-US" w:eastAsia="zh-CN" w:bidi="ar-SA"/>
        </w:rPr>
        <w:t>本项目将于上述同一时间、地点进行开标</w:t>
      </w:r>
      <w:r>
        <w:rPr>
          <w:rFonts w:hint="eastAsia" w:ascii="仿宋" w:hAnsi="仿宋" w:eastAsia="仿宋" w:cs="仿宋"/>
          <w:b w:val="0"/>
          <w:bCs w:val="0"/>
          <w:color w:val="auto"/>
          <w:kern w:val="2"/>
          <w:sz w:val="24"/>
          <w:szCs w:val="24"/>
          <w:highlight w:val="none"/>
          <w:lang w:val="en-US" w:eastAsia="zh-CN" w:bidi="ar-SA"/>
        </w:rPr>
        <w:t>，招标人/招标代理机构邀请投标人代表准时参加。</w:t>
      </w:r>
    </w:p>
    <w:p w14:paraId="2ACC3E2C">
      <w:pPr>
        <w:spacing w:line="360" w:lineRule="auto"/>
        <w:ind w:firstLine="480" w:firstLineChars="200"/>
        <w:textAlignment w:val="baseline"/>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6.4</w:t>
      </w:r>
      <w:r>
        <w:rPr>
          <w:rFonts w:hint="eastAsia" w:ascii="仿宋" w:hAnsi="仿宋" w:eastAsia="仿宋" w:cs="仿宋"/>
          <w:b/>
          <w:bCs/>
          <w:color w:val="auto"/>
          <w:kern w:val="2"/>
          <w:sz w:val="24"/>
          <w:szCs w:val="24"/>
          <w:highlight w:val="none"/>
          <w:lang w:val="en-US" w:eastAsia="zh-CN" w:bidi="ar-SA"/>
        </w:rPr>
        <w:t>出现以下情形之一时，招标人/招标代理机构不予接收投标文件：</w:t>
      </w:r>
    </w:p>
    <w:p w14:paraId="7B1DF58A">
      <w:pPr>
        <w:spacing w:line="360" w:lineRule="auto"/>
        <w:ind w:firstLine="480" w:firstLineChars="200"/>
        <w:textAlignment w:val="baseline"/>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6.4.1  逾期送达或者未送达指定地点的；</w:t>
      </w:r>
    </w:p>
    <w:p w14:paraId="32472A32">
      <w:pPr>
        <w:spacing w:line="360" w:lineRule="auto"/>
        <w:ind w:firstLine="480" w:firstLineChars="200"/>
        <w:textAlignment w:val="baseline"/>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6.4.2  未按照招标文件要求密封的；</w:t>
      </w:r>
    </w:p>
    <w:p w14:paraId="78DA4A36">
      <w:pPr>
        <w:spacing w:line="360" w:lineRule="auto"/>
        <w:ind w:firstLine="480" w:firstLineChars="200"/>
        <w:textAlignment w:val="baseline"/>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6.4.3  未按照招标公告要求获取招标文件的。</w:t>
      </w:r>
    </w:p>
    <w:p w14:paraId="078DA82A">
      <w:pPr>
        <w:spacing w:line="360" w:lineRule="auto"/>
        <w:ind w:firstLine="480" w:firstLineChars="200"/>
        <w:textAlignment w:val="baseline"/>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 xml:space="preserve">6.5 </w:t>
      </w:r>
      <w:r>
        <w:rPr>
          <w:rFonts w:hint="eastAsia" w:ascii="仿宋" w:hAnsi="仿宋" w:eastAsia="仿宋" w:cs="仿宋"/>
          <w:b/>
          <w:bCs/>
          <w:color w:val="auto"/>
          <w:kern w:val="2"/>
          <w:sz w:val="24"/>
          <w:szCs w:val="24"/>
          <w:highlight w:val="none"/>
          <w:lang w:val="en-US" w:eastAsia="zh-CN" w:bidi="ar-SA"/>
        </w:rPr>
        <w:t>本项目可邮寄招标文件，邮寄信息如下：</w:t>
      </w:r>
    </w:p>
    <w:p w14:paraId="0E16292B">
      <w:pPr>
        <w:spacing w:line="360" w:lineRule="auto"/>
        <w:ind w:firstLine="482" w:firstLineChars="200"/>
        <w:textAlignment w:val="baseline"/>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邮寄地址：</w:t>
      </w:r>
      <w:r>
        <w:rPr>
          <w:rFonts w:hint="eastAsia" w:ascii="仿宋" w:hAnsi="仿宋" w:eastAsia="仿宋" w:cs="仿宋"/>
          <w:b/>
          <w:bCs/>
          <w:color w:val="auto"/>
          <w:sz w:val="24"/>
          <w:highlight w:val="none"/>
          <w:u w:val="single"/>
        </w:rPr>
        <w:t>安徽省合肥市包河区宿松路与汤泉路交口绿地中心D座54F公诚管理咨询有限公司</w:t>
      </w:r>
    </w:p>
    <w:p w14:paraId="3491098E">
      <w:pPr>
        <w:spacing w:line="360" w:lineRule="auto"/>
        <w:ind w:firstLine="482" w:firstLineChars="200"/>
        <w:textAlignment w:val="baseline"/>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收信人：</w:t>
      </w:r>
      <w:r>
        <w:rPr>
          <w:rFonts w:hint="eastAsia" w:ascii="仿宋" w:hAnsi="仿宋" w:eastAsia="仿宋" w:cs="仿宋"/>
          <w:b/>
          <w:bCs/>
          <w:color w:val="auto"/>
          <w:kern w:val="2"/>
          <w:sz w:val="24"/>
          <w:szCs w:val="24"/>
          <w:highlight w:val="none"/>
          <w:u w:val="single"/>
          <w:lang w:val="en-US" w:eastAsia="zh-CN" w:bidi="ar-SA"/>
        </w:rPr>
        <w:t>程工</w:t>
      </w:r>
    </w:p>
    <w:p w14:paraId="65C88421">
      <w:pPr>
        <w:spacing w:line="360" w:lineRule="auto"/>
        <w:ind w:firstLine="482" w:firstLineChars="200"/>
        <w:textAlignment w:val="baseline"/>
        <w:rPr>
          <w:rFonts w:hint="default" w:ascii="仿宋" w:hAnsi="仿宋" w:eastAsia="仿宋" w:cs="仿宋"/>
          <w:b/>
          <w:bCs/>
          <w:color w:val="auto"/>
          <w:kern w:val="2"/>
          <w:sz w:val="24"/>
          <w:szCs w:val="24"/>
          <w:highlight w:val="none"/>
          <w:u w:val="single"/>
          <w:lang w:val="en-US" w:eastAsia="zh-CN" w:bidi="ar-SA"/>
        </w:rPr>
      </w:pPr>
      <w:r>
        <w:rPr>
          <w:rFonts w:hint="eastAsia" w:ascii="仿宋" w:hAnsi="仿宋" w:eastAsia="仿宋" w:cs="仿宋"/>
          <w:b/>
          <w:bCs/>
          <w:color w:val="auto"/>
          <w:kern w:val="2"/>
          <w:sz w:val="24"/>
          <w:szCs w:val="24"/>
          <w:highlight w:val="none"/>
          <w:lang w:val="en-US" w:eastAsia="zh-CN" w:bidi="ar-SA"/>
        </w:rPr>
        <w:t>联系电话：</w:t>
      </w:r>
      <w:r>
        <w:rPr>
          <w:rFonts w:hint="eastAsia" w:ascii="仿宋" w:hAnsi="仿宋" w:eastAsia="仿宋" w:cs="仿宋"/>
          <w:b/>
          <w:bCs/>
          <w:color w:val="auto"/>
          <w:kern w:val="2"/>
          <w:sz w:val="24"/>
          <w:szCs w:val="24"/>
          <w:highlight w:val="none"/>
          <w:u w:val="single"/>
          <w:lang w:val="en-US" w:eastAsia="zh-CN" w:bidi="ar-SA"/>
        </w:rPr>
        <w:t>18911819121</w:t>
      </w:r>
    </w:p>
    <w:p w14:paraId="5D262AC9">
      <w:pPr>
        <w:spacing w:line="360" w:lineRule="auto"/>
        <w:ind w:firstLine="482" w:firstLineChars="200"/>
        <w:textAlignment w:val="baseline"/>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特殊说明：如供应商选择邮寄投标文件，则根据招标代理机构实际收到投标文件的时间为准。如因快递途中延误或派送延误的原因导致招标代理机构未能在投标时间截止前收到投标文件的，由供应商自行承担责任，供应商应充分考虑相关风险因素。</w:t>
      </w:r>
    </w:p>
    <w:p w14:paraId="1E11C641">
      <w:pPr>
        <w:pStyle w:val="2"/>
        <w:rPr>
          <w:rFonts w:hint="eastAsia" w:ascii="仿宋" w:hAnsi="仿宋" w:eastAsia="仿宋" w:cs="仿宋"/>
          <w:color w:val="auto"/>
          <w:highlight w:val="none"/>
        </w:rPr>
      </w:pPr>
      <w:bookmarkStart w:id="34" w:name="_Toc10816"/>
      <w:r>
        <w:rPr>
          <w:rFonts w:hint="eastAsia" w:ascii="仿宋" w:hAnsi="仿宋" w:eastAsia="仿宋" w:cs="仿宋"/>
          <w:color w:val="auto"/>
          <w:highlight w:val="none"/>
          <w:lang w:val="en-US" w:eastAsia="zh-CN"/>
        </w:rPr>
        <w:t>七</w:t>
      </w:r>
      <w:r>
        <w:rPr>
          <w:rFonts w:hint="eastAsia" w:ascii="仿宋" w:hAnsi="仿宋" w:eastAsia="仿宋" w:cs="仿宋"/>
          <w:color w:val="auto"/>
          <w:highlight w:val="none"/>
        </w:rPr>
        <w:t>、发布公告的媒介</w:t>
      </w:r>
      <w:bookmarkEnd w:id="32"/>
      <w:bookmarkEnd w:id="33"/>
      <w:bookmarkEnd w:id="34"/>
    </w:p>
    <w:p w14:paraId="370AB5F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本项目招标公</w:t>
      </w:r>
      <w:r>
        <w:rPr>
          <w:rFonts w:hint="eastAsia" w:ascii="仿宋" w:hAnsi="仿宋" w:eastAsia="仿宋" w:cs="仿宋"/>
          <w:color w:val="auto"/>
          <w:sz w:val="24"/>
          <w:szCs w:val="24"/>
          <w:highlight w:val="none"/>
          <w:u w:val="none"/>
        </w:rPr>
        <w:t>告同时在</w:t>
      </w:r>
      <w:r>
        <w:rPr>
          <w:rFonts w:hint="eastAsia" w:ascii="仿宋" w:hAnsi="仿宋" w:eastAsia="仿宋" w:cs="仿宋"/>
          <w:color w:val="auto"/>
          <w:sz w:val="24"/>
          <w:highlight w:val="none"/>
          <w:u w:val="none"/>
        </w:rPr>
        <w:t>“人保e采”外网门户</w:t>
      </w:r>
      <w:r>
        <w:rPr>
          <w:rFonts w:hint="eastAsia" w:ascii="仿宋" w:hAnsi="仿宋" w:eastAsia="仿宋" w:cs="仿宋"/>
          <w:color w:val="auto"/>
          <w:sz w:val="24"/>
          <w:szCs w:val="24"/>
          <w:highlight w:val="none"/>
        </w:rPr>
        <w:t>（https://ec.picc.com/）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中国招标投标公共服务平台（http://www.cebpubservice.com/）、中国金融集中采购网（http://www.cfcpn.com/）、</w:t>
      </w:r>
      <w:r>
        <w:rPr>
          <w:rFonts w:hint="eastAsia" w:ascii="仿宋" w:hAnsi="仿宋" w:eastAsia="仿宋" w:cs="仿宋"/>
          <w:color w:val="auto"/>
          <w:sz w:val="24"/>
          <w:szCs w:val="24"/>
          <w:highlight w:val="none"/>
        </w:rPr>
        <w:t>中国采购与招标网（http://www.chinabid</w:t>
      </w:r>
      <w:r>
        <w:rPr>
          <w:rFonts w:hint="eastAsia" w:ascii="仿宋" w:hAnsi="仿宋" w:eastAsia="仿宋" w:cs="仿宋"/>
          <w:color w:val="auto"/>
          <w:sz w:val="24"/>
          <w:highlight w:val="none"/>
          <w:u w:val="none"/>
        </w:rPr>
        <w:t>ding.com.cn）</w:t>
      </w:r>
      <w:r>
        <w:rPr>
          <w:rFonts w:hint="eastAsia" w:ascii="仿宋" w:hAnsi="仿宋" w:eastAsia="仿宋" w:cs="仿宋"/>
          <w:color w:val="auto"/>
          <w:sz w:val="24"/>
          <w:szCs w:val="24"/>
          <w:highlight w:val="none"/>
          <w:u w:val="none"/>
          <w:lang w:val="en-US" w:eastAsia="zh-CN"/>
        </w:rPr>
        <w:t>和</w:t>
      </w:r>
      <w:r>
        <w:rPr>
          <w:rFonts w:hint="eastAsia" w:ascii="仿宋" w:hAnsi="仿宋" w:eastAsia="仿宋" w:cs="仿宋"/>
          <w:color w:val="auto"/>
          <w:sz w:val="24"/>
          <w:highlight w:val="none"/>
          <w:u w:val="none"/>
        </w:rPr>
        <w:t>安徽省招标投标信息网（http://www.ahtba.org.cn）</w:t>
      </w:r>
      <w:r>
        <w:rPr>
          <w:rFonts w:hint="eastAsia" w:ascii="仿宋" w:hAnsi="仿宋" w:eastAsia="仿宋" w:cs="仿宋"/>
          <w:color w:val="auto"/>
          <w:sz w:val="24"/>
          <w:szCs w:val="24"/>
          <w:highlight w:val="none"/>
          <w:u w:val="none"/>
        </w:rPr>
        <w:t>上发布，除上</w:t>
      </w:r>
      <w:r>
        <w:rPr>
          <w:rFonts w:hint="eastAsia" w:ascii="仿宋" w:hAnsi="仿宋" w:eastAsia="仿宋" w:cs="仿宋"/>
          <w:color w:val="auto"/>
          <w:sz w:val="24"/>
          <w:szCs w:val="24"/>
          <w:highlight w:val="none"/>
        </w:rPr>
        <w:t>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5A87CCDE">
      <w:pPr>
        <w:pStyle w:val="2"/>
        <w:rPr>
          <w:rFonts w:hint="eastAsia" w:ascii="仿宋" w:hAnsi="仿宋" w:eastAsia="仿宋" w:cs="仿宋"/>
          <w:color w:val="auto"/>
          <w:highlight w:val="none"/>
        </w:rPr>
      </w:pPr>
      <w:bookmarkStart w:id="35" w:name="_Toc43"/>
      <w:bookmarkStart w:id="36" w:name="_Toc26408"/>
      <w:bookmarkStart w:id="37" w:name="_Toc7046"/>
      <w:bookmarkStart w:id="38" w:name="_Toc24589"/>
      <w:bookmarkStart w:id="39" w:name="_Toc20415"/>
      <w:bookmarkStart w:id="40" w:name="_Toc109124230"/>
      <w:r>
        <w:rPr>
          <w:rFonts w:hint="eastAsia" w:ascii="仿宋" w:hAnsi="仿宋" w:eastAsia="仿宋" w:cs="仿宋"/>
          <w:color w:val="auto"/>
          <w:highlight w:val="none"/>
          <w:lang w:val="en-US" w:eastAsia="zh-CN"/>
        </w:rPr>
        <w:t>八</w:t>
      </w:r>
      <w:r>
        <w:rPr>
          <w:rFonts w:hint="eastAsia" w:ascii="仿宋" w:hAnsi="仿宋" w:eastAsia="仿宋" w:cs="仿宋"/>
          <w:color w:val="auto"/>
          <w:highlight w:val="none"/>
        </w:rPr>
        <w:t>、联系方式</w:t>
      </w:r>
      <w:bookmarkEnd w:id="35"/>
      <w:bookmarkEnd w:id="36"/>
      <w:bookmarkEnd w:id="37"/>
      <w:bookmarkEnd w:id="38"/>
      <w:bookmarkEnd w:id="39"/>
      <w:bookmarkEnd w:id="40"/>
    </w:p>
    <w:p w14:paraId="289EB61F">
      <w:pPr>
        <w:spacing w:line="360" w:lineRule="auto"/>
        <w:ind w:firstLine="480" w:firstLineChars="200"/>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招标人：</w:t>
      </w:r>
      <w:r>
        <w:rPr>
          <w:rFonts w:hint="eastAsia" w:ascii="仿宋" w:hAnsi="仿宋" w:eastAsia="仿宋" w:cs="仿宋"/>
          <w:color w:val="000000"/>
          <w:sz w:val="24"/>
          <w:highlight w:val="none"/>
          <w:lang w:val="en-US" w:eastAsia="zh-CN"/>
        </w:rPr>
        <w:t>中国人民财产保险股份有限公司淮南市分公司</w:t>
      </w:r>
    </w:p>
    <w:p w14:paraId="548DC1AA">
      <w:pPr>
        <w:spacing w:line="360" w:lineRule="auto"/>
        <w:ind w:firstLine="480" w:firstLineChars="200"/>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联系人：陈少军</w:t>
      </w:r>
    </w:p>
    <w:p w14:paraId="722E3B4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招标代理机构：公诚管理咨询有限公司</w:t>
      </w:r>
    </w:p>
    <w:p w14:paraId="16841AE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安徽省</w:t>
      </w:r>
      <w:r>
        <w:rPr>
          <w:rFonts w:hint="eastAsia" w:ascii="仿宋" w:hAnsi="仿宋" w:eastAsia="仿宋" w:cs="仿宋"/>
          <w:color w:val="auto"/>
          <w:kern w:val="2"/>
          <w:sz w:val="24"/>
          <w:szCs w:val="21"/>
          <w:highlight w:val="none"/>
          <w:lang w:val="en-US" w:eastAsia="zh-CN" w:bidi="ar"/>
        </w:rPr>
        <w:t>合肥市包河区宿松路与汤泉路交口绿地中心D座54F</w:t>
      </w:r>
    </w:p>
    <w:p w14:paraId="708A03AF">
      <w:pPr>
        <w:tabs>
          <w:tab w:val="left" w:pos="7453"/>
        </w:tabs>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联系人：何云峰、</w:t>
      </w:r>
      <w:r>
        <w:rPr>
          <w:rFonts w:hint="eastAsia" w:ascii="仿宋" w:hAnsi="仿宋" w:eastAsia="仿宋" w:cs="仿宋"/>
          <w:color w:val="auto"/>
          <w:sz w:val="24"/>
          <w:highlight w:val="none"/>
          <w:lang w:val="en-US" w:eastAsia="zh-CN"/>
        </w:rPr>
        <w:t>程照军、强慧</w:t>
      </w:r>
      <w:r>
        <w:rPr>
          <w:rFonts w:hint="eastAsia" w:ascii="仿宋" w:hAnsi="仿宋" w:eastAsia="仿宋" w:cs="仿宋"/>
          <w:color w:val="auto"/>
          <w:sz w:val="24"/>
          <w:highlight w:val="none"/>
        </w:rPr>
        <w:t>、洪鹰群、庞文勇</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盛菲、李涛</w:t>
      </w:r>
      <w:r>
        <w:rPr>
          <w:rFonts w:hint="eastAsia" w:ascii="仿宋" w:hAnsi="仿宋" w:eastAsia="仿宋" w:cs="仿宋"/>
          <w:color w:val="auto"/>
          <w:sz w:val="24"/>
          <w:highlight w:val="none"/>
          <w:lang w:eastAsia="zh-CN"/>
        </w:rPr>
        <w:tab/>
      </w:r>
    </w:p>
    <w:p w14:paraId="66B53F3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联系电话：18160881208、</w:t>
      </w:r>
      <w:r>
        <w:rPr>
          <w:rFonts w:hint="eastAsia" w:ascii="仿宋" w:hAnsi="仿宋" w:eastAsia="仿宋" w:cs="仿宋"/>
          <w:color w:val="auto"/>
          <w:sz w:val="24"/>
          <w:highlight w:val="none"/>
          <w:lang w:val="en-US" w:eastAsia="zh-CN"/>
        </w:rPr>
        <w:t>18911819121</w:t>
      </w:r>
    </w:p>
    <w:p w14:paraId="3EA6878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邮编：232000          </w:t>
      </w:r>
    </w:p>
    <w:p w14:paraId="0ADBC9C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账户名称：公诚管理咨询有限公司</w:t>
      </w:r>
    </w:p>
    <w:p w14:paraId="1BFA109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开户银行：中信银行广州花园支行</w:t>
      </w:r>
    </w:p>
    <w:p w14:paraId="0685E2A9">
      <w:pPr>
        <w:spacing w:line="360" w:lineRule="auto"/>
        <w:ind w:firstLine="480" w:firstLineChars="200"/>
        <w:textAlignment w:val="baseline"/>
        <w:rPr>
          <w:rFonts w:hint="eastAsia" w:ascii="仿宋" w:hAnsi="仿宋" w:eastAsia="仿宋" w:cs="仿宋"/>
          <w:bCs/>
          <w:color w:val="auto"/>
          <w:sz w:val="24"/>
          <w:szCs w:val="24"/>
          <w:highlight w:val="none"/>
          <w:lang w:val="en-US"/>
        </w:rPr>
      </w:pPr>
      <w:r>
        <w:rPr>
          <w:rFonts w:hint="eastAsia" w:ascii="仿宋" w:hAnsi="仿宋" w:eastAsia="仿宋" w:cs="仿宋"/>
          <w:color w:val="auto"/>
          <w:sz w:val="24"/>
          <w:highlight w:val="none"/>
        </w:rPr>
        <w:t>银行帐号：</w:t>
      </w:r>
      <w:r>
        <w:rPr>
          <w:rFonts w:hint="eastAsia" w:ascii="仿宋" w:hAnsi="仿宋" w:eastAsia="仿宋" w:cs="仿宋"/>
          <w:color w:val="auto"/>
          <w:sz w:val="24"/>
          <w:highlight w:val="none"/>
          <w:lang w:eastAsia="zh-CN"/>
        </w:rPr>
        <w:t>3110910037672602171</w:t>
      </w:r>
      <w:bookmarkStart w:id="41" w:name="_GoBack"/>
      <w:bookmarkEnd w:id="41"/>
    </w:p>
    <w:p w14:paraId="6EBBDD9F">
      <w:pPr>
        <w:spacing w:line="360" w:lineRule="auto"/>
        <w:ind w:firstLine="420"/>
        <w:rPr>
          <w:rFonts w:hint="eastAsia" w:ascii="仿宋" w:hAnsi="仿宋" w:eastAsia="仿宋" w:cs="仿宋"/>
          <w:color w:val="auto"/>
          <w:sz w:val="24"/>
          <w:szCs w:val="24"/>
          <w:highlight w:val="none"/>
        </w:rPr>
      </w:pPr>
    </w:p>
    <w:p w14:paraId="32C28AFC">
      <w:pPr>
        <w:spacing w:line="360" w:lineRule="auto"/>
        <w:ind w:firstLine="480" w:firstLineChars="200"/>
        <w:jc w:val="right"/>
        <w:textAlignment w:val="baseline"/>
        <w:rPr>
          <w:rFonts w:hint="eastAsia" w:ascii="仿宋" w:hAnsi="仿宋" w:eastAsia="仿宋" w:cs="仿宋"/>
          <w:color w:val="auto"/>
          <w:sz w:val="24"/>
          <w:szCs w:val="24"/>
          <w:highlight w:val="none"/>
        </w:rPr>
      </w:pPr>
    </w:p>
    <w:p w14:paraId="630EFEA4">
      <w:pPr>
        <w:spacing w:line="360" w:lineRule="auto"/>
        <w:ind w:firstLine="480" w:firstLineChars="200"/>
        <w:jc w:val="righ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招标人：中国人民财产保险股份有限公司</w:t>
      </w:r>
      <w:r>
        <w:rPr>
          <w:rFonts w:hint="eastAsia" w:ascii="仿宋" w:hAnsi="仿宋" w:eastAsia="仿宋" w:cs="仿宋"/>
          <w:color w:val="auto"/>
          <w:sz w:val="24"/>
          <w:szCs w:val="24"/>
          <w:highlight w:val="none"/>
          <w:lang w:val="en-US" w:eastAsia="zh-CN"/>
        </w:rPr>
        <w:t>淮南市</w:t>
      </w:r>
      <w:r>
        <w:rPr>
          <w:rFonts w:hint="eastAsia" w:ascii="仿宋" w:hAnsi="仿宋" w:eastAsia="仿宋" w:cs="仿宋"/>
          <w:color w:val="auto"/>
          <w:sz w:val="24"/>
          <w:szCs w:val="24"/>
          <w:highlight w:val="none"/>
        </w:rPr>
        <w:t>分公司</w:t>
      </w:r>
    </w:p>
    <w:p w14:paraId="06E12A40">
      <w:pPr>
        <w:spacing w:line="360" w:lineRule="auto"/>
        <w:ind w:firstLine="480" w:firstLineChars="200"/>
        <w:jc w:val="righ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招标代理机构：</w:t>
      </w:r>
      <w:r>
        <w:rPr>
          <w:rFonts w:hint="eastAsia" w:ascii="仿宋" w:hAnsi="仿宋" w:eastAsia="仿宋" w:cs="仿宋"/>
          <w:color w:val="auto"/>
          <w:sz w:val="24"/>
          <w:highlight w:val="none"/>
        </w:rPr>
        <w:t>公诚管理咨询有限公司</w:t>
      </w:r>
    </w:p>
    <w:p w14:paraId="3268691C">
      <w:pPr>
        <w:jc w:val="right"/>
      </w:pPr>
      <w:r>
        <w:rPr>
          <w:rFonts w:hint="eastAsia" w:ascii="仿宋" w:hAnsi="仿宋" w:eastAsia="仿宋" w:cs="仿宋"/>
          <w:color w:val="auto"/>
          <w:sz w:val="24"/>
          <w:szCs w:val="24"/>
          <w:highlight w:val="none"/>
          <w:lang w:val="en-US" w:eastAsia="zh-CN"/>
        </w:rPr>
        <w:t>2026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rPr>
        <w:t>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AC0288"/>
    <w:rsid w:val="616D02E8"/>
    <w:rsid w:val="69AC02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2">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Body Text"/>
    <w:basedOn w:val="1"/>
    <w:next w:val="1"/>
    <w:unhideWhenUsed/>
    <w:qFormat/>
    <w:uiPriority w:val="99"/>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2026-05-07T03:00:00Z</dcterms:created>
  <dc:creator>harry</dc:creator>
  <cp:lastModifiedBy>harry</cp:lastModifiedBy>
  <dcterms:modified xsi:type="dcterms:W3CDTF">2026-05-07T03:01:42Z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2101804272584CDAA6106FC04EC4D8FA_11</vt:lpwstr>
  </property>
  <property fmtid="{D5CDD505-2E9C-101B-9397-08002B2CF9AE}" pid="4" name="KSOTemplateDocerSaveRecord">
    <vt:lpwstr>eyJoZGlkIjoiODYwMmIyZDRjOTk2NzNmYmE5ZTJhNTMxNmI1NDAyNjkiLCJ1c2VySWQiOiIzMDgyNjI4NzkifQ==</vt:lpwstr>
  </property>
</Properties>
</file>