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hint="eastAsia" w:ascii="仿宋_GB2312" w:hAnsi="宋体" w:eastAsia="仿宋_GB2312"/>
          <w:b/>
          <w:sz w:val="44"/>
          <w:szCs w:val="44"/>
        </w:rPr>
      </w:pPr>
      <w:r>
        <w:rPr>
          <w:rFonts w:hint="eastAsia" w:ascii="仿宋_GB2312" w:hAnsi="宋体" w:eastAsia="仿宋_GB2312"/>
          <w:b/>
          <w:sz w:val="44"/>
          <w:szCs w:val="44"/>
        </w:rPr>
        <w:t>人保财险</w:t>
      </w:r>
      <w:r>
        <w:rPr>
          <w:rFonts w:hint="eastAsia" w:ascii="仿宋_GB2312" w:hAnsi="宋体" w:eastAsia="仿宋_GB2312"/>
          <w:b/>
          <w:sz w:val="44"/>
          <w:szCs w:val="44"/>
          <w:lang w:val="en-US" w:eastAsia="zh-CN"/>
        </w:rPr>
        <w:t>四川省资阳市雁江支公司城乡墙面宣传</w:t>
      </w:r>
      <w:r>
        <w:rPr>
          <w:rFonts w:hint="eastAsia" w:ascii="仿宋_GB2312" w:hAnsi="宋体" w:eastAsia="仿宋_GB2312"/>
          <w:b/>
          <w:sz w:val="44"/>
          <w:szCs w:val="44"/>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价</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件</w:t>
      </w:r>
    </w:p>
    <w:p>
      <w:pPr>
        <w:pStyle w:val="15"/>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9"/>
        <w:ind w:left="113"/>
        <w:jc w:val="center"/>
        <w:rPr>
          <w:rFonts w:ascii="仿宋_GB2312" w:hAnsi="宋体" w:eastAsia="仿宋_GB2312"/>
          <w:b/>
          <w:sz w:val="28"/>
          <w:szCs w:val="28"/>
        </w:rPr>
      </w:pPr>
    </w:p>
    <w:p>
      <w:pPr>
        <w:pStyle w:val="19"/>
        <w:ind w:left="113"/>
        <w:jc w:val="center"/>
        <w:rPr>
          <w:rFonts w:ascii="仿宋_GB2312" w:hAnsi="宋体" w:eastAsia="仿宋_GB2312"/>
          <w:b/>
          <w:sz w:val="28"/>
          <w:szCs w:val="28"/>
        </w:rPr>
      </w:pPr>
    </w:p>
    <w:p>
      <w:pPr>
        <w:pStyle w:val="19"/>
        <w:ind w:left="113"/>
        <w:jc w:val="center"/>
        <w:rPr>
          <w:rFonts w:ascii="仿宋_GB2312" w:hAnsi="宋体" w:eastAsia="仿宋_GB2312"/>
          <w:b/>
          <w:sz w:val="28"/>
          <w:szCs w:val="28"/>
        </w:rPr>
      </w:pPr>
    </w:p>
    <w:p>
      <w:pPr>
        <w:pStyle w:val="19"/>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年5月</w:t>
      </w:r>
    </w:p>
    <w:p>
      <w:pPr>
        <w:spacing w:line="360" w:lineRule="auto"/>
        <w:jc w:val="center"/>
        <w:rPr>
          <w:rFonts w:ascii="仿宋_GB2312" w:hAnsi="宋体" w:eastAsia="仿宋_GB2312"/>
          <w:b/>
          <w:sz w:val="36"/>
          <w:szCs w:val="28"/>
        </w:rPr>
        <w:sectPr>
          <w:headerReference r:id="rId3" w:type="default"/>
          <w:footerReference r:id="rId4" w:type="default"/>
          <w:footerReference r:id="rId5" w:type="even"/>
          <w:pgSz w:w="11906" w:h="16838"/>
          <w:pgMar w:top="1440" w:right="1134" w:bottom="1440" w:left="1134" w:header="851" w:footer="992" w:gutter="0"/>
          <w:cols w:space="720" w:num="1"/>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5"/>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_Toc267 </w:instrText>
      </w:r>
      <w:r>
        <w:rPr>
          <w:rFonts w:hint="eastAsia" w:ascii="仿宋_GB2312" w:hAnsi="宋体" w:eastAsia="仿宋_GB2312"/>
          <w:bCs w:val="0"/>
        </w:rPr>
        <w:fldChar w:fldCharType="separate"/>
      </w:r>
      <w:r>
        <w:rPr>
          <w:rFonts w:hint="eastAsia" w:ascii="仿宋_GB2312" w:hAnsi="宋体" w:eastAsia="仿宋_GB2312"/>
          <w:szCs w:val="28"/>
        </w:rPr>
        <w:t>第一章 比价邀请</w:t>
      </w:r>
      <w:r>
        <w:tab/>
      </w:r>
      <w:r>
        <w:fldChar w:fldCharType="begin"/>
      </w:r>
      <w:r>
        <w:instrText xml:space="preserve"> PAGEREF _Toc267 \h </w:instrText>
      </w:r>
      <w:r>
        <w:fldChar w:fldCharType="separate"/>
      </w:r>
      <w:r>
        <w:t>3</w:t>
      </w:r>
      <w:r>
        <w:fldChar w:fldCharType="end"/>
      </w:r>
      <w:r>
        <w:rPr>
          <w:rFonts w:hint="eastAsia" w:ascii="仿宋_GB2312" w:hAnsi="宋体" w:eastAsia="仿宋_GB2312"/>
          <w:bCs w:val="0"/>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_Toc21757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_Toc21757 \h </w:instrText>
      </w:r>
      <w:r>
        <w:fldChar w:fldCharType="separate"/>
      </w:r>
      <w:r>
        <w:t>3</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_Toc26663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_Toc26663 \h </w:instrText>
      </w:r>
      <w:r>
        <w:fldChar w:fldCharType="separate"/>
      </w:r>
      <w:r>
        <w:t>3</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_Toc27162 </w:instrText>
      </w:r>
      <w:r>
        <w:rPr>
          <w:rFonts w:hint="eastAsia" w:ascii="仿宋_GB2312" w:hAnsi="宋体" w:eastAsia="仿宋_GB2312"/>
          <w:bCs w:val="0"/>
        </w:rPr>
        <w:fldChar w:fldCharType="separate"/>
      </w:r>
      <w:r>
        <w:rPr>
          <w:rFonts w:hint="eastAsia" w:ascii="仿宋" w:hAnsi="仿宋" w:eastAsia="仿宋" w:cs="仿宋"/>
          <w:szCs w:val="24"/>
        </w:rPr>
        <w:t>三、比价文件的获取</w:t>
      </w:r>
      <w:r>
        <w:tab/>
      </w:r>
      <w:r>
        <w:fldChar w:fldCharType="begin"/>
      </w:r>
      <w:r>
        <w:instrText xml:space="preserve"> PAGEREF _Toc27162 \h </w:instrText>
      </w:r>
      <w:r>
        <w:fldChar w:fldCharType="separate"/>
      </w:r>
      <w:r>
        <w:t>4</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_Toc14492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_Toc14492 \h </w:instrText>
      </w:r>
      <w:r>
        <w:fldChar w:fldCharType="separate"/>
      </w:r>
      <w:r>
        <w:t>4</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_Toc31733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_Toc31733 \h </w:instrText>
      </w:r>
      <w:r>
        <w:fldChar w:fldCharType="separate"/>
      </w:r>
      <w:r>
        <w:t>5</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_Toc24951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_Toc24951 \h </w:instrText>
      </w:r>
      <w:r>
        <w:fldChar w:fldCharType="separate"/>
      </w:r>
      <w:r>
        <w:t>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_Toc11710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_Toc11710 \h </w:instrText>
      </w:r>
      <w:r>
        <w:fldChar w:fldCharType="separate"/>
      </w:r>
      <w:r>
        <w:t>6</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_Toc28726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_Toc28726 \h </w:instrText>
      </w:r>
      <w:r>
        <w:fldChar w:fldCharType="separate"/>
      </w:r>
      <w:r>
        <w:t>6</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_Toc6616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_Toc6616 \h </w:instrText>
      </w:r>
      <w:r>
        <w:fldChar w:fldCharType="separate"/>
      </w:r>
      <w:r>
        <w:t>9</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_Toc21767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_Toc21767 \h </w:instrText>
      </w:r>
      <w:r>
        <w:fldChar w:fldCharType="separate"/>
      </w:r>
      <w:r>
        <w:t>9</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_Toc6571 </w:instrText>
      </w:r>
      <w:r>
        <w:rPr>
          <w:rFonts w:hint="eastAsia" w:ascii="仿宋_GB2312" w:hAnsi="宋体" w:eastAsia="仿宋_GB2312"/>
          <w:bCs w:val="0"/>
        </w:rPr>
        <w:fldChar w:fldCharType="separate"/>
      </w:r>
      <w:r>
        <w:rPr>
          <w:rFonts w:hint="eastAsia" w:ascii="仿宋" w:hAnsi="仿宋" w:eastAsia="仿宋" w:cs="仿宋"/>
          <w:szCs w:val="24"/>
        </w:rPr>
        <w:t>（二）比价文件</w:t>
      </w:r>
      <w:r>
        <w:tab/>
      </w:r>
      <w:r>
        <w:fldChar w:fldCharType="begin"/>
      </w:r>
      <w:r>
        <w:instrText xml:space="preserve"> PAGEREF _Toc6571 \h </w:instrText>
      </w:r>
      <w:r>
        <w:fldChar w:fldCharType="separate"/>
      </w:r>
      <w:r>
        <w:t>9</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_Toc19930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_Toc19930 \h </w:instrText>
      </w:r>
      <w:r>
        <w:fldChar w:fldCharType="separate"/>
      </w:r>
      <w:r>
        <w:t>10</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_Toc15592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_Toc15592 \h </w:instrText>
      </w:r>
      <w:r>
        <w:fldChar w:fldCharType="separate"/>
      </w:r>
      <w:r>
        <w:t>12</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_Toc22297 </w:instrText>
      </w:r>
      <w:r>
        <w:rPr>
          <w:rFonts w:hint="eastAsia" w:ascii="仿宋_GB2312" w:hAnsi="宋体" w:eastAsia="仿宋_GB2312"/>
          <w:bCs w:val="0"/>
        </w:rPr>
        <w:fldChar w:fldCharType="separate"/>
      </w:r>
      <w:r>
        <w:rPr>
          <w:rFonts w:hint="eastAsia" w:ascii="仿宋" w:hAnsi="仿宋" w:eastAsia="仿宋" w:cs="仿宋"/>
          <w:szCs w:val="24"/>
        </w:rPr>
        <w:t>（五）比价和评审</w:t>
      </w:r>
      <w:r>
        <w:tab/>
      </w:r>
      <w:r>
        <w:fldChar w:fldCharType="begin"/>
      </w:r>
      <w:r>
        <w:instrText xml:space="preserve"> PAGEREF _Toc22297 \h </w:instrText>
      </w:r>
      <w:r>
        <w:fldChar w:fldCharType="separate"/>
      </w:r>
      <w:r>
        <w:t>12</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_Toc29673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_Toc29673 \h </w:instrText>
      </w:r>
      <w:r>
        <w:fldChar w:fldCharType="separate"/>
      </w:r>
      <w:r>
        <w:t>15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_Toc14081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_Toc14081 \h </w:instrText>
      </w:r>
      <w:r>
        <w:fldChar w:fldCharType="separate"/>
      </w:r>
      <w:r>
        <w:t>15</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_Toc19988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_Toc19988 \h </w:instrText>
      </w:r>
      <w:r>
        <w:fldChar w:fldCharType="separate"/>
      </w:r>
      <w:r>
        <w:t>15</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_Toc8437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_Toc8437 \h </w:instrText>
      </w:r>
      <w:r>
        <w:fldChar w:fldCharType="separate"/>
      </w:r>
      <w:r>
        <w:t>17</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_Toc29811 </w:instrText>
      </w:r>
      <w:r>
        <w:rPr>
          <w:rFonts w:hint="eastAsia" w:ascii="仿宋_GB2312" w:hAnsi="宋体" w:eastAsia="仿宋_GB2312"/>
          <w:bCs w:val="0"/>
        </w:rPr>
        <w:fldChar w:fldCharType="separate"/>
      </w:r>
      <w:r>
        <w:rPr>
          <w:rFonts w:hint="eastAsia" w:ascii="仿宋_GB2312" w:hAnsi="仿宋_GB2312" w:eastAsia="仿宋_GB2312" w:cs="仿宋_GB2312"/>
          <w:szCs w:val="28"/>
          <w:lang w:val="en-US" w:eastAsia="zh-CN"/>
        </w:rPr>
        <w:t xml:space="preserve">第四章 </w:t>
      </w:r>
      <w:r>
        <w:rPr>
          <w:rFonts w:hint="eastAsia" w:ascii="仿宋_GB2312" w:hAnsi="仿宋_GB2312" w:eastAsia="仿宋_GB2312" w:cs="仿宋_GB2312"/>
          <w:szCs w:val="28"/>
        </w:rPr>
        <w:t>合同条</w:t>
      </w:r>
      <w:r>
        <w:rPr>
          <w:rFonts w:hint="eastAsia" w:ascii="仿宋_GB2312" w:hAnsi="仿宋_GB2312" w:eastAsia="仿宋_GB2312" w:cs="仿宋_GB2312"/>
          <w:szCs w:val="28"/>
          <w:lang w:val="en-US" w:eastAsia="zh-CN"/>
        </w:rPr>
        <w:t>款</w:t>
      </w:r>
      <w:r>
        <w:tab/>
      </w:r>
      <w:r>
        <w:fldChar w:fldCharType="begin"/>
      </w:r>
      <w:r>
        <w:instrText xml:space="preserve"> PAGEREF _Toc29811 \h </w:instrText>
      </w:r>
      <w:r>
        <w:fldChar w:fldCharType="separate"/>
      </w:r>
      <w:r>
        <w:t>19</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_Toc6214 </w:instrText>
      </w:r>
      <w:r>
        <w:rPr>
          <w:rFonts w:hint="eastAsia" w:ascii="仿宋_GB2312" w:hAnsi="宋体" w:eastAsia="仿宋_GB2312"/>
          <w:bCs w:val="0"/>
        </w:rPr>
        <w:fldChar w:fldCharType="separate"/>
      </w:r>
      <w:r>
        <w:rPr>
          <w:rFonts w:hint="eastAsia" w:ascii="仿宋_GB2312" w:hAnsi="仿宋_GB2312" w:eastAsia="仿宋_GB2312" w:cs="仿宋_GB2312"/>
          <w:szCs w:val="28"/>
        </w:rPr>
        <w:t>人保财险四川省资阳市</w:t>
      </w:r>
      <w:r>
        <w:rPr>
          <w:rFonts w:hint="eastAsia" w:ascii="仿宋_GB2312" w:hAnsi="仿宋_GB2312" w:eastAsia="仿宋_GB2312" w:cs="仿宋_GB2312"/>
          <w:szCs w:val="28"/>
          <w:lang w:val="en-US" w:eastAsia="zh-CN"/>
        </w:rPr>
        <w:t>雁江支公司</w:t>
      </w:r>
      <w:r>
        <w:tab/>
      </w:r>
      <w:r>
        <w:fldChar w:fldCharType="begin"/>
      </w:r>
      <w:r>
        <w:instrText xml:space="preserve"> PAGEREF _Toc6214 \h </w:instrText>
      </w:r>
      <w:r>
        <w:fldChar w:fldCharType="separate"/>
      </w:r>
      <w:r>
        <w:t>19</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_Toc2519 </w:instrText>
      </w:r>
      <w:r>
        <w:rPr>
          <w:rFonts w:hint="eastAsia" w:ascii="仿宋_GB2312" w:hAnsi="宋体" w:eastAsia="仿宋_GB2312"/>
          <w:bCs w:val="0"/>
        </w:rPr>
        <w:fldChar w:fldCharType="separate"/>
      </w:r>
      <w:r>
        <w:rPr>
          <w:rFonts w:hint="eastAsia" w:ascii="仿宋_GB2312" w:hAnsi="仿宋_GB2312" w:eastAsia="仿宋_GB2312" w:cs="仿宋_GB2312"/>
          <w:szCs w:val="28"/>
          <w:lang w:val="en-US" w:eastAsia="zh-CN"/>
        </w:rPr>
        <w:t>城乡墙面宣传</w:t>
      </w:r>
      <w:r>
        <w:rPr>
          <w:rFonts w:hint="eastAsia" w:ascii="仿宋_GB2312" w:hAnsi="仿宋_GB2312" w:eastAsia="仿宋_GB2312" w:cs="仿宋_GB2312"/>
          <w:szCs w:val="28"/>
        </w:rPr>
        <w:t>采购项目</w:t>
      </w:r>
      <w:r>
        <w:tab/>
      </w:r>
      <w:r>
        <w:fldChar w:fldCharType="begin"/>
      </w:r>
      <w:r>
        <w:instrText xml:space="preserve"> PAGEREF _Toc2519 \h </w:instrText>
      </w:r>
      <w:r>
        <w:fldChar w:fldCharType="separate"/>
      </w:r>
      <w:r>
        <w:t>19</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_Toc13881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_Toc13881 \h </w:instrText>
      </w:r>
      <w:r>
        <w:fldChar w:fldCharType="separate"/>
      </w:r>
      <w:r>
        <w:t>40</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_Toc9534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_Toc9534 \h </w:instrText>
      </w:r>
      <w:r>
        <w:fldChar w:fldCharType="separate"/>
      </w:r>
      <w:r>
        <w:t>43</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_Toc21855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_Toc21855 \h </w:instrText>
      </w:r>
      <w:r>
        <w:fldChar w:fldCharType="separate"/>
      </w:r>
      <w:r>
        <w:t>44</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_Toc94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_Toc94 \h </w:instrText>
      </w:r>
      <w:r>
        <w:fldChar w:fldCharType="separate"/>
      </w:r>
      <w:r>
        <w:t>45</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_Toc29809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_Toc29809 \h </w:instrText>
      </w:r>
      <w:r>
        <w:fldChar w:fldCharType="separate"/>
      </w:r>
      <w:r>
        <w:t>46</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_Toc888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_Toc888 \h </w:instrText>
      </w:r>
      <w:r>
        <w:fldChar w:fldCharType="separate"/>
      </w:r>
      <w:r>
        <w:t>47</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_Toc30033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_Toc30033 \h </w:instrText>
      </w:r>
      <w:r>
        <w:fldChar w:fldCharType="separate"/>
      </w:r>
      <w:r>
        <w:t>48</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_Toc24809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_Toc24809 \h </w:instrText>
      </w:r>
      <w:r>
        <w:fldChar w:fldCharType="separate"/>
      </w:r>
      <w:r>
        <w:t>57</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_Toc16615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_Toc16615 \h </w:instrText>
      </w:r>
      <w:r>
        <w:fldChar w:fldCharType="separate"/>
      </w:r>
      <w:r>
        <w:t>59</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_Toc17933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_Toc17933 \h </w:instrText>
      </w:r>
      <w:r>
        <w:fldChar w:fldCharType="separate"/>
      </w:r>
      <w:r>
        <w:t>61</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_Toc24292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_Toc24292 \h </w:instrText>
      </w:r>
      <w:r>
        <w:fldChar w:fldCharType="separate"/>
      </w:r>
      <w:r>
        <w:t>64</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_Toc5235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_Toc5235 \h </w:instrText>
      </w:r>
      <w:r>
        <w:fldChar w:fldCharType="separate"/>
      </w:r>
      <w:r>
        <w:t>65</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_Toc18621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_Toc18621 \h </w:instrText>
      </w:r>
      <w:r>
        <w:fldChar w:fldCharType="separate"/>
      </w:r>
      <w:r>
        <w:t>66</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_Toc28016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_Toc28016 \h </w:instrText>
      </w:r>
      <w:r>
        <w:fldChar w:fldCharType="separate"/>
      </w:r>
      <w:r>
        <w:t>67</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_Toc14677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_Toc14677 \h </w:instrText>
      </w:r>
      <w:r>
        <w:fldChar w:fldCharType="separate"/>
      </w:r>
      <w:r>
        <w:t>70</w:t>
      </w:r>
      <w:r>
        <w:fldChar w:fldCharType="end"/>
      </w:r>
      <w:r>
        <w:rPr>
          <w:rFonts w:hint="eastAsia" w:ascii="仿宋_GB2312" w:hAnsi="宋体" w:eastAsia="仿宋_GB2312"/>
          <w:bCs w:val="0"/>
          <w:color w:val="auto"/>
        </w:rPr>
        <w:fldChar w:fldCharType="end"/>
      </w:r>
    </w:p>
    <w:p>
      <w:pPr>
        <w:pStyle w:val="3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_Toc27541 </w:instrText>
      </w:r>
      <w:r>
        <w:rPr>
          <w:rFonts w:hint="eastAsia" w:ascii="仿宋_GB2312" w:hAnsi="宋体" w:eastAsia="仿宋_GB2312"/>
          <w:bCs w:val="0"/>
        </w:rPr>
        <w:fldChar w:fldCharType="separate"/>
      </w:r>
      <w:r>
        <w:rPr>
          <w:rFonts w:hint="eastAsia" w:ascii="仿宋" w:hAnsi="仿宋" w:eastAsia="仿宋" w:cs="仿宋"/>
          <w:szCs w:val="24"/>
        </w:rPr>
        <w:t>三、报价文件</w:t>
      </w:r>
      <w:r>
        <w:tab/>
      </w:r>
      <w:r>
        <w:fldChar w:fldCharType="begin"/>
      </w:r>
      <w:r>
        <w:instrText xml:space="preserve"> PAGEREF _Toc27541 \h </w:instrText>
      </w:r>
      <w:r>
        <w:fldChar w:fldCharType="separate"/>
      </w:r>
      <w:r>
        <w:t>1</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_Toc1848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_Toc1848 \h </w:instrText>
      </w:r>
      <w:r>
        <w:fldChar w:fldCharType="separate"/>
      </w:r>
      <w:r>
        <w:t>1</w:t>
      </w:r>
      <w:r>
        <w:fldChar w:fldCharType="end"/>
      </w:r>
      <w:r>
        <w:rPr>
          <w:rFonts w:hint="eastAsia" w:ascii="仿宋_GB2312" w:hAnsi="宋体" w:eastAsia="仿宋_GB2312"/>
          <w:bCs w:val="0"/>
          <w:color w:val="auto"/>
        </w:rPr>
        <w:fldChar w:fldCharType="end"/>
      </w:r>
    </w:p>
    <w:p>
      <w:pPr>
        <w:pStyle w:val="1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_Toc152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_Toc152 \h </w:instrText>
      </w:r>
      <w:r>
        <w:fldChar w:fldCharType="separate"/>
      </w:r>
      <w:r>
        <w:t>2</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6" w:type="default"/>
          <w:pgSz w:w="11906" w:h="16838"/>
          <w:pgMar w:top="1440" w:right="1134" w:bottom="1440" w:left="1134" w:header="851" w:footer="992" w:gutter="0"/>
          <w:pgNumType w:start="1"/>
          <w:cols w:space="720" w:num="1"/>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sz w:val="24"/>
          <w:szCs w:val="24"/>
        </w:rPr>
        <w:sectPr>
          <w:headerReference r:id="rId7" w:type="default"/>
          <w:footerReference r:id="rId8" w:type="default"/>
          <w:type w:val="continuous"/>
          <w:pgSz w:w="11906" w:h="16838"/>
          <w:pgMar w:top="1440" w:right="1134" w:bottom="1440" w:left="1134" w:header="851" w:footer="992" w:gutter="0"/>
          <w:cols w:space="720" w:num="1"/>
        </w:sectPr>
      </w:pPr>
    </w:p>
    <w:p>
      <w:pPr>
        <w:pStyle w:val="3"/>
        <w:ind w:left="0" w:firstLine="0"/>
        <w:rPr>
          <w:rFonts w:ascii="仿宋_GB2312" w:hAnsi="宋体" w:eastAsia="仿宋_GB2312"/>
          <w:color w:val="auto"/>
          <w:sz w:val="28"/>
          <w:szCs w:val="28"/>
        </w:rPr>
      </w:pPr>
      <w:r>
        <w:rPr>
          <w:rFonts w:hint="eastAsia" w:ascii="仿宋_GB2312" w:hAnsi="宋体" w:eastAsia="仿宋_GB2312"/>
          <w:color w:val="auto"/>
          <w:sz w:val="28"/>
          <w:szCs w:val="28"/>
        </w:rPr>
        <w:t>第一章 比价邀请</w:t>
      </w:r>
    </w:p>
    <w:p>
      <w:pPr>
        <w:keepNext w:val="0"/>
        <w:keepLines w:val="0"/>
        <w:pageBreakBefore w:val="0"/>
        <w:widowControl/>
        <w:bidi w:val="0"/>
        <w:spacing w:line="560" w:lineRule="exact"/>
        <w:jc w:val="center"/>
        <w:rPr>
          <w:rFonts w:ascii="仿宋" w:hAnsi="仿宋" w:eastAsia="仿宋" w:cs="Cambria Math"/>
          <w:color w:val="auto"/>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四川省资阳市雁江支公司城乡墙面宣传</w:t>
      </w:r>
      <w:r>
        <w:rPr>
          <w:rFonts w:hint="eastAsia" w:ascii="仿宋" w:hAnsi="仿宋" w:eastAsia="仿宋" w:cs="仿宋"/>
          <w:color w:val="000000"/>
          <w:u w:val="single"/>
        </w:rPr>
        <w:t>采购</w:t>
      </w:r>
      <w:r>
        <w:rPr>
          <w:rFonts w:hint="eastAsia" w:ascii="仿宋" w:hAnsi="仿宋" w:eastAsia="仿宋" w:cs="仿宋"/>
          <w:color w:val="auto"/>
        </w:rPr>
        <w:t>（采购项目编号：</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w:t>
      </w:r>
      <w:r>
        <w:rPr>
          <w:rFonts w:hint="eastAsia" w:ascii="仿宋" w:hAnsi="仿宋" w:eastAsia="仿宋" w:cs="仿宋"/>
          <w:color w:val="000000"/>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eastAsia="zh-CN"/>
        </w:rPr>
        <w:t>资阳市</w:t>
      </w:r>
      <w:r>
        <w:rPr>
          <w:rFonts w:hint="eastAsia" w:ascii="仿宋" w:hAnsi="仿宋" w:eastAsia="仿宋" w:cs="仿宋"/>
          <w:color w:val="auto"/>
          <w:u w:val="single"/>
        </w:rPr>
        <w:t>分公司</w:t>
      </w:r>
      <w:r>
        <w:rPr>
          <w:rFonts w:hint="eastAsia" w:ascii="仿宋" w:hAnsi="仿宋" w:eastAsia="仿宋" w:cs="仿宋"/>
          <w:color w:val="auto"/>
        </w:rPr>
        <w:t>（</w:t>
      </w:r>
      <w:r>
        <w:rPr>
          <w:rFonts w:hint="eastAsia" w:ascii="仿宋" w:hAnsi="仿宋" w:eastAsia="仿宋" w:cs="仿宋"/>
          <w:color w:val="000000"/>
        </w:rPr>
        <w:t>以下简称“采购人”）</w:t>
      </w:r>
      <w:r>
        <w:rPr>
          <w:rFonts w:hint="eastAsia" w:ascii="仿宋" w:hAnsi="仿宋" w:eastAsia="仿宋" w:cs="Cambria Math"/>
        </w:rPr>
        <w:t>批准并落实资金，组织本项目的比价工作</w:t>
      </w:r>
      <w:r>
        <w:rPr>
          <w:rFonts w:hint="eastAsia" w:ascii="仿宋" w:hAnsi="仿宋" w:eastAsia="仿宋" w:cs="仿宋"/>
          <w:color w:val="000000"/>
        </w:rPr>
        <w:t>，采购合同由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eastAsia="zh-CN"/>
        </w:rPr>
        <w:t>资阳市</w:t>
      </w:r>
      <w:r>
        <w:rPr>
          <w:rFonts w:hint="eastAsia" w:ascii="仿宋" w:hAnsi="仿宋" w:eastAsia="仿宋" w:cs="仿宋"/>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eastAsia="zh-CN"/>
        </w:rPr>
        <w:t>资阳</w:t>
      </w:r>
      <w:r>
        <w:rPr>
          <w:rFonts w:hint="eastAsia" w:ascii="仿宋" w:hAnsi="仿宋" w:eastAsia="仿宋" w:cs="宋体"/>
          <w:color w:val="auto"/>
        </w:rPr>
        <w:t>分公司”）</w:t>
      </w:r>
      <w:r>
        <w:rPr>
          <w:rFonts w:hint="eastAsia" w:ascii="仿宋" w:hAnsi="仿宋" w:eastAsia="仿宋" w:cs="仿宋"/>
          <w:color w:val="000000"/>
        </w:rPr>
        <w:t>根据成交结果与成交人签署。</w:t>
      </w:r>
      <w:r>
        <w:rPr>
          <w:rFonts w:hint="eastAsia" w:ascii="仿宋" w:hAnsi="仿宋" w:eastAsia="仿宋" w:cs="仿宋"/>
          <w:color w:val="auto"/>
        </w:rPr>
        <w:t>现通过比价方式实施，</w:t>
      </w:r>
      <w:r>
        <w:rPr>
          <w:rFonts w:hint="eastAsia" w:ascii="仿宋" w:hAnsi="仿宋" w:eastAsia="仿宋" w:cs="Cambria Math"/>
          <w:color w:val="auto"/>
        </w:rPr>
        <w:t xml:space="preserve">有意向且具有提供标的物能力的潜在供应商（以下简称“供应商”）可前来参与比价响应。 </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一、项目概况与采购范围</w:t>
      </w:r>
    </w:p>
    <w:p>
      <w:pPr>
        <w:pBdr>
          <w:top w:val="none" w:color="000000" w:sz="0" w:space="0"/>
          <w:left w:val="none" w:color="000000" w:sz="0" w:space="0"/>
          <w:bottom w:val="none" w:color="000000" w:sz="0" w:space="0"/>
          <w:right w:val="none" w:color="000000" w:sz="0" w:space="0"/>
        </w:pBdr>
        <w:ind w:left="0" w:right="0" w:firstLine="0"/>
        <w:jc w:val="both"/>
      </w:pPr>
      <w:r>
        <w:rPr>
          <w:rFonts w:hint="eastAsia" w:ascii="仿宋" w:hAnsi="仿宋" w:eastAsia="仿宋" w:cs="仿宋"/>
          <w:color w:val="000000"/>
        </w:rPr>
        <w:t>1.1 项目名称：</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四川省资阳市雁江支公司城乡墙面宣传</w:t>
      </w:r>
      <w:r>
        <w:rPr>
          <w:rFonts w:hint="eastAsia" w:ascii="仿宋" w:hAnsi="仿宋" w:eastAsia="仿宋" w:cs="仿宋"/>
          <w:color w:val="000000"/>
          <w:u w:val="single"/>
        </w:rPr>
        <w:t>采购</w:t>
      </w:r>
      <w:r>
        <w:rPr>
          <w:rFonts w:hint="eastAsia" w:ascii="仿宋" w:hAnsi="仿宋" w:eastAsia="仿宋" w:cs="仿宋"/>
          <w:color w:val="000000"/>
        </w:rPr>
        <w:t>。</w:t>
      </w:r>
    </w:p>
    <w:p>
      <w:pPr>
        <w:spacing w:line="360" w:lineRule="auto"/>
        <w:ind w:firstLine="480"/>
        <w:rPr>
          <w:rFonts w:ascii="仿宋" w:hAnsi="仿宋" w:eastAsia="仿宋" w:cs="仿宋"/>
          <w:color w:val="000000"/>
        </w:rPr>
      </w:pPr>
      <w:r>
        <w:rPr>
          <w:rFonts w:hint="eastAsia" w:ascii="仿宋" w:hAnsi="仿宋" w:eastAsia="仿宋" w:cs="仿宋"/>
          <w:color w:val="000000"/>
        </w:rPr>
        <w:t>1.2 采购范围：本项目拟采购</w:t>
      </w:r>
      <w:r>
        <w:rPr>
          <w:rFonts w:hint="eastAsia" w:ascii="仿宋" w:hAnsi="仿宋" w:eastAsia="仿宋" w:cs="仿宋"/>
          <w:color w:val="000000"/>
          <w:u w:val="none"/>
          <w:lang w:val="en-US" w:eastAsia="zh-CN"/>
        </w:rPr>
        <w:t>雁江支公司城乡墙面</w:t>
      </w:r>
      <w:r>
        <w:rPr>
          <w:rFonts w:hint="eastAsia" w:ascii="仿宋" w:hAnsi="仿宋" w:eastAsia="仿宋" w:cs="仿宋"/>
          <w:color w:val="000000"/>
        </w:rPr>
        <w:t>宣传</w:t>
      </w:r>
      <w:r>
        <w:rPr>
          <w:rFonts w:hint="eastAsia" w:ascii="仿宋" w:hAnsi="仿宋" w:eastAsia="仿宋" w:cs="仿宋"/>
          <w:color w:val="000000"/>
          <w:lang w:eastAsia="zh-CN"/>
        </w:rPr>
        <w:t>服务</w:t>
      </w:r>
      <w:r>
        <w:rPr>
          <w:rFonts w:hint="eastAsia" w:ascii="仿宋" w:hAnsi="仿宋" w:eastAsia="仿宋" w:cs="仿宋"/>
          <w:color w:val="000000"/>
        </w:rPr>
        <w:t>，具体技术要求详见第五章采购需求。</w:t>
      </w:r>
    </w:p>
    <w:p>
      <w:pPr>
        <w:spacing w:line="360" w:lineRule="auto"/>
        <w:ind w:firstLine="480"/>
        <w:rPr>
          <w:rFonts w:hint="eastAsia" w:ascii="仿宋" w:hAnsi="仿宋" w:eastAsia="仿宋" w:cs="仿宋"/>
          <w:lang w:eastAsia="zh-CN"/>
        </w:rPr>
      </w:pPr>
      <w:r>
        <w:rPr>
          <w:rFonts w:hint="eastAsia" w:ascii="仿宋" w:hAnsi="仿宋" w:eastAsia="仿宋" w:cs="仿宋"/>
          <w:color w:val="000000"/>
        </w:rPr>
        <w:t xml:space="preserve">1.3 </w:t>
      </w:r>
      <w:r>
        <w:rPr>
          <w:rFonts w:hint="eastAsia" w:ascii="仿宋" w:hAnsi="仿宋" w:eastAsia="仿宋" w:cs="仿宋"/>
        </w:rPr>
        <w:t>标包划分</w:t>
      </w:r>
      <w:r>
        <w:rPr>
          <w:rFonts w:hint="eastAsia" w:ascii="仿宋" w:hAnsi="仿宋" w:eastAsia="仿宋" w:cs="仿宋"/>
          <w:color w:val="auto"/>
        </w:rPr>
        <w:t>：</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spacing w:before="240" w:line="360" w:lineRule="auto"/>
        <w:ind w:firstLine="480"/>
        <w:rPr>
          <w:rFonts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仿宋"/>
          <w:color w:val="auto"/>
        </w:rPr>
        <w:t>：</w:t>
      </w:r>
      <w:r>
        <w:rPr>
          <w:rFonts w:hint="eastAsia" w:ascii="仿宋" w:hAnsi="仿宋" w:eastAsia="仿宋" w:cs="仿宋"/>
          <w:color w:val="auto"/>
          <w:lang w:eastAsia="zh-CN"/>
        </w:rPr>
        <w:t>服务</w:t>
      </w:r>
      <w:r>
        <w:rPr>
          <w:rFonts w:hint="eastAsia" w:ascii="仿宋" w:hAnsi="仿宋" w:eastAsia="仿宋" w:cs="仿宋"/>
          <w:color w:val="auto"/>
        </w:rPr>
        <w:t>。</w:t>
      </w:r>
    </w:p>
    <w:p>
      <w:pPr>
        <w:spacing w:line="360" w:lineRule="auto"/>
        <w:ind w:firstLine="48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6</w:t>
      </w:r>
      <w:r>
        <w:rPr>
          <w:rFonts w:hint="eastAsia" w:ascii="仿宋" w:hAnsi="仿宋" w:eastAsia="仿宋" w:cs="宋体"/>
          <w:color w:val="auto"/>
          <w:lang w:eastAsia="zh-CN"/>
        </w:rPr>
        <w:t>个月按制定方案宣传。</w:t>
      </w:r>
    </w:p>
    <w:p>
      <w:pPr>
        <w:spacing w:line="360" w:lineRule="auto"/>
        <w:ind w:firstLine="480"/>
        <w:rPr>
          <w:rFonts w:ascii="仿宋" w:hAnsi="仿宋" w:eastAsia="仿宋" w:cs="宋体"/>
          <w:color w:val="auto"/>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服务地点/交货地点：</w:t>
      </w:r>
      <w:r>
        <w:rPr>
          <w:rFonts w:hint="eastAsia" w:ascii="仿宋" w:hAnsi="仿宋" w:eastAsia="仿宋" w:cs="宋体"/>
          <w:color w:val="auto"/>
          <w:lang w:eastAsia="zh-CN"/>
        </w:rPr>
        <w:t>资阳市区</w:t>
      </w:r>
      <w:r>
        <w:rPr>
          <w:rFonts w:hint="eastAsia" w:ascii="仿宋" w:hAnsi="仿宋" w:eastAsia="仿宋" w:cs="宋体"/>
          <w:color w:val="auto"/>
        </w:rPr>
        <w:t>。</w:t>
      </w:r>
    </w:p>
    <w:p>
      <w:pPr>
        <w:pStyle w:val="15"/>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auto"/>
        </w:rPr>
        <w:t>项目设置</w:t>
      </w:r>
      <w:r>
        <w:rPr>
          <w:rFonts w:hint="eastAsia" w:ascii="仿宋" w:hAnsi="仿宋" w:eastAsia="仿宋" w:cs="仿宋"/>
          <w:color w:val="auto"/>
          <w:lang w:eastAsia="zh-CN"/>
        </w:rPr>
        <w:t>单价</w:t>
      </w:r>
      <w:r>
        <w:rPr>
          <w:rFonts w:ascii="仿宋" w:hAnsi="仿宋" w:eastAsia="仿宋" w:cs="仿宋"/>
          <w:color w:val="auto"/>
        </w:rPr>
        <w:t>最高限价</w:t>
      </w:r>
      <w:r>
        <w:rPr>
          <w:rFonts w:hint="eastAsia" w:ascii="仿宋" w:hAnsi="仿宋" w:eastAsia="仿宋" w:cs="仿宋"/>
          <w:color w:val="auto"/>
        </w:rPr>
        <w:t>，</w:t>
      </w:r>
      <w:r>
        <w:rPr>
          <w:rFonts w:ascii="仿宋" w:hAnsi="仿宋" w:eastAsia="仿宋" w:cs="仿宋"/>
          <w:color w:val="auto"/>
        </w:rPr>
        <w:t>即供应商报价不得高于</w:t>
      </w:r>
      <w:r>
        <w:rPr>
          <w:rFonts w:hint="eastAsia" w:ascii="仿宋" w:hAnsi="仿宋" w:eastAsia="仿宋" w:cs="仿宋"/>
          <w:color w:val="auto"/>
        </w:rPr>
        <w:t>1500元。</w:t>
      </w:r>
    </w:p>
    <w:p>
      <w:pPr>
        <w:pStyle w:val="4"/>
        <w:jc w:val="left"/>
        <w:rPr>
          <w:rFonts w:hint="eastAsia" w:ascii="仿宋" w:hAnsi="仿宋" w:eastAsia="仿宋" w:cs="仿宋"/>
          <w:color w:val="000000"/>
          <w:sz w:val="24"/>
          <w:szCs w:val="24"/>
        </w:rPr>
      </w:pPr>
      <w:r>
        <w:rPr>
          <w:rFonts w:hint="eastAsia" w:ascii="仿宋" w:hAnsi="仿宋" w:eastAsia="仿宋" w:cs="仿宋"/>
          <w:color w:val="000000"/>
          <w:sz w:val="24"/>
          <w:szCs w:val="24"/>
        </w:rPr>
        <w:t>二、供应商资格要求</w:t>
      </w:r>
    </w:p>
    <w:p>
      <w:pPr>
        <w:spacing w:line="360" w:lineRule="auto"/>
        <w:ind w:firstLine="480"/>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auto"/>
          <w:lang w:val="en-US" w:eastAsia="zh-CN"/>
        </w:rPr>
        <w:t>2025</w:t>
      </w:r>
      <w:r>
        <w:rPr>
          <w:rFonts w:hint="eastAsia" w:ascii="仿宋" w:hAnsi="仿宋" w:eastAsia="仿宋" w:cs="宋体"/>
        </w:rPr>
        <w:t>年</w:t>
      </w:r>
      <w:r>
        <w:rPr>
          <w:rFonts w:hint="eastAsia" w:ascii="仿宋" w:hAnsi="仿宋" w:eastAsia="仿宋" w:cs="宋体"/>
          <w:color w:val="000000"/>
        </w:rPr>
        <w:t>度财务报表（至少包含资产负债表、现金流量表、损益表/利润表）或提供响应文件递交截止日前6个月内开具的银行资信证明</w:t>
      </w:r>
      <w:r>
        <w:rPr>
          <w:rFonts w:hint="eastAsia" w:ascii="仿宋" w:hAnsi="仿宋" w:eastAsia="仿宋" w:cs="宋体"/>
          <w:color w:val="auto"/>
        </w:rPr>
        <w:t>。</w:t>
      </w:r>
    </w:p>
    <w:p>
      <w:pPr>
        <w:spacing w:line="360" w:lineRule="auto"/>
        <w:ind w:firstLine="480"/>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w:t>
      </w:r>
      <w:r>
        <w:rPr>
          <w:rFonts w:hint="eastAsia" w:ascii="仿宋" w:hAnsi="仿宋" w:eastAsia="仿宋" w:cs="宋体"/>
          <w:color w:val="000000"/>
          <w:lang w:eastAsia="zh-CN"/>
        </w:rPr>
        <w:t>三</w:t>
      </w:r>
      <w:r>
        <w:rPr>
          <w:rFonts w:hint="eastAsia" w:ascii="仿宋" w:hAnsi="仿宋" w:eastAsia="仿宋" w:cs="宋体"/>
          <w:color w:val="000000"/>
        </w:rPr>
        <w:t>年（</w:t>
      </w:r>
      <w:r>
        <w:rPr>
          <w:rFonts w:hint="eastAsia" w:ascii="仿宋" w:hAnsi="仿宋" w:eastAsia="仿宋" w:cs="宋体"/>
          <w:color w:val="000000"/>
          <w:lang w:val="en-US" w:eastAsia="zh-CN"/>
        </w:rPr>
        <w:t>2023</w:t>
      </w:r>
      <w:r>
        <w:rPr>
          <w:rFonts w:hint="eastAsia" w:ascii="仿宋" w:hAnsi="仿宋" w:eastAsia="仿宋" w:cs="宋体"/>
          <w:color w:val="000000"/>
        </w:rPr>
        <w:t>年1月1日至今）应具有</w:t>
      </w:r>
      <w:r>
        <w:rPr>
          <w:rFonts w:hint="eastAsia" w:ascii="仿宋" w:hAnsi="仿宋" w:eastAsia="仿宋" w:cs="宋体"/>
          <w:color w:val="000000"/>
          <w:lang w:val="en-US" w:eastAsia="zh-CN"/>
        </w:rPr>
        <w:t>1</w:t>
      </w:r>
      <w:r>
        <w:rPr>
          <w:rFonts w:hint="eastAsia" w:ascii="仿宋" w:hAnsi="仿宋" w:eastAsia="仿宋" w:cs="宋体"/>
          <w:color w:val="auto"/>
        </w:rPr>
        <w:t>个</w:t>
      </w:r>
      <w:r>
        <w:rPr>
          <w:rFonts w:hint="eastAsia" w:ascii="仿宋" w:hAnsi="仿宋" w:eastAsia="仿宋" w:cs="宋体"/>
          <w:color w:val="000000"/>
        </w:rPr>
        <w:t>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auto"/>
        </w:rPr>
        <w:t>或提供承诺函，格式详见第六章响应文件格式。</w:t>
      </w:r>
    </w:p>
    <w:p>
      <w:pPr>
        <w:spacing w:line="360" w:lineRule="auto"/>
        <w:ind w:firstLine="480"/>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r>
        <w:rPr>
          <w:rFonts w:hint="eastAsia" w:ascii="仿宋" w:hAnsi="仿宋" w:eastAsia="仿宋" w:cs="宋体"/>
          <w:color w:val="auto"/>
        </w:rPr>
        <w:t>。</w:t>
      </w:r>
    </w:p>
    <w:p>
      <w:pPr>
        <w:spacing w:line="360" w:lineRule="auto"/>
        <w:ind w:firstLine="480"/>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w:t>
      </w:r>
      <w:r>
        <w:rPr>
          <w:rFonts w:hint="eastAsia" w:ascii="仿宋" w:hAnsi="仿宋" w:eastAsia="仿宋" w:cs="宋体"/>
          <w:b/>
          <w:bCs/>
          <w:color w:val="000000"/>
          <w:lang w:eastAsia="zh-CN"/>
        </w:rPr>
        <w:t>三</w:t>
      </w:r>
      <w:r>
        <w:rPr>
          <w:rFonts w:hint="eastAsia" w:ascii="仿宋" w:hAnsi="仿宋" w:eastAsia="仿宋" w:cs="宋体"/>
          <w:b/>
          <w:bCs/>
          <w:color w:val="000000"/>
        </w:rPr>
        <w:t>年内（</w:t>
      </w:r>
      <w:r>
        <w:rPr>
          <w:rFonts w:hint="eastAsia" w:ascii="仿宋" w:hAnsi="仿宋" w:eastAsia="仿宋" w:cs="宋体"/>
          <w:b/>
          <w:bCs/>
          <w:color w:val="auto"/>
        </w:rPr>
        <w:t>20</w:t>
      </w:r>
      <w:r>
        <w:rPr>
          <w:rFonts w:hint="eastAsia" w:ascii="仿宋" w:hAnsi="仿宋" w:eastAsia="仿宋" w:cs="宋体"/>
          <w:b/>
          <w:bCs/>
          <w:color w:val="auto"/>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pPr>
        <w:spacing w:line="360" w:lineRule="auto"/>
        <w:ind w:firstLine="480"/>
        <w:rPr>
          <w:rFonts w:ascii="仿宋" w:hAnsi="仿宋" w:eastAsia="仿宋" w:cs="宋体"/>
          <w:color w:val="000000"/>
        </w:rPr>
      </w:pPr>
      <w:r>
        <w:rPr>
          <w:rFonts w:hint="eastAsia" w:ascii="仿宋" w:hAnsi="仿宋" w:eastAsia="仿宋" w:cs="宋体"/>
          <w:color w:val="000000"/>
        </w:rPr>
        <w:t>信用中国查询网址：https://www.creditchina.gov.cn/xinyongfuwu/?navPage=5</w:t>
      </w:r>
    </w:p>
    <w:p>
      <w:pP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2.7单位负责人为同一人或存在控股、管理关系的不同单位，不得参加同一标段/标包谈判响应或未划分标段/标包的同一采购项目的谈判响应，需填写《供应商控股及管理关系情况申报表》。</w:t>
      </w:r>
    </w:p>
    <w:p>
      <w:pPr>
        <w:spacing w:line="360" w:lineRule="auto"/>
        <w:ind w:firstLine="480"/>
        <w:rPr>
          <w:rFonts w:ascii="仿宋" w:hAnsi="仿宋" w:eastAsia="仿宋" w:cs="仿宋"/>
        </w:rPr>
      </w:pPr>
      <w:r>
        <w:rPr>
          <w:rFonts w:hint="eastAsia" w:ascii="仿宋" w:hAnsi="仿宋" w:eastAsia="仿宋" w:cs="宋体"/>
          <w:color w:val="000000"/>
        </w:rPr>
        <w:t>2.8本项目不接受联合体谈判响应。提供承诺函，格式详见第六章响应文件格式。</w:t>
      </w:r>
    </w:p>
    <w:p>
      <w:pPr>
        <w:pStyle w:val="4"/>
        <w:spacing w:after="240"/>
        <w:jc w:val="left"/>
        <w:rPr>
          <w:rFonts w:ascii="仿宋" w:hAnsi="仿宋" w:eastAsia="仿宋" w:cs="仿宋"/>
          <w:color w:val="000000"/>
          <w:sz w:val="24"/>
          <w:szCs w:val="24"/>
        </w:rPr>
      </w:pPr>
      <w:r>
        <w:rPr>
          <w:rFonts w:hint="eastAsia" w:ascii="仿宋" w:hAnsi="仿宋" w:eastAsia="仿宋" w:cs="仿宋"/>
          <w:color w:val="000000"/>
          <w:sz w:val="24"/>
          <w:szCs w:val="24"/>
        </w:rPr>
        <w:t>三、比价文件的获取</w:t>
      </w:r>
    </w:p>
    <w:p>
      <w:pPr>
        <w:pStyle w:val="19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.1比价文件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color w:val="auto"/>
          <w:sz w:val="24"/>
          <w:szCs w:val="24"/>
          <w:lang w:val="en-US" w:eastAsia="zh-CN"/>
        </w:rPr>
        <w:t>2026</w:t>
      </w:r>
      <w:r>
        <w:rPr>
          <w:rFonts w:hint="eastAsia" w:ascii="仿宋" w:hAnsi="仿宋" w:eastAsia="仿宋" w:cs="宋体"/>
          <w:color w:val="auto"/>
          <w:sz w:val="24"/>
          <w:szCs w:val="24"/>
        </w:rPr>
        <w:t>年5月</w:t>
      </w:r>
      <w:r>
        <w:rPr>
          <w:rFonts w:hint="eastAsia" w:ascii="仿宋" w:hAnsi="仿宋" w:eastAsia="仿宋" w:cs="宋体"/>
          <w:color w:val="auto"/>
          <w:sz w:val="24"/>
          <w:szCs w:val="24"/>
          <w:lang w:val="en-US" w:eastAsia="zh-CN"/>
        </w:rPr>
        <w:t>11</w:t>
      </w:r>
      <w:r>
        <w:rPr>
          <w:rFonts w:hint="eastAsia" w:ascii="仿宋" w:hAnsi="仿宋" w:eastAsia="仿宋" w:cs="宋体"/>
          <w:color w:val="auto"/>
          <w:sz w:val="24"/>
          <w:szCs w:val="24"/>
        </w:rPr>
        <w:t>日至202</w:t>
      </w:r>
      <w:r>
        <w:rPr>
          <w:rFonts w:hint="eastAsia" w:ascii="仿宋" w:hAnsi="仿宋" w:eastAsia="仿宋" w:cs="宋体"/>
          <w:color w:val="auto"/>
          <w:sz w:val="24"/>
          <w:szCs w:val="24"/>
          <w:lang w:val="en-US" w:eastAsia="zh-CN"/>
        </w:rPr>
        <w:t>6</w:t>
      </w:r>
      <w:r>
        <w:rPr>
          <w:rFonts w:hint="eastAsia" w:ascii="仿宋" w:hAnsi="仿宋" w:eastAsia="仿宋" w:cs="宋体"/>
          <w:color w:val="auto"/>
          <w:sz w:val="24"/>
          <w:szCs w:val="24"/>
        </w:rPr>
        <w:t>年5月</w:t>
      </w:r>
      <w:r>
        <w:rPr>
          <w:rFonts w:hint="eastAsia" w:ascii="仿宋" w:hAnsi="仿宋" w:eastAsia="仿宋" w:cs="宋体"/>
          <w:color w:val="auto"/>
          <w:sz w:val="24"/>
          <w:szCs w:val="24"/>
          <w:lang w:val="en-US" w:eastAsia="zh-CN"/>
        </w:rPr>
        <w:t>13</w:t>
      </w:r>
      <w:r>
        <w:rPr>
          <w:rFonts w:hint="eastAsia" w:ascii="仿宋" w:hAnsi="仿宋" w:eastAsia="仿宋" w:cs="宋体"/>
          <w:color w:val="auto"/>
          <w:sz w:val="24"/>
          <w:szCs w:val="24"/>
        </w:rPr>
        <w:t>日，上午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18</w:t>
      </w:r>
      <w:r>
        <w:rPr>
          <w:rFonts w:hint="eastAsia" w:ascii="仿宋" w:hAnsi="仿宋" w:eastAsia="仿宋" w:cs="宋体"/>
          <w:color w:val="auto"/>
          <w:sz w:val="24"/>
          <w:szCs w:val="24"/>
        </w:rPr>
        <w:t>时（北京时间，下同）。</w:t>
      </w:r>
    </w:p>
    <w:p>
      <w:pPr>
        <w:pStyle w:val="13"/>
        <w:spacing w:line="360" w:lineRule="auto"/>
        <w:ind w:firstLine="480"/>
        <w:rPr>
          <w:rFonts w:ascii="仿宋" w:hAnsi="仿宋" w:eastAsia="仿宋" w:cs="仿宋_GB2312"/>
          <w:color w:val="auto"/>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请通过“人保e采”外网门户获取比价文件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四、响应文件的递交</w:t>
      </w:r>
    </w:p>
    <w:p>
      <w:pPr>
        <w:spacing w:line="360" w:lineRule="auto"/>
        <w:ind w:firstLine="480"/>
        <w:rPr>
          <w:rFonts w:hint="eastAsia" w:ascii="仿宋" w:hAnsi="仿宋" w:eastAsia="仿宋" w:cs="仿宋"/>
          <w:color w:val="auto"/>
          <w:sz w:val="24"/>
          <w:szCs w:val="24"/>
          <w:lang w:val="en-US" w:eastAsia="zh-CN" w:bidi="ar-SA"/>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rPr>
        <w:t>：</w:t>
      </w:r>
      <w:r>
        <w:rPr>
          <w:rFonts w:hint="eastAsia" w:ascii="仿宋" w:hAnsi="仿宋" w:eastAsia="仿宋" w:cs="仿宋"/>
          <w:color w:val="auto"/>
          <w:sz w:val="24"/>
          <w:szCs w:val="24"/>
          <w:lang w:val="en-US" w:eastAsia="zh-CN" w:bidi="ar-SA"/>
        </w:rPr>
        <w:t>2026年5月19日15时0分0秒。</w:t>
      </w:r>
    </w:p>
    <w:p>
      <w:pPr>
        <w:spacing w:line="360" w:lineRule="auto"/>
        <w:ind w:firstLine="480"/>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u w:val="none"/>
        </w:rPr>
        <w:t>须现场递交或邮寄至</w:t>
      </w:r>
      <w:r>
        <w:rPr>
          <w:rFonts w:hint="eastAsia" w:ascii="仿宋_GB2312" w:hAnsi="仿宋_GB2312" w:eastAsia="仿宋_GB2312" w:cs="仿宋_GB2312"/>
          <w:color w:val="auto"/>
          <w:sz w:val="24"/>
          <w:szCs w:val="24"/>
        </w:rPr>
        <w:t>四川省资阳市雁江区宝台镇黄泥村弘城水韵和中城建、新城市广场（一期）25号楼25（F）</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逾期送达或者未送达指定地点或者未按照比价文件要求封装的纸质响应文件不予接收。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.3本项目将于上述同一时间、地点进行比价，</w:t>
      </w:r>
      <w:r>
        <w:rPr>
          <w:rFonts w:hint="eastAsia" w:ascii="仿宋" w:hAnsi="仿宋" w:eastAsia="仿宋" w:cs="宋体"/>
        </w:rPr>
        <w:t>采购人邀</w:t>
      </w:r>
      <w:r>
        <w:rPr>
          <w:rFonts w:hint="eastAsia" w:ascii="仿宋" w:hAnsi="仿宋" w:eastAsia="仿宋" w:cs="宋体"/>
          <w:color w:val="000000"/>
        </w:rPr>
        <w:t>请供应商代表准时参加。</w:t>
      </w:r>
    </w:p>
    <w:p>
      <w:pPr>
        <w:spacing w:line="360" w:lineRule="auto"/>
        <w:ind w:firstLine="480"/>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rPr>
        <w:t>.4</w:t>
      </w:r>
      <w:r>
        <w:rPr>
          <w:rFonts w:hint="eastAsia" w:ascii="仿宋" w:hAnsi="仿宋" w:eastAsia="仿宋" w:cs="宋体"/>
          <w:b/>
          <w:bCs/>
          <w:color w:val="000000"/>
        </w:rPr>
        <w:t>出现以下情形之一时，采购人不予接收投标文件：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.4.1  逾期送达或者未送达指定地点的；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.4.2  未按照响应文件要求密封的；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.4.3  未按照比价公告要求获取比价文件的。</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五、发布公告的媒介</w:t>
      </w:r>
    </w:p>
    <w:p>
      <w:pPr>
        <w:spacing w:line="360" w:lineRule="auto"/>
        <w:ind w:firstLine="480"/>
        <w:rPr>
          <w:rFonts w:ascii="仿宋" w:hAnsi="仿宋" w:eastAsia="仿宋" w:cs="仿宋"/>
          <w:color w:val="000000"/>
        </w:rPr>
      </w:pPr>
      <w:r>
        <w:rPr>
          <w:rFonts w:hint="eastAsia" w:ascii="仿宋" w:hAnsi="仿宋" w:eastAsia="仿宋" w:cs="仿宋"/>
          <w:color w:val="000000"/>
        </w:rPr>
        <w:t>本项目比价公告同时在</w:t>
      </w:r>
      <w:r>
        <w:rPr>
          <w:rFonts w:hint="eastAsia" w:ascii="仿宋" w:hAnsi="仿宋" w:eastAsia="仿宋" w:cs="宋体"/>
          <w:color w:val="auto"/>
          <w:u w:val="none"/>
        </w:rPr>
        <w:t>“人保e采”外网门户（https://ec.picc.com/）</w:t>
      </w:r>
      <w:r>
        <w:rPr>
          <w:rFonts w:hint="eastAsia" w:ascii="仿宋" w:hAnsi="仿宋" w:eastAsia="仿宋" w:cs="仿宋"/>
          <w:color w:val="auto"/>
          <w:u w:val="none"/>
        </w:rPr>
        <w:t>上发</w:t>
      </w:r>
      <w:r>
        <w:rPr>
          <w:rFonts w:hint="eastAsia" w:ascii="仿宋" w:hAnsi="仿宋" w:eastAsia="仿宋" w:cs="仿宋"/>
          <w:color w:val="000000"/>
        </w:rPr>
        <w:t>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六、联系方式</w:t>
      </w:r>
    </w:p>
    <w:p>
      <w:pPr>
        <w:pageBreakBefore w:val="0"/>
        <w:tabs>
          <w:tab w:val="left" w:pos="-105"/>
          <w:tab w:val="left" w:pos="420"/>
          <w:tab w:val="left" w:pos="630"/>
          <w:tab w:val="left" w:pos="1155"/>
          <w:tab w:val="left" w:pos="1890"/>
          <w:tab w:val="left" w:pos="3150"/>
          <w:tab w:val="left" w:pos="3780"/>
        </w:tabs>
        <w:bidi w:val="0"/>
        <w:spacing w:line="560" w:lineRule="exact"/>
        <w:ind w:firstLine="422"/>
        <w:rPr>
          <w:rFonts w:ascii="仿宋" w:hAnsi="仿宋" w:eastAsia="仿宋" w:cs="仿宋"/>
          <w:b/>
          <w:bCs/>
          <w:color w:val="auto"/>
        </w:rPr>
      </w:pPr>
      <w:r>
        <w:rPr>
          <w:rFonts w:hint="eastAsia" w:ascii="仿宋" w:hAnsi="仿宋" w:eastAsia="仿宋" w:cs="仿宋"/>
          <w:b/>
          <w:bCs/>
          <w:color w:val="auto"/>
        </w:rPr>
        <w:t>采购人：</w:t>
      </w:r>
      <w:r>
        <w:rPr>
          <w:rFonts w:hint="eastAsia" w:ascii="仿宋_GB2312" w:hAnsi="仿宋_GB2312" w:eastAsia="仿宋_GB2312" w:cs="仿宋_GB2312"/>
          <w:b/>
          <w:bCs/>
          <w:color w:val="auto"/>
          <w:sz w:val="24"/>
          <w:szCs w:val="24"/>
        </w:rPr>
        <w:t>中国人民财产保险股份有限公司</w:t>
      </w:r>
      <w:r>
        <w:rPr>
          <w:rFonts w:hint="eastAsia" w:ascii="仿宋_GB2312" w:hAnsi="仿宋_GB2312" w:eastAsia="仿宋_GB2312" w:cs="仿宋_GB2312"/>
          <w:b/>
          <w:bCs/>
          <w:color w:val="auto"/>
          <w:sz w:val="24"/>
          <w:szCs w:val="24"/>
          <w:lang w:val="en-US" w:eastAsia="zh-CN"/>
        </w:rPr>
        <w:t>资阳市</w:t>
      </w:r>
      <w:r>
        <w:rPr>
          <w:rFonts w:hint="eastAsia" w:ascii="仿宋_GB2312" w:hAnsi="仿宋_GB2312" w:eastAsia="仿宋_GB2312" w:cs="仿宋_GB2312"/>
          <w:b/>
          <w:bCs/>
          <w:color w:val="auto"/>
          <w:sz w:val="24"/>
          <w:szCs w:val="24"/>
        </w:rPr>
        <w:t>分公司</w:t>
      </w:r>
    </w:p>
    <w:p>
      <w:pPr>
        <w:pageBreakBefore w:val="0"/>
        <w:bidi w:val="0"/>
        <w:spacing w:line="560" w:lineRule="exact"/>
        <w:ind w:firstLine="480"/>
        <w:jc w:val="left"/>
        <w:outlineLvl w:val="9"/>
        <w:rPr>
          <w:rFonts w:hint="eastAsia" w:ascii="仿宋_GB2312" w:hAnsi="仿宋_GB2312" w:eastAsia="仿宋_GB2312" w:cs="仿宋_GB2312"/>
          <w:color w:val="auto"/>
          <w:sz w:val="24"/>
          <w:szCs w:val="24"/>
        </w:rPr>
      </w:pPr>
      <w:r>
        <w:rPr>
          <w:rFonts w:hint="eastAsia" w:ascii="仿宋" w:hAnsi="仿宋" w:eastAsia="仿宋" w:cs="宋体"/>
          <w:color w:val="auto"/>
        </w:rPr>
        <w:t>地址：</w:t>
      </w:r>
      <w:r>
        <w:rPr>
          <w:rFonts w:hint="eastAsia" w:ascii="仿宋_GB2312" w:hAnsi="仿宋_GB2312" w:eastAsia="仿宋_GB2312" w:cs="仿宋_GB2312"/>
          <w:color w:val="auto"/>
          <w:sz w:val="24"/>
          <w:szCs w:val="24"/>
        </w:rPr>
        <w:t>须现场递交，递交地点四川省资阳市雁江区宝台镇黄泥村弘城水韵和中城建、新城市广场（一期）25号楼25（F），具体会议室由电话通知为准。</w:t>
      </w:r>
    </w:p>
    <w:p>
      <w:pPr>
        <w:pageBreakBefore w:val="0"/>
        <w:bidi w:val="0"/>
        <w:spacing w:line="560" w:lineRule="exact"/>
        <w:ind w:firstLine="480"/>
        <w:jc w:val="left"/>
        <w:outlineLvl w:val="9"/>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rPr>
        <w:t>联系人：</w:t>
      </w:r>
      <w:r>
        <w:rPr>
          <w:rFonts w:hint="eastAsia" w:ascii="仿宋_GB2312" w:hAnsi="仿宋_GB2312" w:eastAsia="仿宋_GB2312" w:cs="仿宋_GB2312"/>
          <w:color w:val="auto"/>
          <w:sz w:val="24"/>
          <w:szCs w:val="24"/>
          <w:lang w:eastAsia="zh-CN"/>
        </w:rPr>
        <w:t>尚金凤</w:t>
      </w:r>
    </w:p>
    <w:p>
      <w:pPr>
        <w:pageBreakBefore w:val="0"/>
        <w:bidi w:val="0"/>
        <w:spacing w:line="560" w:lineRule="exact"/>
        <w:ind w:firstLine="480"/>
        <w:jc w:val="left"/>
        <w:outlineLvl w:val="9"/>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电话：</w:t>
      </w:r>
      <w:r>
        <w:rPr>
          <w:rFonts w:hint="eastAsia" w:ascii="仿宋_GB2312" w:hAnsi="仿宋_GB2312" w:eastAsia="仿宋_GB2312" w:cs="仿宋_GB2312"/>
          <w:color w:val="auto"/>
          <w:sz w:val="24"/>
          <w:szCs w:val="24"/>
          <w:lang w:val="en-US" w:eastAsia="zh-CN"/>
        </w:rPr>
        <w:t>18116687655</w:t>
      </w:r>
    </w:p>
    <w:p>
      <w:pPr>
        <w:pageBreakBefore w:val="0"/>
        <w:bidi w:val="0"/>
        <w:spacing w:line="560" w:lineRule="exact"/>
        <w:ind w:firstLine="480"/>
        <w:jc w:val="left"/>
        <w:outlineLvl w:val="9"/>
        <w:rPr>
          <w:rFonts w:ascii="仿宋" w:hAnsi="仿宋" w:eastAsia="仿宋" w:cs="仿宋"/>
          <w:color w:val="FF0000"/>
        </w:rPr>
      </w:pPr>
      <w:r>
        <w:rPr>
          <w:rFonts w:hint="eastAsia" w:ascii="仿宋_GB2312" w:hAnsi="仿宋_GB2312" w:eastAsia="仿宋_GB2312" w:cs="仿宋_GB2312"/>
          <w:color w:val="auto"/>
          <w:sz w:val="24"/>
          <w:szCs w:val="24"/>
        </w:rPr>
        <w:t>电子邮件：</w:t>
      </w:r>
      <w:r>
        <w:rPr>
          <w:rFonts w:ascii="宋体" w:hAnsi="宋体" w:eastAsia="宋体" w:cs="宋体"/>
          <w:sz w:val="24"/>
          <w:szCs w:val="24"/>
        </w:rPr>
        <w:t>shangjinfeng@sic.picc.com.cn</w:t>
      </w:r>
    </w:p>
    <w:p>
      <w:pPr>
        <w:spacing w:line="360" w:lineRule="auto"/>
        <w:ind w:firstLine="480"/>
        <w:jc w:val="right"/>
        <w:rPr>
          <w:rFonts w:ascii="仿宋" w:hAnsi="仿宋" w:eastAsia="仿宋" w:cs="宋体"/>
          <w:color w:val="FF0000"/>
        </w:rPr>
      </w:pPr>
    </w:p>
    <w:p>
      <w:pPr>
        <w:spacing w:line="360" w:lineRule="auto"/>
        <w:ind w:firstLine="480"/>
        <w:jc w:val="right"/>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eastAsia="zh-CN"/>
        </w:rPr>
        <w:t>资阳市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年5月</w:t>
      </w:r>
      <w:r>
        <w:rPr>
          <w:rFonts w:hint="eastAsia" w:ascii="仿宋" w:hAnsi="仿宋" w:eastAsia="仿宋" w:cs="宋体"/>
          <w:color w:val="auto"/>
          <w:lang w:val="en-US" w:eastAsia="zh-CN"/>
        </w:rPr>
        <w:t>9</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clear="all"/>
      </w:r>
      <w:r>
        <w:rPr>
          <w:rFonts w:hint="eastAsia" w:ascii="仿宋_GB2312" w:hAnsi="宋体" w:eastAsia="仿宋_GB2312"/>
          <w:color w:val="auto"/>
          <w:sz w:val="28"/>
          <w:szCs w:val="28"/>
        </w:rPr>
        <w:t>第二章 供应商须知</w:t>
      </w:r>
    </w:p>
    <w:p>
      <w:pPr>
        <w:pStyle w:val="4"/>
        <w:spacing w:before="0" w:after="0"/>
        <w:rPr>
          <w:sz w:val="24"/>
          <w:szCs w:val="24"/>
        </w:rPr>
      </w:pPr>
      <w:r>
        <w:rPr>
          <w:rFonts w:hint="eastAsia" w:ascii="仿宋" w:hAnsi="仿宋" w:eastAsia="仿宋" w:cs="仿宋"/>
          <w:color w:val="000000"/>
          <w:sz w:val="24"/>
          <w:szCs w:val="24"/>
        </w:rPr>
        <w:t>一、供应商须知前附表</w:t>
      </w:r>
    </w:p>
    <w:tbl>
      <w:tblPr>
        <w:tblStyle w:val="34"/>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774"/>
        <w:gridCol w:w="72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774"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266"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774" w:type="dxa"/>
            <w:noWrap w:val="0"/>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266" w:type="dxa"/>
            <w:noWrap w:val="0"/>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774"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266" w:type="dxa"/>
            <w:noWrap w:val="0"/>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774"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★比价文件实质性要求的标识</w:t>
            </w:r>
          </w:p>
        </w:tc>
        <w:tc>
          <w:tcPr>
            <w:tcW w:w="7266" w:type="dxa"/>
            <w:noWrap w:val="0"/>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比价文件中标识“★”条款、注明“比价响应将被否决”、“对其响应做否决处理”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774"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266" w:type="dxa"/>
            <w:noWrap w:val="0"/>
            <w:vAlign w:val="center"/>
          </w:tcPr>
          <w:p>
            <w:pPr>
              <w:pStyle w:val="196"/>
              <w:spacing w:before="62" w:after="62"/>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197"/>
              <w:spacing w:before="62" w:after="62"/>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rPr>
                <w:rFonts w:ascii="仿宋" w:hAnsi="仿宋" w:eastAsia="仿宋" w:cs="仿宋"/>
                <w:b/>
                <w:color w:val="000000"/>
                <w:szCs w:val="21"/>
              </w:rPr>
            </w:pPr>
            <w:r>
              <w:rPr>
                <w:rFonts w:hint="eastAsia" w:ascii="仿宋" w:hAnsi="仿宋" w:eastAsia="仿宋" w:cs="仿宋"/>
                <w:b/>
                <w:color w:val="000000"/>
                <w:szCs w:val="21"/>
              </w:rPr>
              <w:t>初步评审索引表</w:t>
            </w:r>
          </w:p>
          <w:p>
            <w:r>
              <w:rPr>
                <w:rFonts w:hint="eastAsia" w:ascii="仿宋" w:hAnsi="仿宋" w:eastAsia="仿宋" w:cs="仿宋"/>
                <w:b/>
                <w:color w:val="000000"/>
                <w:szCs w:val="21"/>
              </w:rPr>
              <w:t>详细评审索引表</w:t>
            </w:r>
          </w:p>
          <w:p>
            <w:pPr>
              <w:pStyle w:val="197"/>
              <w:spacing w:before="62" w:after="62"/>
              <w:rPr>
                <w:rFonts w:ascii="仿宋" w:hAnsi="仿宋" w:eastAsia="仿宋" w:cs="仿宋"/>
                <w:color w:val="000000"/>
              </w:rPr>
            </w:pPr>
            <w:r>
              <w:rPr>
                <w:rFonts w:hint="eastAsia" w:ascii="仿宋" w:hAnsi="仿宋" w:eastAsia="仿宋" w:cs="仿宋"/>
                <w:color w:val="000000"/>
              </w:rPr>
              <w:t>（一）响应函</w:t>
            </w:r>
          </w:p>
          <w:p>
            <w:pPr>
              <w:pStyle w:val="196"/>
              <w:spacing w:before="62" w:after="62"/>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196"/>
              <w:spacing w:before="62" w:after="62"/>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197"/>
              <w:spacing w:before="62" w:after="62"/>
              <w:rPr>
                <w:rFonts w:ascii="仿宋" w:hAnsi="仿宋" w:eastAsia="仿宋" w:cs="仿宋"/>
                <w:color w:val="000000"/>
              </w:rPr>
            </w:pPr>
            <w:r>
              <w:rPr>
                <w:rFonts w:hint="eastAsia" w:ascii="仿宋" w:hAnsi="仿宋" w:eastAsia="仿宋" w:cs="仿宋"/>
                <w:color w:val="000000"/>
              </w:rPr>
              <w:t>（四）资格证明文件</w:t>
            </w:r>
          </w:p>
          <w:p>
            <w:pPr>
              <w:pStyle w:val="196"/>
              <w:spacing w:before="62" w:after="62"/>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197"/>
              <w:spacing w:before="62" w:after="62"/>
              <w:rPr>
                <w:rFonts w:ascii="仿宋" w:hAnsi="仿宋" w:eastAsia="仿宋" w:cs="仿宋"/>
                <w:color w:val="000000"/>
              </w:rPr>
            </w:pPr>
            <w:r>
              <w:rPr>
                <w:rFonts w:hint="eastAsia" w:ascii="仿宋" w:hAnsi="仿宋" w:eastAsia="仿宋" w:cs="仿宋"/>
                <w:color w:val="000000"/>
              </w:rPr>
              <w:t>（六）合同条款应答偏离表</w:t>
            </w:r>
          </w:p>
          <w:p>
            <w:pPr>
              <w:pStyle w:val="197"/>
              <w:spacing w:before="62" w:after="62"/>
              <w:rPr>
                <w:rFonts w:ascii="仿宋" w:hAnsi="仿宋" w:eastAsia="仿宋" w:cs="仿宋"/>
                <w:color w:val="000000"/>
              </w:rPr>
            </w:pPr>
            <w:r>
              <w:rPr>
                <w:rFonts w:hint="eastAsia" w:ascii="仿宋" w:hAnsi="仿宋" w:eastAsia="仿宋" w:cs="仿宋"/>
                <w:color w:val="000000"/>
              </w:rPr>
              <w:t>（七）供应商行为准则承诺书</w:t>
            </w:r>
          </w:p>
          <w:p>
            <w:pPr>
              <w:pStyle w:val="197"/>
              <w:spacing w:before="62" w:after="62"/>
              <w:rPr>
                <w:rFonts w:ascii="仿宋" w:hAnsi="仿宋" w:eastAsia="仿宋" w:cs="仿宋"/>
                <w:color w:val="000000"/>
              </w:rPr>
            </w:pPr>
            <w:r>
              <w:rPr>
                <w:rFonts w:hint="eastAsia" w:ascii="仿宋" w:hAnsi="仿宋" w:eastAsia="仿宋"/>
                <w:color w:val="000000"/>
              </w:rPr>
              <w:t>（八）供应商廉洁诚信承诺书</w:t>
            </w:r>
          </w:p>
          <w:p>
            <w:pPr>
              <w:pStyle w:val="197"/>
              <w:spacing w:before="62" w:after="62"/>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二、技术文件</w:t>
            </w:r>
          </w:p>
          <w:p>
            <w:pPr>
              <w:rPr>
                <w:rFonts w:ascii="仿宋" w:hAnsi="仿宋" w:eastAsia="仿宋" w:cs="仿宋"/>
                <w:b/>
                <w:color w:val="000000"/>
                <w:szCs w:val="21"/>
              </w:rPr>
            </w:pPr>
            <w:r>
              <w:rPr>
                <w:rFonts w:hint="eastAsia" w:ascii="仿宋" w:hAnsi="仿宋" w:eastAsia="仿宋" w:cs="仿宋"/>
                <w:b/>
                <w:color w:val="000000"/>
                <w:szCs w:val="21"/>
              </w:rPr>
              <w:t>详细评审索引表</w:t>
            </w:r>
          </w:p>
          <w:p>
            <w:pPr>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197"/>
              <w:spacing w:before="62" w:after="62"/>
              <w:rPr>
                <w:rFonts w:ascii="仿宋" w:hAnsi="仿宋" w:eastAsia="仿宋" w:cs="仿宋"/>
                <w:color w:val="000000"/>
              </w:rPr>
            </w:pPr>
            <w:r>
              <w:rPr>
                <w:rFonts w:hint="eastAsia" w:ascii="仿宋" w:hAnsi="仿宋" w:eastAsia="仿宋" w:cs="仿宋"/>
                <w:color w:val="000000"/>
              </w:rPr>
              <w:t>（二）技术方案</w:t>
            </w:r>
          </w:p>
          <w:p>
            <w:pPr>
              <w:pStyle w:val="197"/>
              <w:spacing w:before="62" w:after="62"/>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三、报价文件</w:t>
            </w:r>
          </w:p>
          <w:p>
            <w:pPr>
              <w:pStyle w:val="197"/>
              <w:spacing w:before="62" w:after="62"/>
              <w:rPr>
                <w:rFonts w:ascii="仿宋" w:hAnsi="仿宋" w:eastAsia="仿宋" w:cs="仿宋"/>
                <w:color w:val="000000"/>
              </w:rPr>
            </w:pPr>
            <w:r>
              <w:rPr>
                <w:rFonts w:hint="eastAsia" w:ascii="仿宋" w:hAnsi="仿宋" w:eastAsia="仿宋" w:cs="仿宋"/>
                <w:color w:val="000000"/>
              </w:rPr>
              <w:t>（一）报价一览表</w:t>
            </w:r>
          </w:p>
          <w:p>
            <w:pPr>
              <w:pStyle w:val="197"/>
              <w:spacing w:before="62" w:after="62"/>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774"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266" w:type="dxa"/>
            <w:noWrap w:val="0"/>
            <w:vAlign w:val="center"/>
          </w:tcPr>
          <w:p>
            <w:pPr>
              <w:pStyle w:val="196"/>
              <w:spacing w:before="62" w:after="62"/>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3"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774"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266" w:type="dxa"/>
            <w:noWrap w:val="0"/>
            <w:vAlign w:val="center"/>
          </w:tcPr>
          <w:p>
            <w:pPr>
              <w:pStyle w:val="198"/>
              <w:spacing w:before="62" w:after="62"/>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198"/>
              <w:spacing w:before="62" w:after="62"/>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198"/>
              <w:spacing w:before="62" w:after="62"/>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196"/>
              <w:spacing w:before="62" w:after="62"/>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774" w:type="dxa"/>
            <w:noWrap w:val="0"/>
            <w:vAlign w:val="center"/>
          </w:tcPr>
          <w:p>
            <w:pPr>
              <w:pStyle w:val="199"/>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★比价响应有效期</w:t>
            </w:r>
          </w:p>
        </w:tc>
        <w:tc>
          <w:tcPr>
            <w:tcW w:w="7266" w:type="dxa"/>
            <w:noWrap w:val="0"/>
            <w:vAlign w:val="center"/>
          </w:tcPr>
          <w:p>
            <w:pPr>
              <w:pStyle w:val="199"/>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比价响应有效期：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774" w:type="dxa"/>
            <w:noWrap w:val="0"/>
            <w:vAlign w:val="center"/>
          </w:tcPr>
          <w:p>
            <w:pPr>
              <w:pStyle w:val="199"/>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266" w:type="dxa"/>
            <w:noWrap w:val="0"/>
            <w:vAlign w:val="center"/>
          </w:tcPr>
          <w:p>
            <w:pPr>
              <w:pStyle w:val="199"/>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份（盖鲜章PDF）；纸质文件正本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67"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774" w:type="dxa"/>
            <w:noWrap w:val="0"/>
            <w:vAlign w:val="center"/>
          </w:tcPr>
          <w:p>
            <w:pPr>
              <w:pStyle w:val="199"/>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比价响应报价</w:t>
            </w:r>
          </w:p>
        </w:tc>
        <w:tc>
          <w:tcPr>
            <w:tcW w:w="7266" w:type="dxa"/>
            <w:noWrap w:val="0"/>
            <w:vAlign w:val="center"/>
          </w:tcPr>
          <w:p>
            <w:pPr>
              <w:pStyle w:val="197"/>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199"/>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2）比价小组将视比价情况决定是否进行多轮次报价，供应商</w:t>
            </w:r>
            <w:r>
              <w:rPr>
                <w:rFonts w:hint="eastAsia" w:ascii="仿宋" w:hAnsi="仿宋" w:eastAsia="仿宋" w:cs="仿宋"/>
                <w:color w:val="000000"/>
                <w:u w:val="single"/>
                <w:lang w:eastAsia="zh-CN"/>
              </w:rPr>
              <w:t>最后一轮比价提交的报价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6"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774" w:type="dxa"/>
            <w:noWrap w:val="0"/>
            <w:vAlign w:val="center"/>
          </w:tcPr>
          <w:p>
            <w:pPr>
              <w:pStyle w:val="199"/>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266" w:type="dxa"/>
            <w:noWrap w:val="0"/>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199"/>
              <w:spacing w:line="300" w:lineRule="auto"/>
              <w:ind w:left="103" w:right="2739"/>
              <w:jc w:val="both"/>
              <w:rPr>
                <w:rFonts w:ascii="仿宋_GB2312" w:eastAsia="仿宋_GB2312"/>
                <w:sz w:val="24"/>
                <w:szCs w:val="24"/>
                <w:lang w:eastAsia="zh-CN"/>
              </w:rPr>
            </w:pPr>
            <w:bookmarkStart w:id="0" w:name="_GoBack"/>
            <w:bookmarkEnd w:id="0"/>
            <w:r>
              <w:rPr>
                <w:rFonts w:hint="eastAsia" w:ascii="仿宋" w:hAnsi="仿宋" w:eastAsia="仿宋" w:cs="仿宋"/>
                <w:color w:val="000000"/>
                <w:lang w:eastAsia="zh-CN"/>
              </w:rPr>
              <mc:AlternateContent>
                <mc:Choice Requires="wps">
                  <w:drawing>
                    <wp:inline distT="0" distB="0" distL="0" distR="0">
                      <wp:extent cx="4320540" cy="2775585"/>
                      <wp:effectExtent l="4445" t="4445" r="18415" b="20320"/>
                      <wp:docPr id="3" name="文本框 4"/>
                      <wp:cNvGraphicFramePr/>
                      <a:graphic xmlns:a="http://schemas.openxmlformats.org/drawingml/2006/main">
                        <a:graphicData uri="http://schemas.microsoft.com/office/word/2010/wordprocessingShape">
                          <wps:wsp>
                            <wps:cNvSpPr txBox="1">
                              <a:spLocks noRot="1"/>
                            </wps:cNvSpPr>
                            <wps:spPr bwMode="auto">
                              <a:xfrm>
                                <a:off x="0" y="0"/>
                                <a:ext cx="4320900" cy="2587052"/>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四川省资阳市雁江支公司城乡墙面宣传</w:t>
                                  </w:r>
                                  <w:r>
                                    <w:rPr>
                                      <w:rFonts w:hint="eastAsia" w:ascii="仿宋" w:hAnsi="仿宋" w:eastAsia="仿宋" w:cs="仿宋"/>
                                      <w:color w:val="000000"/>
                                      <w:u w:val="single"/>
                                    </w:rPr>
                                    <w:t>采购</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color w:val="auto"/>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lang w:val="en-US" w:eastAsia="zh-CN"/>
                                    </w:rPr>
                                    <w:t>5</w:t>
                                  </w:r>
                                  <w:r>
                                    <w:rPr>
                                      <w:rFonts w:hint="eastAsia" w:ascii="仿宋" w:hAnsi="仿宋" w:eastAsia="仿宋" w:cs="仿宋"/>
                                      <w:sz w:val="22"/>
                                      <w:szCs w:val="21"/>
                                    </w:rPr>
                                    <w:t>】月【</w:t>
                                  </w:r>
                                  <w:r>
                                    <w:rPr>
                                      <w:rFonts w:hint="eastAsia" w:ascii="仿宋" w:hAnsi="仿宋" w:eastAsia="仿宋" w:cs="仿宋"/>
                                      <w:sz w:val="22"/>
                                      <w:szCs w:val="21"/>
                                      <w:lang w:val="en-US" w:eastAsia="zh-CN"/>
                                    </w:rPr>
                                    <w:t>19</w:t>
                                  </w:r>
                                  <w:r>
                                    <w:rPr>
                                      <w:rFonts w:hint="eastAsia" w:ascii="仿宋" w:hAnsi="仿宋" w:eastAsia="仿宋" w:cs="仿宋"/>
                                      <w:sz w:val="22"/>
                                      <w:szCs w:val="21"/>
                                    </w:rPr>
                                    <w:t>】日【</w:t>
                                  </w:r>
                                  <w:r>
                                    <w:rPr>
                                      <w:rFonts w:hint="eastAsia" w:ascii="仿宋" w:hAnsi="仿宋" w:eastAsia="仿宋" w:cs="仿宋"/>
                                      <w:sz w:val="22"/>
                                      <w:szCs w:val="21"/>
                                      <w:lang w:val="en-US" w:eastAsia="zh-CN"/>
                                    </w:rPr>
                                    <w:t>15</w:t>
                                  </w:r>
                                  <w:r>
                                    <w:rPr>
                                      <w:rFonts w:hint="eastAsia" w:ascii="仿宋" w:hAnsi="仿宋" w:eastAsia="仿宋" w:cs="仿宋"/>
                                      <w:sz w:val="22"/>
                                      <w:szCs w:val="21"/>
                                    </w:rPr>
                                    <w:t>】【</w:t>
                                  </w:r>
                                  <w:r>
                                    <w:rPr>
                                      <w:rFonts w:hint="eastAsia" w:ascii="仿宋" w:hAnsi="仿宋" w:eastAsia="仿宋" w:cs="仿宋"/>
                                      <w:sz w:val="22"/>
                                      <w:szCs w:val="21"/>
                                      <w:lang w:val="en-US" w:eastAsia="zh-CN"/>
                                    </w:rPr>
                                    <w:t>00</w:t>
                                  </w:r>
                                  <w:r>
                                    <w:rPr>
                                      <w:rFonts w:hint="eastAsia" w:ascii="仿宋" w:hAnsi="仿宋" w:eastAsia="仿宋" w:cs="仿宋"/>
                                      <w:sz w:val="22"/>
                                      <w:szCs w:val="21"/>
                                    </w:rPr>
                                    <w:t>】时【</w:t>
                                  </w:r>
                                  <w:r>
                                    <w:rPr>
                                      <w:rFonts w:hint="eastAsia" w:ascii="仿宋" w:hAnsi="仿宋" w:eastAsia="仿宋" w:cs="仿宋"/>
                                      <w:sz w:val="22"/>
                                      <w:szCs w:val="21"/>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4"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EP1dNtBAgAAngQAAA4AAABkcnMvZTJvRG9jLnhtbK1UzXLT&#10;MBC+M8M7aHSndtwGWk+cDhDCpfwMhQfYyHKsQX9ISuy8AH0DTly481x5Dlaym5YCMzngg0Y/u9/u&#10;ft+uZ5e9kmTLnRdGV3RyklPCNTO10OuKfvq4fHJOiQ+ga5BG84ruuKeX88ePZp0teWFaI2vuCIJo&#10;X3a2om0Itswyz1quwJ8YyzU+NsYpCHh066x20CG6klmR50+zzrjaOsO493i7GB7piOiOATRNIxhf&#10;GLZRXIcB1XEJAUvyrbCezlO2TcNZeNc0ngciK4qVhrRiENyv4prNZ1CuHdhWsDEFOCaFBzUpEBqD&#10;HqAWEIBsnPgDSgnmjDdNOGFGZUMhiRGsYpI/4Oa6BctTLUi1twfS/f+DZW+37x0RdUVPKdGgUPD9&#10;t5v995/7H1/JWaSns75Eq2uLdqF/YXpsmlSqt1eGffZEmw8GeZ1E4+ye9eDqo9+qe2NqhIZNMMm3&#10;b5yKdCEBBAFRjd1BDd4HwvDy7LTIL3J8YvhWTM+f5dMixYDy1t06H15zo0jcVNSh3Aketlc+xHSg&#10;vDWJ0byRol4KKdPBrVcvpSNbwNZYpm9E/81MatJV9GJaTDERwH5vsM9wqyxy5vV6oOKfwHn6/gYc&#10;E1uAb4cEUsxoBqUSgbu0aznUr3RNws4ieRrHkcZkFK8pkRynN+6SZQAhj7FEQqSOQXiajZGlKFrU&#10;aVAs9KseQePlytQ7lK/D+cBiv2zAYQYb68S6TYonHu1zVHUpEt93TmMvYNsmGcYRi3Nx/5ys7n4r&#10;8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DJRr1gAAAAUBAAAPAAAAAAAAAAEAIAAAACIAAABk&#10;cnMvZG93bnJldi54bWxQSwECFAAUAAAACACHTuJAQ/V020ECAACeBAAADgAAAAAAAAABACAAAAAl&#10;AQAAZHJzL2Uyb0RvYy54bWxQSwUGAAAAAAYABgBZAQAA2AU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四川省资阳市雁江支公司城乡墙面宣传</w:t>
                            </w:r>
                            <w:r>
                              <w:rPr>
                                <w:rFonts w:hint="eastAsia" w:ascii="仿宋" w:hAnsi="仿宋" w:eastAsia="仿宋" w:cs="仿宋"/>
                                <w:color w:val="000000"/>
                                <w:u w:val="single"/>
                              </w:rPr>
                              <w:t>采购</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color w:val="auto"/>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lang w:val="en-US" w:eastAsia="zh-CN"/>
                              </w:rPr>
                              <w:t>5</w:t>
                            </w:r>
                            <w:r>
                              <w:rPr>
                                <w:rFonts w:hint="eastAsia" w:ascii="仿宋" w:hAnsi="仿宋" w:eastAsia="仿宋" w:cs="仿宋"/>
                                <w:sz w:val="22"/>
                                <w:szCs w:val="21"/>
                              </w:rPr>
                              <w:t>】月【</w:t>
                            </w:r>
                            <w:r>
                              <w:rPr>
                                <w:rFonts w:hint="eastAsia" w:ascii="仿宋" w:hAnsi="仿宋" w:eastAsia="仿宋" w:cs="仿宋"/>
                                <w:sz w:val="22"/>
                                <w:szCs w:val="21"/>
                                <w:lang w:val="en-US" w:eastAsia="zh-CN"/>
                              </w:rPr>
                              <w:t>19</w:t>
                            </w:r>
                            <w:r>
                              <w:rPr>
                                <w:rFonts w:hint="eastAsia" w:ascii="仿宋" w:hAnsi="仿宋" w:eastAsia="仿宋" w:cs="仿宋"/>
                                <w:sz w:val="22"/>
                                <w:szCs w:val="21"/>
                              </w:rPr>
                              <w:t>】日【</w:t>
                            </w:r>
                            <w:r>
                              <w:rPr>
                                <w:rFonts w:hint="eastAsia" w:ascii="仿宋" w:hAnsi="仿宋" w:eastAsia="仿宋" w:cs="仿宋"/>
                                <w:sz w:val="22"/>
                                <w:szCs w:val="21"/>
                                <w:lang w:val="en-US" w:eastAsia="zh-CN"/>
                              </w:rPr>
                              <w:t>15</w:t>
                            </w:r>
                            <w:r>
                              <w:rPr>
                                <w:rFonts w:hint="eastAsia" w:ascii="仿宋" w:hAnsi="仿宋" w:eastAsia="仿宋" w:cs="仿宋"/>
                                <w:sz w:val="22"/>
                                <w:szCs w:val="21"/>
                              </w:rPr>
                              <w:t>】【</w:t>
                            </w:r>
                            <w:r>
                              <w:rPr>
                                <w:rFonts w:hint="eastAsia" w:ascii="仿宋" w:hAnsi="仿宋" w:eastAsia="仿宋" w:cs="仿宋"/>
                                <w:sz w:val="22"/>
                                <w:szCs w:val="21"/>
                                <w:lang w:val="en-US" w:eastAsia="zh-CN"/>
                              </w:rPr>
                              <w:t>00</w:t>
                            </w:r>
                            <w:r>
                              <w:rPr>
                                <w:rFonts w:hint="eastAsia" w:ascii="仿宋" w:hAnsi="仿宋" w:eastAsia="仿宋" w:cs="仿宋"/>
                                <w:sz w:val="22"/>
                                <w:szCs w:val="21"/>
                              </w:rPr>
                              <w:t>】时【</w:t>
                            </w:r>
                            <w:r>
                              <w:rPr>
                                <w:rFonts w:hint="eastAsia" w:ascii="仿宋" w:hAnsi="仿宋" w:eastAsia="仿宋" w:cs="仿宋"/>
                                <w:sz w:val="22"/>
                                <w:szCs w:val="21"/>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774" w:type="dxa"/>
            <w:noWrap w:val="0"/>
            <w:vAlign w:val="center"/>
          </w:tcPr>
          <w:p>
            <w:pPr>
              <w:spacing w:line="400" w:lineRule="exact"/>
              <w:ind w:left="77" w:right="132" w:firstLine="67"/>
              <w:jc w:val="center"/>
              <w:rPr>
                <w:rFonts w:ascii="仿宋_GB2312" w:hAnsi="宋体" w:eastAsia="仿宋_GB2312"/>
                <w:szCs w:val="21"/>
              </w:rPr>
            </w:pPr>
            <w:r>
              <w:rPr>
                <w:rFonts w:hint="eastAsia" w:ascii="仿宋" w:hAnsi="仿宋" w:eastAsia="仿宋" w:cs="仿宋"/>
                <w:color w:val="000000"/>
                <w:szCs w:val="21"/>
              </w:rPr>
              <w:t>组建比价小组</w:t>
            </w:r>
          </w:p>
        </w:tc>
        <w:tc>
          <w:tcPr>
            <w:tcW w:w="7266" w:type="dxa"/>
            <w:noWrap w:val="0"/>
            <w:vAlign w:val="center"/>
          </w:tcPr>
          <w:p>
            <w:pPr>
              <w:spacing w:line="400" w:lineRule="exact"/>
              <w:ind w:left="146" w:firstLine="2"/>
              <w:rPr>
                <w:rFonts w:ascii="仿宋_GB2312" w:hAnsi="宋体" w:eastAsia="仿宋_GB2312" w:cs="新宋体"/>
                <w:szCs w:val="21"/>
                <w:lang w:val="zh-CN"/>
              </w:rPr>
            </w:pPr>
            <w:r>
              <w:rPr>
                <w:rFonts w:hint="eastAsia" w:ascii="仿宋" w:hAnsi="仿宋" w:eastAsia="仿宋" w:cs="仿宋"/>
                <w:color w:val="000000"/>
                <w:sz w:val="22"/>
              </w:rPr>
              <w:t>本项目比价小组成员人</w:t>
            </w:r>
            <w:r>
              <w:rPr>
                <w:rFonts w:hint="eastAsia" w:ascii="仿宋" w:hAnsi="仿宋" w:eastAsia="仿宋" w:cs="仿宋"/>
                <w:color w:val="auto"/>
                <w:sz w:val="22"/>
              </w:rPr>
              <w:t>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55"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774"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比价程序及方式</w:t>
            </w:r>
          </w:p>
        </w:tc>
        <w:tc>
          <w:tcPr>
            <w:tcW w:w="7266" w:type="dxa"/>
            <w:noWrap w:val="0"/>
            <w:vAlign w:val="center"/>
          </w:tcPr>
          <w:p>
            <w:pPr>
              <w:pStyle w:val="197"/>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（1）比价小组将与通过初步评审的有效供应商按照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逐一进行比价，供应商至少应派法定代表人或其授权委托人准时参会。</w:t>
            </w:r>
          </w:p>
          <w:p>
            <w:pPr>
              <w:spacing w:line="400" w:lineRule="exact"/>
              <w:rPr>
                <w:rFonts w:ascii="仿宋" w:hAnsi="仿宋" w:eastAsia="仿宋" w:cs="仿宋"/>
                <w:color w:val="000000"/>
              </w:rPr>
            </w:pPr>
            <w:r>
              <w:rPr>
                <w:rFonts w:hint="eastAsia" w:ascii="仿宋" w:hAnsi="仿宋" w:eastAsia="仿宋" w:cs="仿宋"/>
                <w:color w:val="000000"/>
                <w:sz w:val="22"/>
                <w:szCs w:val="22"/>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79"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774"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比价内容</w:t>
            </w:r>
          </w:p>
        </w:tc>
        <w:tc>
          <w:tcPr>
            <w:tcW w:w="7266" w:type="dxa"/>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none"/>
              </w:rPr>
              <w:t>报价、对采购需求的理解、</w:t>
            </w:r>
            <w:r>
              <w:rPr>
                <w:rFonts w:hint="eastAsia" w:ascii="仿宋" w:hAnsi="仿宋" w:eastAsia="仿宋" w:cs="仿宋"/>
                <w:color w:val="auto"/>
                <w:sz w:val="22"/>
                <w:u w:val="none"/>
              </w:rPr>
              <w:t>产品配置/技术方案、</w:t>
            </w:r>
            <w:r>
              <w:rPr>
                <w:rFonts w:hint="eastAsia" w:ascii="仿宋" w:hAnsi="仿宋" w:eastAsia="仿宋" w:cs="仿宋"/>
                <w:color w:val="000000"/>
                <w:sz w:val="22"/>
                <w:u w:val="none"/>
              </w:rPr>
              <w:t>实施方案、人员配置、服务承诺、商务条款等。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7"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774"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266" w:type="dxa"/>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比价小组从质量和服务均能满足采购文件实质性响应要求的供应商中，按照最后报价由低到高的顺序</w:t>
            </w:r>
            <w:r>
              <w:rPr>
                <w:rFonts w:hint="eastAsia" w:ascii="仿宋" w:hAnsi="仿宋" w:eastAsia="仿宋" w:cs="宋体"/>
                <w:color w:val="000000"/>
                <w:sz w:val="22"/>
              </w:rPr>
              <w:t>推</w:t>
            </w:r>
            <w:r>
              <w:rPr>
                <w:rFonts w:hint="eastAsia" w:ascii="仿宋" w:hAnsi="仿宋" w:eastAsia="仿宋" w:cs="宋体"/>
                <w:color w:val="auto"/>
                <w:sz w:val="22"/>
                <w:u w:val="none"/>
              </w:rPr>
              <w:t>荐</w:t>
            </w:r>
            <w:r>
              <w:rPr>
                <w:rFonts w:hint="eastAsia" w:ascii="仿宋" w:hAnsi="仿宋" w:eastAsia="仿宋" w:cs="仿宋"/>
                <w:color w:val="auto"/>
                <w:sz w:val="22"/>
                <w:szCs w:val="22"/>
                <w:u w:val="single"/>
                <w:lang w:val="en-US" w:eastAsia="zh-CN"/>
              </w:rPr>
              <w:t>1家</w:t>
            </w:r>
            <w:r>
              <w:rPr>
                <w:rFonts w:hint="eastAsia" w:ascii="仿宋" w:hAnsi="仿宋" w:eastAsia="仿宋" w:cs="宋体"/>
                <w:color w:val="000000"/>
                <w:sz w:val="22"/>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774"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成交人数量</w:t>
            </w:r>
          </w:p>
        </w:tc>
        <w:tc>
          <w:tcPr>
            <w:tcW w:w="7266" w:type="dxa"/>
            <w:noWrap w:val="0"/>
            <w:vAlign w:val="center"/>
          </w:tcPr>
          <w:p>
            <w:pPr>
              <w:pStyle w:val="197"/>
              <w:spacing w:before="62" w:after="62"/>
              <w:rPr>
                <w:rFonts w:ascii="仿宋" w:hAnsi="仿宋" w:eastAsia="仿宋" w:cs="仿宋"/>
                <w:color w:val="auto"/>
                <w:sz w:val="22"/>
                <w:szCs w:val="22"/>
                <w:u w:val="non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none"/>
              </w:rPr>
              <w:t>1家</w:t>
            </w:r>
          </w:p>
          <w:p>
            <w:pPr>
              <w:spacing w:line="400" w:lineRule="exact"/>
              <w:rPr>
                <w:rFonts w:ascii="仿宋" w:hAnsi="仿宋" w:eastAsia="仿宋" w:cs="仿宋"/>
                <w:color w:val="000000"/>
              </w:rPr>
            </w:pPr>
            <w:r>
              <w:rPr>
                <w:rFonts w:hint="eastAsia" w:ascii="仿宋" w:hAnsi="仿宋" w:eastAsia="仿宋" w:cs="宋体"/>
                <w:color w:val="auto"/>
                <w:sz w:val="22"/>
                <w:szCs w:val="22"/>
                <w:u w:val="none"/>
              </w:rPr>
              <w:t>排名第一</w:t>
            </w:r>
            <w:r>
              <w:rPr>
                <w:rFonts w:hint="eastAsia" w:ascii="仿宋" w:hAnsi="仿宋" w:eastAsia="仿宋" w:cs="仿宋"/>
                <w:color w:val="auto"/>
                <w:sz w:val="22"/>
                <w:szCs w:val="22"/>
                <w:u w:val="none"/>
              </w:rPr>
              <w:t>成交</w:t>
            </w:r>
            <w:r>
              <w:rPr>
                <w:rFonts w:hint="eastAsia" w:ascii="仿宋" w:hAnsi="仿宋" w:eastAsia="仿宋" w:cs="仿宋"/>
                <w:sz w:val="22"/>
                <w:szCs w:val="22"/>
              </w:rPr>
              <w:t>候选人放弃成交、因不可抗力不能履行合同、</w:t>
            </w:r>
            <w:r>
              <w:rPr>
                <w:rFonts w:hint="eastAsia" w:ascii="仿宋" w:hAnsi="仿宋" w:eastAsia="仿宋" w:cs="宋体"/>
                <w:color w:val="000000"/>
                <w:sz w:val="22"/>
                <w:szCs w:val="22"/>
              </w:rPr>
              <w:t>不按照比价文件要求提交履约保证金</w:t>
            </w:r>
            <w:r>
              <w:rPr>
                <w:rFonts w:hint="eastAsia" w:ascii="仿宋" w:hAnsi="仿宋" w:eastAsia="仿宋" w:cs="仿宋"/>
                <w:sz w:val="22"/>
                <w:szCs w:val="22"/>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774" w:type="dxa"/>
            <w:noWrap w:val="0"/>
            <w:vAlign w:val="center"/>
          </w:tcPr>
          <w:p>
            <w:pPr>
              <w:spacing w:line="400" w:lineRule="exact"/>
              <w:ind w:left="77" w:right="132" w:firstLine="67"/>
              <w:jc w:val="center"/>
              <w:rPr>
                <w:rFonts w:ascii="仿宋" w:hAnsi="仿宋" w:eastAsia="仿宋" w:cs="仿宋"/>
                <w:color w:val="auto"/>
              </w:rPr>
            </w:pPr>
            <w:r>
              <w:rPr>
                <w:rFonts w:hint="eastAsia" w:ascii="仿宋" w:hAnsi="仿宋" w:eastAsia="仿宋" w:cs="仿宋"/>
                <w:color w:val="auto"/>
                <w:szCs w:val="21"/>
              </w:rPr>
              <w:t>履约保证金</w:t>
            </w:r>
          </w:p>
        </w:tc>
        <w:tc>
          <w:tcPr>
            <w:tcW w:w="7266" w:type="dxa"/>
            <w:noWrap w:val="0"/>
            <w:vAlign w:val="center"/>
          </w:tcPr>
          <w:p>
            <w:pPr>
              <w:pStyle w:val="197"/>
              <w:spacing w:before="62" w:after="62"/>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3" w:hRule="exact"/>
          <w:jc w:val="center"/>
        </w:trPr>
        <w:tc>
          <w:tcPr>
            <w:tcW w:w="1142" w:type="dxa"/>
            <w:noWrap w:val="0"/>
            <w:vAlign w:val="center"/>
          </w:tcPr>
          <w:p>
            <w:pPr>
              <w:pStyle w:val="199"/>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774" w:type="dxa"/>
            <w:noWrap w:val="0"/>
            <w:vAlign w:val="center"/>
          </w:tcPr>
          <w:p>
            <w:pPr>
              <w:spacing w:line="400" w:lineRule="exact"/>
              <w:ind w:left="77" w:right="132" w:firstLine="67"/>
              <w:jc w:val="center"/>
              <w:rPr>
                <w:rFonts w:ascii="仿宋_GB2312" w:hAnsi="宋体" w:eastAsia="仿宋_GB2312"/>
                <w:szCs w:val="21"/>
              </w:rPr>
            </w:pPr>
            <w:r>
              <w:rPr>
                <w:rFonts w:hint="eastAsia" w:ascii="仿宋_GB2312" w:hAnsi="宋体" w:eastAsia="仿宋_GB2312"/>
                <w:szCs w:val="21"/>
              </w:rPr>
              <w:t>合同签署</w:t>
            </w:r>
          </w:p>
        </w:tc>
        <w:tc>
          <w:tcPr>
            <w:tcW w:w="7266" w:type="dxa"/>
            <w:noWrap w:val="0"/>
            <w:vAlign w:val="center"/>
          </w:tcPr>
          <w:p>
            <w:pPr>
              <w:spacing w:line="400" w:lineRule="exact"/>
              <w:ind w:left="146" w:firstLine="2"/>
              <w:rPr>
                <w:rFonts w:hint="eastAsia" w:ascii="仿宋_GB2312" w:hAnsi="宋体" w:eastAsia="仿宋" w:cs="新宋体"/>
                <w:szCs w:val="21"/>
                <w:lang w:val="zh-CN" w:eastAsia="zh-CN"/>
              </w:rPr>
            </w:pPr>
            <w:r>
              <w:rPr>
                <w:rFonts w:hint="eastAsia" w:ascii="仿宋" w:hAnsi="仿宋" w:eastAsia="仿宋" w:cs="仿宋"/>
                <w:sz w:val="22"/>
              </w:rPr>
              <w:t>项目采购人</w:t>
            </w:r>
            <w:r>
              <w:rPr>
                <w:rFonts w:hint="eastAsia" w:ascii="仿宋" w:hAnsi="仿宋" w:eastAsia="仿宋" w:cs="仿宋"/>
                <w:sz w:val="22"/>
                <w:lang w:eastAsia="zh-CN"/>
              </w:rPr>
              <w:t>、</w:t>
            </w:r>
            <w:r>
              <w:rPr>
                <w:rFonts w:ascii="仿宋" w:hAnsi="仿宋" w:eastAsia="仿宋" w:cs="仿宋"/>
                <w:sz w:val="22"/>
              </w:rPr>
              <w:t>实际合同签署人</w:t>
            </w:r>
            <w:r>
              <w:rPr>
                <w:rFonts w:hint="eastAsia" w:ascii="仿宋" w:hAnsi="仿宋" w:eastAsia="仿宋" w:cs="仿宋"/>
                <w:sz w:val="22"/>
              </w:rPr>
              <w:t>为人保财险</w:t>
            </w:r>
            <w:r>
              <w:rPr>
                <w:rFonts w:hint="eastAsia" w:ascii="仿宋" w:hAnsi="仿宋" w:eastAsia="仿宋" w:cs="宋体"/>
                <w:color w:val="auto"/>
                <w:sz w:val="22"/>
                <w:lang w:eastAsia="zh-CN"/>
              </w:rPr>
              <w:t>资阳市</w:t>
            </w:r>
            <w:r>
              <w:rPr>
                <w:rFonts w:ascii="仿宋" w:hAnsi="仿宋" w:eastAsia="仿宋" w:cs="仿宋"/>
                <w:color w:val="auto"/>
                <w:sz w:val="22"/>
              </w:rPr>
              <w:t>分公司</w:t>
            </w:r>
            <w:r>
              <w:rPr>
                <w:rFonts w:hint="eastAsia" w:ascii="仿宋" w:hAnsi="仿宋" w:eastAsia="仿宋" w:cs="仿宋"/>
                <w:color w:val="auto"/>
                <w:sz w:val="22"/>
                <w:lang w:eastAsia="zh-CN"/>
              </w:rPr>
              <w:t>。</w:t>
            </w:r>
          </w:p>
        </w:tc>
      </w:tr>
    </w:tbl>
    <w:p>
      <w:pPr>
        <w:pStyle w:val="15"/>
        <w:rPr>
          <w:rFonts w:ascii="仿宋_GB2312" w:eastAsia="仿宋_GB2312"/>
        </w:rPr>
      </w:pPr>
    </w:p>
    <w:p>
      <w:pPr>
        <w:pStyle w:val="15"/>
        <w:rPr>
          <w:rFonts w:ascii="仿宋_GB2312" w:eastAsia="仿宋_GB2312"/>
        </w:rPr>
      </w:pPr>
    </w:p>
    <w:p>
      <w:pPr>
        <w:pStyle w:val="15"/>
        <w:rPr>
          <w:rFonts w:ascii="仿宋_GB2312" w:eastAsia="仿宋_GB2312"/>
        </w:rPr>
      </w:pPr>
    </w:p>
    <w:p>
      <w:pPr>
        <w:pStyle w:val="15"/>
        <w:rPr>
          <w:rFonts w:ascii="仿宋_GB2312" w:eastAsia="仿宋_GB2312"/>
        </w:rPr>
      </w:pPr>
    </w:p>
    <w:p>
      <w:pPr>
        <w:pStyle w:val="15"/>
        <w:rPr>
          <w:rFonts w:ascii="仿宋_GB2312" w:eastAsia="仿宋_GB2312"/>
        </w:rPr>
      </w:pPr>
    </w:p>
    <w:p>
      <w:pPr>
        <w:pStyle w:val="15"/>
        <w:rPr>
          <w:rFonts w:ascii="仿宋_GB2312" w:eastAsia="仿宋_GB2312"/>
        </w:rPr>
      </w:pP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二、供应商须知正文</w:t>
      </w:r>
    </w:p>
    <w:p>
      <w:pPr>
        <w:pStyle w:val="5"/>
        <w:spacing w:before="0"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（一）总 则</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5.比价响应费用</w:t>
      </w:r>
    </w:p>
    <w:p>
      <w:pPr>
        <w:spacing w:line="360" w:lineRule="auto"/>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自行承担所有准备和参与本次比价响应的有关费用。</w:t>
      </w:r>
    </w:p>
    <w:p>
      <w:pPr>
        <w:pStyle w:val="5"/>
        <w:spacing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（二）比价文件</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6.比价文件的组成</w:t>
      </w:r>
    </w:p>
    <w:p>
      <w:pPr>
        <w:spacing w:line="360" w:lineRule="auto"/>
        <w:rPr>
          <w:rFonts w:ascii="仿宋" w:hAnsi="仿宋" w:eastAsia="仿宋" w:cs="仿宋"/>
          <w:color w:val="000000"/>
        </w:rPr>
      </w:pPr>
      <w:r>
        <w:rPr>
          <w:rFonts w:hint="eastAsia" w:ascii="仿宋" w:hAnsi="仿宋" w:eastAsia="仿宋" w:cs="仿宋"/>
          <w:color w:val="000000"/>
        </w:rPr>
        <w:t>6.1比价文件包括下列内容：</w:t>
      </w:r>
    </w:p>
    <w:p>
      <w:pPr>
        <w:pStyle w:val="1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第一章 比价邀请</w:t>
      </w:r>
    </w:p>
    <w:p>
      <w:pPr>
        <w:pStyle w:val="1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第六章 响应文件格式</w:t>
      </w:r>
    </w:p>
    <w:p>
      <w:pPr>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7.比价文件的修改</w:t>
      </w:r>
    </w:p>
    <w:p>
      <w:pPr>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在响应文件递交截止时间前，无论出于何种原因，采购人可主动地或在解答供应商要求澄清的问题时对比价文件进行修改。</w:t>
      </w:r>
    </w:p>
    <w:p>
      <w:pPr>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供应商有权要求采购人对比价文件中的有关问题进行答疑、澄清。</w:t>
      </w:r>
    </w:p>
    <w:p>
      <w:pPr>
        <w:pStyle w:val="15"/>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供应商对比价文件如有疑问,应在首次响应文件递交截止时间前按比价文件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15"/>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对于比价文件的修改，如影响供应商响应文件编制的，</w:t>
      </w:r>
      <w:r>
        <w:rPr>
          <w:rFonts w:hint="eastAsia" w:ascii="仿宋_GB2312" w:hAnsi="宋体" w:eastAsia="仿宋_GB2312"/>
          <w:spacing w:val="-3"/>
        </w:rPr>
        <w:t>采购人应推迟响应文件递交截止日期，并以书面或邮件形式通知所有已获取比价文件</w:t>
      </w:r>
      <w:r>
        <w:rPr>
          <w:rFonts w:hint="eastAsia" w:ascii="仿宋_GB2312" w:hAnsi="宋体" w:eastAsia="仿宋_GB2312"/>
        </w:rPr>
        <w:t>的供应商。</w:t>
      </w:r>
    </w:p>
    <w:p>
      <w:pPr>
        <w:pStyle w:val="15"/>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8.比价响应预备会</w:t>
      </w:r>
    </w:p>
    <w:p>
      <w:pPr>
        <w:spacing w:line="360" w:lineRule="auto"/>
        <w:rPr>
          <w:rFonts w:ascii="仿宋" w:hAnsi="仿宋" w:eastAsia="仿宋" w:cs="宋体"/>
          <w:color w:val="000000"/>
          <w:u w:val="single"/>
        </w:rPr>
      </w:pPr>
      <w:r>
        <w:rPr>
          <w:rFonts w:hint="eastAsia" w:ascii="仿宋" w:hAnsi="仿宋" w:eastAsia="仿宋" w:cs="宋体"/>
          <w:color w:val="000000"/>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（三）响应文件</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供应商应当按照比价文件的要求编制响应文件，并对其提交的响应文件的真实性、合法性承担法律责任。响应文件应当对比价文件提出的实质性要求和条件作出响应。 </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盖章或者签字另有要求的，</w:t>
      </w:r>
      <w:r>
        <w:rPr>
          <w:rFonts w:hint="eastAsia" w:ascii="仿宋" w:hAnsi="仿宋" w:eastAsia="仿宋" w:cs="宋体"/>
          <w:color w:val="000000"/>
          <w:u w:val="single"/>
        </w:rPr>
        <w:t>见本须知前附表。</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11.比价响应报价</w:t>
      </w:r>
    </w:p>
    <w:p>
      <w:pPr>
        <w:spacing w:line="360" w:lineRule="auto"/>
        <w:rPr>
          <w:rFonts w:ascii="仿宋" w:hAnsi="仿宋" w:eastAsia="仿宋" w:cs="宋体"/>
          <w:color w:val="000000"/>
        </w:rPr>
      </w:pPr>
      <w:r>
        <w:rPr>
          <w:rFonts w:hint="eastAsia" w:ascii="仿宋" w:hAnsi="仿宋" w:eastAsia="仿宋" w:cs="宋体"/>
          <w:color w:val="000000"/>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.比价响应有效期</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比价响应有效期从响应文件递交截止之日起算，具体时间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，在此期间，供应商不得要求撤销或修改其响应文件。供应商承诺的比价响应有效期必须不短于比价文件规定的比价响应有效期，否则将构成对比价文件的非实质性响应，比价响应将被否决。</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（四）响应文件的递交</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（2）纸质响应文件逾期递交或者未送达指定地点或者未按照比价文件要求封装的；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）未按比价公告或者响应公告书要求获得本项目比价文件的。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比价文件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，应当在响应文件递交截止时间前按照比价文件的规定进行递交。</w:t>
      </w:r>
    </w:p>
    <w:p>
      <w:pPr>
        <w:pStyle w:val="15"/>
        <w:spacing w:line="360" w:lineRule="auto"/>
      </w:pPr>
      <w:r>
        <w:rPr>
          <w:rFonts w:ascii="仿宋" w:hAnsi="仿宋" w:eastAsia="仿宋" w:cs="仿宋"/>
          <w:color w:val="000000"/>
        </w:rPr>
        <w:t>15.2</w:t>
      </w:r>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（五）比价和评审</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16</w:t>
      </w:r>
      <w:r>
        <w:rPr>
          <w:rFonts w:hint="eastAsia" w:ascii="仿宋" w:hAnsi="仿宋" w:eastAsia="仿宋" w:cs="仿宋"/>
          <w:color w:val="000000"/>
          <w:sz w:val="24"/>
          <w:szCs w:val="24"/>
        </w:rPr>
        <w:t>.组建比价小组</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采购人依照企业采购管理制度的相关规定组建比价小组，具体人数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，比价小组成员名单在成交结果确定前保密。</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比价小组按照第三章评审办法中初步评审的内容及要求，对响应文件进行初步评审。未通过初步评审的供应商，其比价响应将被否决，不进入详细评审等后续环节。</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rPr>
        <w:t>，比价小组有权对其响应做否决处理。</w:t>
      </w:r>
    </w:p>
    <w:p>
      <w:pPr>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比价小组必要时可以要求供应商提交有关证明和证件的原件，以便核验。拒不按要求提供原件的供应商，</w:t>
      </w:r>
      <w:r>
        <w:rPr>
          <w:rFonts w:hint="eastAsia" w:ascii="仿宋" w:hAnsi="仿宋" w:eastAsia="仿宋" w:cs="仿宋"/>
          <w:b/>
          <w:bCs/>
        </w:rPr>
        <w:t>比价小组有权对其响应做否决处理。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比价程序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比价小组可视情况要求供应商进行多轮比价及报价。比价中，任何一方不得向第三方透露与比价有关的任何信息。</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家（不含本数）；</w:t>
      </w:r>
    </w:p>
    <w:p>
      <w:pPr>
        <w:spacing w:line="360" w:lineRule="auto"/>
        <w:rPr>
          <w:rFonts w:ascii="仿宋" w:hAnsi="仿宋" w:eastAsia="仿宋" w:cs="仿宋"/>
          <w:color w:val="000000"/>
        </w:rPr>
      </w:pPr>
      <w:r>
        <w:rPr>
          <w:rFonts w:hint="eastAsia" w:ascii="仿宋" w:hAnsi="仿宋" w:eastAsia="仿宋" w:cs="仿宋"/>
          <w:color w:val="000000"/>
        </w:rPr>
        <w:t xml:space="preserve">（4）因重大变故，采购任务取消。 </w:t>
      </w:r>
    </w:p>
    <w:p>
      <w:pPr>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未在响应文件中提及和承诺，但又未明确书面提出异议的事项，按本比价比价邀请函的有关要求执行。</w:t>
      </w:r>
    </w:p>
    <w:p>
      <w:pPr>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15"/>
        <w:spacing w:after="0" w:line="360" w:lineRule="auto"/>
        <w:ind w:right="-57" w:firstLine="480"/>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15"/>
        <w:spacing w:after="0" w:line="360" w:lineRule="auto"/>
        <w:ind w:right="-57" w:firstLine="424"/>
        <w:rPr>
          <w:rFonts w:ascii="仿宋_GB2312" w:hAnsi="宋体" w:eastAsia="仿宋_GB2312"/>
        </w:rPr>
      </w:pPr>
      <w:r>
        <w:rPr>
          <w:rFonts w:hint="eastAsia" w:ascii="仿宋_GB2312" w:hAnsi="宋体" w:eastAsia="仿宋_GB2312"/>
        </w:rPr>
        <w:t>（1）成交候选供应商存在违法、违纪行为的；</w:t>
      </w:r>
    </w:p>
    <w:p>
      <w:pPr>
        <w:pStyle w:val="15"/>
        <w:spacing w:after="0" w:line="360" w:lineRule="auto"/>
        <w:ind w:right="-57" w:firstLine="424"/>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15"/>
        <w:spacing w:after="0" w:line="360" w:lineRule="auto"/>
        <w:ind w:right="-57" w:firstLine="424"/>
        <w:rPr>
          <w:rFonts w:ascii="仿宋_GB2312" w:hAnsi="宋体" w:eastAsia="仿宋_GB2312"/>
        </w:rPr>
      </w:pPr>
      <w:r>
        <w:rPr>
          <w:rFonts w:hint="eastAsia" w:ascii="仿宋_GB2312" w:hAnsi="宋体" w:eastAsia="仿宋_GB2312"/>
        </w:rPr>
        <w:t>（3）成交候选供应商书面自愿放弃成交，且无其他非法目的的；</w:t>
      </w:r>
    </w:p>
    <w:p>
      <w:pPr>
        <w:pStyle w:val="15"/>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15"/>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15"/>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15"/>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15"/>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15"/>
        <w:spacing w:after="0" w:line="360" w:lineRule="auto"/>
        <w:ind w:right="-57" w:firstLine="424"/>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15"/>
        <w:spacing w:after="0" w:line="360" w:lineRule="auto"/>
        <w:ind w:right="-57" w:firstLine="424"/>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15"/>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（六）授予合同</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确定成交人</w:t>
      </w:r>
    </w:p>
    <w:p>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采购人依据比价小组推荐的成交候选人名单确定成交人，成交人数量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采购人与成交人按照比价文件和成交人的响应文件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比价</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比价文件要求成交人提交履约保证金的，成交人应当按照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3"/>
        <w:spacing w:before="0" w:after="0"/>
        <w:jc w:val="left"/>
        <w:rPr>
          <w:rFonts w:ascii="仿宋" w:hAnsi="仿宋" w:eastAsia="仿宋" w:cs="仿宋"/>
          <w:sz w:val="28"/>
          <w:szCs w:val="28"/>
        </w:rPr>
      </w:pPr>
      <w:r>
        <w:rPr>
          <w:rFonts w:hint="eastAsia" w:ascii="仿宋" w:hAnsi="仿宋" w:eastAsia="仿宋" w:cs="仿宋"/>
          <w:sz w:val="28"/>
          <w:szCs w:val="28"/>
        </w:rPr>
        <w:t>第三章 评审办法</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一、评审程序</w:t>
      </w:r>
    </w:p>
    <w:p>
      <w:pPr>
        <w:spacing w:line="360" w:lineRule="auto"/>
        <w:ind w:firstLine="480"/>
        <w:rPr>
          <w:rFonts w:ascii="仿宋" w:hAnsi="仿宋" w:eastAsia="仿宋" w:cs="仿宋"/>
          <w:color w:val="000000"/>
        </w:rPr>
      </w:pPr>
      <w:r>
        <w:rPr>
          <w:rFonts w:hint="eastAsia" w:ascii="仿宋" w:hAnsi="仿宋" w:eastAsia="仿宋" w:cs="仿宋"/>
          <w:color w:val="000000"/>
        </w:rPr>
        <w:t>比价小组对响应文件中的相关内容进行评审。评审按照以下程序进行：</w:t>
      </w:r>
    </w:p>
    <w:p>
      <w:pPr>
        <w:spacing w:line="360" w:lineRule="auto"/>
        <w:ind w:firstLine="420"/>
        <w:rPr>
          <w:rFonts w:ascii="仿宋" w:hAnsi="仿宋" w:eastAsia="仿宋" w:cs="仿宋"/>
          <w:color w:val="000000"/>
        </w:rPr>
      </w:pPr>
      <w:r>
        <w:rPr>
          <w:rFonts w:hint="eastAsia" w:ascii="仿宋" w:hAnsi="仿宋" w:eastAsia="仿宋" w:cs="仿宋"/>
          <w:color w:val="000000"/>
        </w:rPr>
        <w:t>1.熟悉比价文件；</w:t>
      </w:r>
    </w:p>
    <w:p>
      <w:pPr>
        <w:spacing w:line="360" w:lineRule="auto"/>
        <w:ind w:firstLine="420"/>
        <w:rPr>
          <w:rFonts w:ascii="仿宋" w:hAnsi="仿宋" w:eastAsia="仿宋" w:cs="仿宋"/>
          <w:color w:val="000000"/>
        </w:rPr>
      </w:pPr>
      <w:r>
        <w:rPr>
          <w:rFonts w:hint="eastAsia" w:ascii="仿宋" w:hAnsi="仿宋" w:eastAsia="仿宋" w:cs="仿宋"/>
          <w:color w:val="000000"/>
        </w:rPr>
        <w:t>2.对响应文件进行初步评审，检查响应文件是否满足比价文件的初审要求；初步评审中不符合评审标准的，将做否决比价响应处理；</w:t>
      </w:r>
    </w:p>
    <w:p>
      <w:pPr>
        <w:spacing w:line="360" w:lineRule="auto"/>
        <w:ind w:firstLine="420"/>
        <w:rPr>
          <w:rFonts w:ascii="仿宋" w:hAnsi="仿宋" w:eastAsia="仿宋" w:cs="仿宋"/>
          <w:color w:val="000000"/>
        </w:rPr>
      </w:pPr>
      <w:r>
        <w:rPr>
          <w:rFonts w:hint="eastAsia" w:ascii="仿宋" w:hAnsi="仿宋" w:eastAsia="仿宋" w:cs="仿宋"/>
          <w:color w:val="000000"/>
        </w:rPr>
        <w:t>3.供应商有以下情形之一的，比价小组应当否决其比价响应：</w:t>
      </w:r>
    </w:p>
    <w:p>
      <w:pPr>
        <w:spacing w:line="360" w:lineRule="auto"/>
        <w:ind w:firstLine="420"/>
        <w:rPr>
          <w:rFonts w:ascii="仿宋" w:hAnsi="仿宋" w:eastAsia="仿宋" w:cs="仿宋"/>
        </w:rPr>
      </w:pPr>
      <w:r>
        <w:rPr>
          <w:rFonts w:hint="eastAsia" w:ascii="仿宋" w:hAnsi="仿宋" w:eastAsia="仿宋" w:cs="仿宋"/>
        </w:rPr>
        <w:t>（1）按照比价公告要求已经递交电子响应文件，但未按要求递交纸质响应文件；</w:t>
      </w:r>
    </w:p>
    <w:p>
      <w:pPr>
        <w:spacing w:line="360" w:lineRule="auto"/>
        <w:ind w:firstLine="420"/>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rPr>
          <w:rFonts w:ascii="仿宋" w:hAnsi="仿宋" w:eastAsia="仿宋" w:cs="仿宋"/>
        </w:rPr>
      </w:pPr>
      <w:r>
        <w:rPr>
          <w:rFonts w:hint="eastAsia" w:ascii="仿宋" w:hAnsi="仿宋" w:eastAsia="仿宋" w:cs="仿宋"/>
        </w:rPr>
        <w:t>（4）不符合国家或者比价文件规定的资格条件；</w:t>
      </w:r>
    </w:p>
    <w:p>
      <w:pPr>
        <w:spacing w:line="360" w:lineRule="auto"/>
        <w:ind w:firstLine="420"/>
        <w:rPr>
          <w:rFonts w:ascii="仿宋" w:hAnsi="仿宋" w:eastAsia="仿宋" w:cs="仿宋"/>
        </w:rPr>
      </w:pPr>
      <w:r>
        <w:rPr>
          <w:rFonts w:hint="eastAsia" w:ascii="仿宋" w:hAnsi="仿宋" w:eastAsia="仿宋" w:cs="仿宋"/>
        </w:rPr>
        <w:t>（5）同一供应商提交两个以上不同的响应文件或者响应报价，但比价文件要求提交备选文件的除外；</w:t>
      </w:r>
    </w:p>
    <w:p>
      <w:pPr>
        <w:spacing w:line="360" w:lineRule="auto"/>
        <w:ind w:firstLine="420"/>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最终报价低于成本或者高于比价文件设定的最高投标限价；</w:t>
      </w:r>
    </w:p>
    <w:p>
      <w:pP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（7）响应文件未对比价文件的实质性要求和条件作出响应； </w:t>
      </w:r>
    </w:p>
    <w:p>
      <w:pPr>
        <w:spacing w:line="360" w:lineRule="auto"/>
        <w:ind w:firstLine="420"/>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rPr>
          <w:rFonts w:ascii="仿宋" w:hAnsi="仿宋" w:eastAsia="仿宋" w:cs="宋体"/>
          <w:color w:val="000000"/>
        </w:rPr>
      </w:pPr>
      <w:r>
        <w:rPr>
          <w:rFonts w:hint="eastAsia" w:ascii="仿宋" w:hAnsi="仿宋" w:eastAsia="仿宋" w:cs="宋体"/>
          <w:color w:val="000000"/>
        </w:rPr>
        <w:t>（11）不符合比价文件中规定的其他实质性要求。</w:t>
      </w:r>
    </w:p>
    <w:p>
      <w:pPr>
        <w:spacing w:line="360" w:lineRule="auto"/>
        <w:ind w:firstLine="420"/>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内容允许在比价过程中按比价小组规定的时间内补充，若未在规定时间内补充则将导致响应无效。</w:t>
      </w:r>
    </w:p>
    <w:p>
      <w:pPr>
        <w:spacing w:line="360" w:lineRule="auto"/>
        <w:ind w:firstLine="420"/>
        <w:rPr>
          <w:rFonts w:ascii="仿宋" w:hAnsi="仿宋" w:eastAsia="仿宋" w:cs="仿宋"/>
        </w:rPr>
      </w:pPr>
      <w:r>
        <w:rPr>
          <w:rFonts w:hint="eastAsia" w:ascii="仿宋" w:hAnsi="仿宋" w:eastAsia="仿宋" w:cs="仿宋"/>
        </w:rPr>
        <w:t>5.通过初步评审的供应商分别进行比价；</w:t>
      </w:r>
    </w:p>
    <w:p>
      <w:pPr>
        <w:spacing w:line="360" w:lineRule="auto"/>
        <w:ind w:firstLine="420"/>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rPr>
          <w:rFonts w:ascii="仿宋" w:hAnsi="仿宋" w:eastAsia="仿宋" w:cs="仿宋"/>
          <w:color w:val="000000"/>
        </w:rPr>
      </w:pPr>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二、初步评审</w:t>
      </w:r>
    </w:p>
    <w:tbl>
      <w:tblPr>
        <w:tblStyle w:val="34"/>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9"/>
        <w:gridCol w:w="2070"/>
        <w:gridCol w:w="594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noWrap w:val="0"/>
            <w:vAlign w:val="top"/>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50" w:type="pct"/>
            <w:noWrap w:val="0"/>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17" w:type="pct"/>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50"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17" w:type="pct"/>
            <w:noWrap w:val="0"/>
            <w:vAlign w:val="center"/>
          </w:tcPr>
          <w:p>
            <w:pPr>
              <w:pStyle w:val="200"/>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201"/>
              <w:tabs>
                <w:tab w:val="left" w:pos="630"/>
              </w:tabs>
              <w:spacing w:before="62" w:after="62"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17" w:type="pct"/>
            <w:noWrap w:val="0"/>
            <w:vAlign w:val="center"/>
          </w:tcPr>
          <w:p>
            <w:pPr>
              <w:pStyle w:val="200"/>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200"/>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17" w:type="pct"/>
            <w:noWrap w:val="0"/>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197"/>
              <w:spacing w:before="62" w:after="62"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50"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8"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top"/>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lang w:eastAsia="zh-CN"/>
              </w:rPr>
              <w:t>提供</w:t>
            </w:r>
            <w:r>
              <w:rPr>
                <w:rFonts w:hint="eastAsia" w:ascii="仿宋" w:hAnsi="仿宋" w:eastAsia="仿宋" w:cs="Cambria Math"/>
                <w:color w:val="000000"/>
                <w:sz w:val="22"/>
                <w:szCs w:val="21"/>
              </w:rPr>
              <w:t>依法缴纳税收和社会保障资金的良好记录</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50"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17"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17" w:type="pct"/>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17" w:type="pct"/>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50" w:type="pct"/>
            <w:noWrap w:val="0"/>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17" w:type="pct"/>
            <w:noWrap w:val="0"/>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numPr>
          <w:ilvl w:val="0"/>
          <w:numId w:val="0"/>
        </w:numPr>
      </w:pPr>
    </w:p>
    <w:p>
      <w:pPr>
        <w:pStyle w:val="3"/>
        <w:numPr>
          <w:ilvl w:val="0"/>
          <w:numId w:val="0"/>
        </w:numPr>
        <w:spacing w:before="0" w:after="0"/>
        <w:jc w:val="center"/>
        <w:rPr>
          <w:rFonts w:hint="eastAsia"/>
          <w:lang w:val="en-US" w:eastAsia="zh-CN"/>
        </w:rPr>
      </w:pPr>
      <w:r>
        <w:rPr>
          <w:rFonts w:hint="eastAsia" w:ascii="仿宋_GB2312" w:hAnsi="仿宋_GB2312" w:eastAsia="仿宋_GB2312" w:cs="仿宋_GB2312"/>
          <w:color w:val="auto"/>
          <w:sz w:val="28"/>
          <w:szCs w:val="28"/>
          <w:lang w:val="en-US" w:eastAsia="zh-CN"/>
        </w:rPr>
        <w:t xml:space="preserve">第四章 </w:t>
      </w:r>
      <w:r>
        <w:rPr>
          <w:rFonts w:hint="eastAsia" w:ascii="仿宋_GB2312" w:hAnsi="仿宋_GB2312" w:eastAsia="仿宋_GB2312" w:cs="仿宋_GB2312"/>
          <w:color w:val="auto"/>
          <w:sz w:val="28"/>
          <w:szCs w:val="28"/>
        </w:rPr>
        <w:t>合同条</w:t>
      </w:r>
      <w:r>
        <w:rPr>
          <w:rFonts w:hint="eastAsia" w:ascii="仿宋_GB2312" w:hAnsi="仿宋_GB2312" w:eastAsia="仿宋_GB2312" w:cs="仿宋_GB2312"/>
          <w:color w:val="auto"/>
          <w:sz w:val="28"/>
          <w:szCs w:val="28"/>
          <w:lang w:val="en-US" w:eastAsia="zh-CN"/>
        </w:rPr>
        <w:t>款</w:t>
      </w:r>
    </w:p>
    <w:p>
      <w:pPr>
        <w:pStyle w:val="3"/>
        <w:tabs>
          <w:tab w:val="clear" w:pos="425"/>
        </w:tabs>
        <w:spacing w:before="0" w:after="0" w:line="560" w:lineRule="exact"/>
        <w:ind w:left="0" w:firstLine="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人保财险四川省资阳市</w:t>
      </w:r>
      <w:r>
        <w:rPr>
          <w:rFonts w:hint="eastAsia" w:ascii="仿宋_GB2312" w:hAnsi="仿宋_GB2312" w:eastAsia="仿宋_GB2312" w:cs="仿宋_GB2312"/>
          <w:color w:val="auto"/>
          <w:sz w:val="28"/>
          <w:szCs w:val="28"/>
          <w:lang w:val="en-US" w:eastAsia="zh-CN"/>
        </w:rPr>
        <w:t>雁江支公司</w:t>
      </w:r>
    </w:p>
    <w:p>
      <w:pPr>
        <w:pStyle w:val="3"/>
        <w:tabs>
          <w:tab w:val="clear" w:pos="425"/>
        </w:tabs>
        <w:spacing w:before="0" w:after="0" w:line="560" w:lineRule="exact"/>
        <w:ind w:left="0" w:firstLine="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城乡墙面宣传</w:t>
      </w:r>
      <w:r>
        <w:rPr>
          <w:rFonts w:hint="eastAsia" w:ascii="仿宋_GB2312" w:hAnsi="仿宋_GB2312" w:eastAsia="仿宋_GB2312" w:cs="仿宋_GB2312"/>
          <w:color w:val="auto"/>
          <w:sz w:val="28"/>
          <w:szCs w:val="28"/>
        </w:rPr>
        <w:t>采购项目</w:t>
      </w:r>
    </w:p>
    <w:p>
      <w:pPr>
        <w:jc w:val="center"/>
        <w:rPr>
          <w:rFonts w:hint="eastAsia" w:ascii="仿宋_GB2312" w:hAnsi="仿宋_GB2312" w:eastAsia="仿宋_GB2312" w:cs="仿宋_GB2312"/>
        </w:rPr>
      </w:pP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甲方（买方）:</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中国人民财产保险股份有限公司资阳市分公司</w:t>
      </w:r>
    </w:p>
    <w:p>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地址:</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四川省资阳市雁江区宝台镇黄泥村弘城水韵和中城建·新城市广场(一期)25 号楼 25(F)</w:t>
      </w:r>
    </w:p>
    <w:p>
      <w:pPr>
        <w:spacing w:line="360" w:lineRule="auto"/>
        <w:rPr>
          <w:rFonts w:hint="eastAsia" w:ascii="仿宋_GB2312" w:hAnsi="仿宋_GB2312" w:eastAsia="仿宋_GB2312" w:cs="仿宋_GB2312"/>
          <w:color w:val="000000"/>
          <w:lang w:val="en-US" w:eastAsia="zh-CN"/>
        </w:rPr>
      </w:pPr>
      <w:r>
        <w:rPr>
          <w:rFonts w:hint="eastAsia" w:ascii="仿宋_GB2312" w:hAnsi="仿宋_GB2312" w:eastAsia="仿宋_GB2312" w:cs="仿宋_GB2312"/>
          <w:color w:val="000000"/>
        </w:rPr>
        <w:t>负责人/授权代表：</w:t>
      </w:r>
      <w:r>
        <w:rPr>
          <w:rFonts w:hint="eastAsia" w:ascii="仿宋_GB2312" w:hAnsi="仿宋_GB2312" w:eastAsia="仿宋_GB2312" w:cs="仿宋_GB2312"/>
          <w:color w:val="000000"/>
          <w:lang w:eastAsia="zh-CN"/>
        </w:rPr>
        <w:t>苏丹</w:t>
      </w: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 xml:space="preserve">     </w:t>
      </w:r>
    </w:p>
    <w:p>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乙方（卖方）:</w:t>
      </w:r>
      <w:r>
        <w:rPr>
          <w:rFonts w:hint="eastAsia" w:ascii="仿宋_GB2312" w:hAnsi="仿宋_GB2312" w:eastAsia="仿宋_GB2312" w:cs="仿宋_GB2312"/>
        </w:rPr>
        <w:t xml:space="preserve"> </w:t>
      </w:r>
    </w:p>
    <w:p>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color w:val="000000"/>
        </w:rPr>
        <w:t xml:space="preserve">地址: </w:t>
      </w: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法定代表人：</w:t>
      </w:r>
    </w:p>
    <w:p>
      <w:pPr>
        <w:spacing w:line="360" w:lineRule="auto"/>
        <w:rPr>
          <w:rFonts w:hint="eastAsia" w:ascii="仿宋_GB2312" w:hAnsi="仿宋_GB2312" w:eastAsia="仿宋_GB2312" w:cs="仿宋_GB2312"/>
          <w:color w:val="000000"/>
        </w:rPr>
      </w:pP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鉴于</w:t>
      </w:r>
      <w:r>
        <w:rPr>
          <w:rFonts w:hint="eastAsia" w:ascii="仿宋_GB2312" w:hAnsi="仿宋_GB2312" w:eastAsia="仿宋_GB2312" w:cs="仿宋_GB2312"/>
          <w:color w:val="000000"/>
        </w:rPr>
        <w:t>：</w:t>
      </w:r>
    </w:p>
    <w:p>
      <w:pPr>
        <w:spacing w:line="360" w:lineRule="auto"/>
        <w:rPr>
          <w:rFonts w:hint="eastAsia" w:ascii="仿宋_GB2312" w:hAnsi="仿宋_GB2312" w:eastAsia="仿宋_GB2312" w:cs="仿宋_GB2312"/>
        </w:rPr>
      </w:pPr>
      <w:r>
        <w:rPr>
          <w:rFonts w:hint="eastAsia" w:ascii="仿宋_GB2312" w:hAnsi="仿宋_GB2312" w:eastAsia="仿宋_GB2312" w:cs="仿宋_GB2312"/>
        </w:rPr>
        <w:t xml:space="preserve">    本合同双方当事人（1）均为依照中华人民共和国法律成立并有效存续的独立民事主体，（2）并且已经获得签署本合同的相应授权，（3）具备履行本合同所必须的资质和条件。 </w:t>
      </w:r>
    </w:p>
    <w:p>
      <w:pPr>
        <w:spacing w:line="360" w:lineRule="auto"/>
        <w:ind w:firstLine="470"/>
        <w:rPr>
          <w:rFonts w:hint="eastAsia" w:ascii="仿宋_GB2312" w:hAnsi="仿宋_GB2312" w:eastAsia="仿宋_GB2312" w:cs="仿宋_GB2312"/>
          <w:bCs/>
        </w:rPr>
      </w:pPr>
      <w:r>
        <w:rPr>
          <w:rFonts w:hint="eastAsia" w:ascii="仿宋_GB2312" w:hAnsi="仿宋_GB2312" w:eastAsia="仿宋_GB2312" w:cs="仿宋_GB2312"/>
          <w:bCs/>
        </w:rPr>
        <w:t>为保障双方的合法权益，根据《中华人民共和国合同法》及相关法律法规的规定,</w:t>
      </w:r>
      <w:r>
        <w:rPr>
          <w:rFonts w:hint="eastAsia" w:ascii="仿宋_GB2312" w:hAnsi="仿宋_GB2312" w:eastAsia="仿宋_GB2312" w:cs="仿宋_GB2312"/>
        </w:rPr>
        <w:t xml:space="preserve"> 甲、乙双方在平等互利、协商一致的基础上，达成协议如下，以资共同遵照执行。</w:t>
      </w:r>
    </w:p>
    <w:p>
      <w:pPr>
        <w:spacing w:line="360" w:lineRule="auto"/>
        <w:rPr>
          <w:rFonts w:hint="eastAsia" w:ascii="仿宋_GB2312" w:hAnsi="仿宋_GB2312" w:eastAsia="仿宋_GB2312" w:cs="仿宋_GB2312"/>
          <w:b/>
        </w:rPr>
      </w:pP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第一部分 商务部分</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1.服务内容及要求</w:t>
      </w:r>
    </w:p>
    <w:p>
      <w:pPr>
        <w:pStyle w:val="202"/>
        <w:ind w:left="420" w:firstLine="0"/>
        <w:jc w:val="left"/>
        <w:rPr>
          <w:rFonts w:hint="eastAsia" w:ascii="仿宋_GB2312" w:hAnsi="仿宋_GB2312" w:eastAsia="仿宋_GB2312" w:cs="仿宋_GB2312"/>
          <w:sz w:val="24"/>
        </w:rPr>
      </w:pPr>
      <w:r>
        <w:rPr>
          <w:rFonts w:hint="eastAsia" w:ascii="仿宋_GB2312" w:hAnsi="仿宋_GB2312" w:eastAsia="仿宋_GB2312" w:cs="仿宋_GB2312"/>
          <w:sz w:val="24"/>
        </w:rPr>
        <w:t>本合同项下甲乙双方约定的项目内容及要求见本合同【附件一】。</w:t>
      </w:r>
    </w:p>
    <w:p>
      <w:pPr>
        <w:pStyle w:val="202"/>
        <w:ind w:left="420" w:firstLine="0"/>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2. 合同价格</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2.1 本合同</w:t>
      </w:r>
      <w:r>
        <w:rPr>
          <w:rFonts w:hint="eastAsia" w:ascii="仿宋_GB2312" w:hAnsi="仿宋_GB2312" w:eastAsia="仿宋_GB2312" w:cs="仿宋_GB2312"/>
          <w:lang w:eastAsia="zh-CN"/>
        </w:rPr>
        <w:t>总预算</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lang w:val="en-US" w:eastAsia="zh-CN"/>
        </w:rPr>
        <w:t>元，</w:t>
      </w:r>
      <w:r>
        <w:rPr>
          <w:rFonts w:hint="eastAsia" w:ascii="仿宋_GB2312" w:hAnsi="仿宋_GB2312" w:eastAsia="仿宋_GB2312" w:cs="仿宋_GB2312"/>
          <w:lang w:eastAsia="zh-CN"/>
        </w:rPr>
        <w:t>宣传</w:t>
      </w:r>
      <w:r>
        <w:rPr>
          <w:rFonts w:hint="eastAsia" w:ascii="仿宋_GB2312" w:hAnsi="仿宋_GB2312" w:eastAsia="仿宋_GB2312" w:cs="仿宋_GB2312"/>
        </w:rPr>
        <w:t>项目价格明细及活动时间见【附件二】。</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2.2 本合同</w:t>
      </w:r>
      <w:r>
        <w:rPr>
          <w:rFonts w:hint="eastAsia" w:ascii="仿宋_GB2312" w:hAnsi="仿宋_GB2312" w:eastAsia="仿宋_GB2312" w:cs="仿宋_GB2312"/>
          <w:lang w:eastAsia="zh-CN"/>
        </w:rPr>
        <w:t>宣传</w:t>
      </w:r>
      <w:r>
        <w:rPr>
          <w:rFonts w:hint="eastAsia" w:ascii="仿宋_GB2312" w:hAnsi="仿宋_GB2312" w:eastAsia="仿宋_GB2312" w:cs="仿宋_GB2312"/>
        </w:rPr>
        <w:t>费用包括但不限于乙方向甲方提供</w:t>
      </w:r>
      <w:r>
        <w:rPr>
          <w:rFonts w:hint="eastAsia" w:ascii="仿宋_GB2312" w:hAnsi="仿宋_GB2312" w:eastAsia="仿宋_GB2312" w:cs="仿宋_GB2312"/>
          <w:lang w:eastAsia="zh-CN"/>
        </w:rPr>
        <w:t>宣传</w:t>
      </w:r>
      <w:r>
        <w:rPr>
          <w:rFonts w:hint="eastAsia" w:ascii="仿宋_GB2312" w:hAnsi="仿宋_GB2312" w:eastAsia="仿宋_GB2312" w:cs="仿宋_GB2312"/>
        </w:rPr>
        <w:t>所收取的劳务费、乙方按照法律规定应当缴纳的税款等因本合同而发生的费用。除合同</w:t>
      </w:r>
      <w:r>
        <w:rPr>
          <w:rFonts w:hint="eastAsia" w:ascii="仿宋_GB2312" w:hAnsi="仿宋_GB2312" w:eastAsia="仿宋_GB2312" w:cs="仿宋_GB2312"/>
          <w:lang w:eastAsia="zh-CN"/>
        </w:rPr>
        <w:t>宣传</w:t>
      </w:r>
      <w:r>
        <w:rPr>
          <w:rFonts w:hint="eastAsia" w:ascii="仿宋_GB2312" w:hAnsi="仿宋_GB2312" w:eastAsia="仿宋_GB2312" w:cs="仿宋_GB2312"/>
        </w:rPr>
        <w:t xml:space="preserve">费用总额外，甲方无须就本合同项下乙方的任何义务支付任何额外费用。 </w:t>
      </w:r>
    </w:p>
    <w:p>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2.3 本合同</w:t>
      </w:r>
      <w:r>
        <w:rPr>
          <w:rFonts w:hint="eastAsia" w:ascii="仿宋_GB2312" w:hAnsi="仿宋_GB2312" w:eastAsia="仿宋_GB2312" w:cs="仿宋_GB2312"/>
        </w:rPr>
        <w:t>付款安排见【附件三】。</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bCs/>
        </w:rPr>
        <w:t xml:space="preserve">2.4 </w:t>
      </w:r>
      <w:r>
        <w:rPr>
          <w:rFonts w:hint="eastAsia" w:ascii="仿宋_GB2312" w:hAnsi="仿宋_GB2312" w:eastAsia="仿宋_GB2312" w:cs="仿宋_GB2312"/>
        </w:rPr>
        <w:t>由于乙方未提供或未及时提供足额有效发票，或乙方变更账户信息但未提前通知甲方而导致的付款迟延，甲方不承担任何责任。</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3. 双方的权利和义务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除本合同约定的双方的权利义务外，甲乙双方在本合同项下的其他权利和义务见【附件四】的约定。</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4. 违约责任</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甲、乙任一方或双方违约的，违约一方应当向相对方承担相应的违约责任。违约责任的具体约定见【附件五】。</w:t>
      </w: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第二部分 通用部分</w:t>
      </w:r>
    </w:p>
    <w:p>
      <w:pPr>
        <w:spacing w:line="360" w:lineRule="auto"/>
        <w:ind w:firstLine="482"/>
        <w:jc w:val="both"/>
        <w:rPr>
          <w:rFonts w:hint="eastAsia" w:ascii="仿宋_GB2312" w:hAnsi="仿宋_GB2312" w:eastAsia="仿宋_GB2312" w:cs="仿宋_GB2312"/>
          <w:b/>
          <w:bCs/>
        </w:rPr>
      </w:pPr>
      <w:r>
        <w:rPr>
          <w:rFonts w:hint="eastAsia" w:ascii="仿宋_GB2312" w:hAnsi="仿宋_GB2312" w:eastAsia="仿宋_GB2312" w:cs="仿宋_GB2312"/>
          <w:b/>
          <w:bCs/>
        </w:rPr>
        <w:t>5. 双方的权利和义务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5.1甲方的权利和义务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（1）甲方有权获得本合同项下乙方应提供的全部合格的服务；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（2）甲方有权在合同期内对乙方的产品及服务进行监督；</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（3）乙方未按照合同约定履行义务的，甲方有权采取相应的措施；</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（4）甲方应按照合同约定向乙方支付合同价款；</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（5）甲方享有其它双方约定的权利、承担其它双方约定的义务。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5.2乙方的权利和义务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（1）乙方有权获得甲方支付的合同价款；</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（2）乙方应按照合同约定向甲方提供全部合格的服务；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（3）乙方应当按照合同约定的期限及要求完成项目内容；</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（4） 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（5）乙方享有其它双方约定的权利、承担其它双方约定的义务。</w:t>
      </w:r>
    </w:p>
    <w:p>
      <w:pPr>
        <w:spacing w:line="360" w:lineRule="auto"/>
        <w:ind w:firstLine="480"/>
        <w:rPr>
          <w:rFonts w:hint="eastAsia" w:ascii="仿宋_GB2312" w:hAnsi="仿宋_GB2312" w:eastAsia="仿宋_GB2312" w:cs="仿宋_GB2312"/>
          <w:b/>
          <w:bCs/>
        </w:rPr>
      </w:pPr>
      <w:r>
        <w:rPr>
          <w:rFonts w:hint="eastAsia" w:ascii="仿宋_GB2312" w:hAnsi="仿宋_GB2312" w:eastAsia="仿宋_GB2312" w:cs="仿宋_GB2312"/>
          <w:b/>
          <w:bCs/>
        </w:rPr>
        <w:t>6. 禁止转让</w:t>
      </w:r>
    </w:p>
    <w:p>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未经甲方书面同意，乙方不得将其本合同项下之全部义务或其中一部分义务转让给第三方执行。</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7.权利保证</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rPr>
          <w:rFonts w:hint="eastAsia" w:ascii="仿宋_GB2312" w:hAnsi="仿宋_GB2312" w:eastAsia="仿宋_GB2312" w:cs="仿宋_GB2312"/>
          <w:b/>
          <w:bCs/>
          <w:spacing w:val="24"/>
        </w:rPr>
      </w:pPr>
      <w:r>
        <w:rPr>
          <w:rFonts w:hint="eastAsia" w:ascii="仿宋_GB2312" w:hAnsi="仿宋_GB2312" w:eastAsia="仿宋_GB2312" w:cs="仿宋_GB2312"/>
          <w:b/>
          <w:bCs/>
        </w:rPr>
        <w:t>8. 违约责任</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8.1 由于甲方原因不能按合同约定时间付款的，每延迟10个工作日，甲方按合同应付金额的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%向乙方支付违约金。</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8.2 乙方延迟交付的违约责任</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（1）由于乙方原因造成项目延迟的，每延迟10个工作日，乙方向甲方支付违约金为合同服务费用总额的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（2）由于乙方原因造成项目迟延，经甲方催促后乙方继续延误的，甲方有权单方面解除合同，乙方应按照合同服务费用总额的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%向甲方支付违约金，并赔偿由此引起的甲方全部损失。</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8.3 验收不合格并且乙方在甲方指定期限内无法完成整改、提交合格的工作成果的，乙方应向甲方支付合同服务费用总额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%的违约金，并赔偿由此引起的甲方全部损失。</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8.4 如果乙方违反本合同约定的保密义务，乙方应向甲方支付相当于合同服务费用总额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w:t>
      </w:r>
      <w:r>
        <w:rPr>
          <w:rFonts w:hint="eastAsia" w:ascii="仿宋_GB2312" w:hAnsi="仿宋_GB2312" w:eastAsia="仿宋_GB2312" w:cs="仿宋_GB2312"/>
        </w:rPr>
        <w:t>的违约金，甲方受到的损失超出违约金的部分，由乙方继续承担赔偿责任。</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8.5 除本合同的约定外，因乙方的违约行为给甲方造成损失的，乙方应向甲方支付相当于合同服务费用总额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w:t>
      </w:r>
      <w:r>
        <w:rPr>
          <w:rFonts w:hint="eastAsia" w:ascii="仿宋_GB2312" w:hAnsi="仿宋_GB2312" w:eastAsia="仿宋_GB2312" w:cs="仿宋_GB2312"/>
        </w:rPr>
        <w:t>的违约金，如甲方受到的损失超过违约金的，超出部分由乙方继续承担赔偿责任。</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9.  保密义务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9.1 乙方应保证对本合同的所有相关内容及其因履行本合同所获知的各种甲方具有保密性质的信息（包括但不限于经营、管理、商务、技术、营销、发展规划、客户信息等）负有保密义务，未经甲方事前书面许可，不得将上述信息用于本合同目的之外； 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9.2 乙方在本合同中所受领的保密信息应及时返还甲方或在甲方监督下予以销毁。乙方擅自留存备份信息，视为违反保密约定。</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9.3 无论本合同因何种原因终止，本保密条款依然有效。</w:t>
      </w:r>
    </w:p>
    <w:p>
      <w:pPr>
        <w:keepNext w:val="0"/>
        <w:keepLines w:val="0"/>
        <w:pageBreakBefore w:val="0"/>
        <w:widowControl/>
        <w:bidi w:val="0"/>
        <w:spacing w:line="560" w:lineRule="exact"/>
        <w:ind w:firstLine="482"/>
        <w:rPr>
          <w:rFonts w:hint="eastAsia" w:ascii="仿宋_GB2312" w:hAnsi="仿宋_GB2312" w:eastAsia="仿宋_GB2312" w:cs="仿宋_GB2312"/>
          <w:b/>
          <w:bCs/>
          <w:color w:val="000000"/>
        </w:rPr>
      </w:pPr>
      <w:r>
        <w:rPr>
          <w:rFonts w:hint="eastAsia" w:ascii="仿宋_GB2312" w:hAnsi="仿宋_GB2312" w:eastAsia="仿宋_GB2312" w:cs="仿宋_GB2312"/>
          <w:b/>
          <w:bCs/>
        </w:rPr>
        <w:t>10. 不可抗力</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10.3 合同一方迟延履行后发生不可抗力的，不能免除其责任。</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10.4 不可抗力因素消除后，双方应立即进行磋商，就不可抗力所造成影响程度甲方有权决定是否继续履行或者终止本合同。如果甲方决定终止合同，如甲方已经付款，乙方应将未交付部分的款项在5日内向甲方返还。</w:t>
      </w:r>
    </w:p>
    <w:p>
      <w:pPr>
        <w:keepNext w:val="0"/>
        <w:keepLines w:val="0"/>
        <w:pageBreakBefore w:val="0"/>
        <w:widowControl/>
        <w:bidi w:val="0"/>
        <w:spacing w:line="560" w:lineRule="exact"/>
        <w:ind w:firstLine="472"/>
        <w:rPr>
          <w:rFonts w:hint="eastAsia" w:ascii="仿宋_GB2312" w:hAnsi="仿宋_GB2312" w:eastAsia="仿宋_GB2312" w:cs="仿宋_GB2312"/>
          <w:b/>
          <w:bCs/>
        </w:rPr>
      </w:pPr>
      <w:r>
        <w:rPr>
          <w:rFonts w:hint="eastAsia" w:ascii="仿宋_GB2312" w:hAnsi="仿宋_GB2312" w:eastAsia="仿宋_GB2312" w:cs="仿宋_GB2312"/>
          <w:b/>
          <w:bCs/>
        </w:rPr>
        <w:t>11．合同变更</w:t>
      </w:r>
    </w:p>
    <w:p>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对本合同的任何变更或补充，须经甲乙双方协商一致，并另行签订书面补充协议。</w:t>
      </w:r>
    </w:p>
    <w:p>
      <w:pPr>
        <w:keepNext w:val="0"/>
        <w:keepLines w:val="0"/>
        <w:pageBreakBefore w:val="0"/>
        <w:widowControl/>
        <w:bidi w:val="0"/>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12. 合同特别终止</w:t>
      </w:r>
    </w:p>
    <w:p>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12.1 甲乙双方同意在乙方出现下列情形时，甲方可以书面形式通知乙方（或者乙方的破产清算组或相关管理人）提出终止合同而不向其提供任何补偿：</w:t>
      </w:r>
    </w:p>
    <w:p>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（1）乙方破产、解散（包括但不限于乙方股东会决议解散、乙方被吊销营业执照、被责令关闭、被撤销、被司法机关裁决解散等情形）；</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12.2 如果因上述原因导致本合同终止，甲方已经采取或者将要采取任何补救措施的权利不受任何影响。</w:t>
      </w:r>
    </w:p>
    <w:p>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13. 法律适用与争议解决</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13.1 本合同的订立、效力、解释、履行和争议的解决均适用中华人民共和国法律（不包括港澳台地区法律）。</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13.2 凡因本合同引起的或与本合同有关的任何争议，双方首先应友好协商解决。协商不成的，任何一方均有权将争议提交甲方所在地有管辖权的人民法院诉讼。</w:t>
      </w:r>
    </w:p>
    <w:p>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14.  合同生效及其他</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14.1 本合同经甲乙双方法定代表人或授权代表签字并加盖公章后生效。服务期限自</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日始，至</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日止。</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14.2 本合同一式贰份，甲乙双方各执壹份。</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14.3 无论本合同是否有相反约定，本合同附件作为本合同的组成部分，与本合同具有同等的法律效力，当附件条款与本合同条款发生冲突时，以本合同条款为准。</w:t>
      </w:r>
    </w:p>
    <w:p>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14.4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14.5由于法律和法规而导致本合同任何条款无效或无法执行，则该条款无效，但不影响剩余其他条款的效力。</w:t>
      </w:r>
    </w:p>
    <w:p>
      <w:pPr>
        <w:tabs>
          <w:tab w:val="left" w:pos="1080"/>
        </w:tabs>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15.  附件的组成</w:t>
      </w:r>
    </w:p>
    <w:p>
      <w:pPr>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附件一、服务内容及要求</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附件二、价格明细（单场）</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附件三、付款</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附件四、双方的权利和义务</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附件五、违约责任</w:t>
      </w:r>
    </w:p>
    <w:p>
      <w:pPr>
        <w:keepLines/>
        <w:spacing w:line="360" w:lineRule="auto"/>
        <w:ind w:firstLine="482"/>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附件</w:t>
      </w:r>
      <w:r>
        <w:rPr>
          <w:rFonts w:hint="eastAsia" w:ascii="仿宋_GB2312" w:hAnsi="仿宋_GB2312" w:eastAsia="仿宋_GB2312" w:cs="仿宋_GB2312"/>
          <w:sz w:val="24"/>
          <w:szCs w:val="24"/>
          <w:lang w:val="en-US" w:eastAsia="zh-CN"/>
        </w:rPr>
        <w:t>六：廉洁诚信协议</w:t>
      </w:r>
    </w:p>
    <w:p>
      <w:pPr>
        <w:pStyle w:val="2"/>
        <w:rPr>
          <w:rFonts w:hint="eastAsia" w:ascii="仿宋_GB2312" w:hAnsi="仿宋_GB2312" w:eastAsia="仿宋_GB2312" w:cs="仿宋_GB2312"/>
        </w:rPr>
      </w:pPr>
    </w:p>
    <w:p>
      <w:pPr>
        <w:pStyle w:val="2"/>
        <w:rPr>
          <w:rFonts w:hint="eastAsia" w:ascii="仿宋_GB2312" w:hAnsi="仿宋_GB2312" w:eastAsia="仿宋_GB2312" w:cs="仿宋_GB2312"/>
        </w:rPr>
      </w:pPr>
    </w:p>
    <w:p>
      <w:pPr>
        <w:pStyle w:val="2"/>
        <w:rPr>
          <w:rFonts w:hint="eastAsia" w:ascii="仿宋_GB2312" w:hAnsi="仿宋_GB2312" w:eastAsia="仿宋_GB2312" w:cs="仿宋_GB2312"/>
        </w:rPr>
        <w:sectPr>
          <w:headerReference r:id="rId9" w:type="default"/>
          <w:footerReference r:id="rId10" w:type="default"/>
          <w:pgSz w:w="11906" w:h="16838"/>
          <w:pgMar w:top="1417" w:right="1134" w:bottom="1134" w:left="1134" w:header="851" w:footer="992" w:gutter="0"/>
          <w:cols w:space="720" w:num="1"/>
        </w:sectPr>
      </w:pPr>
    </w:p>
    <w:p>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bCs/>
          <w:lang w:val="zh-CN"/>
        </w:rPr>
        <w:t>兹证明，各方于</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w:t>
      </w:r>
      <w:r>
        <w:rPr>
          <w:rFonts w:hint="eastAsia" w:ascii="仿宋_GB2312" w:hAnsi="仿宋_GB2312" w:eastAsia="仿宋_GB2312" w:cs="仿宋_GB2312"/>
          <w:b/>
          <w:bCs/>
          <w:lang w:val="zh-CN"/>
        </w:rPr>
        <w:t>签订本合同。</w:t>
      </w:r>
    </w:p>
    <w:p>
      <w:pPr>
        <w:spacing w:line="360" w:lineRule="auto"/>
        <w:rPr>
          <w:rFonts w:hint="eastAsia" w:ascii="仿宋_GB2312" w:hAnsi="仿宋_GB2312" w:eastAsia="仿宋_GB2312" w:cs="仿宋_GB2312"/>
          <w:b/>
          <w:color w:val="000000"/>
        </w:rPr>
      </w:pPr>
    </w:p>
    <w:p>
      <w:pPr>
        <w:spacing w:line="360" w:lineRule="auto"/>
        <w:rPr>
          <w:rFonts w:hint="eastAsia" w:ascii="仿宋_GB2312" w:hAnsi="仿宋_GB2312" w:eastAsia="仿宋_GB2312" w:cs="仿宋_GB2312"/>
          <w:b/>
          <w:bCs/>
          <w:color w:val="000000"/>
        </w:rPr>
      </w:pPr>
      <w:r>
        <w:rPr>
          <w:rFonts w:hint="eastAsia" w:ascii="仿宋_GB2312" w:hAnsi="仿宋_GB2312" w:eastAsia="仿宋_GB2312" w:cs="仿宋_GB2312"/>
          <w:b/>
          <w:color w:val="000000"/>
        </w:rPr>
        <w:t>甲方（盖章）：</w:t>
      </w:r>
      <w:r>
        <w:rPr>
          <w:rFonts w:hint="eastAsia" w:ascii="仿宋_GB2312" w:hAnsi="仿宋_GB2312" w:eastAsia="仿宋_GB2312" w:cs="仿宋_GB2312"/>
          <w:b/>
          <w:bCs/>
          <w:color w:val="000000"/>
        </w:rPr>
        <w:t xml:space="preserve">中国人民财产保险 </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color w:val="000000"/>
        </w:rPr>
        <w:t>乙方（盖章）：</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 xml:space="preserve">        </w:t>
      </w:r>
    </w:p>
    <w:p>
      <w:pPr>
        <w:spacing w:line="360" w:lineRule="auto"/>
        <w:rPr>
          <w:rFonts w:hint="eastAsia" w:ascii="仿宋_GB2312" w:hAnsi="仿宋_GB2312" w:eastAsia="仿宋_GB2312" w:cs="仿宋_GB2312"/>
          <w:b/>
          <w:color w:val="000000"/>
          <w:u w:val="single"/>
        </w:rPr>
      </w:pPr>
      <w:r>
        <w:rPr>
          <w:rFonts w:hint="eastAsia" w:ascii="仿宋_GB2312" w:hAnsi="仿宋_GB2312" w:eastAsia="仿宋_GB2312" w:cs="仿宋_GB2312"/>
          <w:b/>
          <w:bCs/>
          <w:color w:val="000000"/>
        </w:rPr>
        <w:t>股份有限公司</w:t>
      </w:r>
      <w:r>
        <w:rPr>
          <w:rFonts w:hint="eastAsia" w:ascii="仿宋_GB2312" w:hAnsi="仿宋_GB2312" w:eastAsia="仿宋_GB2312" w:cs="仿宋_GB2312"/>
          <w:b/>
          <w:bCs/>
          <w:color w:val="000000"/>
          <w:lang w:eastAsia="zh-CN"/>
        </w:rPr>
        <w:t>资阳</w:t>
      </w:r>
      <w:r>
        <w:rPr>
          <w:rFonts w:hint="eastAsia" w:ascii="仿宋_GB2312" w:hAnsi="仿宋_GB2312" w:eastAsia="仿宋_GB2312" w:cs="仿宋_GB2312"/>
          <w:b/>
          <w:bCs/>
          <w:color w:val="000000"/>
        </w:rPr>
        <w:t>市分公司</w:t>
      </w:r>
    </w:p>
    <w:p>
      <w:pPr>
        <w:spacing w:line="360" w:lineRule="auto"/>
        <w:rPr>
          <w:rFonts w:hint="eastAsia" w:ascii="仿宋_GB2312" w:hAnsi="仿宋_GB2312" w:eastAsia="仿宋_GB2312" w:cs="仿宋_GB2312"/>
          <w:b/>
          <w:color w:val="000000"/>
        </w:rPr>
        <w:sectPr>
          <w:type w:val="continuous"/>
          <w:pgSz w:w="11906" w:h="16838"/>
          <w:pgMar w:top="1440" w:right="1800" w:bottom="1440" w:left="1800" w:header="851" w:footer="992" w:gutter="0"/>
          <w:cols w:space="720" w:num="1"/>
        </w:sectPr>
      </w:pPr>
      <w:r>
        <w:rPr>
          <w:rFonts w:hint="eastAsia" w:ascii="仿宋_GB2312" w:hAnsi="仿宋_GB2312" w:eastAsia="仿宋_GB2312" w:cs="仿宋_GB2312"/>
          <w:b/>
          <w:bCs/>
          <w:color w:val="000000"/>
        </w:rPr>
        <w:t>负责人/授权代表（签字）：</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负责人/授权代表（签字）：</w:t>
      </w:r>
    </w:p>
    <w:p>
      <w:pPr>
        <w:pStyle w:val="3"/>
        <w:ind w:left="0" w:firstLine="0"/>
        <w:jc w:val="both"/>
        <w:rPr>
          <w:rFonts w:hint="eastAsia" w:ascii="仿宋_GB2312" w:hAnsi="仿宋_GB2312" w:eastAsia="仿宋_GB2312" w:cs="仿宋_GB2312"/>
          <w:color w:val="auto"/>
          <w:sz w:val="28"/>
          <w:szCs w:val="28"/>
        </w:rPr>
        <w:sectPr>
          <w:headerReference r:id="rId11" w:type="default"/>
          <w:footerReference r:id="rId12" w:type="default"/>
          <w:type w:val="continuous"/>
          <w:pgSz w:w="11906" w:h="16838"/>
          <w:pgMar w:top="1440" w:right="1134" w:bottom="1440" w:left="1134" w:header="851" w:footer="992" w:gutter="0"/>
          <w:cols w:space="720" w:num="1"/>
        </w:sectPr>
      </w:pPr>
    </w:p>
    <w:p>
      <w:pPr>
        <w:bidi w:val="0"/>
        <w:rPr>
          <w:rFonts w:hint="eastAsia"/>
          <w:lang w:val="en-US" w:eastAsia="zh-CN"/>
        </w:rPr>
      </w:pPr>
    </w:p>
    <w:p>
      <w:pPr>
        <w:bidi w:val="0"/>
        <w:rPr>
          <w:rFonts w:hint="eastAsia" w:ascii="仿宋_GB2312" w:hAnsi="仿宋_GB2312" w:eastAsia="仿宋_GB2312" w:cs="仿宋_GB2312"/>
          <w:szCs w:val="24"/>
        </w:rPr>
      </w:pPr>
      <w:r>
        <w:rPr>
          <w:rFonts w:hint="eastAsia" w:ascii="仿宋_GB2312" w:hAnsi="仿宋_GB2312" w:eastAsia="仿宋_GB2312" w:cs="仿宋_GB2312"/>
          <w:b/>
          <w:bCs/>
          <w:lang w:val="en-US" w:eastAsia="zh-CN"/>
        </w:rPr>
        <w:t>附件一</w:t>
      </w:r>
      <w:r>
        <w:rPr>
          <w:rFonts w:hint="eastAsia"/>
        </w:rPr>
        <w:tab/>
      </w:r>
    </w:p>
    <w:p>
      <w:pPr>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服务内容及要求</w:t>
      </w:r>
    </w:p>
    <w:p>
      <w:pPr>
        <w:tabs>
          <w:tab w:val="left" w:pos="165"/>
          <w:tab w:val="left" w:pos="315"/>
        </w:tabs>
        <w:spacing w:line="360" w:lineRule="auto"/>
        <w:ind w:firstLine="470"/>
        <w:rPr>
          <w:rFonts w:hint="eastAsia" w:ascii="仿宋_GB2312" w:hAnsi="仿宋_GB2312" w:eastAsia="仿宋_GB2312" w:cs="仿宋_GB2312"/>
        </w:rPr>
      </w:pP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1.项目名称</w:t>
      </w:r>
    </w:p>
    <w:p>
      <w:pPr>
        <w:widowControl/>
        <w:spacing w:line="600" w:lineRule="exact"/>
        <w:ind w:firstLine="640"/>
        <w:jc w:val="left"/>
        <w:rPr>
          <w:rFonts w:hint="eastAsia" w:ascii="仿宋_GB2312" w:hAnsi="仿宋_GB2312" w:eastAsia="仿宋_GB2312" w:cs="仿宋_GB2312"/>
          <w:lang w:eastAsia="zh-CN"/>
        </w:rPr>
      </w:pPr>
      <w:r>
        <w:rPr>
          <w:rFonts w:hint="eastAsia" w:ascii="仿宋_GB2312" w:hAnsi="仿宋_GB2312" w:eastAsia="仿宋_GB2312" w:cs="仿宋_GB2312"/>
        </w:rPr>
        <w:t>人保财险四川省资阳市</w:t>
      </w:r>
      <w:r>
        <w:rPr>
          <w:rFonts w:hint="eastAsia" w:ascii="仿宋_GB2312" w:hAnsi="仿宋_GB2312" w:eastAsia="仿宋_GB2312" w:cs="仿宋_GB2312"/>
          <w:lang w:val="en-US" w:eastAsia="zh-CN"/>
        </w:rPr>
        <w:t>雁江支公司城乡墙面</w:t>
      </w:r>
      <w:r>
        <w:rPr>
          <w:rFonts w:hint="eastAsia" w:ascii="仿宋_GB2312" w:hAnsi="仿宋_GB2312" w:eastAsia="仿宋_GB2312" w:cs="仿宋_GB2312"/>
          <w:lang w:eastAsia="zh-CN"/>
        </w:rPr>
        <w:t>宣传采购项目</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 项目内容</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2.1乙方向甲方提供的</w:t>
      </w:r>
      <w:r>
        <w:rPr>
          <w:rFonts w:hint="eastAsia" w:ascii="仿宋_GB2312" w:hAnsi="仿宋_GB2312" w:eastAsia="仿宋_GB2312" w:cs="仿宋_GB2312"/>
          <w:lang w:eastAsia="zh-CN"/>
        </w:rPr>
        <w:t>宣传</w:t>
      </w:r>
      <w:r>
        <w:rPr>
          <w:rFonts w:hint="eastAsia" w:ascii="仿宋_GB2312" w:hAnsi="仿宋_GB2312" w:eastAsia="仿宋_GB2312" w:cs="仿宋_GB2312"/>
        </w:rPr>
        <w:t>内容</w:t>
      </w:r>
    </w:p>
    <w:p>
      <w:pPr>
        <w:widowControl/>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本项目拟采购</w:t>
      </w:r>
      <w:r>
        <w:rPr>
          <w:rFonts w:hint="eastAsia" w:ascii="仿宋_GB2312" w:hAnsi="仿宋_GB2312" w:eastAsia="仿宋_GB2312" w:cs="仿宋_GB2312"/>
          <w:lang w:eastAsia="zh-CN"/>
        </w:rPr>
        <w:t>一</w:t>
      </w:r>
      <w:r>
        <w:rPr>
          <w:rFonts w:hint="eastAsia" w:ascii="仿宋_GB2312" w:hAnsi="仿宋_GB2312" w:eastAsia="仿宋_GB2312" w:cs="仿宋_GB2312"/>
        </w:rPr>
        <w:t>家供应商，</w:t>
      </w:r>
      <w:r>
        <w:rPr>
          <w:rFonts w:hint="eastAsia" w:ascii="仿宋_GB2312" w:hAnsi="仿宋_GB2312" w:eastAsia="仿宋_GB2312" w:cs="仿宋_GB2312"/>
          <w:lang w:eastAsia="zh-CN"/>
        </w:rPr>
        <w:t>在资阳市</w:t>
      </w:r>
      <w:r>
        <w:rPr>
          <w:rFonts w:hint="eastAsia" w:ascii="仿宋_GB2312" w:hAnsi="仿宋_GB2312" w:eastAsia="仿宋_GB2312" w:cs="仿宋_GB2312"/>
        </w:rPr>
        <w:t>区开</w:t>
      </w:r>
      <w:r>
        <w:rPr>
          <w:rFonts w:hint="eastAsia" w:ascii="仿宋_GB2312" w:hAnsi="仿宋_GB2312" w:eastAsia="仿宋_GB2312" w:cs="仿宋_GB2312"/>
          <w:lang w:eastAsia="zh-CN"/>
        </w:rPr>
        <w:t>展</w:t>
      </w:r>
      <w:r>
        <w:rPr>
          <w:rFonts w:hint="eastAsia" w:ascii="仿宋_GB2312" w:hAnsi="仿宋_GB2312" w:eastAsia="仿宋_GB2312" w:cs="仿宋_GB2312"/>
          <w:lang w:val="en-US" w:eastAsia="zh-CN"/>
        </w:rPr>
        <w:t>城乡墙面宣</w:t>
      </w:r>
      <w:r>
        <w:rPr>
          <w:rFonts w:hint="eastAsia" w:ascii="仿宋_GB2312" w:hAnsi="仿宋_GB2312" w:eastAsia="仿宋_GB2312" w:cs="仿宋_GB2312"/>
        </w:rPr>
        <w:t>传服务活动。具体服务要求如下：</w:t>
      </w:r>
    </w:p>
    <w:p>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rPr>
        <w:t>2.2</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w:t>
      </w:r>
      <w:r>
        <w:rPr>
          <w:rFonts w:hint="eastAsia" w:ascii="仿宋_GB2312" w:hAnsi="仿宋_GB2312" w:eastAsia="仿宋_GB2312" w:cs="仿宋_GB2312"/>
        </w:rPr>
        <w:t>服务期限：    年     月     日至     年    月     日。</w:t>
      </w:r>
    </w:p>
    <w:p>
      <w:pPr>
        <w:keepNext w:val="0"/>
        <w:keepLines w:val="0"/>
        <w:pageBreakBefore w:val="0"/>
        <w:widowControl/>
        <w:numPr>
          <w:ilvl w:val="0"/>
          <w:numId w:val="1"/>
        </w:numPr>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本项目服务期限</w:t>
      </w:r>
      <w:r>
        <w:rPr>
          <w:rFonts w:hint="eastAsia" w:ascii="仿宋_GB2312" w:hAnsi="仿宋_GB2312" w:eastAsia="仿宋_GB2312" w:cs="仿宋_GB2312"/>
          <w:lang w:val="en-US" w:eastAsia="zh-CN"/>
        </w:rPr>
        <w:t>6个月</w:t>
      </w:r>
    </w:p>
    <w:p>
      <w:pPr>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3服务标准</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宣传服务受众面广，并符合国家相关法规。</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4.告知</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甲乙双方同意涉及本合同的一切事宜均以书面形式提交，双方应及时响应。</w:t>
      </w:r>
    </w:p>
    <w:p>
      <w:pPr>
        <w:keepNext w:val="0"/>
        <w:keepLines w:val="0"/>
        <w:pageBreakBefore w:val="0"/>
        <w:widowControl/>
        <w:bidi w:val="0"/>
        <w:spacing w:line="600" w:lineRule="exact"/>
        <w:ind w:firstLine="482"/>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pStyle w:val="15"/>
        <w:rPr>
          <w:rFonts w:hint="eastAsia" w:ascii="仿宋_GB2312" w:hAnsi="仿宋_GB2312" w:eastAsia="仿宋_GB2312" w:cs="仿宋_GB2312"/>
          <w:b/>
          <w:bCs/>
        </w:rPr>
      </w:pPr>
    </w:p>
    <w:p>
      <w:pPr>
        <w:rPr>
          <w:rFonts w:hint="eastAsia" w:ascii="仿宋_GB2312" w:hAnsi="仿宋_GB2312" w:eastAsia="仿宋_GB2312" w:cs="仿宋_GB2312"/>
          <w:b/>
          <w:bCs/>
        </w:rPr>
      </w:pPr>
    </w:p>
    <w:p>
      <w:pPr>
        <w:pStyle w:val="15"/>
        <w:rPr>
          <w:rFonts w:hint="eastAsia"/>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r>
        <w:rPr>
          <w:rFonts w:hint="eastAsia" w:ascii="仿宋_GB2312" w:hAnsi="仿宋_GB2312" w:eastAsia="仿宋_GB2312" w:cs="仿宋_GB2312"/>
          <w:b/>
          <w:bCs/>
        </w:rPr>
        <w:t>附件二</w:t>
      </w: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服务方案及费用结算</w:t>
      </w:r>
    </w:p>
    <w:p>
      <w:pPr>
        <w:pStyle w:val="203"/>
        <w:widowControl w:val="0"/>
        <w:spacing w:line="480" w:lineRule="auto"/>
        <w:ind w:firstLine="480"/>
        <w:jc w:val="both"/>
        <w:rPr>
          <w:rFonts w:hint="eastAsia" w:ascii="仿宋_GB2312" w:hAnsi="仿宋_GB2312" w:eastAsia="仿宋_GB2312" w:cs="仿宋_GB2312"/>
        </w:rPr>
      </w:pPr>
      <w:r>
        <w:rPr>
          <w:rFonts w:hint="eastAsia" w:ascii="仿宋_GB2312" w:hAnsi="仿宋_GB2312" w:eastAsia="仿宋_GB2312" w:cs="仿宋_GB2312"/>
        </w:rPr>
        <w:t>1、双方依据本协议附件注明的价格进行费用结算。本协议中涉及的各项结算金额均指含税金额。</w:t>
      </w:r>
    </w:p>
    <w:p>
      <w:pPr>
        <w:pStyle w:val="203"/>
        <w:widowControl w:val="0"/>
        <w:spacing w:line="480" w:lineRule="auto"/>
        <w:ind w:firstLine="480"/>
        <w:jc w:val="both"/>
        <w:rPr>
          <w:rFonts w:hint="eastAsia" w:ascii="仿宋_GB2312" w:hAnsi="仿宋_GB2312" w:eastAsia="仿宋_GB2312" w:cs="仿宋_GB2312"/>
          <w:lang w:val="en-US" w:eastAsia="zh-CN"/>
        </w:rPr>
      </w:pPr>
      <w:r>
        <w:rPr>
          <w:rFonts w:hint="eastAsia" w:ascii="仿宋_GB2312" w:hAnsi="仿宋_GB2312" w:eastAsia="仿宋_GB2312" w:cs="仿宋_GB2312"/>
        </w:rPr>
        <w:t>2、本合同结算标准：</w:t>
      </w:r>
      <w:r>
        <w:rPr>
          <w:rFonts w:hint="eastAsia" w:ascii="仿宋_GB2312" w:hAnsi="仿宋_GB2312" w:eastAsia="仿宋_GB2312" w:cs="仿宋_GB2312"/>
          <w:lang w:val="en-US" w:eastAsia="zh-CN"/>
        </w:rPr>
        <w:t>各项目单价×数量×宣传月份之和。</w:t>
      </w:r>
    </w:p>
    <w:p>
      <w:pPr>
        <w:pStyle w:val="203"/>
        <w:widowControl w:val="0"/>
        <w:spacing w:line="480" w:lineRule="auto"/>
        <w:ind w:firstLine="480"/>
        <w:jc w:val="both"/>
        <w:rPr>
          <w:rFonts w:hint="eastAsia" w:ascii="仿宋_GB2312" w:hAnsi="仿宋_GB2312" w:eastAsia="仿宋_GB2312" w:cs="仿宋_GB2312"/>
        </w:rPr>
      </w:pPr>
      <w:r>
        <w:rPr>
          <w:rFonts w:hint="eastAsia" w:ascii="仿宋_GB2312" w:hAnsi="仿宋_GB2312" w:eastAsia="仿宋_GB2312" w:cs="仿宋_GB2312"/>
        </w:rPr>
        <w:t xml:space="preserve">3、本协议中涉及的因双方本项目合作所产生的各自的投资及费用成本，由双方各自负。 </w:t>
      </w: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3"/>
        <w:pageBreakBefore w:val="0"/>
        <w:widowControl w:val="0"/>
        <w:bidi w:val="0"/>
        <w:spacing w:line="600" w:lineRule="exact"/>
        <w:ind w:firstLine="482"/>
        <w:jc w:val="left"/>
        <w:outlineLvl w:val="9"/>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bidi="ar-SA"/>
        </w:rPr>
        <w:t>附件三</w:t>
      </w:r>
      <w:r>
        <w:rPr>
          <w:rFonts w:hint="eastAsia" w:ascii="仿宋_GB2312" w:hAnsi="仿宋_GB2312" w:eastAsia="仿宋_GB2312" w:cs="仿宋_GB2312"/>
          <w:sz w:val="24"/>
          <w:szCs w:val="24"/>
        </w:rPr>
        <w:t xml:space="preserve"> </w:t>
      </w:r>
    </w:p>
    <w:p>
      <w:pPr>
        <w:pageBreakBefore w:val="0"/>
        <w:bidi w:val="0"/>
        <w:spacing w:line="600" w:lineRule="exact"/>
        <w:ind w:firstLine="482"/>
        <w:jc w:val="center"/>
        <w:outlineLvl w:val="9"/>
        <w:rPr>
          <w:rFonts w:hint="eastAsia" w:ascii="仿宋_GB2312" w:hAnsi="仿宋_GB2312" w:eastAsia="仿宋_GB2312" w:cs="仿宋_GB2312"/>
        </w:rPr>
      </w:pPr>
      <w:r>
        <w:rPr>
          <w:rFonts w:hint="eastAsia" w:ascii="仿宋_GB2312" w:hAnsi="仿宋_GB2312" w:eastAsia="仿宋_GB2312" w:cs="仿宋_GB2312"/>
          <w:b/>
        </w:rPr>
        <w:t>付款</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1.本合同使用货币种类为人民币。</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 付款方式：银行转账，甲方应向乙方以下账户进行支付：</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开户行：</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账户名称：</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账号：</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乙方如需改变上述账户，应提前10日以书面通知甲方。</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3.付款安排</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我司与服务商双方根据实际宣传服务数量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p>
    <w:p>
      <w:pPr>
        <w:pageBreakBefore w:val="0"/>
        <w:numPr>
          <w:ilvl w:val="0"/>
          <w:numId w:val="2"/>
        </w:numPr>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乙方应向甲方开具专用增值税发票，甲方开票信息如下：</w:t>
      </w:r>
    </w:p>
    <w:p>
      <w:pPr>
        <w:pageBreakBefore w:val="0"/>
        <w:numPr>
          <w:ilvl w:val="0"/>
          <w:numId w:val="0"/>
        </w:numPr>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公司名称：中国人民财产保险股份有限公司资阳市分公司</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纳税人识别号：</w:t>
      </w:r>
      <w:r>
        <w:rPr>
          <w:rFonts w:hint="eastAsia" w:ascii="仿宋_GB2312" w:hAnsi="仿宋_GB2312" w:eastAsia="仿宋_GB2312" w:cs="仿宋_GB2312"/>
          <w:lang w:val="en-US" w:eastAsia="zh-CN"/>
        </w:rPr>
        <w:t xml:space="preserve">91512000731638278R </w:t>
      </w:r>
    </w:p>
    <w:p>
      <w:pPr>
        <w:pageBreakBefore w:val="0"/>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地址：</w:t>
      </w:r>
      <w:r>
        <w:rPr>
          <w:rFonts w:hint="eastAsia" w:ascii="仿宋_GB2312" w:hAnsi="仿宋_GB2312" w:eastAsia="仿宋_GB2312" w:cs="仿宋_GB2312"/>
          <w:lang w:val="en-US" w:eastAsia="zh-CN"/>
        </w:rPr>
        <w:t>四川省资阳市雁江区宝台镇黄泥村弘城水韵和中城建.新城市广场（一期）25号楼25（F）</w:t>
      </w:r>
    </w:p>
    <w:p>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电话：028-26758789</w:t>
      </w:r>
    </w:p>
    <w:p>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开户银行名称：中国工商银行股份有限公司资阳分行</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lang w:val="en-US" w:eastAsia="zh-CN"/>
        </w:rPr>
        <w:t>开户银行帐号：2307488109023100417</w:t>
      </w:r>
    </w:p>
    <w:p>
      <w:pPr>
        <w:pageBreakBefore w:val="0"/>
        <w:bidi w:val="0"/>
        <w:spacing w:line="600" w:lineRule="exact"/>
        <w:ind w:left="480" w:firstLine="482"/>
        <w:jc w:val="left"/>
        <w:outlineLvl w:val="9"/>
        <w:rPr>
          <w:rFonts w:hint="eastAsia" w:ascii="仿宋_GB2312" w:hAnsi="仿宋_GB2312" w:eastAsia="仿宋_GB2312" w:cs="仿宋_GB2312"/>
          <w:b/>
          <w:bCs/>
          <w:sz w:val="24"/>
          <w:szCs w:val="24"/>
          <w:lang w:val="en-US" w:eastAsia="zh-CN" w:bidi="ar-SA"/>
        </w:rPr>
      </w:pPr>
    </w:p>
    <w:p>
      <w:pPr>
        <w:pageBreakBefore w:val="0"/>
        <w:bidi w:val="0"/>
        <w:spacing w:line="600" w:lineRule="exact"/>
        <w:ind w:left="480" w:firstLine="482"/>
        <w:jc w:val="left"/>
        <w:outlineLvl w:val="9"/>
        <w:rPr>
          <w:rFonts w:hint="eastAsia" w:ascii="仿宋_GB2312" w:hAnsi="仿宋_GB2312" w:eastAsia="仿宋_GB2312" w:cs="仿宋_GB2312"/>
          <w:b/>
          <w:bCs/>
          <w:sz w:val="24"/>
          <w:szCs w:val="24"/>
          <w:lang w:val="en-US" w:eastAsia="zh-CN" w:bidi="ar-SA"/>
        </w:rPr>
      </w:pPr>
    </w:p>
    <w:p>
      <w:pPr>
        <w:pageBreakBefore w:val="0"/>
        <w:bidi w:val="0"/>
        <w:spacing w:line="600" w:lineRule="exact"/>
        <w:ind w:left="480" w:firstLine="482"/>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附件四</w:t>
      </w:r>
    </w:p>
    <w:p>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双方的权利和义务</w:t>
      </w:r>
    </w:p>
    <w:p>
      <w:pPr>
        <w:pageBreakBefore w:val="0"/>
        <w:numPr>
          <w:ilvl w:val="0"/>
          <w:numId w:val="3"/>
        </w:numPr>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甲方的权利和义务</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1.1甲方指派专人参与乙方提供服务时需要甲方参与的工作过程，并配合乙方提供宣传设计样本及投放内容；</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1.2乙方不得擅自修改甲方所提供的宣传设计样本和内容，甲方对宣传投放内容可以随时提出修改，并及时以书面形式通知乙方，乙方在收到文件后当天开始按新的要求执行；</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1.3甲方有权制止和纠正乙方违反甲方有关保险业务要求和管理规定的行为；</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1.4甲方有权利评估乙方服务质量与履行承诺的情况；</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1.5甲方有义务按照约定的日期、结算方式与乙方结算服务费用；</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1.6甲方指定</w:t>
      </w:r>
      <w:r>
        <w:rPr>
          <w:rFonts w:hint="eastAsia" w:ascii="仿宋_GB2312" w:hAnsi="仿宋_GB2312" w:eastAsia="仿宋_GB2312" w:cs="仿宋_GB2312"/>
          <w:lang w:val="en-US" w:eastAsia="zh-CN"/>
        </w:rPr>
        <w:t>XX</w:t>
      </w:r>
      <w:r>
        <w:rPr>
          <w:rFonts w:hint="eastAsia" w:ascii="仿宋_GB2312" w:hAnsi="仿宋_GB2312" w:eastAsia="仿宋_GB2312" w:cs="仿宋_GB2312"/>
        </w:rPr>
        <w:t>作为商务联系人，电子邮箱</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  ，甲乙双方联系人可通过前述指定邮箱以邮件形式就协议约定事项的具体执行事宜进行沟通，其内容表述（在不更改协议实质内容的前提下）可以作为双方执行协议的依据。</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2、乙方的权利和义务</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2.1乙方负责为甲方的整个宣传推广活动流程与开展；</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2.2.乙方保证其拥有开展本协议约定业务的合法资质，且所提供的宣传推广内容合法合规，且取得相应的授权，并同意向甲方提供其拥有合法资质的相关证明文件及证照复印件。否则若因此引起法律纠纷，由乙方承担所有的法律责任；</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2.3.乙方负责承担宣传推广服务合作业务中产生的各种咨询和投诉的处理工作，并建立有效通畅的投诉处理机制，妥善处理用户投诉；</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2.4.乙方应自行承担合同约定的由其负责或完成事项的相关费用；</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2.5.乙方指定  作为商务联系人，电子邮箱为  ，甲乙双方联系人可通过前述指定邮箱以邮件形式就协议约定事项的具体执行事宜进行沟通，其内容表述（在不更改协议实质内容的前提下）可以作为双方执行协议的依据。</w:t>
      </w: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pPr>
        <w:pageBreakBefore w:val="0"/>
        <w:bidi w:val="0"/>
        <w:spacing w:line="600" w:lineRule="exact"/>
        <w:ind w:firstLine="241"/>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附件五</w:t>
      </w:r>
    </w:p>
    <w:p>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违约责任</w:t>
      </w:r>
    </w:p>
    <w:p>
      <w:pPr>
        <w:pageBreakBefore w:val="0"/>
        <w:bidi w:val="0"/>
        <w:spacing w:line="600" w:lineRule="exact"/>
        <w:ind w:firstLine="480"/>
        <w:jc w:val="left"/>
        <w:outlineLvl w:val="9"/>
        <w:rPr>
          <w:rFonts w:hint="eastAsia" w:ascii="仿宋_GB2312" w:hAnsi="仿宋_GB2312" w:eastAsia="仿宋_GB2312" w:cs="仿宋_GB2312"/>
        </w:rPr>
      </w:pP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除合同约定的违约责任以外，任何一方存在以下约定情形的，应承担相应的违约责任：</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1、由于乙方服务质量（包括但不限于：服务态度不佳、对客户不诚信）导致甲方客户投诉，甲方有权要求乙方协助查明事件真相，并在一个工作日内提交调查结果，对甲方客户造成的损失由乙方承担。</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2、因乙方服务人员工作疏忽导致客户产生重大投诉的，乙方需协助客户进行后续处理，办理过程中产生的费用由乙方承担。</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3、免责条款</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因甲方服务人员误导客户造成投诉的，乙方不承担责任。</w:t>
      </w:r>
    </w:p>
    <w:p>
      <w:pPr>
        <w:numPr>
          <w:ilvl w:val="0"/>
          <w:numId w:val="0"/>
        </w:numPr>
        <w:rPr>
          <w:rFonts w:hint="eastAsia" w:ascii="仿宋_GB2312" w:hAnsi="仿宋_GB2312" w:eastAsia="仿宋_GB2312" w:cs="仿宋_GB2312"/>
          <w:lang w:val="en-US" w:eastAsia="zh-CN"/>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附件</w:t>
      </w:r>
      <w:r>
        <w:rPr>
          <w:rFonts w:hint="eastAsia" w:ascii="仿宋_GB2312" w:hAnsi="仿宋_GB2312" w:eastAsia="仿宋_GB2312" w:cs="仿宋_GB2312"/>
          <w:b/>
          <w:sz w:val="24"/>
          <w:szCs w:val="24"/>
          <w:lang w:val="en-US" w:eastAsia="zh-CN"/>
        </w:rPr>
        <w:t>六：</w:t>
      </w:r>
    </w:p>
    <w:p>
      <w:pPr>
        <w:keepNext w:val="0"/>
        <w:keepLines w:val="0"/>
        <w:pageBreakBefore w:val="0"/>
        <w:bidi w:val="0"/>
        <w:spacing w:line="600" w:lineRule="exact"/>
        <w:ind w:left="0" w:firstLine="482"/>
        <w:jc w:val="center"/>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廉洁诚信协议</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第一条  总则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（1）一方或其关联方之工作人员；</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（2）受一方委托办理相关事务的单位或者个人；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（3）利用职权或者影响力影响交易的单位或者个人；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（4）前述相关人员的亲属；</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（5）与前述相关主体存在利害关系的其他单位或者人员。</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乙方相关主体实施违反本协议约定之行为的，均应视为乙方实施行为。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第二条  商业贿赂</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2.3本条第1款所称其他形式，包括但不限于：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（6）向甲方或甲方相关主体提供借款、融资、担保等；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（7）给予或承诺给予其不正当利益的其他行为；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（8）其他违反国家法律法规或商业道德准则的影响公正交易的行为。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eastAsia="zh-CN" w:bidi="ar"/>
        </w:rPr>
      </w:pP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第三条  回扣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3.3乙方在账外暗中给予甲方相关主体回扣的，视为实施商业贿赂行为。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第四条  折扣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4.4乙方违反本条约定的，视为实施商业贿赂行为。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第五条  宴请与游玩活动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5.3乙方违反本条约定的，视为实施商业贿赂行为。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第六条  禁止行为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（1）报销甲方相关主体的私人费用；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（2）提供超过宴请标准的宴请或娱乐活动；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（3）介绍甲方相关主体亲友到乙方处工作；</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（5）组织或向甲方相关主体提供旅游等代偿活动利益；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（6）向甲方相关主体提供借款、融资、担保等；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（7）给予或承诺给予甲方相关主体不正当利益的其他行为；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第七条  乙方承诺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乙方承诺在双方的商务接洽、合同关系、交易过程中遵守如下要求：</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7.1 避免利害关系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7.2 恪守廉洁自律原则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7.3 恪守诚实信用原则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7.4 确保信息公开透明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7.5 积极配合监督举报</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7.6 加强内部廉洁管理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第八条  违约责任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8.3 如乙方违反本协议任何约定或承诺，</w:t>
      </w:r>
      <w:r>
        <w:rPr>
          <w:rFonts w:hint="eastAsia" w:ascii="仿宋_GB2312" w:hAnsi="仿宋_GB2312" w:eastAsia="仿宋_GB2312" w:cs="仿宋_GB2312"/>
          <w:b/>
          <w:bCs/>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8.4</w:t>
      </w:r>
      <w:r>
        <w:rPr>
          <w:rFonts w:hint="eastAsia" w:ascii="仿宋_GB2312" w:hAnsi="仿宋_GB2312" w:eastAsia="仿宋_GB2312" w:cs="仿宋_GB2312"/>
          <w:b/>
          <w:bCs/>
          <w:sz w:val="24"/>
          <w:szCs w:val="24"/>
          <w:lang w:val="en-US" w:eastAsia="zh-CN" w:bidi="ar"/>
        </w:rPr>
        <w:t>甲方及甲方子公司按照前述条款要求乙方承担赔偿责任的，</w:t>
      </w:r>
      <w:r>
        <w:rPr>
          <w:rFonts w:hint="eastAsia" w:ascii="仿宋_GB2312" w:hAnsi="仿宋_GB2312" w:eastAsia="仿宋_GB2312" w:cs="仿宋_GB231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bidi w:val="0"/>
        <w:spacing w:before="312" w:beforeAutospacing="0" w:after="312"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第九条  附则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bidi w:val="0"/>
        <w:spacing w:line="600" w:lineRule="exact"/>
        <w:ind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9.5本协议长期有效</w:t>
      </w:r>
    </w:p>
    <w:p>
      <w:pPr>
        <w:pStyle w:val="15"/>
        <w:rPr>
          <w:rFonts w:hint="eastAsia" w:ascii="仿宋_GB2312" w:hAnsi="仿宋_GB2312" w:eastAsia="仿宋_GB2312" w:cs="仿宋_GB2312"/>
          <w:sz w:val="24"/>
          <w:szCs w:val="24"/>
          <w:lang w:val="en-US" w:eastAsia="zh-CN" w:bidi="ar"/>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附件</w:t>
      </w:r>
      <w:r>
        <w:rPr>
          <w:rFonts w:hint="eastAsia" w:ascii="仿宋_GB2312" w:hAnsi="仿宋_GB2312" w:eastAsia="仿宋_GB2312" w:cs="仿宋_GB2312"/>
          <w:b/>
          <w:sz w:val="24"/>
          <w:szCs w:val="24"/>
          <w:lang w:eastAsia="zh-CN"/>
        </w:rPr>
        <w:t>七</w:t>
      </w:r>
      <w:r>
        <w:rPr>
          <w:rFonts w:hint="eastAsia" w:ascii="仿宋_GB2312" w:hAnsi="仿宋_GB2312" w:eastAsia="仿宋_GB2312" w:cs="仿宋_GB2312"/>
          <w:b/>
          <w:sz w:val="24"/>
          <w:szCs w:val="24"/>
          <w:lang w:val="en-US" w:eastAsia="zh-CN"/>
        </w:rPr>
        <w:t>：</w:t>
      </w:r>
    </w:p>
    <w:p>
      <w:pPr>
        <w:keepNext w:val="0"/>
        <w:keepLines w:val="0"/>
        <w:pageBreakBefore w:val="0"/>
        <w:bidi w:val="0"/>
        <w:spacing w:line="600" w:lineRule="exact"/>
        <w:ind w:left="0" w:firstLine="723"/>
        <w:jc w:val="both"/>
        <w:outlineLvl w:val="9"/>
        <w:rPr>
          <w:rFonts w:hint="default" w:ascii="仿宋_GB2312" w:eastAsia="宋体"/>
          <w:b/>
          <w:sz w:val="32"/>
          <w:szCs w:val="32"/>
          <w:lang w:val="en-US" w:eastAsia="zh-CN"/>
        </w:rPr>
      </w:pPr>
      <w:r>
        <w:rPr>
          <w:rFonts w:hint="eastAsia" w:ascii="仿宋_GB2312" w:hAnsi="仿宋_GB2312" w:eastAsia="仿宋_GB2312" w:cs="仿宋_GB2312"/>
          <w:b/>
          <w:bCs/>
          <w:sz w:val="24"/>
          <w:szCs w:val="24"/>
          <w:lang w:val="en-US" w:eastAsia="zh-CN" w:bidi="ar-SA"/>
        </w:rPr>
        <w:t xml:space="preserve">                 反洗钱条款和消费者权益保护条款 </w:t>
      </w:r>
      <w:r>
        <w:rPr>
          <w:rFonts w:hint="eastAsia" w:ascii="楷体" w:hAnsi="楷体" w:eastAsia="楷体" w:cs="楷体"/>
          <w:sz w:val="28"/>
          <w:szCs w:val="28"/>
          <w:lang w:val="en-US" w:eastAsia="zh-CN"/>
        </w:rPr>
        <w:t xml:space="preserve">  </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eastAsia="zh-CN" w:bidi="ar"/>
        </w:rPr>
      </w:pPr>
      <w:r>
        <w:rPr>
          <w:rFonts w:hint="eastAsia" w:ascii="仿宋_GB2312" w:hAnsi="仿宋_GB2312" w:eastAsia="仿宋_GB2312" w:cs="仿宋_GB2312"/>
          <w:b/>
          <w:bCs/>
          <w:sz w:val="24"/>
          <w:szCs w:val="24"/>
          <w:lang w:val="en-US" w:eastAsia="zh-CN" w:bidi="ar"/>
        </w:rPr>
        <w:t>一、反洗钱条款</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zh-CN" w:eastAsia="zh-CN" w:bidi="ar"/>
        </w:rPr>
        <w:t>甲乙双方应遵守《中华人民共和国反洗钱法》（2025年1月施行）《金融机构客户身份识别和客户身份资料及交易记录保存管理办法》《金融机构大额交易和可疑交易报告管理办法》《中国人民银行关于&lt;金融机构大额交易和可疑交易报告管理办法&gt;有关执行要求的通知》《保险业反洗钱工作管理办法》等法律法规及监管规定，有效落实相关反洗钱义务。</w:t>
      </w:r>
      <w:r>
        <w:rPr>
          <w:rFonts w:hint="eastAsia" w:ascii="仿宋_GB2312" w:hAnsi="仿宋_GB2312" w:eastAsia="仿宋_GB2312" w:cs="仿宋_GB2312"/>
          <w:sz w:val="24"/>
          <w:szCs w:val="24"/>
          <w:lang w:val="en-US" w:eastAsia="zh-CN" w:bidi="ar"/>
        </w:rPr>
        <w:t xml:space="preserve">  </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乙方应当严格按照法律规定和合同约定履行客户尽职调查、客户身份资料和交易记录保存等义务，使甲方及所属机构在办理业务时能够立即从乙方获取客户尽职调查的必要信息、身份证件或者其他身份证明文件等资料的复印件或者影印件。对于客户为法人或者非法人组织的，乙方应当识别并采取合理措施核实客户的受益所有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甲方承担未履行客户身份识别义务的最终责任，乙方承担相应责任。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甲乙双方应按照人民银行的有关规定依法履行大额可疑交易的报告义务，双方积极协助对方开展大额可疑交易的调查，并依法在必要时向对方提供国家权力机关调查所需的客户资料信息；乙方及其业务人员以现金方式收取保费的，应当及时将现金投保情况告知甲方；乙方收取客户现金保费达到大额交易报告标准的，无论以何种方式与甲方结算，乙方均应当提交大额交易报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3.为了更好的开展客户尽职调查工作，乙方应当开展反洗钱培训，必要时甲方向乙方提供协助。</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4.甲乙双方对获取的资料做好反洗钱保密工作，非依法律规定，不得向任何单位和个人提供。</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5.本协议未规定的其他反洗钱义务，参照法律法规执行；在本协议有效期间，法律法规就甲乙双方反洗钱义务有新规定的，应按照新规定执行。</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b/>
          <w:bCs/>
          <w:sz w:val="24"/>
          <w:szCs w:val="24"/>
          <w:lang w:val="en-US" w:eastAsia="zh-CN" w:bidi="ar"/>
        </w:rPr>
      </w:pPr>
      <w:r>
        <w:rPr>
          <w:rFonts w:hint="eastAsia" w:ascii="仿宋_GB2312" w:hAnsi="仿宋_GB2312" w:eastAsia="仿宋_GB2312" w:cs="仿宋_GB2312"/>
          <w:b/>
          <w:bCs/>
          <w:sz w:val="24"/>
          <w:szCs w:val="24"/>
          <w:lang w:val="en-US" w:eastAsia="zh-CN" w:bidi="ar"/>
        </w:rPr>
        <w:t>二、消费者权益保护条款</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1.双方应严格按照相关法律法规要求履行消费者权益保护相关责任和义务。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我公司开展消费投诉处理工作，甲方有权终止与乙方的合作，并将其列入公司合作机构管理黑名单。</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4.如乙方开展营销的，应履行销售适当性义务，建立适当性管理机制，严格落实监管机构对适当性管理的要求。</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5.甲方不得利用业务便利，强制指定乙方为消费者提供收费服务。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6.甲、乙双方应建立健全消费者投诉处理机制，明示消费者投诉渠道和方式，完善投诉数据统计，妥善对接和处理合作过程中发生的保险消费纠纷。就消费投诉，</w:t>
      </w:r>
      <w:r>
        <w:rPr>
          <w:rFonts w:hint="eastAsia" w:ascii="仿宋_GB2312" w:hAnsi="仿宋_GB2312" w:eastAsia="仿宋_GB2312" w:cs="仿宋_GB2312"/>
          <w:sz w:val="24"/>
          <w:szCs w:val="24"/>
          <w:lang w:val="zh-CN" w:eastAsia="zh-CN" w:bidi="ar"/>
        </w:rPr>
        <w:t>应积极落实首问负责制，在</w:t>
      </w:r>
      <w:r>
        <w:rPr>
          <w:rFonts w:hint="eastAsia" w:ascii="仿宋_GB2312" w:hAnsi="仿宋_GB2312" w:eastAsia="仿宋_GB2312" w:cs="仿宋_GB2312"/>
          <w:sz w:val="24"/>
          <w:szCs w:val="24"/>
          <w:lang w:val="en-US" w:eastAsia="zh-CN" w:bidi="ar"/>
        </w:rPr>
        <w:t>消费者</w:t>
      </w:r>
      <w:r>
        <w:rPr>
          <w:rFonts w:hint="eastAsia" w:ascii="仿宋_GB2312" w:hAnsi="仿宋_GB2312" w:eastAsia="仿宋_GB2312" w:cs="仿宋_GB2312"/>
          <w:sz w:val="24"/>
          <w:szCs w:val="24"/>
          <w:lang w:val="zh-CN" w:eastAsia="zh-CN" w:bidi="ar"/>
        </w:rPr>
        <w:t>投诉发生的第一时间及时处理并</w:t>
      </w:r>
      <w:r>
        <w:rPr>
          <w:rFonts w:hint="eastAsia" w:ascii="仿宋_GB2312" w:hAnsi="仿宋_GB2312" w:eastAsia="仿宋_GB2312" w:cs="仿宋_GB2312"/>
          <w:sz w:val="24"/>
          <w:szCs w:val="24"/>
          <w:lang w:val="en-US" w:eastAsia="zh-CN" w:bidi="ar"/>
        </w:rPr>
        <w:t>妥善</w:t>
      </w:r>
      <w:r>
        <w:rPr>
          <w:rFonts w:hint="eastAsia" w:ascii="仿宋_GB2312" w:hAnsi="仿宋_GB2312" w:eastAsia="仿宋_GB2312" w:cs="仿宋_GB2312"/>
          <w:sz w:val="24"/>
          <w:szCs w:val="24"/>
          <w:lang w:val="zh-CN" w:eastAsia="zh-CN" w:bidi="ar"/>
        </w:rPr>
        <w:t>解决，依法</w:t>
      </w:r>
      <w:r>
        <w:rPr>
          <w:rFonts w:hint="eastAsia" w:ascii="仿宋_GB2312" w:hAnsi="仿宋_GB2312" w:eastAsia="仿宋_GB2312" w:cs="仿宋_GB2312"/>
          <w:sz w:val="24"/>
          <w:szCs w:val="24"/>
          <w:lang w:val="en-US" w:eastAsia="zh-CN" w:bidi="ar"/>
        </w:rPr>
        <w:t>合规</w:t>
      </w:r>
      <w:r>
        <w:rPr>
          <w:rFonts w:hint="eastAsia" w:ascii="仿宋_GB2312" w:hAnsi="仿宋_GB2312" w:eastAsia="仿宋_GB2312" w:cs="仿宋_GB2312"/>
          <w:sz w:val="24"/>
          <w:szCs w:val="24"/>
          <w:lang w:val="zh-CN" w:eastAsia="zh-CN" w:bidi="ar"/>
        </w:rPr>
        <w:t>开展</w:t>
      </w:r>
      <w:r>
        <w:rPr>
          <w:rFonts w:hint="eastAsia" w:ascii="仿宋_GB2312" w:hAnsi="仿宋_GB2312" w:eastAsia="仿宋_GB2312" w:cs="仿宋_GB2312"/>
          <w:sz w:val="24"/>
          <w:szCs w:val="24"/>
          <w:lang w:val="en-US" w:eastAsia="zh-CN" w:bidi="ar"/>
        </w:rPr>
        <w:t>消费者</w:t>
      </w:r>
      <w:r>
        <w:rPr>
          <w:rFonts w:hint="eastAsia" w:ascii="仿宋_GB2312" w:hAnsi="仿宋_GB2312" w:eastAsia="仿宋_GB2312" w:cs="仿宋_GB2312"/>
          <w:sz w:val="24"/>
          <w:szCs w:val="24"/>
          <w:lang w:val="zh-CN" w:eastAsia="zh-CN" w:bidi="ar"/>
        </w:rPr>
        <w:t>投诉处理工作，避免</w:t>
      </w:r>
      <w:r>
        <w:rPr>
          <w:rFonts w:hint="eastAsia" w:ascii="仿宋_GB2312" w:hAnsi="仿宋_GB2312" w:eastAsia="仿宋_GB2312" w:cs="仿宋_GB2312"/>
          <w:sz w:val="24"/>
          <w:szCs w:val="24"/>
          <w:lang w:val="en-US" w:eastAsia="zh-CN" w:bidi="ar"/>
        </w:rPr>
        <w:t>事态</w:t>
      </w:r>
      <w:r>
        <w:rPr>
          <w:rFonts w:hint="eastAsia" w:ascii="仿宋_GB2312" w:hAnsi="仿宋_GB2312" w:eastAsia="仿宋_GB2312" w:cs="仿宋_GB2312"/>
          <w:sz w:val="24"/>
          <w:szCs w:val="24"/>
          <w:lang w:val="zh-CN" w:eastAsia="zh-CN" w:bidi="ar"/>
        </w:rPr>
        <w:t>扩大产生</w:t>
      </w:r>
      <w:r>
        <w:rPr>
          <w:rFonts w:hint="eastAsia" w:ascii="仿宋_GB2312" w:hAnsi="仿宋_GB2312" w:eastAsia="仿宋_GB2312" w:cs="仿宋_GB2312"/>
          <w:sz w:val="24"/>
          <w:szCs w:val="24"/>
          <w:lang w:val="en-US" w:eastAsia="zh-CN" w:bidi="ar"/>
        </w:rPr>
        <w:t>负面</w:t>
      </w:r>
      <w:r>
        <w:rPr>
          <w:rFonts w:hint="eastAsia" w:ascii="仿宋_GB2312" w:hAnsi="仿宋_GB2312" w:eastAsia="仿宋_GB2312" w:cs="仿宋_GB2312"/>
          <w:sz w:val="24"/>
          <w:szCs w:val="24"/>
          <w:lang w:val="zh-CN" w:eastAsia="zh-CN" w:bidi="ar"/>
        </w:rPr>
        <w:t>影响。</w:t>
      </w:r>
      <w:r>
        <w:rPr>
          <w:rFonts w:hint="eastAsia" w:ascii="仿宋_GB2312" w:hAnsi="仿宋_GB2312" w:eastAsia="仿宋_GB2312" w:cs="仿宋_GB2312"/>
          <w:sz w:val="24"/>
          <w:szCs w:val="24"/>
          <w:lang w:val="en-US" w:eastAsia="zh-CN" w:bidi="ar"/>
        </w:rPr>
        <w:t>双方在投诉处理过程中应积极做好与政府、监管部门、新闻媒体等机构的沟通协调，防范风险扩散。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7.甲、乙双方应根据消费者投诉反映出的问题积极进行溯源改进，查找服务薄弱环节和风险隐患，从源头上减少消费投诉的发生，提高服务水平，加强保险消费者权益保护。</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8.对于客户投诉较多、设计上存在缺陷的保险产品或服务，乙方及时通知甲方，并按照甲方要求妥善处理相关事宜，包括停止销售或提供服务等。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9.甲、乙双方建立重大事件应急处理合作机制，密切关注群访群诉、群体性退保等事件，建立重大事项报告制度和问题处理应对预案，妥善处理客户纠纷，防止事态扩大。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10.甲、乙双方均应严格遵照有关监管规定，全面、真实、客观地进行信息披露，不得有虚假记载、误导性陈述和重大遗漏。</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11.甲、乙双方应建立消费者权益保护内部培训机制，对从业人员开展消费者权益保护培训，提升培训效能，强化员工消费者权益保护意识。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pStyle w:val="22"/>
        <w:rPr>
          <w:rFonts w:hint="eastAsia"/>
          <w:lang w:val="en-US" w:eastAsia="zh-CN"/>
        </w:rPr>
      </w:pP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 xml:space="preserve"> </w:t>
      </w:r>
    </w:p>
    <w:p>
      <w:pPr>
        <w:pStyle w:val="3"/>
        <w:pageBreakBefore/>
        <w:ind w:left="0" w:firstLine="0"/>
        <w:jc w:val="center"/>
        <w:rPr>
          <w:rFonts w:ascii="仿宋_GB2312" w:hAnsi="宋体" w:eastAsia="仿宋_GB2312"/>
          <w:color w:val="auto"/>
          <w:sz w:val="28"/>
          <w:szCs w:val="28"/>
        </w:rPr>
      </w:pPr>
      <w:r>
        <w:rPr>
          <w:rFonts w:hint="eastAsia" w:ascii="仿宋_GB2312" w:hAnsi="宋体" w:eastAsia="仿宋_GB2312"/>
          <w:color w:val="auto"/>
          <w:sz w:val="28"/>
          <w:szCs w:val="28"/>
        </w:rPr>
        <w:t>第五章 采购需求</w:t>
      </w:r>
    </w:p>
    <w:p>
      <w:pPr>
        <w:keepNext w:val="0"/>
        <w:keepLines w:val="0"/>
        <w:pageBreakBefore w:val="0"/>
        <w:widowControl w:val="0"/>
        <w:numPr>
          <w:ilvl w:val="0"/>
          <w:numId w:val="4"/>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采购项目背景</w:t>
      </w:r>
    </w:p>
    <w:p>
      <w:pPr>
        <w:keepNext w:val="0"/>
        <w:keepLines w:val="0"/>
        <w:pageBreakBefore w:val="0"/>
        <w:widowControl w:val="0"/>
        <w:numPr>
          <w:ilvl w:val="0"/>
          <w:numId w:val="0"/>
        </w:numPr>
        <w:suppressLineNumbers w:val="0"/>
        <w:bidi w:val="0"/>
        <w:spacing w:beforeAutospacing="0" w:afterAutospacing="0" w:line="600" w:lineRule="exact"/>
        <w:ind w:left="480" w:right="0" w:firstLine="480"/>
        <w:jc w:val="both"/>
        <w:outlineLvl w:val="9"/>
        <w:rPr>
          <w:rFonts w:hint="eastAsia"/>
          <w:lang w:val="en-US" w:eastAsia="zh-CN"/>
        </w:rPr>
      </w:pPr>
      <w:r>
        <w:rPr>
          <w:rFonts w:hint="eastAsia" w:ascii="仿宋_GB2312" w:hAnsi="仿宋_GB2312" w:eastAsia="仿宋_GB2312" w:cs="仿宋_GB2312"/>
          <w:sz w:val="24"/>
          <w:szCs w:val="24"/>
          <w:lang w:val="en-US" w:eastAsia="zh-CN" w:bidi="ar"/>
        </w:rPr>
        <w:t>为进一步深化雁江辖区业务布局，精准触达城乡各类客群，提升品牌城乡场景渗透力、传递企业服务理念，现依托辖区城乡墙面开展品牌宣传推广。城乡墙面是群众日常出行的核心视觉载体，可广泛覆盖城区居民与乡镇农户，高频高效传递公司产品优势，将品牌内容自然融入群众生产生活，持续增强公众品牌信任与认同，扩大本地市场品牌影响力与产品知晓度，为客户转化、保费增长筑牢基础，助力深耕城乡市场、推动城乡业务协同发展，保障年度经营目标顺利完成。</w:t>
      </w:r>
    </w:p>
    <w:p>
      <w:pPr>
        <w:keepNext w:val="0"/>
        <w:keepLines w:val="0"/>
        <w:pageBreakBefore w:val="0"/>
        <w:widowControl w:val="0"/>
        <w:numPr>
          <w:ilvl w:val="0"/>
          <w:numId w:val="4"/>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采购内容</w:t>
      </w:r>
    </w:p>
    <w:p>
      <w:pPr>
        <w:keepNext w:val="0"/>
        <w:keepLines w:val="0"/>
        <w:pageBreakBefore w:val="0"/>
        <w:widowControl w:val="0"/>
        <w:numPr>
          <w:ilvl w:val="0"/>
          <w:numId w:val="0"/>
        </w:numPr>
        <w:suppressLineNumbers w:val="0"/>
        <w:bidi w:val="0"/>
        <w:spacing w:beforeAutospacing="0" w:afterAutospacing="0" w:line="600" w:lineRule="exact"/>
        <w:ind w:left="48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拟采购一家具有良好商业信誉和专业技术能力的供应商提供雁江支公司城乡墙面宣传服务，宣传周期：6个月。</w:t>
      </w:r>
    </w:p>
    <w:p>
      <w:pPr>
        <w:keepNext w:val="0"/>
        <w:keepLines w:val="0"/>
        <w:pageBreakBefore w:val="0"/>
        <w:widowControl w:val="0"/>
        <w:numPr>
          <w:ilvl w:val="0"/>
          <w:numId w:val="4"/>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采购数量（“该数量为预估，仅作为供应商报价依据，不作为采购方承诺，最终据</w:t>
      </w:r>
    </w:p>
    <w:p>
      <w:pPr>
        <w:pStyle w:val="15"/>
        <w:rPr>
          <w:rFonts w:hint="default"/>
          <w:highlight w:val="none"/>
          <w:lang w:val="en-US" w:eastAsia="zh-CN"/>
        </w:rPr>
      </w:pPr>
      <w:r>
        <w:rPr>
          <w:rFonts w:hint="eastAsia" w:ascii="仿宋_GB2312" w:hAnsi="仿宋_GB2312" w:eastAsia="仿宋_GB2312" w:cs="仿宋_GB2312"/>
          <w:sz w:val="24"/>
          <w:szCs w:val="24"/>
          <w:lang w:val="en-US" w:eastAsia="zh-CN" w:bidi="ar"/>
        </w:rPr>
        <w:t xml:space="preserve">    实结算”）</w:t>
      </w:r>
    </w:p>
    <w:p>
      <w:pPr>
        <w:pStyle w:val="15"/>
        <w:rPr>
          <w:rFonts w:hint="default"/>
          <w:lang w:val="en-US" w:eastAsia="zh-CN"/>
        </w:rPr>
      </w:pPr>
      <w:r>
        <w:rPr>
          <w:rFonts w:hint="default"/>
          <w:highlight w:val="none"/>
          <w:lang w:val="en-US" w:eastAsia="zh-CN"/>
        </w:rPr>
        <w:t xml:space="preserve">         拟采购雁江区34块3米*2米的城乡墙面广告位进行宣传。</w:t>
      </w:r>
    </w:p>
    <w:p>
      <w:pPr>
        <w:keepNext w:val="0"/>
        <w:keepLines w:val="0"/>
        <w:pageBreakBefore w:val="0"/>
        <w:widowControl w:val="0"/>
        <w:numPr>
          <w:ilvl w:val="0"/>
          <w:numId w:val="4"/>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付款方式（应与合同条款中相关描述保持一致）</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1.本合同使用货币种类为人民币。</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2. 付款方式：银行转账，甲方应向乙方以下账户进行支付：</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开户行：</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账户名称：</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账号：</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乙方如需改变上述账户，应提前10日以书面通知甲方。</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3.付款安排</w:t>
      </w:r>
    </w:p>
    <w:p>
      <w:pPr>
        <w:pageBreakBefore w:val="0"/>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我司与服务商双方根据实际宣传数量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p>
    <w:p>
      <w:pPr>
        <w:pageBreakBefore w:val="0"/>
        <w:numPr>
          <w:ilvl w:val="0"/>
          <w:numId w:val="0"/>
        </w:numPr>
        <w:bidi w:val="0"/>
        <w:spacing w:line="600" w:lineRule="exact"/>
        <w:jc w:val="left"/>
        <w:outlineLvl w:val="9"/>
        <w:rPr>
          <w:rFonts w:hint="eastAsia" w:ascii="仿宋_GB2312" w:hAnsi="仿宋_GB2312" w:eastAsia="仿宋_GB2312" w:cs="仿宋_GB2312"/>
        </w:rPr>
      </w:pPr>
      <w:r>
        <w:rPr>
          <w:rFonts w:hint="eastAsia" w:ascii="仿宋_GB2312" w:hAnsi="仿宋_GB2312" w:eastAsia="仿宋_GB2312" w:cs="仿宋_GB2312"/>
          <w:lang w:val="en-US" w:eastAsia="zh-CN"/>
        </w:rPr>
        <w:t xml:space="preserve">        4、</w:t>
      </w:r>
      <w:r>
        <w:rPr>
          <w:rFonts w:hint="eastAsia" w:ascii="仿宋_GB2312" w:hAnsi="仿宋_GB2312" w:eastAsia="仿宋_GB2312" w:cs="仿宋_GB2312"/>
        </w:rPr>
        <w:t>乙方应向甲方开具专用增值税发票，甲方开票信息如下：</w:t>
      </w:r>
    </w:p>
    <w:p>
      <w:pPr>
        <w:pageBreakBefore w:val="0"/>
        <w:numPr>
          <w:ilvl w:val="0"/>
          <w:numId w:val="0"/>
        </w:numPr>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公司名称：中国人民财产保险股份有限公司资阳市分公司</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纳税人识别号：</w:t>
      </w:r>
      <w:r>
        <w:rPr>
          <w:rFonts w:hint="eastAsia" w:ascii="仿宋_GB2312" w:hAnsi="仿宋_GB2312" w:eastAsia="仿宋_GB2312" w:cs="仿宋_GB2312"/>
          <w:lang w:val="en-US" w:eastAsia="zh-CN"/>
        </w:rPr>
        <w:t xml:space="preserve">91512000731638278R </w:t>
      </w:r>
    </w:p>
    <w:p>
      <w:pPr>
        <w:pageBreakBefore w:val="0"/>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地址：</w:t>
      </w:r>
      <w:r>
        <w:rPr>
          <w:rFonts w:hint="eastAsia" w:ascii="仿宋_GB2312" w:hAnsi="仿宋_GB2312" w:eastAsia="仿宋_GB2312" w:cs="仿宋_GB2312"/>
          <w:lang w:val="en-US" w:eastAsia="zh-CN"/>
        </w:rPr>
        <w:t>四川省资阳市雁江区宝台镇黄泥村弘城水韵和中城建.新城市广场（一期）25号楼25（F）</w:t>
      </w:r>
    </w:p>
    <w:p>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电话：028-26758789</w:t>
      </w:r>
    </w:p>
    <w:p>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开户银行名称：中国工商银行股份有限公司资阳分行</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lang w:val="en-US" w:eastAsia="zh-CN"/>
        </w:rPr>
        <w:t>开户银行帐号：2307488109023100417</w:t>
      </w:r>
    </w:p>
    <w:p>
      <w:pPr>
        <w:pageBreakBefore w:val="0"/>
        <w:bidi w:val="0"/>
        <w:spacing w:line="600" w:lineRule="exact"/>
        <w:ind w:firstLine="480"/>
        <w:jc w:val="left"/>
        <w:outlineLvl w:val="9"/>
        <w:rPr>
          <w:rFonts w:hint="eastAsia"/>
          <w:lang w:val="en-US" w:eastAsia="zh-CN"/>
        </w:rPr>
      </w:pPr>
      <w:r>
        <w:rPr>
          <w:rFonts w:hint="eastAsia" w:ascii="仿宋_GB2312" w:hAnsi="仿宋_GB2312" w:eastAsia="仿宋_GB2312" w:cs="仿宋_GB2312"/>
        </w:rPr>
        <w:t>乙方如需改变上述账户，应提前10日以书面通知甲方。</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五、服务要求</w:t>
      </w:r>
    </w:p>
    <w:p>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eastAsia="zh-CN"/>
        </w:rPr>
        <w:t>、</w:t>
      </w:r>
      <w:r>
        <w:rPr>
          <w:rFonts w:hint="eastAsia" w:ascii="仿宋_GB2312" w:hAnsi="仿宋_GB2312" w:eastAsia="仿宋_GB2312" w:cs="仿宋_GB2312"/>
        </w:rPr>
        <w:t>乙方向甲方提供的</w:t>
      </w:r>
      <w:r>
        <w:rPr>
          <w:rFonts w:hint="eastAsia" w:ascii="仿宋_GB2312" w:hAnsi="仿宋_GB2312" w:eastAsia="仿宋_GB2312" w:cs="仿宋_GB2312"/>
          <w:lang w:eastAsia="zh-CN"/>
        </w:rPr>
        <w:t>宣传</w:t>
      </w:r>
      <w:r>
        <w:rPr>
          <w:rFonts w:hint="eastAsia" w:ascii="仿宋_GB2312" w:hAnsi="仿宋_GB2312" w:eastAsia="仿宋_GB2312" w:cs="仿宋_GB2312"/>
        </w:rPr>
        <w:t>内容</w:t>
      </w:r>
    </w:p>
    <w:p>
      <w:pPr>
        <w:widowControl/>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本项目</w:t>
      </w:r>
      <w:r>
        <w:rPr>
          <w:rFonts w:hint="eastAsia" w:ascii="仿宋_GB2312" w:hAnsi="仿宋_GB2312" w:eastAsia="仿宋_GB2312" w:cs="仿宋_GB2312"/>
          <w:lang w:val="en-US" w:eastAsia="zh-CN"/>
        </w:rPr>
        <w:t>拟采购一家</w:t>
      </w:r>
      <w:r>
        <w:rPr>
          <w:rFonts w:hint="eastAsia" w:ascii="仿宋_GB2312" w:hAnsi="仿宋_GB2312" w:eastAsia="仿宋_GB2312" w:cs="仿宋_GB2312"/>
        </w:rPr>
        <w:t>具有良好商业信誉和专业技术能力的供应商</w:t>
      </w:r>
      <w:r>
        <w:rPr>
          <w:rFonts w:hint="eastAsia" w:ascii="仿宋_GB2312" w:hAnsi="仿宋_GB2312" w:eastAsia="仿宋_GB2312" w:cs="仿宋_GB2312"/>
          <w:lang w:eastAsia="zh-CN"/>
        </w:rPr>
        <w:t>提供</w:t>
      </w:r>
      <w:r>
        <w:rPr>
          <w:rFonts w:hint="eastAsia" w:ascii="仿宋_GB2312" w:hAnsi="仿宋_GB2312" w:eastAsia="仿宋_GB2312" w:cs="仿宋_GB2312"/>
          <w:lang w:val="en-US" w:eastAsia="zh-CN"/>
        </w:rPr>
        <w:t>雁江支公司城乡墙面宣传服务</w:t>
      </w:r>
      <w:r>
        <w:rPr>
          <w:rFonts w:hint="eastAsia" w:ascii="仿宋_GB2312" w:hAnsi="仿宋_GB2312" w:eastAsia="仿宋_GB2312" w:cs="仿宋_GB2312"/>
        </w:rPr>
        <w:t>。具体服务要求如下：</w:t>
      </w:r>
    </w:p>
    <w:p>
      <w:pPr>
        <w:widowControl/>
        <w:numPr>
          <w:ilvl w:val="0"/>
          <w:numId w:val="5"/>
        </w:numPr>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rPr>
        <w:t>服务期限：    年     月     日至     年    月     日。</w:t>
      </w:r>
    </w:p>
    <w:p>
      <w:pPr>
        <w:widowControl/>
        <w:numPr>
          <w:ilvl w:val="0"/>
          <w:numId w:val="5"/>
        </w:numPr>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本项目服务期限</w:t>
      </w:r>
      <w:r>
        <w:rPr>
          <w:rFonts w:hint="eastAsia" w:ascii="仿宋_GB2312" w:hAnsi="仿宋_GB2312" w:eastAsia="仿宋_GB2312" w:cs="仿宋_GB2312"/>
          <w:lang w:val="en-US" w:eastAsia="zh-CN"/>
        </w:rPr>
        <w:t>6个月</w:t>
      </w:r>
    </w:p>
    <w:p>
      <w:pPr>
        <w:widowControl/>
        <w:numPr>
          <w:ilvl w:val="0"/>
          <w:numId w:val="0"/>
        </w:numPr>
        <w:spacing w:line="600" w:lineRule="exact"/>
        <w:ind w:firstLine="720"/>
        <w:jc w:val="left"/>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服务标准</w:t>
      </w:r>
    </w:p>
    <w:p>
      <w:pPr>
        <w:keepNext w:val="0"/>
        <w:keepLines w:val="0"/>
        <w:pageBreakBefore w:val="0"/>
        <w:widowControl/>
        <w:bidi w:val="0"/>
        <w:spacing w:line="600" w:lineRule="exact"/>
        <w:ind w:firstLine="960"/>
        <w:rPr>
          <w:rFonts w:hint="eastAsia" w:ascii="仿宋_GB2312" w:hAnsi="仿宋_GB2312" w:eastAsia="仿宋_GB2312" w:cs="仿宋_GB2312"/>
        </w:rPr>
      </w:pPr>
      <w:r>
        <w:rPr>
          <w:rFonts w:hint="eastAsia" w:ascii="仿宋_GB2312" w:hAnsi="仿宋_GB2312" w:eastAsia="仿宋_GB2312" w:cs="仿宋_GB2312"/>
        </w:rPr>
        <w:t>宣传服务受众面广，并符合国家相关法规。</w:t>
      </w:r>
    </w:p>
    <w:p>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告知</w:t>
      </w:r>
    </w:p>
    <w:p>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rPr>
        <w:t>甲乙双方同意涉及本合同的一切事宜均以书面形式提交，双方应及时响应。</w:t>
      </w:r>
    </w:p>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3"/>
        <w:spacing w:before="0" w:after="0"/>
        <w:jc w:val="left"/>
        <w:rPr>
          <w:rFonts w:ascii="仿宋" w:hAnsi="仿宋" w:eastAsia="仿宋" w:cs="仿宋"/>
          <w:b/>
          <w:color w:val="000000"/>
        </w:rPr>
      </w:pPr>
      <w:r>
        <w:rPr>
          <w:rFonts w:hint="eastAsia" w:ascii="仿宋" w:hAnsi="仿宋" w:eastAsia="仿宋" w:cs="仿宋"/>
          <w:sz w:val="28"/>
          <w:szCs w:val="28"/>
        </w:rPr>
        <w:t>第六章 响应文件格式</w:t>
      </w:r>
    </w:p>
    <w:tbl>
      <w:tblPr>
        <w:tblStyle w:val="34"/>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97"/>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197"/>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197"/>
              <w:ind w:right="-284" w:firstLine="2240"/>
              <w:rPr>
                <w:rFonts w:ascii="仿宋" w:hAnsi="仿宋" w:eastAsia="仿宋" w:cs="仿宋"/>
                <w:color w:val="000000"/>
                <w:sz w:val="28"/>
                <w:u w:val="single"/>
              </w:rPr>
            </w:pPr>
          </w:p>
          <w:p>
            <w:pPr>
              <w:pStyle w:val="197"/>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比价响应文件</w:t>
            </w:r>
          </w:p>
          <w:p>
            <w:pPr>
              <w:pStyle w:val="197"/>
              <w:spacing w:before="624" w:after="156" w:line="160" w:lineRule="atLeast"/>
              <w:ind w:right="-284"/>
              <w:jc w:val="center"/>
              <w:rPr>
                <w:rFonts w:ascii="仿宋" w:hAnsi="仿宋" w:eastAsia="仿宋" w:cs="仿宋"/>
                <w:color w:val="000000"/>
                <w:sz w:val="52"/>
              </w:rPr>
            </w:pPr>
          </w:p>
          <w:p>
            <w:pPr>
              <w:pStyle w:val="197"/>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197"/>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197"/>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197"/>
              <w:spacing w:after="624"/>
              <w:ind w:right="-284"/>
              <w:jc w:val="center"/>
              <w:rPr>
                <w:rFonts w:ascii="仿宋" w:hAnsi="仿宋" w:eastAsia="仿宋" w:cs="仿宋"/>
                <w:color w:val="000000"/>
                <w:sz w:val="24"/>
              </w:rPr>
            </w:pPr>
          </w:p>
          <w:p>
            <w:pPr>
              <w:pStyle w:val="197"/>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4"/>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97"/>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r>
        <w:rPr>
          <w:rFonts w:ascii="仿宋" w:hAnsi="仿宋" w:eastAsia="仿宋" w:cs="仿宋"/>
          <w:color w:val="000000"/>
          <w:sz w:val="24"/>
          <w:szCs w:val="24"/>
        </w:rPr>
        <w:br w:type="page" w:clear="all"/>
      </w:r>
      <w:r>
        <w:rPr>
          <w:rFonts w:hint="eastAsia" w:ascii="仿宋" w:hAnsi="仿宋" w:eastAsia="仿宋" w:cs="仿宋"/>
          <w:color w:val="000000"/>
          <w:sz w:val="24"/>
          <w:szCs w:val="24"/>
        </w:rPr>
        <w:t>一、商务文件</w:t>
      </w:r>
    </w:p>
    <w:p>
      <w:pPr>
        <w:jc w:val="left"/>
      </w:pPr>
      <w:r>
        <w:rPr>
          <w:rFonts w:hint="eastAsia" w:ascii="仿宋" w:hAnsi="仿宋" w:eastAsia="仿宋" w:cs="仿宋"/>
          <w:b/>
          <w:bCs/>
        </w:rPr>
        <w:t>初步评审索引表</w:t>
      </w:r>
    </w:p>
    <w:tbl>
      <w:tblPr>
        <w:tblStyle w:val="34"/>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noWrap w:val="0"/>
            <w:vAlign w:val="top"/>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0" w:type="dxa"/>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7"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7" w:type="dxa"/>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7" w:type="dxa"/>
            <w:noWrap w:val="0"/>
            <w:vAlign w:val="center"/>
          </w:tcPr>
          <w:p>
            <w:pPr>
              <w:pStyle w:val="201"/>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7" w:type="dxa"/>
            <w:noWrap w:val="0"/>
            <w:vAlign w:val="center"/>
          </w:tcPr>
          <w:p>
            <w:pPr>
              <w:pStyle w:val="201"/>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7" w:type="dxa"/>
            <w:noWrap w:val="0"/>
            <w:vAlign w:val="center"/>
          </w:tcPr>
          <w:p>
            <w:pPr>
              <w:pStyle w:val="197"/>
              <w:spacing w:before="48" w:after="48"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top"/>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lang w:eastAsia="zh-CN"/>
              </w:rPr>
              <w:t>提供</w:t>
            </w:r>
            <w:r>
              <w:rPr>
                <w:rFonts w:hint="eastAsia" w:ascii="仿宋" w:hAnsi="仿宋" w:eastAsia="仿宋" w:cs="Cambria Math"/>
                <w:color w:val="000000"/>
                <w:sz w:val="22"/>
                <w:szCs w:val="21"/>
              </w:rPr>
              <w:t>依法缴纳税收和社会保障资金的良好记录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宋体"/>
                <w:color w:val="000000"/>
                <w:szCs w:val="21"/>
              </w:rPr>
              <w:t>供应商行为准则承诺书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Cambria Math"/>
                <w:color w:val="FF0000"/>
                <w:szCs w:val="21"/>
              </w:rPr>
              <w:t>供应商偏离应答</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仿宋"/>
                <w:color w:val="000000"/>
                <w:szCs w:val="21"/>
              </w:rPr>
            </w:pPr>
          </w:p>
        </w:tc>
        <w:tc>
          <w:tcPr>
            <w:tcW w:w="4217" w:type="dxa"/>
            <w:noWrap w:val="0"/>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headerReference r:id="rId13" w:type="default"/>
          <w:footerReference r:id="rId14" w:type="default"/>
          <w:pgSz w:w="11906" w:h="16838"/>
          <w:pgMar w:top="1417" w:right="1134" w:bottom="1134" w:left="1134" w:header="964" w:footer="964" w:gutter="0"/>
          <w:cols w:space="720" w:num="1"/>
        </w:sectPr>
      </w:pPr>
    </w:p>
    <w:p>
      <w:pPr>
        <w:pStyle w:val="5"/>
        <w:spacing w:before="0" w:line="440" w:lineRule="exact"/>
        <w:rPr>
          <w:rFonts w:ascii="仿宋" w:hAnsi="仿宋" w:eastAsia="仿宋" w:cs="仿宋"/>
          <w:color w:val="000000"/>
          <w:sz w:val="24"/>
          <w:szCs w:val="24"/>
        </w:rPr>
      </w:pPr>
      <w:r>
        <w:rPr>
          <w:rFonts w:hint="eastAsia" w:ascii="仿宋" w:hAnsi="仿宋" w:eastAsia="仿宋" w:cs="仿宋"/>
          <w:color w:val="000000"/>
          <w:sz w:val="24"/>
          <w:szCs w:val="24"/>
        </w:rPr>
        <w:t>（一）响应函</w:t>
      </w:r>
    </w:p>
    <w:p>
      <w:pPr>
        <w:pStyle w:val="197"/>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致：中国人民财产保险股份有限公司资阳市分公司</w:t>
      </w:r>
      <w:r>
        <w:rPr>
          <w:rFonts w:hint="eastAsia" w:ascii="仿宋" w:hAnsi="仿宋" w:eastAsia="仿宋" w:cs="Cambria Math"/>
          <w:color w:val="000000"/>
          <w:sz w:val="24"/>
          <w:szCs w:val="24"/>
          <w:u w:val="single"/>
          <w:lang w:val="en-US" w:eastAsia="zh-CN"/>
        </w:rPr>
        <w:t xml:space="preserve"> </w:t>
      </w:r>
      <w:r>
        <w:rPr>
          <w:rFonts w:hint="eastAsia" w:ascii="仿宋" w:hAnsi="仿宋" w:eastAsia="仿宋" w:cs="Cambria Math"/>
          <w:color w:val="000000"/>
          <w:sz w:val="24"/>
          <w:szCs w:val="24"/>
          <w:u w:val="single"/>
        </w:rPr>
        <w:t xml:space="preserve">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人保财险四川省资阳市</w:t>
      </w:r>
      <w:r>
        <w:rPr>
          <w:rFonts w:hint="eastAsia" w:ascii="仿宋" w:hAnsi="仿宋" w:eastAsia="仿宋" w:cs="Cambria Math"/>
          <w:color w:val="000000"/>
          <w:u w:val="single"/>
          <w:lang w:val="en-US" w:eastAsia="zh-CN"/>
        </w:rPr>
        <w:t>雁江支公司城乡墙面</w:t>
      </w:r>
      <w:r>
        <w:rPr>
          <w:rFonts w:hint="eastAsia" w:ascii="仿宋" w:hAnsi="仿宋" w:eastAsia="仿宋" w:cs="Cambria Math"/>
          <w:color w:val="000000"/>
          <w:u w:val="single"/>
          <w:lang w:eastAsia="zh-CN"/>
        </w:rPr>
        <w:t xml:space="preserve">宣传采购项目 </w:t>
      </w:r>
      <w:r>
        <w:rPr>
          <w:rFonts w:hint="eastAsia" w:ascii="仿宋" w:hAnsi="仿宋" w:eastAsia="仿宋" w:cs="Cambria Math"/>
          <w:color w:val="000000"/>
          <w:u w:val="single"/>
        </w:rPr>
        <w:t xml:space="preserve">  </w:t>
      </w:r>
      <w:r>
        <w:rPr>
          <w:rFonts w:hint="eastAsia" w:ascii="仿宋" w:hAnsi="仿宋" w:eastAsia="仿宋" w:cs="Cambria Math"/>
          <w:color w:val="000000"/>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本响应函及比价响应文件自比价响应文件提交截止日起有效期为</w:t>
      </w:r>
      <w:r>
        <w:rPr>
          <w:rFonts w:hint="eastAsia" w:ascii="仿宋" w:hAnsi="仿宋" w:eastAsia="仿宋" w:cs="Cambria Math"/>
          <w:color w:val="auto"/>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，我方承诺在响应有效期内不修改、撤销比价响应文件。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（2）我方承诺按照比价文件规定递交履约保证金。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（3）我方承诺按照比价文件的规定及合同约定履行相关责任和义务。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r>
        <w:rPr>
          <w:rFonts w:hint="eastAsia" w:ascii="仿宋" w:hAnsi="仿宋" w:eastAsia="仿宋" w:cs="仿宋"/>
          <w:color w:val="000000"/>
          <w:sz w:val="24"/>
          <w:szCs w:val="24"/>
        </w:rPr>
        <w:t>（二）法定代表人（负责人）身份证明书</w:t>
      </w:r>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spacing w:line="360" w:lineRule="auto"/>
        <w:rPr>
          <w:rFonts w:ascii="仿宋" w:hAnsi="仿宋" w:eastAsia="仿宋" w:cs="仿宋"/>
          <w:color w:val="000000"/>
        </w:rPr>
      </w:pPr>
      <w:r>
        <w:rPr>
          <w:rFonts w:hint="eastAsia" w:ascii="仿宋" w:hAnsi="仿宋" w:eastAsia="仿宋" w:cs="仿宋"/>
          <w:color w:val="000000"/>
        </w:rPr>
        <w:t>特此证明。</w:t>
      </w:r>
    </w:p>
    <w:p>
      <w:pPr>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4" name="矩形 5"/>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rot="0">
                        <a:noAutofit/>
                      </wps:bodyPr>
                    </wps:wsp>
                  </a:graphicData>
                </a:graphic>
              </wp:anchor>
            </w:drawing>
          </mc:Choice>
          <mc:Fallback>
            <w:pict>
              <v:rect id="矩形 5"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ARmxAIeAgAAUgQAAA4AAABkcnMvZTJvRG9jLnhtbK1U&#10;S27bMBDdF+gdCO5ryXadOILloLWTbvoJkPYAY5KyCPAHkrbs0xTorofocYpeo0NKcZO0Cy+6EWbI&#10;x8d5b4ZaXB+0Invhg7SmpuNRSYkwzHJptjX98vn21ZySEMFwUNaImh5FoNfLly8WnavExLZWceEJ&#10;kphQda6mbYyuKorAWqEhjKwTBjcb6zVETP224B46ZNeqmJTlRdFZz523TISAq+t+kw6M/hxC2zSS&#10;ibVlOy1M7Fm9UBBRUmilC3SZq20aweKnpgkiElVTVBrzFy/BeJO+xXIB1daDayUbSoBzSnimSYM0&#10;eOmJag0RyM7Lv6i0ZN4G28QRs7rohWRHUMW4fObNfQtOZC1odXAn08P/o2Uf93eeSF7T15QY0Njw&#10;X1+///zxjcySN50LFULu3Z0fsoAh2XQfLEco7KLNsg+N10k+CiKH7O7x5K44RMJwcTIvJ/MrNJ7h&#10;3mQ8nV6U2f8Cqofjzof4TlhNUlBTj+3L9LB/HyIWgNAHSLotWCX5rVQqJ367WSlP9oCtXs1uyrfT&#10;pACPPIEpQzoc+9n8coaVAA5wg4ODoXZoQjDbfOGTI+Ex8+X0arX6J3OqbA2h7SvIDP14aRlFsg+q&#10;VgC/MZzEo0P3DL4vmqrRglOiBD7HFGVkBKnOQaI8ZRK1yMM+2JTalhrVN3Bj+RGb5m2e/gQ29g12&#10;rpHZ0wTuIehWSnDUsm/Ds0iz/DjPqD+/gu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LzCffdkA&#10;AAAJAQAADwAAAAAAAAABACAAAAAiAAAAZHJzL2Rvd25yZXYueG1sUEsBAhQAFAAAAAgAh07iQARm&#10;xAIeAgAAUgQAAA4AAAAAAAAAAQAgAAAAKAEAAGRycy9lMm9Eb2MueG1sUEsFBgAAAAAGAAYAWQEA&#10;ALg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5" name="矩形 6"/>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rot="0">
                        <a:noAutofit/>
                      </wps:bodyPr>
                    </wps:wsp>
                  </a:graphicData>
                </a:graphic>
              </wp:anchor>
            </w:drawing>
          </mc:Choice>
          <mc:Fallback>
            <w:pict>
              <v:rect id="矩形 6"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HjfW7IdAgAAUgQAAA4AAABkcnMvZTJvRG9jLnhtbK1U&#10;S27bMBDdF+gdCO5ryTbsOILloLWTbvoJkOYAY5KyCPAHkrbs0xTorofocYpco0PKcfPpwotuhBny&#10;8XHem6HmV3utyE74IK2p6XBQUiIMs1yaTU3vv928m1ESIhgOyhpR04MI9Grx9s28c5UY2dYqLjxB&#10;EhOqztW0jdFVRRFYKzSEgXXC4GZjvYaIqd8U3EOH7FoVo7KcFp313HnLRAi4uuo36ZHRn0Nom0Yy&#10;sbJsq4WJPasXCiJKCq10gS5ytU0jWPzaNEFEomqKSmP+4iUYr9O3WMyh2nhwrWTHEuCcEl5o0iAN&#10;XnqiWkEEsvXyFZWWzNtgmzhgVhe9kOwIqhiWL7y5a8GJrAWtDu5kevh/tOzL7tYTyWs6ocSAxoY/&#10;fP/5+9cPMk3edC5UCLlzt/6YBQzJuvtsOUJhG22WvW+8TvJRENlndw8nd8U+EoaLo1k5ml2i8Qz3&#10;RsPxeFpm/wuoHo87H+JHYTVJQU09ti/Tw+5TiFgAQh8h6bZgleQ3Uqmc+M16qTzZAbZ6ObkuP4yT&#10;AjzyDKYM6XDsJ7MLFMwAB7jBwcFQOzQhmE2+8NmR8JT5Yny5XP6TOVW2gtD2FWSGfry0jCLZB1Ur&#10;gF8bTuLBoXsG3xdN1WjBKVECn2OKMjKCVOcgUZ4yiVrkYT/alNqWGtU3cG35AZvmbZ7+BDb2PXau&#10;kdnTBO4h6FZKcNSyb8dnkWb5aZ5Rf38F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8QtSW2QAA&#10;AAoBAAAPAAAAAAAAAAEAIAAAACIAAABkcnMvZG93bnJldi54bWxQSwECFAAUAAAACACHTuJAeN9b&#10;sh0CAABSBAAADgAAAAAAAAABACAAAAAoAQAAZHJzL2Uyb0RvYy54bWxQSwUGAAAAAAYABgBZAQAA&#10;twUAAAAA&#10;">
                <v:fill on="t" focussize="0,0"/>
                <v:stroke weight="1.25pt" color="#739CC3" joinstyle="miter"/>
                <v:imagedata o:title=""/>
                <o:lock v:ext="edit" aspectratio="f"/>
              </v:rect>
            </w:pict>
          </mc:Fallback>
        </mc:AlternateContent>
      </w:r>
    </w:p>
    <w:p>
      <w:pPr>
        <w:pStyle w:val="197"/>
        <w:spacing w:line="440" w:lineRule="atLeast"/>
        <w:ind w:firstLine="480"/>
        <w:jc w:val="left"/>
        <w:rPr>
          <w:rFonts w:ascii="仿宋" w:hAnsi="仿宋" w:eastAsia="仿宋" w:cs="仿宋"/>
          <w:color w:val="000000"/>
        </w:rPr>
      </w:pPr>
    </w:p>
    <w:p>
      <w:pPr>
        <w:pStyle w:val="197"/>
        <w:spacing w:line="440" w:lineRule="atLeast"/>
        <w:ind w:firstLine="480"/>
        <w:jc w:val="left"/>
        <w:rPr>
          <w:rFonts w:ascii="仿宋" w:hAnsi="仿宋" w:eastAsia="仿宋" w:cs="仿宋"/>
          <w:color w:val="000000"/>
        </w:rPr>
      </w:pPr>
    </w:p>
    <w:p>
      <w:pPr>
        <w:pStyle w:val="197"/>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r>
        <w:rPr>
          <w:rFonts w:hint="eastAsia" w:ascii="仿宋" w:hAnsi="仿宋" w:eastAsia="仿宋" w:cs="仿宋"/>
          <w:color w:val="000000"/>
          <w:sz w:val="24"/>
          <w:szCs w:val="24"/>
        </w:rPr>
        <w:t>（三）法定代表人（负责人）授权委托书</w:t>
      </w:r>
    </w:p>
    <w:p>
      <w:pPr>
        <w:pStyle w:val="197"/>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197"/>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比价响应文件、签订合同和处理有关事宜，其法律后果由我方承担。</w:t>
      </w:r>
    </w:p>
    <w:p>
      <w:pPr>
        <w:spacing w:line="360" w:lineRule="auto"/>
        <w:ind w:firstLine="48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之日起至比价响应有效期到期之日为止 </w:t>
      </w:r>
      <w:r>
        <w:rPr>
          <w:rFonts w:hint="eastAsia" w:ascii="仿宋" w:hAnsi="仿宋" w:eastAsia="仿宋" w:cs="Cambria Math"/>
          <w:color w:val="000000"/>
        </w:rPr>
        <w:t>。</w:t>
      </w:r>
    </w:p>
    <w:p>
      <w:pPr>
        <w:pStyle w:val="197"/>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197"/>
        <w:spacing w:line="360" w:lineRule="auto"/>
        <w:ind w:firstLine="482"/>
        <w:rPr>
          <w:rFonts w:ascii="仿宋" w:hAnsi="仿宋" w:eastAsia="仿宋" w:cs="Cambria Math"/>
          <w:b/>
          <w:bCs/>
          <w:color w:val="000000"/>
          <w:sz w:val="24"/>
          <w:szCs w:val="24"/>
        </w:rPr>
      </w:pPr>
    </w:p>
    <w:p>
      <w:pPr>
        <w:pStyle w:val="197"/>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197"/>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6" name="矩形 7"/>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a:effectLst/>
                      </wps:spPr>
                      <wps:bodyPr rot="0">
                        <a:noAutofit/>
                      </wps:bodyPr>
                    </wps:wsp>
                  </a:graphicData>
                </a:graphic>
              </wp:anchor>
            </w:drawing>
          </mc:Choice>
          <mc:Fallback>
            <w:pict>
              <v:rect id="矩形 7"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b6vqUx0CAABSBAAADgAAAGRycy9lMm9Eb2MueG1srVRL&#10;btswEN0X6B0I7mvJdpzYguWgtZNu+gmQ9gBjkrII8AeStuzTFOiuh+hxgl6jQ8pxk7QLL7oRZsSn&#10;NzPvDTW/3mtFdsIHaU1Nh4OSEmGY5dJsavr1y+2bKSUhguGgrBE1PYhArxevX807V4mRba3iwhMk&#10;MaHqXE3bGF1VFIG1QkMYWCcMHjbWa4iY+k3BPXTIrlUxKsvLorOeO2+ZCAHfrvpDemT05xDappFM&#10;rCzbamFiz+qFgogjhVa6QBe526YRLH5umiAiUTXFSWN+YhGM1+lZLOZQbTy4VrJjC3BOCy9m0iAN&#10;Fj1RrSAC2Xr5F5WWzNtgmzhgVhf9IFkRnGJYvtDmvgUn8iwodXAn0cP/o2WfdneeSF7TS0oMaDT8&#10;17cfDz+/k6ukTedChZB7d+ePWcCQrLuPliMUttHmsfeN12l8HIjss7qHk7piHwnDl6NpOZrOUHiG&#10;Z8PZ+GJ6MUk1CqgeP3c+xPfCapKCmnq0L9PD7kOIPfQRkqoFqyS/lUrlxG/WS+XJDtDq5eSmfDc+&#10;sj+DKUM6LD+ZXk2wE8AFbnBxMNQORQhmkws++yQ8Zb4az5bLfzKnzlYQ2r6DzJAagErLKJJ8ULUC&#10;+I3hJB4cqmfwftHUjRacEiXwOqYoIyNIdQ4SxVMmUYu87EeZkm3JqN7AteUHNM3bvP0JbOxbdK6R&#10;WdME7iHoRUpw1bIrx2uRdvlpnlF/fgWL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iCzsvYAAAA&#10;CAEAAA8AAAAAAAAAAQAgAAAAIgAAAGRycy9kb3ducmV2LnhtbFBLAQIUABQAAAAIAIdO4kBvq+pT&#10;HQIAAFIEAAAOAAAAAAAAAAEAIAAAACcBAABkcnMvZTJvRG9jLnhtbFBLBQYAAAAABgAGAFkBAAC2&#10;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7" name="矩形 8"/>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a:effectLst/>
                      </wps:spPr>
                      <wps:bodyPr rot="0">
                        <a:noAutofit/>
                      </wps:bodyPr>
                    </wps:wsp>
                  </a:graphicData>
                </a:graphic>
              </wp:anchor>
            </w:drawing>
          </mc:Choice>
          <mc:Fallback>
            <w:pict>
              <v:rect id="矩形 8"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k7Ksh0CAABSBAAADgAAAGRycy9lMm9Eb2MueG1srVRL&#10;btswEN0X6B0I7mvJdlzLguWgtZNu+gmQ9gBjirII8AeStuzTFOiuh+hxil6jQ0pxk7QLL7oRZsSn&#10;NzPvDbW8PipJDtx5YXRFx6OcEq6ZqYXeVfTL59tXBSU+gK5BGs0reuKeXq9evlh2tuQT0xpZc0eQ&#10;RPuysxVtQ7BllnnWcgV+ZCzXeNgYpyBg6nZZ7aBDdiWzSZ6/zjrjausM497j201/SAdGdwmhaRrB&#10;+MawveI69KyOSwg4km+F9XSVum0azsKnpvE8EFlRnDSkJxbBeBuf2WoJ5c6BbQUbWoBLWng2kwKh&#10;seiZagMByN6Jv6iUYM5404QRMyrrB0mK4BTj/Jk29y1YnmZBqb09i+7/Hy37eLhzRNQVnVOiQaHh&#10;v75+//njGymiNp31JULu7Z0bMo8h2XYfTI1Q2AeTxj42TsXxcSByTOqezuryYyAMX06KfFIsUHiG&#10;Z+PF9Kq4msUaGZQPn1vnwztuFIlBRR3al+jh8N6HHvoAidW8kaK+FVKmxO22a+nIAdDq9ewmfzsd&#10;2J/ApCYdlp8V8xl2ArjADS4OhsqiCF7vUsEnn/jHzPPpYr3+J3PsbAO+7TtIDLEBKJUIPMoHZcuh&#10;vtE1CSeL6mm8XzR2o3hNieR4HWOUkAGEvASJ4kkdqXla9kGmaFs0qjdwa+oTmuZM2v4I1uYNOteI&#10;pGkE9xD0Iia4asmV4VrEXX6cJ9SfX8Hq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wtMczYAAAA&#10;CQEAAA8AAAAAAAAAAQAgAAAAIgAAAGRycy9kb3ducmV2LnhtbFBLAQIUABQAAAAIAIdO4kD6Tsqy&#10;HQIAAFIEAAAOAAAAAAAAAAEAIAAAACcBAABkcnMvZTJvRG9jLnhtbFBLBQYAAAAABgAGAFkBAAC2&#10;BQAAAAA=&#10;">
                <v:fill on="t" focussize="0,0"/>
                <v:stroke weight="1.25pt" color="#739CC3" joinstyle="miter"/>
                <v:imagedata o:title=""/>
                <o:lock v:ext="edit" aspectratio="f"/>
              </v:rect>
            </w:pict>
          </mc:Fallback>
        </mc:AlternateContent>
      </w:r>
    </w:p>
    <w:p>
      <w:pPr>
        <w:pStyle w:val="197"/>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15"/>
        <w:rPr>
          <w:rFonts w:ascii="宋体" w:hAnsi="宋体"/>
          <w:szCs w:val="21"/>
        </w:rPr>
      </w:pPr>
    </w:p>
    <w:p>
      <w:pPr>
        <w:pStyle w:val="15"/>
        <w:rPr>
          <w:rFonts w:ascii="宋体" w:hAnsi="宋体"/>
          <w:szCs w:val="21"/>
        </w:rPr>
      </w:pPr>
    </w:p>
    <w:p>
      <w:pPr>
        <w:pStyle w:val="15"/>
        <w:rPr>
          <w:rFonts w:ascii="宋体" w:hAnsi="宋体"/>
          <w:szCs w:val="21"/>
        </w:rPr>
      </w:pPr>
    </w:p>
    <w:p>
      <w:pPr>
        <w:spacing w:line="360" w:lineRule="auto"/>
        <w:ind w:right="420" w:firstLine="4200"/>
        <w:rPr>
          <w:rFonts w:hint="eastAsia" w:ascii="仿宋" w:hAnsi="仿宋" w:eastAsia="仿宋" w:cs="Cambria Math"/>
          <w:color w:val="000000"/>
        </w:rPr>
      </w:pPr>
    </w:p>
    <w:p>
      <w:pPr>
        <w:spacing w:line="360" w:lineRule="auto"/>
        <w:ind w:right="420" w:firstLine="4200"/>
        <w:rPr>
          <w:rFonts w:hint="eastAsia" w:ascii="仿宋" w:hAnsi="仿宋" w:eastAsia="仿宋" w:cs="Cambria Math"/>
          <w:color w:val="000000"/>
        </w:rPr>
      </w:pPr>
    </w:p>
    <w:p>
      <w:pPr>
        <w:spacing w:line="360" w:lineRule="auto"/>
        <w:ind w:right="420" w:firstLine="420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197"/>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spacing w:line="360" w:lineRule="auto"/>
        <w:ind w:firstLine="420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sect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（四）资格证明文件</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197"/>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pPr>
              <w:pStyle w:val="197"/>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pPr>
              <w:pStyle w:val="197"/>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7"/>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pPr>
              <w:pStyle w:val="197"/>
              <w:jc w:val="center"/>
              <w:rPr>
                <w:rFonts w:ascii="仿宋" w:hAnsi="仿宋" w:eastAsia="仿宋" w:cs="仿宋"/>
                <w:color w:val="000000"/>
              </w:rPr>
            </w:pPr>
          </w:p>
        </w:tc>
      </w:tr>
    </w:tbl>
    <w:p>
      <w:pPr>
        <w:pStyle w:val="197"/>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197"/>
        <w:jc w:val="left"/>
        <w:rPr>
          <w:rFonts w:ascii="仿宋" w:hAnsi="仿宋" w:eastAsia="仿宋" w:cs="仿宋"/>
          <w:b/>
          <w:color w:val="000000"/>
        </w:rPr>
      </w:pPr>
    </w:p>
    <w:p>
      <w:pPr>
        <w:pStyle w:val="197"/>
        <w:jc w:val="left"/>
        <w:rPr>
          <w:rFonts w:ascii="仿宋" w:hAnsi="仿宋" w:eastAsia="仿宋" w:cs="仿宋"/>
          <w:b/>
          <w:color w:val="000000"/>
        </w:rPr>
      </w:pPr>
    </w:p>
    <w:p>
      <w:pPr>
        <w:pStyle w:val="197"/>
        <w:jc w:val="left"/>
        <w:rPr>
          <w:rFonts w:ascii="仿宋" w:hAnsi="仿宋" w:eastAsia="仿宋" w:cs="仿宋"/>
          <w:b/>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2、财务</w:t>
      </w:r>
      <w:r>
        <w:rPr>
          <w:rFonts w:hint="eastAsia" w:ascii="仿宋" w:hAnsi="仿宋" w:eastAsia="仿宋" w:cs="仿宋"/>
          <w:color w:val="000000"/>
          <w:sz w:val="24"/>
          <w:szCs w:val="24"/>
          <w:lang w:eastAsia="zh-CN"/>
        </w:rPr>
        <w:t>报表</w:t>
      </w:r>
      <w:r>
        <w:rPr>
          <w:rFonts w:hint="eastAsia" w:ascii="仿宋" w:hAnsi="仿宋" w:eastAsia="仿宋" w:cs="仿宋"/>
          <w:color w:val="000000"/>
          <w:sz w:val="24"/>
          <w:szCs w:val="24"/>
        </w:rPr>
        <w:t>或银行资信证明</w:t>
      </w:r>
    </w:p>
    <w:p>
      <w:pPr>
        <w:spacing w:line="360" w:lineRule="auto"/>
        <w:ind w:firstLine="480"/>
        <w:rPr>
          <w:rFonts w:ascii="仿宋" w:hAnsi="仿宋" w:eastAsia="仿宋" w:cs="仿宋"/>
          <w:color w:val="000000"/>
        </w:rPr>
      </w:pPr>
      <w:r>
        <w:rPr>
          <w:rFonts w:hint="eastAsia" w:ascii="仿宋" w:hAnsi="仿宋" w:eastAsia="仿宋" w:cs="仿宋"/>
          <w:color w:val="000000"/>
        </w:rPr>
        <w:t>提供</w:t>
      </w:r>
      <w:r>
        <w:rPr>
          <w:rFonts w:hint="eastAsia" w:ascii="仿宋" w:hAnsi="仿宋" w:eastAsia="仿宋" w:cs="仿宋"/>
          <w:color w:val="auto"/>
          <w:lang w:val="en-US" w:eastAsia="zh-CN"/>
        </w:rPr>
        <w:t>2025</w:t>
      </w:r>
      <w:r>
        <w:rPr>
          <w:rFonts w:hint="eastAsia" w:ascii="仿宋" w:hAnsi="仿宋" w:eastAsia="仿宋" w:cs="仿宋"/>
          <w:color w:val="auto"/>
        </w:rPr>
        <w:t>年度</w:t>
      </w:r>
      <w:r>
        <w:rPr>
          <w:rFonts w:hint="eastAsia" w:ascii="仿宋" w:hAnsi="仿宋" w:eastAsia="仿宋" w:cs="仿宋"/>
          <w:color w:val="000000"/>
        </w:rPr>
        <w:t>财务报表（至少包含资产负债表、现金流量表、损益表/利润表）或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15"/>
      </w:pPr>
    </w:p>
    <w:p>
      <w:pPr>
        <w:spacing w:line="360" w:lineRule="auto"/>
        <w:ind w:firstLine="480"/>
        <w:rPr>
          <w:rFonts w:ascii="仿宋" w:hAnsi="仿宋" w:eastAsia="仿宋" w:cs="仿宋"/>
          <w:color w:val="000000"/>
        </w:rPr>
      </w:pPr>
      <w:r>
        <w:rPr>
          <w:rFonts w:ascii="仿宋" w:hAnsi="仿宋" w:eastAsia="仿宋" w:cs="仿宋"/>
          <w:color w:val="000000"/>
        </w:rPr>
        <w:br w:type="page" w:clear="all"/>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noWrap w:val="0"/>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noWrap w:val="0"/>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noWrap w:val="0"/>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noWrap w:val="0"/>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noWrap w:val="0"/>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noWrap w:val="0"/>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noWrap w:val="0"/>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rPr>
          <w:rFonts w:ascii="仿宋" w:hAnsi="仿宋" w:eastAsia="仿宋"/>
          <w:b/>
          <w:color w:val="000000"/>
        </w:rPr>
      </w:pPr>
      <w:r>
        <w:rPr>
          <w:rFonts w:hint="eastAsia" w:ascii="仿宋" w:hAnsi="仿宋" w:eastAsia="仿宋"/>
          <w:b/>
          <w:color w:val="000000"/>
        </w:rPr>
        <w:t>2）按照比价公告的资格要求提供有效的实施经验证明材料，作为资格后审的评审依据。</w:t>
      </w:r>
    </w:p>
    <w:p>
      <w:pPr>
        <w:spacing w:line="360" w:lineRule="auto"/>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rPr>
          <w:rFonts w:ascii="仿宋" w:hAnsi="仿宋" w:eastAsia="仿宋" w:cs="仿宋"/>
          <w:bCs/>
          <w:color w:val="000000"/>
        </w:rPr>
      </w:pPr>
    </w:p>
    <w:p>
      <w:pPr>
        <w:pStyle w:val="204"/>
        <w:spacing w:line="360" w:lineRule="auto"/>
        <w:ind w:left="1575" w:firstLine="0"/>
        <w:rPr>
          <w:rFonts w:ascii="仿宋" w:hAnsi="仿宋" w:eastAsia="仿宋" w:cs="仿宋"/>
          <w:bCs/>
          <w:color w:val="000000"/>
        </w:rPr>
      </w:pPr>
    </w:p>
    <w:p>
      <w:pPr>
        <w:pStyle w:val="204"/>
        <w:spacing w:line="360" w:lineRule="auto"/>
        <w:ind w:left="1575" w:firstLine="0"/>
        <w:rPr>
          <w:rFonts w:ascii="仿宋" w:hAnsi="仿宋" w:eastAsia="仿宋" w:cs="仿宋"/>
          <w:bCs/>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br w:type="page" w:clear="all"/>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rPr>
          <w:rFonts w:ascii="仿宋" w:hAnsi="仿宋" w:eastAsia="仿宋" w:cs="仿宋"/>
          <w:color w:val="000000"/>
        </w:rPr>
      </w:pPr>
      <w:r>
        <w:rPr>
          <w:rFonts w:hint="eastAsia" w:ascii="仿宋" w:hAnsi="仿宋" w:eastAsia="仿宋" w:cs="仿宋"/>
          <w:color w:val="000000"/>
        </w:rPr>
        <w:br w:type="page" w:clear="all"/>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ind w:firstLine="480"/>
        <w:rPr>
          <w:rFonts w:ascii="仿宋" w:hAnsi="仿宋" w:eastAsia="仿宋" w:cs="仿宋"/>
        </w:rPr>
      </w:pPr>
      <w:r>
        <w:rPr>
          <w:rFonts w:hint="eastAsia" w:ascii="仿宋" w:hAnsi="仿宋" w:eastAsia="仿宋" w:cs="仿宋"/>
        </w:rPr>
        <w:t>信用中国查询网址：https://www.creditchina.gov.cn/xinxigongshi/</w:t>
      </w:r>
    </w:p>
    <w:p>
      <w:pPr>
        <w:ind w:firstLine="480"/>
        <w:rPr>
          <w:rFonts w:ascii="仿宋" w:hAnsi="仿宋" w:eastAsia="仿宋" w:cs="仿宋"/>
        </w:rPr>
      </w:pPr>
      <w:r>
        <w:rPr>
          <w:rFonts w:hint="eastAsia" w:ascii="仿宋" w:hAnsi="仿宋" w:eastAsia="仿宋" w:cs="仿宋"/>
        </w:rPr>
        <w:t>政府采购严重违法失信行为记录名单查询网址：</w:t>
      </w:r>
    </w:p>
    <w:p>
      <w:pPr>
        <w:ind w:firstLine="480"/>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rPr>
          <w:color w:val="333333"/>
        </w:rPr>
      </w:pPr>
      <w:r>
        <w:rPr>
          <w:rFonts w:hint="eastAsia" w:ascii="仿宋" w:hAnsi="仿宋" w:eastAsia="仿宋" w:cs="Cambria Math"/>
        </w:rPr>
        <w:t>（1）失信被执行人查询截图范例：</w:t>
      </w:r>
    </w:p>
    <w:p>
      <w:pPr>
        <w:ind w:firstLine="240"/>
      </w:pPr>
      <w:r>
        <w:rPr>
          <w:rFonts w:hint="eastAsia" w:eastAsia="宋体"/>
        </w:rPr>
        <w:drawing>
          <wp:inline distT="0" distB="0" distL="0" distR="0">
            <wp:extent cx="6117590" cy="3164840"/>
            <wp:effectExtent l="0" t="0" r="16510" b="16510"/>
            <wp:docPr id="8" name="图片 1"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失信被执行人查询"/>
                    <pic:cNvPicPr>
                      <a:picLocks noChangeAspect="1"/>
                    </pic:cNvPicPr>
                  </pic:nvPicPr>
                  <pic:blipFill>
                    <a:blip r:embed="rId18"/>
                    <a:stretch>
                      <a:fillRect/>
                    </a:stretch>
                  </pic:blipFill>
                  <pic:spPr>
                    <a:xfrm>
                      <a:off x="0" y="0"/>
                      <a:ext cx="6117590" cy="3164840"/>
                    </a:xfrm>
                    <a:prstGeom prst="rect">
                      <a:avLst/>
                    </a:prstGeom>
                    <a:noFill/>
                    <a:ln>
                      <a:noFill/>
                    </a:ln>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0" distR="0">
            <wp:extent cx="6117590" cy="3177540"/>
            <wp:effectExtent l="0" t="0" r="16510" b="3810"/>
            <wp:docPr id="9" name="图片 2"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重大税收违法失信主体"/>
                    <pic:cNvPicPr>
                      <a:picLocks noChangeAspect="1"/>
                    </pic:cNvPicPr>
                  </pic:nvPicPr>
                  <pic:blipFill>
                    <a:blip r:embed="rId19"/>
                    <a:stretch>
                      <a:fillRect/>
                    </a:stretch>
                  </pic:blipFill>
                  <pic:spPr>
                    <a:xfrm>
                      <a:off x="0" y="0"/>
                      <a:ext cx="6117590" cy="3177540"/>
                    </a:xfrm>
                    <a:prstGeom prst="rect">
                      <a:avLst/>
                    </a:prstGeom>
                    <a:noFill/>
                    <a:ln>
                      <a:noFill/>
                    </a:ln>
                  </pic:spPr>
                </pic:pic>
              </a:graphicData>
            </a:graphic>
          </wp:inline>
        </w:drawing>
      </w:r>
    </w:p>
    <w:p>
      <w:pPr>
        <w:ind w:firstLine="24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rPr>
          <w:rFonts w:ascii="仿宋" w:hAnsi="仿宋" w:eastAsia="仿宋" w:cs="仿宋"/>
          <w:color w:val="000000"/>
        </w:rPr>
      </w:pPr>
      <w:r>
        <w:rPr>
          <w:rFonts w:hint="eastAsia" w:eastAsia="宋体"/>
        </w:rPr>
        <w:drawing>
          <wp:inline distT="0" distB="0" distL="0" distR="0">
            <wp:extent cx="6117590" cy="3169285"/>
            <wp:effectExtent l="0" t="0" r="16510" b="12065"/>
            <wp:docPr id="10" name="图片 3"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政府采购严重违法失信行为记录名单"/>
                    <pic:cNvPicPr>
                      <a:picLocks noChangeAspect="1"/>
                    </pic:cNvPicPr>
                  </pic:nvPicPr>
                  <pic:blipFill>
                    <a:blip r:embed="rId20"/>
                    <a:stretch>
                      <a:fillRect/>
                    </a:stretch>
                  </pic:blipFill>
                  <pic:spPr>
                    <a:xfrm>
                      <a:off x="0" y="0"/>
                      <a:ext cx="6117590" cy="3169285"/>
                    </a:xfrm>
                    <a:prstGeom prst="rect">
                      <a:avLst/>
                    </a:prstGeom>
                    <a:noFill/>
                    <a:ln>
                      <a:noFill/>
                    </a:ln>
                  </pic:spPr>
                </pic:pic>
              </a:graphicData>
            </a:graphic>
          </wp:inline>
        </w:drawing>
      </w:r>
      <w:r>
        <w:rPr>
          <w:rFonts w:ascii="仿宋" w:hAnsi="仿宋" w:eastAsia="仿宋" w:cs="仿宋"/>
          <w:color w:val="000000"/>
        </w:rPr>
        <w:br w:type="page" w:clear="all"/>
      </w: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15"/>
        <w:spacing w:before="240"/>
        <w:jc w:val="both"/>
        <w:rPr>
          <w:rFonts w:ascii="仿宋" w:hAnsi="仿宋" w:eastAsia="仿宋" w:cs="Cambria Math"/>
          <w:color w:val="000000"/>
        </w:rPr>
      </w:pPr>
      <w:r>
        <w:rPr>
          <w:rFonts w:hint="eastAsia" w:ascii="仿宋" w:hAnsi="仿宋" w:eastAsia="仿宋" w:cs="Cambria Math"/>
          <w:color w:val="000000"/>
        </w:rPr>
        <w:t>致：中国人民财产保险股份有限公司资阳市分公司：</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15"/>
        <w:ind w:firstLine="480"/>
        <w:jc w:val="both"/>
        <w:rPr>
          <w:rFonts w:ascii="仿宋" w:hAnsi="仿宋" w:eastAsia="仿宋" w:cs="Cambria Math"/>
          <w:color w:val="000000"/>
        </w:rPr>
      </w:pPr>
    </w:p>
    <w:p>
      <w:pPr>
        <w:pStyle w:val="15"/>
        <w:ind w:firstLine="480"/>
        <w:jc w:val="both"/>
        <w:rPr>
          <w:rFonts w:ascii="仿宋" w:hAnsi="仿宋" w:eastAsia="仿宋" w:cs="Cambria Math"/>
          <w:color w:val="000000"/>
        </w:rPr>
      </w:pPr>
      <w:r>
        <w:rPr>
          <w:rFonts w:hint="eastAsia" w:ascii="仿宋" w:hAnsi="仿宋" w:eastAsia="仿宋" w:cs="Cambria Math"/>
          <w:color w:val="000000"/>
        </w:rPr>
        <w:t>特此承诺。</w:t>
      </w:r>
    </w:p>
    <w:p>
      <w:pPr>
        <w:pStyle w:val="205"/>
        <w:ind w:firstLine="640"/>
        <w:rPr>
          <w:rFonts w:ascii="仿宋" w:hAnsi="仿宋" w:eastAsia="仿宋"/>
        </w:rPr>
      </w:pPr>
    </w:p>
    <w:p>
      <w:pPr>
        <w:pStyle w:val="205"/>
        <w:ind w:firstLine="640"/>
        <w:rPr>
          <w:rFonts w:ascii="仿宋" w:hAnsi="仿宋" w:eastAsia="仿宋"/>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196"/>
        <w:spacing w:line="360" w:lineRule="auto"/>
        <w:rPr>
          <w:rFonts w:ascii="仿宋" w:hAnsi="仿宋" w:eastAsia="仿宋" w:cs="仿宋"/>
          <w:color w:val="000000"/>
        </w:rPr>
      </w:pPr>
      <w:r>
        <w:rPr>
          <w:rFonts w:hint="eastAsia" w:ascii="仿宋" w:hAnsi="仿宋" w:eastAsia="仿宋" w:cs="仿宋"/>
          <w:color w:val="000000"/>
          <w:szCs w:val="24"/>
        </w:rPr>
        <w:br w:type="page" w:clear="all"/>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204"/>
        <w:spacing w:before="240" w:after="240" w:line="360" w:lineRule="auto"/>
        <w:ind w:firstLine="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pStyle w:val="15"/>
        <w:spacing w:before="240"/>
        <w:jc w:val="both"/>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Cambria Math"/>
          <w:color w:val="000000"/>
        </w:rPr>
        <w:t>中国人民财产保险股份有限公司资阳市分公司</w:t>
      </w:r>
      <w:r>
        <w:rPr>
          <w:rFonts w:hint="eastAsia" w:ascii="仿宋" w:hAnsi="仿宋" w:eastAsia="仿宋" w:cs="宋体"/>
          <w:color w:val="000000"/>
        </w:rPr>
        <w:t>：</w:t>
      </w:r>
    </w:p>
    <w:p>
      <w:pPr>
        <w:spacing w:line="360" w:lineRule="auto"/>
        <w:ind w:left="-706" w:right="-586" w:firstLine="616"/>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Cambria Math"/>
          <w:color w:val="000000"/>
          <w:u w:val="single"/>
        </w:rPr>
        <w:t>人保财险四川省资阳市</w:t>
      </w:r>
      <w:r>
        <w:rPr>
          <w:rFonts w:hint="eastAsia" w:ascii="仿宋" w:hAnsi="仿宋" w:eastAsia="仿宋" w:cs="Cambria Math"/>
          <w:color w:val="000000"/>
          <w:u w:val="single"/>
          <w:lang w:val="en-US" w:eastAsia="zh-CN"/>
        </w:rPr>
        <w:t>雁江支公司城乡墙面</w:t>
      </w:r>
      <w:r>
        <w:rPr>
          <w:rFonts w:hint="eastAsia" w:ascii="仿宋" w:hAnsi="仿宋" w:eastAsia="仿宋" w:cs="Cambria Math"/>
          <w:color w:val="000000"/>
          <w:u w:val="single"/>
          <w:lang w:eastAsia="zh-CN"/>
        </w:rPr>
        <w:t>宣传采购项目</w:t>
      </w:r>
      <w:r>
        <w:rPr>
          <w:rFonts w:hint="eastAsia" w:ascii="仿宋" w:hAnsi="仿宋" w:eastAsia="仿宋" w:cs="宋体"/>
          <w:color w:val="000000"/>
          <w:u w:val="single"/>
        </w:rPr>
        <w:t xml:space="preserve">   </w:t>
      </w:r>
      <w:r>
        <w:rPr>
          <w:rFonts w:hint="eastAsia" w:ascii="仿宋" w:hAnsi="仿宋" w:eastAsia="仿宋" w:cs="宋体"/>
          <w:color w:val="000000"/>
        </w:rPr>
        <w:t>（项目名称）的比价，根据法律法规维护投标公正性的相关规定，我方与采购人之间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4"/>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57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姓    名</w:t>
            </w:r>
          </w:p>
        </w:tc>
        <w:tc>
          <w:tcPr>
            <w:tcW w:w="535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57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身份证号</w:t>
            </w:r>
          </w:p>
        </w:tc>
        <w:tc>
          <w:tcPr>
            <w:tcW w:w="535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控股关系</w:t>
            </w:r>
          </w:p>
        </w:tc>
        <w:tc>
          <w:tcPr>
            <w:tcW w:w="257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35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57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35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w:t>
            </w:r>
          </w:p>
        </w:tc>
        <w:tc>
          <w:tcPr>
            <w:tcW w:w="257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35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57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350"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备注：</w:t>
            </w:r>
          </w:p>
        </w:tc>
      </w:tr>
    </w:tbl>
    <w:p>
      <w:pPr>
        <w:spacing w:line="360" w:lineRule="auto"/>
        <w:rPr>
          <w:rFonts w:ascii="仿宋" w:hAnsi="仿宋" w:eastAsia="仿宋" w:cs="宋体"/>
          <w:color w:val="000000"/>
        </w:rPr>
      </w:pPr>
      <w:r>
        <w:rPr>
          <w:rFonts w:hint="eastAsia" w:ascii="仿宋" w:hAnsi="仿宋" w:eastAsia="仿宋" w:cs="宋体"/>
          <w:color w:val="000000"/>
        </w:rPr>
        <w:t>注：</w:t>
      </w:r>
    </w:p>
    <w:p>
      <w:pPr>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spacing w:line="360" w:lineRule="auto"/>
        <w:ind w:left="12"/>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206"/>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206"/>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rPr>
          <w:rFonts w:ascii="仿宋" w:hAnsi="仿宋" w:eastAsia="仿宋" w:cs="宋体"/>
          <w:color w:val="000000"/>
        </w:rPr>
      </w:pPr>
    </w:p>
    <w:p>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8、非联合体比价响应声明</w:t>
      </w:r>
    </w:p>
    <w:p>
      <w:pPr>
        <w:pStyle w:val="15"/>
        <w:spacing w:before="240"/>
        <w:rPr>
          <w:rFonts w:ascii="仿宋" w:hAnsi="仿宋" w:eastAsia="仿宋" w:cs="Cambria Math"/>
          <w:b/>
          <w:bCs/>
          <w:color w:val="000000"/>
        </w:rPr>
      </w:pPr>
      <w:r>
        <w:rPr>
          <w:rFonts w:hint="eastAsia" w:ascii="仿宋" w:hAnsi="仿宋" w:eastAsia="仿宋" w:cs="Cambria Math"/>
          <w:b/>
          <w:bCs/>
          <w:color w:val="000000"/>
        </w:rPr>
        <w:t>非联合体比价响应声明</w:t>
      </w:r>
    </w:p>
    <w:p>
      <w:pPr>
        <w:spacing w:before="240" w:line="360" w:lineRule="auto"/>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lang w:eastAsia="zh-CN"/>
        </w:rPr>
        <w:t>：</w:t>
      </w:r>
      <w:r>
        <w:rPr>
          <w:rFonts w:hint="eastAsia" w:ascii="仿宋" w:hAnsi="仿宋" w:eastAsia="仿宋" w:cs="Cambria Math"/>
          <w:color w:val="000000"/>
        </w:rPr>
        <w:t>中国人民财产保险股份有限公司资阳市分公司：</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人保财险四川省资阳市</w:t>
      </w:r>
      <w:r>
        <w:rPr>
          <w:rFonts w:hint="eastAsia" w:ascii="仿宋" w:hAnsi="仿宋" w:eastAsia="仿宋" w:cs="Cambria Math"/>
          <w:color w:val="000000"/>
          <w:u w:val="single"/>
          <w:lang w:val="en-US" w:eastAsia="zh-CN"/>
        </w:rPr>
        <w:t>雁江支公司城乡墙面</w:t>
      </w:r>
      <w:r>
        <w:rPr>
          <w:rFonts w:hint="eastAsia" w:ascii="仿宋" w:hAnsi="仿宋" w:eastAsia="仿宋" w:cs="Cambria Math"/>
          <w:color w:val="000000"/>
          <w:u w:val="single"/>
          <w:lang w:eastAsia="zh-CN"/>
        </w:rPr>
        <w:t>宣传采购项目</w:t>
      </w:r>
      <w:r>
        <w:rPr>
          <w:rFonts w:ascii="仿宋" w:hAnsi="仿宋" w:eastAsia="仿宋" w:cs="Cambria Math"/>
          <w:color w:val="000000"/>
          <w:u w:val="single"/>
        </w:rPr>
        <w:t xml:space="preserve"> </w:t>
      </w:r>
      <w:r>
        <w:rPr>
          <w:rFonts w:hint="eastAsia" w:ascii="仿宋" w:hAnsi="仿宋" w:eastAsia="仿宋" w:cs="Cambria Math"/>
          <w:color w:val="000000"/>
        </w:rPr>
        <w:t>比价响应，非联合体参与比价响应。</w:t>
      </w:r>
      <w:r>
        <w:rPr>
          <w:rFonts w:ascii="仿宋" w:hAnsi="仿宋" w:eastAsia="仿宋" w:cs="Cambria Math"/>
          <w:color w:val="000000"/>
        </w:rPr>
        <w:t xml:space="preserve"> </w:t>
      </w:r>
    </w:p>
    <w:p>
      <w:pPr>
        <w:pStyle w:val="15"/>
        <w:ind w:firstLine="480"/>
        <w:jc w:val="both"/>
        <w:rPr>
          <w:rFonts w:ascii="仿宋" w:hAnsi="仿宋" w:eastAsia="仿宋" w:cs="Cambria Math"/>
          <w:color w:val="000000"/>
        </w:rPr>
      </w:pPr>
      <w:r>
        <w:rPr>
          <w:rFonts w:hint="eastAsia" w:ascii="仿宋" w:hAnsi="仿宋" w:eastAsia="仿宋" w:cs="Cambria Math"/>
          <w:color w:val="000000"/>
        </w:rPr>
        <w:t>特此声明。</w:t>
      </w:r>
    </w:p>
    <w:p>
      <w:pPr>
        <w:pStyle w:val="205"/>
        <w:ind w:firstLine="640"/>
        <w:rPr>
          <w:rFonts w:ascii="仿宋" w:hAnsi="仿宋" w:eastAsia="仿宋"/>
        </w:rPr>
      </w:pPr>
    </w:p>
    <w:p>
      <w:pPr>
        <w:pStyle w:val="205"/>
        <w:ind w:firstLine="640"/>
        <w:rPr>
          <w:rFonts w:ascii="仿宋" w:hAnsi="仿宋" w:eastAsia="仿宋"/>
        </w:rPr>
      </w:pPr>
    </w:p>
    <w:p>
      <w:pPr>
        <w:pStyle w:val="205"/>
        <w:ind w:firstLine="640"/>
        <w:rPr>
          <w:rFonts w:ascii="仿宋" w:hAnsi="仿宋" w:eastAsia="仿宋"/>
        </w:rPr>
      </w:pPr>
    </w:p>
    <w:p>
      <w:pPr>
        <w:pStyle w:val="205"/>
        <w:ind w:firstLine="640"/>
        <w:rPr>
          <w:rFonts w:ascii="仿宋" w:hAnsi="仿宋" w:eastAsia="仿宋"/>
        </w:rPr>
      </w:pPr>
    </w:p>
    <w:p>
      <w:pPr>
        <w:pStyle w:val="205"/>
        <w:ind w:firstLine="640"/>
        <w:rPr>
          <w:rFonts w:ascii="仿宋" w:hAnsi="仿宋" w:eastAsia="仿宋"/>
        </w:rPr>
      </w:pPr>
    </w:p>
    <w:p>
      <w:pPr>
        <w:pStyle w:val="205"/>
        <w:ind w:firstLine="640"/>
        <w:rPr>
          <w:rFonts w:ascii="仿宋" w:hAnsi="仿宋" w:eastAsia="仿宋"/>
        </w:rPr>
      </w:pPr>
    </w:p>
    <w:p>
      <w:pPr>
        <w:pStyle w:val="205"/>
        <w:ind w:firstLine="640"/>
        <w:rPr>
          <w:rFonts w:ascii="仿宋" w:hAnsi="仿宋" w:eastAsia="仿宋"/>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clear="all"/>
      </w:r>
    </w:p>
    <w:p>
      <w:pPr>
        <w:pStyle w:val="5"/>
        <w:spacing w:before="0" w:after="0" w:line="360" w:lineRule="auto"/>
        <w:rPr>
          <w:rFonts w:ascii="仿宋" w:hAnsi="仿宋" w:cs="宋体"/>
          <w:color w:val="000000"/>
          <w:szCs w:val="24"/>
        </w:rPr>
      </w:pPr>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p>
    <w:p>
      <w:pPr>
        <w:spacing w:line="360" w:lineRule="auto"/>
        <w:jc w:val="left"/>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Cambria Math"/>
          <w:color w:val="000000"/>
          <w:u w:val="single"/>
        </w:rPr>
        <w:t>人保财险四川省资阳市</w:t>
      </w:r>
      <w:r>
        <w:rPr>
          <w:rFonts w:hint="eastAsia" w:ascii="仿宋" w:hAnsi="仿宋" w:eastAsia="仿宋" w:cs="Cambria Math"/>
          <w:color w:val="000000"/>
          <w:u w:val="single"/>
          <w:lang w:val="en-US" w:eastAsia="zh-CN"/>
        </w:rPr>
        <w:t>雁江支公司城乡墙面</w:t>
      </w:r>
      <w:r>
        <w:rPr>
          <w:rFonts w:hint="eastAsia" w:ascii="仿宋" w:hAnsi="仿宋" w:eastAsia="仿宋" w:cs="Cambria Math"/>
          <w:color w:val="000000"/>
          <w:u w:val="single"/>
          <w:lang w:eastAsia="zh-CN"/>
        </w:rPr>
        <w:t>宣传采购项目</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宋体"/>
                <w:color w:val="000000"/>
                <w:szCs w:val="21"/>
              </w:rPr>
            </w:pPr>
          </w:p>
        </w:tc>
        <w:tc>
          <w:tcPr>
            <w:tcW w:w="2285" w:type="dxa"/>
            <w:noWrap w:val="0"/>
            <w:vAlign w:val="top"/>
          </w:tcPr>
          <w:p>
            <w:pPr>
              <w:spacing w:line="360" w:lineRule="auto"/>
              <w:rPr>
                <w:rFonts w:ascii="仿宋" w:hAnsi="仿宋" w:eastAsia="仿宋" w:cs="宋体"/>
                <w:color w:val="000000"/>
                <w:szCs w:val="21"/>
              </w:rPr>
            </w:pPr>
          </w:p>
        </w:tc>
        <w:tc>
          <w:tcPr>
            <w:tcW w:w="2495" w:type="dxa"/>
            <w:noWrap w:val="0"/>
            <w:vAlign w:val="top"/>
          </w:tcPr>
          <w:p>
            <w:pPr>
              <w:spacing w:line="360" w:lineRule="auto"/>
              <w:rPr>
                <w:rFonts w:ascii="仿宋" w:hAnsi="仿宋" w:eastAsia="仿宋" w:cs="宋体"/>
                <w:color w:val="000000"/>
                <w:szCs w:val="21"/>
              </w:rPr>
            </w:pPr>
          </w:p>
        </w:tc>
        <w:tc>
          <w:tcPr>
            <w:tcW w:w="2704" w:type="dxa"/>
            <w:noWrap w:val="0"/>
            <w:vAlign w:val="top"/>
          </w:tcPr>
          <w:p>
            <w:pPr>
              <w:spacing w:line="360" w:lineRule="auto"/>
              <w:rPr>
                <w:rFonts w:ascii="仿宋" w:hAnsi="仿宋" w:eastAsia="仿宋" w:cs="宋体"/>
                <w:color w:val="000000"/>
                <w:szCs w:val="21"/>
              </w:rPr>
            </w:pPr>
          </w:p>
        </w:tc>
        <w:tc>
          <w:tcPr>
            <w:tcW w:w="1408" w:type="dxa"/>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ascii="仿宋" w:hAnsi="仿宋" w:eastAsia="仿宋" w:cs="宋体"/>
                <w:color w:val="000000"/>
                <w:szCs w:val="21"/>
              </w:rPr>
            </w:pPr>
          </w:p>
        </w:tc>
        <w:tc>
          <w:tcPr>
            <w:tcW w:w="2285" w:type="dxa"/>
            <w:noWrap w:val="0"/>
            <w:vAlign w:val="top"/>
          </w:tcPr>
          <w:p>
            <w:pPr>
              <w:spacing w:line="360" w:lineRule="auto"/>
              <w:rPr>
                <w:rFonts w:ascii="仿宋" w:hAnsi="仿宋" w:eastAsia="仿宋" w:cs="宋体"/>
                <w:color w:val="000000"/>
                <w:szCs w:val="21"/>
              </w:rPr>
            </w:pPr>
          </w:p>
        </w:tc>
        <w:tc>
          <w:tcPr>
            <w:tcW w:w="2495" w:type="dxa"/>
            <w:noWrap w:val="0"/>
            <w:vAlign w:val="top"/>
          </w:tcPr>
          <w:p>
            <w:pPr>
              <w:spacing w:line="360" w:lineRule="auto"/>
              <w:rPr>
                <w:rFonts w:ascii="仿宋" w:hAnsi="仿宋" w:eastAsia="仿宋" w:cs="宋体"/>
                <w:color w:val="000000"/>
                <w:szCs w:val="21"/>
              </w:rPr>
            </w:pPr>
          </w:p>
        </w:tc>
        <w:tc>
          <w:tcPr>
            <w:tcW w:w="2704" w:type="dxa"/>
            <w:noWrap w:val="0"/>
            <w:vAlign w:val="top"/>
          </w:tcPr>
          <w:p>
            <w:pPr>
              <w:spacing w:line="360" w:lineRule="auto"/>
              <w:rPr>
                <w:rFonts w:ascii="仿宋" w:hAnsi="仿宋" w:eastAsia="仿宋" w:cs="宋体"/>
                <w:color w:val="000000"/>
                <w:szCs w:val="21"/>
              </w:rPr>
            </w:pPr>
          </w:p>
        </w:tc>
        <w:tc>
          <w:tcPr>
            <w:tcW w:w="1408" w:type="dxa"/>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宋体"/>
                <w:color w:val="000000"/>
                <w:szCs w:val="21"/>
              </w:rPr>
            </w:pPr>
          </w:p>
        </w:tc>
        <w:tc>
          <w:tcPr>
            <w:tcW w:w="2285" w:type="dxa"/>
            <w:noWrap w:val="0"/>
            <w:vAlign w:val="top"/>
          </w:tcPr>
          <w:p>
            <w:pPr>
              <w:spacing w:line="360" w:lineRule="auto"/>
              <w:rPr>
                <w:rFonts w:ascii="仿宋" w:hAnsi="仿宋" w:eastAsia="仿宋" w:cs="宋体"/>
                <w:color w:val="000000"/>
                <w:szCs w:val="21"/>
              </w:rPr>
            </w:pPr>
          </w:p>
        </w:tc>
        <w:tc>
          <w:tcPr>
            <w:tcW w:w="2495" w:type="dxa"/>
            <w:noWrap w:val="0"/>
            <w:vAlign w:val="top"/>
          </w:tcPr>
          <w:p>
            <w:pPr>
              <w:spacing w:line="360" w:lineRule="auto"/>
              <w:rPr>
                <w:rFonts w:ascii="仿宋" w:hAnsi="仿宋" w:eastAsia="仿宋" w:cs="宋体"/>
                <w:color w:val="000000"/>
                <w:szCs w:val="21"/>
              </w:rPr>
            </w:pPr>
          </w:p>
        </w:tc>
        <w:tc>
          <w:tcPr>
            <w:tcW w:w="2704" w:type="dxa"/>
            <w:noWrap w:val="0"/>
            <w:vAlign w:val="top"/>
          </w:tcPr>
          <w:p>
            <w:pPr>
              <w:spacing w:line="360" w:lineRule="auto"/>
              <w:rPr>
                <w:rFonts w:ascii="仿宋" w:hAnsi="仿宋" w:eastAsia="仿宋" w:cs="宋体"/>
                <w:color w:val="000000"/>
                <w:szCs w:val="21"/>
              </w:rPr>
            </w:pPr>
          </w:p>
        </w:tc>
        <w:tc>
          <w:tcPr>
            <w:tcW w:w="1408" w:type="dxa"/>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宋体"/>
                <w:color w:val="000000"/>
                <w:szCs w:val="21"/>
              </w:rPr>
            </w:pPr>
          </w:p>
        </w:tc>
        <w:tc>
          <w:tcPr>
            <w:tcW w:w="2285" w:type="dxa"/>
            <w:noWrap w:val="0"/>
            <w:vAlign w:val="top"/>
          </w:tcPr>
          <w:p>
            <w:pPr>
              <w:spacing w:line="360" w:lineRule="auto"/>
              <w:rPr>
                <w:rFonts w:ascii="仿宋" w:hAnsi="仿宋" w:eastAsia="仿宋" w:cs="宋体"/>
                <w:color w:val="000000"/>
                <w:szCs w:val="21"/>
              </w:rPr>
            </w:pPr>
          </w:p>
        </w:tc>
        <w:tc>
          <w:tcPr>
            <w:tcW w:w="2495" w:type="dxa"/>
            <w:noWrap w:val="0"/>
            <w:vAlign w:val="top"/>
          </w:tcPr>
          <w:p>
            <w:pPr>
              <w:spacing w:line="360" w:lineRule="auto"/>
              <w:rPr>
                <w:rFonts w:ascii="仿宋" w:hAnsi="仿宋" w:eastAsia="仿宋" w:cs="宋体"/>
                <w:color w:val="000000"/>
                <w:szCs w:val="21"/>
              </w:rPr>
            </w:pPr>
          </w:p>
        </w:tc>
        <w:tc>
          <w:tcPr>
            <w:tcW w:w="2704" w:type="dxa"/>
            <w:noWrap w:val="0"/>
            <w:vAlign w:val="top"/>
          </w:tcPr>
          <w:p>
            <w:pPr>
              <w:spacing w:line="360" w:lineRule="auto"/>
              <w:rPr>
                <w:rFonts w:ascii="仿宋" w:hAnsi="仿宋" w:eastAsia="仿宋" w:cs="宋体"/>
                <w:color w:val="000000"/>
                <w:szCs w:val="21"/>
              </w:rPr>
            </w:pPr>
          </w:p>
        </w:tc>
        <w:tc>
          <w:tcPr>
            <w:tcW w:w="1408" w:type="dxa"/>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ascii="仿宋" w:hAnsi="仿宋" w:eastAsia="仿宋" w:cs="宋体"/>
                <w:color w:val="000000"/>
                <w:szCs w:val="21"/>
              </w:rPr>
            </w:pPr>
          </w:p>
        </w:tc>
        <w:tc>
          <w:tcPr>
            <w:tcW w:w="2285" w:type="dxa"/>
            <w:noWrap w:val="0"/>
            <w:vAlign w:val="top"/>
          </w:tcPr>
          <w:p>
            <w:pPr>
              <w:spacing w:line="360" w:lineRule="auto"/>
              <w:rPr>
                <w:rFonts w:ascii="仿宋" w:hAnsi="仿宋" w:eastAsia="仿宋" w:cs="宋体"/>
                <w:color w:val="000000"/>
                <w:szCs w:val="21"/>
              </w:rPr>
            </w:pPr>
          </w:p>
        </w:tc>
        <w:tc>
          <w:tcPr>
            <w:tcW w:w="2495" w:type="dxa"/>
            <w:noWrap w:val="0"/>
            <w:vAlign w:val="top"/>
          </w:tcPr>
          <w:p>
            <w:pPr>
              <w:spacing w:line="360" w:lineRule="auto"/>
              <w:rPr>
                <w:rFonts w:ascii="仿宋" w:hAnsi="仿宋" w:eastAsia="仿宋" w:cs="宋体"/>
                <w:color w:val="000000"/>
                <w:szCs w:val="21"/>
              </w:rPr>
            </w:pPr>
          </w:p>
        </w:tc>
        <w:tc>
          <w:tcPr>
            <w:tcW w:w="2704" w:type="dxa"/>
            <w:noWrap w:val="0"/>
            <w:vAlign w:val="top"/>
          </w:tcPr>
          <w:p>
            <w:pPr>
              <w:spacing w:line="360" w:lineRule="auto"/>
              <w:rPr>
                <w:rFonts w:ascii="仿宋" w:hAnsi="仿宋" w:eastAsia="仿宋" w:cs="宋体"/>
                <w:color w:val="000000"/>
                <w:szCs w:val="21"/>
              </w:rPr>
            </w:pPr>
          </w:p>
        </w:tc>
        <w:tc>
          <w:tcPr>
            <w:tcW w:w="1408" w:type="dxa"/>
            <w:noWrap w:val="0"/>
            <w:vAlign w:val="top"/>
          </w:tcPr>
          <w:p>
            <w:pPr>
              <w:spacing w:line="360" w:lineRule="auto"/>
              <w:rPr>
                <w:rFonts w:ascii="仿宋" w:hAnsi="仿宋" w:eastAsia="仿宋" w:cs="宋体"/>
                <w:color w:val="000000"/>
                <w:szCs w:val="21"/>
              </w:rPr>
            </w:pPr>
          </w:p>
        </w:tc>
      </w:tr>
    </w:tbl>
    <w:p>
      <w:pPr>
        <w:spacing w:line="360" w:lineRule="auto"/>
        <w:ind w:left="480" w:hanging="48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注：所有偏离须在本表中列出，未在本偏离表中列出偏离，将视为供应商已完全接受比价文件要求</w:t>
      </w:r>
      <w:r>
        <w:rPr>
          <w:rFonts w:hint="eastAsia" w:ascii="仿宋" w:hAnsi="仿宋" w:eastAsia="仿宋" w:cs="宋体"/>
          <w:b/>
          <w:bCs/>
          <w:color w:val="000000"/>
        </w:rPr>
        <w:t>。如全部满足，在偏离表中应答“全部满足”即可。</w:t>
      </w: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left"/>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ascii="仿宋" w:hAnsi="仿宋" w:eastAsia="仿宋" w:cs="Cambria Math"/>
                <w:color w:val="000000"/>
                <w:szCs w:val="21"/>
              </w:rPr>
            </w:pPr>
          </w:p>
        </w:tc>
        <w:tc>
          <w:tcPr>
            <w:tcW w:w="2285" w:type="dxa"/>
            <w:noWrap w:val="0"/>
            <w:vAlign w:val="top"/>
          </w:tcPr>
          <w:p>
            <w:pPr>
              <w:spacing w:line="360" w:lineRule="auto"/>
              <w:rPr>
                <w:rFonts w:ascii="仿宋" w:hAnsi="仿宋" w:eastAsia="仿宋" w:cs="Cambria Math"/>
                <w:color w:val="000000"/>
                <w:szCs w:val="21"/>
              </w:rPr>
            </w:pPr>
          </w:p>
        </w:tc>
        <w:tc>
          <w:tcPr>
            <w:tcW w:w="2495" w:type="dxa"/>
            <w:noWrap w:val="0"/>
            <w:vAlign w:val="top"/>
          </w:tcPr>
          <w:p>
            <w:pPr>
              <w:spacing w:line="360" w:lineRule="auto"/>
              <w:rPr>
                <w:rFonts w:ascii="仿宋" w:hAnsi="仿宋" w:eastAsia="仿宋" w:cs="Cambria Math"/>
                <w:color w:val="000000"/>
                <w:szCs w:val="21"/>
              </w:rPr>
            </w:pPr>
          </w:p>
        </w:tc>
        <w:tc>
          <w:tcPr>
            <w:tcW w:w="2704" w:type="dxa"/>
            <w:noWrap w:val="0"/>
            <w:vAlign w:val="top"/>
          </w:tcPr>
          <w:p>
            <w:pPr>
              <w:spacing w:line="360" w:lineRule="auto"/>
              <w:rPr>
                <w:rFonts w:ascii="仿宋" w:hAnsi="仿宋" w:eastAsia="仿宋" w:cs="Cambria Math"/>
                <w:color w:val="000000"/>
                <w:szCs w:val="21"/>
              </w:rPr>
            </w:pPr>
          </w:p>
        </w:tc>
        <w:tc>
          <w:tcPr>
            <w:tcW w:w="1408" w:type="dxa"/>
            <w:noWrap w:val="0"/>
            <w:vAlign w:val="top"/>
          </w:tcPr>
          <w:p>
            <w:pPr>
              <w:spacing w:line="360" w:lineRule="auto"/>
              <w:rPr>
                <w:rFonts w:ascii="仿宋" w:hAnsi="仿宋" w:eastAsia="仿宋" w:cs="Cambria Math"/>
                <w:color w:val="000000"/>
                <w:szCs w:val="21"/>
              </w:rPr>
            </w:pPr>
          </w:p>
        </w:tc>
      </w:tr>
    </w:tbl>
    <w:p>
      <w:pPr>
        <w:spacing w:before="240" w:line="360" w:lineRule="auto"/>
        <w:ind w:left="480" w:hanging="48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注：所有偏离必须在本表中列出，未在本偏离表中列出偏离，将视为供应商已完全接受比价文件要求；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sectPr>
      </w:pPr>
      <w:r>
        <w:rPr>
          <w:rFonts w:ascii="仿宋" w:hAnsi="仿宋" w:eastAsia="仿宋" w:cs="仿宋"/>
          <w:color w:val="000000"/>
          <w:sz w:val="24"/>
          <w:szCs w:val="24"/>
        </w:rPr>
        <w:br w:type="page" w:clear="all"/>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（七）供应商行为准则承诺书</w:t>
      </w:r>
    </w:p>
    <w:p>
      <w:pPr>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供应商行为准则承诺书</w:t>
      </w:r>
    </w:p>
    <w:p>
      <w:pPr>
        <w:spacing w:line="360" w:lineRule="auto"/>
        <w:ind w:firstLine="480"/>
        <w:rPr>
          <w:rFonts w:ascii="仿宋" w:hAnsi="仿宋" w:eastAsia="仿宋" w:cs="仿宋"/>
          <w:color w:val="000000"/>
        </w:rPr>
      </w:pPr>
    </w:p>
    <w:p>
      <w:pPr>
        <w:spacing w:line="360" w:lineRule="auto"/>
        <w:ind w:firstLine="48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电话：__________传真：__________________</w:t>
      </w:r>
    </w:p>
    <w:p>
      <w:pPr>
        <w:pStyle w:val="20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clear="all"/>
      </w:r>
      <w:r>
        <w:rPr>
          <w:rFonts w:hint="eastAsia" w:ascii="仿宋" w:hAnsi="仿宋" w:eastAsia="仿宋" w:cs="宋体"/>
          <w:bCs w:val="0"/>
          <w:color w:val="000000"/>
          <w:sz w:val="24"/>
          <w:szCs w:val="24"/>
        </w:rPr>
        <w:t>（八）供应商廉洁诚信承诺书</w:t>
      </w:r>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rPr>
          <w:rFonts w:ascii="仿宋" w:hAnsi="仿宋" w:eastAsia="仿宋" w:cs="宋体"/>
          <w:color w:val="000000"/>
        </w:rPr>
      </w:pPr>
    </w:p>
    <w:p>
      <w:pPr>
        <w:tabs>
          <w:tab w:val="left" w:pos="458"/>
        </w:tabs>
        <w:spacing w:line="360" w:lineRule="auto"/>
        <w:ind w:firstLine="3578"/>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rPr>
          <w:rStyle w:val="208"/>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clear="all"/>
      </w:r>
    </w:p>
    <w:p>
      <w:pPr>
        <w:pStyle w:val="5"/>
        <w:spacing w:before="0" w:after="0" w:line="360" w:lineRule="auto"/>
        <w:rPr>
          <w:rFonts w:ascii="仿宋" w:hAnsi="仿宋" w:eastAsia="仿宋" w:cs="宋体"/>
          <w:bCs w:val="0"/>
          <w:color w:val="000000"/>
          <w:sz w:val="21"/>
          <w:szCs w:val="24"/>
        </w:rPr>
      </w:pPr>
      <w:r>
        <w:rPr>
          <w:rFonts w:hint="eastAsia" w:ascii="仿宋" w:hAnsi="仿宋" w:eastAsia="仿宋" w:cs="宋体"/>
          <w:color w:val="000000"/>
          <w:sz w:val="24"/>
        </w:rPr>
        <w:t>（</w:t>
      </w:r>
      <w:r>
        <w:rPr>
          <w:rFonts w:hint="eastAsia" w:ascii="仿宋" w:hAnsi="仿宋" w:eastAsia="仿宋" w:cs="宋体"/>
          <w:color w:val="000000"/>
          <w:sz w:val="24"/>
          <w:lang w:val="en-US" w:eastAsia="zh-CN"/>
        </w:rPr>
        <w:t>九</w:t>
      </w:r>
      <w:r>
        <w:rPr>
          <w:rFonts w:hint="eastAsia" w:ascii="仿宋" w:hAnsi="仿宋" w:eastAsia="仿宋" w:cs="宋体"/>
          <w:color w:val="000000"/>
          <w:sz w:val="24"/>
        </w:rPr>
        <w:t>）其他材料</w:t>
      </w:r>
    </w:p>
    <w:p>
      <w:pPr>
        <w:spacing w:line="360" w:lineRule="auto"/>
        <w:rPr>
          <w:rFonts w:ascii="宋体" w:hAnsi="宋体"/>
          <w:szCs w:val="21"/>
        </w:rPr>
        <w:sectPr>
          <w:pgSz w:w="11906" w:h="16838"/>
          <w:pgMar w:top="1417" w:right="1134" w:bottom="1134" w:left="1134" w:header="851" w:footer="992" w:gutter="0"/>
          <w:cols w:space="720" w:num="1"/>
          <w:titlePg/>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pStyle w:val="4"/>
        <w:jc w:val="both"/>
        <w:rPr>
          <w:rFonts w:ascii="仿宋" w:hAnsi="仿宋" w:eastAsia="仿宋" w:cs="仿宋"/>
          <w:color w:val="000000"/>
          <w:sz w:val="24"/>
          <w:szCs w:val="24"/>
        </w:rPr>
      </w:pPr>
      <w:r>
        <w:rPr>
          <w:rFonts w:hint="eastAsia" w:ascii="仿宋" w:hAnsi="仿宋" w:eastAsia="仿宋" w:cs="仿宋"/>
          <w:color w:val="000000"/>
          <w:sz w:val="24"/>
          <w:szCs w:val="24"/>
        </w:rPr>
        <w:t>二、技术文件</w:t>
      </w:r>
    </w:p>
    <w:p>
      <w:pPr>
        <w:jc w:val="left"/>
        <w:rPr>
          <w:rFonts w:ascii="仿宋" w:hAnsi="仿宋" w:eastAsia="仿宋" w:cs="仿宋"/>
          <w:b/>
          <w:bCs/>
        </w:rPr>
      </w:pPr>
      <w:r>
        <w:rPr>
          <w:rFonts w:hint="eastAsia" w:ascii="仿宋" w:hAnsi="仿宋" w:eastAsia="仿宋" w:cs="仿宋"/>
          <w:b/>
          <w:bCs/>
        </w:rPr>
        <w:t>详细评审索引表</w:t>
      </w:r>
    </w:p>
    <w:tbl>
      <w:tblPr>
        <w:tblStyle w:val="34"/>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vAlign w:val="top"/>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noWrap w:val="0"/>
            <w:tcMar>
              <w:top w:w="15" w:type="dxa"/>
              <w:left w:w="15" w:type="dxa"/>
              <w:right w:w="15" w:type="dxa"/>
            </w:tcMar>
            <w:vAlign w:val="center"/>
          </w:tcPr>
          <w:p>
            <w:pPr>
              <w:jc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rPr>
                <w:rFonts w:ascii="仿宋" w:hAnsi="仿宋" w:eastAsia="仿宋" w:cs="宋体"/>
                <w:color w:val="000000"/>
                <w:szCs w:val="21"/>
                <w:lang w:bidi="ar"/>
              </w:rPr>
            </w:pPr>
            <w:r>
              <w:rPr>
                <w:rFonts w:hint="eastAsia" w:ascii="仿宋" w:hAnsi="仿宋" w:eastAsia="仿宋" w:cs="宋体"/>
                <w:color w:val="000000"/>
                <w:szCs w:val="21"/>
              </w:rPr>
              <w:t>（XX分）</w:t>
            </w: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09"/>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09"/>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09"/>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09"/>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clear="all"/>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（一）采购需求应答偏离表</w:t>
      </w:r>
    </w:p>
    <w:p>
      <w:pPr>
        <w:spacing w:line="360" w:lineRule="auto"/>
        <w:jc w:val="left"/>
        <w:rPr>
          <w:rFonts w:ascii="仿宋" w:hAnsi="仿宋" w:eastAsia="仿宋" w:cs="仿宋"/>
          <w:b/>
          <w:bCs/>
          <w:color w:val="000000"/>
        </w:rPr>
      </w:pPr>
      <w:r>
        <w:rPr>
          <w:rFonts w:hint="eastAsia" w:ascii="仿宋" w:hAnsi="仿宋" w:eastAsia="仿宋" w:cs="仿宋"/>
          <w:b/>
          <w:bCs/>
          <w:color w:val="000000"/>
        </w:rPr>
        <w:t>采购需求应答偏离表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对于未列出的偏离内容视同供应商已完全接受比价文件的要求，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r>
        <w:rPr>
          <w:rFonts w:hint="eastAsia" w:ascii="仿宋" w:hAnsi="仿宋" w:eastAsia="仿宋" w:cs="仿宋"/>
          <w:color w:val="000000"/>
          <w:sz w:val="24"/>
          <w:szCs w:val="24"/>
        </w:rPr>
        <w:t>（二）技术方案</w:t>
      </w:r>
    </w:p>
    <w:p>
      <w:pPr>
        <w:spacing w:line="360" w:lineRule="auto"/>
        <w:ind w:firstLine="48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r>
        <w:rPr>
          <w:rFonts w:hint="eastAsia" w:ascii="仿宋" w:hAnsi="仿宋" w:eastAsia="仿宋" w:cs="仿宋"/>
          <w:color w:val="000000"/>
        </w:rPr>
        <w:br w:type="page" w:clear="all"/>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34"/>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vAlign w:val="top"/>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vAlign w:val="top"/>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vAlign w:val="top"/>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vAlign w:val="top"/>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vAlign w:val="top"/>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vAlign w:val="top"/>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bl>
    <w:p>
      <w:pP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clear="all"/>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noWrap w:val="0"/>
            <w:vAlign w:val="center"/>
          </w:tcPr>
          <w:p>
            <w:pPr>
              <w:jc w:val="center"/>
              <w:rPr>
                <w:rFonts w:ascii="仿宋" w:hAnsi="仿宋" w:eastAsia="仿宋" w:cs="仿宋"/>
                <w:color w:val="000000"/>
              </w:rPr>
            </w:pPr>
          </w:p>
        </w:tc>
        <w:tc>
          <w:tcPr>
            <w:tcW w:w="945" w:type="dxa"/>
            <w:gridSpan w:val="2"/>
            <w:noWrap w:val="0"/>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noWrap w:val="0"/>
            <w:vAlign w:val="center"/>
          </w:tcPr>
          <w:p>
            <w:pPr>
              <w:rPr>
                <w:rFonts w:ascii="仿宋" w:hAnsi="仿宋" w:eastAsia="仿宋" w:cs="仿宋"/>
                <w:color w:val="000000"/>
              </w:rPr>
            </w:pPr>
          </w:p>
        </w:tc>
        <w:tc>
          <w:tcPr>
            <w:tcW w:w="1854" w:type="dxa"/>
            <w:gridSpan w:val="2"/>
            <w:noWrap w:val="0"/>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noWrap w:val="0"/>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noWrap w:val="0"/>
            <w:vAlign w:val="center"/>
          </w:tcPr>
          <w:p>
            <w:pPr>
              <w:rPr>
                <w:rFonts w:ascii="仿宋" w:hAnsi="仿宋" w:eastAsia="仿宋" w:cs="仿宋"/>
                <w:color w:val="000000"/>
              </w:rPr>
            </w:pPr>
          </w:p>
        </w:tc>
        <w:tc>
          <w:tcPr>
            <w:tcW w:w="1854" w:type="dxa"/>
            <w:gridSpan w:val="2"/>
            <w:noWrap w:val="0"/>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noWrap w:val="0"/>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1995" w:type="dxa"/>
            <w:gridSpan w:val="3"/>
            <w:noWrap w:val="0"/>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noWrap w:val="0"/>
            <w:vAlign w:val="center"/>
          </w:tcPr>
          <w:p>
            <w:pPr>
              <w:rPr>
                <w:rFonts w:ascii="仿宋" w:hAnsi="仿宋" w:eastAsia="仿宋" w:cs="仿宋"/>
                <w:color w:val="000000"/>
              </w:rPr>
            </w:pPr>
          </w:p>
        </w:tc>
        <w:tc>
          <w:tcPr>
            <w:tcW w:w="2835" w:type="dxa"/>
            <w:gridSpan w:val="4"/>
            <w:noWrap w:val="0"/>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995" w:type="dxa"/>
            <w:gridSpan w:val="3"/>
            <w:noWrap w:val="0"/>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noWrap w:val="0"/>
            <w:vAlign w:val="center"/>
          </w:tcPr>
          <w:p>
            <w:pPr>
              <w:rPr>
                <w:rFonts w:ascii="仿宋" w:hAnsi="仿宋" w:eastAsia="仿宋" w:cs="仿宋"/>
                <w:color w:val="000000"/>
              </w:rPr>
            </w:pPr>
          </w:p>
        </w:tc>
        <w:tc>
          <w:tcPr>
            <w:tcW w:w="2835" w:type="dxa"/>
            <w:gridSpan w:val="4"/>
            <w:noWrap w:val="0"/>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6" w:hRule="atLeast"/>
        </w:trPr>
        <w:tc>
          <w:tcPr>
            <w:tcW w:w="9498" w:type="dxa"/>
            <w:gridSpan w:val="10"/>
            <w:noWrap w:val="0"/>
            <w:vAlign w:val="center"/>
          </w:tcPr>
          <w:p>
            <w:pPr>
              <w:ind w:firstLine="336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28" w:hRule="atLeast"/>
        </w:trPr>
        <w:tc>
          <w:tcPr>
            <w:tcW w:w="9498" w:type="dxa"/>
            <w:gridSpan w:val="10"/>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0" w:hRule="atLeast"/>
        </w:trPr>
        <w:tc>
          <w:tcPr>
            <w:tcW w:w="9498" w:type="dxa"/>
            <w:gridSpan w:val="10"/>
            <w:noWrap w:val="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trPr>
        <w:tc>
          <w:tcPr>
            <w:tcW w:w="1701" w:type="dxa"/>
            <w:gridSpan w:val="2"/>
            <w:noWrap w:val="0"/>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noWrap w:val="0"/>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noWrap w:val="0"/>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1" w:hRule="atLeast"/>
        </w:trPr>
        <w:tc>
          <w:tcPr>
            <w:tcW w:w="1701" w:type="dxa"/>
            <w:gridSpan w:val="2"/>
            <w:noWrap w:val="0"/>
            <w:vAlign w:val="top"/>
          </w:tcPr>
          <w:p>
            <w:pPr>
              <w:rPr>
                <w:rFonts w:ascii="仿宋" w:hAnsi="仿宋" w:eastAsia="仿宋" w:cs="仿宋"/>
                <w:color w:val="000000"/>
              </w:rPr>
            </w:pPr>
          </w:p>
        </w:tc>
        <w:tc>
          <w:tcPr>
            <w:tcW w:w="4536" w:type="dxa"/>
            <w:gridSpan w:val="6"/>
            <w:noWrap w:val="0"/>
            <w:vAlign w:val="top"/>
          </w:tcPr>
          <w:p>
            <w:pPr>
              <w:rPr>
                <w:rFonts w:ascii="仿宋" w:hAnsi="仿宋" w:eastAsia="仿宋" w:cs="仿宋"/>
                <w:color w:val="000000"/>
              </w:rPr>
            </w:pPr>
          </w:p>
        </w:tc>
        <w:tc>
          <w:tcPr>
            <w:tcW w:w="3261" w:type="dxa"/>
            <w:gridSpan w:val="2"/>
            <w:noWrap w:val="0"/>
            <w:vAlign w:val="top"/>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trPr>
        <w:tc>
          <w:tcPr>
            <w:tcW w:w="1701" w:type="dxa"/>
            <w:gridSpan w:val="2"/>
            <w:noWrap w:val="0"/>
            <w:vAlign w:val="top"/>
          </w:tcPr>
          <w:p>
            <w:pPr>
              <w:rPr>
                <w:rFonts w:ascii="仿宋" w:hAnsi="仿宋" w:eastAsia="仿宋" w:cs="仿宋"/>
                <w:color w:val="000000"/>
              </w:rPr>
            </w:pPr>
          </w:p>
        </w:tc>
        <w:tc>
          <w:tcPr>
            <w:tcW w:w="4536" w:type="dxa"/>
            <w:gridSpan w:val="6"/>
            <w:noWrap w:val="0"/>
            <w:vAlign w:val="top"/>
          </w:tcPr>
          <w:p>
            <w:pPr>
              <w:rPr>
                <w:rFonts w:ascii="仿宋" w:hAnsi="仿宋" w:eastAsia="仿宋" w:cs="仿宋"/>
                <w:color w:val="000000"/>
              </w:rPr>
            </w:pPr>
          </w:p>
        </w:tc>
        <w:tc>
          <w:tcPr>
            <w:tcW w:w="3261" w:type="dxa"/>
            <w:gridSpan w:val="2"/>
            <w:noWrap w:val="0"/>
            <w:vAlign w:val="top"/>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1701" w:type="dxa"/>
            <w:gridSpan w:val="2"/>
            <w:noWrap w:val="0"/>
            <w:vAlign w:val="top"/>
          </w:tcPr>
          <w:p>
            <w:pPr>
              <w:rPr>
                <w:rFonts w:ascii="仿宋" w:hAnsi="仿宋" w:eastAsia="仿宋" w:cs="仿宋"/>
                <w:color w:val="000000"/>
              </w:rPr>
            </w:pPr>
          </w:p>
        </w:tc>
        <w:tc>
          <w:tcPr>
            <w:tcW w:w="4536" w:type="dxa"/>
            <w:gridSpan w:val="6"/>
            <w:noWrap w:val="0"/>
            <w:vAlign w:val="top"/>
          </w:tcPr>
          <w:p>
            <w:pPr>
              <w:rPr>
                <w:rFonts w:ascii="仿宋" w:hAnsi="仿宋" w:eastAsia="仿宋" w:cs="仿宋"/>
                <w:color w:val="000000"/>
              </w:rPr>
            </w:pPr>
          </w:p>
        </w:tc>
        <w:tc>
          <w:tcPr>
            <w:tcW w:w="3261" w:type="dxa"/>
            <w:gridSpan w:val="2"/>
            <w:noWrap w:val="0"/>
            <w:vAlign w:val="top"/>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atLeast"/>
        </w:trPr>
        <w:tc>
          <w:tcPr>
            <w:tcW w:w="1701" w:type="dxa"/>
            <w:gridSpan w:val="2"/>
            <w:noWrap w:val="0"/>
            <w:vAlign w:val="top"/>
          </w:tcPr>
          <w:p>
            <w:pPr>
              <w:rPr>
                <w:rFonts w:ascii="仿宋" w:hAnsi="仿宋" w:eastAsia="仿宋" w:cs="仿宋"/>
                <w:color w:val="000000"/>
              </w:rPr>
            </w:pPr>
          </w:p>
        </w:tc>
        <w:tc>
          <w:tcPr>
            <w:tcW w:w="4536" w:type="dxa"/>
            <w:gridSpan w:val="6"/>
            <w:noWrap w:val="0"/>
            <w:vAlign w:val="top"/>
          </w:tcPr>
          <w:p>
            <w:pPr>
              <w:rPr>
                <w:rFonts w:ascii="仿宋" w:hAnsi="仿宋" w:eastAsia="仿宋" w:cs="仿宋"/>
                <w:color w:val="000000"/>
              </w:rPr>
            </w:pPr>
          </w:p>
        </w:tc>
        <w:tc>
          <w:tcPr>
            <w:tcW w:w="3261" w:type="dxa"/>
            <w:gridSpan w:val="2"/>
            <w:noWrap w:val="0"/>
            <w:vAlign w:val="top"/>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clear="all"/>
      </w: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（三）其他材料</w:t>
      </w:r>
    </w:p>
    <w:p>
      <w:pPr>
        <w:spacing w:line="360" w:lineRule="auto"/>
        <w:rPr>
          <w:rFonts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spacing w:line="360" w:lineRule="auto"/>
        <w:rPr>
          <w:rFonts w:ascii="仿宋" w:hAnsi="仿宋" w:eastAsia="仿宋" w:cs="仿宋"/>
          <w:color w:val="000000"/>
        </w:rPr>
        <w:sectPr>
          <w:pgSz w:w="11906" w:h="16838"/>
          <w:pgMar w:top="1417" w:right="1134" w:bottom="1134" w:left="1134" w:header="964" w:footer="964" w:gutter="0"/>
          <w:cols w:space="720" w:num="1"/>
        </w:sectPr>
      </w:pPr>
    </w:p>
    <w:p>
      <w:pPr>
        <w:pStyle w:val="4"/>
        <w:jc w:val="both"/>
        <w:rPr>
          <w:rFonts w:ascii="仿宋" w:hAnsi="仿宋" w:eastAsia="仿宋" w:cs="仿宋"/>
          <w:color w:val="000000"/>
          <w:sz w:val="24"/>
          <w:szCs w:val="24"/>
        </w:rPr>
      </w:pPr>
      <w:r>
        <w:rPr>
          <w:rFonts w:hint="eastAsia" w:ascii="仿宋" w:hAnsi="仿宋" w:eastAsia="仿宋" w:cs="仿宋"/>
          <w:color w:val="000000"/>
          <w:sz w:val="24"/>
          <w:szCs w:val="24"/>
        </w:rPr>
        <w:t>三、报价文件</w:t>
      </w:r>
    </w:p>
    <w:p>
      <w:pPr>
        <w:pStyle w:val="5"/>
        <w:spacing w:before="0"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报价一览表</w:t>
      </w:r>
    </w:p>
    <w:p>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人保财险四川省资阳市</w:t>
      </w:r>
      <w:r>
        <w:rPr>
          <w:rFonts w:hint="eastAsia" w:ascii="仿宋" w:hAnsi="仿宋" w:eastAsia="仿宋" w:cs="仿宋"/>
          <w:color w:val="000000"/>
          <w:sz w:val="24"/>
          <w:szCs w:val="24"/>
          <w:u w:val="single"/>
          <w:lang w:val="en-US" w:eastAsia="zh-CN"/>
        </w:rPr>
        <w:t>雁江支公司城乡墙面</w:t>
      </w:r>
      <w:r>
        <w:rPr>
          <w:rFonts w:hint="eastAsia" w:ascii="仿宋" w:hAnsi="仿宋" w:eastAsia="仿宋" w:cs="仿宋"/>
          <w:color w:val="000000"/>
          <w:sz w:val="24"/>
          <w:szCs w:val="24"/>
          <w:u w:val="single"/>
          <w:lang w:eastAsia="zh-CN"/>
        </w:rPr>
        <w:t>宣传采购项目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rPr>
          <w:rFonts w:ascii="仿宋" w:hAnsi="仿宋" w:eastAsia="仿宋" w:cs="仿宋"/>
          <w:color w:val="000000"/>
          <w:szCs w:val="21"/>
          <w:lang w:bidi="ar"/>
        </w:rPr>
      </w:pPr>
    </w:p>
    <w:tbl>
      <w:tblPr>
        <w:tblStyle w:val="34"/>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w:t>
            </w:r>
            <w:r>
              <w:rPr>
                <w:rFonts w:hint="eastAsia" w:ascii="仿宋" w:hAnsi="仿宋" w:eastAsia="仿宋" w:cs="宋体"/>
                <w:b/>
                <w:bCs/>
                <w:color w:val="000000"/>
                <w:szCs w:val="21"/>
                <w:lang w:eastAsia="zh-CN"/>
              </w:rPr>
              <w:t>单</w:t>
            </w:r>
            <w:r>
              <w:rPr>
                <w:rFonts w:hint="eastAsia" w:ascii="仿宋" w:hAnsi="仿宋" w:eastAsia="仿宋" w:cs="宋体"/>
                <w:b/>
                <w:bCs/>
                <w:color w:val="000000"/>
                <w:szCs w:val="21"/>
              </w:rPr>
              <w:t>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w:t>
            </w:r>
            <w:r>
              <w:rPr>
                <w:rFonts w:hint="eastAsia" w:ascii="仿宋" w:hAnsi="仿宋" w:eastAsia="仿宋" w:cs="宋体"/>
                <w:b/>
                <w:bCs/>
                <w:color w:val="000000"/>
                <w:szCs w:val="21"/>
                <w:lang w:eastAsia="zh-CN"/>
              </w:rPr>
              <w:t>单</w:t>
            </w:r>
            <w:r>
              <w:rPr>
                <w:rFonts w:hint="eastAsia" w:ascii="仿宋" w:hAnsi="仿宋" w:eastAsia="仿宋" w:cs="宋体"/>
                <w:b/>
                <w:bCs/>
                <w:color w:val="000000"/>
                <w:szCs w:val="21"/>
              </w:rPr>
              <w:t>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noWrap w:val="0"/>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204"/>
        <w:spacing w:line="360" w:lineRule="auto"/>
        <w:ind w:firstLine="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204"/>
        <w:spacing w:line="360" w:lineRule="auto"/>
        <w:ind w:firstLine="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204"/>
        <w:spacing w:line="360" w:lineRule="auto"/>
        <w:ind w:firstLine="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204"/>
        <w:spacing w:line="360" w:lineRule="auto"/>
        <w:ind w:firstLine="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6"/>
        </w:numPr>
        <w:spacing w:line="440" w:lineRule="exact"/>
        <w:jc w:val="right"/>
        <w:rPr>
          <w:rFonts w:ascii="仿宋" w:hAnsi="仿宋" w:eastAsia="仿宋" w:cs="宋体"/>
          <w:color w:val="000000"/>
        </w:rPr>
      </w:pPr>
    </w:p>
    <w:p>
      <w:pPr>
        <w:widowControl w:val="0"/>
        <w:numPr>
          <w:ilvl w:val="0"/>
          <w:numId w:val="6"/>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6"/>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6"/>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
    <w:p/>
    <w:sectPr>
      <w:headerReference r:id="rId15" w:type="default"/>
      <w:footerReference r:id="rId16" w:type="default"/>
      <w:pgSz w:w="11906" w:h="16838"/>
      <w:pgMar w:top="1418" w:right="1555" w:bottom="1418" w:left="1531" w:header="851" w:footer="992" w:gutter="0"/>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86"/>
    <w:family w:val="auto"/>
    <w:pitch w:val="default"/>
    <w:sig w:usb0="E0002AFF" w:usb1="C0007843" w:usb2="00000009" w:usb3="00000000" w:csb0="400001FF" w:csb1="FFFF0000"/>
  </w:font>
  <w:font w:name="华文中宋">
    <w:altName w:val="宋体"/>
    <w:panose1 w:val="02010609030101010101"/>
    <w:charset w:val="00"/>
    <w:family w:val="auto"/>
    <w:pitch w:val="default"/>
    <w:sig w:usb0="00000000" w:usb1="00000000" w:usb2="00000000" w:usb3="00000000" w:csb0="00000000"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Cambria Math">
    <w:panose1 w:val="02040503050406030204"/>
    <w:charset w:val="00"/>
    <w:family w:val="auto"/>
    <w:pitch w:val="default"/>
    <w:sig w:usb0="E00002FF" w:usb1="420024FF" w:usb2="00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00"/>
    <w:family w:val="auto"/>
    <w:pitch w:val="default"/>
    <w:sig w:usb0="00000000" w:usb1="00000000" w:usb2="00000000" w:usb3="00000000" w:csb0="00000000" w:csb1="00000000"/>
  </w:font>
  <w:font w:name="Monaco">
    <w:altName w:val="Courier New"/>
    <w:panose1 w:val="0208090404030B0204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39"/>
      </w:rPr>
    </w:pPr>
    <w:r>
      <w:fldChar w:fldCharType="begin"/>
    </w:r>
    <w:r>
      <w:rPr>
        <w:rStyle w:val="39"/>
      </w:rPr>
      <w:instrText xml:space="preserve">PAGE  </w:instrText>
    </w:r>
    <w:r>
      <w:fldChar w:fldCharType="end"/>
    </w:r>
  </w:p>
  <w:p>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3</w:t>
                    </w:r>
                    <w:r>
                      <w:fldChar w:fldCharType="end"/>
                    </w:r>
                  </w:p>
                </w:txbxContent>
              </v:textbox>
            </v:shape>
          </w:pict>
        </mc:Fallback>
      </mc:AlternateContent>
    </w:r>
  </w:p>
  <w:p>
    <w:pPr>
      <w:pStyle w:val="2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yuxcpCAgAAfQQAAA4AAABkcnMvZTJvRG9jLnhtbK1UwY7TMBC9I/EP&#10;lu80aRGrKmq6KlsVIRV2pYI4u47TWLI9lu02KR8Af8CJC3e+q9/B2EkKWjjsgUs09ozfzHszk8Vt&#10;pxU5CeclmJJOJzklwnCopDmU9OOHzYs5JT4wUzEFRpT0LDy9XT5/tmhtIWbQgKqEIwhifNHakjYh&#10;2CLLPG+EZn4CVhh01uA0C3h0h6xyrEV0rbJZnt9kLbjKOuDCe7xd9046ILqnAEJdSy7WwI9amNCj&#10;OqFYQEq+kdbTZaq2rgUP93XtRSCqpMg0pC8mQXsfv9lywYqDY7aRfCiBPaWER5w0kwaTXqHWLDBy&#10;dPIvKC25Aw91mHDQWU8kKYIspvkjbXYNsyJxQam9vYru/x8sf396cERWJZ1RYpjGhl++fb18/3n5&#10;8YXMojyt9QVG7SzGhe41dDg0472Pl/v2HVT4jh0DJA262umoBbIjGI1Sn69Siy4QHiHms/k8RxdH&#10;33jAbBkrxufW+fBGgCbRKKnDXiZ4dtr60IeOITGbgY1UKvVTGdKW9Oblqzw9uHoQXJkYK9JkDDCR&#10;YCTSUw3dvhtY76E6Iz8H/dR4yzcSS9kyHx6YwzHB8nGRwj1+agWYEgaLkgbc53/dx3jsHnopaXHs&#10;SmpwyyhRbw12FQHDaLjR2I+GOeo7wDme4oJankx84IIazdqB/oTbtYo50MUMx0wlDaN5F/rRx+3k&#10;YrVKQUfr5KHpH+BMWha2Zmd5TBOl8naFfd3IpHiUqlcFOxUPOJWpZ8MGxbH/85yifv81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IyuxcpCAgAAfQQAAA4AAAAAAAAAAQAgAAAAHwEAAGRy&#10;cy9lMm9Eb2MueG1sUEsFBgAAAAAGAAYAWQEAANMFA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p>
    <w:pPr>
      <w:pStyle w:val="2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000000" w:sz="0" w:space="0"/>
      </w:pBdr>
      <w:jc w:val="both"/>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rFonts w:hint="eastAsia"/>
      </w:rPr>
      <w:t>磋商</w:t>
    </w:r>
    <w:r>
      <w:t>文件</w:t>
    </w:r>
  </w:p>
  <w:p>
    <w:pPr>
      <w:pStyle w:val="24"/>
      <w:pBdr>
        <w:bottom w:val="none" w:color="000000" w:sz="0" w:space="0"/>
      </w:pBdr>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000000" w:sz="0" w:space="0"/>
      </w:pBdr>
      <w:jc w:val="both"/>
      <w:rPr>
        <w:u w:val="single"/>
      </w:rPr>
    </w:pPr>
    <w:r>
      <w:rPr>
        <w:rFonts w:hint="eastAsia" w:ascii="仿宋" w:hAnsi="仿宋" w:eastAsia="仿宋" w:cs="Cambria Math"/>
        <w:color w:val="000000"/>
        <w:u w:val="single"/>
      </w:rPr>
      <w:t>人保财险四川省资阳市分公司</w:t>
    </w:r>
    <w:r>
      <w:rPr>
        <w:rFonts w:hint="eastAsia" w:ascii="仿宋" w:hAnsi="仿宋" w:eastAsia="仿宋" w:cs="Cambria Math"/>
        <w:color w:val="000000"/>
        <w:u w:val="single"/>
        <w:lang w:eastAsia="zh-CN"/>
      </w:rPr>
      <w:t>车商业务部LED屏宣传采购项目</w:t>
    </w:r>
    <w:r>
      <w:rPr>
        <w:rFonts w:hint="eastAsia" w:ascii="宋体" w:hAnsi="宋体"/>
        <w:color w:val="2B2B2B"/>
        <w:u w:val="single"/>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000000" w:sz="0" w:space="0"/>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4"/>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0053208E"/>
    <w:multiLevelType w:val="multilevel"/>
    <w:tmpl w:val="0053208E"/>
    <w:lvl w:ilvl="0" w:tentative="0">
      <w:start w:val="2"/>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4">
    <w:nsid w:val="03D62ECE"/>
    <w:multiLevelType w:val="multilevel"/>
    <w:tmpl w:val="03D62EC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59ADCABA"/>
    <w:multiLevelType w:val="multilevel"/>
    <w:tmpl w:val="59ADCABA"/>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8B1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semiHidden="0"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styleId="4">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208"/>
    <w:unhideWhenUsed/>
    <w:qFormat/>
    <w:uiPriority w:val="0"/>
    <w:pPr>
      <w:keepNext/>
      <w:keepLines/>
      <w:spacing w:before="260" w:after="260" w:line="416" w:lineRule="auto"/>
      <w:outlineLvl w:val="2"/>
    </w:pPr>
    <w:rPr>
      <w:b/>
      <w:bCs/>
      <w:sz w:val="32"/>
      <w:szCs w:val="32"/>
    </w:rPr>
  </w:style>
  <w:style w:type="paragraph" w:styleId="6">
    <w:name w:val="heading 4"/>
    <w:basedOn w:val="1"/>
    <w:next w:val="1"/>
    <w:unhideWhenUsed/>
    <w:qFormat/>
    <w:uiPriority w:val="0"/>
    <w:pPr>
      <w:keepNext/>
      <w:keepLines/>
      <w:spacing w:before="280" w:after="290" w:line="376" w:lineRule="auto"/>
      <w:outlineLvl w:val="3"/>
    </w:pPr>
    <w:rPr>
      <w:rFonts w:ascii="Calibri Light" w:hAnsi="Calibri Light" w:eastAsia="宋体" w:cs="Times New Roman"/>
      <w:b/>
      <w:bCs/>
      <w:sz w:val="28"/>
      <w:szCs w:val="28"/>
    </w:rPr>
  </w:style>
  <w:style w:type="paragraph" w:styleId="7">
    <w:name w:val="heading 5"/>
    <w:basedOn w:val="1"/>
    <w:next w:val="1"/>
    <w:link w:val="173"/>
    <w:unhideWhenUsed/>
    <w:qFormat/>
    <w:uiPriority w:val="9"/>
    <w:pPr>
      <w:keepNext/>
      <w:keepLines/>
      <w:spacing w:before="80" w:after="40"/>
      <w:outlineLvl w:val="4"/>
    </w:pPr>
    <w:rPr>
      <w:rFonts w:ascii="Arial" w:hAnsi="Arial" w:eastAsia="Arial" w:cs="Arial"/>
      <w:color w:val="2E75B6" w:themeColor="accent1" w:themeShade="BF"/>
    </w:rPr>
  </w:style>
  <w:style w:type="paragraph" w:styleId="8">
    <w:name w:val="heading 6"/>
    <w:basedOn w:val="1"/>
    <w:next w:val="1"/>
    <w:link w:val="174"/>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9">
    <w:name w:val="heading 7"/>
    <w:basedOn w:val="1"/>
    <w:next w:val="1"/>
    <w:link w:val="175"/>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76"/>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1">
    <w:name w:val="heading 9"/>
    <w:basedOn w:val="1"/>
    <w:next w:val="1"/>
    <w:link w:val="177"/>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6">
    <w:name w:val="Default Paragraph Font"/>
    <w:semiHidden/>
    <w:uiPriority w:val="0"/>
  </w:style>
  <w:style w:type="table" w:default="1" w:styleId="34">
    <w:name w:val="Normal Table"/>
    <w:semiHidden/>
    <w:qFormat/>
    <w:uiPriority w:val="0"/>
    <w:tblPr>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customStyle="1" w:styleId="2">
    <w:name w:val="无间隔1"/>
    <w:qFormat/>
    <w:uiPriority w:val="0"/>
    <w:rPr>
      <w:rFonts w:hint="default" w:ascii="Tahoma" w:hAnsi="Tahoma" w:eastAsia="微软雅黑" w:cs="Times New Roman"/>
      <w:sz w:val="22"/>
      <w:szCs w:val="22"/>
      <w:lang w:val="en-US" w:eastAsia="zh-CN" w:bidi="ar-SA"/>
    </w:rPr>
  </w:style>
  <w:style w:type="paragraph" w:styleId="12">
    <w:name w:val="toc 7"/>
    <w:basedOn w:val="1"/>
    <w:next w:val="1"/>
    <w:unhideWhenUsed/>
    <w:uiPriority w:val="39"/>
    <w:pPr>
      <w:spacing w:after="100"/>
      <w:ind w:left="1320"/>
    </w:pPr>
  </w:style>
  <w:style w:type="paragraph" w:styleId="13">
    <w:name w:val="Normal Indent"/>
    <w:basedOn w:val="1"/>
    <w:qFormat/>
    <w:uiPriority w:val="0"/>
    <w:pPr>
      <w:widowControl w:val="0"/>
      <w:ind w:firstLine="420"/>
      <w:jc w:val="both"/>
    </w:pPr>
    <w:rPr>
      <w:rFonts w:ascii="Calibri" w:hAnsi="Calibri" w:eastAsia="宋体" w:cs="Times New Roman"/>
      <w:sz w:val="20"/>
      <w:szCs w:val="20"/>
    </w:rPr>
  </w:style>
  <w:style w:type="paragraph" w:styleId="1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5">
    <w:name w:val="Body Text"/>
    <w:basedOn w:val="1"/>
    <w:qFormat/>
    <w:uiPriority w:val="99"/>
    <w:pPr>
      <w:spacing w:after="120"/>
    </w:pPr>
  </w:style>
  <w:style w:type="paragraph" w:styleId="16">
    <w:name w:val="toc 5"/>
    <w:basedOn w:val="1"/>
    <w:next w:val="1"/>
    <w:unhideWhenUsed/>
    <w:uiPriority w:val="39"/>
    <w:pPr>
      <w:spacing w:after="100"/>
      <w:ind w:left="880"/>
    </w:pPr>
  </w:style>
  <w:style w:type="paragraph" w:styleId="17">
    <w:name w:val="toc 3"/>
    <w:basedOn w:val="1"/>
    <w:next w:val="1"/>
    <w:unhideWhenUsed/>
    <w:qFormat/>
    <w:uiPriority w:val="39"/>
    <w:pPr>
      <w:ind w:left="840"/>
    </w:pPr>
  </w:style>
  <w:style w:type="paragraph" w:styleId="18">
    <w:name w:val="toc 8"/>
    <w:basedOn w:val="1"/>
    <w:next w:val="1"/>
    <w:unhideWhenUsed/>
    <w:uiPriority w:val="39"/>
    <w:pPr>
      <w:spacing w:after="100"/>
      <w:ind w:left="1540"/>
    </w:pPr>
  </w:style>
  <w:style w:type="paragraph" w:styleId="19">
    <w:name w:val="Date"/>
    <w:basedOn w:val="1"/>
    <w:next w:val="1"/>
    <w:qFormat/>
    <w:uiPriority w:val="0"/>
    <w:pPr>
      <w:widowControl w:val="0"/>
      <w:ind w:left="100"/>
      <w:jc w:val="both"/>
    </w:pPr>
    <w:rPr>
      <w:rFonts w:ascii="Times New Roman" w:hAnsi="Times New Roman" w:eastAsia="宋体" w:cs="Times New Roman"/>
      <w:sz w:val="21"/>
    </w:rPr>
  </w:style>
  <w:style w:type="paragraph" w:styleId="20">
    <w:name w:val="Body Text Indent 2"/>
    <w:basedOn w:val="1"/>
    <w:unhideWhenUsed/>
    <w:qFormat/>
    <w:uiPriority w:val="0"/>
    <w:pPr>
      <w:spacing w:after="120" w:line="480" w:lineRule="auto"/>
      <w:ind w:left="420"/>
    </w:pPr>
  </w:style>
  <w:style w:type="paragraph" w:styleId="21">
    <w:name w:val="endnote text"/>
    <w:basedOn w:val="1"/>
    <w:link w:val="193"/>
    <w:semiHidden/>
    <w:unhideWhenUsed/>
    <w:uiPriority w:val="99"/>
    <w:pPr>
      <w:spacing w:after="0" w:line="240" w:lineRule="auto"/>
    </w:pPr>
    <w:rPr>
      <w:sz w:val="20"/>
      <w:szCs w:val="20"/>
    </w:rPr>
  </w:style>
  <w:style w:type="paragraph" w:styleId="22">
    <w:name w:val="Balloon Text"/>
    <w:basedOn w:val="1"/>
    <w:qFormat/>
    <w:uiPriority w:val="0"/>
    <w:rPr>
      <w:sz w:val="18"/>
      <w:szCs w:val="18"/>
    </w:rPr>
  </w:style>
  <w:style w:type="paragraph" w:styleId="23">
    <w:name w:val="footer"/>
    <w:basedOn w:val="1"/>
    <w:qFormat/>
    <w:uiPriority w:val="99"/>
    <w:pPr>
      <w:tabs>
        <w:tab w:val="center" w:pos="4153"/>
        <w:tab w:val="right" w:pos="8306"/>
      </w:tabs>
    </w:pPr>
    <w:rPr>
      <w:sz w:val="18"/>
      <w:szCs w:val="18"/>
    </w:rPr>
  </w:style>
  <w:style w:type="paragraph" w:styleId="24">
    <w:name w:val="header"/>
    <w:basedOn w:val="1"/>
    <w:qFormat/>
    <w:uiPriority w:val="99"/>
    <w:pPr>
      <w:pBdr>
        <w:bottom w:val="single" w:color="000000" w:sz="6" w:space="1"/>
      </w:pBdr>
      <w:tabs>
        <w:tab w:val="center" w:pos="4153"/>
        <w:tab w:val="right" w:pos="8306"/>
      </w:tabs>
      <w:jc w:val="center"/>
    </w:pPr>
    <w:rPr>
      <w:sz w:val="18"/>
      <w:szCs w:val="18"/>
    </w:rPr>
  </w:style>
  <w:style w:type="paragraph" w:styleId="25">
    <w:name w:val="toc 1"/>
    <w:basedOn w:val="1"/>
    <w:next w:val="1"/>
    <w:qFormat/>
    <w:uiPriority w:val="39"/>
    <w:pPr>
      <w:spacing w:before="120" w:after="120"/>
    </w:pPr>
    <w:rPr>
      <w:b/>
      <w:bCs/>
      <w:caps/>
      <w:szCs w:val="20"/>
    </w:rPr>
  </w:style>
  <w:style w:type="paragraph" w:styleId="26">
    <w:name w:val="toc 4"/>
    <w:basedOn w:val="1"/>
    <w:next w:val="1"/>
    <w:unhideWhenUsed/>
    <w:uiPriority w:val="39"/>
    <w:pPr>
      <w:spacing w:after="100"/>
      <w:ind w:left="660"/>
    </w:pPr>
  </w:style>
  <w:style w:type="paragraph" w:styleId="27">
    <w:name w:val="Subtitle"/>
    <w:basedOn w:val="1"/>
    <w:next w:val="1"/>
    <w:link w:val="179"/>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8">
    <w:name w:val="footnote text"/>
    <w:basedOn w:val="1"/>
    <w:link w:val="192"/>
    <w:semiHidden/>
    <w:unhideWhenUsed/>
    <w:uiPriority w:val="99"/>
    <w:pPr>
      <w:spacing w:after="0" w:line="240" w:lineRule="auto"/>
    </w:pPr>
    <w:rPr>
      <w:sz w:val="20"/>
      <w:szCs w:val="20"/>
    </w:rPr>
  </w:style>
  <w:style w:type="paragraph" w:styleId="29">
    <w:name w:val="toc 6"/>
    <w:basedOn w:val="1"/>
    <w:next w:val="1"/>
    <w:unhideWhenUsed/>
    <w:uiPriority w:val="39"/>
    <w:pPr>
      <w:spacing w:after="100"/>
      <w:ind w:left="1100"/>
    </w:pPr>
  </w:style>
  <w:style w:type="paragraph" w:styleId="30">
    <w:name w:val="table of figures"/>
    <w:basedOn w:val="1"/>
    <w:next w:val="1"/>
    <w:unhideWhenUsed/>
    <w:uiPriority w:val="99"/>
    <w:pPr>
      <w:spacing w:after="0" w:afterAutospacing="0"/>
    </w:pPr>
  </w:style>
  <w:style w:type="paragraph" w:styleId="31">
    <w:name w:val="toc 2"/>
    <w:basedOn w:val="1"/>
    <w:next w:val="1"/>
    <w:unhideWhenUsed/>
    <w:qFormat/>
    <w:uiPriority w:val="39"/>
    <w:pPr>
      <w:ind w:left="420"/>
    </w:pPr>
  </w:style>
  <w:style w:type="paragraph" w:styleId="32">
    <w:name w:val="toc 9"/>
    <w:basedOn w:val="1"/>
    <w:next w:val="1"/>
    <w:unhideWhenUsed/>
    <w:uiPriority w:val="39"/>
    <w:pPr>
      <w:spacing w:after="100"/>
      <w:ind w:left="1760"/>
    </w:pPr>
  </w:style>
  <w:style w:type="paragraph" w:styleId="33">
    <w:name w:val="Title"/>
    <w:basedOn w:val="1"/>
    <w:next w:val="1"/>
    <w:link w:val="178"/>
    <w:qFormat/>
    <w:uiPriority w:val="10"/>
    <w:pPr>
      <w:spacing w:after="80" w:line="240" w:lineRule="auto"/>
      <w:contextualSpacing/>
    </w:pPr>
    <w:rPr>
      <w:rFonts w:ascii="Arial" w:hAnsi="Arial" w:eastAsia="Arial" w:cs="Arial"/>
      <w:spacing w:val="-10"/>
      <w:sz w:val="56"/>
      <w:szCs w:val="56"/>
    </w:r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styleId="37">
    <w:name w:val="Strong"/>
    <w:basedOn w:val="36"/>
    <w:qFormat/>
    <w:uiPriority w:val="22"/>
    <w:rPr>
      <w:b/>
      <w:bCs/>
    </w:rPr>
  </w:style>
  <w:style w:type="character" w:styleId="38">
    <w:name w:val="endnote reference"/>
    <w:basedOn w:val="36"/>
    <w:semiHidden/>
    <w:unhideWhenUsed/>
    <w:uiPriority w:val="99"/>
    <w:rPr>
      <w:vertAlign w:val="superscript"/>
    </w:rPr>
  </w:style>
  <w:style w:type="character" w:styleId="39">
    <w:name w:val="page number"/>
    <w:basedOn w:val="36"/>
    <w:qFormat/>
    <w:uiPriority w:val="0"/>
  </w:style>
  <w:style w:type="character" w:styleId="40">
    <w:name w:val="FollowedHyperlink"/>
    <w:basedOn w:val="36"/>
    <w:semiHidden/>
    <w:unhideWhenUsed/>
    <w:uiPriority w:val="99"/>
    <w:rPr>
      <w:color w:val="954F72" w:themeColor="followedHyperlink"/>
      <w:u w:val="single"/>
      <w14:textFill>
        <w14:solidFill>
          <w14:schemeClr w14:val="folHlink"/>
        </w14:solidFill>
      </w14:textFill>
    </w:rPr>
  </w:style>
  <w:style w:type="character" w:styleId="41">
    <w:name w:val="Emphasis"/>
    <w:basedOn w:val="36"/>
    <w:qFormat/>
    <w:uiPriority w:val="20"/>
    <w:rPr>
      <w:i/>
      <w:iCs/>
    </w:rPr>
  </w:style>
  <w:style w:type="character" w:styleId="42">
    <w:name w:val="Hyperlink"/>
    <w:basedOn w:val="36"/>
    <w:unhideWhenUsed/>
    <w:uiPriority w:val="99"/>
    <w:rPr>
      <w:color w:val="0563C1" w:themeColor="hyperlink"/>
      <w:u w:val="single"/>
      <w14:textFill>
        <w14:solidFill>
          <w14:schemeClr w14:val="hlink"/>
        </w14:solidFill>
      </w14:textFill>
    </w:rPr>
  </w:style>
  <w:style w:type="character" w:styleId="43">
    <w:name w:val="footnote reference"/>
    <w:basedOn w:val="36"/>
    <w:semiHidden/>
    <w:unhideWhenUsed/>
    <w:uiPriority w:val="99"/>
    <w:rPr>
      <w:vertAlign w:val="superscript"/>
    </w:rPr>
  </w:style>
  <w:style w:type="table" w:customStyle="1" w:styleId="44">
    <w:name w:val="Table Grid Light"/>
    <w:basedOn w:val="3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5">
    <w:name w:val="Plain Table 1"/>
    <w:basedOn w:val="3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shd w:val="clear" w:color="F1F1F1" w:themeColor="text1" w:themeTint="0D" w:fill="F1F1F1" w:themeFill="text1" w:themeFillTint="0D"/>
      </w:tcPr>
    </w:tblStylePr>
    <w:tblStylePr w:type="band2Vert">
      <w:tblPr/>
    </w:tblStylePr>
    <w:tblStylePr w:type="band1Horz">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6">
    <w:name w:val="Plain Table 2"/>
    <w:basedOn w:val="3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7">
    <w:name w:val="Plain Table 3"/>
    <w:basedOn w:val="34"/>
    <w:uiPriority w:val="99"/>
    <w:pPr>
      <w:spacing w:after="0" w:line="240" w:lineRule="auto"/>
    </w:pPr>
    <w:tblPr/>
    <w:tblStylePr w:type="firstRow">
      <w:rPr>
        <w:b/>
        <w:caps/>
        <w:color w:val="404040"/>
      </w:rPr>
      <w:tblPr/>
      <w:tcPr>
        <w:tcBorders>
          <w:top w:val="nil"/>
          <w:left w:val="nil"/>
          <w:bottom w:val="single" w:color="404040" w:sz="4" w:space="0"/>
          <w:right w:val="nil"/>
        </w:tcBorders>
      </w:tcPr>
    </w:tblStylePr>
    <w:tblStylePr w:type="lastRow">
      <w:rPr>
        <w:b/>
        <w:caps/>
        <w:color w:val="404040"/>
      </w:rPr>
      <w:tblPr/>
    </w:tblStylePr>
    <w:tblStylePr w:type="firstCol">
      <w:rPr>
        <w:b/>
        <w:caps/>
        <w:color w:val="404040"/>
      </w:rPr>
      <w:tblPr/>
      <w:tcPr>
        <w:tcBorders>
          <w:top w:val="nil"/>
          <w:left w:val="nil"/>
          <w:bottom w:val="nil"/>
          <w:right w:val="single" w:color="404040" w:sz="4" w:space="0"/>
        </w:tcBorders>
      </w:tcPr>
    </w:tblStylePr>
    <w:tblStylePr w:type="lastCol">
      <w:rPr>
        <w:b/>
        <w:caps/>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8">
    <w:name w:val="Plain Table 4"/>
    <w:basedOn w:val="34"/>
    <w:uiPriority w:val="99"/>
    <w:pPr>
      <w:spacing w:after="0" w:line="240" w:lineRule="auto"/>
    </w:pPr>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9">
    <w:name w:val="Plain Table 5"/>
    <w:basedOn w:val="34"/>
    <w:uiPriority w:val="99"/>
    <w:pPr>
      <w:spacing w:after="0" w:line="240" w:lineRule="auto"/>
    </w:pPr>
    <w:tblPr/>
    <w:tblStylePr w:type="firstRow">
      <w:rPr>
        <w:i/>
        <w:color w:val="404040"/>
      </w:rPr>
      <w:tblPr/>
      <w:tcPr>
        <w:tcBorders>
          <w:left w:val="nil"/>
          <w:bottom w:val="single" w:color="404040" w:sz="4" w:space="0"/>
          <w:right w:val="nil"/>
        </w:tcBorders>
        <w:shd w:val="clear" w:color="FFFFFF" w:fill="auto"/>
      </w:tcPr>
    </w:tblStylePr>
    <w:tblStylePr w:type="lastRow">
      <w:rPr>
        <w:i/>
        <w:color w:val="404040"/>
      </w:rPr>
      <w:tblPr/>
      <w:tcPr>
        <w:tcBorders>
          <w:top w:val="single" w:color="404040" w:sz="4" w:space="0"/>
          <w:left w:val="nil"/>
          <w:right w:val="nil"/>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0">
    <w:name w:val="Grid Table 1 Light"/>
    <w:basedOn w:val="3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blPr/>
      <w:tcPr>
        <w:tcBorders>
          <w:bottom w:val="single" w:color="696969" w:themeColor="tex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1">
    <w:name w:val="Grid Table 1 Light - Accent 1"/>
    <w:basedOn w:val="34"/>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blPr/>
      <w:tcPr>
        <w:tcBorders>
          <w:bottom w:val="single" w:color="9FC4E6" w:themeColor="accen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2">
    <w:name w:val="Grid Table 1 Light - Accent 2"/>
    <w:basedOn w:val="34"/>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blPr/>
      <w:tcPr>
        <w:tcBorders>
          <w:bottom w:val="single" w:color="F4B386" w:themeColor="accent2"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3">
    <w:name w:val="Grid Table 1 Light - Accent 3"/>
    <w:basedOn w:val="34"/>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blPr/>
      <w:tcPr>
        <w:tcBorders>
          <w:bottom w:val="single" w:color="CACACA" w:themeColor="accent3"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4">
    <w:name w:val="Grid Table 1 Light - Accent 4"/>
    <w:basedOn w:val="34"/>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blPr/>
      <w:tcPr>
        <w:tcBorders>
          <w:bottom w:val="single" w:color="FFDA69" w:themeColor="accent4"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5">
    <w:name w:val="Grid Table 1 Light - Accent 5"/>
    <w:basedOn w:val="34"/>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blPr/>
      <w:tcPr>
        <w:tcBorders>
          <w:bottom w:val="single" w:color="91ACDC" w:themeColor="accent5"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6">
    <w:name w:val="Grid Table 1 Light - Accent 6"/>
    <w:basedOn w:val="34"/>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blPr/>
      <w:tcPr>
        <w:tcBorders>
          <w:bottom w:val="single" w:color="AAD190" w:themeColor="accent6"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7">
    <w:name w:val="Grid Table 2"/>
    <w:basedOn w:val="3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single" w:color="696969" w:themeColor="text1" w:themeTint="95" w:sz="12" w:space="0"/>
          <w:right w:val="nil"/>
        </w:tcBorders>
        <w:shd w:val="clear" w:color="FFFFFF" w:fill="auto"/>
      </w:tcPr>
    </w:tblStylePr>
    <w:tblStylePr w:type="lastRow">
      <w:rPr>
        <w:b/>
        <w:color w:val="404040"/>
      </w:rPr>
      <w:tblPr/>
      <w:tcPr>
        <w:tcBorders>
          <w:top w:val="single" w:color="696969" w:themeColor="text1" w:themeTint="9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8">
    <w:name w:val="Grid Table 2 - Accent 1"/>
    <w:basedOn w:val="34"/>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blPr/>
      <w:tcPr>
        <w:tcBorders>
          <w:top w:val="nil"/>
          <w:left w:val="nil"/>
          <w:bottom w:val="single" w:color="68A3D8" w:themeColor="accent1" w:themeTint="EA" w:sz="12" w:space="0"/>
          <w:right w:val="nil"/>
        </w:tcBorders>
        <w:shd w:val="clear" w:color="FFFFFF" w:fill="auto"/>
      </w:tcPr>
    </w:tblStylePr>
    <w:tblStylePr w:type="lastRow">
      <w:rPr>
        <w:b/>
        <w:color w:val="404040"/>
      </w:rPr>
      <w:tblPr/>
      <w:tcPr>
        <w:tcBorders>
          <w:top w:val="single" w:color="68A3D8" w:themeColor="accent1" w:themeTint="E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DEAF6" w:themeColor="accent1" w:themeTint="34" w:fill="DDEAF6" w:themeFill="accent1" w:themeFillTint="34"/>
      </w:tcPr>
    </w:tblStylePr>
    <w:tblStylePr w:type="band2Vert">
      <w:tblPr/>
    </w:tblStylePr>
    <w:tblStylePr w:type="band1Horz">
      <w:rPr>
        <w:rFonts w:ascii="Arial" w:hAnsi="Arial"/>
        <w:color w:val="404040"/>
        <w:sz w:val="22"/>
      </w:rPr>
      <w:tblPr/>
      <w:tcPr>
        <w:shd w:val="clear" w:color="DDEAF6" w:themeColor="accent1" w:themeTint="34" w:fill="DDEAF6"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9">
    <w:name w:val="Grid Table 2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blPr/>
      <w:tcPr>
        <w:tcBorders>
          <w:top w:val="nil"/>
          <w:left w:val="nil"/>
          <w:bottom w:val="single" w:color="F4B285" w:themeColor="accent2" w:themeTint="97" w:sz="12" w:space="0"/>
          <w:right w:val="nil"/>
        </w:tcBorders>
        <w:shd w:val="clear" w:color="FFFFFF" w:fill="auto"/>
      </w:tcPr>
    </w:tblStylePr>
    <w:tblStylePr w:type="lastRow">
      <w:rPr>
        <w:b/>
        <w:color w:val="404040"/>
      </w:rPr>
      <w:tblPr/>
      <w:tcPr>
        <w:tcBorders>
          <w:top w:val="single" w:color="F4B285" w:themeColor="accent2" w:themeTint="97"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BE5D6" w:themeColor="accent2" w:themeTint="32" w:fill="FBE5D6" w:themeFill="accent2" w:themeFillTint="32"/>
      </w:tcPr>
    </w:tblStylePr>
    <w:tblStylePr w:type="band2Vert">
      <w:tblPr/>
    </w:tblStylePr>
    <w:tblStylePr w:type="band1Horz">
      <w:rPr>
        <w:rFonts w:ascii="Arial" w:hAnsi="Arial"/>
        <w:color w:val="404040"/>
        <w:sz w:val="22"/>
      </w:rPr>
      <w:tblPr/>
      <w:tcPr>
        <w:shd w:val="clear" w:color="FBE5D6" w:themeColor="accent2" w:themeTint="32" w:fill="FBE5D6"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0">
    <w:name w:val="Grid Table 2 - Accent 3"/>
    <w:basedOn w:val="34"/>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il"/>
          <w:left w:val="nil"/>
          <w:bottom w:val="single" w:color="A5A5A5" w:themeColor="accent3" w:themeTint="FE" w:sz="12" w:space="0"/>
          <w:right w:val="nil"/>
        </w:tcBorders>
        <w:shd w:val="clear" w:color="FFFFFF" w:fill="auto"/>
      </w:tcPr>
    </w:tblStylePr>
    <w:tblStylePr w:type="lastRow">
      <w:rPr>
        <w:b/>
        <w:color w:val="404040"/>
      </w:rPr>
      <w:tblPr/>
      <w:tcPr>
        <w:tcBorders>
          <w:top w:val="single" w:color="A5A5A5" w:themeColor="accent3" w:themeTint="FE"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CECEC" w:themeColor="accent3" w:themeTint="34" w:fill="ECECEC" w:themeFill="accent3" w:themeFillTint="34"/>
      </w:tcPr>
    </w:tblStylePr>
    <w:tblStylePr w:type="band2Vert">
      <w:tblPr/>
    </w:tblStylePr>
    <w:tblStylePr w:type="band1Horz">
      <w:rPr>
        <w:rFonts w:ascii="Arial" w:hAnsi="Arial"/>
        <w:color w:val="404040"/>
        <w:sz w:val="22"/>
      </w:rPr>
      <w:tblPr/>
      <w:tcPr>
        <w:shd w:val="clear" w:color="ECECEC" w:themeColor="accent3" w:themeTint="34" w:fill="ECECEC"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1">
    <w:name w:val="Grid Table 2 - Accent 4"/>
    <w:basedOn w:val="34"/>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blPr/>
      <w:tcPr>
        <w:tcBorders>
          <w:top w:val="nil"/>
          <w:left w:val="nil"/>
          <w:bottom w:val="single" w:color="FFD864" w:themeColor="accent4" w:themeTint="9A" w:sz="12" w:space="0"/>
          <w:right w:val="nil"/>
        </w:tcBorders>
        <w:shd w:val="clear" w:color="FFFFFF" w:fill="auto"/>
      </w:tcPr>
    </w:tblStylePr>
    <w:tblStylePr w:type="lastRow">
      <w:rPr>
        <w:b/>
        <w:color w:val="404040"/>
      </w:rPr>
      <w:tblPr/>
      <w:tcPr>
        <w:tcBorders>
          <w:top w:val="single" w:color="FFD864" w:themeColor="accent4" w:themeTint="9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EF2CA" w:themeColor="accent4" w:themeTint="34" w:fill="FEF2CA" w:themeFill="accent4" w:themeFillTint="34"/>
      </w:tcPr>
    </w:tblStylePr>
    <w:tblStylePr w:type="band2Vert">
      <w:tblPr/>
    </w:tblStylePr>
    <w:tblStylePr w:type="band1Horz">
      <w:rPr>
        <w:rFonts w:ascii="Arial" w:hAnsi="Arial"/>
        <w:color w:val="404040"/>
        <w:sz w:val="22"/>
      </w:rPr>
      <w:tblPr/>
      <w:tcPr>
        <w:shd w:val="clear" w:color="FEF2CA" w:themeColor="accent4" w:themeTint="34" w:fill="FEF2CA"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2">
    <w:name w:val="Grid Table 2 - Accent 5"/>
    <w:basedOn w:val="34"/>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blPr/>
      <w:tcPr>
        <w:tcBorders>
          <w:top w:val="nil"/>
          <w:left w:val="nil"/>
          <w:bottom w:val="single" w:color="4472C4" w:themeColor="accent5" w:sz="12" w:space="0"/>
          <w:right w:val="nil"/>
        </w:tcBorders>
        <w:shd w:val="clear" w:color="FFFFFF" w:fill="auto"/>
      </w:tcPr>
    </w:tblStylePr>
    <w:tblStylePr w:type="lastRow">
      <w:rPr>
        <w:b/>
        <w:color w:val="404040"/>
      </w:rPr>
      <w:tblPr/>
      <w:tcPr>
        <w:tcBorders>
          <w:top w:val="single" w:color="4472C4" w:themeColor="accent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8E2F2" w:themeColor="accent5" w:themeTint="34" w:fill="D8E2F2" w:themeFill="accent5" w:themeFillTint="34"/>
      </w:tcPr>
    </w:tblStylePr>
    <w:tblStylePr w:type="band2Vert">
      <w:tblPr/>
    </w:tblStylePr>
    <w:tblStylePr w:type="band1Horz">
      <w:rPr>
        <w:rFonts w:ascii="Arial" w:hAnsi="Arial"/>
        <w:color w:val="404040"/>
        <w:sz w:val="22"/>
      </w:rPr>
      <w:tblPr/>
      <w:tcPr>
        <w:shd w:val="clear" w:color="D8E2F2" w:themeColor="accent5" w:themeTint="34" w:fill="D8E2F2"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3">
    <w:name w:val="Grid Table 2 - Accent 6"/>
    <w:basedOn w:val="34"/>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il"/>
          <w:left w:val="nil"/>
          <w:bottom w:val="single" w:color="70AD47" w:themeColor="accent6" w:sz="12" w:space="0"/>
          <w:right w:val="nil"/>
        </w:tcBorders>
        <w:shd w:val="clear" w:color="FFFFFF" w:fill="auto"/>
      </w:tcPr>
    </w:tblStylePr>
    <w:tblStylePr w:type="lastRow">
      <w:rPr>
        <w:b/>
        <w:color w:val="404040"/>
      </w:rPr>
      <w:tblPr/>
      <w:tcPr>
        <w:tcBorders>
          <w:top w:val="single" w:color="70AD47" w:themeColor="accent6"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1EFD8" w:themeColor="accent6" w:themeTint="34" w:fill="E1EFD8" w:themeFill="accent6" w:themeFillTint="34"/>
      </w:tcPr>
    </w:tblStylePr>
    <w:tblStylePr w:type="band2Vert">
      <w:tblPr/>
    </w:tblStylePr>
    <w:tblStylePr w:type="band1Horz">
      <w:rPr>
        <w:rFonts w:ascii="Arial" w:hAnsi="Arial"/>
        <w:color w:val="404040"/>
        <w:sz w:val="22"/>
      </w:rPr>
      <w:tblPr/>
      <w:tcPr>
        <w:shd w:val="clear" w:color="E1EFD8" w:themeColor="accent6" w:themeTint="34" w:fill="E1EFD8"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4">
    <w:name w:val="Grid Table 3"/>
    <w:basedOn w:val="3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5">
    <w:name w:val="Grid Table 3 - Accent 1"/>
    <w:basedOn w:val="34"/>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2Vert">
      <w:tblPr/>
    </w:tblStylePr>
    <w:tblStylePr w:type="band1Horz">
      <w:rPr>
        <w:rFonts w:ascii="Arial" w:hAnsi="Arial"/>
        <w:color w:val="404040"/>
        <w:sz w:val="22"/>
      </w:rPr>
      <w:tblPr/>
      <w:tcPr>
        <w:shd w:val="clear" w:color="DDEAF6" w:themeColor="accent1" w:themeTint="34" w:fill="DDEAF6"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6">
    <w:name w:val="Grid Table 3 - Accent 2"/>
    <w:basedOn w:val="34"/>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2Vert">
      <w:tblPr/>
    </w:tblStylePr>
    <w:tblStylePr w:type="band1Horz">
      <w:rPr>
        <w:rFonts w:ascii="Arial" w:hAnsi="Arial"/>
        <w:color w:val="404040"/>
        <w:sz w:val="22"/>
      </w:rPr>
      <w:tblPr/>
      <w:tcPr>
        <w:shd w:val="clear" w:color="FBE5D6" w:themeColor="accent2" w:themeTint="32" w:fill="FBE5D6"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7">
    <w:name w:val="Grid Table 3 - Accent 3"/>
    <w:basedOn w:val="34"/>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2Vert">
      <w:tblPr/>
    </w:tblStylePr>
    <w:tblStylePr w:type="band1Horz">
      <w:rPr>
        <w:rFonts w:ascii="Arial" w:hAnsi="Arial"/>
        <w:color w:val="404040"/>
        <w:sz w:val="22"/>
      </w:rPr>
      <w:tblPr/>
      <w:tcPr>
        <w:shd w:val="clear" w:color="ECECEC" w:themeColor="accent3" w:themeTint="34" w:fill="ECECEC"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8">
    <w:name w:val="Grid Table 3 - Accent 4"/>
    <w:basedOn w:val="34"/>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A" w:themeColor="accent4" w:themeTint="34" w:fill="FEF2CA" w:themeFill="accent4" w:themeFillTint="34"/>
      </w:tcPr>
    </w:tblStylePr>
    <w:tblStylePr w:type="band2Vert">
      <w:tblPr/>
    </w:tblStylePr>
    <w:tblStylePr w:type="band1Horz">
      <w:rPr>
        <w:rFonts w:ascii="Arial" w:hAnsi="Arial"/>
        <w:color w:val="404040"/>
        <w:sz w:val="22"/>
      </w:rPr>
      <w:tblPr/>
      <w:tcPr>
        <w:shd w:val="clear" w:color="FEF2CA" w:themeColor="accent4" w:themeTint="34" w:fill="FEF2CA"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9">
    <w:name w:val="Grid Table 3 - Accent 5"/>
    <w:basedOn w:val="34"/>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2" w:themeColor="accent5" w:themeTint="34" w:fill="D8E2F2" w:themeFill="accent5" w:themeFillTint="34"/>
      </w:tcPr>
    </w:tblStylePr>
    <w:tblStylePr w:type="band2Vert">
      <w:tblPr/>
    </w:tblStylePr>
    <w:tblStylePr w:type="band1Horz">
      <w:rPr>
        <w:rFonts w:ascii="Arial" w:hAnsi="Arial"/>
        <w:color w:val="404040"/>
        <w:sz w:val="22"/>
      </w:rPr>
      <w:tblPr/>
      <w:tcPr>
        <w:shd w:val="clear" w:color="D8E2F2" w:themeColor="accent5" w:themeTint="34" w:fill="D8E2F2"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0">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2Vert">
      <w:tblPr/>
    </w:tblStylePr>
    <w:tblStylePr w:type="band1Horz">
      <w:rPr>
        <w:rFonts w:ascii="Arial" w:hAnsi="Arial"/>
        <w:color w:val="404040"/>
        <w:sz w:val="22"/>
      </w:rPr>
      <w:tblPr/>
      <w:tcPr>
        <w:shd w:val="clear" w:color="E1EFD8" w:themeColor="accent6" w:themeTint="34" w:fill="E1EFD8"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1">
    <w:name w:val="Grid Table 4"/>
    <w:basedOn w:val="3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2">
    <w:name w:val="Grid Table 4 - Accent 1"/>
    <w:basedOn w:val="34"/>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bl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blPr/>
      <w:tcPr>
        <w:tcBorders>
          <w:top w:val="single" w:color="68A3D8" w:themeColor="accent1" w:themeTint="E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EEBF6" w:themeColor="accent1" w:themeTint="32" w:fill="DEEBF6" w:themeFill="accent1" w:themeFillTint="32"/>
      </w:tcPr>
    </w:tblStylePr>
    <w:tblStylePr w:type="band2Vert">
      <w:tblPr/>
    </w:tblStylePr>
    <w:tblStylePr w:type="band1Horz">
      <w:rPr>
        <w:rFonts w:ascii="Arial" w:hAnsi="Arial"/>
        <w:color w:val="404040"/>
        <w:sz w:val="22"/>
      </w:rPr>
      <w:tblPr/>
      <w:tcPr>
        <w:shd w:val="clear" w:color="DEEBF6" w:themeColor="accent1" w:themeTint="32" w:fill="DEEBF6" w:themeFill="accent1"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3">
    <w:name w:val="Grid Table 4 - Accent 2"/>
    <w:basedOn w:val="34"/>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bl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blPr/>
      <w:tcPr>
        <w:tcBorders>
          <w:top w:val="single" w:color="F4B285" w:themeColor="accent2" w:themeTint="97"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BE5D6" w:themeColor="accent2" w:themeTint="32" w:fill="FBE5D6" w:themeFill="accent2" w:themeFillTint="32"/>
      </w:tcPr>
    </w:tblStylePr>
    <w:tblStylePr w:type="band2Vert">
      <w:tblPr/>
    </w:tblStylePr>
    <w:tblStylePr w:type="band1Horz">
      <w:rPr>
        <w:rFonts w:ascii="Arial" w:hAnsi="Arial"/>
        <w:color w:val="404040"/>
        <w:sz w:val="22"/>
      </w:rPr>
      <w:tblPr/>
      <w:tcPr>
        <w:shd w:val="clear" w:color="FBE5D6" w:themeColor="accent2" w:themeTint="32" w:fill="FBE5D6"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4">
    <w:name w:val="Grid Table 4 - Accent 3"/>
    <w:basedOn w:val="34"/>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bl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blPr/>
      <w:tcPr>
        <w:tcBorders>
          <w:top w:val="single" w:color="A5A5A5" w:themeColor="accent3" w:themeTint="FE"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CECEC" w:themeColor="accent3" w:themeTint="34" w:fill="ECECEC" w:themeFill="accent3" w:themeFillTint="34"/>
      </w:tcPr>
    </w:tblStylePr>
    <w:tblStylePr w:type="band2Vert">
      <w:tblPr/>
    </w:tblStylePr>
    <w:tblStylePr w:type="band1Horz">
      <w:rPr>
        <w:rFonts w:ascii="Arial" w:hAnsi="Arial"/>
        <w:color w:val="404040"/>
        <w:sz w:val="22"/>
      </w:rPr>
      <w:tblPr/>
      <w:tcPr>
        <w:shd w:val="clear" w:color="ECECEC" w:themeColor="accent3" w:themeTint="34" w:fill="ECECEC"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5">
    <w:name w:val="Grid Table 4 - Accent 4"/>
    <w:basedOn w:val="34"/>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bl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blPr/>
      <w:tcPr>
        <w:tcBorders>
          <w:top w:val="single" w:color="FFD864" w:themeColor="accent4" w:themeTint="9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EF2CA" w:themeColor="accent4" w:themeTint="34" w:fill="FEF2CA" w:themeFill="accent4" w:themeFillTint="34"/>
      </w:tcPr>
    </w:tblStylePr>
    <w:tblStylePr w:type="band2Vert">
      <w:tblPr/>
    </w:tblStylePr>
    <w:tblStylePr w:type="band1Horz">
      <w:rPr>
        <w:rFonts w:ascii="Arial" w:hAnsi="Arial"/>
        <w:color w:val="404040"/>
        <w:sz w:val="22"/>
      </w:rPr>
      <w:tblPr/>
      <w:tcPr>
        <w:shd w:val="clear" w:color="FEF2CA" w:themeColor="accent4" w:themeTint="34" w:fill="FEF2CA"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6">
    <w:name w:val="Grid Table 4 - Accent 5"/>
    <w:basedOn w:val="34"/>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blPr/>
      <w:tcPr>
        <w:tcBorders>
          <w:top w:val="single" w:color="4472C4" w:themeColor="accent5"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8E2F2" w:themeColor="accent5" w:themeTint="34" w:fill="D8E2F2" w:themeFill="accent5" w:themeFillTint="34"/>
      </w:tcPr>
    </w:tblStylePr>
    <w:tblStylePr w:type="band2Vert">
      <w:tblPr/>
    </w:tblStylePr>
    <w:tblStylePr w:type="band1Horz">
      <w:rPr>
        <w:rFonts w:ascii="Arial" w:hAnsi="Arial"/>
        <w:color w:val="404040"/>
        <w:sz w:val="22"/>
      </w:rPr>
      <w:tblPr/>
      <w:tcPr>
        <w:shd w:val="clear" w:color="D8E2F2" w:themeColor="accent5" w:themeTint="34" w:fill="D8E2F2"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7">
    <w:name w:val="Grid Table 4 - Accent 6"/>
    <w:basedOn w:val="34"/>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blPr/>
      <w:tcPr>
        <w:tcBorders>
          <w:top w:val="single" w:color="70AD47" w:themeColor="accent6"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1EFD8" w:themeColor="accent6" w:themeTint="34" w:fill="E1EFD8" w:themeFill="accent6" w:themeFillTint="34"/>
      </w:tcPr>
    </w:tblStylePr>
    <w:tblStylePr w:type="band2Vert">
      <w:tblPr/>
    </w:tblStylePr>
    <w:tblStylePr w:type="band1Horz">
      <w:rPr>
        <w:rFonts w:ascii="Arial" w:hAnsi="Arial"/>
        <w:color w:val="404040"/>
        <w:sz w:val="22"/>
      </w:rPr>
      <w:tblPr/>
      <w:tcPr>
        <w:shd w:val="clear" w:color="E1EFD8" w:themeColor="accent6" w:themeTint="34" w:fill="E1EFD8"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8">
    <w:name w:val="Grid Table 5 Dark"/>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98989" w:themeColor="text1" w:themeTint="75" w:fill="898989" w:themeFill="text1" w:themeFillTint="75"/>
      </w:tcPr>
    </w:tblStylePr>
    <w:tblStylePr w:type="band2Vert">
      <w:tblPr/>
    </w:tblStylePr>
    <w:tblStylePr w:type="band1Horz">
      <w:tblPr/>
      <w:tcPr>
        <w:shd w:val="clear" w:color="898989" w:themeColor="text1" w:themeTint="75" w:fill="898989" w:themeFill="tex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9">
    <w:name w:val="Grid Table 5 Dark- Accent 1"/>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1EB" w:themeColor="accent1" w:themeTint="75" w:fill="B3D1EB" w:themeFill="accent1" w:themeFillTint="75"/>
      </w:tcPr>
    </w:tblStylePr>
    <w:tblStylePr w:type="band2Vert">
      <w:tblPr/>
    </w:tblStylePr>
    <w:tblStylePr w:type="band1Horz">
      <w:tblPr/>
      <w:tcPr>
        <w:shd w:val="clear" w:color="B3D1EB" w:themeColor="accent1" w:themeTint="75" w:fill="B3D1EB" w:themeFill="accen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0">
    <w:name w:val="Grid Table 5 Dark - Accent 2"/>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2Vert">
      <w:tblPr/>
    </w:tblStylePr>
    <w:tblStylePr w:type="band1Horz">
      <w:tblPr/>
      <w:tcPr>
        <w:shd w:val="clear" w:color="F6C3A0" w:themeColor="accent2" w:themeTint="75" w:fill="F6C3A0" w:themeFill="accent2"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1">
    <w:name w:val="Grid Table 5 Dark - Accent 3"/>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2Vert">
      <w:tblPr/>
    </w:tblStylePr>
    <w:tblStylePr w:type="band1Horz">
      <w:tblPr/>
      <w:tcPr>
        <w:shd w:val="clear" w:color="D5D5D5" w:themeColor="accent3" w:themeTint="75" w:fill="D5D5D5" w:themeFill="accent3"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2">
    <w:name w:val="Grid Table 5 Dark- Accent 4"/>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EE289" w:themeColor="accent4" w:themeTint="75" w:fill="FEE289" w:themeFill="accent4" w:themeFillTint="75"/>
      </w:tcPr>
    </w:tblStylePr>
    <w:tblStylePr w:type="band2Vert">
      <w:tblPr/>
    </w:tblStylePr>
    <w:tblStylePr w:type="band1Horz">
      <w:tblPr/>
      <w:tcPr>
        <w:shd w:val="clear" w:color="FEE289" w:themeColor="accent4" w:themeTint="75" w:fill="FEE289" w:themeFill="accent4"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3">
    <w:name w:val="Grid Table 5 Dark - Accent 5"/>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3" w:themeColor="accent5" w:themeTint="75" w:fill="A9BEE3" w:themeFill="accent5" w:themeFillTint="75"/>
      </w:tcPr>
    </w:tblStylePr>
    <w:tblStylePr w:type="band2Vert">
      <w:tblPr/>
    </w:tblStylePr>
    <w:tblStylePr w:type="band1Horz">
      <w:tblPr/>
      <w:tcPr>
        <w:shd w:val="clear" w:color="A9BEE3" w:themeColor="accent5" w:themeTint="75" w:fill="A9BEE3" w:themeFill="accent5"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4">
    <w:name w:val="Grid Table 5 Dark - Accent 6"/>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2Vert">
      <w:tblPr/>
    </w:tblStylePr>
    <w:tblStylePr w:type="band1Horz">
      <w:tblPr/>
      <w:tcPr>
        <w:shd w:val="clear" w:color="BCDBA8" w:themeColor="accent6" w:themeTint="75" w:fill="BCDBA8" w:themeFill="accent6"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5">
    <w:name w:val="Grid Table 6 Colorful"/>
    <w:basedOn w:val="3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bl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Pr/>
    </w:tblStylePr>
    <w:tblStylePr w:type="firstCol">
      <w:rPr>
        <w:b/>
        <w:color w:val="808080" w:themeColor="text1" w:themeTint="80"/>
        <w14:textFill>
          <w14:solidFill>
            <w14:schemeClr w14:val="tx1">
              <w14:lumMod w14:val="50000"/>
              <w14:lumOff w14:val="50000"/>
            </w14:schemeClr>
          </w14:solidFill>
        </w14:textFill>
      </w:rPr>
      <w:tblPr/>
    </w:tblStylePr>
    <w:tblStylePr w:type="lastCol">
      <w:rPr>
        <w:b/>
        <w:color w:val="808080" w:themeColor="text1" w:themeTint="80"/>
        <w14:textFill>
          <w14:solidFill>
            <w14:schemeClr w14:val="tx1">
              <w14:lumMod w14:val="50000"/>
              <w14:lumOff w14:val="50000"/>
            </w14:schemeClr>
          </w14:solidFill>
        </w14:textFill>
      </w:rPr>
      <w:tblPr/>
    </w:tblStylePr>
    <w:tblStylePr w:type="band1Vert">
      <w:tblPr/>
      <w:tcPr>
        <w:shd w:val="clear" w:color="CACACA" w:themeColor="text1" w:themeTint="34" w:fill="CACACA" w:themeFill="text1" w:themeFillTint="34"/>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6">
    <w:name w:val="Grid Table 6 Colorful - Accent 1"/>
    <w:basedOn w:val="34"/>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bl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Pr/>
    </w:tblStylePr>
    <w:tblStylePr w:type="firstCol">
      <w:rPr>
        <w:b/>
        <w:color w:val="ADCDEA" w:themeColor="accent1" w:themeTint="80"/>
        <w14:textFill>
          <w14:solidFill>
            <w14:schemeClr w14:val="accent1">
              <w14:lumMod w14:val="50000"/>
              <w14:lumOff w14:val="50000"/>
            </w14:schemeClr>
          </w14:solidFill>
        </w14:textFill>
      </w:rPr>
      <w:tblPr/>
    </w:tblStylePr>
    <w:tblStylePr w:type="lastCol">
      <w:rPr>
        <w:b/>
        <w:color w:val="ADCDEA" w:themeColor="accent1" w:themeTint="80"/>
        <w14:textFill>
          <w14:solidFill>
            <w14:schemeClr w14:val="accent1">
              <w14:lumMod w14:val="50000"/>
              <w14:lumOff w14:val="50000"/>
            </w14:schemeClr>
          </w14:solidFill>
        </w14:textFill>
      </w:rPr>
      <w:tblPr/>
    </w:tblStylePr>
    <w:tblStylePr w:type="band1Vert">
      <w:tblPr/>
      <w:tcPr>
        <w:shd w:val="clear" w:color="DDEAF6" w:themeColor="accent1" w:themeTint="34" w:fill="DDEAF6" w:themeFill="accent1" w:themeFillTint="34"/>
      </w:tcPr>
    </w:tblStylePr>
    <w:tblStylePr w:type="band2Vert">
      <w:tbl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bl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7">
    <w:name w:val="Grid Table 6 Colorful - Accent 2"/>
    <w:basedOn w:val="34"/>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bl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Pr/>
    </w:tblStylePr>
    <w:tblStylePr w:type="firstCol">
      <w:rPr>
        <w:b/>
        <w:color w:val="F4B285" w:themeColor="accent2" w:themeTint="96"/>
        <w14:textFill>
          <w14:solidFill>
            <w14:schemeClr w14:val="accent2">
              <w14:lumMod w14:val="59000"/>
              <w14:lumOff w14:val="41000"/>
            </w14:schemeClr>
          </w14:solidFill>
        </w14:textFill>
      </w:rPr>
      <w:tblPr/>
    </w:tblStylePr>
    <w:tblStylePr w:type="lastCol">
      <w:rPr>
        <w:b/>
        <w:color w:val="F4B285" w:themeColor="accent2" w:themeTint="96"/>
        <w14:textFill>
          <w14:solidFill>
            <w14:schemeClr w14:val="accent2">
              <w14:lumMod w14:val="59000"/>
              <w14:lumOff w14:val="41000"/>
            </w14:schemeClr>
          </w14:solidFill>
        </w14:textFill>
      </w:rPr>
      <w:tblPr/>
    </w:tblStylePr>
    <w:tblStylePr w:type="band1Vert">
      <w:tblPr/>
      <w:tcPr>
        <w:shd w:val="clear" w:color="FBE5D6" w:themeColor="accent2" w:themeTint="32" w:fill="FBE5D6" w:themeFill="accent2" w:themeFillTint="32"/>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8">
    <w:name w:val="Grid Table 6 Colorful - Accent 3"/>
    <w:basedOn w:val="34"/>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bl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Pr/>
    </w:tblStylePr>
    <w:tblStylePr w:type="firstCol">
      <w:rPr>
        <w:b/>
        <w:color w:val="A5A5A5" w:themeColor="accent3" w:themeTint="FF"/>
        <w14:textFill>
          <w14:solidFill>
            <w14:schemeClr w14:val="accent3">
              <w14:lumMod w14:val="100000"/>
              <w14:lumOff w14:val="0"/>
            </w14:schemeClr>
          </w14:solidFill>
        </w14:textFill>
      </w:rPr>
      <w:tblPr/>
    </w:tblStylePr>
    <w:tblStylePr w:type="lastCol">
      <w:rPr>
        <w:b/>
        <w:color w:val="A5A5A5" w:themeColor="accent3" w:themeTint="FF"/>
        <w14:textFill>
          <w14:solidFill>
            <w14:schemeClr w14:val="accent3">
              <w14:lumMod w14:val="100000"/>
              <w14:lumOff w14:val="0"/>
            </w14:schemeClr>
          </w14:solidFill>
        </w14:textFill>
      </w:rPr>
      <w:tblPr/>
    </w:tblStylePr>
    <w:tblStylePr w:type="band1Vert">
      <w:tblPr/>
      <w:tcPr>
        <w:shd w:val="clear" w:color="ECECEC" w:themeColor="accent3" w:themeTint="34" w:fill="ECECEC" w:themeFill="accent3" w:themeFillTint="34"/>
      </w:tcPr>
    </w:tblStylePr>
    <w:tblStylePr w:type="band2Vert">
      <w:tblPr/>
    </w:tblStylePr>
    <w:tblStylePr w:type="band1Horz">
      <w:rPr>
        <w:rFonts w:ascii="Arial" w:hAnsi="Arial"/>
        <w:color w:val="A5A5A5" w:themeColor="accent3" w:themeTint="FF"/>
        <w:sz w:val="22"/>
        <w14:textFill>
          <w14:solidFill>
            <w14:schemeClr w14:val="accent3">
              <w14:lumMod w14:val="100000"/>
              <w14:lumOff w14:val="0"/>
            </w14:schemeClr>
          </w14:solidFill>
        </w14:textFill>
      </w:rPr>
      <w:tbl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9">
    <w:name w:val="Grid Table 6 Colorful - Accent 4"/>
    <w:basedOn w:val="34"/>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bl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Pr/>
    </w:tblStylePr>
    <w:tblStylePr w:type="firstCol">
      <w:rPr>
        <w:b/>
        <w:color w:val="FFD966" w:themeColor="accent4" w:themeTint="99"/>
        <w14:textFill>
          <w14:solidFill>
            <w14:schemeClr w14:val="accent4">
              <w14:lumMod w14:val="60000"/>
              <w14:lumOff w14:val="40000"/>
            </w14:schemeClr>
          </w14:solidFill>
        </w14:textFill>
      </w:rPr>
      <w:tblPr/>
    </w:tblStylePr>
    <w:tblStylePr w:type="lastCol">
      <w:rPr>
        <w:b/>
        <w:color w:val="FFD966" w:themeColor="accent4" w:themeTint="99"/>
        <w14:textFill>
          <w14:solidFill>
            <w14:schemeClr w14:val="accent4">
              <w14:lumMod w14:val="60000"/>
              <w14:lumOff w14:val="40000"/>
            </w14:schemeClr>
          </w14:solidFill>
        </w14:textFill>
      </w:rPr>
      <w:tblPr/>
    </w:tblStylePr>
    <w:tblStylePr w:type="band1Vert">
      <w:tblPr/>
      <w:tcPr>
        <w:shd w:val="clear" w:color="FEF2CA" w:themeColor="accent4" w:themeTint="34" w:fill="FEF2CA" w:themeFill="accent4" w:themeFillTint="34"/>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90">
    <w:name w:val="Grid Table 6 Colorful - Accent 5"/>
    <w:basedOn w:val="34"/>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blPr/>
      <w:tcPr>
        <w:tcBorders>
          <w:bottom w:val="single" w:color="4472C4" w:themeColor="accent5" w:sz="12" w:space="0"/>
        </w:tcBorders>
      </w:tcPr>
    </w:tblStylePr>
    <w:tblStylePr w:type="lastRow">
      <w:rPr>
        <w:b/>
        <w:color w:val="254174" w:themeColor="accent5" w:themeShade="94"/>
      </w:rPr>
      <w:tblPr/>
    </w:tblStylePr>
    <w:tblStylePr w:type="firstCol">
      <w:rPr>
        <w:b/>
        <w:color w:val="254174" w:themeColor="accent5" w:themeShade="94"/>
      </w:rPr>
      <w:tblPr/>
    </w:tblStylePr>
    <w:tblStylePr w:type="lastCol">
      <w:rPr>
        <w:b/>
        <w:color w:val="254174" w:themeColor="accent5" w:themeShade="94"/>
      </w:rPr>
      <w:tblPr/>
    </w:tblStylePr>
    <w:tblStylePr w:type="band1Vert">
      <w:tblPr/>
      <w:tcPr>
        <w:shd w:val="clear" w:color="D8E2F2" w:themeColor="accent5" w:themeTint="34" w:fill="D8E2F2" w:themeFill="accent5" w:themeFillTint="34"/>
      </w:tcPr>
    </w:tblStylePr>
    <w:tblStylePr w:type="band2Vert">
      <w:tblPr/>
    </w:tblStylePr>
    <w:tblStylePr w:type="band1Horz">
      <w:rPr>
        <w:rFonts w:ascii="Arial" w:hAnsi="Arial"/>
        <w:color w:val="254174" w:themeColor="accent5" w:themeShade="94"/>
        <w:sz w:val="22"/>
      </w:rPr>
      <w:tblPr/>
      <w:tcPr>
        <w:shd w:val="clear" w:color="D8E2F2" w:themeColor="accent5" w:themeTint="34" w:fill="D8E2F2" w:themeFill="accent5" w:themeFillTint="34"/>
      </w:tcPr>
    </w:tblStylePr>
    <w:tblStylePr w:type="band2Horz">
      <w:rPr>
        <w:rFonts w:ascii="Arial" w:hAnsi="Arial"/>
        <w:color w:val="254174"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91">
    <w:name w:val="Grid Table 6 Colorful - Accent 6"/>
    <w:basedOn w:val="34"/>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blPr/>
      <w:tcPr>
        <w:tcBorders>
          <w:bottom w:val="single" w:color="70AD47" w:themeColor="accent6" w:sz="12" w:space="0"/>
        </w:tcBorders>
      </w:tcPr>
    </w:tblStylePr>
    <w:tblStylePr w:type="lastRow">
      <w:rPr>
        <w:b/>
        <w:color w:val="254174" w:themeColor="accent5" w:themeShade="94"/>
      </w:rPr>
      <w:tblPr/>
    </w:tblStylePr>
    <w:tblStylePr w:type="firstCol">
      <w:rPr>
        <w:b/>
        <w:color w:val="254174" w:themeColor="accent5" w:themeShade="94"/>
      </w:rPr>
      <w:tblPr/>
    </w:tblStylePr>
    <w:tblStylePr w:type="lastCol">
      <w:rPr>
        <w:b/>
        <w:color w:val="254174" w:themeColor="accent5" w:themeShade="94"/>
      </w:rPr>
      <w:tblPr/>
    </w:tblStylePr>
    <w:tblStylePr w:type="band1Vert">
      <w:tblPr/>
      <w:tcPr>
        <w:shd w:val="clear" w:color="E1EFD8" w:themeColor="accent6" w:themeTint="34" w:fill="E1EFD8" w:themeFill="accent6" w:themeFillTint="34"/>
      </w:tcPr>
    </w:tblStylePr>
    <w:tblStylePr w:type="band2Vert">
      <w:tblPr/>
    </w:tblStylePr>
    <w:tblStylePr w:type="band1Horz">
      <w:rPr>
        <w:rFonts w:ascii="Arial" w:hAnsi="Arial"/>
        <w:color w:val="254174" w:themeColor="accent5" w:themeShade="94"/>
        <w:sz w:val="22"/>
      </w:rPr>
      <w:tblPr/>
      <w:tcPr>
        <w:shd w:val="clear" w:color="E1EFD8" w:themeColor="accent6" w:themeTint="34" w:fill="E1EFD8" w:themeFill="accent6" w:themeFillTint="34"/>
      </w:tcPr>
    </w:tblStylePr>
    <w:tblStylePr w:type="band2Horz">
      <w:rPr>
        <w:rFonts w:ascii="Arial" w:hAnsi="Arial"/>
        <w:color w:val="254174"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92">
    <w:name w:val="Grid Table 7 Colorful"/>
    <w:basedOn w:val="3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F1F1F1" w:themeColor="text1" w:themeTint="0D" w:fill="F1F1F1" w:themeFill="text1" w:themeFillTint="0D"/>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93">
    <w:name w:val="Grid Table 7 Colorful - Accent 1"/>
    <w:basedOn w:val="34"/>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bl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bl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bl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blPr/>
      <w:tcPr>
        <w:tcBorders>
          <w:top w:val="nil"/>
          <w:left w:val="single" w:color="ACCCE9" w:themeColor="accent1" w:themeTint="80" w:sz="4" w:space="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2Vert">
      <w:tbl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bl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94">
    <w:name w:val="Grid Table 7 Colorful - Accent 2"/>
    <w:basedOn w:val="34"/>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bl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bl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single" w:color="F4B285" w:themeColor="accent2" w:themeTint="97" w:sz="4" w:space="0"/>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95">
    <w:name w:val="Grid Table 7 Colorful - Accent 3"/>
    <w:basedOn w:val="34"/>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bl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bl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bl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blPr/>
      <w:tcPr>
        <w:tcBorders>
          <w:top w:val="nil"/>
          <w:left w:val="single" w:color="A5A5A5" w:themeColor="accent3" w:themeTint="FE" w:sz="4" w:space="0"/>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2Vert">
      <w:tblPr/>
    </w:tblStylePr>
    <w:tblStylePr w:type="band1Horz">
      <w:rPr>
        <w:rFonts w:ascii="Arial" w:hAnsi="Arial"/>
        <w:color w:val="A5A5A5" w:themeColor="accent3" w:themeTint="FF"/>
        <w:sz w:val="22"/>
        <w14:textFill>
          <w14:solidFill>
            <w14:schemeClr w14:val="accent3">
              <w14:lumMod w14:val="100000"/>
              <w14:lumOff w14:val="0"/>
            </w14:schemeClr>
          </w14:solidFill>
        </w14:textFill>
      </w:rPr>
      <w:tbl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96">
    <w:name w:val="Grid Table 7 Colorful - Accent 4"/>
    <w:basedOn w:val="34"/>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bl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bl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single" w:color="FFD864" w:themeColor="accent4" w:themeTint="9A" w:sz="4" w:space="0"/>
          <w:bottom w:val="nil"/>
          <w:right w:val="nil"/>
        </w:tcBorders>
        <w:shd w:val="clear" w:color="FFFFFF" w:fill="auto"/>
      </w:tcPr>
    </w:tblStylePr>
    <w:tblStylePr w:type="band1Vert">
      <w:tblPr/>
      <w:tcPr>
        <w:shd w:val="clear" w:color="FEF2CA" w:themeColor="accent4" w:themeTint="34" w:fill="FEF2CA" w:themeFill="accent4" w:themeFillTint="34"/>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97">
    <w:name w:val="Grid Table 7 Colorful - Accent 5"/>
    <w:basedOn w:val="34"/>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bl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bl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bl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blPr/>
      <w:tcPr>
        <w:tcBorders>
          <w:top w:val="nil"/>
          <w:left w:val="single" w:color="95AFDD" w:themeColor="accent5" w:themeTint="90" w:sz="4" w:space="0"/>
          <w:bottom w:val="nil"/>
          <w:right w:val="nil"/>
        </w:tcBorders>
        <w:shd w:val="clear" w:color="FFFFFF" w:fill="auto"/>
      </w:tcPr>
    </w:tblStylePr>
    <w:tblStylePr w:type="band1Vert">
      <w:tblPr/>
      <w:tcPr>
        <w:shd w:val="clear" w:color="D8E2F2" w:themeColor="accent5" w:themeTint="34" w:fill="D8E2F2" w:themeFill="accent5" w:themeFillTint="34"/>
      </w:tcPr>
    </w:tblStylePr>
    <w:tblStylePr w:type="band2Vert">
      <w:tblPr/>
    </w:tblStylePr>
    <w:tblStylePr w:type="band1Horz">
      <w:rPr>
        <w:rFonts w:ascii="Arial" w:hAnsi="Arial"/>
        <w:color w:val="254174" w:themeColor="accent5" w:themeShade="94"/>
        <w:sz w:val="22"/>
      </w:rPr>
      <w:tblPr/>
      <w:tcPr>
        <w:shd w:val="clear" w:color="D8E2F2" w:themeColor="accent5" w:themeTint="34" w:fill="D8E2F2" w:themeFill="accent5" w:themeFillTint="34"/>
      </w:tcPr>
    </w:tblStylePr>
    <w:tblStylePr w:type="band2Horz">
      <w:rPr>
        <w:rFonts w:ascii="Arial" w:hAnsi="Arial"/>
        <w:color w:val="254174"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98">
    <w:name w:val="Grid Table 7 Colorful - Accent 6"/>
    <w:basedOn w:val="34"/>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bl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bl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bl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blPr/>
      <w:tcPr>
        <w:tcBorders>
          <w:top w:val="nil"/>
          <w:left w:val="single" w:color="ADD394" w:themeColor="accent6" w:themeTint="90" w:sz="4" w:space="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2Vert">
      <w:tblPr/>
    </w:tblStylePr>
    <w:tblStylePr w:type="band1Horz">
      <w:rPr>
        <w:rFonts w:ascii="Arial" w:hAnsi="Arial"/>
        <w:color w:val="416429" w:themeColor="accent6" w:themeShade="94"/>
        <w:sz w:val="22"/>
      </w:rPr>
      <w:tblPr/>
      <w:tcPr>
        <w:shd w:val="clear" w:color="E1EFD8" w:themeColor="accent6" w:themeTint="34" w:fill="E1EFD8" w:themeFill="accent6" w:themeFillTint="34"/>
      </w:tcPr>
    </w:tblStylePr>
    <w:tblStylePr w:type="band2Horz">
      <w:rPr>
        <w:rFonts w:ascii="Arial" w:hAnsi="Arial"/>
        <w:color w:val="416429" w:themeColor="accent6" w:themeShade="94"/>
        <w:sz w:val="22"/>
      </w:rPr>
      <w:tblPr/>
    </w:tblStylePr>
    <w:tblStylePr w:type="neCell">
      <w:tblPr/>
    </w:tblStylePr>
    <w:tblStylePr w:type="nwCell">
      <w:tblPr/>
    </w:tblStylePr>
    <w:tblStylePr w:type="seCell">
      <w:tblPr/>
    </w:tblStylePr>
    <w:tblStylePr w:type="swCell">
      <w:tblPr/>
    </w:tblStylePr>
  </w:style>
  <w:style w:type="table" w:customStyle="1" w:styleId="99">
    <w:name w:val="List Table 1 Light"/>
    <w:basedOn w:val="34"/>
    <w:uiPriority w:val="99"/>
    <w:pPr>
      <w:spacing w:after="0" w:line="240" w:lineRule="auto"/>
    </w:pPr>
    <w:tblPr/>
    <w:tblStylePr w:type="firstRow">
      <w:rPr>
        <w:b/>
        <w:color w:val="404040"/>
      </w:rPr>
      <w:tblPr/>
      <w:tcPr>
        <w:tcBorders>
          <w:top w:val="nil"/>
          <w:left w:val="nil"/>
          <w:bottom w:val="single" w:color="000000" w:themeColor="text1" w:sz="4" w:space="0"/>
          <w:right w:val="nil"/>
        </w:tcBorders>
      </w:tcPr>
    </w:tblStylePr>
    <w:tblStylePr w:type="lastRow">
      <w:rPr>
        <w:b/>
        <w:color w:val="404040"/>
      </w:rPr>
      <w:tblPr/>
      <w:tcPr>
        <w:tcBorders>
          <w:top w:val="single" w:color="000000" w:themeColor="tex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BEBEBE" w:themeColor="text1" w:themeTint="40" w:fill="BEBEBE" w:themeFill="text1" w:themeFillTint="40"/>
      </w:tcPr>
    </w:tblStylePr>
    <w:tblStylePr w:type="band2Vert">
      <w:tblPr/>
    </w:tblStylePr>
    <w:tblStylePr w:type="band1Horz">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0">
    <w:name w:val="List Table 1 Light - Accent 1"/>
    <w:basedOn w:val="34"/>
    <w:uiPriority w:val="99"/>
    <w:pPr>
      <w:spacing w:after="0" w:line="240" w:lineRule="auto"/>
    </w:pPr>
    <w:tblPr/>
    <w:tblStylePr w:type="firstRow">
      <w:rPr>
        <w:b/>
        <w:color w:val="404040"/>
      </w:rPr>
      <w:tblPr/>
      <w:tcPr>
        <w:tcBorders>
          <w:top w:val="nil"/>
          <w:left w:val="nil"/>
          <w:bottom w:val="single" w:color="5B9BD5" w:themeColor="accent1" w:sz="4" w:space="0"/>
          <w:right w:val="nil"/>
        </w:tcBorders>
      </w:tcPr>
    </w:tblStylePr>
    <w:tblStylePr w:type="lastRow">
      <w:rPr>
        <w:b/>
        <w:color w:val="404040"/>
      </w:rPr>
      <w:tblPr/>
      <w:tcPr>
        <w:tcBorders>
          <w:top w:val="single" w:color="5B9BD5" w:themeColor="accen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5E5F4" w:themeColor="accent1" w:themeTint="40" w:fill="D5E5F4" w:themeFill="accent1" w:themeFillTint="40"/>
      </w:tcPr>
    </w:tblStylePr>
    <w:tblStylePr w:type="band2Vert">
      <w:tblPr/>
    </w:tblStylePr>
    <w:tblStylePr w:type="band1Horz">
      <w:tblPr/>
      <w:tcPr>
        <w:shd w:val="clear" w:color="D5E5F4" w:themeColor="accent1" w:themeTint="40" w:fill="D5E5F4"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1">
    <w:name w:val="List Table 1 Light - Accent 2"/>
    <w:basedOn w:val="34"/>
    <w:uiPriority w:val="99"/>
    <w:pPr>
      <w:spacing w:after="0" w:line="240" w:lineRule="auto"/>
    </w:pPr>
    <w:tblPr/>
    <w:tblStylePr w:type="firstRow">
      <w:rPr>
        <w:b/>
        <w:color w:val="404040"/>
      </w:rPr>
      <w:tblPr/>
      <w:tcPr>
        <w:tcBorders>
          <w:top w:val="nil"/>
          <w:left w:val="nil"/>
          <w:bottom w:val="single" w:color="ED7D31" w:themeColor="accent2" w:sz="4" w:space="0"/>
          <w:right w:val="nil"/>
        </w:tcBorders>
      </w:tcPr>
    </w:tblStylePr>
    <w:tblStylePr w:type="lastRow">
      <w:rPr>
        <w:b/>
        <w:color w:val="404040"/>
      </w:rPr>
      <w:tblPr/>
      <w:tcPr>
        <w:tcBorders>
          <w:top w:val="single" w:color="ED7D31" w:themeColor="accent2"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ADECB" w:themeColor="accent2" w:themeTint="40" w:fill="FADECB" w:themeFill="accent2" w:themeFillTint="40"/>
      </w:tcPr>
    </w:tblStylePr>
    <w:tblStylePr w:type="band2Vert">
      <w:tblPr/>
    </w:tblStylePr>
    <w:tblStylePr w:type="band1Horz">
      <w:tblPr/>
      <w:tcPr>
        <w:shd w:val="clear" w:color="FADECB" w:themeColor="accent2" w:themeTint="40" w:fill="FADECB"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2">
    <w:name w:val="List Table 1 Light - Accent 3"/>
    <w:basedOn w:val="34"/>
    <w:uiPriority w:val="99"/>
    <w:pPr>
      <w:spacing w:after="0" w:line="240" w:lineRule="auto"/>
    </w:pPr>
    <w:tblPr/>
    <w:tblStylePr w:type="firstRow">
      <w:rPr>
        <w:b/>
        <w:color w:val="404040"/>
      </w:rPr>
      <w:tblPr/>
      <w:tcPr>
        <w:tcBorders>
          <w:top w:val="nil"/>
          <w:left w:val="nil"/>
          <w:bottom w:val="single" w:color="A5A5A5" w:themeColor="accent3" w:sz="4" w:space="0"/>
          <w:right w:val="nil"/>
        </w:tcBorders>
      </w:tcPr>
    </w:tblStylePr>
    <w:tblStylePr w:type="lastRow">
      <w:rPr>
        <w:b/>
        <w:color w:val="404040"/>
      </w:rPr>
      <w:tblPr/>
      <w:tcPr>
        <w:tcBorders>
          <w:top w:val="single" w:color="A5A5A5" w:themeColor="accent3"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8E8E8" w:themeColor="accent3" w:themeTint="40" w:fill="E8E8E8" w:themeFill="accent3" w:themeFillTint="40"/>
      </w:tcPr>
    </w:tblStylePr>
    <w:tblStylePr w:type="band2Vert">
      <w:tblPr/>
    </w:tblStylePr>
    <w:tblStylePr w:type="band1Horz">
      <w:tblPr/>
      <w:tcPr>
        <w:shd w:val="clear" w:color="E8E8E8" w:themeColor="accent3" w:themeTint="40" w:fill="E8E8E8"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3">
    <w:name w:val="List Table 1 Light - Accent 4"/>
    <w:basedOn w:val="34"/>
    <w:uiPriority w:val="99"/>
    <w:pPr>
      <w:spacing w:after="0" w:line="240" w:lineRule="auto"/>
    </w:pPr>
    <w:tblPr/>
    <w:tblStylePr w:type="firstRow">
      <w:rPr>
        <w:b/>
        <w:color w:val="404040"/>
      </w:rPr>
      <w:tblPr/>
      <w:tcPr>
        <w:tcBorders>
          <w:top w:val="nil"/>
          <w:left w:val="nil"/>
          <w:bottom w:val="single" w:color="FFC000" w:themeColor="accent4" w:sz="4" w:space="0"/>
          <w:right w:val="nil"/>
        </w:tcBorders>
      </w:tcPr>
    </w:tblStylePr>
    <w:tblStylePr w:type="lastRow">
      <w:rPr>
        <w:b/>
        <w:color w:val="404040"/>
      </w:rPr>
      <w:tblPr/>
      <w:tcPr>
        <w:tcBorders>
          <w:top w:val="single" w:color="FFC000" w:themeColor="accent4"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FEFBE" w:themeColor="accent4" w:themeTint="40" w:fill="FFEFBE" w:themeFill="accent4" w:themeFillTint="40"/>
      </w:tcPr>
    </w:tblStylePr>
    <w:tblStylePr w:type="band2Vert">
      <w:tblPr/>
    </w:tblStylePr>
    <w:tblStylePr w:type="band1Horz">
      <w:tblPr/>
      <w:tcPr>
        <w:shd w:val="clear" w:color="FFEFBE" w:themeColor="accent4" w:themeTint="40" w:fill="FFEFBE"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4">
    <w:name w:val="List Table 1 Light - Accent 5"/>
    <w:basedOn w:val="34"/>
    <w:uiPriority w:val="99"/>
    <w:pPr>
      <w:spacing w:after="0" w:line="240" w:lineRule="auto"/>
    </w:pPr>
    <w:tblPr/>
    <w:tblStylePr w:type="firstRow">
      <w:rPr>
        <w:b/>
        <w:color w:val="404040"/>
      </w:rPr>
      <w:tblPr/>
      <w:tcPr>
        <w:tcBorders>
          <w:top w:val="nil"/>
          <w:left w:val="nil"/>
          <w:bottom w:val="single" w:color="4472C4" w:themeColor="accent5" w:sz="4" w:space="0"/>
          <w:right w:val="nil"/>
        </w:tcBorders>
      </w:tcPr>
    </w:tblStylePr>
    <w:tblStylePr w:type="lastRow">
      <w:rPr>
        <w:b/>
        <w:color w:val="404040"/>
      </w:rPr>
      <w:tblPr/>
      <w:tcPr>
        <w:tcBorders>
          <w:top w:val="single" w:color="4472C4" w:themeColor="accent5"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0DBF0" w:themeColor="accent5" w:themeTint="40" w:fill="D0DBF0" w:themeFill="accent5" w:themeFillTint="40"/>
      </w:tcPr>
    </w:tblStylePr>
    <w:tblStylePr w:type="band2Vert">
      <w:tblPr/>
    </w:tblStylePr>
    <w:tblStylePr w:type="band1Horz">
      <w:tblPr/>
      <w:tcPr>
        <w:shd w:val="clear" w:color="D0DBF0" w:themeColor="accent5" w:themeTint="40" w:fill="D0DB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5">
    <w:name w:val="List Table 1 Light - Accent 6"/>
    <w:basedOn w:val="34"/>
    <w:uiPriority w:val="99"/>
    <w:pPr>
      <w:spacing w:after="0" w:line="240" w:lineRule="auto"/>
    </w:pPr>
    <w:tblPr/>
    <w:tblStylePr w:type="firstRow">
      <w:rPr>
        <w:b/>
        <w:color w:val="404040"/>
      </w:rPr>
      <w:tblPr/>
      <w:tcPr>
        <w:tcBorders>
          <w:top w:val="nil"/>
          <w:left w:val="nil"/>
          <w:bottom w:val="single" w:color="70AD47" w:themeColor="accent6" w:sz="4" w:space="0"/>
          <w:right w:val="nil"/>
        </w:tcBorders>
      </w:tcPr>
    </w:tblStylePr>
    <w:tblStylePr w:type="lastRow">
      <w:rPr>
        <w:b/>
        <w:color w:val="404040"/>
      </w:rPr>
      <w:tblPr/>
      <w:tcPr>
        <w:tcBorders>
          <w:top w:val="single" w:color="70AD47" w:themeColor="accent6"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AEBCF" w:themeColor="accent6" w:themeTint="40" w:fill="DAEBCF" w:themeFill="accent6" w:themeFillTint="40"/>
      </w:tcPr>
    </w:tblStylePr>
    <w:tblStylePr w:type="band2Vert">
      <w:tblPr/>
    </w:tblStylePr>
    <w:tblStylePr w:type="band1Horz">
      <w:tblPr/>
      <w:tcPr>
        <w:shd w:val="clear" w:color="DAEBCF" w:themeColor="accent6" w:themeTint="40" w:fill="DAEBCF"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6">
    <w:name w:val="List Table 2"/>
    <w:basedOn w:val="3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7">
    <w:name w:val="List Table 2 - Accent 1"/>
    <w:basedOn w:val="34"/>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bl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bl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5E5F4" w:themeColor="accent1" w:themeTint="40" w:fill="D5E5F4" w:themeFill="accent1" w:themeFillTint="40"/>
      </w:tcPr>
    </w:tblStylePr>
    <w:tblStylePr w:type="band2Vert">
      <w:tblPr/>
    </w:tblStylePr>
    <w:tblStylePr w:type="band1Horz">
      <w:rPr>
        <w:rFonts w:ascii="Arial" w:hAnsi="Arial"/>
        <w:color w:val="404040"/>
        <w:sz w:val="22"/>
      </w:rPr>
      <w:tblPr/>
      <w:tcPr>
        <w:shd w:val="clear" w:color="D5E5F4" w:themeColor="accent1" w:themeTint="40" w:fill="D5E5F4"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8">
    <w:name w:val="List Table 2 - Accent 2"/>
    <w:basedOn w:val="34"/>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bl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bl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ADECB" w:themeColor="accent2" w:themeTint="40" w:fill="FADECB" w:themeFill="accent2" w:themeFillTint="40"/>
      </w:tcPr>
    </w:tblStylePr>
    <w:tblStylePr w:type="band2Vert">
      <w:tblPr/>
    </w:tblStylePr>
    <w:tblStylePr w:type="band1Horz">
      <w:rPr>
        <w:rFonts w:ascii="Arial" w:hAnsi="Arial"/>
        <w:color w:val="404040"/>
        <w:sz w:val="22"/>
      </w:rPr>
      <w:tblPr/>
      <w:tcPr>
        <w:shd w:val="clear" w:color="FADECB" w:themeColor="accent2" w:themeTint="40" w:fill="FADECB"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9">
    <w:name w:val="List Table 2 - Accent 3"/>
    <w:basedOn w:val="34"/>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bl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bl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8E8E8" w:themeColor="accent3" w:themeTint="40" w:fill="E8E8E8" w:themeFill="accent3" w:themeFillTint="40"/>
      </w:tcPr>
    </w:tblStylePr>
    <w:tblStylePr w:type="band2Vert">
      <w:tblPr/>
    </w:tblStylePr>
    <w:tblStylePr w:type="band1Horz">
      <w:rPr>
        <w:rFonts w:ascii="Arial" w:hAnsi="Arial"/>
        <w:color w:val="404040"/>
        <w:sz w:val="22"/>
      </w:rPr>
      <w:tblPr/>
      <w:tcPr>
        <w:shd w:val="clear" w:color="E8E8E8" w:themeColor="accent3" w:themeTint="40" w:fill="E8E8E8"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0">
    <w:name w:val="List Table 2 - Accent 4"/>
    <w:basedOn w:val="34"/>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bl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bl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FEFBE" w:themeColor="accent4" w:themeTint="40" w:fill="FFEFBE" w:themeFill="accent4" w:themeFillTint="40"/>
      </w:tcPr>
    </w:tblStylePr>
    <w:tblStylePr w:type="band2Vert">
      <w:tblPr/>
    </w:tblStylePr>
    <w:tblStylePr w:type="band1Horz">
      <w:rPr>
        <w:rFonts w:ascii="Arial" w:hAnsi="Arial"/>
        <w:color w:val="404040"/>
        <w:sz w:val="22"/>
      </w:rPr>
      <w:tblPr/>
      <w:tcPr>
        <w:shd w:val="clear" w:color="FFEFBE" w:themeColor="accent4" w:themeTint="40" w:fill="FFEFBE"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1">
    <w:name w:val="List Table 2 - Accent 5"/>
    <w:basedOn w:val="34"/>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bl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bl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0DBF0" w:themeColor="accent5" w:themeTint="40" w:fill="D0DBF0" w:themeFill="accent5" w:themeFillTint="40"/>
      </w:tcPr>
    </w:tblStylePr>
    <w:tblStylePr w:type="band2Vert">
      <w:tblPr/>
    </w:tblStylePr>
    <w:tblStylePr w:type="band1Horz">
      <w:rPr>
        <w:rFonts w:ascii="Arial" w:hAnsi="Arial"/>
        <w:color w:val="404040"/>
        <w:sz w:val="22"/>
      </w:rPr>
      <w:tblPr/>
      <w:tcPr>
        <w:shd w:val="clear" w:color="D0DBF0" w:themeColor="accent5" w:themeTint="40" w:fill="D0DB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2">
    <w:name w:val="List Table 2 - Accent 6"/>
    <w:basedOn w:val="34"/>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bl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bl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AEBCF" w:themeColor="accent6" w:themeTint="40" w:fill="DAEBCF" w:themeFill="accent6" w:themeFillTint="40"/>
      </w:tcPr>
    </w:tblStylePr>
    <w:tblStylePr w:type="band2Vert">
      <w:tblPr/>
    </w:tblStylePr>
    <w:tblStylePr w:type="band1Horz">
      <w:rPr>
        <w:rFonts w:ascii="Arial" w:hAnsi="Arial"/>
        <w:color w:val="404040"/>
        <w:sz w:val="22"/>
      </w:rPr>
      <w:tblPr/>
      <w:tcPr>
        <w:shd w:val="clear" w:color="DAEBCF" w:themeColor="accent6" w:themeTint="40" w:fill="DAEBCF"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3">
    <w:name w:val="List Table 3"/>
    <w:basedOn w:val="3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2Vert">
      <w:tbl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4">
    <w:name w:val="List Table 3 - Accent 1"/>
    <w:basedOn w:val="34"/>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5B9BD5" w:themeColor="accent1" w:sz="4" w:space="0"/>
          <w:right w:val="single" w:color="5B9BD5" w:themeColor="accent1" w:sz="4" w:space="0"/>
        </w:tcBorders>
      </w:tcPr>
    </w:tblStylePr>
    <w:tblStylePr w:type="band2Vert">
      <w:tblPr/>
    </w:tblStylePr>
    <w:tblStylePr w:type="band1Horz">
      <w:rPr>
        <w:rFonts w:ascii="Arial" w:hAnsi="Arial"/>
        <w:color w:val="404040"/>
        <w:sz w:val="22"/>
      </w:rPr>
      <w:tblPr/>
      <w:tcPr>
        <w:tcBorders>
          <w:top w:val="single" w:color="5B9BD5" w:themeColor="accent1" w:sz="4" w:space="0"/>
          <w:bottom w:val="single" w:color="5B9BD5" w:themeColor="accen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5">
    <w:name w:val="List Table 3 - Accent 2"/>
    <w:basedOn w:val="34"/>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blPr/>
      <w:tcPr>
        <w:shd w:val="clear" w:color="F4B285" w:themeColor="accent2" w:themeTint="97" w:fill="F4B285" w:themeFill="accent2" w:themeFillTint="97"/>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4B285" w:themeColor="accent2" w:themeTint="97" w:sz="4" w:space="0"/>
          <w:right w:val="single" w:color="F4B285" w:themeColor="accent2" w:themeTint="97" w:sz="4" w:space="0"/>
        </w:tcBorders>
      </w:tcPr>
    </w:tblStylePr>
    <w:tblStylePr w:type="band2Vert">
      <w:tblPr/>
    </w:tblStylePr>
    <w:tblStylePr w:type="band1Horz">
      <w:rPr>
        <w:rFonts w:ascii="Arial" w:hAnsi="Arial"/>
        <w:color w:val="404040"/>
        <w:sz w:val="22"/>
      </w:rPr>
      <w:tblPr/>
      <w:tcPr>
        <w:tcBorders>
          <w:top w:val="single" w:color="F4B285" w:themeColor="accent2" w:themeTint="97" w:sz="4" w:space="0"/>
          <w:bottom w:val="single" w:color="F4B285" w:themeColor="accent2" w:themeTint="9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6">
    <w:name w:val="List Table 3 - Accent 3"/>
    <w:basedOn w:val="34"/>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C9C9C9" w:themeColor="accent3" w:themeTint="98" w:sz="4" w:space="0"/>
          <w:right w:val="single" w:color="C9C9C9" w:themeColor="accent3" w:themeTint="98" w:sz="4" w:space="0"/>
        </w:tcBorders>
      </w:tcPr>
    </w:tblStylePr>
    <w:tblStylePr w:type="band2Vert">
      <w:tblPr/>
    </w:tblStylePr>
    <w:tblStylePr w:type="band1Horz">
      <w:rPr>
        <w:rFonts w:ascii="Arial" w:hAnsi="Arial"/>
        <w:color w:val="404040"/>
        <w:sz w:val="22"/>
      </w:rPr>
      <w:tblPr/>
      <w:tcPr>
        <w:tcBorders>
          <w:top w:val="single" w:color="C9C9C9" w:themeColor="accent3" w:themeTint="98" w:sz="4" w:space="0"/>
          <w:bottom w:val="single" w:color="C9C9C9" w:themeColor="accent3"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7">
    <w:name w:val="List Table 3 - Accent 4"/>
    <w:basedOn w:val="34"/>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blPr/>
      <w:tcPr>
        <w:shd w:val="clear" w:color="FFD864" w:themeColor="accent4" w:themeTint="9A" w:fill="FFD864" w:themeFill="accent4"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FD864" w:themeColor="accent4" w:themeTint="9A" w:sz="4" w:space="0"/>
          <w:right w:val="single" w:color="FFD864" w:themeColor="accent4" w:themeTint="9A" w:sz="4" w:space="0"/>
        </w:tcBorders>
      </w:tcPr>
    </w:tblStylePr>
    <w:tblStylePr w:type="band2Vert">
      <w:tblPr/>
    </w:tblStylePr>
    <w:tblStylePr w:type="band1Horz">
      <w:rPr>
        <w:rFonts w:ascii="Arial" w:hAnsi="Arial"/>
        <w:color w:val="404040"/>
        <w:sz w:val="22"/>
      </w:rPr>
      <w:tblPr/>
      <w:tcPr>
        <w:tcBorders>
          <w:top w:val="single" w:color="FFD864" w:themeColor="accent4" w:themeTint="9A" w:sz="4" w:space="0"/>
          <w:bottom w:val="single" w:color="FFD864" w:themeColor="accent4"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8">
    <w:name w:val="List Table 3 - Accent 5"/>
    <w:basedOn w:val="34"/>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blPr/>
      <w:tcPr>
        <w:shd w:val="clear" w:color="8EA9DB" w:themeColor="accent5" w:themeTint="9A" w:fill="8EA9DB" w:themeFill="accent5"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8EA9DB" w:themeColor="accent5" w:themeTint="9A" w:sz="4" w:space="0"/>
          <w:right w:val="single" w:color="8EA9DB" w:themeColor="accent5" w:themeTint="9A" w:sz="4" w:space="0"/>
        </w:tcBorders>
      </w:tcPr>
    </w:tblStylePr>
    <w:tblStylePr w:type="band2Vert">
      <w:tblPr/>
    </w:tblStylePr>
    <w:tblStylePr w:type="band1Horz">
      <w:rPr>
        <w:rFonts w:ascii="Arial" w:hAnsi="Arial"/>
        <w:color w:val="404040"/>
        <w:sz w:val="22"/>
      </w:rPr>
      <w:tblPr/>
      <w:tcPr>
        <w:tcBorders>
          <w:top w:val="single" w:color="8EA9DB" w:themeColor="accent5" w:themeTint="9A" w:sz="4" w:space="0"/>
          <w:bottom w:val="single" w:color="8EA9DB" w:themeColor="accent5"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9">
    <w:name w:val="List Table 3 - Accent 6"/>
    <w:basedOn w:val="34"/>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A9D08E" w:themeColor="accent6" w:themeTint="98" w:sz="4" w:space="0"/>
          <w:right w:val="single" w:color="A9D08E" w:themeColor="accent6" w:themeTint="98" w:sz="4" w:space="0"/>
        </w:tcBorders>
      </w:tcPr>
    </w:tblStylePr>
    <w:tblStylePr w:type="band2Vert">
      <w:tblPr/>
    </w:tblStylePr>
    <w:tblStylePr w:type="band1Horz">
      <w:rPr>
        <w:rFonts w:ascii="Arial" w:hAnsi="Arial"/>
        <w:color w:val="404040"/>
        <w:sz w:val="22"/>
      </w:rPr>
      <w:tblPr/>
      <w:tcPr>
        <w:tcBorders>
          <w:top w:val="single" w:color="A9D08E" w:themeColor="accent6" w:themeTint="98" w:sz="4" w:space="0"/>
          <w:bottom w:val="single" w:color="A9D08E" w:themeColor="accent6"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0">
    <w:name w:val="List Table 4"/>
    <w:basedOn w:val="3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1">
    <w:name w:val="List Table 4 - Accent 1"/>
    <w:basedOn w:val="34"/>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5E5F4" w:themeColor="accent1" w:themeTint="40" w:fill="D5E5F4" w:themeFill="accent1" w:themeFillTint="40"/>
      </w:tcPr>
    </w:tblStylePr>
    <w:tblStylePr w:type="band2Vert">
      <w:tblPr/>
    </w:tblStylePr>
    <w:tblStylePr w:type="band1Horz">
      <w:rPr>
        <w:rFonts w:ascii="Arial" w:hAnsi="Arial"/>
        <w:color w:val="404040"/>
        <w:sz w:val="22"/>
      </w:rPr>
      <w:tblPr/>
      <w:tcPr>
        <w:shd w:val="clear" w:color="D5E5F4" w:themeColor="accent1" w:themeTint="40" w:fill="D5E5F4"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2">
    <w:name w:val="List Table 4 - Accent 2"/>
    <w:basedOn w:val="34"/>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ADECB" w:themeColor="accent2" w:themeTint="40" w:fill="FADECB" w:themeFill="accent2" w:themeFillTint="40"/>
      </w:tcPr>
    </w:tblStylePr>
    <w:tblStylePr w:type="band2Vert">
      <w:tblPr/>
    </w:tblStylePr>
    <w:tblStylePr w:type="band1Horz">
      <w:rPr>
        <w:rFonts w:ascii="Arial" w:hAnsi="Arial"/>
        <w:color w:val="404040"/>
        <w:sz w:val="22"/>
      </w:rPr>
      <w:tblPr/>
      <w:tcPr>
        <w:shd w:val="clear" w:color="FADECB" w:themeColor="accent2" w:themeTint="40" w:fill="FADECB"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3">
    <w:name w:val="List Table 4 - Accent 3"/>
    <w:basedOn w:val="34"/>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8E8E8" w:themeColor="accent3" w:themeTint="40" w:fill="E8E8E8" w:themeFill="accent3" w:themeFillTint="40"/>
      </w:tcPr>
    </w:tblStylePr>
    <w:tblStylePr w:type="band2Vert">
      <w:tblPr/>
    </w:tblStylePr>
    <w:tblStylePr w:type="band1Horz">
      <w:rPr>
        <w:rFonts w:ascii="Arial" w:hAnsi="Arial"/>
        <w:color w:val="404040"/>
        <w:sz w:val="22"/>
      </w:rPr>
      <w:tblPr/>
      <w:tcPr>
        <w:shd w:val="clear" w:color="E8E8E8" w:themeColor="accent3" w:themeTint="40" w:fill="E8E8E8"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4">
    <w:name w:val="List Table 4 - Accent 4"/>
    <w:basedOn w:val="34"/>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FEFBE" w:themeColor="accent4" w:themeTint="40" w:fill="FFEFBE" w:themeFill="accent4" w:themeFillTint="40"/>
      </w:tcPr>
    </w:tblStylePr>
    <w:tblStylePr w:type="band2Vert">
      <w:tblPr/>
    </w:tblStylePr>
    <w:tblStylePr w:type="band1Horz">
      <w:rPr>
        <w:rFonts w:ascii="Arial" w:hAnsi="Arial"/>
        <w:color w:val="404040"/>
        <w:sz w:val="22"/>
      </w:rPr>
      <w:tblPr/>
      <w:tcPr>
        <w:shd w:val="clear" w:color="FFEFBE" w:themeColor="accent4" w:themeTint="40" w:fill="FFEFBE"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5">
    <w:name w:val="List Table 4 - Accent 5"/>
    <w:basedOn w:val="34"/>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0DBF0" w:themeColor="accent5" w:themeTint="40" w:fill="D0DBF0" w:themeFill="accent5" w:themeFillTint="40"/>
      </w:tcPr>
    </w:tblStylePr>
    <w:tblStylePr w:type="band2Vert">
      <w:tblPr/>
    </w:tblStylePr>
    <w:tblStylePr w:type="band1Horz">
      <w:rPr>
        <w:rFonts w:ascii="Arial" w:hAnsi="Arial"/>
        <w:color w:val="404040"/>
        <w:sz w:val="22"/>
      </w:rPr>
      <w:tblPr/>
      <w:tcPr>
        <w:shd w:val="clear" w:color="D0DBF0" w:themeColor="accent5" w:themeTint="40" w:fill="D0DB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6">
    <w:name w:val="List Table 4 - Accent 6"/>
    <w:basedOn w:val="34"/>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BCF" w:themeColor="accent6" w:themeTint="40" w:fill="DAEBCF" w:themeFill="accent6" w:themeFillTint="40"/>
      </w:tcPr>
    </w:tblStylePr>
    <w:tblStylePr w:type="band2Vert">
      <w:tblPr/>
    </w:tblStylePr>
    <w:tblStylePr w:type="band1Horz">
      <w:rPr>
        <w:rFonts w:ascii="Arial" w:hAnsi="Arial"/>
        <w:color w:val="404040"/>
        <w:sz w:val="22"/>
      </w:rPr>
      <w:tblPr/>
      <w:tcPr>
        <w:shd w:val="clear" w:color="DAEBCF" w:themeColor="accent6" w:themeTint="40" w:fill="DAEBCF"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7">
    <w:name w:val="List Table 5 Dark"/>
    <w:basedOn w:val="3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bl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7E7E7E" w:themeColor="text1" w:themeTint="80" w:sz="32" w:space="0"/>
          <w:right w:val="single" w:color="FFFFFF" w:themeColor="light1" w:sz="4" w:space="0"/>
        </w:tcBorders>
      </w:tcPr>
    </w:tblStylePr>
    <w:tblStylePr w:type="lastCol">
      <w:tblPr/>
      <w:tcPr>
        <w:tcBorders>
          <w:left w:val="single" w:color="FFFFFF" w:themeColor="light1" w:sz="4" w:space="0"/>
          <w:right w:val="single" w:color="7E7E7E"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Pr/>
    </w:tblStylePr>
    <w:tblStylePr w:type="nwCell">
      <w:tblPr/>
    </w:tblStylePr>
    <w:tblStylePr w:type="seCell">
      <w:tblPr/>
    </w:tblStylePr>
    <w:tblStylePr w:type="swCell">
      <w:tblPr/>
    </w:tblStylePr>
  </w:style>
  <w:style w:type="table" w:customStyle="1" w:styleId="128">
    <w:name w:val="List Table 5 Dark - Accent 1"/>
    <w:basedOn w:val="34"/>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bl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5B9BD5" w:themeColor="accent1" w:sz="32" w:space="0"/>
          <w:right w:val="single" w:color="FFFFFF" w:themeColor="light1" w:sz="4" w:space="0"/>
        </w:tcBorders>
      </w:tcPr>
    </w:tblStylePr>
    <w:tblStylePr w:type="lastCol">
      <w:tblPr/>
      <w:tcPr>
        <w:tcBorders>
          <w:left w:val="single" w:color="FFFFFF" w:themeColor="light1" w:sz="4" w:space="0"/>
          <w:right w:val="single" w:color="5B9BD5" w:themeColor="accent1" w:sz="32" w:space="0"/>
        </w:tcBorders>
      </w:tcPr>
    </w:tblStylePr>
    <w:tblStylePr w:type="band1Vert">
      <w:tblPr/>
      <w:tcPr>
        <w:tcBorders>
          <w:left w:val="single" w:color="FFFFFF" w:themeColor="light1" w:sz="4" w:space="0"/>
          <w:right w:val="single" w:color="FFFFFF" w:themeColor="light1" w:sz="4" w:space="0"/>
        </w:tcBorders>
        <w:shd w:val="clear" w:color="5B9BD5" w:themeColor="accent1" w:fill="5B9BD5"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5B9BD5" w:themeColor="accent1" w:fill="5B9BD5" w:themeFill="accent1"/>
      </w:tcPr>
    </w:tblStylePr>
    <w:tblStylePr w:type="band2Horz">
      <w:tblPr/>
      <w:tcPr>
        <w:tcBorders>
          <w:top w:val="single" w:color="FFFFFF" w:themeColor="light1" w:sz="4" w:space="0"/>
          <w:bottom w:val="single" w:color="FFFFFF" w:themeColor="light1" w:sz="4" w:space="0"/>
        </w:tcBorders>
        <w:shd w:val="clear" w:color="5B9BD5" w:themeColor="accent1" w:fill="5B9BD5" w:themeFill="accent1"/>
      </w:tcPr>
    </w:tblStylePr>
    <w:tblStylePr w:type="neCell">
      <w:tblPr/>
    </w:tblStylePr>
    <w:tblStylePr w:type="nwCell">
      <w:tblPr/>
    </w:tblStylePr>
    <w:tblStylePr w:type="seCell">
      <w:tblPr/>
    </w:tblStylePr>
    <w:tblStylePr w:type="swCell">
      <w:tblPr/>
    </w:tblStylePr>
  </w:style>
  <w:style w:type="table" w:customStyle="1" w:styleId="129">
    <w:name w:val="List Table 5 Dark - Accent 2"/>
    <w:basedOn w:val="34"/>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bl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F4B285" w:themeColor="accent2" w:themeTint="97" w:sz="32" w:space="0"/>
          <w:right w:val="single" w:color="FFFFFF" w:themeColor="light1" w:sz="4" w:space="0"/>
        </w:tcBorders>
      </w:tcPr>
    </w:tblStylePr>
    <w:tblStylePr w:type="lastCol">
      <w:tblPr/>
      <w:tcPr>
        <w:tcBorders>
          <w:left w:val="single" w:color="FFFFFF" w:themeColor="light1" w:sz="4" w:space="0"/>
          <w:right w:val="single" w:color="F4B28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blPr/>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Pr/>
    </w:tblStylePr>
    <w:tblStylePr w:type="nwCell">
      <w:tblPr/>
    </w:tblStylePr>
    <w:tblStylePr w:type="seCell">
      <w:tblPr/>
    </w:tblStylePr>
    <w:tblStylePr w:type="swCell">
      <w:tblPr/>
    </w:tblStylePr>
  </w:style>
  <w:style w:type="table" w:customStyle="1" w:styleId="130">
    <w:name w:val="List Table 5 Dark - Accent 3"/>
    <w:basedOn w:val="34"/>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bl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C9C9C9" w:themeColor="accent3" w:themeTint="98" w:sz="32" w:space="0"/>
          <w:right w:val="single" w:color="FFFFFF" w:themeColor="light1" w:sz="4" w:space="0"/>
        </w:tcBorders>
      </w:tcPr>
    </w:tblStylePr>
    <w:tblStylePr w:type="lastCol">
      <w:tblPr/>
      <w:tcPr>
        <w:tcBorders>
          <w:left w:val="single" w:color="FFFFFF" w:themeColor="light1" w:sz="4" w:space="0"/>
          <w:right w:val="single" w:color="C9C9C9"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blPr/>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Pr/>
    </w:tblStylePr>
    <w:tblStylePr w:type="nwCell">
      <w:tblPr/>
    </w:tblStylePr>
    <w:tblStylePr w:type="seCell">
      <w:tblPr/>
    </w:tblStylePr>
    <w:tblStylePr w:type="swCell">
      <w:tblPr/>
    </w:tblStylePr>
  </w:style>
  <w:style w:type="table" w:customStyle="1" w:styleId="131">
    <w:name w:val="List Table 5 Dark - Accent 4"/>
    <w:basedOn w:val="34"/>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bl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FFD864" w:themeColor="accent4" w:themeTint="9A" w:sz="32" w:space="0"/>
          <w:right w:val="single" w:color="FFFFFF" w:themeColor="light1" w:sz="4" w:space="0"/>
        </w:tcBorders>
      </w:tcPr>
    </w:tblStylePr>
    <w:tblStylePr w:type="lastCol">
      <w:tblPr/>
      <w:tcPr>
        <w:tcBorders>
          <w:left w:val="single" w:color="FFFFFF" w:themeColor="light1" w:sz="4" w:space="0"/>
          <w:right w:val="single" w:color="FFD864"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blPr/>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Pr/>
    </w:tblStylePr>
    <w:tblStylePr w:type="nwCell">
      <w:tblPr/>
    </w:tblStylePr>
    <w:tblStylePr w:type="seCell">
      <w:tblPr/>
    </w:tblStylePr>
    <w:tblStylePr w:type="swCell">
      <w:tblPr/>
    </w:tblStylePr>
  </w:style>
  <w:style w:type="table" w:customStyle="1" w:styleId="132">
    <w:name w:val="List Table 5 Dark - Accent 5"/>
    <w:basedOn w:val="34"/>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bl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8EA9DB" w:themeColor="accent5" w:themeTint="9A" w:sz="32" w:space="0"/>
          <w:right w:val="single" w:color="FFFFFF" w:themeColor="light1" w:sz="4" w:space="0"/>
        </w:tcBorders>
      </w:tcPr>
    </w:tblStylePr>
    <w:tblStylePr w:type="lastCol">
      <w:tblPr/>
      <w:tcPr>
        <w:tcBorders>
          <w:left w:val="single" w:color="FFFFFF" w:themeColor="light1" w:sz="4" w:space="0"/>
          <w:right w:val="single" w:color="8EA9DB"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blPr/>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Pr/>
    </w:tblStylePr>
    <w:tblStylePr w:type="nwCell">
      <w:tblPr/>
    </w:tblStylePr>
    <w:tblStylePr w:type="seCell">
      <w:tblPr/>
    </w:tblStylePr>
    <w:tblStylePr w:type="swCell">
      <w:tblPr/>
    </w:tblStylePr>
  </w:style>
  <w:style w:type="table" w:customStyle="1" w:styleId="133">
    <w:name w:val="List Table 5 Dark - Accent 6"/>
    <w:basedOn w:val="34"/>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bl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A9D08E" w:themeColor="accent6" w:themeTint="98" w:sz="32" w:space="0"/>
          <w:right w:val="single" w:color="FFFFFF" w:themeColor="light1" w:sz="4" w:space="0"/>
        </w:tcBorders>
      </w:tcPr>
    </w:tblStylePr>
    <w:tblStylePr w:type="lastCol">
      <w:tblPr/>
      <w:tcPr>
        <w:tcBorders>
          <w:left w:val="single" w:color="FFFFFF" w:themeColor="light1" w:sz="4" w:space="0"/>
          <w:right w:val="single" w:color="A9D08E"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blPr/>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Pr/>
    </w:tblStylePr>
    <w:tblStylePr w:type="nwCell">
      <w:tblPr/>
    </w:tblStylePr>
    <w:tblStylePr w:type="seCell">
      <w:tblPr/>
    </w:tblStylePr>
    <w:tblStylePr w:type="swCell">
      <w:tblPr/>
    </w:tblStylePr>
  </w:style>
  <w:style w:type="table" w:customStyle="1" w:styleId="134">
    <w:name w:val="List Table 6 Colorful"/>
    <w:basedOn w:val="34"/>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blPr/>
      <w:tcPr>
        <w:tcBorders>
          <w:bottom w:val="single" w:color="7E7E7E" w:themeColor="text1" w:themeTint="80" w:sz="4" w:space="0"/>
        </w:tcBorders>
      </w:tcPr>
    </w:tblStylePr>
    <w:tblStylePr w:type="lastRow">
      <w:rPr>
        <w:b/>
        <w:color w:val="000000" w:themeColor="text1"/>
        <w14:textFill>
          <w14:solidFill>
            <w14:schemeClr w14:val="tx1"/>
          </w14:solidFill>
        </w14:textFill>
      </w:rPr>
      <w:tblPr/>
      <w:tcPr>
        <w:tcBorders>
          <w:top w:val="single" w:color="7E7E7E" w:themeColor="text1" w:themeTint="80" w:sz="4" w:space="0"/>
        </w:tcBorders>
      </w:tcPr>
    </w:tblStylePr>
    <w:tblStylePr w:type="firstCol">
      <w:rPr>
        <w:b/>
        <w:color w:val="000000" w:themeColor="text1"/>
        <w14:textFill>
          <w14:solidFill>
            <w14:schemeClr w14:val="tx1"/>
          </w14:solidFill>
        </w14:textFill>
      </w:rPr>
      <w:tblPr/>
    </w:tblStylePr>
    <w:tblStylePr w:type="lastCol">
      <w:rPr>
        <w:b/>
        <w:color w:val="000000" w:themeColor="text1"/>
        <w14:textFill>
          <w14:solidFill>
            <w14:schemeClr w14:val="tx1"/>
          </w14:solidFill>
        </w14:textFill>
      </w:rPr>
      <w:tbl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000000" w:themeColor="text1"/>
        <w:sz w:val="22"/>
        <w14:textFill>
          <w14:solidFill>
            <w14:schemeClr w14:val="tx1"/>
          </w14:solidFill>
        </w14:textFill>
      </w:rPr>
      <w:tbl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Pr/>
    </w:tblStylePr>
    <w:tblStylePr w:type="neCell">
      <w:tblPr/>
    </w:tblStylePr>
    <w:tblStylePr w:type="nwCell">
      <w:tblPr/>
    </w:tblStylePr>
    <w:tblStylePr w:type="seCell">
      <w:tblPr/>
    </w:tblStylePr>
    <w:tblStylePr w:type="swCell">
      <w:tblPr/>
    </w:tblStylePr>
  </w:style>
  <w:style w:type="table" w:customStyle="1" w:styleId="135">
    <w:name w:val="List Table 6 Colorful - Accent 1"/>
    <w:basedOn w:val="34"/>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blPr/>
      <w:tcPr>
        <w:tcBorders>
          <w:bottom w:val="single" w:color="5B9BD5" w:themeColor="accent1" w:sz="4" w:space="0"/>
        </w:tcBorders>
      </w:tcPr>
    </w:tblStylePr>
    <w:tblStylePr w:type="lastRow">
      <w:rPr>
        <w:b/>
        <w:color w:val="245B8C" w:themeColor="accent1" w:themeShade="94"/>
      </w:rPr>
      <w:tblPr/>
      <w:tcPr>
        <w:tcBorders>
          <w:top w:val="single" w:color="5B9BD5" w:themeColor="accent1" w:sz="4" w:space="0"/>
        </w:tcBorders>
      </w:tcPr>
    </w:tblStylePr>
    <w:tblStylePr w:type="firstCol">
      <w:rPr>
        <w:b/>
        <w:color w:val="245B8C" w:themeColor="accent1" w:themeShade="94"/>
      </w:rPr>
      <w:tblPr/>
    </w:tblStylePr>
    <w:tblStylePr w:type="lastCol">
      <w:rPr>
        <w:b/>
        <w:color w:val="245B8C" w:themeColor="accent1" w:themeShade="94"/>
      </w:rPr>
      <w:tblPr/>
    </w:tblStylePr>
    <w:tblStylePr w:type="band1Vert">
      <w:tblPr/>
      <w:tcPr>
        <w:shd w:val="clear" w:color="D5E5F4" w:themeColor="accent1" w:themeTint="40" w:fill="D5E5F4" w:themeFill="accent1" w:themeFillTint="40"/>
      </w:tcPr>
    </w:tblStylePr>
    <w:tblStylePr w:type="band2Vert">
      <w:tblPr/>
    </w:tblStylePr>
    <w:tblStylePr w:type="band1Horz">
      <w:rPr>
        <w:rFonts w:ascii="Arial" w:hAnsi="Arial"/>
        <w:color w:val="245B8C" w:themeColor="accent1" w:themeShade="94"/>
        <w:sz w:val="22"/>
      </w:rPr>
      <w:tblPr/>
      <w:tcPr>
        <w:shd w:val="clear" w:color="D5E5F4" w:themeColor="accent1" w:themeTint="40" w:fill="D5E5F4" w:themeFill="accent1" w:themeFillTint="40"/>
      </w:tcPr>
    </w:tblStylePr>
    <w:tblStylePr w:type="band2Horz">
      <w:rPr>
        <w:rFonts w:ascii="Arial" w:hAnsi="Arial"/>
        <w:color w:val="245B8C"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36">
    <w:name w:val="List Table 6 Colorful - Accent 2"/>
    <w:basedOn w:val="34"/>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bl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bl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Pr/>
    </w:tblStylePr>
    <w:tblStylePr w:type="lastCol">
      <w:rPr>
        <w:b/>
        <w:color w:val="F4B285" w:themeColor="accent2" w:themeTint="96"/>
        <w14:textFill>
          <w14:solidFill>
            <w14:schemeClr w14:val="accent2">
              <w14:lumMod w14:val="59000"/>
              <w14:lumOff w14:val="41000"/>
            </w14:schemeClr>
          </w14:solidFill>
        </w14:textFill>
      </w:rPr>
      <w:tblPr/>
    </w:tblStylePr>
    <w:tblStylePr w:type="band1Vert">
      <w:tblPr/>
      <w:tcPr>
        <w:shd w:val="clear" w:color="FADECB" w:themeColor="accent2" w:themeTint="40" w:fill="FADECB" w:themeFill="accent2" w:themeFillTint="40"/>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7">
    <w:name w:val="List Table 6 Colorful - Accent 3"/>
    <w:basedOn w:val="34"/>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bl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bl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Pr/>
    </w:tblStylePr>
    <w:tblStylePr w:type="lastCol">
      <w:rPr>
        <w:b/>
        <w:color w:val="C9C9C9" w:themeColor="accent3" w:themeTint="99"/>
        <w14:textFill>
          <w14:solidFill>
            <w14:schemeClr w14:val="accent3">
              <w14:lumMod w14:val="60000"/>
              <w14:lumOff w14:val="40000"/>
            </w14:schemeClr>
          </w14:solidFill>
        </w14:textFill>
      </w:rPr>
      <w:tblPr/>
    </w:tblStylePr>
    <w:tblStylePr w:type="band1Vert">
      <w:tblPr/>
      <w:tcPr>
        <w:shd w:val="clear" w:color="E8E8E8" w:themeColor="accent3" w:themeTint="40" w:fill="E8E8E8" w:themeFill="accent3" w:themeFillTint="40"/>
      </w:tcPr>
    </w:tblStylePr>
    <w:tblStylePr w:type="band2Vert">
      <w:tbl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bl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8">
    <w:name w:val="List Table 6 Colorful - Accent 4"/>
    <w:basedOn w:val="34"/>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bl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bl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Pr/>
    </w:tblStylePr>
    <w:tblStylePr w:type="lastCol">
      <w:rPr>
        <w:b/>
        <w:color w:val="FFD966" w:themeColor="accent4" w:themeTint="99"/>
        <w14:textFill>
          <w14:solidFill>
            <w14:schemeClr w14:val="accent4">
              <w14:lumMod w14:val="60000"/>
              <w14:lumOff w14:val="40000"/>
            </w14:schemeClr>
          </w14:solidFill>
        </w14:textFill>
      </w:rPr>
      <w:tblPr/>
    </w:tblStylePr>
    <w:tblStylePr w:type="band1Vert">
      <w:tblPr/>
      <w:tcPr>
        <w:shd w:val="clear" w:color="FFEFBE" w:themeColor="accent4" w:themeTint="40" w:fill="FFEFBE" w:themeFill="accent4" w:themeFillTint="40"/>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9">
    <w:name w:val="List Table 6 Colorful - Accent 5"/>
    <w:basedOn w:val="34"/>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bl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bl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Pr/>
    </w:tblStylePr>
    <w:tblStylePr w:type="lastCol">
      <w:rPr>
        <w:b/>
        <w:color w:val="8FAADC" w:themeColor="accent5" w:themeTint="99"/>
        <w14:textFill>
          <w14:solidFill>
            <w14:schemeClr w14:val="accent5">
              <w14:lumMod w14:val="60000"/>
              <w14:lumOff w14:val="40000"/>
            </w14:schemeClr>
          </w14:solidFill>
        </w14:textFill>
      </w:rPr>
      <w:tblPr/>
    </w:tblStylePr>
    <w:tblStylePr w:type="band1Vert">
      <w:tblPr/>
      <w:tcPr>
        <w:shd w:val="clear" w:color="D0DBF0" w:themeColor="accent5" w:themeTint="40" w:fill="D0DBF0" w:themeFill="accent5" w:themeFillTint="40"/>
      </w:tcPr>
    </w:tblStylePr>
    <w:tblStylePr w:type="band2Vert">
      <w:tbl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bl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0">
    <w:name w:val="List Table 6 Colorful - Accent 6"/>
    <w:basedOn w:val="34"/>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bl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bl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Pr/>
    </w:tblStylePr>
    <w:tblStylePr w:type="lastCol">
      <w:rPr>
        <w:b/>
        <w:color w:val="A9D18E" w:themeColor="accent6" w:themeTint="99"/>
        <w14:textFill>
          <w14:solidFill>
            <w14:schemeClr w14:val="accent6">
              <w14:lumMod w14:val="60000"/>
              <w14:lumOff w14:val="40000"/>
            </w14:schemeClr>
          </w14:solidFill>
        </w14:textFill>
      </w:rPr>
      <w:tblPr/>
    </w:tblStylePr>
    <w:tblStylePr w:type="band1Vert">
      <w:tblPr/>
      <w:tcPr>
        <w:shd w:val="clear" w:color="DAEBCF" w:themeColor="accent6" w:themeTint="40" w:fill="DAEBCF" w:themeFill="accent6" w:themeFillTint="40"/>
      </w:tcPr>
    </w:tblStylePr>
    <w:tblStylePr w:type="band2Vert">
      <w:tbl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bl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1">
    <w:name w:val="List Table 7 Colorful"/>
    <w:basedOn w:val="34"/>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2">
    <w:name w:val="List Table 7 Colorful - Accent 1"/>
    <w:basedOn w:val="34"/>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bl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bl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bl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blPr/>
      <w:tcPr>
        <w:tcBorders>
          <w:top w:val="nil"/>
          <w:left w:val="single" w:color="5B9BD5" w:themeColor="accent1" w:sz="4" w:space="0"/>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2Vert">
      <w:tblPr/>
    </w:tblStylePr>
    <w:tblStylePr w:type="band1Horz">
      <w:rPr>
        <w:rFonts w:ascii="Arial" w:hAnsi="Arial"/>
        <w:color w:val="245B8C" w:themeColor="accent1" w:themeShade="94"/>
        <w:sz w:val="22"/>
      </w:rPr>
      <w:tblPr/>
      <w:tcPr>
        <w:shd w:val="clear" w:color="D5E5F4" w:themeColor="accent1" w:themeTint="40" w:fill="D5E5F4" w:themeFill="accent1" w:themeFillTint="40"/>
      </w:tcPr>
    </w:tblStylePr>
    <w:tblStylePr w:type="band2Horz">
      <w:rPr>
        <w:rFonts w:ascii="Arial" w:hAnsi="Arial"/>
        <w:color w:val="245B8C"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43">
    <w:name w:val="List Table 7 Colorful - Accent 2"/>
    <w:basedOn w:val="34"/>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bl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single" w:color="F4B285" w:themeColor="accent2" w:themeTint="97" w:sz="4" w:space="0"/>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4">
    <w:name w:val="List Table 7 Colorful - Accent 3"/>
    <w:basedOn w:val="34"/>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bl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bl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bl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blPr/>
      <w:tcPr>
        <w:tcBorders>
          <w:top w:val="nil"/>
          <w:left w:val="single" w:color="C9C9C9" w:themeColor="accent3" w:themeTint="98" w:sz="4" w:space="0"/>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2Vert">
      <w:tbl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bl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5">
    <w:name w:val="List Table 7 Colorful - Accent 4"/>
    <w:basedOn w:val="34"/>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bl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single" w:color="FFD864" w:themeColor="accent4" w:themeTint="9A" w:sz="4" w:space="0"/>
          <w:bottom w:val="nil"/>
          <w:right w:val="nil"/>
        </w:tcBorders>
        <w:shd w:val="clear" w:color="FFFFFF" w:fill="auto"/>
      </w:tcPr>
    </w:tblStylePr>
    <w:tblStylePr w:type="band1Vert">
      <w:tblPr/>
      <w:tcPr>
        <w:shd w:val="clear" w:color="FFEFBE" w:themeColor="accent4" w:themeTint="40" w:fill="FFEFBE" w:themeFill="accent4" w:themeFillTint="40"/>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6">
    <w:name w:val="List Table 7 Colorful - Accent 5"/>
    <w:basedOn w:val="34"/>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bl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bl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bl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blPr/>
      <w:tcPr>
        <w:tcBorders>
          <w:top w:val="nil"/>
          <w:left w:val="single" w:color="8EA9DB" w:themeColor="accent5" w:themeTint="9A" w:sz="4" w:space="0"/>
          <w:bottom w:val="nil"/>
          <w:right w:val="nil"/>
        </w:tcBorders>
        <w:shd w:val="clear" w:color="FFFFFF" w:fill="auto"/>
      </w:tcPr>
    </w:tblStylePr>
    <w:tblStylePr w:type="band1Vert">
      <w:tblPr/>
      <w:tcPr>
        <w:shd w:val="clear" w:color="D0DBF0" w:themeColor="accent5" w:themeTint="40" w:fill="D0DBF0" w:themeFill="accent5" w:themeFillTint="40"/>
      </w:tcPr>
    </w:tblStylePr>
    <w:tblStylePr w:type="band2Vert">
      <w:tbl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bl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7">
    <w:name w:val="List Table 7 Colorful - Accent 6"/>
    <w:basedOn w:val="34"/>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bl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bl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bl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blPr/>
      <w:tcPr>
        <w:tcBorders>
          <w:top w:val="nil"/>
          <w:left w:val="single" w:color="A9D08E" w:themeColor="accent6" w:themeTint="98" w:sz="4" w:space="0"/>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2Vert">
      <w:tbl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bl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8">
    <w:name w:val="Lined - Accent"/>
    <w:basedOn w:val="34"/>
    <w:uiPriority w:val="99"/>
    <w:pPr>
      <w:spacing w:after="0" w:line="240" w:lineRule="auto"/>
    </w:pPr>
    <w:rPr>
      <w:color w:val="404040"/>
    </w:rPr>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49">
    <w:name w:val="Lined - Accent 1"/>
    <w:basedOn w:val="34"/>
    <w:uiPriority w:val="99"/>
    <w:pPr>
      <w:spacing w:after="0" w:line="240" w:lineRule="auto"/>
    </w:pPr>
    <w:rPr>
      <w:color w:val="404040"/>
    </w:rPr>
    <w:tblPr/>
    <w:tblStylePr w:type="firstRow">
      <w:rPr>
        <w:rFonts w:ascii="Arial" w:hAnsi="Arial"/>
        <w:color w:val="F2F2F2"/>
        <w:sz w:val="22"/>
      </w:rPr>
      <w:tblPr/>
      <w:tcPr>
        <w:shd w:val="clear" w:color="68A3D8" w:themeColor="accent1" w:themeTint="EA" w:fill="68A3D8" w:themeFill="accent1" w:themeFillTint="EA"/>
      </w:tcPr>
    </w:tblStylePr>
    <w:tblStylePr w:type="lastRow">
      <w:rPr>
        <w:rFonts w:ascii="Arial" w:hAnsi="Arial"/>
        <w:color w:val="F2F2F2"/>
        <w:sz w:val="22"/>
      </w:rPr>
      <w:tblPr/>
      <w:tcPr>
        <w:shd w:val="clear" w:color="68A3D8" w:themeColor="accent1" w:themeTint="EA" w:fill="68A3D8" w:themeFill="accent1" w:themeFillTint="EA"/>
      </w:tcPr>
    </w:tblStylePr>
    <w:tblStylePr w:type="firstCol">
      <w:rPr>
        <w:rFonts w:ascii="Arial" w:hAnsi="Arial"/>
        <w:color w:val="F2F2F2"/>
        <w:sz w:val="22"/>
      </w:rPr>
      <w:tblPr/>
      <w:tcPr>
        <w:shd w:val="clear" w:color="68A3D8" w:themeColor="accent1" w:themeTint="EA" w:fill="68A3D8" w:themeFill="accent1" w:themeFillTint="EA"/>
      </w:tcPr>
    </w:tblStylePr>
    <w:tblStylePr w:type="lastCol">
      <w:rPr>
        <w:rFonts w:ascii="Arial" w:hAnsi="Arial"/>
        <w:color w:val="F2F2F2"/>
        <w:sz w:val="22"/>
      </w:rPr>
      <w:tblPr/>
      <w:tcPr>
        <w:shd w:val="clear" w:color="68A3D8" w:themeColor="accent1" w:themeTint="EA" w:fill="68A3D8"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BDFF1" w:themeColor="accent1" w:themeTint="50" w:fill="CBDFF1" w:themeFill="accent1" w:themeFillTint="50"/>
      </w:tcPr>
    </w:tblStylePr>
    <w:tblStylePr w:type="neCell">
      <w:tblPr/>
    </w:tblStylePr>
    <w:tblStylePr w:type="nwCell">
      <w:tblPr/>
    </w:tblStylePr>
    <w:tblStylePr w:type="seCell">
      <w:tblPr/>
    </w:tblStylePr>
    <w:tblStylePr w:type="swCell">
      <w:tblPr/>
    </w:tblStylePr>
  </w:style>
  <w:style w:type="table" w:customStyle="1" w:styleId="150">
    <w:name w:val="Lined - Accent 2"/>
    <w:basedOn w:val="34"/>
    <w:uiPriority w:val="99"/>
    <w:pPr>
      <w:spacing w:after="0" w:line="240" w:lineRule="auto"/>
    </w:pPr>
    <w:rPr>
      <w:color w:val="404040"/>
    </w:rPr>
    <w:tblPr/>
    <w:tblStylePr w:type="firstRow">
      <w:rPr>
        <w:rFonts w:ascii="Arial" w:hAnsi="Arial"/>
        <w:color w:val="F2F2F2"/>
        <w:sz w:val="22"/>
      </w:rPr>
      <w:tblPr/>
      <w:tcPr>
        <w:shd w:val="clear" w:color="F4B285" w:themeColor="accent2" w:themeTint="97" w:fill="F4B285" w:themeFill="accent2" w:themeFillTint="97"/>
      </w:tcPr>
    </w:tblStylePr>
    <w:tblStylePr w:type="lastRow">
      <w:rPr>
        <w:rFonts w:ascii="Arial" w:hAnsi="Arial"/>
        <w:color w:val="F2F2F2"/>
        <w:sz w:val="22"/>
      </w:rPr>
      <w:tblPr/>
      <w:tcPr>
        <w:shd w:val="clear" w:color="F4B285" w:themeColor="accent2" w:themeTint="97" w:fill="F4B285" w:themeFill="accent2" w:themeFillTint="97"/>
      </w:tcPr>
    </w:tblStylePr>
    <w:tblStylePr w:type="firstCol">
      <w:rPr>
        <w:rFonts w:ascii="Arial" w:hAnsi="Arial"/>
        <w:color w:val="F2F2F2"/>
        <w:sz w:val="22"/>
      </w:rPr>
      <w:tblPr/>
      <w:tcPr>
        <w:shd w:val="clear" w:color="F4B285" w:themeColor="accent2" w:themeTint="97" w:fill="F4B285" w:themeFill="accent2" w:themeFillTint="97"/>
      </w:tcPr>
    </w:tblStylePr>
    <w:tblStylePr w:type="lastCol">
      <w:rPr>
        <w:rFonts w:ascii="Arial" w:hAnsi="Arial"/>
        <w:color w:val="F2F2F2"/>
        <w:sz w:val="22"/>
      </w:rPr>
      <w:tblPr/>
      <w:tcPr>
        <w:shd w:val="clear" w:color="F4B285" w:themeColor="accent2" w:themeTint="97" w:fill="F4B28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BE5D6" w:themeColor="accent2" w:themeTint="32" w:fill="FBE5D6" w:themeFill="accent2" w:themeFillTint="32"/>
      </w:tcPr>
    </w:tblStylePr>
    <w:tblStylePr w:type="neCell">
      <w:tblPr/>
    </w:tblStylePr>
    <w:tblStylePr w:type="nwCell">
      <w:tblPr/>
    </w:tblStylePr>
    <w:tblStylePr w:type="seCell">
      <w:tblPr/>
    </w:tblStylePr>
    <w:tblStylePr w:type="swCell">
      <w:tblPr/>
    </w:tblStylePr>
  </w:style>
  <w:style w:type="table" w:customStyle="1" w:styleId="151">
    <w:name w:val="Lined - Accent 3"/>
    <w:basedOn w:val="34"/>
    <w:uiPriority w:val="99"/>
    <w:pPr>
      <w:spacing w:after="0" w:line="240" w:lineRule="auto"/>
    </w:pPr>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CECEC" w:themeColor="accent3" w:themeTint="34" w:fill="ECECEC" w:themeFill="accent3" w:themeFillTint="34"/>
      </w:tcPr>
    </w:tblStylePr>
    <w:tblStylePr w:type="neCell">
      <w:tblPr/>
    </w:tblStylePr>
    <w:tblStylePr w:type="nwCell">
      <w:tblPr/>
    </w:tblStylePr>
    <w:tblStylePr w:type="seCell">
      <w:tblPr/>
    </w:tblStylePr>
    <w:tblStylePr w:type="swCell">
      <w:tblPr/>
    </w:tblStylePr>
  </w:style>
  <w:style w:type="table" w:customStyle="1" w:styleId="152">
    <w:name w:val="Lined - Accent 4"/>
    <w:basedOn w:val="34"/>
    <w:uiPriority w:val="99"/>
    <w:pPr>
      <w:spacing w:after="0" w:line="240" w:lineRule="auto"/>
    </w:pPr>
    <w:rPr>
      <w:color w:val="404040"/>
    </w:rPr>
    <w:tblPr/>
    <w:tblStylePr w:type="firstRow">
      <w:rPr>
        <w:rFonts w:ascii="Arial" w:hAnsi="Arial"/>
        <w:color w:val="F2F2F2"/>
        <w:sz w:val="22"/>
      </w:rPr>
      <w:tblPr/>
      <w:tcPr>
        <w:shd w:val="clear" w:color="FFD864" w:themeColor="accent4" w:themeTint="9A" w:fill="FFD864" w:themeFill="accent4" w:themeFillTint="9A"/>
      </w:tcPr>
    </w:tblStylePr>
    <w:tblStylePr w:type="lastRow">
      <w:rPr>
        <w:rFonts w:ascii="Arial" w:hAnsi="Arial"/>
        <w:color w:val="F2F2F2"/>
        <w:sz w:val="22"/>
      </w:rPr>
      <w:tblPr/>
      <w:tcPr>
        <w:shd w:val="clear" w:color="FFD864" w:themeColor="accent4" w:themeTint="9A" w:fill="FFD864" w:themeFill="accent4" w:themeFillTint="9A"/>
      </w:tcPr>
    </w:tblStylePr>
    <w:tblStylePr w:type="firstCol">
      <w:rPr>
        <w:rFonts w:ascii="Arial" w:hAnsi="Arial"/>
        <w:color w:val="F2F2F2"/>
        <w:sz w:val="22"/>
      </w:rPr>
      <w:tblPr/>
      <w:tcPr>
        <w:shd w:val="clear" w:color="FFD864" w:themeColor="accent4" w:themeTint="9A" w:fill="FFD864" w:themeFill="accent4" w:themeFillTint="9A"/>
      </w:tcPr>
    </w:tblStylePr>
    <w:tblStylePr w:type="lastCol">
      <w:rPr>
        <w:rFonts w:ascii="Arial" w:hAnsi="Arial"/>
        <w:color w:val="F2F2F2"/>
        <w:sz w:val="22"/>
      </w:rPr>
      <w:tblPr/>
      <w:tcPr>
        <w:shd w:val="clear" w:color="FFD864" w:themeColor="accent4" w:themeTint="9A" w:fill="FFD864"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FEF2CA" w:themeColor="accent4" w:themeTint="34" w:fill="FEF2CA"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EF2CA" w:themeColor="accent4" w:themeTint="34" w:fill="FEF2CA" w:themeFill="accent4" w:themeFillTint="34"/>
      </w:tcPr>
    </w:tblStylePr>
    <w:tblStylePr w:type="neCell">
      <w:tblPr/>
    </w:tblStylePr>
    <w:tblStylePr w:type="nwCell">
      <w:tblPr/>
    </w:tblStylePr>
    <w:tblStylePr w:type="seCell">
      <w:tblPr/>
    </w:tblStylePr>
    <w:tblStylePr w:type="swCell">
      <w:tblPr/>
    </w:tblStylePr>
  </w:style>
  <w:style w:type="table" w:customStyle="1" w:styleId="153">
    <w:name w:val="Lined - Accent 5"/>
    <w:basedOn w:val="34"/>
    <w:uiPriority w:val="99"/>
    <w:pPr>
      <w:spacing w:after="0" w:line="240" w:lineRule="auto"/>
    </w:pPr>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8E2F2" w:themeColor="accent5" w:themeTint="34" w:fill="D8E2F2"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8E2F2" w:themeColor="accent5" w:themeTint="34" w:fill="D8E2F2" w:themeFill="accent5" w:themeFillTint="34"/>
      </w:tcPr>
    </w:tblStylePr>
    <w:tblStylePr w:type="neCell">
      <w:tblPr/>
    </w:tblStylePr>
    <w:tblStylePr w:type="nwCell">
      <w:tblPr/>
    </w:tblStylePr>
    <w:tblStylePr w:type="seCell">
      <w:tblPr/>
    </w:tblStylePr>
    <w:tblStylePr w:type="swCell">
      <w:tblPr/>
    </w:tblStylePr>
  </w:style>
  <w:style w:type="table" w:customStyle="1" w:styleId="154">
    <w:name w:val="Lined - Accent 6"/>
    <w:basedOn w:val="34"/>
    <w:uiPriority w:val="99"/>
    <w:pPr>
      <w:spacing w:after="0" w:line="240" w:lineRule="auto"/>
    </w:pPr>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1EFD8" w:themeColor="accent6" w:themeTint="34" w:fill="E1EFD8" w:themeFill="accent6" w:themeFillTint="34"/>
      </w:tcPr>
    </w:tblStylePr>
    <w:tblStylePr w:type="neCell">
      <w:tblPr/>
    </w:tblStylePr>
    <w:tblStylePr w:type="nwCell">
      <w:tblPr/>
    </w:tblStylePr>
    <w:tblStylePr w:type="seCell">
      <w:tblPr/>
    </w:tblStylePr>
    <w:tblStylePr w:type="swCell">
      <w:tblPr/>
    </w:tblStylePr>
  </w:style>
  <w:style w:type="table" w:customStyle="1" w:styleId="155">
    <w:name w:val="Bordered &amp; Lined - Accent"/>
    <w:basedOn w:val="3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56">
    <w:name w:val="Bordered &amp; Lined - Accent 1"/>
    <w:basedOn w:val="34"/>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blPr/>
      <w:tcPr>
        <w:shd w:val="clear" w:color="68A3D8" w:themeColor="accent1" w:themeTint="EA" w:fill="68A3D8" w:themeFill="accent1" w:themeFillTint="EA"/>
      </w:tcPr>
    </w:tblStylePr>
    <w:tblStylePr w:type="lastRow">
      <w:rPr>
        <w:rFonts w:ascii="Arial" w:hAnsi="Arial"/>
        <w:color w:val="F2F2F2"/>
        <w:sz w:val="22"/>
      </w:rPr>
      <w:tblPr/>
      <w:tcPr>
        <w:shd w:val="clear" w:color="68A3D8" w:themeColor="accent1" w:themeTint="EA" w:fill="68A3D8" w:themeFill="accent1" w:themeFillTint="EA"/>
      </w:tcPr>
    </w:tblStylePr>
    <w:tblStylePr w:type="firstCol">
      <w:rPr>
        <w:rFonts w:ascii="Arial" w:hAnsi="Arial"/>
        <w:color w:val="F2F2F2"/>
        <w:sz w:val="22"/>
      </w:rPr>
      <w:tblPr/>
      <w:tcPr>
        <w:shd w:val="clear" w:color="68A3D8" w:themeColor="accent1" w:themeTint="EA" w:fill="68A3D8" w:themeFill="accent1" w:themeFillTint="EA"/>
      </w:tcPr>
    </w:tblStylePr>
    <w:tblStylePr w:type="lastCol">
      <w:rPr>
        <w:rFonts w:ascii="Arial" w:hAnsi="Arial"/>
        <w:color w:val="F2F2F2"/>
        <w:sz w:val="22"/>
      </w:rPr>
      <w:tblPr/>
      <w:tcPr>
        <w:shd w:val="clear" w:color="68A3D8" w:themeColor="accent1" w:themeTint="EA" w:fill="68A3D8"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BDFF1" w:themeColor="accent1" w:themeTint="50" w:fill="CBDFF1" w:themeFill="accent1" w:themeFillTint="50"/>
      </w:tcPr>
    </w:tblStylePr>
    <w:tblStylePr w:type="neCell">
      <w:tblPr/>
    </w:tblStylePr>
    <w:tblStylePr w:type="nwCell">
      <w:tblPr/>
    </w:tblStylePr>
    <w:tblStylePr w:type="seCell">
      <w:tblPr/>
    </w:tblStylePr>
    <w:tblStylePr w:type="swCell">
      <w:tblPr/>
    </w:tblStylePr>
  </w:style>
  <w:style w:type="table" w:customStyle="1" w:styleId="157">
    <w:name w:val="Bordered &amp; Lined - Accent 2"/>
    <w:basedOn w:val="34"/>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blPr/>
      <w:tcPr>
        <w:shd w:val="clear" w:color="F4B285" w:themeColor="accent2" w:themeTint="97" w:fill="F4B285" w:themeFill="accent2" w:themeFillTint="97"/>
      </w:tcPr>
    </w:tblStylePr>
    <w:tblStylePr w:type="lastRow">
      <w:rPr>
        <w:rFonts w:ascii="Arial" w:hAnsi="Arial"/>
        <w:color w:val="F2F2F2"/>
        <w:sz w:val="22"/>
      </w:rPr>
      <w:tblPr/>
      <w:tcPr>
        <w:shd w:val="clear" w:color="F4B285" w:themeColor="accent2" w:themeTint="97" w:fill="F4B285" w:themeFill="accent2" w:themeFillTint="97"/>
      </w:tcPr>
    </w:tblStylePr>
    <w:tblStylePr w:type="firstCol">
      <w:rPr>
        <w:rFonts w:ascii="Arial" w:hAnsi="Arial"/>
        <w:color w:val="F2F2F2"/>
        <w:sz w:val="22"/>
      </w:rPr>
      <w:tblPr/>
      <w:tcPr>
        <w:shd w:val="clear" w:color="F4B285" w:themeColor="accent2" w:themeTint="97" w:fill="F4B285" w:themeFill="accent2" w:themeFillTint="97"/>
      </w:tcPr>
    </w:tblStylePr>
    <w:tblStylePr w:type="lastCol">
      <w:rPr>
        <w:rFonts w:ascii="Arial" w:hAnsi="Arial"/>
        <w:color w:val="F2F2F2"/>
        <w:sz w:val="22"/>
      </w:rPr>
      <w:tblPr/>
      <w:tcPr>
        <w:shd w:val="clear" w:color="F4B285" w:themeColor="accent2" w:themeTint="97" w:fill="F4B28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BE5D6" w:themeColor="accent2" w:themeTint="32" w:fill="FBE5D6" w:themeFill="accent2" w:themeFillTint="32"/>
      </w:tcPr>
    </w:tblStylePr>
    <w:tblStylePr w:type="neCell">
      <w:tblPr/>
    </w:tblStylePr>
    <w:tblStylePr w:type="nwCell">
      <w:tblPr/>
    </w:tblStylePr>
    <w:tblStylePr w:type="seCell">
      <w:tblPr/>
    </w:tblStylePr>
    <w:tblStylePr w:type="swCell">
      <w:tblPr/>
    </w:tblStylePr>
  </w:style>
  <w:style w:type="table" w:customStyle="1" w:styleId="158">
    <w:name w:val="Bordered &amp; Lined - Accent 3"/>
    <w:basedOn w:val="34"/>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CECEC" w:themeColor="accent3" w:themeTint="34" w:fill="ECECEC" w:themeFill="accent3" w:themeFillTint="34"/>
      </w:tcPr>
    </w:tblStylePr>
    <w:tblStylePr w:type="neCell">
      <w:tblPr/>
    </w:tblStylePr>
    <w:tblStylePr w:type="nwCell">
      <w:tblPr/>
    </w:tblStylePr>
    <w:tblStylePr w:type="seCell">
      <w:tblPr/>
    </w:tblStylePr>
    <w:tblStylePr w:type="swCell">
      <w:tblPr/>
    </w:tblStylePr>
  </w:style>
  <w:style w:type="table" w:customStyle="1" w:styleId="159">
    <w:name w:val="Bordered &amp; Lined - Accent 4"/>
    <w:basedOn w:val="34"/>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blPr/>
      <w:tcPr>
        <w:shd w:val="clear" w:color="FFD864" w:themeColor="accent4" w:themeTint="9A" w:fill="FFD864" w:themeFill="accent4" w:themeFillTint="9A"/>
      </w:tcPr>
    </w:tblStylePr>
    <w:tblStylePr w:type="lastRow">
      <w:rPr>
        <w:rFonts w:ascii="Arial" w:hAnsi="Arial"/>
        <w:color w:val="F2F2F2"/>
        <w:sz w:val="22"/>
      </w:rPr>
      <w:tblPr/>
      <w:tcPr>
        <w:shd w:val="clear" w:color="FFD864" w:themeColor="accent4" w:themeTint="9A" w:fill="FFD864" w:themeFill="accent4" w:themeFillTint="9A"/>
      </w:tcPr>
    </w:tblStylePr>
    <w:tblStylePr w:type="firstCol">
      <w:rPr>
        <w:rFonts w:ascii="Arial" w:hAnsi="Arial"/>
        <w:color w:val="F2F2F2"/>
        <w:sz w:val="22"/>
      </w:rPr>
      <w:tblPr/>
      <w:tcPr>
        <w:shd w:val="clear" w:color="FFD864" w:themeColor="accent4" w:themeTint="9A" w:fill="FFD864" w:themeFill="accent4" w:themeFillTint="9A"/>
      </w:tcPr>
    </w:tblStylePr>
    <w:tblStylePr w:type="lastCol">
      <w:rPr>
        <w:rFonts w:ascii="Arial" w:hAnsi="Arial"/>
        <w:color w:val="F2F2F2"/>
        <w:sz w:val="22"/>
      </w:rPr>
      <w:tblPr/>
      <w:tcPr>
        <w:shd w:val="clear" w:color="FFD864" w:themeColor="accent4" w:themeTint="9A" w:fill="FFD864"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FEF2CA" w:themeColor="accent4" w:themeTint="34" w:fill="FEF2CA"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EF2CA" w:themeColor="accent4" w:themeTint="34" w:fill="FEF2CA" w:themeFill="accent4" w:themeFillTint="34"/>
      </w:tcPr>
    </w:tblStylePr>
    <w:tblStylePr w:type="neCell">
      <w:tblPr/>
    </w:tblStylePr>
    <w:tblStylePr w:type="nwCell">
      <w:tblPr/>
    </w:tblStylePr>
    <w:tblStylePr w:type="seCell">
      <w:tblPr/>
    </w:tblStylePr>
    <w:tblStylePr w:type="swCell">
      <w:tblPr/>
    </w:tblStylePr>
  </w:style>
  <w:style w:type="table" w:customStyle="1" w:styleId="160">
    <w:name w:val="Bordered &amp; Lined - Accent 5"/>
    <w:basedOn w:val="34"/>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8E2F2" w:themeColor="accent5" w:themeTint="34" w:fill="D8E2F2"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8E2F2" w:themeColor="accent5" w:themeTint="34" w:fill="D8E2F2" w:themeFill="accent5" w:themeFillTint="34"/>
      </w:tcPr>
    </w:tblStylePr>
    <w:tblStylePr w:type="neCell">
      <w:tblPr/>
    </w:tblStylePr>
    <w:tblStylePr w:type="nwCell">
      <w:tblPr/>
    </w:tblStylePr>
    <w:tblStylePr w:type="seCell">
      <w:tblPr/>
    </w:tblStylePr>
    <w:tblStylePr w:type="swCell">
      <w:tblPr/>
    </w:tblStylePr>
  </w:style>
  <w:style w:type="table" w:customStyle="1" w:styleId="161">
    <w:name w:val="Bordered &amp; Lined - Accent 6"/>
    <w:basedOn w:val="34"/>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1EFD8" w:themeColor="accent6" w:themeTint="34" w:fill="E1EFD8" w:themeFill="accent6" w:themeFillTint="34"/>
      </w:tcPr>
    </w:tblStylePr>
    <w:tblStylePr w:type="neCell">
      <w:tblPr/>
    </w:tblStylePr>
    <w:tblStylePr w:type="nwCell">
      <w:tblPr/>
    </w:tblStylePr>
    <w:tblStylePr w:type="seCell">
      <w:tblPr/>
    </w:tblStylePr>
    <w:tblStylePr w:type="swCell">
      <w:tblPr/>
    </w:tblStylePr>
  </w:style>
  <w:style w:type="table" w:customStyle="1" w:styleId="162">
    <w:name w:val="Bordered"/>
    <w:basedOn w:val="3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blPr/>
      <w:tcPr>
        <w:tcBorders>
          <w:bottom w:val="single" w:color="7E7E7E" w:themeColor="text1" w:themeTint="80" w:sz="12" w:space="0"/>
        </w:tcBorders>
      </w:tcPr>
    </w:tblStylePr>
    <w:tblStylePr w:type="lastRow">
      <w:rPr>
        <w:rFonts w:ascii="Arial" w:hAnsi="Arial"/>
        <w:color w:val="404040"/>
        <w:sz w:val="22"/>
      </w:rPr>
      <w:tblPr/>
      <w:tcPr>
        <w:tcBorders>
          <w:top w:val="single" w:color="7E7E7E" w:themeColor="text1" w:themeTint="80"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7E7E7E" w:themeColor="text1" w:themeTint="80"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3">
    <w:name w:val="Bordered - Accent 1"/>
    <w:basedOn w:val="34"/>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blPr/>
      <w:tcPr>
        <w:tcBorders>
          <w:bottom w:val="single" w:color="5B9BD5" w:themeColor="accent1" w:sz="12" w:space="0"/>
        </w:tcBorders>
      </w:tcPr>
    </w:tblStylePr>
    <w:tblStylePr w:type="lastRow">
      <w:rPr>
        <w:rFonts w:ascii="Arial" w:hAnsi="Arial"/>
        <w:color w:val="404040"/>
        <w:sz w:val="22"/>
      </w:rPr>
      <w:tblPr/>
      <w:tcPr>
        <w:tcBorders>
          <w:top w:val="single" w:color="5B9BD5" w:themeColor="accent1"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5B9BD5" w:themeColor="accent1"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4">
    <w:name w:val="Bordered - Accent 2"/>
    <w:basedOn w:val="34"/>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blPr/>
      <w:tcPr>
        <w:tcBorders>
          <w:bottom w:val="single" w:color="F4B285" w:themeColor="accent2" w:themeTint="97" w:sz="12" w:space="0"/>
        </w:tcBorders>
      </w:tcPr>
    </w:tblStylePr>
    <w:tblStylePr w:type="lastRow">
      <w:rPr>
        <w:rFonts w:ascii="Arial" w:hAnsi="Arial"/>
        <w:color w:val="404040"/>
        <w:sz w:val="22"/>
      </w:rPr>
      <w:tblPr/>
      <w:tcPr>
        <w:tcBorders>
          <w:top w:val="single" w:color="F4B285" w:themeColor="accent2" w:themeTint="97"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4B285" w:themeColor="accent2" w:themeTint="97"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5">
    <w:name w:val="Bordered - Accent 3"/>
    <w:basedOn w:val="34"/>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blPr/>
      <w:tcPr>
        <w:tcBorders>
          <w:bottom w:val="single" w:color="C9C9C9" w:themeColor="accent3" w:themeTint="98" w:sz="12" w:space="0"/>
        </w:tcBorders>
      </w:tcPr>
    </w:tblStylePr>
    <w:tblStylePr w:type="lastRow">
      <w:rPr>
        <w:rFonts w:ascii="Arial" w:hAnsi="Arial"/>
        <w:color w:val="404040"/>
        <w:sz w:val="22"/>
      </w:rPr>
      <w:tblPr/>
      <w:tcPr>
        <w:tcBorders>
          <w:top w:val="single" w:color="C9C9C9" w:themeColor="accent3"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C9C9C9" w:themeColor="accent3"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6">
    <w:name w:val="Bordered - Accent 4"/>
    <w:basedOn w:val="34"/>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blPr/>
      <w:tcPr>
        <w:tcBorders>
          <w:bottom w:val="single" w:color="FFD864" w:themeColor="accent4" w:themeTint="9A" w:sz="12" w:space="0"/>
        </w:tcBorders>
      </w:tcPr>
    </w:tblStylePr>
    <w:tblStylePr w:type="lastRow">
      <w:rPr>
        <w:rFonts w:ascii="Arial" w:hAnsi="Arial"/>
        <w:color w:val="404040"/>
        <w:sz w:val="22"/>
      </w:rPr>
      <w:tblPr/>
      <w:tcPr>
        <w:tcBorders>
          <w:top w:val="single" w:color="FFD864" w:themeColor="accent4"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FD864" w:themeColor="accent4"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7">
    <w:name w:val="Bordered - Accent 5"/>
    <w:basedOn w:val="34"/>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blPr/>
      <w:tcPr>
        <w:tcBorders>
          <w:bottom w:val="single" w:color="8EA9DB" w:themeColor="accent5" w:themeTint="9A" w:sz="12" w:space="0"/>
        </w:tcBorders>
      </w:tcPr>
    </w:tblStylePr>
    <w:tblStylePr w:type="lastRow">
      <w:rPr>
        <w:rFonts w:ascii="Arial" w:hAnsi="Arial"/>
        <w:color w:val="404040"/>
        <w:sz w:val="22"/>
      </w:rPr>
      <w:tblPr/>
      <w:tcPr>
        <w:tcBorders>
          <w:top w:val="single" w:color="8EA9DB" w:themeColor="accent5"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8EA9DB" w:themeColor="accent5"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8">
    <w:name w:val="Bordered - Accent 6"/>
    <w:basedOn w:val="34"/>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blPr/>
      <w:tcPr>
        <w:tcBorders>
          <w:bottom w:val="single" w:color="A9D08E" w:themeColor="accent6" w:themeTint="98" w:sz="12" w:space="0"/>
        </w:tcBorders>
      </w:tcPr>
    </w:tblStylePr>
    <w:tblStylePr w:type="lastRow">
      <w:rPr>
        <w:rFonts w:ascii="Arial" w:hAnsi="Arial"/>
        <w:color w:val="404040"/>
        <w:sz w:val="22"/>
      </w:rPr>
      <w:tblPr/>
      <w:tcPr>
        <w:tcBorders>
          <w:top w:val="single" w:color="A9D08E" w:themeColor="accent6"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A9D08E" w:themeColor="accent6"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169">
    <w:name w:val="Heading 1 Char"/>
    <w:basedOn w:val="36"/>
    <w:uiPriority w:val="9"/>
    <w:rPr>
      <w:rFonts w:ascii="Arial" w:hAnsi="Arial" w:eastAsia="Arial" w:cs="Arial"/>
      <w:color w:val="2E75B6" w:themeColor="accent1" w:themeShade="BF"/>
      <w:sz w:val="40"/>
      <w:szCs w:val="40"/>
    </w:rPr>
  </w:style>
  <w:style w:type="character" w:customStyle="1" w:styleId="170">
    <w:name w:val="Heading 2 Char"/>
    <w:basedOn w:val="36"/>
    <w:uiPriority w:val="9"/>
    <w:rPr>
      <w:rFonts w:ascii="Arial" w:hAnsi="Arial" w:eastAsia="Arial" w:cs="Arial"/>
      <w:color w:val="2E75B6" w:themeColor="accent1" w:themeShade="BF"/>
      <w:sz w:val="32"/>
      <w:szCs w:val="32"/>
    </w:rPr>
  </w:style>
  <w:style w:type="character" w:customStyle="1" w:styleId="171">
    <w:name w:val="Heading 3 Char"/>
    <w:basedOn w:val="36"/>
    <w:uiPriority w:val="9"/>
    <w:rPr>
      <w:rFonts w:ascii="Arial" w:hAnsi="Arial" w:eastAsia="Arial" w:cs="Arial"/>
      <w:color w:val="2E75B6" w:themeColor="accent1" w:themeShade="BF"/>
      <w:sz w:val="28"/>
      <w:szCs w:val="28"/>
    </w:rPr>
  </w:style>
  <w:style w:type="character" w:customStyle="1" w:styleId="172">
    <w:name w:val="Heading 4 Char"/>
    <w:basedOn w:val="36"/>
    <w:uiPriority w:val="9"/>
    <w:rPr>
      <w:rFonts w:ascii="Arial" w:hAnsi="Arial" w:eastAsia="Arial" w:cs="Arial"/>
      <w:i/>
      <w:iCs/>
      <w:color w:val="2E75B6" w:themeColor="accent1" w:themeShade="BF"/>
    </w:rPr>
  </w:style>
  <w:style w:type="character" w:customStyle="1" w:styleId="173">
    <w:name w:val="Heading 5 Char"/>
    <w:basedOn w:val="36"/>
    <w:link w:val="7"/>
    <w:uiPriority w:val="9"/>
    <w:rPr>
      <w:rFonts w:ascii="Arial" w:hAnsi="Arial" w:eastAsia="Arial" w:cs="Arial"/>
      <w:color w:val="2E75B6" w:themeColor="accent1" w:themeShade="BF"/>
    </w:rPr>
  </w:style>
  <w:style w:type="character" w:customStyle="1" w:styleId="174">
    <w:name w:val="Heading 6 Char"/>
    <w:basedOn w:val="36"/>
    <w:link w:val="8"/>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5">
    <w:name w:val="Heading 7 Char"/>
    <w:basedOn w:val="36"/>
    <w:link w:val="9"/>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6">
    <w:name w:val="Heading 8 Char"/>
    <w:basedOn w:val="36"/>
    <w:link w:val="10"/>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7">
    <w:name w:val="Heading 9 Char"/>
    <w:basedOn w:val="36"/>
    <w:link w:val="11"/>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8">
    <w:name w:val="Title Char"/>
    <w:basedOn w:val="36"/>
    <w:link w:val="33"/>
    <w:uiPriority w:val="10"/>
    <w:rPr>
      <w:rFonts w:ascii="Arial" w:hAnsi="Arial" w:eastAsia="Arial" w:cs="Arial"/>
      <w:spacing w:val="-10"/>
      <w:sz w:val="56"/>
      <w:szCs w:val="56"/>
    </w:rPr>
  </w:style>
  <w:style w:type="character" w:customStyle="1" w:styleId="179">
    <w:name w:val="Subtitle Char"/>
    <w:basedOn w:val="36"/>
    <w:link w:val="27"/>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0">
    <w:name w:val="Quote"/>
    <w:basedOn w:val="1"/>
    <w:next w:val="1"/>
    <w:link w:val="18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1">
    <w:name w:val="Quote Char"/>
    <w:basedOn w:val="36"/>
    <w:link w:val="180"/>
    <w:uiPriority w:val="29"/>
    <w:rPr>
      <w:i/>
      <w:iCs/>
      <w:color w:val="404040" w:themeColor="text1" w:themeTint="BF"/>
      <w14:textFill>
        <w14:solidFill>
          <w14:schemeClr w14:val="tx1">
            <w14:lumMod w14:val="75000"/>
            <w14:lumOff w14:val="25000"/>
          </w14:schemeClr>
        </w14:solidFill>
      </w14:textFill>
    </w:rPr>
  </w:style>
  <w:style w:type="character" w:customStyle="1" w:styleId="182">
    <w:name w:val="Intense Emphasis"/>
    <w:basedOn w:val="36"/>
    <w:qFormat/>
    <w:uiPriority w:val="21"/>
    <w:rPr>
      <w:i/>
      <w:iCs/>
      <w:color w:val="2E75B6" w:themeColor="accent1" w:themeShade="BF"/>
    </w:rPr>
  </w:style>
  <w:style w:type="paragraph" w:styleId="183">
    <w:name w:val="Intense Quote"/>
    <w:basedOn w:val="1"/>
    <w:next w:val="1"/>
    <w:link w:val="184"/>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4">
    <w:name w:val="Intense Quote Char"/>
    <w:basedOn w:val="36"/>
    <w:link w:val="183"/>
    <w:uiPriority w:val="30"/>
    <w:rPr>
      <w:i/>
      <w:iCs/>
      <w:color w:val="2E75B6" w:themeColor="accent1" w:themeShade="BF"/>
    </w:rPr>
  </w:style>
  <w:style w:type="character" w:customStyle="1" w:styleId="185">
    <w:name w:val="Intense Reference"/>
    <w:basedOn w:val="36"/>
    <w:qFormat/>
    <w:uiPriority w:val="32"/>
    <w:rPr>
      <w:b/>
      <w:bCs/>
      <w:smallCaps/>
      <w:color w:val="2E75B6" w:themeColor="accent1" w:themeShade="BF"/>
      <w:spacing w:val="5"/>
    </w:rPr>
  </w:style>
  <w:style w:type="paragraph" w:styleId="186">
    <w:name w:val="No Spacing"/>
    <w:basedOn w:val="1"/>
    <w:qFormat/>
    <w:uiPriority w:val="1"/>
    <w:pPr>
      <w:spacing w:after="0" w:line="240" w:lineRule="auto"/>
    </w:pPr>
  </w:style>
  <w:style w:type="character" w:customStyle="1" w:styleId="187">
    <w:name w:val="Subtle Emphasis"/>
    <w:basedOn w:val="36"/>
    <w:qFormat/>
    <w:uiPriority w:val="19"/>
    <w:rPr>
      <w:i/>
      <w:iCs/>
      <w:color w:val="404040" w:themeColor="text1" w:themeTint="BF"/>
      <w14:textFill>
        <w14:solidFill>
          <w14:schemeClr w14:val="tx1">
            <w14:lumMod w14:val="75000"/>
            <w14:lumOff w14:val="25000"/>
          </w14:schemeClr>
        </w14:solidFill>
      </w14:textFill>
    </w:rPr>
  </w:style>
  <w:style w:type="character" w:customStyle="1" w:styleId="188">
    <w:name w:val="Subtle Reference"/>
    <w:basedOn w:val="3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9">
    <w:name w:val="Book Title"/>
    <w:basedOn w:val="36"/>
    <w:qFormat/>
    <w:uiPriority w:val="33"/>
    <w:rPr>
      <w:b/>
      <w:bCs/>
      <w:i/>
      <w:iCs/>
      <w:spacing w:val="5"/>
    </w:rPr>
  </w:style>
  <w:style w:type="character" w:customStyle="1" w:styleId="190">
    <w:name w:val="Header Char"/>
    <w:basedOn w:val="36"/>
    <w:uiPriority w:val="99"/>
  </w:style>
  <w:style w:type="character" w:customStyle="1" w:styleId="191">
    <w:name w:val="Footer Char"/>
    <w:basedOn w:val="36"/>
    <w:uiPriority w:val="99"/>
  </w:style>
  <w:style w:type="character" w:customStyle="1" w:styleId="192">
    <w:name w:val="Footnote Text Char"/>
    <w:basedOn w:val="36"/>
    <w:link w:val="28"/>
    <w:semiHidden/>
    <w:uiPriority w:val="99"/>
    <w:rPr>
      <w:sz w:val="20"/>
      <w:szCs w:val="20"/>
    </w:rPr>
  </w:style>
  <w:style w:type="character" w:customStyle="1" w:styleId="193">
    <w:name w:val="Endnote Text Char"/>
    <w:basedOn w:val="36"/>
    <w:link w:val="21"/>
    <w:semiHidden/>
    <w:uiPriority w:val="99"/>
    <w:rPr>
      <w:sz w:val="20"/>
      <w:szCs w:val="20"/>
    </w:rPr>
  </w:style>
  <w:style w:type="paragraph" w:customStyle="1" w:styleId="194">
    <w:name w:val="TOC Heading"/>
    <w:unhideWhenUsed/>
    <w:uiPriority w:val="39"/>
    <w:rPr>
      <w:rFonts w:hint="default" w:asciiTheme="minorHAnsi" w:hAnsiTheme="minorHAnsi" w:eastAsiaTheme="minorEastAsia" w:cstheme="minorBidi"/>
    </w:rPr>
  </w:style>
  <w:style w:type="paragraph" w:customStyle="1" w:styleId="195">
    <w:name w:val="中文正文、"/>
    <w:basedOn w:val="1"/>
    <w:qFormat/>
    <w:uiPriority w:val="0"/>
    <w:pPr>
      <w:widowControl w:val="0"/>
      <w:spacing w:line="360" w:lineRule="auto"/>
      <w:ind w:firstLine="420"/>
      <w:jc w:val="both"/>
    </w:pPr>
    <w:rPr>
      <w:rFonts w:ascii="Calibri" w:hAnsi="Calibri" w:eastAsia="宋体" w:cs="Times New Roman"/>
      <w:sz w:val="21"/>
      <w:szCs w:val="21"/>
    </w:rPr>
  </w:style>
  <w:style w:type="paragraph" w:customStyle="1" w:styleId="196">
    <w:name w:val="p16"/>
    <w:basedOn w:val="1"/>
    <w:qFormat/>
    <w:uiPriority w:val="0"/>
    <w:pPr>
      <w:jc w:val="both"/>
    </w:pPr>
    <w:rPr>
      <w:rFonts w:ascii="宋体" w:hAnsi="宋体" w:eastAsia="宋体" w:cs="Times New Roman"/>
      <w:szCs w:val="20"/>
    </w:rPr>
  </w:style>
  <w:style w:type="paragraph" w:customStyle="1" w:styleId="197">
    <w:name w:val="p0"/>
    <w:basedOn w:val="1"/>
    <w:qFormat/>
    <w:uiPriority w:val="0"/>
    <w:pPr>
      <w:jc w:val="both"/>
    </w:pPr>
    <w:rPr>
      <w:rFonts w:ascii="宋体" w:hAnsi="宋体" w:eastAsia="宋体" w:cs="宋体"/>
      <w:sz w:val="21"/>
      <w:szCs w:val="21"/>
    </w:rPr>
  </w:style>
  <w:style w:type="paragraph" w:customStyle="1" w:styleId="198">
    <w:name w:val="正文文本 31"/>
    <w:basedOn w:val="1"/>
    <w:qFormat/>
    <w:uiPriority w:val="0"/>
    <w:pPr>
      <w:widowControl w:val="0"/>
      <w:jc w:val="both"/>
    </w:pPr>
    <w:rPr>
      <w:rFonts w:ascii="宋体" w:hAnsi="Times New Roman" w:eastAsia="宋体" w:cs="Times New Roman"/>
    </w:rPr>
  </w:style>
  <w:style w:type="paragraph" w:customStyle="1" w:styleId="199">
    <w:name w:val="Table Paragraph"/>
    <w:basedOn w:val="1"/>
    <w:qFormat/>
    <w:uiPriority w:val="1"/>
    <w:pPr>
      <w:widowControl w:val="0"/>
    </w:pPr>
    <w:rPr>
      <w:rFonts w:ascii="宋体" w:hAnsi="宋体" w:cs="宋体"/>
      <w:sz w:val="22"/>
      <w:szCs w:val="22"/>
      <w:lang w:eastAsia="en-US"/>
    </w:rPr>
  </w:style>
  <w:style w:type="paragraph" w:customStyle="1" w:styleId="200">
    <w:name w:val="正文文本 33"/>
    <w:basedOn w:val="1"/>
    <w:qFormat/>
    <w:uiPriority w:val="0"/>
    <w:pPr>
      <w:widowControl w:val="0"/>
      <w:jc w:val="both"/>
    </w:pPr>
    <w:rPr>
      <w:rFonts w:ascii="宋体" w:hAnsi="Times New Roman" w:eastAsia="宋体" w:cs="Times New Roman"/>
    </w:rPr>
  </w:style>
  <w:style w:type="paragraph" w:customStyle="1" w:styleId="201">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02">
    <w:name w:val="彩色列表 - 着色 11"/>
    <w:basedOn w:val="1"/>
    <w:qFormat/>
    <w:uiPriority w:val="0"/>
    <w:pPr>
      <w:ind w:firstLine="420"/>
      <w:jc w:val="both"/>
    </w:pPr>
    <w:rPr>
      <w:sz w:val="21"/>
    </w:rPr>
  </w:style>
  <w:style w:type="paragraph" w:customStyle="1" w:styleId="203">
    <w:name w:val="列出段落1"/>
    <w:basedOn w:val="1"/>
    <w:qFormat/>
    <w:uiPriority w:val="99"/>
    <w:pPr>
      <w:ind w:firstLine="420"/>
    </w:pPr>
  </w:style>
  <w:style w:type="paragraph" w:styleId="204">
    <w:name w:val="List Paragraph"/>
    <w:basedOn w:val="1"/>
    <w:unhideWhenUsed/>
    <w:qFormat/>
    <w:uiPriority w:val="34"/>
    <w:pPr>
      <w:ind w:firstLine="420"/>
    </w:pPr>
  </w:style>
  <w:style w:type="paragraph" w:customStyle="1" w:styleId="205">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06">
    <w:name w:val="_Style 160"/>
    <w:basedOn w:val="1"/>
    <w:next w:val="204"/>
    <w:qFormat/>
    <w:uiPriority w:val="0"/>
    <w:pPr>
      <w:widowControl w:val="0"/>
      <w:pBdr>
        <w:bottom w:val="single" w:color="000000" w:sz="6" w:space="1"/>
      </w:pBdr>
      <w:jc w:val="center"/>
    </w:pPr>
    <w:rPr>
      <w:rFonts w:ascii="Arial" w:hAnsi="Times New Roman" w:eastAsia="宋体" w:cs="Times New Roman"/>
      <w:vanish/>
      <w:sz w:val="16"/>
    </w:rPr>
  </w:style>
  <w:style w:type="paragraph" w:customStyle="1" w:styleId="207">
    <w:name w:val="1"/>
    <w:basedOn w:val="1"/>
    <w:next w:val="20"/>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character" w:customStyle="1" w:styleId="208">
    <w:name w:val="标题 3 Char"/>
    <w:basedOn w:val="36"/>
    <w:link w:val="5"/>
    <w:qFormat/>
    <w:uiPriority w:val="0"/>
    <w:rPr>
      <w:b/>
      <w:bCs/>
      <w:sz w:val="32"/>
      <w:szCs w:val="32"/>
    </w:rPr>
  </w:style>
  <w:style w:type="character" w:customStyle="1" w:styleId="209">
    <w:name w:val="font11"/>
    <w:qFormat/>
    <w:uiPriority w:val="0"/>
    <w:rPr>
      <w:rFonts w:hint="eastAsia" w:ascii="仿宋" w:hAnsi="仿宋" w:eastAsia="仿宋" w:cs="仿宋"/>
      <w:color w:val="FF0000"/>
      <w:sz w:val="20"/>
      <w:szCs w:val="20"/>
      <w:u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ScaleCrop>false</ScaleCrop>
  <LinksUpToDate>false</LinksUpToDate>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2026-04-22T14:56:00Z</dcterms:created>
  <dc:creator>尚金凤</dc:creator>
  <cp:lastModifiedBy>尚金凤</cp:lastModifiedBy>
  <dcterms:modified xsi:type="dcterms:W3CDTF">2026-05-09T03:37:47Z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337BD7ABC4214C25BAF8D07D7BA4C7CE</vt:lpwstr>
  </property>
</Properties>
</file>