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color w:val="000000" w:themeColor="text1"/>
          <w:sz w:val="28"/>
          <w:szCs w:val="28"/>
          <w14:textFill>
            <w14:solidFill>
              <w14:schemeClr w14:val="tx1"/>
            </w14:solidFill>
          </w14:textFill>
        </w:rPr>
      </w:pPr>
    </w:p>
    <w:p>
      <w:pPr>
        <w:jc w:val="center"/>
        <w:rPr>
          <w:rFonts w:ascii="仿宋_GB2312" w:hAnsi="宋体" w:eastAsia="仿宋_GB2312"/>
          <w:b/>
          <w:color w:val="000000" w:themeColor="text1"/>
          <w:sz w:val="36"/>
          <w:szCs w:val="36"/>
          <w14:textFill>
            <w14:solidFill>
              <w14:schemeClr w14:val="tx1"/>
            </w14:solidFill>
          </w14:textFill>
        </w:rPr>
      </w:pPr>
    </w:p>
    <w:p>
      <w:pPr>
        <w:jc w:val="center"/>
        <w:rPr>
          <w:rFonts w:hint="eastAsia" w:ascii="仿宋_GB2312" w:hAnsi="宋体" w:eastAsia="仿宋_GB2312"/>
          <w:b/>
          <w:color w:val="000000" w:themeColor="text1"/>
          <w:sz w:val="36"/>
          <w:szCs w:val="36"/>
          <w14:textFill>
            <w14:solidFill>
              <w14:schemeClr w14:val="tx1"/>
            </w14:solidFill>
          </w14:textFill>
        </w:rPr>
      </w:pPr>
      <w:r>
        <w:rPr>
          <w:rFonts w:hint="eastAsia" w:ascii="仿宋_GB2312" w:hAnsi="宋体" w:eastAsia="仿宋_GB2312"/>
          <w:b/>
          <w:color w:val="000000" w:themeColor="text1"/>
          <w:sz w:val="36"/>
          <w:szCs w:val="36"/>
          <w14:textFill>
            <w14:solidFill>
              <w14:schemeClr w14:val="tx1"/>
            </w14:solidFill>
          </w14:textFill>
        </w:rPr>
        <w:t>人保财险四川省广安市分公司</w:t>
      </w:r>
      <w:r>
        <w:rPr>
          <w:rFonts w:hint="eastAsia" w:ascii="仿宋_GB2312" w:hAnsi="宋体" w:eastAsia="仿宋_GB2312"/>
          <w:b/>
          <w:color w:val="000000" w:themeColor="text1"/>
          <w:sz w:val="36"/>
          <w:szCs w:val="36"/>
          <w:lang w:val="en-US" w:eastAsia="zh-CN"/>
          <w14:textFill>
            <w14:solidFill>
              <w14:schemeClr w14:val="tx1"/>
            </w14:solidFill>
          </w14:textFill>
        </w:rPr>
        <w:t>前锋区</w:t>
      </w:r>
      <w:r>
        <w:rPr>
          <w:rFonts w:hint="eastAsia" w:ascii="仿宋_GB2312" w:hAnsi="宋体" w:eastAsia="仿宋_GB2312"/>
          <w:b/>
          <w:color w:val="000000" w:themeColor="text1"/>
          <w:sz w:val="36"/>
          <w:szCs w:val="36"/>
          <w14:textFill>
            <w14:solidFill>
              <w14:schemeClr w14:val="tx1"/>
            </w14:solidFill>
          </w14:textFill>
        </w:rPr>
        <w:t>公交站台宣传服务</w:t>
      </w:r>
    </w:p>
    <w:p>
      <w:pPr>
        <w:jc w:val="center"/>
        <w:rPr>
          <w:rFonts w:ascii="仿宋_GB2312" w:eastAsia="仿宋_GB2312"/>
          <w:color w:val="000000" w:themeColor="text1"/>
          <w:sz w:val="72"/>
          <w:szCs w:val="72"/>
          <w14:textFill>
            <w14:solidFill>
              <w14:schemeClr w14:val="tx1"/>
            </w14:solidFill>
          </w14:textFill>
        </w:rPr>
      </w:pPr>
      <w:r>
        <w:rPr>
          <w:rFonts w:hint="eastAsia" w:ascii="仿宋_GB2312" w:hAnsi="宋体" w:eastAsia="仿宋_GB2312"/>
          <w:b/>
          <w:color w:val="000000" w:themeColor="text1"/>
          <w:sz w:val="36"/>
          <w:szCs w:val="36"/>
          <w14:textFill>
            <w14:solidFill>
              <w14:schemeClr w14:val="tx1"/>
            </w14:solidFill>
          </w14:textFill>
        </w:rPr>
        <w:t>采购项目</w:t>
      </w:r>
    </w:p>
    <w:p>
      <w:pPr>
        <w:jc w:val="center"/>
        <w:rPr>
          <w:rFonts w:ascii="仿宋_GB2312" w:eastAsia="仿宋_GB2312"/>
          <w:color w:val="000000" w:themeColor="text1"/>
          <w:sz w:val="72"/>
          <w:szCs w:val="72"/>
          <w14:textFill>
            <w14:solidFill>
              <w14:schemeClr w14:val="tx1"/>
            </w14:solidFill>
          </w14:textFill>
        </w:rPr>
      </w:pPr>
    </w:p>
    <w:p>
      <w:pPr>
        <w:jc w:val="center"/>
        <w:rPr>
          <w:rFonts w:ascii="仿宋_GB2312" w:eastAsia="仿宋_GB2312"/>
          <w:color w:val="000000" w:themeColor="text1"/>
          <w:sz w:val="72"/>
          <w:szCs w:val="72"/>
          <w14:textFill>
            <w14:solidFill>
              <w14:schemeClr w14:val="tx1"/>
            </w14:solidFill>
          </w14:textFill>
        </w:rPr>
      </w:pPr>
      <w:r>
        <w:rPr>
          <w:rFonts w:hint="eastAsia" w:ascii="仿宋_GB2312" w:eastAsia="仿宋_GB2312"/>
          <w:color w:val="000000" w:themeColor="text1"/>
          <w:sz w:val="72"/>
          <w:szCs w:val="72"/>
          <w14:textFill>
            <w14:solidFill>
              <w14:schemeClr w14:val="tx1"/>
            </w14:solidFill>
          </w14:textFill>
        </w:rPr>
        <w:t>比</w:t>
      </w:r>
    </w:p>
    <w:p>
      <w:pPr>
        <w:jc w:val="center"/>
        <w:rPr>
          <w:rFonts w:ascii="仿宋_GB2312" w:eastAsia="仿宋_GB2312"/>
          <w:color w:val="000000" w:themeColor="text1"/>
          <w:sz w:val="72"/>
          <w:szCs w:val="72"/>
          <w14:textFill>
            <w14:solidFill>
              <w14:schemeClr w14:val="tx1"/>
            </w14:solidFill>
          </w14:textFill>
        </w:rPr>
      </w:pPr>
    </w:p>
    <w:p>
      <w:pPr>
        <w:jc w:val="center"/>
        <w:rPr>
          <w:rFonts w:ascii="仿宋_GB2312" w:eastAsia="仿宋_GB2312"/>
          <w:color w:val="000000" w:themeColor="text1"/>
          <w:sz w:val="72"/>
          <w:szCs w:val="72"/>
          <w14:textFill>
            <w14:solidFill>
              <w14:schemeClr w14:val="tx1"/>
            </w14:solidFill>
          </w14:textFill>
        </w:rPr>
      </w:pPr>
      <w:r>
        <w:rPr>
          <w:rFonts w:hint="eastAsia" w:ascii="仿宋_GB2312" w:eastAsia="仿宋_GB2312"/>
          <w:color w:val="000000" w:themeColor="text1"/>
          <w:sz w:val="72"/>
          <w:szCs w:val="72"/>
          <w14:textFill>
            <w14:solidFill>
              <w14:schemeClr w14:val="tx1"/>
            </w14:solidFill>
          </w14:textFill>
        </w:rPr>
        <w:t>价</w:t>
      </w:r>
    </w:p>
    <w:p>
      <w:pPr>
        <w:jc w:val="center"/>
        <w:rPr>
          <w:rFonts w:ascii="仿宋_GB2312" w:eastAsia="仿宋_GB2312"/>
          <w:color w:val="000000" w:themeColor="text1"/>
          <w:sz w:val="72"/>
          <w:szCs w:val="72"/>
          <w14:textFill>
            <w14:solidFill>
              <w14:schemeClr w14:val="tx1"/>
            </w14:solidFill>
          </w14:textFill>
        </w:rPr>
      </w:pPr>
    </w:p>
    <w:p>
      <w:pPr>
        <w:jc w:val="center"/>
        <w:rPr>
          <w:rFonts w:ascii="仿宋_GB2312" w:eastAsia="仿宋_GB2312"/>
          <w:color w:val="000000" w:themeColor="text1"/>
          <w:sz w:val="72"/>
          <w:szCs w:val="72"/>
          <w14:textFill>
            <w14:solidFill>
              <w14:schemeClr w14:val="tx1"/>
            </w14:solidFill>
          </w14:textFill>
        </w:rPr>
      </w:pPr>
      <w:r>
        <w:rPr>
          <w:rFonts w:hint="eastAsia" w:ascii="仿宋_GB2312" w:eastAsia="仿宋_GB2312"/>
          <w:color w:val="000000" w:themeColor="text1"/>
          <w:sz w:val="72"/>
          <w:szCs w:val="72"/>
          <w14:textFill>
            <w14:solidFill>
              <w14:schemeClr w14:val="tx1"/>
            </w14:solidFill>
          </w14:textFill>
        </w:rPr>
        <w:t>文</w:t>
      </w:r>
    </w:p>
    <w:p>
      <w:pPr>
        <w:jc w:val="center"/>
        <w:rPr>
          <w:rFonts w:ascii="仿宋_GB2312" w:eastAsia="仿宋_GB2312"/>
          <w:color w:val="000000" w:themeColor="text1"/>
          <w:sz w:val="72"/>
          <w:szCs w:val="72"/>
          <w14:textFill>
            <w14:solidFill>
              <w14:schemeClr w14:val="tx1"/>
            </w14:solidFill>
          </w14:textFill>
        </w:rPr>
      </w:pPr>
    </w:p>
    <w:p>
      <w:pPr>
        <w:jc w:val="center"/>
        <w:rPr>
          <w:rFonts w:ascii="仿宋_GB2312" w:eastAsia="仿宋_GB2312"/>
          <w:color w:val="000000" w:themeColor="text1"/>
          <w:sz w:val="72"/>
          <w:szCs w:val="72"/>
          <w14:textFill>
            <w14:solidFill>
              <w14:schemeClr w14:val="tx1"/>
            </w14:solidFill>
          </w14:textFill>
        </w:rPr>
      </w:pPr>
      <w:r>
        <w:rPr>
          <w:rFonts w:hint="eastAsia" w:ascii="仿宋_GB2312" w:eastAsia="仿宋_GB2312"/>
          <w:color w:val="000000" w:themeColor="text1"/>
          <w:sz w:val="72"/>
          <w:szCs w:val="72"/>
          <w14:textFill>
            <w14:solidFill>
              <w14:schemeClr w14:val="tx1"/>
            </w14:solidFill>
          </w14:textFill>
        </w:rPr>
        <w:t>件</w:t>
      </w:r>
    </w:p>
    <w:p>
      <w:pPr>
        <w:pStyle w:val="2"/>
        <w:rPr>
          <w:color w:val="000000" w:themeColor="text1"/>
          <w14:textFill>
            <w14:solidFill>
              <w14:schemeClr w14:val="tx1"/>
            </w14:solidFill>
          </w14:textFill>
        </w:rPr>
      </w:pPr>
    </w:p>
    <w:p>
      <w:pPr>
        <w:jc w:val="center"/>
        <w:rPr>
          <w:rFonts w:ascii="仿宋_GB2312" w:hAnsi="宋体" w:eastAsia="仿宋_GB2312"/>
          <w:color w:val="000000" w:themeColor="text1"/>
          <w:sz w:val="28"/>
          <w:szCs w:val="28"/>
          <w14:textFill>
            <w14:solidFill>
              <w14:schemeClr w14:val="tx1"/>
            </w14:solidFill>
          </w14:textFill>
        </w:rPr>
      </w:pPr>
    </w:p>
    <w:p>
      <w:pPr>
        <w:jc w:val="center"/>
        <w:rPr>
          <w:rFonts w:ascii="仿宋_GB2312" w:hAnsi="宋体" w:eastAsia="仿宋_GB2312"/>
          <w:color w:val="000000" w:themeColor="text1"/>
          <w:sz w:val="28"/>
          <w:szCs w:val="28"/>
          <w14:textFill>
            <w14:solidFill>
              <w14:schemeClr w14:val="tx1"/>
            </w14:solidFill>
          </w14:textFill>
        </w:rPr>
      </w:pPr>
    </w:p>
    <w:p>
      <w:pPr>
        <w:pStyle w:val="16"/>
        <w:ind w:left="113" w:leftChars="47"/>
        <w:jc w:val="center"/>
        <w:rPr>
          <w:rFonts w:ascii="仿宋_GB2312" w:hAnsi="宋体" w:eastAsia="仿宋_GB2312"/>
          <w:b/>
          <w:color w:val="000000" w:themeColor="text1"/>
          <w:sz w:val="28"/>
          <w:szCs w:val="28"/>
          <w14:textFill>
            <w14:solidFill>
              <w14:schemeClr w14:val="tx1"/>
            </w14:solidFill>
          </w14:textFill>
        </w:rPr>
      </w:pPr>
    </w:p>
    <w:p>
      <w:pPr>
        <w:pStyle w:val="16"/>
        <w:ind w:left="113" w:leftChars="47"/>
        <w:jc w:val="center"/>
        <w:rPr>
          <w:rFonts w:ascii="仿宋_GB2312" w:hAnsi="宋体" w:eastAsia="仿宋_GB2312"/>
          <w:b/>
          <w:color w:val="000000" w:themeColor="text1"/>
          <w:sz w:val="28"/>
          <w:szCs w:val="28"/>
          <w14:textFill>
            <w14:solidFill>
              <w14:schemeClr w14:val="tx1"/>
            </w14:solidFill>
          </w14:textFill>
        </w:rPr>
      </w:pPr>
    </w:p>
    <w:p>
      <w:pPr>
        <w:pStyle w:val="16"/>
        <w:ind w:left="113" w:leftChars="47"/>
        <w:jc w:val="center"/>
        <w:rPr>
          <w:rFonts w:ascii="仿宋_GB2312" w:hAnsi="宋体" w:eastAsia="仿宋_GB2312"/>
          <w:b/>
          <w:color w:val="000000" w:themeColor="text1"/>
          <w:sz w:val="28"/>
          <w:szCs w:val="28"/>
          <w14:textFill>
            <w14:solidFill>
              <w14:schemeClr w14:val="tx1"/>
            </w14:solidFill>
          </w14:textFill>
        </w:rPr>
      </w:pPr>
    </w:p>
    <w:p>
      <w:pPr>
        <w:pStyle w:val="16"/>
        <w:ind w:left="113" w:leftChars="47"/>
        <w:jc w:val="center"/>
        <w:rPr>
          <w:rFonts w:ascii="仿宋_GB2312" w:hAnsi="宋体" w:eastAsia="仿宋_GB2312"/>
          <w:b/>
          <w:color w:val="000000" w:themeColor="text1"/>
          <w:sz w:val="28"/>
          <w:szCs w:val="28"/>
          <w14:textFill>
            <w14:solidFill>
              <w14:schemeClr w14:val="tx1"/>
            </w14:solidFill>
          </w14:textFill>
        </w:rPr>
      </w:pPr>
      <w:r>
        <w:rPr>
          <w:rFonts w:hint="eastAsia" w:ascii="仿宋_GB2312" w:hAnsi="宋体" w:eastAsia="仿宋_GB2312"/>
          <w:b/>
          <w:color w:val="000000" w:themeColor="text1"/>
          <w:sz w:val="28"/>
          <w:szCs w:val="28"/>
          <w14:textFill>
            <w14:solidFill>
              <w14:schemeClr w14:val="tx1"/>
            </w14:solidFill>
          </w14:textFill>
        </w:rPr>
        <w:t>2026年0</w:t>
      </w:r>
      <w:r>
        <w:rPr>
          <w:rFonts w:hint="eastAsia" w:ascii="仿宋_GB2312" w:hAnsi="宋体" w:eastAsia="仿宋_GB2312"/>
          <w:b/>
          <w:color w:val="000000" w:themeColor="text1"/>
          <w:sz w:val="28"/>
          <w:szCs w:val="28"/>
          <w:lang w:val="en-US" w:eastAsia="zh-CN"/>
          <w14:textFill>
            <w14:solidFill>
              <w14:schemeClr w14:val="tx1"/>
            </w14:solidFill>
          </w14:textFill>
        </w:rPr>
        <w:t>4</w:t>
      </w:r>
      <w:r>
        <w:rPr>
          <w:rFonts w:hint="eastAsia" w:ascii="仿宋_GB2312" w:hAnsi="宋体" w:eastAsia="仿宋_GB2312"/>
          <w:b/>
          <w:color w:val="000000" w:themeColor="text1"/>
          <w:sz w:val="28"/>
          <w:szCs w:val="28"/>
          <w14:textFill>
            <w14:solidFill>
              <w14:schemeClr w14:val="tx1"/>
            </w14:solidFill>
          </w14:textFill>
        </w:rPr>
        <w:t>月</w:t>
      </w:r>
    </w:p>
    <w:p>
      <w:pPr>
        <w:spacing w:line="360" w:lineRule="auto"/>
        <w:jc w:val="center"/>
        <w:rPr>
          <w:rFonts w:ascii="仿宋_GB2312" w:hAnsi="宋体" w:eastAsia="仿宋_GB2312"/>
          <w:b/>
          <w:color w:val="000000" w:themeColor="text1"/>
          <w:sz w:val="36"/>
          <w:szCs w:val="28"/>
          <w14:textFill>
            <w14:solidFill>
              <w14:schemeClr w14:val="tx1"/>
            </w14:solidFill>
          </w14:textFill>
        </w:rPr>
        <w:sectPr>
          <w:footerReference r:id="rId3" w:type="even"/>
          <w:pgSz w:w="11906" w:h="16838"/>
          <w:pgMar w:top="1440" w:right="1134" w:bottom="1440" w:left="1134" w:header="851" w:footer="992" w:gutter="0"/>
          <w:cols w:space="720" w:num="1"/>
          <w:docGrid w:linePitch="326" w:charSpace="0"/>
        </w:sectPr>
      </w:pPr>
    </w:p>
    <w:p>
      <w:pPr>
        <w:spacing w:line="360" w:lineRule="auto"/>
        <w:jc w:val="center"/>
        <w:rPr>
          <w:rFonts w:ascii="仿宋_GB2312" w:hAnsi="宋体" w:eastAsia="仿宋_GB2312"/>
          <w:b/>
          <w:color w:val="000000" w:themeColor="text1"/>
          <w:sz w:val="36"/>
          <w:szCs w:val="28"/>
          <w14:textFill>
            <w14:solidFill>
              <w14:schemeClr w14:val="tx1"/>
            </w14:solidFill>
          </w14:textFill>
        </w:rPr>
      </w:pPr>
      <w:r>
        <w:rPr>
          <w:rFonts w:hint="eastAsia" w:ascii="仿宋_GB2312" w:hAnsi="宋体" w:eastAsia="仿宋_GB2312"/>
          <w:b/>
          <w:color w:val="000000" w:themeColor="text1"/>
          <w:sz w:val="36"/>
          <w:szCs w:val="28"/>
          <w14:textFill>
            <w14:solidFill>
              <w14:schemeClr w14:val="tx1"/>
            </w14:solidFill>
          </w14:textFill>
        </w:rPr>
        <w:t>目     录</w:t>
      </w:r>
    </w:p>
    <w:p>
      <w:pPr>
        <w:pStyle w:val="21"/>
        <w:tabs>
          <w:tab w:val="right" w:leader="dot" w:pos="9638"/>
        </w:tabs>
      </w:pPr>
      <w:r>
        <w:rPr>
          <w:rFonts w:hint="eastAsia" w:ascii="仿宋_GB2312" w:hAnsi="宋体" w:eastAsia="仿宋_GB2312"/>
          <w:b w:val="0"/>
          <w:bCs w:val="0"/>
          <w:color w:val="000000" w:themeColor="text1"/>
          <w14:textFill>
            <w14:solidFill>
              <w14:schemeClr w14:val="tx1"/>
            </w14:solidFill>
          </w14:textFill>
        </w:rPr>
        <w:fldChar w:fldCharType="begin"/>
      </w:r>
      <w:r>
        <w:rPr>
          <w:rFonts w:hint="eastAsia" w:ascii="仿宋_GB2312" w:hAnsi="宋体" w:eastAsia="仿宋_GB2312"/>
          <w:b w:val="0"/>
          <w:bCs w:val="0"/>
          <w:color w:val="000000" w:themeColor="text1"/>
          <w14:textFill>
            <w14:solidFill>
              <w14:schemeClr w14:val="tx1"/>
            </w14:solidFill>
          </w14:textFill>
        </w:rPr>
        <w:instrText xml:space="preserve">TOC \o "1-3" \h \u </w:instrText>
      </w:r>
      <w:r>
        <w:rPr>
          <w:rFonts w:hint="eastAsia" w:ascii="仿宋_GB2312" w:hAnsi="宋体" w:eastAsia="仿宋_GB2312"/>
          <w:b w:val="0"/>
          <w:bCs w:val="0"/>
          <w:color w:val="000000" w:themeColor="text1"/>
          <w14:textFill>
            <w14:solidFill>
              <w14:schemeClr w14:val="tx1"/>
            </w14:solidFill>
          </w14:textFill>
        </w:rPr>
        <w:fldChar w:fldCharType="separate"/>
      </w: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_Toc10567 </w:instrText>
      </w:r>
      <w:r>
        <w:rPr>
          <w:rFonts w:hint="eastAsia" w:ascii="仿宋_GB2312" w:hAnsi="宋体" w:eastAsia="仿宋_GB2312"/>
          <w:bCs w:val="0"/>
        </w:rPr>
        <w:fldChar w:fldCharType="separate"/>
      </w:r>
      <w:r>
        <w:rPr>
          <w:rFonts w:hint="eastAsia" w:ascii="仿宋_GB2312" w:hAnsi="宋体" w:eastAsia="仿宋_GB2312"/>
          <w:szCs w:val="28"/>
        </w:rPr>
        <w:t>第一章 比价邀请</w:t>
      </w:r>
      <w:r>
        <w:tab/>
      </w:r>
      <w:r>
        <w:fldChar w:fldCharType="begin"/>
      </w:r>
      <w:r>
        <w:instrText xml:space="preserve"> PAGEREF _Toc10567 \h </w:instrText>
      </w:r>
      <w:r>
        <w:fldChar w:fldCharType="separate"/>
      </w:r>
      <w:r>
        <w:t>3</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_Toc7008 </w:instrText>
      </w:r>
      <w:r>
        <w:rPr>
          <w:rFonts w:hint="eastAsia" w:ascii="仿宋_GB2312" w:hAnsi="宋体" w:eastAsia="仿宋_GB2312"/>
          <w:bCs w:val="0"/>
        </w:rPr>
        <w:fldChar w:fldCharType="separate"/>
      </w:r>
      <w:r>
        <w:rPr>
          <w:rFonts w:hint="eastAsia" w:ascii="仿宋" w:hAnsi="仿宋" w:eastAsia="仿宋" w:cs="仿宋"/>
          <w:szCs w:val="24"/>
        </w:rPr>
        <w:t>一、项目概况与采购范围</w:t>
      </w:r>
      <w:r>
        <w:tab/>
      </w:r>
      <w:r>
        <w:fldChar w:fldCharType="begin"/>
      </w:r>
      <w:r>
        <w:instrText xml:space="preserve"> PAGEREF _Toc7008 \h </w:instrText>
      </w:r>
      <w:r>
        <w:fldChar w:fldCharType="separate"/>
      </w:r>
      <w:r>
        <w:t>3</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_Toc25621 </w:instrText>
      </w:r>
      <w:r>
        <w:rPr>
          <w:rFonts w:hint="eastAsia" w:ascii="仿宋_GB2312" w:hAnsi="宋体" w:eastAsia="仿宋_GB2312"/>
          <w:bCs w:val="0"/>
        </w:rPr>
        <w:fldChar w:fldCharType="separate"/>
      </w:r>
      <w:r>
        <w:rPr>
          <w:rFonts w:hint="eastAsia" w:ascii="仿宋" w:hAnsi="仿宋" w:eastAsia="仿宋" w:cs="仿宋"/>
          <w:szCs w:val="24"/>
        </w:rPr>
        <w:t>二、供应商资格要求</w:t>
      </w:r>
      <w:r>
        <w:tab/>
      </w:r>
      <w:r>
        <w:fldChar w:fldCharType="begin"/>
      </w:r>
      <w:r>
        <w:instrText xml:space="preserve"> PAGEREF _Toc25621 \h </w:instrText>
      </w:r>
      <w:r>
        <w:fldChar w:fldCharType="separate"/>
      </w:r>
      <w:r>
        <w:t>3</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_Toc25572 </w:instrText>
      </w:r>
      <w:r>
        <w:rPr>
          <w:rFonts w:hint="eastAsia" w:ascii="仿宋_GB2312" w:hAnsi="宋体" w:eastAsia="仿宋_GB2312"/>
          <w:bCs w:val="0"/>
        </w:rPr>
        <w:fldChar w:fldCharType="separate"/>
      </w:r>
      <w:r>
        <w:rPr>
          <w:rFonts w:hint="eastAsia" w:ascii="仿宋" w:hAnsi="仿宋" w:eastAsia="仿宋" w:cs="仿宋"/>
          <w:szCs w:val="24"/>
        </w:rPr>
        <w:t>三、比价文件的获取</w:t>
      </w:r>
      <w:r>
        <w:tab/>
      </w:r>
      <w:r>
        <w:fldChar w:fldCharType="begin"/>
      </w:r>
      <w:r>
        <w:instrText xml:space="preserve"> PAGEREF _Toc25572 \h </w:instrText>
      </w:r>
      <w:r>
        <w:fldChar w:fldCharType="separate"/>
      </w:r>
      <w:r>
        <w:t>4</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_Toc29152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_Toc29152 \h </w:instrText>
      </w:r>
      <w:r>
        <w:fldChar w:fldCharType="separate"/>
      </w:r>
      <w:r>
        <w:t>4</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_Toc3619 </w:instrText>
      </w:r>
      <w:r>
        <w:rPr>
          <w:rFonts w:hint="eastAsia" w:ascii="仿宋_GB2312" w:hAnsi="宋体" w:eastAsia="仿宋_GB2312"/>
          <w:bCs w:val="0"/>
        </w:rPr>
        <w:fldChar w:fldCharType="separate"/>
      </w:r>
      <w:r>
        <w:rPr>
          <w:rFonts w:hint="eastAsia" w:ascii="仿宋" w:hAnsi="仿宋" w:eastAsia="仿宋" w:cs="仿宋"/>
          <w:szCs w:val="24"/>
        </w:rPr>
        <w:t>五、发布公告的媒介</w:t>
      </w:r>
      <w:r>
        <w:tab/>
      </w:r>
      <w:r>
        <w:fldChar w:fldCharType="begin"/>
      </w:r>
      <w:r>
        <w:instrText xml:space="preserve"> PAGEREF _Toc3619 \h </w:instrText>
      </w:r>
      <w:r>
        <w:fldChar w:fldCharType="separate"/>
      </w:r>
      <w:r>
        <w:t>5</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_Toc23401 </w:instrText>
      </w:r>
      <w:r>
        <w:rPr>
          <w:rFonts w:hint="eastAsia" w:ascii="仿宋_GB2312" w:hAnsi="宋体" w:eastAsia="仿宋_GB2312"/>
          <w:bCs w:val="0"/>
        </w:rPr>
        <w:fldChar w:fldCharType="separate"/>
      </w:r>
      <w:r>
        <w:rPr>
          <w:rFonts w:hint="eastAsia" w:ascii="仿宋" w:hAnsi="仿宋" w:eastAsia="仿宋" w:cs="仿宋"/>
          <w:szCs w:val="24"/>
        </w:rPr>
        <w:t>六、联系方式</w:t>
      </w:r>
      <w:r>
        <w:tab/>
      </w:r>
      <w:r>
        <w:fldChar w:fldCharType="begin"/>
      </w:r>
      <w:r>
        <w:instrText xml:space="preserve"> PAGEREF _Toc23401 \h </w:instrText>
      </w:r>
      <w:r>
        <w:fldChar w:fldCharType="separate"/>
      </w:r>
      <w:r>
        <w:t>5</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1"/>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_Toc28505 </w:instrText>
      </w:r>
      <w:r>
        <w:rPr>
          <w:rFonts w:hint="eastAsia" w:ascii="仿宋_GB2312" w:hAnsi="宋体" w:eastAsia="仿宋_GB2312"/>
          <w:bCs w:val="0"/>
        </w:rPr>
        <w:fldChar w:fldCharType="separate"/>
      </w:r>
      <w:r>
        <w:rPr>
          <w:rFonts w:hint="eastAsia" w:ascii="仿宋_GB2312" w:hAnsi="宋体" w:eastAsia="仿宋_GB2312"/>
          <w:szCs w:val="28"/>
        </w:rPr>
        <w:t>第二章 供应商须知</w:t>
      </w:r>
      <w:r>
        <w:tab/>
      </w:r>
      <w:r>
        <w:fldChar w:fldCharType="begin"/>
      </w:r>
      <w:r>
        <w:instrText xml:space="preserve"> PAGEREF _Toc28505 \h </w:instrText>
      </w:r>
      <w:r>
        <w:fldChar w:fldCharType="separate"/>
      </w:r>
      <w:r>
        <w:t>6</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_Toc23158 </w:instrText>
      </w:r>
      <w:r>
        <w:rPr>
          <w:rFonts w:hint="eastAsia" w:ascii="仿宋_GB2312" w:hAnsi="宋体" w:eastAsia="仿宋_GB2312"/>
          <w:bCs w:val="0"/>
        </w:rPr>
        <w:fldChar w:fldCharType="separate"/>
      </w:r>
      <w:r>
        <w:rPr>
          <w:rFonts w:hint="eastAsia" w:ascii="仿宋" w:hAnsi="仿宋" w:eastAsia="仿宋" w:cs="仿宋"/>
          <w:szCs w:val="24"/>
        </w:rPr>
        <w:t>一、供应商须知前附表</w:t>
      </w:r>
      <w:r>
        <w:tab/>
      </w:r>
      <w:r>
        <w:fldChar w:fldCharType="begin"/>
      </w:r>
      <w:r>
        <w:instrText xml:space="preserve"> PAGEREF _Toc23158 \h </w:instrText>
      </w:r>
      <w:r>
        <w:fldChar w:fldCharType="separate"/>
      </w:r>
      <w:r>
        <w:t>6</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_Toc5574 </w:instrText>
      </w:r>
      <w:r>
        <w:rPr>
          <w:rFonts w:hint="eastAsia" w:ascii="仿宋_GB2312" w:hAnsi="宋体" w:eastAsia="仿宋_GB2312"/>
          <w:bCs w:val="0"/>
        </w:rPr>
        <w:fldChar w:fldCharType="separate"/>
      </w:r>
      <w:r>
        <w:rPr>
          <w:rFonts w:hint="eastAsia" w:ascii="仿宋" w:hAnsi="仿宋" w:eastAsia="仿宋" w:cs="仿宋"/>
          <w:szCs w:val="24"/>
        </w:rPr>
        <w:t>二、供应商须知正文</w:t>
      </w:r>
      <w:r>
        <w:tab/>
      </w:r>
      <w:r>
        <w:fldChar w:fldCharType="begin"/>
      </w:r>
      <w:r>
        <w:instrText xml:space="preserve"> PAGEREF _Toc5574 \h </w:instrText>
      </w:r>
      <w:r>
        <w:fldChar w:fldCharType="separate"/>
      </w:r>
      <w:r>
        <w:t>9</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1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_Toc22926 </w:instrText>
      </w:r>
      <w:r>
        <w:rPr>
          <w:rFonts w:hint="eastAsia" w:ascii="仿宋_GB2312" w:hAnsi="宋体" w:eastAsia="仿宋_GB2312"/>
          <w:bCs w:val="0"/>
        </w:rPr>
        <w:fldChar w:fldCharType="separate"/>
      </w:r>
      <w:r>
        <w:rPr>
          <w:rFonts w:hint="eastAsia" w:ascii="仿宋" w:hAnsi="仿宋" w:eastAsia="仿宋" w:cs="仿宋"/>
          <w:szCs w:val="24"/>
        </w:rPr>
        <w:t>（一）总 则</w:t>
      </w:r>
      <w:r>
        <w:tab/>
      </w:r>
      <w:r>
        <w:fldChar w:fldCharType="begin"/>
      </w:r>
      <w:r>
        <w:instrText xml:space="preserve"> PAGEREF _Toc22926 \h </w:instrText>
      </w:r>
      <w:r>
        <w:fldChar w:fldCharType="separate"/>
      </w:r>
      <w:r>
        <w:t>9</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1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_Toc10743 </w:instrText>
      </w:r>
      <w:r>
        <w:rPr>
          <w:rFonts w:hint="eastAsia" w:ascii="仿宋_GB2312" w:hAnsi="宋体" w:eastAsia="仿宋_GB2312"/>
          <w:bCs w:val="0"/>
        </w:rPr>
        <w:fldChar w:fldCharType="separate"/>
      </w:r>
      <w:r>
        <w:rPr>
          <w:rFonts w:hint="eastAsia" w:ascii="仿宋" w:hAnsi="仿宋" w:eastAsia="仿宋" w:cs="仿宋"/>
          <w:szCs w:val="24"/>
        </w:rPr>
        <w:t>（二）比价文件</w:t>
      </w:r>
      <w:r>
        <w:tab/>
      </w:r>
      <w:r>
        <w:fldChar w:fldCharType="begin"/>
      </w:r>
      <w:r>
        <w:instrText xml:space="preserve"> PAGEREF _Toc10743 \h </w:instrText>
      </w:r>
      <w:r>
        <w:fldChar w:fldCharType="separate"/>
      </w:r>
      <w:r>
        <w:t>9</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1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_Toc11948 </w:instrText>
      </w:r>
      <w:r>
        <w:rPr>
          <w:rFonts w:hint="eastAsia" w:ascii="仿宋_GB2312" w:hAnsi="宋体" w:eastAsia="仿宋_GB2312"/>
          <w:bCs w:val="0"/>
        </w:rPr>
        <w:fldChar w:fldCharType="separate"/>
      </w:r>
      <w:r>
        <w:rPr>
          <w:rFonts w:hint="eastAsia" w:ascii="仿宋" w:hAnsi="仿宋" w:eastAsia="仿宋" w:cs="仿宋"/>
          <w:szCs w:val="24"/>
        </w:rPr>
        <w:t>（三）响应文件</w:t>
      </w:r>
      <w:r>
        <w:tab/>
      </w:r>
      <w:r>
        <w:fldChar w:fldCharType="begin"/>
      </w:r>
      <w:r>
        <w:instrText xml:space="preserve"> PAGEREF _Toc11948 \h </w:instrText>
      </w:r>
      <w:r>
        <w:fldChar w:fldCharType="separate"/>
      </w:r>
      <w:r>
        <w:t>10</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1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_Toc9011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_Toc9011 \h </w:instrText>
      </w:r>
      <w:r>
        <w:fldChar w:fldCharType="separate"/>
      </w:r>
      <w:r>
        <w:t>12</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1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_Toc20575 </w:instrText>
      </w:r>
      <w:r>
        <w:rPr>
          <w:rFonts w:hint="eastAsia" w:ascii="仿宋_GB2312" w:hAnsi="宋体" w:eastAsia="仿宋_GB2312"/>
          <w:bCs w:val="0"/>
        </w:rPr>
        <w:fldChar w:fldCharType="separate"/>
      </w:r>
      <w:r>
        <w:rPr>
          <w:rFonts w:hint="eastAsia" w:ascii="仿宋" w:hAnsi="仿宋" w:eastAsia="仿宋" w:cs="仿宋"/>
          <w:szCs w:val="24"/>
        </w:rPr>
        <w:t>（五）比价和评审</w:t>
      </w:r>
      <w:r>
        <w:tab/>
      </w:r>
      <w:r>
        <w:fldChar w:fldCharType="begin"/>
      </w:r>
      <w:r>
        <w:instrText xml:space="preserve"> PAGEREF _Toc20575 \h </w:instrText>
      </w:r>
      <w:r>
        <w:fldChar w:fldCharType="separate"/>
      </w:r>
      <w:r>
        <w:t>12</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1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_Toc12422 </w:instrText>
      </w:r>
      <w:r>
        <w:rPr>
          <w:rFonts w:hint="eastAsia" w:ascii="仿宋_GB2312" w:hAnsi="宋体" w:eastAsia="仿宋_GB2312"/>
          <w:bCs w:val="0"/>
        </w:rPr>
        <w:fldChar w:fldCharType="separate"/>
      </w:r>
      <w:r>
        <w:rPr>
          <w:rFonts w:hint="eastAsia" w:ascii="仿宋" w:hAnsi="仿宋" w:eastAsia="仿宋" w:cs="仿宋"/>
          <w:szCs w:val="24"/>
        </w:rPr>
        <w:t>（六）授予合同</w:t>
      </w:r>
      <w:r>
        <w:tab/>
      </w:r>
      <w:r>
        <w:fldChar w:fldCharType="begin"/>
      </w:r>
      <w:r>
        <w:instrText xml:space="preserve"> PAGEREF _Toc12422 \h </w:instrText>
      </w:r>
      <w:r>
        <w:fldChar w:fldCharType="separate"/>
      </w:r>
      <w:r>
        <w:t>15</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1"/>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_Toc317 </w:instrText>
      </w:r>
      <w:r>
        <w:rPr>
          <w:rFonts w:hint="eastAsia" w:ascii="仿宋_GB2312" w:hAnsi="宋体" w:eastAsia="仿宋_GB2312"/>
          <w:bCs w:val="0"/>
        </w:rPr>
        <w:fldChar w:fldCharType="separate"/>
      </w:r>
      <w:r>
        <w:rPr>
          <w:rFonts w:hint="eastAsia" w:ascii="仿宋" w:hAnsi="仿宋" w:eastAsia="仿宋" w:cs="仿宋"/>
          <w:szCs w:val="28"/>
        </w:rPr>
        <w:t>第三章 评审办法</w:t>
      </w:r>
      <w:r>
        <w:tab/>
      </w:r>
      <w:r>
        <w:fldChar w:fldCharType="begin"/>
      </w:r>
      <w:r>
        <w:instrText xml:space="preserve"> PAGEREF _Toc317 \h </w:instrText>
      </w:r>
      <w:r>
        <w:fldChar w:fldCharType="separate"/>
      </w:r>
      <w:r>
        <w:t>15</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_Toc775 </w:instrText>
      </w:r>
      <w:r>
        <w:rPr>
          <w:rFonts w:hint="eastAsia" w:ascii="仿宋_GB2312" w:hAnsi="宋体" w:eastAsia="仿宋_GB2312"/>
          <w:bCs w:val="0"/>
        </w:rPr>
        <w:fldChar w:fldCharType="separate"/>
      </w:r>
      <w:r>
        <w:rPr>
          <w:rFonts w:hint="eastAsia" w:ascii="仿宋" w:hAnsi="仿宋" w:eastAsia="仿宋" w:cs="仿宋"/>
          <w:szCs w:val="24"/>
        </w:rPr>
        <w:t>一、评审程序</w:t>
      </w:r>
      <w:r>
        <w:tab/>
      </w:r>
      <w:r>
        <w:fldChar w:fldCharType="begin"/>
      </w:r>
      <w:r>
        <w:instrText xml:space="preserve"> PAGEREF _Toc775 \h </w:instrText>
      </w:r>
      <w:r>
        <w:fldChar w:fldCharType="separate"/>
      </w:r>
      <w:r>
        <w:t>15</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_Toc2957 </w:instrText>
      </w:r>
      <w:r>
        <w:rPr>
          <w:rFonts w:hint="eastAsia" w:ascii="仿宋_GB2312" w:hAnsi="宋体" w:eastAsia="仿宋_GB2312"/>
          <w:bCs w:val="0"/>
        </w:rPr>
        <w:fldChar w:fldCharType="separate"/>
      </w:r>
      <w:r>
        <w:rPr>
          <w:rFonts w:hint="eastAsia" w:ascii="仿宋" w:hAnsi="仿宋" w:eastAsia="仿宋" w:cs="仿宋"/>
          <w:szCs w:val="24"/>
        </w:rPr>
        <w:t>二、初步评审</w:t>
      </w:r>
      <w:r>
        <w:tab/>
      </w:r>
      <w:r>
        <w:fldChar w:fldCharType="begin"/>
      </w:r>
      <w:r>
        <w:instrText xml:space="preserve"> PAGEREF _Toc2957 \h </w:instrText>
      </w:r>
      <w:r>
        <w:fldChar w:fldCharType="separate"/>
      </w:r>
      <w:r>
        <w:t>17</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1"/>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_Toc19262 </w:instrText>
      </w:r>
      <w:r>
        <w:rPr>
          <w:rFonts w:hint="eastAsia" w:ascii="仿宋_GB2312" w:hAnsi="宋体" w:eastAsia="仿宋_GB2312"/>
          <w:bCs w:val="0"/>
        </w:rPr>
        <w:fldChar w:fldCharType="separate"/>
      </w:r>
      <w:r>
        <w:rPr>
          <w:rFonts w:hint="eastAsia" w:ascii="仿宋" w:hAnsi="仿宋" w:eastAsia="仿宋" w:cs="仿宋"/>
          <w:szCs w:val="28"/>
        </w:rPr>
        <w:t>第四章 合同条款</w:t>
      </w:r>
      <w:r>
        <w:tab/>
      </w:r>
      <w:r>
        <w:fldChar w:fldCharType="begin"/>
      </w:r>
      <w:r>
        <w:instrText xml:space="preserve"> PAGEREF _Toc19262 \h </w:instrText>
      </w:r>
      <w:r>
        <w:fldChar w:fldCharType="separate"/>
      </w:r>
      <w:r>
        <w:t>19</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1"/>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_Toc14224 </w:instrText>
      </w:r>
      <w:r>
        <w:rPr>
          <w:rFonts w:hint="eastAsia" w:ascii="仿宋_GB2312" w:hAnsi="宋体" w:eastAsia="仿宋_GB2312"/>
          <w:bCs w:val="0"/>
        </w:rPr>
        <w:fldChar w:fldCharType="separate"/>
      </w:r>
      <w:r>
        <w:rPr>
          <w:rFonts w:hint="eastAsia" w:ascii="Times New Roman" w:hAnsi="Times New Roman" w:eastAsia="楷体" w:cs="Times New Roman"/>
          <w:bCs/>
          <w:kern w:val="44"/>
          <w:szCs w:val="44"/>
        </w:rPr>
        <w:t>附件一</w:t>
      </w:r>
      <w:r>
        <w:tab/>
      </w:r>
      <w:r>
        <w:fldChar w:fldCharType="begin"/>
      </w:r>
      <w:r>
        <w:instrText xml:space="preserve"> PAGEREF _Toc14224 \h </w:instrText>
      </w:r>
      <w:r>
        <w:fldChar w:fldCharType="separate"/>
      </w:r>
      <w:r>
        <w:t>26</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1"/>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_Toc2781 </w:instrText>
      </w:r>
      <w:r>
        <w:rPr>
          <w:rFonts w:hint="eastAsia" w:ascii="仿宋_GB2312" w:hAnsi="宋体" w:eastAsia="仿宋_GB2312"/>
          <w:bCs w:val="0"/>
        </w:rPr>
        <w:fldChar w:fldCharType="separate"/>
      </w:r>
      <w:r>
        <w:rPr>
          <w:rFonts w:hint="eastAsia" w:ascii="Times New Roman" w:hAnsi="Times New Roman" w:eastAsia="楷体" w:cs="Times New Roman"/>
          <w:bCs/>
          <w:kern w:val="44"/>
          <w:szCs w:val="44"/>
        </w:rPr>
        <w:t>附件二</w:t>
      </w:r>
      <w:r>
        <w:tab/>
      </w:r>
      <w:r>
        <w:fldChar w:fldCharType="begin"/>
      </w:r>
      <w:r>
        <w:instrText xml:space="preserve"> PAGEREF _Toc2781 \h </w:instrText>
      </w:r>
      <w:r>
        <w:fldChar w:fldCharType="separate"/>
      </w:r>
      <w:r>
        <w:t>27</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1"/>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_Toc14553 </w:instrText>
      </w:r>
      <w:r>
        <w:rPr>
          <w:rFonts w:hint="eastAsia" w:ascii="仿宋_GB2312" w:hAnsi="宋体" w:eastAsia="仿宋_GB2312"/>
          <w:bCs w:val="0"/>
        </w:rPr>
        <w:fldChar w:fldCharType="separate"/>
      </w:r>
      <w:r>
        <w:rPr>
          <w:rFonts w:hint="eastAsia" w:ascii="Times New Roman" w:hAnsi="Times New Roman" w:eastAsia="楷体" w:cs="Times New Roman"/>
          <w:bCs/>
          <w:kern w:val="44"/>
          <w:szCs w:val="44"/>
        </w:rPr>
        <w:t>附件三</w:t>
      </w:r>
      <w:r>
        <w:tab/>
      </w:r>
      <w:r>
        <w:fldChar w:fldCharType="begin"/>
      </w:r>
      <w:r>
        <w:instrText xml:space="preserve"> PAGEREF _Toc14553 \h </w:instrText>
      </w:r>
      <w:r>
        <w:fldChar w:fldCharType="separate"/>
      </w:r>
      <w:r>
        <w:t>29</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1"/>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_Toc9516 </w:instrText>
      </w:r>
      <w:r>
        <w:rPr>
          <w:rFonts w:hint="eastAsia" w:ascii="仿宋_GB2312" w:hAnsi="宋体" w:eastAsia="仿宋_GB2312"/>
          <w:bCs w:val="0"/>
        </w:rPr>
        <w:fldChar w:fldCharType="separate"/>
      </w:r>
      <w:r>
        <w:rPr>
          <w:rFonts w:hint="eastAsia" w:ascii="Times New Roman" w:hAnsi="Times New Roman" w:eastAsia="楷体" w:cs="Times New Roman"/>
          <w:bCs/>
          <w:kern w:val="44"/>
          <w:szCs w:val="44"/>
        </w:rPr>
        <w:t>附件四</w:t>
      </w:r>
      <w:r>
        <w:tab/>
      </w:r>
      <w:r>
        <w:fldChar w:fldCharType="begin"/>
      </w:r>
      <w:r>
        <w:instrText xml:space="preserve"> PAGEREF _Toc9516 \h </w:instrText>
      </w:r>
      <w:r>
        <w:fldChar w:fldCharType="separate"/>
      </w:r>
      <w:r>
        <w:t>30</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1"/>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_Toc29581 </w:instrText>
      </w:r>
      <w:r>
        <w:rPr>
          <w:rFonts w:hint="eastAsia" w:ascii="仿宋_GB2312" w:hAnsi="宋体" w:eastAsia="仿宋_GB2312"/>
          <w:bCs w:val="0"/>
        </w:rPr>
        <w:fldChar w:fldCharType="separate"/>
      </w:r>
      <w:r>
        <w:rPr>
          <w:rFonts w:hint="eastAsia" w:ascii="Times New Roman" w:hAnsi="Times New Roman" w:eastAsia="楷体" w:cs="Times New Roman"/>
          <w:bCs/>
          <w:kern w:val="44"/>
          <w:szCs w:val="44"/>
        </w:rPr>
        <w:t>附件五</w:t>
      </w:r>
      <w:r>
        <w:tab/>
      </w:r>
      <w:r>
        <w:fldChar w:fldCharType="begin"/>
      </w:r>
      <w:r>
        <w:instrText xml:space="preserve"> PAGEREF _Toc29581 \h </w:instrText>
      </w:r>
      <w:r>
        <w:fldChar w:fldCharType="separate"/>
      </w:r>
      <w:r>
        <w:t>31</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1"/>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_Toc11215 </w:instrText>
      </w:r>
      <w:r>
        <w:rPr>
          <w:rFonts w:hint="eastAsia" w:ascii="仿宋_GB2312" w:hAnsi="宋体" w:eastAsia="仿宋_GB2312"/>
          <w:bCs w:val="0"/>
        </w:rPr>
        <w:fldChar w:fldCharType="separate"/>
      </w:r>
      <w:r>
        <w:rPr>
          <w:rFonts w:hint="eastAsia" w:ascii="仿宋_GB2312" w:hAnsi="宋体" w:eastAsia="仿宋_GB2312"/>
          <w:szCs w:val="28"/>
        </w:rPr>
        <w:t>第五章 采购需求</w:t>
      </w:r>
      <w:r>
        <w:tab/>
      </w:r>
      <w:r>
        <w:fldChar w:fldCharType="begin"/>
      </w:r>
      <w:r>
        <w:instrText xml:space="preserve"> PAGEREF _Toc11215 \h </w:instrText>
      </w:r>
      <w:r>
        <w:fldChar w:fldCharType="separate"/>
      </w:r>
      <w:r>
        <w:t>38</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1"/>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_Toc16519 </w:instrText>
      </w:r>
      <w:r>
        <w:rPr>
          <w:rFonts w:hint="eastAsia" w:ascii="仿宋_GB2312" w:hAnsi="宋体" w:eastAsia="仿宋_GB2312"/>
          <w:bCs w:val="0"/>
        </w:rPr>
        <w:fldChar w:fldCharType="separate"/>
      </w:r>
      <w:r>
        <w:rPr>
          <w:rFonts w:hint="eastAsia" w:ascii="仿宋" w:hAnsi="仿宋" w:eastAsia="仿宋" w:cs="仿宋"/>
          <w:szCs w:val="28"/>
        </w:rPr>
        <w:t>第六章 响应文件格式</w:t>
      </w:r>
      <w:r>
        <w:tab/>
      </w:r>
      <w:r>
        <w:fldChar w:fldCharType="begin"/>
      </w:r>
      <w:r>
        <w:instrText xml:space="preserve"> PAGEREF _Toc16519 \h </w:instrText>
      </w:r>
      <w:r>
        <w:fldChar w:fldCharType="separate"/>
      </w:r>
      <w:r>
        <w:t>39</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_Toc4823 </w:instrText>
      </w:r>
      <w:r>
        <w:rPr>
          <w:rFonts w:hint="eastAsia" w:ascii="仿宋_GB2312" w:hAnsi="宋体" w:eastAsia="仿宋_GB2312"/>
          <w:bCs w:val="0"/>
        </w:rPr>
        <w:fldChar w:fldCharType="separate"/>
      </w:r>
      <w:r>
        <w:rPr>
          <w:rFonts w:hint="eastAsia" w:ascii="仿宋" w:hAnsi="仿宋" w:eastAsia="仿宋" w:cs="仿宋"/>
          <w:szCs w:val="24"/>
        </w:rPr>
        <w:t>一、商务文件</w:t>
      </w:r>
      <w:r>
        <w:tab/>
      </w:r>
      <w:r>
        <w:fldChar w:fldCharType="begin"/>
      </w:r>
      <w:r>
        <w:instrText xml:space="preserve"> PAGEREF _Toc4823 \h </w:instrText>
      </w:r>
      <w:r>
        <w:fldChar w:fldCharType="separate"/>
      </w:r>
      <w:r>
        <w:t>40</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1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_Toc20400 </w:instrText>
      </w:r>
      <w:r>
        <w:rPr>
          <w:rFonts w:hint="eastAsia" w:ascii="仿宋_GB2312" w:hAnsi="宋体" w:eastAsia="仿宋_GB2312"/>
          <w:bCs w:val="0"/>
        </w:rPr>
        <w:fldChar w:fldCharType="separate"/>
      </w:r>
      <w:r>
        <w:rPr>
          <w:rFonts w:hint="eastAsia" w:ascii="仿宋" w:hAnsi="仿宋" w:eastAsia="仿宋" w:cs="仿宋"/>
          <w:szCs w:val="24"/>
        </w:rPr>
        <w:t>（一）响应函</w:t>
      </w:r>
      <w:r>
        <w:tab/>
      </w:r>
      <w:r>
        <w:fldChar w:fldCharType="begin"/>
      </w:r>
      <w:r>
        <w:instrText xml:space="preserve"> PAGEREF _Toc20400 \h </w:instrText>
      </w:r>
      <w:r>
        <w:fldChar w:fldCharType="separate"/>
      </w:r>
      <w:r>
        <w:t>41</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1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_Toc3642 </w:instrText>
      </w:r>
      <w:r>
        <w:rPr>
          <w:rFonts w:hint="eastAsia" w:ascii="仿宋_GB2312" w:hAnsi="宋体" w:eastAsia="仿宋_GB2312"/>
          <w:bCs w:val="0"/>
        </w:rPr>
        <w:fldChar w:fldCharType="separate"/>
      </w:r>
      <w:r>
        <w:rPr>
          <w:rFonts w:hint="eastAsia" w:ascii="仿宋" w:hAnsi="仿宋" w:eastAsia="仿宋" w:cs="仿宋"/>
          <w:szCs w:val="24"/>
        </w:rPr>
        <w:t>（二）法定代表人（负责人）身份证明书</w:t>
      </w:r>
      <w:r>
        <w:tab/>
      </w:r>
      <w:r>
        <w:fldChar w:fldCharType="begin"/>
      </w:r>
      <w:r>
        <w:instrText xml:space="preserve"> PAGEREF _Toc3642 \h </w:instrText>
      </w:r>
      <w:r>
        <w:fldChar w:fldCharType="separate"/>
      </w:r>
      <w:r>
        <w:t>42</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1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_Toc527 </w:instrText>
      </w:r>
      <w:r>
        <w:rPr>
          <w:rFonts w:hint="eastAsia" w:ascii="仿宋_GB2312" w:hAnsi="宋体" w:eastAsia="仿宋_GB2312"/>
          <w:bCs w:val="0"/>
        </w:rPr>
        <w:fldChar w:fldCharType="separate"/>
      </w:r>
      <w:r>
        <w:rPr>
          <w:rFonts w:hint="eastAsia" w:ascii="仿宋" w:hAnsi="仿宋" w:eastAsia="仿宋" w:cs="仿宋"/>
          <w:szCs w:val="24"/>
        </w:rPr>
        <w:t>（三）法定代表人（负责人）授权委托书</w:t>
      </w:r>
      <w:r>
        <w:tab/>
      </w:r>
      <w:r>
        <w:fldChar w:fldCharType="begin"/>
      </w:r>
      <w:r>
        <w:instrText xml:space="preserve"> PAGEREF _Toc527 \h </w:instrText>
      </w:r>
      <w:r>
        <w:fldChar w:fldCharType="separate"/>
      </w:r>
      <w:r>
        <w:t>43</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1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_Toc11300 </w:instrText>
      </w:r>
      <w:r>
        <w:rPr>
          <w:rFonts w:hint="eastAsia" w:ascii="仿宋_GB2312" w:hAnsi="宋体" w:eastAsia="仿宋_GB2312"/>
          <w:bCs w:val="0"/>
        </w:rPr>
        <w:fldChar w:fldCharType="separate"/>
      </w:r>
      <w:r>
        <w:rPr>
          <w:rFonts w:hint="eastAsia" w:ascii="仿宋" w:hAnsi="仿宋" w:eastAsia="仿宋" w:cs="仿宋"/>
          <w:szCs w:val="24"/>
        </w:rPr>
        <w:t>（四）资格证明文件</w:t>
      </w:r>
      <w:r>
        <w:tab/>
      </w:r>
      <w:r>
        <w:fldChar w:fldCharType="begin"/>
      </w:r>
      <w:r>
        <w:instrText xml:space="preserve"> PAGEREF _Toc11300 \h </w:instrText>
      </w:r>
      <w:r>
        <w:fldChar w:fldCharType="separate"/>
      </w:r>
      <w:r>
        <w:t>44</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1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_Toc8539 </w:instrText>
      </w:r>
      <w:r>
        <w:rPr>
          <w:rFonts w:hint="eastAsia" w:ascii="仿宋_GB2312" w:hAnsi="宋体" w:eastAsia="仿宋_GB2312"/>
          <w:bCs w:val="0"/>
        </w:rP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_Toc8539 \h </w:instrText>
      </w:r>
      <w:r>
        <w:fldChar w:fldCharType="separate"/>
      </w:r>
      <w:r>
        <w:t>51</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1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_Toc6850 </w:instrText>
      </w:r>
      <w:r>
        <w:rPr>
          <w:rFonts w:hint="eastAsia" w:ascii="仿宋_GB2312" w:hAnsi="宋体" w:eastAsia="仿宋_GB2312"/>
          <w:bCs w:val="0"/>
        </w:rPr>
        <w:fldChar w:fldCharType="separate"/>
      </w:r>
      <w:r>
        <w:rPr>
          <w:rFonts w:hint="eastAsia" w:ascii="仿宋" w:hAnsi="仿宋" w:eastAsia="仿宋" w:cs="仿宋"/>
          <w:szCs w:val="24"/>
        </w:rPr>
        <w:t>（七）供应商行为准则承诺书</w:t>
      </w:r>
      <w:r>
        <w:tab/>
      </w:r>
      <w:r>
        <w:fldChar w:fldCharType="begin"/>
      </w:r>
      <w:r>
        <w:instrText xml:space="preserve"> PAGEREF _Toc6850 \h </w:instrText>
      </w:r>
      <w:r>
        <w:fldChar w:fldCharType="separate"/>
      </w:r>
      <w:r>
        <w:t>53</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1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_Toc18709 </w:instrText>
      </w:r>
      <w:r>
        <w:rPr>
          <w:rFonts w:hint="eastAsia" w:ascii="仿宋_GB2312" w:hAnsi="宋体" w:eastAsia="仿宋_GB2312"/>
          <w:bCs w:val="0"/>
        </w:rPr>
        <w:fldChar w:fldCharType="separate"/>
      </w:r>
      <w:r>
        <w:rPr>
          <w:rFonts w:hint="eastAsia" w:ascii="仿宋" w:hAnsi="仿宋" w:eastAsia="仿宋" w:cs="宋体"/>
          <w:bCs w:val="0"/>
          <w:szCs w:val="24"/>
        </w:rPr>
        <w:t>（八）供应商廉洁诚信承诺书</w:t>
      </w:r>
      <w:r>
        <w:tab/>
      </w:r>
      <w:r>
        <w:fldChar w:fldCharType="begin"/>
      </w:r>
      <w:r>
        <w:instrText xml:space="preserve"> PAGEREF _Toc18709 \h </w:instrText>
      </w:r>
      <w:r>
        <w:fldChar w:fldCharType="separate"/>
      </w:r>
      <w:r>
        <w:t>55</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1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_Toc15735 </w:instrText>
      </w:r>
      <w:r>
        <w:rPr>
          <w:rFonts w:hint="eastAsia" w:ascii="仿宋_GB2312" w:hAnsi="宋体" w:eastAsia="仿宋_GB2312"/>
          <w:bCs w:val="0"/>
        </w:rPr>
        <w:fldChar w:fldCharType="separate"/>
      </w:r>
      <w:r>
        <w:rPr>
          <w:rFonts w:hint="eastAsia" w:ascii="仿宋" w:hAnsi="仿宋" w:eastAsia="仿宋" w:cs="宋体"/>
          <w:bCs w:val="0"/>
          <w:szCs w:val="24"/>
        </w:rPr>
        <w:t>（九）信息安全采购要求承诺函</w:t>
      </w:r>
      <w:r>
        <w:tab/>
      </w:r>
      <w:r>
        <w:fldChar w:fldCharType="begin"/>
      </w:r>
      <w:r>
        <w:instrText xml:space="preserve"> PAGEREF _Toc15735 \h </w:instrText>
      </w:r>
      <w:r>
        <w:fldChar w:fldCharType="separate"/>
      </w:r>
      <w:r>
        <w:t>58</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1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_Toc13681 </w:instrText>
      </w:r>
      <w:r>
        <w:rPr>
          <w:rFonts w:hint="eastAsia" w:ascii="仿宋_GB2312" w:hAnsi="宋体" w:eastAsia="仿宋_GB2312"/>
          <w:bCs w:val="0"/>
        </w:rPr>
        <w:fldChar w:fldCharType="separate"/>
      </w:r>
      <w:r>
        <w:rPr>
          <w:rFonts w:hint="eastAsia" w:ascii="仿宋" w:hAnsi="仿宋" w:eastAsia="仿宋" w:cs="宋体"/>
        </w:rPr>
        <w:t>（十）其他材料</w:t>
      </w:r>
      <w:r>
        <w:tab/>
      </w:r>
      <w:r>
        <w:fldChar w:fldCharType="begin"/>
      </w:r>
      <w:r>
        <w:instrText xml:space="preserve"> PAGEREF _Toc13681 \h </w:instrText>
      </w:r>
      <w:r>
        <w:fldChar w:fldCharType="separate"/>
      </w:r>
      <w:r>
        <w:t>60</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2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_Toc5270 </w:instrText>
      </w:r>
      <w:r>
        <w:rPr>
          <w:rFonts w:hint="eastAsia" w:ascii="仿宋_GB2312" w:hAnsi="宋体" w:eastAsia="仿宋_GB2312"/>
          <w:bCs w:val="0"/>
        </w:rPr>
        <w:fldChar w:fldCharType="separate"/>
      </w:r>
      <w:r>
        <w:rPr>
          <w:rFonts w:hint="eastAsia" w:ascii="仿宋" w:hAnsi="仿宋" w:eastAsia="仿宋" w:cs="仿宋"/>
          <w:szCs w:val="24"/>
        </w:rPr>
        <w:t>二、报价文件</w:t>
      </w:r>
      <w:r>
        <w:tab/>
      </w:r>
      <w:r>
        <w:fldChar w:fldCharType="begin"/>
      </w:r>
      <w:r>
        <w:instrText xml:space="preserve"> PAGEREF _Toc5270 \h </w:instrText>
      </w:r>
      <w:r>
        <w:fldChar w:fldCharType="separate"/>
      </w:r>
      <w:r>
        <w:t>1</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14"/>
        <w:tabs>
          <w:tab w:val="right" w:leader="dot" w:pos="9638"/>
        </w:tabs>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_Toc3739 </w:instrText>
      </w:r>
      <w:r>
        <w:rPr>
          <w:rFonts w:hint="eastAsia" w:ascii="仿宋_GB2312" w:hAnsi="宋体" w:eastAsia="仿宋_GB2312"/>
          <w:bCs w:val="0"/>
        </w:rPr>
        <w:fldChar w:fldCharType="separate"/>
      </w:r>
      <w:r>
        <w:rPr>
          <w:rFonts w:hint="eastAsia" w:ascii="仿宋" w:hAnsi="仿宋" w:eastAsia="仿宋" w:cs="仿宋"/>
          <w:szCs w:val="24"/>
        </w:rPr>
        <w:t>（一）报价一览表</w:t>
      </w:r>
      <w:r>
        <w:tab/>
      </w:r>
      <w:r>
        <w:fldChar w:fldCharType="begin"/>
      </w:r>
      <w:r>
        <w:instrText xml:space="preserve"> PAGEREF _Toc3739 \h </w:instrText>
      </w:r>
      <w:r>
        <w:fldChar w:fldCharType="separate"/>
      </w:r>
      <w:r>
        <w:t>1</w:t>
      </w:r>
      <w:r>
        <w:fldChar w:fldCharType="end"/>
      </w:r>
      <w:r>
        <w:rPr>
          <w:rFonts w:hint="eastAsia" w:ascii="仿宋_GB2312" w:hAnsi="宋体" w:eastAsia="仿宋_GB2312"/>
          <w:bCs w:val="0"/>
          <w:color w:val="000000" w:themeColor="text1"/>
          <w14:textFill>
            <w14:solidFill>
              <w14:schemeClr w14:val="tx1"/>
            </w14:solidFill>
          </w14:textFill>
        </w:rPr>
        <w:fldChar w:fldCharType="end"/>
      </w:r>
    </w:p>
    <w:p>
      <w:pPr>
        <w:pStyle w:val="3"/>
        <w:ind w:left="0" w:firstLine="0"/>
        <w:rPr>
          <w:rFonts w:ascii="仿宋_GB2312" w:hAnsi="宋体" w:eastAsia="仿宋_GB2312"/>
          <w:b w:val="0"/>
          <w:bCs w:val="0"/>
          <w:color w:val="000000" w:themeColor="text1"/>
          <w14:textFill>
            <w14:solidFill>
              <w14:schemeClr w14:val="tx1"/>
            </w14:solidFill>
          </w14:textFill>
        </w:rPr>
        <w:sectPr>
          <w:footerReference r:id="rId4" w:type="default"/>
          <w:pgSz w:w="11906" w:h="16838"/>
          <w:pgMar w:top="1440" w:right="1134" w:bottom="1440" w:left="1134" w:header="851" w:footer="992" w:gutter="0"/>
          <w:pgNumType w:start="1"/>
          <w:cols w:space="720" w:num="1"/>
          <w:docGrid w:linePitch="326" w:charSpace="0"/>
        </w:sectPr>
      </w:pPr>
      <w:r>
        <w:rPr>
          <w:rFonts w:hint="eastAsia" w:ascii="仿宋_GB2312" w:hAnsi="宋体" w:eastAsia="仿宋_GB2312"/>
          <w:bCs w:val="0"/>
          <w:color w:val="000000" w:themeColor="text1"/>
          <w14:textFill>
            <w14:solidFill>
              <w14:schemeClr w14:val="tx1"/>
            </w14:solidFill>
          </w14:textFill>
        </w:rPr>
        <w:fldChar w:fldCharType="end"/>
      </w:r>
    </w:p>
    <w:p>
      <w:pPr>
        <w:pStyle w:val="3"/>
        <w:ind w:left="0" w:firstLine="0"/>
        <w:rPr>
          <w:rFonts w:ascii="仿宋" w:hAnsi="仿宋" w:eastAsia="仿宋" w:cs="Cambria Math"/>
          <w:b w:val="0"/>
          <w:bCs w:val="0"/>
          <w:color w:val="000000" w:themeColor="text1"/>
          <w:kern w:val="0"/>
          <w:sz w:val="24"/>
          <w:szCs w:val="24"/>
          <w14:textFill>
            <w14:solidFill>
              <w14:schemeClr w14:val="tx1"/>
            </w14:solidFill>
          </w14:textFill>
        </w:rPr>
        <w:sectPr>
          <w:headerReference r:id="rId5" w:type="default"/>
          <w:footerReference r:id="rId6" w:type="default"/>
          <w:type w:val="continuous"/>
          <w:pgSz w:w="11906" w:h="16838"/>
          <w:pgMar w:top="1440" w:right="1134" w:bottom="1440" w:left="1134" w:header="851" w:footer="992" w:gutter="0"/>
          <w:cols w:space="720" w:num="1"/>
          <w:docGrid w:linePitch="326" w:charSpace="0"/>
        </w:sectPr>
      </w:pPr>
    </w:p>
    <w:p>
      <w:pPr>
        <w:pStyle w:val="3"/>
        <w:ind w:left="0" w:firstLine="0"/>
        <w:rPr>
          <w:rFonts w:ascii="仿宋_GB2312" w:hAnsi="宋体" w:eastAsia="仿宋_GB2312"/>
          <w:color w:val="000000" w:themeColor="text1"/>
          <w:sz w:val="28"/>
          <w:szCs w:val="28"/>
          <w14:textFill>
            <w14:solidFill>
              <w14:schemeClr w14:val="tx1"/>
            </w14:solidFill>
          </w14:textFill>
        </w:rPr>
      </w:pPr>
      <w:bookmarkStart w:id="0" w:name="_Toc21360"/>
      <w:bookmarkStart w:id="1" w:name="_Toc10567"/>
      <w:r>
        <w:rPr>
          <w:rFonts w:hint="eastAsia" w:ascii="仿宋_GB2312" w:hAnsi="宋体" w:eastAsia="仿宋_GB2312"/>
          <w:color w:val="000000" w:themeColor="text1"/>
          <w:sz w:val="28"/>
          <w:szCs w:val="28"/>
          <w14:textFill>
            <w14:solidFill>
              <w14:schemeClr w14:val="tx1"/>
            </w14:solidFill>
          </w14:textFill>
        </w:rPr>
        <w:t>第一章 比价邀请</w:t>
      </w:r>
      <w:bookmarkEnd w:id="0"/>
      <w:bookmarkEnd w:id="1"/>
    </w:p>
    <w:p>
      <w:pPr>
        <w:wordWrap w:val="0"/>
        <w:spacing w:line="360" w:lineRule="auto"/>
        <w:ind w:firstLine="480" w:firstLineChars="200"/>
        <w:textAlignment w:val="baseline"/>
        <w:rPr>
          <w:rFonts w:ascii="仿宋" w:hAnsi="仿宋" w:eastAsia="仿宋" w:cs="Cambria Math"/>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本项目</w:t>
      </w:r>
      <w:r>
        <w:rPr>
          <w:rFonts w:hint="eastAsia" w:ascii="仿宋" w:hAnsi="仿宋" w:eastAsia="仿宋" w:cs="仿宋"/>
          <w:color w:val="000000" w:themeColor="text1"/>
          <w:u w:val="single"/>
          <w:lang w:eastAsia="zh-CN"/>
          <w14:textFill>
            <w14:solidFill>
              <w14:schemeClr w14:val="tx1"/>
            </w14:solidFill>
          </w14:textFill>
        </w:rPr>
        <w:t>人保财险四川省广安市分公司前锋区公交站台宣传服务采购项目</w:t>
      </w:r>
      <w:r>
        <w:rPr>
          <w:rFonts w:hint="eastAsia" w:ascii="仿宋" w:hAnsi="仿宋" w:eastAsia="仿宋" w:cs="仿宋"/>
          <w:color w:val="000000" w:themeColor="text1"/>
          <w14:textFill>
            <w14:solidFill>
              <w14:schemeClr w14:val="tx1"/>
            </w14:solidFill>
          </w14:textFill>
        </w:rPr>
        <w:t>（采购项目编号：</w:t>
      </w:r>
      <w:r>
        <w:rPr>
          <w:rFonts w:hint="eastAsia" w:ascii="仿宋" w:hAnsi="仿宋" w:eastAsia="仿宋" w:cs="仿宋"/>
          <w:color w:val="000000" w:themeColor="text1"/>
          <w:lang w:val="en-US" w:eastAsia="zh-CN"/>
          <w14:textFill>
            <w14:solidFill>
              <w14:schemeClr w14:val="tx1"/>
            </w14:solidFill>
          </w14:textFill>
        </w:rPr>
        <w:t>X</w:t>
      </w:r>
      <w:r>
        <w:rPr>
          <w:rFonts w:hint="eastAsia" w:ascii="仿宋" w:hAnsi="仿宋" w:eastAsia="仿宋" w:cs="仿宋"/>
          <w:color w:val="000000" w:themeColor="text1"/>
          <w14:textFill>
            <w14:solidFill>
              <w14:schemeClr w14:val="tx1"/>
            </w14:solidFill>
          </w14:textFill>
        </w:rPr>
        <w:t>M26</w:t>
      </w:r>
      <w:r>
        <w:rPr>
          <w:rFonts w:hint="eastAsia" w:ascii="仿宋" w:hAnsi="仿宋" w:eastAsia="仿宋" w:cs="仿宋"/>
          <w:color w:val="000000" w:themeColor="text1"/>
          <w:lang w:val="en-US" w:eastAsia="zh-CN"/>
          <w14:textFill>
            <w14:solidFill>
              <w14:schemeClr w14:val="tx1"/>
            </w14:solidFill>
          </w14:textFill>
        </w:rPr>
        <w:t>F</w:t>
      </w:r>
      <w:r>
        <w:rPr>
          <w:rFonts w:hint="eastAsia" w:ascii="仿宋" w:hAnsi="仿宋" w:eastAsia="仿宋" w:cs="仿宋"/>
          <w:color w:val="000000" w:themeColor="text1"/>
          <w14:textFill>
            <w14:solidFill>
              <w14:schemeClr w14:val="tx1"/>
            </w14:solidFill>
          </w14:textFill>
        </w:rPr>
        <w:t>SPC001255 ）由</w:t>
      </w:r>
      <w:r>
        <w:rPr>
          <w:rFonts w:hint="eastAsia" w:ascii="仿宋" w:hAnsi="仿宋" w:eastAsia="仿宋" w:cs="仿宋"/>
          <w:color w:val="000000" w:themeColor="text1"/>
          <w:u w:val="single"/>
          <w14:textFill>
            <w14:solidFill>
              <w14:schemeClr w14:val="tx1"/>
            </w14:solidFill>
          </w14:textFill>
        </w:rPr>
        <w:t>中国人民财产保险股份有限公司广安市分公司</w:t>
      </w:r>
      <w:r>
        <w:rPr>
          <w:rFonts w:hint="eastAsia" w:ascii="仿宋" w:hAnsi="仿宋" w:eastAsia="仿宋" w:cs="仿宋"/>
          <w:color w:val="000000" w:themeColor="text1"/>
          <w14:textFill>
            <w14:solidFill>
              <w14:schemeClr w14:val="tx1"/>
            </w14:solidFill>
          </w14:textFill>
        </w:rPr>
        <w:t>（以下简称“采购人”）</w:t>
      </w:r>
      <w:r>
        <w:rPr>
          <w:rFonts w:hint="eastAsia" w:ascii="仿宋" w:hAnsi="仿宋" w:eastAsia="仿宋" w:cs="Cambria Math"/>
          <w:color w:val="000000" w:themeColor="text1"/>
          <w14:textFill>
            <w14:solidFill>
              <w14:schemeClr w14:val="tx1"/>
            </w14:solidFill>
          </w14:textFill>
        </w:rPr>
        <w:t>批准并落实资金，组织本项目的比价工作</w:t>
      </w:r>
      <w:r>
        <w:rPr>
          <w:rFonts w:hint="eastAsia" w:ascii="仿宋" w:hAnsi="仿宋" w:eastAsia="仿宋" w:cs="仿宋"/>
          <w:color w:val="000000" w:themeColor="text1"/>
          <w14:textFill>
            <w14:solidFill>
              <w14:schemeClr w14:val="tx1"/>
            </w14:solidFill>
          </w14:textFill>
        </w:rPr>
        <w:t>，采购合同由</w:t>
      </w:r>
      <w:r>
        <w:rPr>
          <w:rFonts w:hint="eastAsia" w:ascii="仿宋" w:hAnsi="仿宋" w:eastAsia="仿宋" w:cs="宋体"/>
          <w:color w:val="000000" w:themeColor="text1"/>
          <w:u w:val="single"/>
          <w14:textFill>
            <w14:solidFill>
              <w14:schemeClr w14:val="tx1"/>
            </w14:solidFill>
          </w14:textFill>
        </w:rPr>
        <w:t>中国人民财产保险股份有限公司</w:t>
      </w:r>
      <w:r>
        <w:rPr>
          <w:rFonts w:hint="eastAsia" w:ascii="仿宋" w:hAnsi="仿宋" w:eastAsia="仿宋" w:cs="仿宋"/>
          <w:color w:val="000000" w:themeColor="text1"/>
          <w:u w:val="single"/>
          <w14:textFill>
            <w14:solidFill>
              <w14:schemeClr w14:val="tx1"/>
            </w14:solidFill>
          </w14:textFill>
        </w:rPr>
        <w:t>广安市</w:t>
      </w:r>
      <w:r>
        <w:rPr>
          <w:rFonts w:hint="eastAsia" w:ascii="仿宋" w:hAnsi="仿宋" w:eastAsia="仿宋" w:cs="宋体"/>
          <w:color w:val="000000" w:themeColor="text1"/>
          <w:u w:val="single"/>
          <w14:textFill>
            <w14:solidFill>
              <w14:schemeClr w14:val="tx1"/>
            </w14:solidFill>
          </w14:textFill>
        </w:rPr>
        <w:t>分公司</w:t>
      </w:r>
      <w:r>
        <w:rPr>
          <w:rFonts w:hint="eastAsia" w:ascii="仿宋" w:hAnsi="仿宋" w:eastAsia="仿宋" w:cs="宋体"/>
          <w:color w:val="000000" w:themeColor="text1"/>
          <w14:textFill>
            <w14:solidFill>
              <w14:schemeClr w14:val="tx1"/>
            </w14:solidFill>
          </w14:textFill>
        </w:rPr>
        <w:t>（以下简称“人保财险</w:t>
      </w:r>
      <w:r>
        <w:rPr>
          <w:rFonts w:hint="eastAsia" w:ascii="仿宋" w:hAnsi="仿宋" w:eastAsia="仿宋" w:cs="仿宋"/>
          <w:color w:val="000000" w:themeColor="text1"/>
          <w:u w:val="single"/>
          <w14:textFill>
            <w14:solidFill>
              <w14:schemeClr w14:val="tx1"/>
            </w14:solidFill>
          </w14:textFill>
        </w:rPr>
        <w:t>广安市</w:t>
      </w:r>
      <w:r>
        <w:rPr>
          <w:rFonts w:hint="eastAsia" w:ascii="仿宋" w:hAnsi="仿宋" w:eastAsia="仿宋" w:cs="宋体"/>
          <w:color w:val="000000" w:themeColor="text1"/>
          <w14:textFill>
            <w14:solidFill>
              <w14:schemeClr w14:val="tx1"/>
            </w14:solidFill>
          </w14:textFill>
        </w:rPr>
        <w:t>分公司”）</w:t>
      </w:r>
      <w:r>
        <w:rPr>
          <w:rFonts w:hint="eastAsia" w:ascii="仿宋" w:hAnsi="仿宋" w:eastAsia="仿宋" w:cs="仿宋"/>
          <w:color w:val="000000" w:themeColor="text1"/>
          <w14:textFill>
            <w14:solidFill>
              <w14:schemeClr w14:val="tx1"/>
            </w14:solidFill>
          </w14:textFill>
        </w:rPr>
        <w:t>根据成交结果与成交人签署。现通过比价方式实施，</w:t>
      </w:r>
      <w:r>
        <w:rPr>
          <w:rFonts w:hint="eastAsia" w:ascii="仿宋" w:hAnsi="仿宋" w:eastAsia="仿宋" w:cs="Cambria Math"/>
          <w:color w:val="000000" w:themeColor="text1"/>
          <w14:textFill>
            <w14:solidFill>
              <w14:schemeClr w14:val="tx1"/>
            </w14:solidFill>
          </w14:textFill>
        </w:rPr>
        <w:t xml:space="preserve">有意向且具有提供标的物能力的潜在供应商（以下简称“供应商”）可前来参与比价响应。 </w:t>
      </w:r>
    </w:p>
    <w:p>
      <w:pPr>
        <w:pStyle w:val="4"/>
        <w:jc w:val="left"/>
        <w:rPr>
          <w:rFonts w:ascii="仿宋" w:hAnsi="仿宋" w:eastAsia="仿宋" w:cs="仿宋"/>
          <w:color w:val="000000" w:themeColor="text1"/>
          <w:sz w:val="24"/>
          <w:szCs w:val="24"/>
          <w14:textFill>
            <w14:solidFill>
              <w14:schemeClr w14:val="tx1"/>
            </w14:solidFill>
          </w14:textFill>
        </w:rPr>
      </w:pPr>
      <w:bookmarkStart w:id="2" w:name="_Toc21237"/>
      <w:bookmarkStart w:id="3" w:name="_Toc7008"/>
      <w:r>
        <w:rPr>
          <w:rFonts w:hint="eastAsia" w:ascii="仿宋" w:hAnsi="仿宋" w:eastAsia="仿宋" w:cs="仿宋"/>
          <w:color w:val="000000" w:themeColor="text1"/>
          <w:sz w:val="24"/>
          <w:szCs w:val="24"/>
          <w14:textFill>
            <w14:solidFill>
              <w14:schemeClr w14:val="tx1"/>
            </w14:solidFill>
          </w14:textFill>
        </w:rPr>
        <w:t>一、项目概况与采购范围</w:t>
      </w:r>
      <w:bookmarkEnd w:id="2"/>
      <w:bookmarkEnd w:id="3"/>
    </w:p>
    <w:p>
      <w:pPr>
        <w:adjustRightInd w:val="0"/>
        <w:snapToGrid w:val="0"/>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1.1 项目名称：</w:t>
      </w:r>
      <w:r>
        <w:rPr>
          <w:rFonts w:hint="eastAsia" w:ascii="仿宋" w:hAnsi="仿宋" w:eastAsia="仿宋" w:cs="仿宋"/>
          <w:color w:val="000000" w:themeColor="text1"/>
          <w:u w:val="single"/>
          <w:lang w:eastAsia="zh-CN"/>
          <w14:textFill>
            <w14:solidFill>
              <w14:schemeClr w14:val="tx1"/>
            </w14:solidFill>
          </w14:textFill>
        </w:rPr>
        <w:t>人保财险四川省广安市分公司前锋区公交站台宣传服务采购项目</w:t>
      </w:r>
      <w:r>
        <w:rPr>
          <w:rFonts w:hint="eastAsia" w:ascii="仿宋" w:hAnsi="仿宋" w:eastAsia="仿宋" w:cs="仿宋"/>
          <w:color w:val="000000" w:themeColor="text1"/>
          <w14:textFill>
            <w14:solidFill>
              <w14:schemeClr w14:val="tx1"/>
            </w14:solidFill>
          </w14:textFill>
        </w:rPr>
        <w:t>。</w:t>
      </w:r>
    </w:p>
    <w:p>
      <w:pPr>
        <w:adjustRightInd w:val="0"/>
        <w:snapToGrid w:val="0"/>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1.2 采购范围：本项目拟采购</w:t>
      </w:r>
      <w:r>
        <w:rPr>
          <w:rFonts w:hint="eastAsia" w:ascii="仿宋" w:hAnsi="仿宋" w:eastAsia="仿宋" w:cs="仿宋"/>
          <w:color w:val="000000" w:themeColor="text1"/>
          <w:lang w:eastAsia="zh-CN"/>
          <w14:textFill>
            <w14:solidFill>
              <w14:schemeClr w14:val="tx1"/>
            </w14:solidFill>
          </w14:textFill>
        </w:rPr>
        <w:t>前锋区</w:t>
      </w:r>
      <w:r>
        <w:rPr>
          <w:rFonts w:hint="eastAsia" w:ascii="仿宋" w:hAnsi="仿宋" w:eastAsia="仿宋" w:cs="仿宋"/>
          <w:color w:val="000000" w:themeColor="text1"/>
          <w14:textFill>
            <w14:solidFill>
              <w14:schemeClr w14:val="tx1"/>
            </w14:solidFill>
          </w14:textFill>
        </w:rPr>
        <w:t>公交站台宣传服务，具体技术要求详见第五章采购需求。</w:t>
      </w:r>
    </w:p>
    <w:p>
      <w:pPr>
        <w:adjustRightInd w:val="0"/>
        <w:snapToGrid w:val="0"/>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1.3 标包划分：</w:t>
      </w:r>
      <w:r>
        <w:rPr>
          <w:rFonts w:hint="eastAsia" w:ascii="仿宋" w:hAnsi="仿宋" w:eastAsia="仿宋" w:cs="宋体"/>
          <w:color w:val="000000" w:themeColor="text1"/>
          <w14:textFill>
            <w14:solidFill>
              <w14:schemeClr w14:val="tx1"/>
            </w14:solidFill>
          </w14:textFill>
        </w:rPr>
        <w:t>本项目不划分标包，情况如下：</w:t>
      </w:r>
    </w:p>
    <w:tbl>
      <w:tblPr>
        <w:tblStyle w:val="29"/>
        <w:tblW w:w="46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4"/>
        <w:gridCol w:w="2942"/>
        <w:gridCol w:w="3389"/>
        <w:gridCol w:w="16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5" w:type="pct"/>
            <w:vAlign w:val="center"/>
          </w:tcPr>
          <w:p>
            <w:pPr>
              <w:jc w:val="center"/>
              <w:rPr>
                <w:rFonts w:ascii="仿宋" w:hAnsi="仿宋" w:eastAsia="仿宋" w:cs="宋体"/>
                <w:b/>
                <w:bCs/>
                <w:color w:val="000000" w:themeColor="text1"/>
                <w14:textFill>
                  <w14:solidFill>
                    <w14:schemeClr w14:val="tx1"/>
                  </w14:solidFill>
                </w14:textFill>
              </w:rPr>
            </w:pPr>
            <w:r>
              <w:rPr>
                <w:rFonts w:hint="eastAsia" w:ascii="仿宋" w:hAnsi="仿宋" w:eastAsia="仿宋" w:cs="宋体"/>
                <w:b/>
                <w:bCs/>
                <w:color w:val="000000" w:themeColor="text1"/>
                <w14:textFill>
                  <w14:solidFill>
                    <w14:schemeClr w14:val="tx1"/>
                  </w14:solidFill>
                </w14:textFill>
              </w:rPr>
              <w:t>标包号</w:t>
            </w:r>
          </w:p>
        </w:tc>
        <w:tc>
          <w:tcPr>
            <w:tcW w:w="1621" w:type="pct"/>
            <w:vAlign w:val="center"/>
          </w:tcPr>
          <w:p>
            <w:pPr>
              <w:jc w:val="center"/>
              <w:rPr>
                <w:rFonts w:ascii="仿宋" w:hAnsi="仿宋" w:eastAsia="仿宋" w:cs="宋体"/>
                <w:b/>
                <w:bCs/>
                <w:color w:val="000000" w:themeColor="text1"/>
                <w14:textFill>
                  <w14:solidFill>
                    <w14:schemeClr w14:val="tx1"/>
                  </w14:solidFill>
                </w14:textFill>
              </w:rPr>
            </w:pPr>
            <w:r>
              <w:rPr>
                <w:rFonts w:hint="eastAsia" w:ascii="仿宋" w:hAnsi="仿宋" w:eastAsia="仿宋" w:cs="宋体"/>
                <w:b/>
                <w:bCs/>
                <w:color w:val="000000" w:themeColor="text1"/>
                <w14:textFill>
                  <w14:solidFill>
                    <w14:schemeClr w14:val="tx1"/>
                  </w14:solidFill>
                </w14:textFill>
              </w:rPr>
              <w:t>标包名称</w:t>
            </w:r>
          </w:p>
        </w:tc>
        <w:tc>
          <w:tcPr>
            <w:tcW w:w="1867" w:type="pct"/>
            <w:vAlign w:val="center"/>
          </w:tcPr>
          <w:p>
            <w:pPr>
              <w:jc w:val="center"/>
              <w:rPr>
                <w:rFonts w:ascii="仿宋" w:hAnsi="仿宋" w:eastAsia="仿宋" w:cs="宋体"/>
                <w:b/>
                <w:bCs/>
                <w:color w:val="000000" w:themeColor="text1"/>
                <w14:textFill>
                  <w14:solidFill>
                    <w14:schemeClr w14:val="tx1"/>
                  </w14:solidFill>
                </w14:textFill>
              </w:rPr>
            </w:pPr>
            <w:r>
              <w:rPr>
                <w:rFonts w:hint="eastAsia" w:ascii="仿宋" w:hAnsi="仿宋" w:eastAsia="仿宋" w:cs="宋体"/>
                <w:b/>
                <w:bCs/>
                <w:color w:val="000000" w:themeColor="text1"/>
                <w14:textFill>
                  <w14:solidFill>
                    <w14:schemeClr w14:val="tx1"/>
                  </w14:solidFill>
                </w14:textFill>
              </w:rPr>
              <w:t>采购内容/数量</w:t>
            </w:r>
          </w:p>
        </w:tc>
        <w:tc>
          <w:tcPr>
            <w:tcW w:w="936" w:type="pct"/>
            <w:vAlign w:val="center"/>
          </w:tcPr>
          <w:p>
            <w:pPr>
              <w:jc w:val="center"/>
              <w:rPr>
                <w:rFonts w:ascii="仿宋" w:hAnsi="仿宋" w:eastAsia="仿宋" w:cs="宋体"/>
                <w:b/>
                <w:bCs/>
                <w:color w:val="000000" w:themeColor="text1"/>
                <w14:textFill>
                  <w14:solidFill>
                    <w14:schemeClr w14:val="tx1"/>
                  </w14:solidFill>
                </w14:textFill>
              </w:rPr>
            </w:pPr>
            <w:r>
              <w:rPr>
                <w:rFonts w:hint="eastAsia" w:ascii="仿宋" w:hAnsi="仿宋" w:eastAsia="仿宋" w:cs="宋体"/>
                <w:b/>
                <w:bCs/>
                <w:color w:val="000000" w:themeColor="text1"/>
                <w14:textFill>
                  <w14:solidFill>
                    <w14:schemeClr w14:val="tx1"/>
                  </w14:solidFill>
                </w14:textFill>
              </w:rPr>
              <w:t>中标人数量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3" w:hRule="atLeast"/>
          <w:jc w:val="center"/>
        </w:trPr>
        <w:tc>
          <w:tcPr>
            <w:tcW w:w="575" w:type="pct"/>
            <w:vAlign w:val="center"/>
          </w:tcPr>
          <w:p>
            <w:pPr>
              <w:jc w:val="center"/>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标包</w:t>
            </w:r>
          </w:p>
        </w:tc>
        <w:tc>
          <w:tcPr>
            <w:tcW w:w="1621" w:type="pct"/>
            <w:vAlign w:val="center"/>
          </w:tcPr>
          <w:p>
            <w:pPr>
              <w:jc w:val="center"/>
              <w:rPr>
                <w:rFonts w:ascii="仿宋" w:hAnsi="仿宋" w:eastAsia="仿宋" w:cs="宋体"/>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前锋区</w:t>
            </w:r>
            <w:r>
              <w:rPr>
                <w:rFonts w:hint="eastAsia" w:ascii="仿宋" w:hAnsi="仿宋" w:eastAsia="仿宋" w:cs="仿宋"/>
                <w:color w:val="000000" w:themeColor="text1"/>
                <w14:textFill>
                  <w14:solidFill>
                    <w14:schemeClr w14:val="tx1"/>
                  </w14:solidFill>
                </w14:textFill>
              </w:rPr>
              <w:t>公交站台宣传服务</w:t>
            </w:r>
          </w:p>
        </w:tc>
        <w:tc>
          <w:tcPr>
            <w:tcW w:w="1867" w:type="pct"/>
            <w:vAlign w:val="center"/>
          </w:tcPr>
          <w:p>
            <w:pPr>
              <w:jc w:val="center"/>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根据实际情况选取有效路段进行投放宣传画面到</w:t>
            </w:r>
            <w:r>
              <w:rPr>
                <w:rFonts w:hint="eastAsia" w:ascii="仿宋" w:hAnsi="仿宋" w:eastAsia="仿宋" w:cs="宋体"/>
                <w:color w:val="000000" w:themeColor="text1"/>
                <w:lang w:eastAsia="zh-CN"/>
                <w14:textFill>
                  <w14:solidFill>
                    <w14:schemeClr w14:val="tx1"/>
                  </w14:solidFill>
                </w14:textFill>
              </w:rPr>
              <w:t>前锋区</w:t>
            </w:r>
            <w:r>
              <w:rPr>
                <w:rFonts w:hint="eastAsia" w:ascii="仿宋" w:hAnsi="仿宋" w:eastAsia="仿宋" w:cs="宋体"/>
                <w:color w:val="000000" w:themeColor="text1"/>
                <w14:textFill>
                  <w14:solidFill>
                    <w14:schemeClr w14:val="tx1"/>
                  </w14:solidFill>
                </w14:textFill>
              </w:rPr>
              <w:t>公交站台宣传位，按照成交单价确定采购数量，总费用不超过48万元</w:t>
            </w:r>
          </w:p>
        </w:tc>
        <w:tc>
          <w:tcPr>
            <w:tcW w:w="936" w:type="pct"/>
            <w:vAlign w:val="center"/>
          </w:tcPr>
          <w:p>
            <w:pPr>
              <w:jc w:val="center"/>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1个</w:t>
            </w:r>
          </w:p>
        </w:tc>
      </w:tr>
    </w:tbl>
    <w:p>
      <w:pPr>
        <w:adjustRightInd w:val="0"/>
        <w:snapToGrid w:val="0"/>
        <w:spacing w:before="240" w:line="360" w:lineRule="auto"/>
        <w:ind w:firstLine="480" w:firstLineChars="20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1.4</w:t>
      </w:r>
      <w:r>
        <w:rPr>
          <w:rFonts w:ascii="仿宋" w:hAnsi="仿宋" w:cs="仿宋"/>
          <w:color w:val="000000" w:themeColor="text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项目性质：服务。</w:t>
      </w:r>
    </w:p>
    <w:p>
      <w:pPr>
        <w:adjustRightInd w:val="0"/>
        <w:snapToGrid w:val="0"/>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5</w:t>
      </w:r>
      <w:r>
        <w:rPr>
          <w:rFonts w:hint="eastAsia" w:ascii="仿宋" w:hAnsi="仿宋" w:eastAsia="仿宋" w:cs="仿宋"/>
          <w:color w:val="000000" w:themeColor="text1"/>
          <w14:textFill>
            <w14:solidFill>
              <w14:schemeClr w14:val="tx1"/>
            </w14:solidFill>
          </w14:textFill>
        </w:rPr>
        <w:t>服务期限：</w:t>
      </w:r>
      <w:r>
        <w:rPr>
          <w:rFonts w:hint="eastAsia" w:ascii="仿宋" w:hAnsi="仿宋" w:eastAsia="仿宋" w:cs="宋体"/>
          <w:color w:val="000000" w:themeColor="text1"/>
          <w14:textFill>
            <w14:solidFill>
              <w14:schemeClr w14:val="tx1"/>
            </w14:solidFill>
          </w14:textFill>
        </w:rPr>
        <w:t>自合同签订之日起1年。</w:t>
      </w:r>
    </w:p>
    <w:p>
      <w:pPr>
        <w:adjustRightInd w:val="0"/>
        <w:snapToGrid w:val="0"/>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6</w:t>
      </w:r>
      <w:r>
        <w:rPr>
          <w:rFonts w:hint="eastAsia" w:ascii="仿宋" w:hAnsi="仿宋" w:eastAsia="仿宋" w:cs="宋体"/>
          <w:color w:val="000000" w:themeColor="text1"/>
          <w14:textFill>
            <w14:solidFill>
              <w14:schemeClr w14:val="tx1"/>
            </w14:solidFill>
          </w14:textFill>
        </w:rPr>
        <w:t>服务地点：</w:t>
      </w:r>
      <w:r>
        <w:rPr>
          <w:rFonts w:hint="eastAsia" w:ascii="仿宋" w:hAnsi="仿宋" w:eastAsia="仿宋" w:cs="宋体"/>
          <w:color w:val="000000" w:themeColor="text1"/>
          <w:lang w:eastAsia="zh-CN"/>
          <w14:textFill>
            <w14:solidFill>
              <w14:schemeClr w14:val="tx1"/>
            </w14:solidFill>
          </w14:textFill>
        </w:rPr>
        <w:t>前锋区</w:t>
      </w:r>
      <w:r>
        <w:rPr>
          <w:rFonts w:hint="eastAsia" w:ascii="仿宋" w:hAnsi="仿宋" w:eastAsia="仿宋" w:cs="宋体"/>
          <w:color w:val="000000" w:themeColor="text1"/>
          <w14:textFill>
            <w14:solidFill>
              <w14:schemeClr w14:val="tx1"/>
            </w14:solidFill>
          </w14:textFill>
        </w:rPr>
        <w:t>域内。</w:t>
      </w:r>
    </w:p>
    <w:p>
      <w:pPr>
        <w:pStyle w:val="2"/>
        <w:rPr>
          <w:rFonts w:eastAsia="仿宋"/>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 xml:space="preserve">   </w:t>
      </w:r>
      <w:r>
        <w:rPr>
          <w:rFonts w:ascii="仿宋" w:hAnsi="仿宋" w:eastAsia="仿宋" w:cs="仿宋"/>
          <w:color w:val="000000" w:themeColor="text1"/>
          <w14:textFill>
            <w14:solidFill>
              <w14:schemeClr w14:val="tx1"/>
            </w14:solidFill>
          </w14:textFill>
        </w:rPr>
        <w:t>1.7 项目限价</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项目设置最高限价</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即供应商报价</w:t>
      </w:r>
      <w:r>
        <w:rPr>
          <w:rFonts w:hint="eastAsia" w:ascii="仿宋" w:hAnsi="仿宋" w:eastAsia="仿宋" w:cs="仿宋"/>
          <w:color w:val="000000" w:themeColor="text1"/>
          <w14:textFill>
            <w14:solidFill>
              <w14:schemeClr w14:val="tx1"/>
            </w14:solidFill>
          </w14:textFill>
        </w:rPr>
        <w:t>单价</w:t>
      </w:r>
      <w:r>
        <w:rPr>
          <w:rFonts w:ascii="仿宋" w:hAnsi="仿宋" w:eastAsia="仿宋" w:cs="仿宋"/>
          <w:color w:val="000000" w:themeColor="text1"/>
          <w14:textFill>
            <w14:solidFill>
              <w14:schemeClr w14:val="tx1"/>
            </w14:solidFill>
          </w14:textFill>
        </w:rPr>
        <w:t>不得高于</w:t>
      </w:r>
      <w:r>
        <w:rPr>
          <w:rFonts w:hint="eastAsia" w:ascii="仿宋" w:hAnsi="仿宋" w:eastAsia="仿宋" w:cs="仿宋"/>
          <w:color w:val="000000" w:themeColor="text1"/>
          <w14:textFill>
            <w14:solidFill>
              <w14:schemeClr w14:val="tx1"/>
            </w14:solidFill>
          </w14:textFill>
        </w:rPr>
        <w:t>1200元/块/月。</w:t>
      </w:r>
    </w:p>
    <w:p>
      <w:pPr>
        <w:pStyle w:val="4"/>
        <w:jc w:val="left"/>
        <w:rPr>
          <w:rFonts w:ascii="仿宋" w:hAnsi="仿宋" w:eastAsia="仿宋" w:cs="仿宋"/>
          <w:color w:val="000000" w:themeColor="text1"/>
          <w:sz w:val="24"/>
          <w:szCs w:val="24"/>
          <w14:textFill>
            <w14:solidFill>
              <w14:schemeClr w14:val="tx1"/>
            </w14:solidFill>
          </w14:textFill>
        </w:rPr>
      </w:pPr>
      <w:bookmarkStart w:id="4" w:name="_Toc17569"/>
      <w:bookmarkStart w:id="5" w:name="_Toc25621"/>
      <w:r>
        <w:rPr>
          <w:rFonts w:hint="eastAsia" w:ascii="仿宋" w:hAnsi="仿宋" w:eastAsia="仿宋" w:cs="仿宋"/>
          <w:color w:val="000000" w:themeColor="text1"/>
          <w:sz w:val="24"/>
          <w:szCs w:val="24"/>
          <w14:textFill>
            <w14:solidFill>
              <w14:schemeClr w14:val="tx1"/>
            </w14:solidFill>
          </w14:textFill>
        </w:rPr>
        <w:t>二、供应商资格要求</w:t>
      </w:r>
      <w:bookmarkEnd w:id="4"/>
      <w:bookmarkEnd w:id="5"/>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2.1</w:t>
      </w:r>
      <w:r>
        <w:rPr>
          <w:rFonts w:hint="eastAsia" w:ascii="仿宋" w:hAnsi="仿宋" w:eastAsia="仿宋" w:cs="宋体"/>
          <w:b/>
          <w:bCs/>
          <w:color w:val="000000" w:themeColor="text1"/>
          <w14:textFill>
            <w14:solidFill>
              <w14:schemeClr w14:val="tx1"/>
            </w14:solidFill>
          </w14:textFill>
        </w:rPr>
        <w:t>在中华人民共和国境内依法登记的法人或其他组织，具有独立承担民事责任的能力，</w:t>
      </w:r>
      <w:r>
        <w:rPr>
          <w:rFonts w:hint="eastAsia" w:ascii="仿宋" w:hAnsi="仿宋" w:eastAsia="仿宋" w:cs="宋体"/>
          <w:color w:val="000000" w:themeColor="text1"/>
          <w14:textFill>
            <w14:solidFill>
              <w14:schemeClr w14:val="tx1"/>
            </w14:solidFill>
          </w14:textFill>
        </w:rPr>
        <w:t>供应商如为企业法人，须提供企业法人营业执照</w:t>
      </w:r>
      <w:r>
        <w:rPr>
          <w:rFonts w:hint="eastAsia" w:ascii="仿宋" w:hAnsi="仿宋" w:eastAsia="仿宋" w:cs="Monaco"/>
          <w:color w:val="000000" w:themeColor="text1"/>
          <w14:textFill>
            <w14:solidFill>
              <w14:schemeClr w14:val="tx1"/>
            </w14:solidFill>
          </w14:textFill>
        </w:rPr>
        <w:t>（复印件）</w:t>
      </w:r>
      <w:r>
        <w:rPr>
          <w:rFonts w:hint="eastAsia" w:ascii="仿宋" w:hAnsi="仿宋" w:eastAsia="仿宋" w:cs="宋体"/>
          <w:color w:val="000000" w:themeColor="text1"/>
          <w14:textFill>
            <w14:solidFill>
              <w14:schemeClr w14:val="tx1"/>
            </w14:solidFill>
          </w14:textFill>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2.2</w:t>
      </w:r>
      <w:r>
        <w:rPr>
          <w:rFonts w:hint="eastAsia" w:ascii="仿宋" w:hAnsi="仿宋" w:eastAsia="仿宋" w:cs="宋体"/>
          <w:b/>
          <w:bCs/>
          <w:color w:val="000000" w:themeColor="text1"/>
          <w14:textFill>
            <w14:solidFill>
              <w14:schemeClr w14:val="tx1"/>
            </w14:solidFill>
          </w14:textFill>
        </w:rPr>
        <w:t>供应商应具有履行合同所必需的设备和专业技术能力</w:t>
      </w:r>
      <w:r>
        <w:rPr>
          <w:rFonts w:hint="eastAsia" w:ascii="仿宋" w:hAnsi="仿宋" w:eastAsia="仿宋" w:cs="宋体"/>
          <w:color w:val="000000" w:themeColor="text1"/>
          <w14:textFill>
            <w14:solidFill>
              <w14:schemeClr w14:val="tx1"/>
            </w14:solidFill>
          </w14:textFill>
        </w:rPr>
        <w:t>，近三年（2023年1月1日至今）应具有1个</w:t>
      </w: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14:textFill>
            <w14:solidFill>
              <w14:schemeClr w14:val="tx1"/>
            </w14:solidFill>
          </w14:textFill>
        </w:rPr>
        <w:t>0万元（含）以上同类项目实施案例，并提供符合上述要求的合同关键页作为有效的业绩证明材料。合同关键页包含但不限于合同首页、合同标的页、签署日期页及盖章页等。</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2.3</w:t>
      </w:r>
      <w:r>
        <w:rPr>
          <w:rFonts w:hint="eastAsia" w:ascii="仿宋" w:hAnsi="仿宋" w:eastAsia="仿宋" w:cs="宋体"/>
          <w:b/>
          <w:bCs/>
          <w:color w:val="000000" w:themeColor="text1"/>
          <w14:textFill>
            <w14:solidFill>
              <w14:schemeClr w14:val="tx1"/>
            </w14:solidFill>
          </w14:textFill>
        </w:rPr>
        <w:t>供应商应经营状况良好，且近三年内（2023年1月1日至今）无违法违规记录。</w:t>
      </w:r>
      <w:r>
        <w:rPr>
          <w:rFonts w:hint="eastAsia" w:ascii="仿宋" w:hAnsi="仿宋" w:eastAsia="仿宋" w:cs="宋体"/>
          <w:color w:val="000000" w:themeColor="text1"/>
          <w14:textFill>
            <w14:solidFill>
              <w14:schemeClr w14:val="tx1"/>
            </w14:solidFill>
          </w14:textFill>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信用中国查询网址：https://www.creditchina.gov.cn/xinxigongshi/</w:t>
      </w:r>
    </w:p>
    <w:p>
      <w:pPr>
        <w:snapToGrid w:val="0"/>
        <w:spacing w:line="360" w:lineRule="auto"/>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政府采购严重违法失信行为记录名单查询网址：</w:t>
      </w:r>
    </w:p>
    <w:p>
      <w:pPr>
        <w:snapToGrid w:val="0"/>
        <w:spacing w:line="360" w:lineRule="auto"/>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https://www.creditchina.gov.cn/zhuanxiangchaxun/zhengfucaigouyanzhongweifashixinmingdan/</w:t>
      </w:r>
    </w:p>
    <w:p>
      <w:pPr>
        <w:spacing w:line="360" w:lineRule="auto"/>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2.4</w:t>
      </w:r>
      <w:r>
        <w:rPr>
          <w:rFonts w:hint="eastAsia" w:ascii="仿宋" w:hAnsi="仿宋" w:eastAsia="仿宋" w:cs="宋体"/>
          <w:b/>
          <w:bCs/>
          <w:color w:val="000000" w:themeColor="text1"/>
          <w14:textFill>
            <w14:solidFill>
              <w14:schemeClr w14:val="tx1"/>
            </w14:solidFill>
          </w14:textFill>
        </w:rPr>
        <w:t>严禁列入采购人及其所隶属的中国人民保险各级机构的供应商黑名单且在禁入期内的供应商参与采购活动。或提供《未列入供应商黑名单且未在禁入期承诺函</w:t>
      </w:r>
      <w:r>
        <w:rPr>
          <w:rFonts w:hint="eastAsia" w:ascii="仿宋" w:hAnsi="仿宋" w:eastAsia="仿宋" w:cs="宋体"/>
          <w:color w:val="000000" w:themeColor="text1"/>
          <w14:textFill>
            <w14:solidFill>
              <w14:schemeClr w14:val="tx1"/>
            </w14:solidFill>
          </w14:textFill>
        </w:rPr>
        <w:t>》。</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2.5单位负责人为同一人或存在控股、管理关系的不同单位，不得参加同一标段/标包比选响应或未划分标段/标包的同一采购项目的比选响应，需填写《供应商控股及管理关系情况申报表》。</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2.6本项目不接受联合体比选响应。提供承诺函，格式详见第六章响应文件格式。</w:t>
      </w:r>
    </w:p>
    <w:p>
      <w:pPr>
        <w:pStyle w:val="4"/>
        <w:spacing w:after="240"/>
        <w:jc w:val="left"/>
        <w:rPr>
          <w:rFonts w:ascii="仿宋" w:hAnsi="仿宋" w:eastAsia="仿宋" w:cs="仿宋"/>
          <w:color w:val="000000" w:themeColor="text1"/>
          <w:sz w:val="24"/>
          <w:szCs w:val="24"/>
          <w14:textFill>
            <w14:solidFill>
              <w14:schemeClr w14:val="tx1"/>
            </w14:solidFill>
          </w14:textFill>
        </w:rPr>
      </w:pPr>
      <w:bookmarkStart w:id="6" w:name="_Toc25572"/>
      <w:bookmarkStart w:id="7" w:name="_Toc2019"/>
      <w:r>
        <w:rPr>
          <w:rFonts w:hint="eastAsia" w:ascii="仿宋" w:hAnsi="仿宋" w:eastAsia="仿宋" w:cs="仿宋"/>
          <w:color w:val="000000" w:themeColor="text1"/>
          <w:sz w:val="24"/>
          <w:szCs w:val="24"/>
          <w14:textFill>
            <w14:solidFill>
              <w14:schemeClr w14:val="tx1"/>
            </w14:solidFill>
          </w14:textFill>
        </w:rPr>
        <w:t>三、比价文件的获取</w:t>
      </w:r>
      <w:bookmarkEnd w:id="6"/>
      <w:bookmarkEnd w:id="7"/>
    </w:p>
    <w:p>
      <w:pPr>
        <w:pStyle w:val="65"/>
        <w:adjustRightInd w:val="0"/>
        <w:snapToGrid w:val="0"/>
        <w:ind w:firstLineChars="175"/>
        <w:jc w:val="left"/>
        <w:rPr>
          <w:rFonts w:ascii="仿宋" w:hAnsi="仿宋" w:eastAsia="仿宋" w:cs="宋体"/>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.1比价文件</w:t>
      </w:r>
      <w:r>
        <w:rPr>
          <w:rFonts w:hint="eastAsia" w:ascii="仿宋" w:hAnsi="仿宋" w:eastAsia="仿宋" w:cs="宋体"/>
          <w:color w:val="000000" w:themeColor="text1"/>
          <w:sz w:val="24"/>
          <w:szCs w:val="24"/>
          <w14:textFill>
            <w14:solidFill>
              <w14:schemeClr w14:val="tx1"/>
            </w14:solidFill>
          </w14:textFill>
        </w:rPr>
        <w:t>获取</w:t>
      </w:r>
      <w:r>
        <w:rPr>
          <w:rFonts w:hint="eastAsia" w:ascii="仿宋" w:hAnsi="仿宋" w:eastAsia="仿宋" w:cs="仿宋"/>
          <w:color w:val="000000" w:themeColor="text1"/>
          <w:sz w:val="24"/>
          <w:szCs w:val="24"/>
          <w14:textFill>
            <w14:solidFill>
              <w14:schemeClr w14:val="tx1"/>
            </w14:solidFill>
          </w14:textFill>
        </w:rPr>
        <w:t>时间：拟定于</w:t>
      </w:r>
      <w:r>
        <w:rPr>
          <w:rFonts w:hint="eastAsia" w:ascii="仿宋" w:hAnsi="仿宋" w:eastAsia="仿宋" w:cs="宋体"/>
          <w:b/>
          <w:sz w:val="24"/>
          <w:szCs w:val="24"/>
          <w:u w:val="single"/>
        </w:rPr>
        <w:t>2026年</w:t>
      </w:r>
      <w:r>
        <w:rPr>
          <w:rFonts w:hint="eastAsia" w:ascii="仿宋" w:hAnsi="仿宋" w:eastAsia="仿宋" w:cs="宋体"/>
          <w:b/>
          <w:sz w:val="24"/>
          <w:szCs w:val="24"/>
          <w:u w:val="single"/>
          <w:lang w:val="en-US" w:eastAsia="zh-CN"/>
        </w:rPr>
        <w:t>05</w:t>
      </w:r>
      <w:r>
        <w:rPr>
          <w:rFonts w:hint="eastAsia" w:ascii="仿宋" w:hAnsi="仿宋" w:eastAsia="仿宋" w:cs="宋体"/>
          <w:b/>
          <w:sz w:val="24"/>
          <w:szCs w:val="24"/>
          <w:u w:val="single"/>
        </w:rPr>
        <w:t>月</w:t>
      </w:r>
      <w:r>
        <w:rPr>
          <w:rFonts w:hint="eastAsia" w:ascii="仿宋" w:hAnsi="仿宋" w:eastAsia="仿宋" w:cs="宋体"/>
          <w:b/>
          <w:sz w:val="24"/>
          <w:szCs w:val="24"/>
          <w:u w:val="single"/>
          <w:lang w:val="en-US" w:eastAsia="zh-CN"/>
        </w:rPr>
        <w:t>11</w:t>
      </w:r>
      <w:r>
        <w:rPr>
          <w:rFonts w:hint="eastAsia" w:ascii="仿宋" w:hAnsi="仿宋" w:eastAsia="仿宋" w:cs="宋体"/>
          <w:b/>
          <w:sz w:val="24"/>
          <w:szCs w:val="24"/>
          <w:u w:val="single"/>
        </w:rPr>
        <w:t>日</w:t>
      </w:r>
      <w:r>
        <w:rPr>
          <w:rFonts w:hint="eastAsia" w:ascii="仿宋" w:hAnsi="仿宋" w:eastAsia="仿宋" w:cs="宋体"/>
          <w:b/>
          <w:sz w:val="24"/>
          <w:szCs w:val="24"/>
        </w:rPr>
        <w:t>至</w:t>
      </w:r>
      <w:r>
        <w:rPr>
          <w:rFonts w:hint="eastAsia" w:ascii="仿宋" w:hAnsi="仿宋" w:eastAsia="仿宋" w:cs="宋体"/>
          <w:b/>
          <w:sz w:val="24"/>
          <w:szCs w:val="24"/>
          <w:u w:val="single"/>
        </w:rPr>
        <w:t>2026年</w:t>
      </w:r>
      <w:r>
        <w:rPr>
          <w:rFonts w:hint="eastAsia" w:ascii="仿宋" w:hAnsi="仿宋" w:eastAsia="仿宋" w:cs="宋体"/>
          <w:b/>
          <w:sz w:val="24"/>
          <w:szCs w:val="24"/>
          <w:u w:val="single"/>
          <w:lang w:val="en-US" w:eastAsia="zh-CN"/>
        </w:rPr>
        <w:t>05</w:t>
      </w:r>
      <w:r>
        <w:rPr>
          <w:rFonts w:hint="eastAsia" w:ascii="仿宋" w:hAnsi="仿宋" w:eastAsia="仿宋" w:cs="宋体"/>
          <w:b/>
          <w:sz w:val="24"/>
          <w:szCs w:val="24"/>
          <w:u w:val="single"/>
        </w:rPr>
        <w:t>月</w:t>
      </w:r>
      <w:r>
        <w:rPr>
          <w:rFonts w:hint="eastAsia" w:ascii="仿宋" w:hAnsi="仿宋" w:eastAsia="仿宋" w:cs="宋体"/>
          <w:b/>
          <w:sz w:val="24"/>
          <w:szCs w:val="24"/>
          <w:u w:val="single"/>
          <w:lang w:val="en-US" w:eastAsia="zh-CN"/>
        </w:rPr>
        <w:t>13</w:t>
      </w:r>
      <w:r>
        <w:rPr>
          <w:rFonts w:hint="eastAsia" w:ascii="仿宋" w:hAnsi="仿宋" w:eastAsia="仿宋" w:cs="宋体"/>
          <w:b/>
          <w:sz w:val="24"/>
          <w:szCs w:val="24"/>
          <w:u w:val="single"/>
        </w:rPr>
        <w:t>日</w:t>
      </w:r>
      <w:r>
        <w:rPr>
          <w:rFonts w:hint="eastAsia" w:ascii="仿宋" w:hAnsi="仿宋" w:eastAsia="仿宋" w:cs="宋体"/>
          <w:b/>
          <w:color w:val="000000" w:themeColor="text1"/>
          <w:sz w:val="24"/>
          <w:szCs w:val="24"/>
          <w:u w:val="single"/>
          <w14:textFill>
            <w14:solidFill>
              <w14:schemeClr w14:val="tx1"/>
            </w14:solidFill>
          </w14:textFill>
        </w:rPr>
        <w:t>，</w:t>
      </w:r>
      <w:r>
        <w:rPr>
          <w:rFonts w:hint="eastAsia" w:ascii="仿宋" w:hAnsi="仿宋" w:eastAsia="仿宋" w:cs="宋体"/>
          <w:color w:val="000000" w:themeColor="text1"/>
          <w:sz w:val="24"/>
          <w:szCs w:val="24"/>
          <w14:textFill>
            <w14:solidFill>
              <w14:schemeClr w14:val="tx1"/>
            </w14:solidFill>
          </w14:textFill>
        </w:rPr>
        <w:t>午9时至12时，下午15时至1</w:t>
      </w:r>
      <w:r>
        <w:rPr>
          <w:rFonts w:hint="eastAsia" w:ascii="仿宋" w:hAnsi="仿宋" w:eastAsia="仿宋" w:cs="宋体"/>
          <w:color w:val="000000" w:themeColor="text1"/>
          <w:sz w:val="24"/>
          <w:szCs w:val="24"/>
          <w:lang w:val="en-US" w:eastAsia="zh-CN"/>
          <w14:textFill>
            <w14:solidFill>
              <w14:schemeClr w14:val="tx1"/>
            </w14:solidFill>
          </w14:textFill>
        </w:rPr>
        <w:t>7</w:t>
      </w:r>
      <w:r>
        <w:rPr>
          <w:rFonts w:hint="eastAsia" w:ascii="仿宋" w:hAnsi="仿宋" w:eastAsia="仿宋" w:cs="宋体"/>
          <w:color w:val="000000" w:themeColor="text1"/>
          <w:sz w:val="24"/>
          <w:szCs w:val="24"/>
          <w14:textFill>
            <w14:solidFill>
              <w14:schemeClr w14:val="tx1"/>
            </w14:solidFill>
          </w14:textFill>
        </w:rPr>
        <w:t>时（北京时间，下同）。最终比价文件递交时间以系统立项流程完结后确定。</w:t>
      </w:r>
    </w:p>
    <w:p>
      <w:pPr>
        <w:pStyle w:val="11"/>
        <w:spacing w:line="360" w:lineRule="auto"/>
        <w:ind w:firstLine="480" w:firstLineChars="200"/>
        <w:rPr>
          <w:rFonts w:ascii="仿宋" w:hAnsi="仿宋" w:eastAsia="仿宋" w:cs="仿宋_GB2312"/>
          <w:color w:val="000000" w:themeColor="text1"/>
          <w:sz w:val="24"/>
          <w:szCs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t>3</w:t>
      </w:r>
      <w:r>
        <w:rPr>
          <w:rFonts w:hint="eastAsia" w:ascii="仿宋" w:hAnsi="仿宋" w:eastAsia="仿宋" w:cs="宋体"/>
          <w:color w:val="000000" w:themeColor="text1"/>
          <w:sz w:val="24"/>
          <w14:textFill>
            <w14:solidFill>
              <w14:schemeClr w14:val="tx1"/>
            </w14:solidFill>
          </w14:textFill>
        </w:rPr>
        <w:t>.2拟报名参加本项目的供应商，请通过“人保e采”外网门户获取比价文件</w:t>
      </w:r>
      <w:r>
        <w:rPr>
          <w:rFonts w:hint="eastAsia" w:ascii="仿宋" w:hAnsi="仿宋" w:eastAsia="仿宋" w:cs="仿宋_GB2312"/>
          <w:color w:val="000000" w:themeColor="text1"/>
          <w:sz w:val="24"/>
          <w:szCs w:val="24"/>
          <w14:textFill>
            <w14:solidFill>
              <w14:schemeClr w14:val="tx1"/>
            </w14:solidFill>
          </w14:textFill>
        </w:rPr>
        <w:t>。</w:t>
      </w:r>
    </w:p>
    <w:p>
      <w:pPr>
        <w:pStyle w:val="4"/>
        <w:jc w:val="left"/>
        <w:rPr>
          <w:rFonts w:ascii="仿宋" w:hAnsi="仿宋" w:eastAsia="仿宋" w:cs="仿宋"/>
          <w:color w:val="000000" w:themeColor="text1"/>
          <w:sz w:val="24"/>
          <w:szCs w:val="24"/>
          <w14:textFill>
            <w14:solidFill>
              <w14:schemeClr w14:val="tx1"/>
            </w14:solidFill>
          </w14:textFill>
        </w:rPr>
      </w:pPr>
      <w:bookmarkStart w:id="8" w:name="_Toc32115"/>
      <w:bookmarkStart w:id="9" w:name="_Toc29152"/>
      <w:r>
        <w:rPr>
          <w:rFonts w:hint="eastAsia" w:ascii="仿宋" w:hAnsi="仿宋" w:eastAsia="仿宋" w:cs="仿宋"/>
          <w:color w:val="000000" w:themeColor="text1"/>
          <w:sz w:val="24"/>
          <w:szCs w:val="24"/>
          <w14:textFill>
            <w14:solidFill>
              <w14:schemeClr w14:val="tx1"/>
            </w14:solidFill>
          </w14:textFill>
        </w:rPr>
        <w:t>四、响应文件的递交</w:t>
      </w:r>
      <w:bookmarkEnd w:id="8"/>
      <w:bookmarkEnd w:id="9"/>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14:textFill>
            <w14:solidFill>
              <w14:schemeClr w14:val="tx1"/>
            </w14:solidFill>
          </w14:textFill>
        </w:rPr>
        <w:t>.1响应文件递交截止时间：</w:t>
      </w:r>
      <w:r>
        <w:rPr>
          <w:rFonts w:hint="eastAsia" w:ascii="仿宋" w:hAnsi="仿宋" w:eastAsia="仿宋" w:cs="宋体"/>
          <w:u w:val="single"/>
        </w:rPr>
        <w:t>2026年</w:t>
      </w:r>
      <w:r>
        <w:rPr>
          <w:rFonts w:hint="eastAsia" w:ascii="仿宋" w:hAnsi="仿宋" w:eastAsia="仿宋" w:cs="宋体"/>
          <w:u w:val="single"/>
          <w:lang w:val="en-US" w:eastAsia="zh-CN"/>
        </w:rPr>
        <w:t>05</w:t>
      </w:r>
      <w:r>
        <w:rPr>
          <w:rFonts w:hint="eastAsia" w:ascii="仿宋" w:hAnsi="仿宋" w:eastAsia="仿宋" w:cs="宋体"/>
          <w:u w:val="single"/>
        </w:rPr>
        <w:t>月</w:t>
      </w:r>
      <w:r>
        <w:rPr>
          <w:rFonts w:hint="eastAsia" w:ascii="仿宋" w:hAnsi="仿宋" w:eastAsia="仿宋" w:cs="宋体"/>
          <w:u w:val="single"/>
          <w:lang w:val="en-US" w:eastAsia="zh-CN"/>
        </w:rPr>
        <w:t>18</w:t>
      </w:r>
      <w:r>
        <w:rPr>
          <w:rFonts w:hint="eastAsia" w:ascii="仿宋" w:hAnsi="仿宋" w:eastAsia="仿宋" w:cs="宋体"/>
          <w:u w:val="single"/>
        </w:rPr>
        <w:t>日</w:t>
      </w:r>
      <w:r>
        <w:rPr>
          <w:rFonts w:hint="eastAsia" w:ascii="仿宋" w:hAnsi="仿宋" w:eastAsia="仿宋" w:cs="宋体"/>
          <w:u w:val="single"/>
          <w:lang w:val="en-US" w:eastAsia="zh-CN"/>
        </w:rPr>
        <w:t>17</w:t>
      </w:r>
      <w:r>
        <w:rPr>
          <w:rFonts w:hint="eastAsia" w:ascii="仿宋" w:hAnsi="仿宋" w:eastAsia="仿宋" w:cs="宋体"/>
          <w:u w:val="single"/>
        </w:rPr>
        <w:t>时</w:t>
      </w:r>
      <w:r>
        <w:rPr>
          <w:rFonts w:hint="eastAsia" w:ascii="仿宋" w:hAnsi="仿宋" w:eastAsia="仿宋" w:cs="宋体"/>
          <w:u w:val="single"/>
          <w:lang w:val="en-US" w:eastAsia="zh-CN"/>
        </w:rPr>
        <w:t>00</w:t>
      </w:r>
      <w:r>
        <w:rPr>
          <w:rFonts w:hint="eastAsia" w:ascii="仿宋" w:hAnsi="仿宋" w:eastAsia="仿宋" w:cs="宋体"/>
          <w:u w:val="single"/>
        </w:rPr>
        <w:t>分</w:t>
      </w:r>
      <w:r>
        <w:rPr>
          <w:rFonts w:hint="eastAsia" w:ascii="仿宋" w:hAnsi="仿宋" w:eastAsia="仿宋" w:cs="宋体"/>
          <w:u w:val="single"/>
          <w:lang w:val="en-US" w:eastAsia="zh-CN"/>
        </w:rPr>
        <w:t>00</w:t>
      </w:r>
      <w:r>
        <w:rPr>
          <w:rFonts w:hint="eastAsia" w:ascii="仿宋" w:hAnsi="仿宋" w:eastAsia="仿宋" w:cs="宋体"/>
          <w:u w:val="single"/>
        </w:rPr>
        <w:t>秒</w:t>
      </w:r>
      <w:r>
        <w:rPr>
          <w:rFonts w:hint="eastAsia" w:ascii="仿宋" w:hAnsi="仿宋" w:eastAsia="仿宋" w:cs="宋体"/>
          <w:color w:val="000000" w:themeColor="text1"/>
          <w14:textFill>
            <w14:solidFill>
              <w14:schemeClr w14:val="tx1"/>
            </w14:solidFill>
          </w14:textFill>
        </w:rPr>
        <w:t>。</w:t>
      </w:r>
    </w:p>
    <w:p>
      <w:pPr>
        <w:spacing w:line="360" w:lineRule="auto"/>
        <w:ind w:firstLine="480" w:firstLineChars="200"/>
        <w:textAlignment w:val="baseline"/>
        <w:rPr>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14:textFill>
            <w14:solidFill>
              <w14:schemeClr w14:val="tx1"/>
            </w14:solidFill>
          </w14:textFill>
        </w:rPr>
        <w:t>.2响应文件的递交：须现场递交至四川省广安市前锋区永前大道888号，</w:t>
      </w:r>
      <w:r>
        <w:rPr>
          <w:rFonts w:hint="eastAsia" w:ascii="仿宋" w:hAnsi="仿宋" w:eastAsia="仿宋" w:cs="宋体"/>
          <w:b/>
          <w:bCs/>
          <w:color w:val="000000" w:themeColor="text1"/>
          <w14:textFill>
            <w14:solidFill>
              <w14:schemeClr w14:val="tx1"/>
            </w14:solidFill>
          </w14:textFill>
        </w:rPr>
        <w:t>逾期送达或者未送达指定地点或者未按照比价文件要求封装的纸</w:t>
      </w:r>
      <w:bookmarkStart w:id="201" w:name="_GoBack"/>
      <w:bookmarkEnd w:id="201"/>
      <w:r>
        <w:rPr>
          <w:rFonts w:hint="eastAsia" w:ascii="仿宋" w:hAnsi="仿宋" w:eastAsia="仿宋" w:cs="宋体"/>
          <w:b/>
          <w:bCs/>
          <w:color w:val="000000" w:themeColor="text1"/>
          <w14:textFill>
            <w14:solidFill>
              <w14:schemeClr w14:val="tx1"/>
            </w14:solidFill>
          </w14:textFill>
        </w:rPr>
        <w:t>质响应文件不予接收。</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kern w:val="2"/>
          <w14:textFill>
            <w14:solidFill>
              <w14:schemeClr w14:val="tx1"/>
            </w14:solidFill>
          </w14:textFill>
        </w:rPr>
        <w:t>.3本项目将于上述同一时间、地点进行比价，采购人邀请供应商代表准时参加。</w:t>
      </w:r>
    </w:p>
    <w:p>
      <w:pPr>
        <w:spacing w:line="360" w:lineRule="auto"/>
        <w:ind w:firstLine="480" w:firstLineChars="200"/>
        <w:textAlignment w:val="baseline"/>
        <w:rPr>
          <w:rFonts w:ascii="仿宋" w:hAnsi="仿宋" w:eastAsia="仿宋" w:cs="宋体"/>
          <w:b/>
          <w:bCs/>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kern w:val="2"/>
          <w14:textFill>
            <w14:solidFill>
              <w14:schemeClr w14:val="tx1"/>
            </w14:solidFill>
          </w14:textFill>
        </w:rPr>
        <w:t>.4</w:t>
      </w:r>
      <w:r>
        <w:rPr>
          <w:rFonts w:hint="eastAsia" w:ascii="仿宋" w:hAnsi="仿宋" w:eastAsia="仿宋" w:cs="宋体"/>
          <w:b/>
          <w:bCs/>
          <w:color w:val="000000" w:themeColor="text1"/>
          <w:kern w:val="2"/>
          <w14:textFill>
            <w14:solidFill>
              <w14:schemeClr w14:val="tx1"/>
            </w14:solidFill>
          </w14:textFill>
        </w:rPr>
        <w:t>出现以下情形之一时，采购人不予接收投标文件：</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kern w:val="2"/>
          <w14:textFill>
            <w14:solidFill>
              <w14:schemeClr w14:val="tx1"/>
            </w14:solidFill>
          </w14:textFill>
        </w:rPr>
        <w:t>.4.1  逾期送达或者未送达指定地点的；</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kern w:val="2"/>
          <w14:textFill>
            <w14:solidFill>
              <w14:schemeClr w14:val="tx1"/>
            </w14:solidFill>
          </w14:textFill>
        </w:rPr>
        <w:t>.4.2  未按照响应文件要求密封的；</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kern w:val="2"/>
          <w14:textFill>
            <w14:solidFill>
              <w14:schemeClr w14:val="tx1"/>
            </w14:solidFill>
          </w14:textFill>
        </w:rPr>
        <w:t>.4.3  未按照比价公告要求获取比价文件的。</w:t>
      </w:r>
    </w:p>
    <w:p>
      <w:pPr>
        <w:pStyle w:val="4"/>
        <w:jc w:val="left"/>
        <w:rPr>
          <w:rFonts w:ascii="仿宋" w:hAnsi="仿宋" w:eastAsia="仿宋" w:cs="仿宋"/>
          <w:color w:val="000000" w:themeColor="text1"/>
          <w:sz w:val="24"/>
          <w:szCs w:val="24"/>
          <w14:textFill>
            <w14:solidFill>
              <w14:schemeClr w14:val="tx1"/>
            </w14:solidFill>
          </w14:textFill>
        </w:rPr>
      </w:pPr>
      <w:bookmarkStart w:id="10" w:name="_Toc3619"/>
      <w:bookmarkStart w:id="11" w:name="_Toc874"/>
      <w:r>
        <w:rPr>
          <w:rFonts w:hint="eastAsia" w:ascii="仿宋" w:hAnsi="仿宋" w:eastAsia="仿宋" w:cs="仿宋"/>
          <w:color w:val="000000" w:themeColor="text1"/>
          <w:sz w:val="24"/>
          <w:szCs w:val="24"/>
          <w14:textFill>
            <w14:solidFill>
              <w14:schemeClr w14:val="tx1"/>
            </w14:solidFill>
          </w14:textFill>
        </w:rPr>
        <w:t>五、发布公告的媒介</w:t>
      </w:r>
      <w:bookmarkEnd w:id="10"/>
      <w:bookmarkEnd w:id="11"/>
    </w:p>
    <w:p>
      <w:pPr>
        <w:spacing w:line="360" w:lineRule="auto"/>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本项目比价公告在</w:t>
      </w:r>
      <w:r>
        <w:rPr>
          <w:rFonts w:hint="eastAsia" w:ascii="仿宋" w:hAnsi="仿宋" w:eastAsia="仿宋" w:cs="宋体"/>
          <w:color w:val="000000" w:themeColor="text1"/>
          <w:u w:val="single"/>
          <w14:textFill>
            <w14:solidFill>
              <w14:schemeClr w14:val="tx1"/>
            </w14:solidFill>
          </w14:textFill>
        </w:rPr>
        <w:t>“人保e采”外网门户（https://ec.picc.com/）</w:t>
      </w:r>
      <w:r>
        <w:rPr>
          <w:rFonts w:hint="eastAsia" w:ascii="仿宋" w:hAnsi="仿宋" w:eastAsia="仿宋" w:cs="仿宋"/>
          <w:color w:val="000000" w:themeColor="text1"/>
          <w14:textFill>
            <w14:solidFill>
              <w14:schemeClr w14:val="tx1"/>
            </w14:solidFill>
          </w14:textFill>
        </w:rPr>
        <w:t>上发布，</w:t>
      </w:r>
      <w:r>
        <w:rPr>
          <w:rFonts w:hint="eastAsia" w:ascii="仿宋" w:hAnsi="仿宋" w:eastAsia="仿宋" w:cs="宋体"/>
          <w:color w:val="000000" w:themeColor="text1"/>
          <w14:textFill>
            <w14:solidFill>
              <w14:schemeClr w14:val="tx1"/>
            </w14:solidFill>
          </w14:textFill>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000000" w:themeColor="text1"/>
          <w14:textFill>
            <w14:solidFill>
              <w14:schemeClr w14:val="tx1"/>
            </w14:solidFill>
          </w14:textFill>
        </w:rPr>
        <w:t>。对于非法转载、篡改采购公告信息的组织或个人，采购人保留追究其法律责任的权利。</w:t>
      </w:r>
    </w:p>
    <w:p>
      <w:pPr>
        <w:pStyle w:val="4"/>
        <w:jc w:val="left"/>
        <w:rPr>
          <w:rFonts w:ascii="仿宋" w:hAnsi="仿宋" w:eastAsia="仿宋" w:cs="仿宋"/>
          <w:color w:val="000000" w:themeColor="text1"/>
          <w:sz w:val="24"/>
          <w:szCs w:val="24"/>
          <w14:textFill>
            <w14:solidFill>
              <w14:schemeClr w14:val="tx1"/>
            </w14:solidFill>
          </w14:textFill>
        </w:rPr>
      </w:pPr>
      <w:bookmarkStart w:id="12" w:name="_Toc23401"/>
      <w:bookmarkStart w:id="13" w:name="_Toc30596"/>
      <w:r>
        <w:rPr>
          <w:rFonts w:hint="eastAsia" w:ascii="仿宋" w:hAnsi="仿宋" w:eastAsia="仿宋" w:cs="仿宋"/>
          <w:color w:val="000000" w:themeColor="text1"/>
          <w:sz w:val="24"/>
          <w:szCs w:val="24"/>
          <w14:textFill>
            <w14:solidFill>
              <w14:schemeClr w14:val="tx1"/>
            </w14:solidFill>
          </w14:textFill>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2" w:firstLineChars="175"/>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采购人：中国人民财产保险股份有限公司广安市分公司</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地址：四川省广安市广安区万盛东路173号</w:t>
      </w:r>
      <w:r>
        <w:rPr>
          <w:rFonts w:ascii="仿宋" w:hAnsi="仿宋" w:eastAsia="仿宋" w:cs="宋体"/>
          <w:color w:val="000000" w:themeColor="text1"/>
          <w14:textFill>
            <w14:solidFill>
              <w14:schemeClr w14:val="tx1"/>
            </w14:solidFill>
          </w14:textFill>
        </w:rPr>
        <w:t xml:space="preserve"> </w:t>
      </w:r>
    </w:p>
    <w:p>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联系人：</w:t>
      </w:r>
      <w:r>
        <w:rPr>
          <w:rFonts w:hint="eastAsia" w:ascii="仿宋" w:hAnsi="仿宋" w:eastAsia="仿宋" w:cs="宋体"/>
          <w:color w:val="000000" w:themeColor="text1"/>
          <w:lang w:val="en-US" w:eastAsia="zh-CN"/>
          <w14:textFill>
            <w14:solidFill>
              <w14:schemeClr w14:val="tx1"/>
            </w14:solidFill>
          </w14:textFill>
        </w:rPr>
        <w:t>贺业群</w:t>
      </w:r>
      <w:r>
        <w:rPr>
          <w:rFonts w:hint="eastAsia" w:ascii="仿宋" w:hAnsi="仿宋" w:eastAsia="仿宋" w:cs="宋体"/>
          <w:color w:val="000000" w:themeColor="text1"/>
          <w14:textFill>
            <w14:solidFill>
              <w14:schemeClr w14:val="tx1"/>
            </w14:solidFill>
          </w14:textFill>
        </w:rPr>
        <w:t>、唐艺</w:t>
      </w:r>
    </w:p>
    <w:p>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电话：</w:t>
      </w:r>
      <w:r>
        <w:rPr>
          <w:rFonts w:ascii="仿宋" w:hAnsi="仿宋" w:eastAsia="仿宋" w:cs="宋体"/>
          <w:color w:val="000000" w:themeColor="text1"/>
          <w14:textFill>
            <w14:solidFill>
              <w14:schemeClr w14:val="tx1"/>
            </w14:solidFill>
          </w14:textFill>
        </w:rPr>
        <w:t>0826</w:t>
      </w:r>
      <w:r>
        <w:rPr>
          <w:rFonts w:hint="eastAsia" w:ascii="仿宋" w:hAnsi="仿宋" w:eastAsia="仿宋" w:cs="宋体"/>
          <w:color w:val="000000" w:themeColor="text1"/>
          <w14:textFill>
            <w14:solidFill>
              <w14:schemeClr w14:val="tx1"/>
            </w14:solidFill>
          </w14:textFill>
        </w:rPr>
        <w:t>-</w:t>
      </w:r>
      <w:r>
        <w:rPr>
          <w:rFonts w:hint="eastAsia" w:ascii="仿宋" w:hAnsi="仿宋" w:eastAsia="仿宋" w:cs="宋体"/>
          <w:color w:val="000000" w:themeColor="text1"/>
          <w:lang w:val="en-US" w:eastAsia="zh-CN"/>
          <w14:textFill>
            <w14:solidFill>
              <w14:schemeClr w14:val="tx1"/>
            </w14:solidFill>
          </w14:textFill>
        </w:rPr>
        <w:t>2326798</w:t>
      </w:r>
      <w:r>
        <w:rPr>
          <w:rFonts w:ascii="仿宋" w:hAnsi="仿宋" w:eastAsia="仿宋" w:cs="宋体"/>
          <w:color w:val="000000" w:themeColor="text1"/>
          <w14:textFill>
            <w14:solidFill>
              <w14:schemeClr w14:val="tx1"/>
            </w14:solidFill>
          </w14:textFill>
        </w:rPr>
        <w:t xml:space="preserve">  0826-2165311</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电子邮件：</w:t>
      </w:r>
      <w:r>
        <w:rPr>
          <w:rStyle w:val="33"/>
          <w:rFonts w:hint="eastAsia" w:ascii="宋体" w:hAnsi="宋体" w:eastAsia="宋体" w:cs="宋体"/>
        </w:rPr>
        <w:t>heyequn@sic.picc.com.cn</w:t>
      </w:r>
      <w:r>
        <w:rPr>
          <w:rFonts w:hint="eastAsia" w:ascii="宋体" w:hAnsi="宋体" w:eastAsia="宋体" w:cs="宋体"/>
          <w:color w:val="000000" w:themeColor="text1"/>
          <w14:textFill>
            <w14:solidFill>
              <w14:schemeClr w14:val="tx1"/>
            </w14:solidFill>
          </w14:textFill>
        </w:rPr>
        <w:t>、</w:t>
      </w:r>
      <w:r>
        <w:rPr>
          <w:rFonts w:hint="eastAsia" w:ascii="仿宋" w:hAnsi="仿宋" w:eastAsia="仿宋" w:cs="宋体"/>
          <w:color w:val="000000" w:themeColor="text1"/>
          <w14:textFill>
            <w14:solidFill>
              <w14:schemeClr w14:val="tx1"/>
            </w14:solidFill>
          </w14:textFill>
        </w:rPr>
        <w:t xml:space="preserve"> tangyi25@sic.picc.com.cn  </w:t>
      </w:r>
    </w:p>
    <w:p>
      <w:pPr>
        <w:spacing w:line="360" w:lineRule="auto"/>
        <w:ind w:firstLine="480" w:firstLineChars="200"/>
        <w:jc w:val="right"/>
        <w:textAlignment w:val="baseline"/>
        <w:rPr>
          <w:rFonts w:ascii="仿宋" w:hAnsi="仿宋" w:eastAsia="仿宋" w:cs="宋体"/>
          <w:color w:val="000000" w:themeColor="text1"/>
          <w14:textFill>
            <w14:solidFill>
              <w14:schemeClr w14:val="tx1"/>
            </w14:solidFill>
          </w14:textFill>
        </w:rPr>
      </w:pPr>
    </w:p>
    <w:p>
      <w:pPr>
        <w:spacing w:line="360" w:lineRule="auto"/>
        <w:ind w:firstLine="480" w:firstLineChars="200"/>
        <w:jc w:val="right"/>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采购人：中国人民财产保险股份有限公司广安市分公司</w:t>
      </w:r>
    </w:p>
    <w:p>
      <w:pPr>
        <w:spacing w:line="360" w:lineRule="auto"/>
        <w:jc w:val="right"/>
        <w:rPr>
          <w:rFonts w:ascii="楷体" w:hAnsi="楷体" w:eastAsia="楷体" w:cs="仿宋_GB2312"/>
          <w:i/>
          <w:color w:val="000000" w:themeColor="text1"/>
          <w:szCs w:val="32"/>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2026年</w:t>
      </w:r>
      <w:r>
        <w:rPr>
          <w:rFonts w:hint="eastAsia" w:ascii="仿宋" w:hAnsi="仿宋" w:eastAsia="仿宋" w:cs="宋体"/>
          <w:color w:val="000000" w:themeColor="text1"/>
          <w:lang w:val="en-US" w:eastAsia="zh-CN"/>
          <w14:textFill>
            <w14:solidFill>
              <w14:schemeClr w14:val="tx1"/>
            </w14:solidFill>
          </w14:textFill>
        </w:rPr>
        <w:t>4</w:t>
      </w:r>
      <w:r>
        <w:rPr>
          <w:rFonts w:hint="eastAsia" w:ascii="仿宋" w:hAnsi="仿宋" w:eastAsia="仿宋" w:cs="宋体"/>
          <w:color w:val="000000" w:themeColor="text1"/>
          <w14:textFill>
            <w14:solidFill>
              <w14:schemeClr w14:val="tx1"/>
            </w14:solidFill>
          </w14:textFill>
        </w:rPr>
        <w:t>月</w:t>
      </w:r>
      <w:r>
        <w:rPr>
          <w:rFonts w:hint="eastAsia" w:ascii="仿宋" w:hAnsi="仿宋" w:eastAsia="仿宋" w:cs="宋体"/>
          <w:color w:val="000000" w:themeColor="text1"/>
          <w:lang w:val="en-US" w:eastAsia="zh-CN"/>
          <w14:textFill>
            <w14:solidFill>
              <w14:schemeClr w14:val="tx1"/>
            </w14:solidFill>
          </w14:textFill>
        </w:rPr>
        <w:t>29</w:t>
      </w:r>
      <w:r>
        <w:rPr>
          <w:rFonts w:hint="eastAsia" w:ascii="仿宋" w:hAnsi="仿宋" w:eastAsia="仿宋" w:cs="宋体"/>
          <w:color w:val="000000" w:themeColor="text1"/>
          <w14:textFill>
            <w14:solidFill>
              <w14:schemeClr w14:val="tx1"/>
            </w14:solidFill>
          </w14:textFill>
        </w:rPr>
        <w:t>日</w:t>
      </w:r>
    </w:p>
    <w:p>
      <w:pPr>
        <w:pStyle w:val="3"/>
        <w:ind w:left="0" w:firstLine="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br w:type="page"/>
      </w:r>
      <w:bookmarkStart w:id="14" w:name="_Toc16027"/>
      <w:bookmarkStart w:id="15" w:name="_Toc28505"/>
      <w:r>
        <w:rPr>
          <w:rFonts w:hint="eastAsia" w:ascii="仿宋_GB2312" w:hAnsi="宋体" w:eastAsia="仿宋_GB2312"/>
          <w:color w:val="000000" w:themeColor="text1"/>
          <w:sz w:val="28"/>
          <w:szCs w:val="28"/>
          <w14:textFill>
            <w14:solidFill>
              <w14:schemeClr w14:val="tx1"/>
            </w14:solidFill>
          </w14:textFill>
        </w:rPr>
        <w:t>第二章 供应商须知</w:t>
      </w:r>
      <w:bookmarkEnd w:id="14"/>
      <w:bookmarkEnd w:id="15"/>
    </w:p>
    <w:p>
      <w:pPr>
        <w:pStyle w:val="4"/>
        <w:adjustRightInd w:val="0"/>
        <w:snapToGrid w:val="0"/>
        <w:spacing w:before="0" w:after="0"/>
        <w:rPr>
          <w:color w:val="000000" w:themeColor="text1"/>
          <w:sz w:val="24"/>
          <w:szCs w:val="24"/>
          <w14:textFill>
            <w14:solidFill>
              <w14:schemeClr w14:val="tx1"/>
            </w14:solidFill>
          </w14:textFill>
        </w:rPr>
      </w:pPr>
      <w:bookmarkStart w:id="16" w:name="_Toc23158"/>
      <w:r>
        <w:rPr>
          <w:rFonts w:hint="eastAsia" w:ascii="仿宋" w:hAnsi="仿宋" w:eastAsia="仿宋" w:cs="仿宋"/>
          <w:color w:val="000000" w:themeColor="text1"/>
          <w:sz w:val="24"/>
          <w:szCs w:val="24"/>
          <w14:textFill>
            <w14:solidFill>
              <w14:schemeClr w14:val="tx1"/>
            </w14:solidFill>
          </w14:textFill>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序号</w:t>
            </w:r>
          </w:p>
        </w:tc>
        <w:tc>
          <w:tcPr>
            <w:tcW w:w="1841"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项  目</w:t>
            </w:r>
          </w:p>
        </w:tc>
        <w:tc>
          <w:tcPr>
            <w:tcW w:w="7199"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t>2.1.1</w:t>
            </w:r>
          </w:p>
        </w:tc>
        <w:tc>
          <w:tcPr>
            <w:tcW w:w="1841"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采购范围</w:t>
            </w:r>
          </w:p>
        </w:tc>
        <w:tc>
          <w:tcPr>
            <w:tcW w:w="7199" w:type="dxa"/>
            <w:vAlign w:val="center"/>
          </w:tcPr>
          <w:p>
            <w:pPr>
              <w:spacing w:line="400" w:lineRule="exact"/>
              <w:rPr>
                <w:rFonts w:ascii="仿宋_GB2312" w:hAnsi="宋体" w:eastAsia="仿宋_GB2312"/>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详见</w:t>
            </w:r>
            <w:r>
              <w:rPr>
                <w:rFonts w:hint="eastAsia" w:ascii="仿宋" w:hAnsi="仿宋" w:eastAsia="仿宋" w:cs="仿宋"/>
                <w:color w:val="000000" w:themeColor="text1"/>
                <w:u w:val="single"/>
                <w14:textFill>
                  <w14:solidFill>
                    <w14:schemeClr w14:val="tx1"/>
                  </w14:solidFill>
                </w14:textFill>
              </w:rPr>
              <w:t>第一章 比价邀请“一、项目概况与采购范围”</w:t>
            </w:r>
            <w:r>
              <w:rPr>
                <w:rFonts w:hint="eastAsia" w:ascii="仿宋" w:hAnsi="仿宋" w:eastAsia="仿宋" w:cs="仿宋"/>
                <w:color w:val="000000" w:themeColor="text1"/>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t>2.1.2</w:t>
            </w:r>
          </w:p>
        </w:tc>
        <w:tc>
          <w:tcPr>
            <w:tcW w:w="1841" w:type="dxa"/>
            <w:vAlign w:val="center"/>
          </w:tcPr>
          <w:p>
            <w:pPr>
              <w:spacing w:line="40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资格审查方式及供应商应具备的资格条件</w:t>
            </w:r>
          </w:p>
        </w:tc>
        <w:tc>
          <w:tcPr>
            <w:tcW w:w="7199" w:type="dxa"/>
            <w:vAlign w:val="center"/>
          </w:tcPr>
          <w:p>
            <w:pPr>
              <w:spacing w:line="400" w:lineRule="exact"/>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资格后审，</w:t>
            </w:r>
            <w:r>
              <w:rPr>
                <w:rFonts w:hint="eastAsia" w:ascii="仿宋" w:hAnsi="仿宋" w:eastAsia="仿宋" w:cs="仿宋"/>
                <w:color w:val="000000" w:themeColor="text1"/>
                <w14:textFill>
                  <w14:solidFill>
                    <w14:schemeClr w14:val="tx1"/>
                  </w14:solidFill>
                </w14:textFill>
              </w:rPr>
              <w:t>详见</w:t>
            </w:r>
            <w:r>
              <w:rPr>
                <w:rFonts w:hint="eastAsia" w:ascii="仿宋" w:hAnsi="仿宋" w:eastAsia="仿宋" w:cs="仿宋"/>
                <w:color w:val="000000" w:themeColor="text1"/>
                <w:u w:val="single"/>
                <w14:textFill>
                  <w14:solidFill>
                    <w14:schemeClr w14:val="tx1"/>
                  </w14:solidFill>
                </w14:textFill>
              </w:rPr>
              <w:t>“二、供应商资格要求”</w:t>
            </w:r>
            <w:r>
              <w:rPr>
                <w:rFonts w:hint="eastAsia" w:ascii="仿宋" w:hAnsi="仿宋" w:eastAsia="仿宋" w:cs="仿宋"/>
                <w:color w:val="000000" w:themeColor="text1"/>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t>2.1.3</w:t>
            </w:r>
          </w:p>
        </w:tc>
        <w:tc>
          <w:tcPr>
            <w:tcW w:w="1841" w:type="dxa"/>
            <w:vAlign w:val="center"/>
          </w:tcPr>
          <w:p>
            <w:pPr>
              <w:spacing w:line="40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★比价文件实质性要求的标识</w:t>
            </w:r>
          </w:p>
        </w:tc>
        <w:tc>
          <w:tcPr>
            <w:tcW w:w="7199" w:type="dxa"/>
            <w:vAlign w:val="center"/>
          </w:tcPr>
          <w:p>
            <w:pPr>
              <w:spacing w:line="400" w:lineRule="exact"/>
              <w:rPr>
                <w:rFonts w:ascii="仿宋" w:hAnsi="仿宋" w:eastAsia="仿宋" w:cs="宋体"/>
                <w:color w:val="000000" w:themeColor="text1"/>
                <w14:textFill>
                  <w14:solidFill>
                    <w14:schemeClr w14:val="tx1"/>
                  </w14:solidFill>
                </w14:textFill>
              </w:rPr>
            </w:pPr>
            <w:r>
              <w:rPr>
                <w:rFonts w:hint="eastAsia" w:ascii="仿宋" w:hAnsi="仿宋" w:eastAsia="仿宋" w:cs="Cambria Math"/>
                <w:color w:val="000000" w:themeColor="text1"/>
                <w:sz w:val="21"/>
                <w:szCs w:val="21"/>
                <w:u w:val="single"/>
                <w14:textFill>
                  <w14:solidFill>
                    <w14:schemeClr w14:val="tx1"/>
                  </w14:solidFill>
                </w14:textFill>
              </w:rPr>
              <w:t>比价文件中标识“★”条款、注明“比价响应将被否决”、“对其响应做否决处理”</w:t>
            </w:r>
            <w:r>
              <w:rPr>
                <w:rFonts w:hint="eastAsia" w:ascii="仿宋" w:hAnsi="仿宋" w:eastAsia="仿宋" w:cs="宋体"/>
                <w:color w:val="000000" w:themeColor="text1"/>
                <w:sz w:val="21"/>
                <w:szCs w:val="21"/>
                <w:u w:val="single"/>
                <w14:textFill>
                  <w14:solidFill>
                    <w14:schemeClr w14:val="tx1"/>
                  </w14:solidFill>
                </w14:textFill>
              </w:rPr>
              <w:t>等</w:t>
            </w:r>
            <w:r>
              <w:rPr>
                <w:rFonts w:hint="eastAsia" w:ascii="仿宋" w:hAnsi="仿宋" w:eastAsia="仿宋" w:cs="Cambria Math"/>
                <w:color w:val="000000" w:themeColor="text1"/>
                <w:sz w:val="21"/>
                <w:szCs w:val="21"/>
                <w:u w:val="single"/>
                <w14:textFill>
                  <w14:solidFill>
                    <w14:schemeClr w14:val="tx1"/>
                  </w14:solidFill>
                </w14:textFill>
              </w:rPr>
              <w:t>的条款</w:t>
            </w:r>
            <w:r>
              <w:rPr>
                <w:rFonts w:hint="eastAsia" w:ascii="仿宋" w:hAnsi="仿宋" w:eastAsia="仿宋" w:cs="Cambria Math"/>
                <w:color w:val="000000" w:themeColor="text1"/>
                <w:sz w:val="21"/>
                <w:szCs w:val="21"/>
                <w14:textFill>
                  <w14:solidFill>
                    <w14:schemeClr w14:val="tx1"/>
                  </w14:solidFill>
                </w14:textFill>
              </w:rPr>
              <w:t>，均为实质性条款，</w:t>
            </w:r>
            <w:r>
              <w:rPr>
                <w:rFonts w:hint="eastAsia" w:ascii="仿宋" w:hAnsi="仿宋" w:eastAsia="仿宋" w:cs="宋体"/>
                <w:b/>
                <w:color w:val="000000" w:themeColor="text1"/>
                <w:sz w:val="21"/>
                <w:szCs w:val="21"/>
                <w14:textFill>
                  <w14:solidFill>
                    <w14:schemeClr w14:val="tx1"/>
                  </w14:solidFill>
                </w14:textFill>
              </w:rPr>
              <w:t>不满足任意一项</w:t>
            </w:r>
            <w:r>
              <w:rPr>
                <w:rFonts w:hint="eastAsia" w:ascii="仿宋" w:hAnsi="仿宋" w:eastAsia="仿宋" w:cs="Cambria Math"/>
                <w:b/>
                <w:color w:val="000000" w:themeColor="text1"/>
                <w:sz w:val="21"/>
                <w:szCs w:val="21"/>
                <w14:textFill>
                  <w14:solidFill>
                    <w14:schemeClr w14:val="tx1"/>
                  </w14:solidFill>
                </w14:textFill>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82"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2</w:t>
            </w:r>
            <w:r>
              <w:rPr>
                <w:rFonts w:ascii="仿宋_GB2312" w:hAnsi="宋体" w:eastAsia="仿宋_GB2312"/>
                <w:color w:val="000000" w:themeColor="text1"/>
                <w:szCs w:val="21"/>
                <w14:textFill>
                  <w14:solidFill>
                    <w14:schemeClr w14:val="tx1"/>
                  </w14:solidFill>
                </w14:textFill>
              </w:rPr>
              <w:t>.1.4</w:t>
            </w:r>
          </w:p>
        </w:tc>
        <w:tc>
          <w:tcPr>
            <w:tcW w:w="1841" w:type="dxa"/>
            <w:vAlign w:val="center"/>
          </w:tcPr>
          <w:p>
            <w:pPr>
              <w:spacing w:line="40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响应文件的组成</w:t>
            </w:r>
          </w:p>
        </w:tc>
        <w:tc>
          <w:tcPr>
            <w:tcW w:w="7199" w:type="dxa"/>
            <w:vAlign w:val="center"/>
          </w:tcPr>
          <w:p>
            <w:pPr>
              <w:pStyle w:val="66"/>
              <w:spacing w:before="62" w:beforeLines="20" w:after="62" w:afterLines="20"/>
              <w:rPr>
                <w:rFonts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sz w:val="21"/>
                <w:szCs w:val="21"/>
                <w14:textFill>
                  <w14:solidFill>
                    <w14:schemeClr w14:val="tx1"/>
                  </w14:solidFill>
                </w14:textFill>
              </w:rPr>
              <w:t>响应文件按照以下架构顺序编制：</w:t>
            </w:r>
          </w:p>
          <w:p>
            <w:pPr>
              <w:pStyle w:val="61"/>
              <w:spacing w:before="62" w:beforeLines="20" w:after="62" w:afterLines="20"/>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一、</w:t>
            </w:r>
            <w:r>
              <w:rPr>
                <w:rFonts w:hint="eastAsia" w:ascii="仿宋" w:hAnsi="仿宋" w:eastAsia="仿宋" w:cs="仿宋"/>
                <w:b/>
                <w:color w:val="000000" w:themeColor="text1"/>
                <w:sz w:val="24"/>
                <w14:textFill>
                  <w14:solidFill>
                    <w14:schemeClr w14:val="tx1"/>
                  </w14:solidFill>
                </w14:textFill>
              </w:rPr>
              <w:t>商务文件</w:t>
            </w:r>
          </w:p>
          <w:p>
            <w:pPr>
              <w:autoSpaceDE w:val="0"/>
              <w:autoSpaceDN w:val="0"/>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初步评审索引表</w:t>
            </w:r>
          </w:p>
          <w:p>
            <w:pPr>
              <w:autoSpaceDE w:val="0"/>
              <w:autoSpaceDN w:val="0"/>
              <w:rPr>
                <w:color w:val="000000" w:themeColor="text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详细评审索引表</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（一）响应函</w:t>
            </w:r>
          </w:p>
          <w:p>
            <w:pPr>
              <w:pStyle w:val="66"/>
              <w:spacing w:before="62" w:beforeLines="20" w:after="62" w:afterLines="20"/>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（二）法定代表人（负责人）身份证明</w:t>
            </w:r>
          </w:p>
          <w:p>
            <w:pPr>
              <w:pStyle w:val="66"/>
              <w:spacing w:before="62" w:beforeLines="20" w:after="62" w:afterLines="20"/>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（三）法定代表人（负责人）授权委托书</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（四）资格证明文件</w:t>
            </w:r>
          </w:p>
          <w:p>
            <w:pPr>
              <w:pStyle w:val="66"/>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（五）供应商须知应答偏离表</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（六）合同条款应答偏离表</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（七）供应商行为准则承诺书</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（八）供应商廉洁诚信承诺书</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（九）其他材料</w:t>
            </w:r>
            <w:r>
              <w:rPr>
                <w:rFonts w:hint="eastAsia" w:ascii="仿宋" w:hAnsi="仿宋" w:eastAsia="仿宋"/>
                <w:color w:val="000000" w:themeColor="text1"/>
                <w14:textFill>
                  <w14:solidFill>
                    <w14:schemeClr w14:val="tx1"/>
                  </w14:solidFill>
                </w14:textFill>
              </w:rPr>
              <w:t>（如有）</w:t>
            </w:r>
          </w:p>
          <w:p>
            <w:pPr>
              <w:autoSpaceDE w:val="0"/>
              <w:autoSpaceDN w:val="0"/>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lang w:val="en-US" w:eastAsia="zh-CN"/>
                <w14:textFill>
                  <w14:solidFill>
                    <w14:schemeClr w14:val="tx1"/>
                  </w14:solidFill>
                </w14:textFill>
              </w:rPr>
              <w:t>二</w:t>
            </w:r>
            <w:r>
              <w:rPr>
                <w:rFonts w:hint="eastAsia" w:ascii="仿宋" w:hAnsi="仿宋" w:eastAsia="仿宋" w:cs="仿宋"/>
                <w:b/>
                <w:color w:val="000000" w:themeColor="text1"/>
                <w:szCs w:val="21"/>
                <w14:textFill>
                  <w14:solidFill>
                    <w14:schemeClr w14:val="tx1"/>
                  </w14:solidFill>
                </w14:textFill>
              </w:rPr>
              <w:t>、报价文件</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（一）报价一览表</w:t>
            </w:r>
          </w:p>
          <w:p>
            <w:pPr>
              <w:pStyle w:val="61"/>
              <w:spacing w:before="62" w:beforeLines="20" w:after="62" w:afterLines="20"/>
              <w:rPr>
                <w:rFonts w:ascii="仿宋" w:hAnsi="仿宋" w:eastAsia="仿宋" w:cs="Cambria Math"/>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（二）分项报价表（如有）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2</w:t>
            </w:r>
            <w:r>
              <w:rPr>
                <w:rFonts w:ascii="仿宋_GB2312" w:hAnsi="宋体" w:eastAsia="仿宋_GB2312"/>
                <w:color w:val="000000" w:themeColor="text1"/>
                <w:szCs w:val="21"/>
                <w14:textFill>
                  <w14:solidFill>
                    <w14:schemeClr w14:val="tx1"/>
                  </w14:solidFill>
                </w14:textFill>
              </w:rPr>
              <w:t>.1.5</w:t>
            </w:r>
          </w:p>
        </w:tc>
        <w:tc>
          <w:tcPr>
            <w:tcW w:w="1841" w:type="dxa"/>
            <w:vAlign w:val="center"/>
          </w:tcPr>
          <w:p>
            <w:pPr>
              <w:spacing w:line="40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响应文件的递交</w:t>
            </w:r>
          </w:p>
        </w:tc>
        <w:tc>
          <w:tcPr>
            <w:tcW w:w="7199" w:type="dxa"/>
            <w:vAlign w:val="center"/>
          </w:tcPr>
          <w:p>
            <w:pPr>
              <w:pStyle w:val="66"/>
              <w:spacing w:before="62" w:beforeLines="20" w:after="62" w:afterLines="20"/>
              <w:rPr>
                <w:rFonts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详见</w:t>
            </w:r>
            <w:r>
              <w:rPr>
                <w:rFonts w:hint="eastAsia" w:ascii="仿宋" w:hAnsi="仿宋" w:eastAsia="仿宋" w:cs="仿宋"/>
                <w:color w:val="000000" w:themeColor="text1"/>
                <w:u w:val="single"/>
                <w14:textFill>
                  <w14:solidFill>
                    <w14:schemeClr w14:val="tx1"/>
                  </w14:solidFill>
                </w14:textFill>
              </w:rPr>
              <w:t>第一章 比价邀请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2</w:t>
            </w:r>
            <w:r>
              <w:rPr>
                <w:rFonts w:ascii="仿宋_GB2312" w:hAnsi="宋体" w:eastAsia="仿宋_GB2312"/>
                <w:color w:val="000000" w:themeColor="text1"/>
                <w:szCs w:val="21"/>
                <w14:textFill>
                  <w14:solidFill>
                    <w14:schemeClr w14:val="tx1"/>
                  </w14:solidFill>
                </w14:textFill>
              </w:rPr>
              <w:t>.1.6</w:t>
            </w:r>
          </w:p>
        </w:tc>
        <w:tc>
          <w:tcPr>
            <w:tcW w:w="1841" w:type="dxa"/>
            <w:vAlign w:val="center"/>
          </w:tcPr>
          <w:p>
            <w:pPr>
              <w:spacing w:line="40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w:t>
            </w:r>
            <w:r>
              <w:rPr>
                <w:rFonts w:hint="eastAsia" w:ascii="仿宋" w:hAnsi="仿宋" w:eastAsia="仿宋" w:cs="宋体"/>
                <w:color w:val="000000" w:themeColor="text1"/>
                <w:szCs w:val="21"/>
                <w14:textFill>
                  <w14:solidFill>
                    <w14:schemeClr w14:val="tx1"/>
                  </w14:solidFill>
                </w14:textFill>
              </w:rPr>
              <w:t>响应文件的盖章或签字要求</w:t>
            </w:r>
          </w:p>
        </w:tc>
        <w:tc>
          <w:tcPr>
            <w:tcW w:w="7199" w:type="dxa"/>
            <w:vAlign w:val="center"/>
          </w:tcPr>
          <w:p>
            <w:pPr>
              <w:pStyle w:val="68"/>
              <w:topLinePunct/>
              <w:spacing w:before="62" w:beforeLines="20" w:after="62" w:afterLines="20"/>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（1）《法定代表人（负责人）身份证明》的落款处应加盖公章。</w:t>
            </w:r>
          </w:p>
          <w:p>
            <w:pPr>
              <w:pStyle w:val="68"/>
              <w:topLinePunct/>
              <w:spacing w:before="62" w:beforeLines="20" w:after="62" w:afterLines="20"/>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（2）《法定代表人（负责人）授权委托书》的落款处应加盖公章</w:t>
            </w:r>
            <w:r>
              <w:rPr>
                <w:rFonts w:hint="eastAsia" w:ascii="仿宋" w:hAnsi="仿宋" w:eastAsia="仿宋" w:cs="宋体"/>
                <w:b/>
                <w:color w:val="000000" w:themeColor="text1"/>
                <w:sz w:val="21"/>
                <w:szCs w:val="21"/>
                <w14:textFill>
                  <w14:solidFill>
                    <w14:schemeClr w14:val="tx1"/>
                  </w14:solidFill>
                </w14:textFill>
              </w:rPr>
              <w:t>并由</w:t>
            </w:r>
            <w:r>
              <w:rPr>
                <w:rFonts w:hint="eastAsia" w:ascii="仿宋" w:hAnsi="仿宋" w:eastAsia="仿宋" w:cs="宋体"/>
                <w:color w:val="000000" w:themeColor="text1"/>
                <w:sz w:val="21"/>
                <w:szCs w:val="21"/>
                <w14:textFill>
                  <w14:solidFill>
                    <w14:schemeClr w14:val="tx1"/>
                  </w14:solidFill>
                </w14:textFill>
              </w:rPr>
              <w:t>法定代表人（负责人）</w:t>
            </w:r>
            <w:r>
              <w:rPr>
                <w:rFonts w:hint="eastAsia" w:ascii="仿宋" w:hAnsi="仿宋" w:eastAsia="仿宋" w:cs="宋体"/>
                <w:b/>
                <w:color w:val="000000" w:themeColor="text1"/>
                <w:sz w:val="21"/>
                <w:szCs w:val="21"/>
                <w14:textFill>
                  <w14:solidFill>
                    <w14:schemeClr w14:val="tx1"/>
                  </w14:solidFill>
                </w14:textFill>
              </w:rPr>
              <w:t>和</w:t>
            </w:r>
            <w:r>
              <w:rPr>
                <w:rFonts w:hint="eastAsia" w:ascii="仿宋" w:hAnsi="仿宋" w:eastAsia="仿宋" w:cs="宋体"/>
                <w:color w:val="000000" w:themeColor="text1"/>
                <w:sz w:val="21"/>
                <w:szCs w:val="21"/>
                <w14:textFill>
                  <w14:solidFill>
                    <w14:schemeClr w14:val="tx1"/>
                  </w14:solidFill>
                </w14:textFill>
              </w:rPr>
              <w:t>其委托代理人</w:t>
            </w:r>
            <w:r>
              <w:rPr>
                <w:rFonts w:hint="eastAsia" w:ascii="仿宋" w:hAnsi="仿宋" w:eastAsia="仿宋" w:cs="宋体"/>
                <w:b/>
                <w:color w:val="000000" w:themeColor="text1"/>
                <w:sz w:val="21"/>
                <w:szCs w:val="21"/>
                <w14:textFill>
                  <w14:solidFill>
                    <w14:schemeClr w14:val="tx1"/>
                  </w14:solidFill>
                </w14:textFill>
              </w:rPr>
              <w:t>双方</w:t>
            </w:r>
            <w:r>
              <w:rPr>
                <w:rFonts w:hint="eastAsia" w:ascii="仿宋" w:hAnsi="仿宋" w:eastAsia="仿宋" w:cs="宋体"/>
                <w:color w:val="000000" w:themeColor="text1"/>
                <w:sz w:val="21"/>
                <w:szCs w:val="21"/>
                <w14:textFill>
                  <w14:solidFill>
                    <w14:schemeClr w14:val="tx1"/>
                  </w14:solidFill>
                </w14:textFill>
              </w:rPr>
              <w:t>签字。</w:t>
            </w:r>
          </w:p>
          <w:p>
            <w:pPr>
              <w:pStyle w:val="68"/>
              <w:topLinePunct/>
              <w:spacing w:before="62" w:beforeLines="20" w:after="62" w:afterLines="20"/>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（3）响应文件格式中其他有落款的文件，</w:t>
            </w:r>
            <w:r>
              <w:rPr>
                <w:rFonts w:hint="eastAsia" w:ascii="仿宋" w:hAnsi="仿宋" w:eastAsia="仿宋" w:cs="宋体"/>
                <w:b/>
                <w:color w:val="000000" w:themeColor="text1"/>
                <w:sz w:val="21"/>
                <w:szCs w:val="21"/>
                <w14:textFill>
                  <w14:solidFill>
                    <w14:schemeClr w14:val="tx1"/>
                  </w14:solidFill>
                </w14:textFill>
              </w:rPr>
              <w:t>均需</w:t>
            </w:r>
            <w:r>
              <w:rPr>
                <w:rFonts w:hint="eastAsia" w:ascii="仿宋" w:hAnsi="仿宋" w:eastAsia="仿宋" w:cs="宋体"/>
                <w:color w:val="000000" w:themeColor="text1"/>
                <w:sz w:val="21"/>
                <w:szCs w:val="21"/>
                <w14:textFill>
                  <w14:solidFill>
                    <w14:schemeClr w14:val="tx1"/>
                  </w14:solidFill>
                </w14:textFill>
              </w:rPr>
              <w:t>加盖公章。</w:t>
            </w:r>
          </w:p>
          <w:p>
            <w:pPr>
              <w:pStyle w:val="66"/>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（4）响应文件的所有签字处均指手写签字</w:t>
            </w:r>
            <w:r>
              <w:rPr>
                <w:rFonts w:hint="eastAsia" w:ascii="仿宋" w:hAnsi="仿宋" w:eastAsia="仿宋" w:cs="宋体"/>
                <w:b/>
                <w:color w:val="000000" w:themeColor="text1"/>
                <w:sz w:val="21"/>
                <w:szCs w:val="21"/>
                <w14:textFill>
                  <w14:solidFill>
                    <w14:schemeClr w14:val="tx1"/>
                  </w14:solidFill>
                </w14:textFill>
              </w:rPr>
              <w:t>或</w:t>
            </w:r>
            <w:r>
              <w:rPr>
                <w:rFonts w:hint="eastAsia" w:ascii="仿宋" w:hAnsi="仿宋" w:eastAsia="仿宋" w:cs="宋体"/>
                <w:color w:val="000000" w:themeColor="text1"/>
                <w:sz w:val="21"/>
                <w:szCs w:val="21"/>
                <w14:textFill>
                  <w14:solidFill>
                    <w14:schemeClr w14:val="tx1"/>
                  </w14:solidFill>
                </w14:textFill>
              </w:rPr>
              <w:t>签名章/印章</w:t>
            </w:r>
            <w:r>
              <w:rPr>
                <w:rFonts w:hint="eastAsia" w:ascii="仿宋" w:hAnsi="仿宋" w:eastAsia="仿宋" w:cs="宋体"/>
                <w:b/>
                <w:bCs/>
                <w:color w:val="000000" w:themeColor="text1"/>
                <w:sz w:val="21"/>
                <w:szCs w:val="21"/>
                <w14:textFill>
                  <w14:solidFill>
                    <w14:schemeClr w14:val="tx1"/>
                  </w14:solidFill>
                </w14:textFill>
              </w:rPr>
              <w:t>或</w:t>
            </w:r>
            <w:r>
              <w:rPr>
                <w:rFonts w:hint="eastAsia" w:ascii="仿宋" w:hAnsi="仿宋" w:eastAsia="仿宋" w:cs="宋体"/>
                <w:color w:val="000000" w:themeColor="text1"/>
                <w:sz w:val="21"/>
                <w:szCs w:val="21"/>
                <w14:textFill>
                  <w14:solidFill>
                    <w14:schemeClr w14:val="tx1"/>
                  </w14:solidFill>
                </w14:textFill>
              </w:rPr>
              <w:t>CA签名章，</w:t>
            </w:r>
            <w:r>
              <w:rPr>
                <w:rFonts w:hint="eastAsia" w:ascii="仿宋" w:hAnsi="仿宋" w:eastAsia="仿宋" w:cs="宋体"/>
                <w:b/>
                <w:color w:val="000000" w:themeColor="text1"/>
                <w:sz w:val="21"/>
                <w:szCs w:val="21"/>
                <w14:textFill>
                  <w14:solidFill>
                    <w14:schemeClr w14:val="tx1"/>
                  </w14:solidFill>
                </w14:textFill>
              </w:rPr>
              <w:t>不得</w:t>
            </w:r>
            <w:r>
              <w:rPr>
                <w:rFonts w:hint="eastAsia" w:ascii="仿宋" w:hAnsi="仿宋" w:eastAsia="仿宋" w:cs="宋体"/>
                <w:color w:val="000000" w:themeColor="text1"/>
                <w:sz w:val="21"/>
                <w:szCs w:val="21"/>
                <w14:textFill>
                  <w14:solidFill>
                    <w14:schemeClr w14:val="tx1"/>
                  </w14:solidFill>
                </w14:textFill>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lang w:eastAsia="zh-CN"/>
                <w14:textFill>
                  <w14:solidFill>
                    <w14:schemeClr w14:val="tx1"/>
                  </w14:solidFill>
                </w14:textFill>
              </w:rPr>
              <w:t>2.1.7</w:t>
            </w:r>
          </w:p>
        </w:tc>
        <w:tc>
          <w:tcPr>
            <w:tcW w:w="1841" w:type="dxa"/>
            <w:vAlign w:val="center"/>
          </w:tcPr>
          <w:p>
            <w:pPr>
              <w:pStyle w:val="37"/>
              <w:snapToGrid w:val="0"/>
              <w:spacing w:line="300" w:lineRule="auto"/>
              <w:ind w:left="114" w:right="114"/>
              <w:jc w:val="center"/>
              <w:rPr>
                <w:rFonts w:ascii="仿宋_GB2312" w:eastAsia="仿宋_GB2312"/>
                <w:color w:val="000000" w:themeColor="text1"/>
                <w:sz w:val="24"/>
                <w:szCs w:val="24"/>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★比价响应有效期</w:t>
            </w:r>
          </w:p>
        </w:tc>
        <w:tc>
          <w:tcPr>
            <w:tcW w:w="7199" w:type="dxa"/>
            <w:vAlign w:val="center"/>
          </w:tcPr>
          <w:p>
            <w:pPr>
              <w:pStyle w:val="37"/>
              <w:snapToGrid w:val="0"/>
              <w:spacing w:line="300" w:lineRule="auto"/>
              <w:ind w:left="103" w:right="-18"/>
              <w:jc w:val="both"/>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比价响应有效期：</w:t>
            </w:r>
            <w:r>
              <w:rPr>
                <w:rFonts w:hint="eastAsia" w:ascii="仿宋" w:hAnsi="仿宋" w:eastAsia="仿宋" w:cs="仿宋"/>
                <w:color w:val="000000" w:themeColor="text1"/>
                <w:u w:val="single"/>
                <w:lang w:eastAsia="zh-CN"/>
                <w14:textFill>
                  <w14:solidFill>
                    <w14:schemeClr w14:val="tx1"/>
                  </w14:solidFill>
                </w14:textFill>
              </w:rPr>
              <w:t>30天。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lang w:eastAsia="zh-CN"/>
                <w14:textFill>
                  <w14:solidFill>
                    <w14:schemeClr w14:val="tx1"/>
                  </w14:solidFill>
                </w14:textFill>
              </w:rPr>
              <w:t>2.1.8</w:t>
            </w:r>
          </w:p>
        </w:tc>
        <w:tc>
          <w:tcPr>
            <w:tcW w:w="1841" w:type="dxa"/>
            <w:vAlign w:val="center"/>
          </w:tcPr>
          <w:p>
            <w:pPr>
              <w:pStyle w:val="37"/>
              <w:snapToGrid w:val="0"/>
              <w:spacing w:line="300" w:lineRule="auto"/>
              <w:ind w:left="114" w:right="114"/>
              <w:jc w:val="center"/>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响应文件份数</w:t>
            </w:r>
          </w:p>
        </w:tc>
        <w:tc>
          <w:tcPr>
            <w:tcW w:w="7199" w:type="dxa"/>
            <w:vAlign w:val="center"/>
          </w:tcPr>
          <w:p>
            <w:pPr>
              <w:pStyle w:val="37"/>
              <w:snapToGrid w:val="0"/>
              <w:spacing w:line="300" w:lineRule="auto"/>
              <w:ind w:left="103" w:right="-18"/>
              <w:jc w:val="both"/>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olor w:val="000000" w:themeColor="text1"/>
                <w:sz w:val="21"/>
                <w:szCs w:val="21"/>
                <w:lang w:eastAsia="zh-CN"/>
                <w14:textFill>
                  <w14:solidFill>
                    <w14:schemeClr w14:val="tx1"/>
                  </w14:solidFill>
                </w14:textFill>
              </w:rPr>
              <w:t>电子文件</w:t>
            </w:r>
            <w:r>
              <w:rPr>
                <w:rFonts w:hint="eastAsia" w:ascii="仿宋" w:hAnsi="仿宋" w:eastAsia="仿宋"/>
                <w:color w:val="000000" w:themeColor="text1"/>
                <w:sz w:val="21"/>
                <w:szCs w:val="21"/>
                <w:u w:val="single"/>
                <w:lang w:eastAsia="zh-CN"/>
                <w14:textFill>
                  <w14:solidFill>
                    <w14:schemeClr w14:val="tx1"/>
                  </w14:solidFill>
                </w14:textFill>
              </w:rPr>
              <w:t>1</w:t>
            </w:r>
            <w:r>
              <w:rPr>
                <w:rFonts w:hint="eastAsia" w:ascii="仿宋" w:hAnsi="仿宋" w:eastAsia="仿宋"/>
                <w:color w:val="000000" w:themeColor="text1"/>
                <w:sz w:val="21"/>
                <w:szCs w:val="21"/>
                <w:lang w:eastAsia="zh-CN"/>
                <w14:textFill>
                  <w14:solidFill>
                    <w14:schemeClr w14:val="tx1"/>
                  </w14:solidFill>
                </w14:textFill>
              </w:rPr>
              <w:t>份（具体格式要求）；纸质文件正本</w:t>
            </w:r>
            <w:r>
              <w:rPr>
                <w:rFonts w:hint="eastAsia" w:ascii="仿宋" w:hAnsi="仿宋" w:eastAsia="仿宋"/>
                <w:color w:val="000000" w:themeColor="text1"/>
                <w:sz w:val="21"/>
                <w:szCs w:val="21"/>
                <w:u w:val="single"/>
                <w:lang w:eastAsia="zh-CN"/>
                <w14:textFill>
                  <w14:solidFill>
                    <w14:schemeClr w14:val="tx1"/>
                  </w14:solidFill>
                </w14:textFill>
              </w:rPr>
              <w:t xml:space="preserve"> 1 </w:t>
            </w:r>
            <w:r>
              <w:rPr>
                <w:rFonts w:hint="eastAsia" w:ascii="仿宋" w:hAnsi="仿宋" w:eastAsia="仿宋"/>
                <w:color w:val="000000" w:themeColor="text1"/>
                <w:sz w:val="21"/>
                <w:szCs w:val="21"/>
                <w:lang w:eastAsia="zh-CN"/>
                <w14:textFill>
                  <w14:solidFill>
                    <w14:schemeClr w14:val="tx1"/>
                  </w14:solidFill>
                </w14:textFill>
              </w:rPr>
              <w:t>份，</w:t>
            </w:r>
            <w:r>
              <w:rPr>
                <w:rFonts w:hint="eastAsia" w:ascii="仿宋_GB2312" w:eastAsia="仿宋_GB2312" w:cs="新宋体"/>
                <w:color w:val="000000" w:themeColor="text1"/>
                <w:szCs w:val="21"/>
                <w:lang w:val="zh-CN" w:eastAsia="zh-CN"/>
                <w14:textFill>
                  <w14:solidFill>
                    <w14:schemeClr w14:val="tx1"/>
                  </w14:solidFill>
                </w14:textFill>
              </w:rPr>
              <w:t>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14:textFill>
                  <w14:solidFill>
                    <w14:schemeClr w14:val="tx1"/>
                  </w14:solidFill>
                </w14:textFill>
              </w:rPr>
              <w:t>2.1.9</w:t>
            </w:r>
          </w:p>
        </w:tc>
        <w:tc>
          <w:tcPr>
            <w:tcW w:w="1841" w:type="dxa"/>
            <w:vAlign w:val="center"/>
          </w:tcPr>
          <w:p>
            <w:pPr>
              <w:pStyle w:val="37"/>
              <w:snapToGrid w:val="0"/>
              <w:spacing w:line="300" w:lineRule="auto"/>
              <w:ind w:left="114" w:right="114"/>
              <w:jc w:val="center"/>
              <w:rPr>
                <w:rFonts w:ascii="仿宋_GB2312" w:eastAsia="仿宋_GB2312"/>
                <w:color w:val="000000" w:themeColor="text1"/>
                <w:sz w:val="24"/>
                <w:szCs w:val="24"/>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比价响应报价</w:t>
            </w:r>
          </w:p>
        </w:tc>
        <w:tc>
          <w:tcPr>
            <w:tcW w:w="7199" w:type="dxa"/>
            <w:vAlign w:val="center"/>
          </w:tcPr>
          <w:p>
            <w:pPr>
              <w:pStyle w:val="61"/>
              <w:spacing w:before="62" w:beforeLines="20" w:after="62" w:afterLines="20"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1）供应商应结合自身实力与经验、市场价格竞争及合同实施风险等因素进行综合考虑进行报价。</w:t>
            </w:r>
          </w:p>
          <w:p>
            <w:pPr>
              <w:pStyle w:val="37"/>
              <w:snapToGrid w:val="0"/>
              <w:spacing w:line="300" w:lineRule="auto"/>
              <w:ind w:right="-18"/>
              <w:jc w:val="both"/>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2）比价小组将视比价情况决定是否进行多轮次报价，供应商</w:t>
            </w:r>
            <w:r>
              <w:rPr>
                <w:rFonts w:hint="eastAsia" w:ascii="仿宋" w:hAnsi="仿宋" w:eastAsia="仿宋" w:cs="仿宋"/>
                <w:color w:val="000000" w:themeColor="text1"/>
                <w:u w:val="single"/>
                <w:lang w:eastAsia="zh-CN"/>
                <w14:textFill>
                  <w14:solidFill>
                    <w14:schemeClr w14:val="tx1"/>
                  </w14:solidFill>
                </w14:textFill>
              </w:rPr>
              <w:t>最后一轮比价提交的报价</w:t>
            </w:r>
            <w:r>
              <w:rPr>
                <w:rFonts w:hint="eastAsia" w:ascii="仿宋" w:hAnsi="仿宋" w:eastAsia="仿宋" w:cs="仿宋"/>
                <w:color w:val="000000" w:themeColor="text1"/>
                <w:lang w:eastAsia="zh-CN"/>
                <w14:textFill>
                  <w14:solidFill>
                    <w14:schemeClr w14:val="tx1"/>
                  </w14:solidFill>
                </w14:textFill>
              </w:rPr>
              <w:t>将作为该供应商的</w:t>
            </w:r>
            <w:r>
              <w:rPr>
                <w:rFonts w:hint="eastAsia" w:ascii="仿宋" w:hAnsi="仿宋" w:eastAsia="仿宋" w:cs="仿宋"/>
                <w:b/>
                <w:bCs/>
                <w:color w:val="000000" w:themeColor="text1"/>
                <w:lang w:eastAsia="zh-CN"/>
                <w14:textFill>
                  <w14:solidFill>
                    <w14:schemeClr w14:val="tx1"/>
                  </w14:solidFill>
                </w14:textFill>
              </w:rPr>
              <w:t>最终报价</w:t>
            </w:r>
            <w:r>
              <w:rPr>
                <w:rFonts w:hint="eastAsia" w:ascii="仿宋" w:hAnsi="仿宋" w:eastAsia="仿宋" w:cs="仿宋"/>
                <w:color w:val="000000" w:themeColor="text1"/>
                <w:lang w:eastAsia="zh-CN"/>
                <w14:textFill>
                  <w14:solidFill>
                    <w14:schemeClr w14:val="tx1"/>
                  </w14:solidFill>
                </w14:textFill>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.1.10</w:t>
            </w:r>
          </w:p>
        </w:tc>
        <w:tc>
          <w:tcPr>
            <w:tcW w:w="1841" w:type="dxa"/>
            <w:vAlign w:val="center"/>
          </w:tcPr>
          <w:p>
            <w:pPr>
              <w:pStyle w:val="37"/>
              <w:snapToGrid w:val="0"/>
              <w:spacing w:line="300" w:lineRule="auto"/>
              <w:ind w:left="114" w:right="114"/>
              <w:jc w:val="center"/>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olor w:val="000000" w:themeColor="text1"/>
                <w:szCs w:val="21"/>
                <w:lang w:eastAsia="zh-CN"/>
                <w14:textFill>
                  <w14:solidFill>
                    <w14:schemeClr w14:val="tx1"/>
                  </w14:solidFill>
                </w14:textFill>
              </w:rPr>
              <w:t>纸质</w:t>
            </w:r>
            <w:r>
              <w:rPr>
                <w:rFonts w:hint="eastAsia" w:ascii="仿宋" w:hAnsi="仿宋" w:eastAsia="仿宋" w:cs="仿宋"/>
                <w:color w:val="000000" w:themeColor="text1"/>
                <w:szCs w:val="21"/>
                <w:lang w:eastAsia="zh-CN"/>
                <w14:textFill>
                  <w14:solidFill>
                    <w14:schemeClr w14:val="tx1"/>
                  </w14:solidFill>
                </w14:textFill>
              </w:rPr>
              <w:t>响应文件的装订、密封和标记</w:t>
            </w:r>
          </w:p>
        </w:tc>
        <w:tc>
          <w:tcPr>
            <w:tcW w:w="7199" w:type="dxa"/>
            <w:vAlign w:val="center"/>
          </w:tcPr>
          <w:p>
            <w:pPr>
              <w:spacing w:line="360" w:lineRule="auto"/>
              <w:rPr>
                <w:rFonts w:ascii="仿宋" w:hAnsi="仿宋" w:eastAsia="仿宋" w:cs="Cambria Math"/>
                <w:color w:val="000000" w:themeColor="text1"/>
                <w:sz w:val="22"/>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000000" w:themeColor="text1"/>
                <w:sz w:val="22"/>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响应文件需加盖骑缝章。未按要求密封的</w:t>
            </w:r>
            <w:r>
              <w:rPr>
                <w:rFonts w:hint="eastAsia" w:ascii="仿宋" w:hAnsi="仿宋" w:eastAsia="仿宋" w:cs="Cambria Math"/>
                <w:color w:val="000000" w:themeColor="text1"/>
                <w:sz w:val="22"/>
                <w:szCs w:val="21"/>
                <w:lang w:eastAsia="zh-Hans"/>
                <w14:textFill>
                  <w14:solidFill>
                    <w14:schemeClr w14:val="tx1"/>
                  </w14:solidFill>
                </w14:textFill>
              </w:rPr>
              <w:t>纸质</w:t>
            </w:r>
            <w:r>
              <w:rPr>
                <w:rFonts w:hint="eastAsia" w:ascii="仿宋" w:hAnsi="仿宋" w:eastAsia="仿宋" w:cs="Cambria Math"/>
                <w:color w:val="000000" w:themeColor="text1"/>
                <w:sz w:val="22"/>
                <w:szCs w:val="21"/>
                <w14:textFill>
                  <w14:solidFill>
                    <w14:schemeClr w14:val="tx1"/>
                  </w14:solidFill>
                </w14:textFill>
              </w:rPr>
              <w:t>响应文件不予接收。</w:t>
            </w:r>
          </w:p>
          <w:p>
            <w:pPr>
              <w:rPr>
                <w:rFonts w:ascii="仿宋" w:hAnsi="仿宋" w:eastAsia="仿宋"/>
                <w:color w:val="000000" w:themeColor="text1"/>
                <w:sz w:val="22"/>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（2）外层包封具体样式如下：</w:t>
            </w:r>
          </w:p>
          <w:p>
            <w:pPr>
              <w:pStyle w:val="37"/>
              <w:snapToGrid w:val="0"/>
              <w:spacing w:line="300" w:lineRule="auto"/>
              <w:ind w:left="103" w:right="2739"/>
              <w:jc w:val="both"/>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lang w:eastAsia="zh-CN"/>
                <w14:textFill>
                  <w14:solidFill>
                    <w14:schemeClr w14:val="tx1"/>
                  </w14:solidFill>
                </w14:textFill>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组建比价小组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color w:val="000000" w:themeColor="text1"/>
                <w:szCs w:val="21"/>
                <w:lang w:val="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本项目比价小组成员人数为</w:t>
            </w:r>
            <w:r>
              <w:rPr>
                <w:rFonts w:hint="eastAsia" w:ascii="仿宋" w:hAnsi="仿宋" w:eastAsia="仿宋" w:cs="仿宋"/>
                <w:color w:val="000000" w:themeColor="text1"/>
                <w:sz w:val="22"/>
                <w:u w:val="single"/>
                <w14:textFill>
                  <w14:solidFill>
                    <w14:schemeClr w14:val="tx1"/>
                  </w14:solidFill>
                </w14:textFill>
              </w:rPr>
              <w:t>5人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.1.12</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比价程序及方式</w:t>
            </w:r>
          </w:p>
        </w:tc>
        <w:tc>
          <w:tcPr>
            <w:tcW w:w="7199" w:type="dxa"/>
            <w:vAlign w:val="center"/>
          </w:tcPr>
          <w:p>
            <w:pPr>
              <w:pStyle w:val="61"/>
              <w:spacing w:before="62" w:beforeLines="20" w:after="62" w:afterLines="20"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（1）比价小组将与通过初步评审的有效供应商按照</w:t>
            </w:r>
            <w:r>
              <w:rPr>
                <w:rFonts w:hint="eastAsia" w:ascii="仿宋" w:hAnsi="仿宋" w:eastAsia="仿宋" w:cs="仿宋"/>
                <w:color w:val="000000" w:themeColor="text1"/>
                <w:sz w:val="22"/>
                <w:szCs w:val="22"/>
                <w:u w:val="single"/>
                <w14:textFill>
                  <w14:solidFill>
                    <w14:schemeClr w14:val="tx1"/>
                  </w14:solidFill>
                </w14:textFill>
              </w:rPr>
              <w:t>响应文件递交顺序</w:t>
            </w:r>
            <w:r>
              <w:rPr>
                <w:rFonts w:hint="eastAsia" w:ascii="仿宋" w:hAnsi="仿宋" w:eastAsia="仿宋" w:cs="仿宋"/>
                <w:color w:val="000000" w:themeColor="text1"/>
                <w:sz w:val="22"/>
                <w:szCs w:val="22"/>
                <w14:textFill>
                  <w14:solidFill>
                    <w14:schemeClr w14:val="tx1"/>
                  </w14:solidFill>
                </w14:textFill>
              </w:rPr>
              <w:t>逐一进行比价，供应商至少应派法定代表人或其授权委托人准时参会。</w:t>
            </w:r>
          </w:p>
          <w:p>
            <w:pPr>
              <w:autoSpaceDE w:val="0"/>
              <w:autoSpaceDN w:val="0"/>
              <w:adjustRightInd w:val="0"/>
              <w:spacing w:line="400" w:lineRule="exac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2）比价小组有权要求供应商对响应文件中含义不明确、同类问题表述不一致或者有明显文字和计算错误的内容等进行澄清、说明或更正。第一轮比价结束后，供应商提交第一轮报价及比价小组要求提供的其他文件，比价小组将视具体情况决定是否进行多轮比价及报价。最后一轮比价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比价内容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包含但不仅限于</w:t>
            </w:r>
            <w:r>
              <w:rPr>
                <w:rFonts w:hint="eastAsia" w:ascii="仿宋" w:hAnsi="仿宋" w:eastAsia="仿宋" w:cs="仿宋"/>
                <w:color w:val="000000" w:themeColor="text1"/>
                <w:sz w:val="22"/>
                <w:u w:val="single"/>
                <w14:textFill>
                  <w14:solidFill>
                    <w14:schemeClr w14:val="tx1"/>
                  </w14:solidFill>
                </w14:textFill>
              </w:rPr>
              <w:t>报价、对采购需求的理解、产品配置、实施方案、人员配置、服务承诺、商务条款</w:t>
            </w:r>
            <w:r>
              <w:rPr>
                <w:rFonts w:hint="eastAsia" w:ascii="仿宋" w:hAnsi="仿宋" w:eastAsia="仿宋" w:cs="仿宋"/>
                <w:color w:val="000000" w:themeColor="text1"/>
                <w:sz w:val="22"/>
                <w14:textFill>
                  <w14:solidFill>
                    <w14:schemeClr w14:val="tx1"/>
                  </w14:solidFill>
                </w14:textFill>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.1.14</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成交候选人推荐原则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比价小组从质量和服务均能满足采购文件实质性响应要求的供应商中，按照最后报价由低到高的顺序</w:t>
            </w:r>
            <w:r>
              <w:rPr>
                <w:rFonts w:hint="eastAsia" w:ascii="仿宋" w:hAnsi="仿宋" w:eastAsia="仿宋" w:cs="宋体"/>
                <w:color w:val="000000" w:themeColor="text1"/>
                <w:sz w:val="22"/>
                <w14:textFill>
                  <w14:solidFill>
                    <w14:schemeClr w14:val="tx1"/>
                  </w14:solidFill>
                </w14:textFill>
              </w:rPr>
              <w:t>推荐</w:t>
            </w:r>
            <w:r>
              <w:rPr>
                <w:rFonts w:hint="eastAsia" w:ascii="仿宋" w:hAnsi="仿宋" w:eastAsia="仿宋" w:cs="仿宋"/>
                <w:color w:val="000000" w:themeColor="text1"/>
                <w:sz w:val="22"/>
                <w:szCs w:val="22"/>
                <w:u w:val="single"/>
                <w14:textFill>
                  <w14:solidFill>
                    <w14:schemeClr w14:val="tx1"/>
                  </w14:solidFill>
                </w14:textFill>
              </w:rPr>
              <w:t>1家</w:t>
            </w:r>
            <w:r>
              <w:rPr>
                <w:rFonts w:hint="eastAsia" w:ascii="仿宋" w:hAnsi="仿宋" w:eastAsia="仿宋" w:cs="宋体"/>
                <w:color w:val="000000" w:themeColor="text1"/>
                <w:sz w:val="22"/>
                <w14:textFill>
                  <w14:solidFill>
                    <w14:schemeClr w14:val="tx1"/>
                  </w14:solidFill>
                </w14:textFill>
              </w:rPr>
              <w:t>为成交候选人。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成交人数量</w:t>
            </w:r>
          </w:p>
        </w:tc>
        <w:tc>
          <w:tcPr>
            <w:tcW w:w="7199" w:type="dxa"/>
            <w:vAlign w:val="center"/>
          </w:tcPr>
          <w:p>
            <w:pPr>
              <w:pStyle w:val="61"/>
              <w:spacing w:before="62" w:beforeLines="20" w:after="62" w:afterLines="20"/>
              <w:rPr>
                <w:rFonts w:ascii="仿宋" w:hAnsi="仿宋" w:eastAsia="仿宋" w:cs="仿宋"/>
                <w:color w:val="000000" w:themeColor="text1"/>
                <w:sz w:val="22"/>
                <w:szCs w:val="22"/>
                <w:u w:val="single"/>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成交人数量：</w:t>
            </w:r>
            <w:r>
              <w:rPr>
                <w:rFonts w:hint="eastAsia" w:ascii="仿宋" w:hAnsi="仿宋" w:eastAsia="仿宋" w:cs="仿宋"/>
                <w:color w:val="000000" w:themeColor="text1"/>
                <w:sz w:val="22"/>
                <w:szCs w:val="22"/>
                <w:u w:val="single"/>
                <w14:textFill>
                  <w14:solidFill>
                    <w14:schemeClr w14:val="tx1"/>
                  </w14:solidFill>
                </w14:textFill>
              </w:rPr>
              <w:t>1家</w:t>
            </w:r>
          </w:p>
          <w:p>
            <w:pPr>
              <w:autoSpaceDE w:val="0"/>
              <w:autoSpaceDN w:val="0"/>
              <w:adjustRightInd w:val="0"/>
              <w:spacing w:line="400" w:lineRule="exact"/>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sz w:val="22"/>
                <w:szCs w:val="22"/>
                <w:u w:val="single"/>
                <w14:textFill>
                  <w14:solidFill>
                    <w14:schemeClr w14:val="tx1"/>
                  </w14:solidFill>
                </w14:textFill>
              </w:rPr>
              <w:t>排名第一</w:t>
            </w:r>
            <w:r>
              <w:rPr>
                <w:rFonts w:hint="eastAsia" w:ascii="仿宋" w:hAnsi="仿宋" w:eastAsia="仿宋" w:cs="仿宋"/>
                <w:color w:val="000000" w:themeColor="text1"/>
                <w:sz w:val="22"/>
                <w:szCs w:val="22"/>
                <w14:textFill>
                  <w14:solidFill>
                    <w14:schemeClr w14:val="tx1"/>
                  </w14:solidFill>
                </w14:textFill>
              </w:rPr>
              <w:t>成交候选人放弃成交、因不可抗力不能履行合同、</w:t>
            </w:r>
            <w:r>
              <w:rPr>
                <w:rFonts w:hint="eastAsia" w:ascii="仿宋" w:hAnsi="仿宋" w:eastAsia="仿宋" w:cs="宋体"/>
                <w:color w:val="000000" w:themeColor="text1"/>
                <w:sz w:val="22"/>
                <w:szCs w:val="22"/>
                <w14:textFill>
                  <w14:solidFill>
                    <w14:schemeClr w14:val="tx1"/>
                  </w14:solidFill>
                </w14:textFill>
              </w:rPr>
              <w:t>不按照比价文件要求提交履约保证金</w:t>
            </w:r>
            <w:r>
              <w:rPr>
                <w:rFonts w:hint="eastAsia" w:ascii="仿宋" w:hAnsi="仿宋" w:eastAsia="仿宋" w:cs="仿宋"/>
                <w:color w:val="000000" w:themeColor="text1"/>
                <w:sz w:val="22"/>
                <w:szCs w:val="22"/>
                <w14:textFill>
                  <w14:solidFill>
                    <w14:schemeClr w14:val="tx1"/>
                  </w14:solidFill>
                </w14:textFill>
              </w:rPr>
              <w:t>、存在重大经营或法律风险、被查实存在影响采购结果的违法行为等情形，采购人按照比价小组提出的成交候选人名单排序依次确定其他成交候选人为成交人，或者重新采购。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履约保证金</w:t>
            </w:r>
          </w:p>
        </w:tc>
        <w:tc>
          <w:tcPr>
            <w:tcW w:w="7199" w:type="dxa"/>
            <w:vAlign w:val="center"/>
          </w:tcPr>
          <w:p>
            <w:pPr>
              <w:pStyle w:val="61"/>
              <w:spacing w:before="62" w:beforeLines="20" w:after="62" w:afterLines="2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□收取，形式及比例：</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sym w:font="Wingdings 2" w:char="0052"/>
            </w:r>
            <w:r>
              <w:rPr>
                <w:rFonts w:hint="eastAsia" w:ascii="仿宋" w:hAnsi="仿宋" w:eastAsia="仿宋"/>
                <w:color w:val="000000" w:themeColor="text1"/>
                <w14:textFill>
                  <w14:solidFill>
                    <w14:schemeClr w14:val="tx1"/>
                  </w14:solidFill>
                </w14:textFill>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lang w:eastAsia="zh-CN"/>
                <w14:textFill>
                  <w14:solidFill>
                    <w14:schemeClr w14:val="tx1"/>
                  </w14:solidFill>
                </w14:textFill>
              </w:rPr>
              <w:t>2.1.17</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合同签署</w:t>
            </w:r>
          </w:p>
        </w:tc>
        <w:tc>
          <w:tcPr>
            <w:tcW w:w="7199" w:type="dxa"/>
            <w:vAlign w:val="center"/>
          </w:tcPr>
          <w:p>
            <w:pPr>
              <w:autoSpaceDE w:val="0"/>
              <w:autoSpaceDN w:val="0"/>
              <w:adjustRightInd w:val="0"/>
              <w:spacing w:line="400" w:lineRule="exact"/>
              <w:ind w:left="146" w:leftChars="61" w:firstLine="2"/>
              <w:rPr>
                <w:rFonts w:ascii="仿宋_GB2312" w:hAnsi="宋体" w:eastAsia="仿宋" w:cs="新宋体"/>
                <w:color w:val="000000" w:themeColor="text1"/>
                <w:szCs w:val="2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项目采购人为</w:t>
            </w:r>
            <w:r>
              <w:rPr>
                <w:rFonts w:hint="eastAsia" w:ascii="仿宋" w:hAnsi="仿宋" w:eastAsia="仿宋" w:cs="仿宋"/>
                <w:color w:val="000000" w:themeColor="text1"/>
                <w:sz w:val="22"/>
                <w:lang w:val="en-US" w:eastAsia="zh-CN"/>
                <w14:textFill>
                  <w14:solidFill>
                    <w14:schemeClr w14:val="tx1"/>
                  </w14:solidFill>
                </w14:textFill>
              </w:rPr>
              <w:t>中国人民财产保险股份有限公司广安市分公司</w:t>
            </w:r>
            <w:r>
              <w:rPr>
                <w:rFonts w:hint="eastAsia" w:ascii="仿宋" w:hAnsi="仿宋" w:eastAsia="仿宋" w:cs="仿宋"/>
                <w:color w:val="000000" w:themeColor="text1"/>
                <w:sz w:val="22"/>
                <w14:textFill>
                  <w14:solidFill>
                    <w14:schemeClr w14:val="tx1"/>
                  </w14:solidFill>
                </w14:textFill>
              </w:rPr>
              <w:t>，</w:t>
            </w:r>
            <w:r>
              <w:rPr>
                <w:rFonts w:ascii="仿宋" w:hAnsi="仿宋" w:eastAsia="仿宋" w:cs="仿宋"/>
                <w:color w:val="000000" w:themeColor="text1"/>
                <w:sz w:val="22"/>
                <w14:textFill>
                  <w14:solidFill>
                    <w14:schemeClr w14:val="tx1"/>
                  </w14:solidFill>
                </w14:textFill>
              </w:rPr>
              <w:t>实际合同签署人为采购人</w:t>
            </w:r>
            <w:r>
              <w:rPr>
                <w:rFonts w:hint="eastAsia" w:ascii="仿宋" w:hAnsi="仿宋" w:eastAsia="仿宋" w:cs="仿宋"/>
                <w:color w:val="000000" w:themeColor="text1"/>
                <w:sz w:val="22"/>
                <w:lang w:val="en-US" w:eastAsia="zh-CN"/>
                <w14:textFill>
                  <w14:solidFill>
                    <w14:schemeClr w14:val="tx1"/>
                  </w14:solidFill>
                </w14:textFill>
              </w:rPr>
              <w:t>中国人民财产保险股份有限公司广安市分公司</w:t>
            </w:r>
          </w:p>
        </w:tc>
      </w:tr>
    </w:tbl>
    <w:p>
      <w:pPr>
        <w:pStyle w:val="2"/>
        <w:rPr>
          <w:rFonts w:ascii="仿宋_GB2312" w:eastAsia="仿宋_GB2312"/>
          <w:color w:val="000000" w:themeColor="text1"/>
          <w14:textFill>
            <w14:solidFill>
              <w14:schemeClr w14:val="tx1"/>
            </w14:solidFill>
          </w14:textFill>
        </w:rPr>
      </w:pPr>
    </w:p>
    <w:p>
      <w:pPr>
        <w:pStyle w:val="2"/>
        <w:rPr>
          <w:rFonts w:ascii="仿宋_GB2312" w:eastAsia="仿宋_GB2312"/>
          <w:color w:val="000000" w:themeColor="text1"/>
          <w14:textFill>
            <w14:solidFill>
              <w14:schemeClr w14:val="tx1"/>
            </w14:solidFill>
          </w14:textFill>
        </w:rPr>
      </w:pPr>
    </w:p>
    <w:p>
      <w:pPr>
        <w:pStyle w:val="2"/>
        <w:rPr>
          <w:rFonts w:ascii="仿宋_GB2312" w:eastAsia="仿宋_GB2312"/>
          <w:color w:val="000000" w:themeColor="text1"/>
          <w14:textFill>
            <w14:solidFill>
              <w14:schemeClr w14:val="tx1"/>
            </w14:solidFill>
          </w14:textFill>
        </w:rPr>
      </w:pPr>
    </w:p>
    <w:p>
      <w:pPr>
        <w:pStyle w:val="2"/>
        <w:rPr>
          <w:rFonts w:ascii="仿宋_GB2312" w:eastAsia="仿宋_GB2312"/>
          <w:color w:val="000000" w:themeColor="text1"/>
          <w14:textFill>
            <w14:solidFill>
              <w14:schemeClr w14:val="tx1"/>
            </w14:solidFill>
          </w14:textFill>
        </w:rPr>
      </w:pPr>
    </w:p>
    <w:p>
      <w:pPr>
        <w:pStyle w:val="2"/>
        <w:rPr>
          <w:rFonts w:ascii="仿宋_GB2312" w:eastAsia="仿宋_GB2312"/>
          <w:color w:val="000000" w:themeColor="text1"/>
          <w14:textFill>
            <w14:solidFill>
              <w14:schemeClr w14:val="tx1"/>
            </w14:solidFill>
          </w14:textFill>
        </w:rPr>
      </w:pPr>
    </w:p>
    <w:p>
      <w:pPr>
        <w:pStyle w:val="2"/>
        <w:rPr>
          <w:rFonts w:ascii="仿宋_GB2312" w:eastAsia="仿宋_GB2312"/>
          <w:color w:val="000000" w:themeColor="text1"/>
          <w14:textFill>
            <w14:solidFill>
              <w14:schemeClr w14:val="tx1"/>
            </w14:solidFill>
          </w14:textFill>
        </w:rPr>
      </w:pPr>
    </w:p>
    <w:p>
      <w:pPr>
        <w:pStyle w:val="4"/>
        <w:jc w:val="left"/>
        <w:rPr>
          <w:rFonts w:ascii="仿宋" w:hAnsi="仿宋" w:eastAsia="仿宋" w:cs="仿宋"/>
          <w:color w:val="000000" w:themeColor="text1"/>
          <w:sz w:val="24"/>
          <w:szCs w:val="24"/>
          <w14:textFill>
            <w14:solidFill>
              <w14:schemeClr w14:val="tx1"/>
            </w14:solidFill>
          </w14:textFill>
        </w:rPr>
      </w:pPr>
      <w:bookmarkStart w:id="17" w:name="_Toc444891336"/>
      <w:bookmarkStart w:id="18" w:name="_Toc27232"/>
      <w:bookmarkStart w:id="19" w:name="_Toc6047"/>
      <w:bookmarkStart w:id="20" w:name="_Toc517281816"/>
      <w:bookmarkStart w:id="21" w:name="_Toc287600118"/>
      <w:bookmarkStart w:id="22" w:name="_Toc11071"/>
      <w:bookmarkStart w:id="23" w:name="_Toc19783313"/>
      <w:bookmarkStart w:id="24" w:name="_Toc20514"/>
      <w:bookmarkStart w:id="25" w:name="_Toc27220"/>
      <w:bookmarkStart w:id="26" w:name="_Toc5574"/>
      <w:r>
        <w:rPr>
          <w:rFonts w:hint="eastAsia" w:ascii="仿宋" w:hAnsi="仿宋" w:eastAsia="仿宋" w:cs="仿宋"/>
          <w:color w:val="000000" w:themeColor="text1"/>
          <w:sz w:val="24"/>
          <w:szCs w:val="24"/>
          <w14:textFill>
            <w14:solidFill>
              <w14:schemeClr w14:val="tx1"/>
            </w14:solidFill>
          </w14:textFill>
        </w:rPr>
        <w:t>二、供应商须知</w:t>
      </w:r>
      <w:bookmarkEnd w:id="17"/>
      <w:bookmarkEnd w:id="18"/>
      <w:bookmarkEnd w:id="19"/>
      <w:bookmarkEnd w:id="20"/>
      <w:bookmarkEnd w:id="21"/>
      <w:bookmarkEnd w:id="22"/>
      <w:bookmarkEnd w:id="23"/>
      <w:bookmarkEnd w:id="24"/>
      <w:r>
        <w:rPr>
          <w:rFonts w:hint="eastAsia" w:ascii="仿宋" w:hAnsi="仿宋" w:eastAsia="仿宋" w:cs="仿宋"/>
          <w:color w:val="000000" w:themeColor="text1"/>
          <w:sz w:val="24"/>
          <w:szCs w:val="24"/>
          <w14:textFill>
            <w14:solidFill>
              <w14:schemeClr w14:val="tx1"/>
            </w14:solidFill>
          </w14:textFill>
        </w:rPr>
        <w:t>正文</w:t>
      </w:r>
      <w:bookmarkEnd w:id="25"/>
      <w:bookmarkEnd w:id="26"/>
    </w:p>
    <w:p>
      <w:pPr>
        <w:pStyle w:val="5"/>
        <w:spacing w:before="0" w:after="0" w:line="360" w:lineRule="auto"/>
        <w:ind w:firstLine="482"/>
        <w:rPr>
          <w:rFonts w:ascii="仿宋" w:hAnsi="仿宋" w:eastAsia="仿宋" w:cs="仿宋"/>
          <w:color w:val="000000" w:themeColor="text1"/>
          <w:sz w:val="24"/>
          <w:szCs w:val="24"/>
          <w14:textFill>
            <w14:solidFill>
              <w14:schemeClr w14:val="tx1"/>
            </w14:solidFill>
          </w14:textFill>
        </w:rPr>
      </w:pPr>
      <w:bookmarkStart w:id="27" w:name="_Toc16441"/>
      <w:bookmarkStart w:id="28" w:name="_Toc11851"/>
      <w:bookmarkStart w:id="29" w:name="_Toc431"/>
      <w:bookmarkStart w:id="30" w:name="_Toc19783314"/>
      <w:bookmarkStart w:id="31" w:name="_Toc22926"/>
      <w:bookmarkStart w:id="32" w:name="_Toc444891337"/>
      <w:bookmarkStart w:id="33" w:name="_Toc517281817"/>
      <w:bookmarkStart w:id="34" w:name="_Toc22969"/>
      <w:bookmarkStart w:id="35" w:name="_Toc6681"/>
      <w:bookmarkStart w:id="36" w:name="_Toc3678"/>
      <w:bookmarkStart w:id="37" w:name="_Toc287600119"/>
      <w:r>
        <w:rPr>
          <w:rFonts w:hint="eastAsia" w:ascii="仿宋" w:hAnsi="仿宋" w:eastAsia="仿宋" w:cs="仿宋"/>
          <w:color w:val="000000" w:themeColor="text1"/>
          <w:sz w:val="24"/>
          <w:szCs w:val="24"/>
          <w14:textFill>
            <w14:solidFill>
              <w14:schemeClr w14:val="tx1"/>
            </w14:solidFill>
          </w14:textFill>
        </w:rPr>
        <w:t>（一）总 则</w:t>
      </w:r>
      <w:bookmarkEnd w:id="27"/>
      <w:bookmarkEnd w:id="28"/>
      <w:bookmarkEnd w:id="29"/>
      <w:bookmarkEnd w:id="30"/>
      <w:bookmarkEnd w:id="31"/>
      <w:bookmarkEnd w:id="32"/>
      <w:bookmarkEnd w:id="33"/>
      <w:bookmarkEnd w:id="34"/>
      <w:bookmarkEnd w:id="35"/>
      <w:bookmarkEnd w:id="36"/>
      <w:bookmarkEnd w:id="37"/>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1.项目说明</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本项目按照中华人民共和国有关法律、行政法规和部门规章以及采购人的采购管理制度，通过比价方式确定签约供应商。</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2.采购范围</w:t>
      </w:r>
    </w:p>
    <w:p>
      <w:pPr>
        <w:tabs>
          <w:tab w:val="left" w:pos="3150"/>
          <w:tab w:val="left" w:pos="3780"/>
        </w:tabs>
        <w:spacing w:line="360" w:lineRule="auto"/>
        <w:rPr>
          <w:rFonts w:ascii="仿宋" w:hAnsi="仿宋" w:eastAsia="仿宋" w:cs="仿宋"/>
          <w:bCs/>
          <w:color w:val="000000" w:themeColor="text1"/>
          <w14:textFill>
            <w14:solidFill>
              <w14:schemeClr w14:val="tx1"/>
            </w14:solidFill>
          </w14:textFill>
        </w:rPr>
      </w:pPr>
      <w:r>
        <w:rPr>
          <w:rFonts w:hint="eastAsia" w:ascii="仿宋" w:hAnsi="仿宋" w:eastAsia="仿宋" w:cs="仿宋"/>
          <w:color w:val="000000" w:themeColor="text1"/>
          <w:u w:val="single"/>
          <w14:textFill>
            <w14:solidFill>
              <w14:schemeClr w14:val="tx1"/>
            </w14:solidFill>
          </w14:textFill>
        </w:rPr>
        <w:t>详见本须知前附表</w:t>
      </w:r>
      <w:r>
        <w:rPr>
          <w:rFonts w:hint="eastAsia" w:ascii="仿宋" w:hAnsi="仿宋" w:eastAsia="仿宋" w:cs="仿宋"/>
          <w:color w:val="000000" w:themeColor="text1"/>
          <w14:textFill>
            <w14:solidFill>
              <w14:schemeClr w14:val="tx1"/>
            </w14:solidFill>
          </w14:textFill>
        </w:rPr>
        <w:t>，</w:t>
      </w:r>
      <w:r>
        <w:rPr>
          <w:rFonts w:hint="eastAsia" w:ascii="仿宋" w:hAnsi="仿宋" w:eastAsia="仿宋" w:cs="仿宋"/>
          <w:bCs/>
          <w:color w:val="000000" w:themeColor="text1"/>
          <w14:textFill>
            <w14:solidFill>
              <w14:schemeClr w14:val="tx1"/>
            </w14:solidFill>
          </w14:textFill>
        </w:rPr>
        <w:t>详细内容详见第五章采购需求。</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3.资金来源</w:t>
      </w:r>
    </w:p>
    <w:p>
      <w:pPr>
        <w:tabs>
          <w:tab w:val="left" w:pos="3150"/>
          <w:tab w:val="left" w:pos="3780"/>
        </w:tabs>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资金来源于采购人或其子公司（含分支机构）自筹（比例100%），且资金已落实。</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4.资格审查</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资格后审：是指在首次响应文件递交截止时间后由比价小组根据比价文件的规定对供应商进行的资格审查。采购人应当在比价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themeColor="text1"/>
          <w:u w:val="single"/>
          <w14:textFill>
            <w14:solidFill>
              <w14:schemeClr w14:val="tx1"/>
            </w14:solidFill>
          </w14:textFill>
        </w:rPr>
        <w:t>详见本须知前附表。</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5.比价响应费用</w:t>
      </w:r>
    </w:p>
    <w:p>
      <w:pPr>
        <w:spacing w:line="360" w:lineRule="auto"/>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不论结果如何，</w:t>
      </w:r>
      <w:r>
        <w:rPr>
          <w:rFonts w:hint="eastAsia" w:ascii="仿宋" w:hAnsi="仿宋" w:eastAsia="仿宋" w:cs="仿宋"/>
          <w:color w:val="000000" w:themeColor="text1"/>
          <w14:textFill>
            <w14:solidFill>
              <w14:schemeClr w14:val="tx1"/>
            </w14:solidFill>
          </w14:textFill>
        </w:rPr>
        <w:t>供应商</w:t>
      </w:r>
      <w:r>
        <w:rPr>
          <w:rFonts w:hint="eastAsia" w:ascii="仿宋" w:hAnsi="仿宋" w:eastAsia="仿宋" w:cs="宋体"/>
          <w:color w:val="000000" w:themeColor="text1"/>
          <w14:textFill>
            <w14:solidFill>
              <w14:schemeClr w14:val="tx1"/>
            </w14:solidFill>
          </w14:textFill>
        </w:rPr>
        <w:t>自行承担所有准备和参与本次比价响应的有关费用。</w:t>
      </w:r>
    </w:p>
    <w:p>
      <w:pPr>
        <w:pStyle w:val="5"/>
        <w:spacing w:after="0" w:line="360" w:lineRule="auto"/>
        <w:ind w:firstLine="482"/>
        <w:rPr>
          <w:rFonts w:ascii="仿宋" w:hAnsi="仿宋" w:eastAsia="仿宋" w:cs="仿宋"/>
          <w:color w:val="000000" w:themeColor="text1"/>
          <w:sz w:val="24"/>
          <w:szCs w:val="24"/>
          <w14:textFill>
            <w14:solidFill>
              <w14:schemeClr w14:val="tx1"/>
            </w14:solidFill>
          </w14:textFill>
        </w:rPr>
      </w:pPr>
      <w:bookmarkStart w:id="38" w:name="_Toc517281818"/>
      <w:bookmarkStart w:id="39" w:name="_Toc3016"/>
      <w:bookmarkStart w:id="40" w:name="_Toc10975"/>
      <w:bookmarkStart w:id="41" w:name="_Toc24246"/>
      <w:bookmarkStart w:id="42" w:name="_Toc25513"/>
      <w:bookmarkStart w:id="43" w:name="_Toc19783315"/>
      <w:bookmarkStart w:id="44" w:name="_Toc444891338"/>
      <w:bookmarkStart w:id="45" w:name="_Toc287600120"/>
      <w:bookmarkStart w:id="46" w:name="_Toc14164"/>
      <w:bookmarkStart w:id="47" w:name="_Toc5255"/>
      <w:bookmarkStart w:id="48" w:name="_Toc10743"/>
      <w:r>
        <w:rPr>
          <w:rFonts w:hint="eastAsia" w:ascii="仿宋" w:hAnsi="仿宋" w:eastAsia="仿宋" w:cs="仿宋"/>
          <w:color w:val="000000" w:themeColor="text1"/>
          <w:sz w:val="24"/>
          <w:szCs w:val="24"/>
          <w14:textFill>
            <w14:solidFill>
              <w14:schemeClr w14:val="tx1"/>
            </w14:solidFill>
          </w14:textFill>
        </w:rPr>
        <w:t>（二）比价文件</w:t>
      </w:r>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6.比价文件的组成</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6.1比价文件包括下列内容：</w:t>
      </w:r>
    </w:p>
    <w:p>
      <w:pPr>
        <w:pStyle w:val="16"/>
        <w:widowControl/>
        <w:spacing w:line="360" w:lineRule="auto"/>
        <w:ind w:left="0" w:leftChars="0" w:firstLine="480" w:firstLineChars="20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第一章 比价邀请</w:t>
      </w:r>
    </w:p>
    <w:p>
      <w:pPr>
        <w:pStyle w:val="16"/>
        <w:widowControl/>
        <w:spacing w:line="360" w:lineRule="auto"/>
        <w:ind w:left="0" w:leftChars="0" w:firstLine="480" w:firstLineChars="20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第二章 供应商须知</w:t>
      </w:r>
    </w:p>
    <w:p>
      <w:pPr>
        <w:pStyle w:val="16"/>
        <w:widowControl/>
        <w:spacing w:line="360" w:lineRule="auto"/>
        <w:ind w:left="0" w:leftChars="0" w:firstLine="480" w:firstLineChars="20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第三章 评审办法</w:t>
      </w:r>
    </w:p>
    <w:p>
      <w:pPr>
        <w:pStyle w:val="16"/>
        <w:widowControl/>
        <w:spacing w:line="360" w:lineRule="auto"/>
        <w:ind w:left="0" w:leftChars="0" w:firstLine="480" w:firstLineChars="20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第四章 合同格式</w:t>
      </w:r>
    </w:p>
    <w:p>
      <w:pPr>
        <w:tabs>
          <w:tab w:val="left" w:pos="540"/>
          <w:tab w:val="left" w:pos="720"/>
        </w:tabs>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第五章 采购需求</w:t>
      </w:r>
    </w:p>
    <w:p>
      <w:pPr>
        <w:tabs>
          <w:tab w:val="left" w:pos="540"/>
          <w:tab w:val="left" w:pos="720"/>
        </w:tabs>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第六章 响应文件格式</w:t>
      </w:r>
    </w:p>
    <w:p>
      <w:pPr>
        <w:topLinePunc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w:t>
      </w:r>
      <w:r>
        <w:rPr>
          <w:rFonts w:ascii="仿宋" w:hAnsi="仿宋" w:eastAsia="仿宋" w:cs="仿宋"/>
          <w:color w:val="000000" w:themeColor="text1"/>
          <w14:textFill>
            <w14:solidFill>
              <w14:schemeClr w14:val="tx1"/>
            </w14:solidFill>
          </w14:textFill>
        </w:rPr>
        <w:t>2</w:t>
      </w:r>
      <w:r>
        <w:rPr>
          <w:rFonts w:hint="eastAsia" w:ascii="仿宋" w:hAnsi="仿宋" w:eastAsia="仿宋" w:cs="仿宋"/>
          <w:color w:val="000000" w:themeColor="text1"/>
          <w14:textFill>
            <w14:solidFill>
              <w14:schemeClr w14:val="tx1"/>
            </w14:solidFill>
          </w14:textFill>
        </w:rPr>
        <w:t>采购人在比价文件中以显著的方式标明实质性要求、条件以及不满足实质性要求和条件的响应文件将被否决的提示。实质性标识方式和具体要求</w:t>
      </w:r>
      <w:r>
        <w:rPr>
          <w:rFonts w:hint="eastAsia" w:ascii="仿宋" w:hAnsi="仿宋" w:eastAsia="仿宋" w:cs="仿宋"/>
          <w:color w:val="000000" w:themeColor="text1"/>
          <w:u w:val="single"/>
          <w14:textFill>
            <w14:solidFill>
              <w14:schemeClr w14:val="tx1"/>
            </w14:solidFill>
          </w14:textFill>
        </w:rPr>
        <w:t>见本须知前附表</w:t>
      </w:r>
      <w:r>
        <w:rPr>
          <w:rFonts w:hint="eastAsia" w:ascii="仿宋" w:hAnsi="仿宋" w:eastAsia="仿宋" w:cs="仿宋"/>
          <w:color w:val="000000" w:themeColor="text1"/>
          <w14:textFill>
            <w14:solidFill>
              <w14:schemeClr w14:val="tx1"/>
            </w14:solidFill>
          </w14:textFill>
        </w:rPr>
        <w:t>。</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7.比价文件的修改</w:t>
      </w:r>
    </w:p>
    <w:p>
      <w:pPr>
        <w:topLinePunct/>
        <w:spacing w:line="360" w:lineRule="auto"/>
        <w:rPr>
          <w:rFonts w:ascii="仿宋_GB2312" w:hAnsi="宋体" w:eastAsia="仿宋_GB2312"/>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7.1</w:t>
      </w:r>
      <w:r>
        <w:rPr>
          <w:rFonts w:hint="eastAsia" w:ascii="仿宋_GB2312" w:hAnsi="宋体" w:eastAsia="仿宋_GB2312"/>
          <w:color w:val="000000" w:themeColor="text1"/>
          <w14:textFill>
            <w14:solidFill>
              <w14:schemeClr w14:val="tx1"/>
            </w14:solidFill>
          </w14:textFill>
        </w:rPr>
        <w:t>在响应文件递交截止时间前，无论出于何种原因，采购人可主动地或在解答供应商要求澄清的问题时对比价文件进行修改。</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7</w:t>
      </w:r>
      <w:r>
        <w:rPr>
          <w:rFonts w:ascii="仿宋_GB2312" w:hAnsi="宋体" w:eastAsia="仿宋_GB2312"/>
          <w:color w:val="000000" w:themeColor="text1"/>
          <w14:textFill>
            <w14:solidFill>
              <w14:schemeClr w14:val="tx1"/>
            </w14:solidFill>
          </w14:textFill>
        </w:rPr>
        <w:t>.2</w:t>
      </w:r>
      <w:r>
        <w:rPr>
          <w:rFonts w:hint="eastAsia" w:ascii="仿宋_GB2312" w:hAnsi="宋体" w:eastAsia="仿宋_GB2312"/>
          <w:color w:val="000000" w:themeColor="text1"/>
          <w14:textFill>
            <w14:solidFill>
              <w14:schemeClr w14:val="tx1"/>
            </w14:solidFill>
          </w14:textFill>
        </w:rPr>
        <w:t>供应商有权要求采购人对比价文件中的有关问题进行答疑、澄清。</w:t>
      </w:r>
    </w:p>
    <w:p>
      <w:pPr>
        <w:pStyle w:val="2"/>
        <w:snapToGrid w:val="0"/>
        <w:spacing w:after="0" w:line="360" w:lineRule="auto"/>
        <w:ind w:right="-57"/>
        <w:jc w:val="both"/>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7.3</w:t>
      </w:r>
      <w:r>
        <w:rPr>
          <w:rFonts w:hint="eastAsia" w:ascii="仿宋_GB2312" w:hAnsi="宋体" w:eastAsia="仿宋_GB2312"/>
          <w:color w:val="000000" w:themeColor="text1"/>
          <w14:textFill>
            <w14:solidFill>
              <w14:schemeClr w14:val="tx1"/>
            </w14:solidFill>
          </w14:textFill>
        </w:rPr>
        <w:t>供应商对比价文件如有疑问,应在首次响应文件递交截止时间前按比价文件</w:t>
      </w:r>
      <w:r>
        <w:rPr>
          <w:rFonts w:hint="eastAsia" w:ascii="仿宋_GB2312" w:hAnsi="宋体" w:eastAsia="仿宋_GB2312"/>
          <w:color w:val="000000" w:themeColor="text1"/>
          <w:spacing w:val="-3"/>
          <w14:textFill>
            <w14:solidFill>
              <w14:schemeClr w14:val="tx1"/>
            </w14:solidFill>
          </w14:textFill>
        </w:rPr>
        <w:t>中的联系方式，通知采购人。采购人将视情况采用适当方式予</w:t>
      </w:r>
      <w:r>
        <w:rPr>
          <w:rFonts w:hint="eastAsia" w:ascii="仿宋_GB2312" w:hAnsi="宋体" w:eastAsia="仿宋_GB2312"/>
          <w:color w:val="000000" w:themeColor="text1"/>
          <w14:textFill>
            <w14:solidFill>
              <w14:schemeClr w14:val="tx1"/>
            </w14:solidFill>
          </w14:textFill>
        </w:rPr>
        <w:t>以澄清或以书面形式予以答复。</w:t>
      </w:r>
      <w:r>
        <w:rPr>
          <w:rFonts w:hint="eastAsia" w:ascii="仿宋_GB2312" w:hAnsi="宋体" w:eastAsia="仿宋_GB2312"/>
          <w:color w:val="000000" w:themeColor="text1"/>
          <w:spacing w:val="-3"/>
          <w14:textFill>
            <w14:solidFill>
              <w14:schemeClr w14:val="tx1"/>
            </w14:solidFill>
          </w14:textFill>
        </w:rPr>
        <w:t>供应商在收到上述通知后，应立即向采购人回复确认。供</w:t>
      </w:r>
      <w:r>
        <w:rPr>
          <w:rFonts w:hint="eastAsia" w:ascii="仿宋_GB2312" w:hAnsi="宋体" w:eastAsia="仿宋_GB2312"/>
          <w:color w:val="000000" w:themeColor="text1"/>
          <w14:textFill>
            <w14:solidFill>
              <w14:schemeClr w14:val="tx1"/>
            </w14:solidFill>
          </w14:textFill>
        </w:rPr>
        <w:t>应商将被视为编制响应文件时已考虑了上述修改。</w:t>
      </w:r>
    </w:p>
    <w:p>
      <w:pPr>
        <w:pStyle w:val="2"/>
        <w:snapToGrid w:val="0"/>
        <w:spacing w:after="0" w:line="360" w:lineRule="auto"/>
        <w:ind w:right="-57"/>
        <w:jc w:val="both"/>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7.4</w:t>
      </w:r>
      <w:r>
        <w:rPr>
          <w:rFonts w:hint="eastAsia" w:ascii="仿宋_GB2312" w:hAnsi="宋体" w:eastAsia="仿宋_GB2312"/>
          <w:color w:val="000000" w:themeColor="text1"/>
          <w14:textFill>
            <w14:solidFill>
              <w14:schemeClr w14:val="tx1"/>
            </w14:solidFill>
          </w14:textFill>
        </w:rPr>
        <w:t>对于比价文件的修改，如影响供应商响应文件编制的，</w:t>
      </w:r>
      <w:r>
        <w:rPr>
          <w:rFonts w:hint="eastAsia" w:ascii="仿宋_GB2312" w:hAnsi="宋体" w:eastAsia="仿宋_GB2312"/>
          <w:color w:val="000000" w:themeColor="text1"/>
          <w:spacing w:val="-3"/>
          <w14:textFill>
            <w14:solidFill>
              <w14:schemeClr w14:val="tx1"/>
            </w14:solidFill>
          </w14:textFill>
        </w:rPr>
        <w:t>采购人应推迟响应文件递交截止日期，并以书面或邮件形式通知所有已获取比价文件</w:t>
      </w:r>
      <w:r>
        <w:rPr>
          <w:rFonts w:hint="eastAsia" w:ascii="仿宋_GB2312" w:hAnsi="宋体" w:eastAsia="仿宋_GB2312"/>
          <w:color w:val="000000" w:themeColor="text1"/>
          <w14:textFill>
            <w14:solidFill>
              <w14:schemeClr w14:val="tx1"/>
            </w14:solidFill>
          </w14:textFill>
        </w:rPr>
        <w:t>的供应商。</w:t>
      </w:r>
    </w:p>
    <w:p>
      <w:pPr>
        <w:pStyle w:val="2"/>
        <w:snapToGrid w:val="0"/>
        <w:spacing w:after="0" w:line="360" w:lineRule="auto"/>
        <w:ind w:right="-57"/>
        <w:jc w:val="both"/>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7.5</w:t>
      </w:r>
      <w:r>
        <w:rPr>
          <w:rFonts w:hint="eastAsia" w:ascii="仿宋_GB2312" w:hAnsi="宋体" w:eastAsia="仿宋_GB2312"/>
          <w:color w:val="000000" w:themeColor="text1"/>
          <w14:textFill>
            <w14:solidFill>
              <w14:schemeClr w14:val="tx1"/>
            </w14:solidFill>
          </w14:textFill>
        </w:rPr>
        <w:t>任何对比价文件的澄清均为比价文件的组成部分，并具有同等的法律效力。如比价文件的澄清与比价文件有矛盾，以日期后的为准。</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8.比价响应预备会</w:t>
      </w:r>
    </w:p>
    <w:p>
      <w:pPr>
        <w:spacing w:line="360" w:lineRule="auto"/>
        <w:textAlignment w:val="baseline"/>
        <w:rPr>
          <w:rFonts w:ascii="仿宋" w:hAnsi="仿宋" w:eastAsia="仿宋" w:cs="宋体"/>
          <w:color w:val="000000" w:themeColor="text1"/>
          <w:u w:val="single"/>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采购人认为必要时，将召开比价响应预备会(答疑会)，公开解答潜在供应商对比价文件提出的疑问。</w:t>
      </w:r>
    </w:p>
    <w:p>
      <w:pPr>
        <w:pStyle w:val="5"/>
        <w:spacing w:after="0" w:line="360" w:lineRule="auto"/>
        <w:jc w:val="center"/>
        <w:rPr>
          <w:rFonts w:ascii="仿宋" w:hAnsi="仿宋" w:eastAsia="仿宋" w:cs="仿宋"/>
          <w:color w:val="000000" w:themeColor="text1"/>
          <w:sz w:val="24"/>
          <w:szCs w:val="24"/>
          <w14:textFill>
            <w14:solidFill>
              <w14:schemeClr w14:val="tx1"/>
            </w14:solidFill>
          </w14:textFill>
        </w:rPr>
      </w:pPr>
      <w:bookmarkStart w:id="49" w:name="_Toc27642"/>
      <w:bookmarkStart w:id="50" w:name="_Toc27563"/>
      <w:bookmarkStart w:id="51" w:name="_Toc444891339"/>
      <w:bookmarkStart w:id="52" w:name="_Toc13691"/>
      <w:bookmarkStart w:id="53" w:name="_Toc517281819"/>
      <w:bookmarkStart w:id="54" w:name="_Toc16985"/>
      <w:bookmarkStart w:id="55" w:name="_Toc14308"/>
      <w:bookmarkStart w:id="56" w:name="_Toc19783316"/>
      <w:bookmarkStart w:id="57" w:name="_Toc11948"/>
      <w:bookmarkStart w:id="58" w:name="_Toc31141"/>
      <w:bookmarkStart w:id="59" w:name="_Toc287600121"/>
      <w:r>
        <w:rPr>
          <w:rFonts w:hint="eastAsia" w:ascii="仿宋" w:hAnsi="仿宋" w:eastAsia="仿宋" w:cs="仿宋"/>
          <w:color w:val="000000" w:themeColor="text1"/>
          <w:sz w:val="24"/>
          <w:szCs w:val="24"/>
          <w14:textFill>
            <w14:solidFill>
              <w14:schemeClr w14:val="tx1"/>
            </w14:solidFill>
          </w14:textFill>
        </w:rPr>
        <w:t>（三）响应文件</w:t>
      </w:r>
      <w:bookmarkEnd w:id="49"/>
      <w:bookmarkEnd w:id="50"/>
      <w:bookmarkEnd w:id="51"/>
      <w:bookmarkEnd w:id="52"/>
      <w:bookmarkEnd w:id="53"/>
      <w:bookmarkEnd w:id="54"/>
      <w:bookmarkEnd w:id="55"/>
      <w:bookmarkEnd w:id="56"/>
      <w:bookmarkEnd w:id="57"/>
      <w:bookmarkEnd w:id="58"/>
      <w:bookmarkEnd w:id="59"/>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9</w:t>
      </w:r>
      <w:r>
        <w:rPr>
          <w:rFonts w:hint="eastAsia" w:ascii="仿宋" w:hAnsi="仿宋" w:eastAsia="仿宋" w:cs="仿宋"/>
          <w:color w:val="000000" w:themeColor="text1"/>
          <w:sz w:val="24"/>
          <w:szCs w:val="24"/>
          <w14:textFill>
            <w14:solidFill>
              <w14:schemeClr w14:val="tx1"/>
            </w14:solidFill>
          </w14:textFill>
        </w:rPr>
        <w:t>.响应文件的组成</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供应商应当按照供应商须知前附表的要求制作并提交响应文件，具体组成</w:t>
      </w:r>
      <w:r>
        <w:rPr>
          <w:rFonts w:hint="eastAsia" w:ascii="仿宋" w:hAnsi="仿宋" w:eastAsia="仿宋" w:cs="仿宋"/>
          <w:color w:val="000000" w:themeColor="text1"/>
          <w:u w:val="single"/>
          <w14:textFill>
            <w14:solidFill>
              <w14:schemeClr w14:val="tx1"/>
            </w14:solidFill>
          </w14:textFill>
        </w:rPr>
        <w:t>见本须知前附表</w:t>
      </w:r>
      <w:r>
        <w:rPr>
          <w:rFonts w:hint="eastAsia" w:ascii="仿宋" w:hAnsi="仿宋" w:eastAsia="仿宋" w:cs="仿宋"/>
          <w:color w:val="000000" w:themeColor="text1"/>
          <w14:textFill>
            <w14:solidFill>
              <w14:schemeClr w14:val="tx1"/>
            </w14:solidFill>
          </w14:textFill>
        </w:rPr>
        <w:t>。</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10</w:t>
      </w:r>
      <w:r>
        <w:rPr>
          <w:rFonts w:hint="eastAsia" w:ascii="仿宋" w:hAnsi="仿宋" w:eastAsia="仿宋" w:cs="仿宋"/>
          <w:color w:val="000000" w:themeColor="text1"/>
          <w:sz w:val="24"/>
          <w:szCs w:val="24"/>
          <w14:textFill>
            <w14:solidFill>
              <w14:schemeClr w14:val="tx1"/>
            </w14:solidFill>
          </w14:textFill>
        </w:rPr>
        <w:t>.响应文件的编制</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10</w:t>
      </w:r>
      <w:r>
        <w:rPr>
          <w:rFonts w:hint="eastAsia" w:ascii="仿宋" w:hAnsi="仿宋" w:eastAsia="仿宋" w:cs="宋体"/>
          <w:color w:val="000000" w:themeColor="text1"/>
          <w14:textFill>
            <w14:solidFill>
              <w14:schemeClr w14:val="tx1"/>
            </w14:solidFill>
          </w14:textFill>
        </w:rPr>
        <w:t xml:space="preserve">.1 供应商应当按照比价文件的要求编制响应文件，并对其提交的响应文件的真实性、合法性承担法律责任。响应文件应当对比价文件提出的实质性要求和条件作出响应。 </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10</w:t>
      </w:r>
      <w:r>
        <w:rPr>
          <w:rFonts w:hint="eastAsia" w:ascii="仿宋" w:hAnsi="仿宋" w:eastAsia="仿宋" w:cs="宋体"/>
          <w:color w:val="000000" w:themeColor="text1"/>
          <w14:textFill>
            <w14:solidFill>
              <w14:schemeClr w14:val="tx1"/>
            </w14:solidFill>
          </w14:textFill>
        </w:rPr>
        <w:t xml:space="preserve">.2 供应商应认真阅读比价文件中所有的事项、格式、条款和技术规范等。供应商没有按照比价文件要求递交全部资料，或者供应商没有对比价文件在各方面都作出实质性响应是供应商的风险，并可能导致其比价响应被否决。 </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 xml:space="preserve">0.3 </w:t>
      </w:r>
      <w:r>
        <w:rPr>
          <w:rFonts w:hint="eastAsia" w:ascii="仿宋" w:hAnsi="仿宋" w:eastAsia="仿宋" w:cs="宋体"/>
          <w:color w:val="000000" w:themeColor="text1"/>
          <w14:textFill>
            <w14:solidFill>
              <w14:schemeClr w14:val="tx1"/>
            </w14:solidFill>
          </w14:textFill>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价文件中要求进行解释或提出建议的除外）。</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 xml:space="preserve">0.4 </w:t>
      </w:r>
      <w:r>
        <w:rPr>
          <w:rFonts w:hint="eastAsia" w:ascii="仿宋" w:hAnsi="仿宋" w:eastAsia="仿宋" w:cs="宋体"/>
          <w:color w:val="000000" w:themeColor="text1"/>
          <w14:textFill>
            <w14:solidFill>
              <w14:schemeClr w14:val="tx1"/>
            </w14:solidFill>
          </w14:textFill>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价文件中要求进行解释或提出建议的除外）。</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10</w:t>
      </w:r>
      <w:r>
        <w:rPr>
          <w:rFonts w:hint="eastAsia" w:ascii="仿宋" w:hAnsi="仿宋" w:eastAsia="仿宋" w:cs="宋体"/>
          <w:color w:val="000000" w:themeColor="text1"/>
          <w14:textFill>
            <w14:solidFill>
              <w14:schemeClr w14:val="tx1"/>
            </w14:solidFill>
          </w14:textFill>
        </w:rPr>
        <w:t>.</w:t>
      </w:r>
      <w:r>
        <w:rPr>
          <w:rFonts w:ascii="仿宋" w:hAnsi="仿宋" w:eastAsia="仿宋" w:cs="宋体"/>
          <w:color w:val="000000" w:themeColor="text1"/>
          <w14:textFill>
            <w14:solidFill>
              <w14:schemeClr w14:val="tx1"/>
            </w14:solidFill>
          </w14:textFill>
        </w:rPr>
        <w:t>5</w:t>
      </w:r>
      <w:r>
        <w:rPr>
          <w:rFonts w:hint="eastAsia" w:ascii="仿宋" w:hAnsi="仿宋" w:eastAsia="仿宋" w:cs="宋体"/>
          <w:color w:val="000000" w:themeColor="text1"/>
          <w14:textFill>
            <w14:solidFill>
              <w14:schemeClr w14:val="tx1"/>
            </w14:solidFill>
          </w14:textFill>
        </w:rPr>
        <w:t xml:space="preserve"> 供应商提交的响应文件以及供应商与采购人就有关比价的所有往来函电均应使用中文。供应商提交的证明文件和印刷的文献可以使用另一种语言，但相应内容应当译成中文，在解释响应文件时以中文译本为准。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000000" w:themeColor="text1"/>
          <w:u w:val="single"/>
          <w14:textFill>
            <w14:solidFill>
              <w14:schemeClr w14:val="tx1"/>
            </w14:solidFill>
          </w14:textFill>
        </w:rPr>
      </w:pPr>
      <w:r>
        <w:rPr>
          <w:rFonts w:ascii="仿宋" w:hAnsi="仿宋" w:eastAsia="仿宋" w:cs="宋体"/>
          <w:color w:val="000000" w:themeColor="text1"/>
          <w14:textFill>
            <w14:solidFill>
              <w14:schemeClr w14:val="tx1"/>
            </w14:solidFill>
          </w14:textFill>
        </w:rPr>
        <w:t>10</w:t>
      </w:r>
      <w:r>
        <w:rPr>
          <w:rFonts w:hint="eastAsia" w:ascii="仿宋" w:hAnsi="仿宋" w:eastAsia="仿宋" w:cs="宋体"/>
          <w:color w:val="000000" w:themeColor="text1"/>
          <w14:textFill>
            <w14:solidFill>
              <w14:schemeClr w14:val="tx1"/>
            </w14:solidFill>
          </w14:textFill>
        </w:rPr>
        <w:t>.</w:t>
      </w:r>
      <w:r>
        <w:rPr>
          <w:rFonts w:ascii="仿宋" w:hAnsi="仿宋" w:eastAsia="仿宋" w:cs="宋体"/>
          <w:color w:val="000000" w:themeColor="text1"/>
          <w14:textFill>
            <w14:solidFill>
              <w14:schemeClr w14:val="tx1"/>
            </w14:solidFill>
          </w14:textFill>
        </w:rPr>
        <w:t>6</w:t>
      </w:r>
      <w:r>
        <w:rPr>
          <w:rFonts w:hint="eastAsia" w:ascii="仿宋" w:hAnsi="仿宋" w:eastAsia="仿宋" w:cs="宋体"/>
          <w:color w:val="000000" w:themeColor="text1"/>
          <w14:textFill>
            <w14:solidFill>
              <w14:schemeClr w14:val="tx1"/>
            </w14:solidFill>
          </w14:textFill>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themeColor="text1"/>
          <w14:textFill>
            <w14:solidFill>
              <w14:schemeClr w14:val="tx1"/>
            </w14:solidFill>
          </w14:textFill>
        </w:rPr>
        <w:t>盖章或者签字另有要求的，</w:t>
      </w:r>
      <w:r>
        <w:rPr>
          <w:rFonts w:hint="eastAsia" w:ascii="仿宋" w:hAnsi="仿宋" w:eastAsia="仿宋" w:cs="宋体"/>
          <w:color w:val="000000" w:themeColor="text1"/>
          <w:u w:val="single"/>
          <w14:textFill>
            <w14:solidFill>
              <w14:schemeClr w14:val="tx1"/>
            </w14:solidFill>
          </w14:textFill>
        </w:rPr>
        <w:t>见本须知前附表。</w:t>
      </w:r>
    </w:p>
    <w:bookmarkEnd w:id="60"/>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0.7</w:t>
      </w:r>
      <w:r>
        <w:rPr>
          <w:rFonts w:hint="eastAsia" w:ascii="仿宋" w:hAnsi="仿宋" w:eastAsia="仿宋" w:cs="仿宋"/>
          <w:color w:val="000000" w:themeColor="text1"/>
          <w14:textFill>
            <w14:solidFill>
              <w14:schemeClr w14:val="tx1"/>
            </w14:solidFill>
          </w14:textFill>
        </w:rPr>
        <w:t>除工程规范另有规定外，响应文件使用的度量衡单位，均采用中华人民共和国法定计量单位。</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11.比价响应报价</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供应商应当根据比价文件要求进行报价，供应商应当报出符合比价文件要求的拟提供货物或服务的单价、总价、费率、税率等内容，采购人不接受供应商的任何低于成本报价的不正当竞争方式，其他报价要求</w:t>
      </w:r>
      <w:r>
        <w:rPr>
          <w:rFonts w:hint="eastAsia" w:ascii="仿宋" w:hAnsi="仿宋" w:eastAsia="仿宋" w:cs="仿宋"/>
          <w:color w:val="000000" w:themeColor="text1"/>
          <w14:textFill>
            <w14:solidFill>
              <w14:schemeClr w14:val="tx1"/>
            </w14:solidFill>
          </w14:textFill>
        </w:rPr>
        <w:t>见</w:t>
      </w:r>
      <w:r>
        <w:rPr>
          <w:rFonts w:hint="eastAsia" w:ascii="仿宋" w:hAnsi="仿宋" w:eastAsia="仿宋" w:cs="仿宋"/>
          <w:color w:val="000000" w:themeColor="text1"/>
          <w:u w:val="single"/>
          <w14:textFill>
            <w14:solidFill>
              <w14:schemeClr w14:val="tx1"/>
            </w14:solidFill>
          </w14:textFill>
        </w:rPr>
        <w:t>供应商须知前附表</w:t>
      </w:r>
      <w:r>
        <w:rPr>
          <w:rFonts w:hint="eastAsia" w:ascii="仿宋" w:hAnsi="仿宋" w:eastAsia="仿宋" w:cs="仿宋"/>
          <w:color w:val="000000" w:themeColor="text1"/>
          <w14:textFill>
            <w14:solidFill>
              <w14:schemeClr w14:val="tx1"/>
            </w14:solidFill>
          </w14:textFill>
        </w:rPr>
        <w:t>。</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ascii="仿宋" w:hAnsi="仿宋" w:eastAsia="仿宋" w:cs="仿宋"/>
          <w:color w:val="000000" w:themeColor="text1"/>
          <w:sz w:val="24"/>
          <w:szCs w:val="24"/>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.比价响应有效期</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12</w:t>
      </w:r>
      <w:r>
        <w:rPr>
          <w:rFonts w:hint="eastAsia" w:ascii="仿宋" w:hAnsi="仿宋" w:eastAsia="仿宋" w:cs="宋体"/>
          <w:color w:val="000000" w:themeColor="text1"/>
          <w14:textFill>
            <w14:solidFill>
              <w14:schemeClr w14:val="tx1"/>
            </w14:solidFill>
          </w14:textFill>
        </w:rPr>
        <w:t>.1 比价响应有效期从响应文件递交截止之日起算，具体时间</w:t>
      </w:r>
      <w:r>
        <w:rPr>
          <w:rFonts w:hint="eastAsia" w:ascii="仿宋" w:hAnsi="仿宋" w:eastAsia="仿宋" w:cs="宋体"/>
          <w:color w:val="000000" w:themeColor="text1"/>
          <w:u w:val="single"/>
          <w14:textFill>
            <w14:solidFill>
              <w14:schemeClr w14:val="tx1"/>
            </w14:solidFill>
          </w14:textFill>
        </w:rPr>
        <w:t>见本须知前附表</w:t>
      </w:r>
      <w:r>
        <w:rPr>
          <w:rFonts w:hint="eastAsia" w:ascii="仿宋" w:hAnsi="仿宋" w:eastAsia="仿宋" w:cs="宋体"/>
          <w:color w:val="000000" w:themeColor="text1"/>
          <w14:textFill>
            <w14:solidFill>
              <w14:schemeClr w14:val="tx1"/>
            </w14:solidFill>
          </w14:textFill>
        </w:rPr>
        <w:t>，在此期间，供应商不得要求撤销或修改其响应文件。供应商承诺的比价响应有效期必须不短于比价文件规定的比价响应有效期，否则将构成对比价文件的非实质性响应，比价响应将被否决。</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12</w:t>
      </w:r>
      <w:r>
        <w:rPr>
          <w:rFonts w:hint="eastAsia" w:ascii="仿宋" w:hAnsi="仿宋" w:eastAsia="仿宋" w:cs="宋体"/>
          <w:color w:val="000000" w:themeColor="text1"/>
          <w14:textFill>
            <w14:solidFill>
              <w14:schemeClr w14:val="tx1"/>
            </w14:solidFill>
          </w14:textFill>
        </w:rPr>
        <w:t>.2 在原比价响应有效期结束前，出现特殊情况的，采购人可以书面形式要求所有供应商延长比价响应有效期。供应商同意延长的，不得要求或被允许修改其响应文件的实质性内容。供应商拒绝延长的，其比价响应失效。</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.响应文件的式样、密封和标记</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13</w:t>
      </w:r>
      <w:r>
        <w:rPr>
          <w:rFonts w:hint="eastAsia" w:ascii="仿宋" w:hAnsi="仿宋" w:eastAsia="仿宋" w:cs="宋体"/>
          <w:color w:val="000000" w:themeColor="text1"/>
          <w14:textFill>
            <w14:solidFill>
              <w14:schemeClr w14:val="tx1"/>
            </w14:solidFill>
          </w14:textFill>
        </w:rPr>
        <w:t>.1 供应商应当编制一份响应文件“正本”和</w:t>
      </w:r>
      <w:r>
        <w:rPr>
          <w:rFonts w:hint="eastAsia" w:ascii="仿宋" w:hAnsi="仿宋" w:eastAsia="仿宋" w:cs="宋体"/>
          <w:color w:val="000000" w:themeColor="text1"/>
          <w:u w:val="single"/>
          <w14:textFill>
            <w14:solidFill>
              <w14:schemeClr w14:val="tx1"/>
            </w14:solidFill>
          </w14:textFill>
        </w:rPr>
        <w:t>本须知前附表</w:t>
      </w:r>
      <w:r>
        <w:rPr>
          <w:rFonts w:hint="eastAsia" w:ascii="仿宋" w:hAnsi="仿宋" w:eastAsia="仿宋" w:cs="宋体"/>
          <w:color w:val="000000" w:themeColor="text1"/>
          <w14:textFill>
            <w14:solidFill>
              <w14:schemeClr w14:val="tx1"/>
            </w14:solidFill>
          </w14:textFill>
        </w:rPr>
        <w:t>所述份数的“副本”和“电子版”，副本为正本复印件。纸质版文件与电子版文件不一致时，以</w:t>
      </w:r>
      <w:r>
        <w:rPr>
          <w:rFonts w:hint="eastAsia" w:ascii="仿宋" w:hAnsi="仿宋" w:eastAsia="仿宋" w:cs="宋体"/>
          <w:b/>
          <w:bCs/>
          <w:color w:val="000000" w:themeColor="text1"/>
          <w:lang w:eastAsia="zh-Hans"/>
          <w14:textFill>
            <w14:solidFill>
              <w14:schemeClr w14:val="tx1"/>
            </w14:solidFill>
          </w14:textFill>
        </w:rPr>
        <w:t>纸质版</w:t>
      </w:r>
      <w:r>
        <w:rPr>
          <w:rFonts w:hint="eastAsia" w:ascii="仿宋" w:hAnsi="仿宋" w:eastAsia="仿宋" w:cs="宋体"/>
          <w:color w:val="000000" w:themeColor="text1"/>
          <w14:textFill>
            <w14:solidFill>
              <w14:schemeClr w14:val="tx1"/>
            </w14:solidFill>
          </w14:textFill>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13</w:t>
      </w:r>
      <w:r>
        <w:rPr>
          <w:rFonts w:hint="eastAsia" w:ascii="仿宋" w:hAnsi="仿宋" w:eastAsia="仿宋" w:cs="宋体"/>
          <w:color w:val="000000" w:themeColor="text1"/>
          <w14:textFill>
            <w14:solidFill>
              <w14:schemeClr w14:val="tx1"/>
            </w14:solidFill>
          </w14:textFill>
        </w:rPr>
        <w:t>.2 每份纸质文件响应文件的正本、副本应当分别装订，并于封面上明确标明“正本”“副本”字样。具体要求</w:t>
      </w:r>
      <w:r>
        <w:rPr>
          <w:rFonts w:hint="eastAsia" w:ascii="仿宋" w:hAnsi="仿宋" w:eastAsia="仿宋" w:cs="宋体"/>
          <w:color w:val="000000" w:themeColor="text1"/>
          <w:u w:val="single"/>
          <w14:textFill>
            <w14:solidFill>
              <w14:schemeClr w14:val="tx1"/>
            </w14:solidFill>
          </w14:textFill>
        </w:rPr>
        <w:t>见本须知前附表</w:t>
      </w:r>
      <w:r>
        <w:rPr>
          <w:rFonts w:hint="eastAsia" w:ascii="仿宋" w:hAnsi="仿宋" w:eastAsia="仿宋" w:cs="宋体"/>
          <w:color w:val="000000" w:themeColor="text1"/>
          <w14:textFill>
            <w14:solidFill>
              <w14:schemeClr w14:val="tx1"/>
            </w14:solidFill>
          </w14:textFill>
        </w:rPr>
        <w:t>。</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13</w:t>
      </w:r>
      <w:r>
        <w:rPr>
          <w:rFonts w:hint="eastAsia" w:ascii="仿宋" w:hAnsi="仿宋" w:eastAsia="仿宋" w:cs="宋体"/>
          <w:color w:val="000000" w:themeColor="text1"/>
          <w14:textFill>
            <w14:solidFill>
              <w14:schemeClr w14:val="tx1"/>
            </w14:solidFill>
          </w14:textFill>
        </w:rPr>
        <w:t>.</w:t>
      </w:r>
      <w:r>
        <w:rPr>
          <w:rFonts w:ascii="仿宋" w:hAnsi="仿宋" w:eastAsia="仿宋" w:cs="宋体"/>
          <w:color w:val="000000" w:themeColor="text1"/>
          <w14:textFill>
            <w14:solidFill>
              <w14:schemeClr w14:val="tx1"/>
            </w14:solidFill>
          </w14:textFill>
        </w:rPr>
        <w:t>3</w:t>
      </w:r>
      <w:r>
        <w:rPr>
          <w:rFonts w:hint="eastAsia" w:ascii="仿宋" w:hAnsi="仿宋" w:eastAsia="仿宋" w:cs="宋体"/>
          <w:color w:val="000000" w:themeColor="text1"/>
          <w14:textFill>
            <w14:solidFill>
              <w14:schemeClr w14:val="tx1"/>
            </w14:solidFill>
          </w14:textFill>
        </w:rPr>
        <w:t xml:space="preserve"> 对于比价文件中提及的原件或复印件要求，照片件、扫描件、影印件、截图件等与其具有同等效力（比价文件有特殊要求的除外）。</w:t>
      </w:r>
    </w:p>
    <w:p>
      <w:pPr>
        <w:pStyle w:val="5"/>
        <w:spacing w:after="0" w:line="360" w:lineRule="auto"/>
        <w:ind w:firstLine="482"/>
        <w:rPr>
          <w:rFonts w:ascii="仿宋" w:hAnsi="仿宋" w:eastAsia="仿宋" w:cs="仿宋"/>
          <w:color w:val="000000" w:themeColor="text1"/>
          <w:sz w:val="24"/>
          <w:szCs w:val="24"/>
          <w14:textFill>
            <w14:solidFill>
              <w14:schemeClr w14:val="tx1"/>
            </w14:solidFill>
          </w14:textFill>
        </w:rPr>
      </w:pPr>
      <w:bookmarkStart w:id="61" w:name="_Toc287600122"/>
      <w:bookmarkStart w:id="62" w:name="_Toc19783317"/>
      <w:bookmarkStart w:id="63" w:name="_Toc14726"/>
      <w:bookmarkStart w:id="64" w:name="_Toc21600"/>
      <w:bookmarkStart w:id="65" w:name="_Toc517281820"/>
      <w:bookmarkStart w:id="66" w:name="_Toc4155"/>
      <w:bookmarkStart w:id="67" w:name="_Toc7129"/>
      <w:bookmarkStart w:id="68" w:name="_Toc18673"/>
      <w:bookmarkStart w:id="69" w:name="_Toc444891340"/>
      <w:bookmarkStart w:id="70" w:name="_Toc17865"/>
      <w:bookmarkStart w:id="71" w:name="_Toc9011"/>
      <w:r>
        <w:rPr>
          <w:rFonts w:hint="eastAsia" w:ascii="仿宋" w:hAnsi="仿宋" w:eastAsia="仿宋" w:cs="仿宋"/>
          <w:color w:val="000000" w:themeColor="text1"/>
          <w:sz w:val="24"/>
          <w:szCs w:val="24"/>
          <w14:textFill>
            <w14:solidFill>
              <w14:schemeClr w14:val="tx1"/>
            </w14:solidFill>
          </w14:textFill>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000000" w:themeColor="text1"/>
          <w:sz w:val="24"/>
          <w:szCs w:val="24"/>
          <w14:textFill>
            <w14:solidFill>
              <w14:schemeClr w14:val="tx1"/>
            </w14:solidFill>
          </w14:textFill>
        </w:rPr>
        <w:t>递交</w:t>
      </w:r>
      <w:bookmarkEnd w:id="70"/>
      <w:bookmarkEnd w:id="71"/>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ascii="仿宋" w:hAnsi="仿宋" w:eastAsia="仿宋" w:cs="仿宋"/>
          <w:color w:val="000000" w:themeColor="text1"/>
          <w:sz w:val="24"/>
          <w:szCs w:val="24"/>
          <w14:textFill>
            <w14:solidFill>
              <w14:schemeClr w14:val="tx1"/>
            </w14:solidFill>
          </w14:textFill>
        </w:rPr>
        <w:t>4</w:t>
      </w:r>
      <w:r>
        <w:rPr>
          <w:rFonts w:hint="eastAsia" w:ascii="仿宋" w:hAnsi="仿宋" w:eastAsia="仿宋" w:cs="仿宋"/>
          <w:color w:val="000000" w:themeColor="text1"/>
          <w:sz w:val="24"/>
          <w:szCs w:val="24"/>
          <w14:textFill>
            <w14:solidFill>
              <w14:schemeClr w14:val="tx1"/>
            </w14:solidFill>
          </w14:textFill>
        </w:rPr>
        <w:t>.响应文件的递交</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4</w:t>
      </w:r>
      <w:r>
        <w:rPr>
          <w:rFonts w:hint="eastAsia" w:ascii="仿宋" w:hAnsi="仿宋" w:eastAsia="仿宋" w:cs="仿宋"/>
          <w:color w:val="000000" w:themeColor="text1"/>
          <w14:textFill>
            <w14:solidFill>
              <w14:schemeClr w14:val="tx1"/>
            </w14:solidFill>
          </w14:textFill>
        </w:rPr>
        <w:t>.1供应商应按</w:t>
      </w:r>
      <w:r>
        <w:rPr>
          <w:rFonts w:hint="eastAsia" w:ascii="仿宋" w:hAnsi="仿宋" w:eastAsia="仿宋" w:cs="仿宋"/>
          <w:color w:val="000000" w:themeColor="text1"/>
          <w:u w:val="single"/>
          <w14:textFill>
            <w14:solidFill>
              <w14:schemeClr w14:val="tx1"/>
            </w14:solidFill>
          </w14:textFill>
        </w:rPr>
        <w:t>本须知前附表</w:t>
      </w:r>
      <w:r>
        <w:rPr>
          <w:rFonts w:hint="eastAsia" w:ascii="仿宋" w:hAnsi="仿宋" w:eastAsia="仿宋" w:cs="仿宋"/>
          <w:color w:val="000000" w:themeColor="text1"/>
          <w14:textFill>
            <w14:solidFill>
              <w14:schemeClr w14:val="tx1"/>
            </w14:solidFill>
          </w14:textFill>
        </w:rPr>
        <w:t>规定的时间、方式递交响应文件。</w:t>
      </w:r>
    </w:p>
    <w:p>
      <w:pPr>
        <w:spacing w:line="360" w:lineRule="auto"/>
        <w:rPr>
          <w:rFonts w:ascii="仿宋" w:hAnsi="仿宋" w:eastAsia="仿宋" w:cs="宋体"/>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14:textFill>
            <w14:solidFill>
              <w14:schemeClr w14:val="tx1"/>
            </w14:solidFill>
          </w14:textFill>
        </w:rPr>
        <w:t>.2出现下列情形之一时，</w:t>
      </w:r>
      <w:r>
        <w:rPr>
          <w:rFonts w:hint="eastAsia" w:ascii="仿宋" w:hAnsi="仿宋" w:eastAsia="仿宋" w:cs="宋体"/>
          <w:b/>
          <w:bCs/>
          <w:color w:val="000000" w:themeColor="text1"/>
          <w14:textFill>
            <w14:solidFill>
              <w14:schemeClr w14:val="tx1"/>
            </w14:solidFill>
          </w14:textFill>
        </w:rPr>
        <w:t>响应文件不予接收或已经递交的响应文件无效；</w:t>
      </w:r>
    </w:p>
    <w:p>
      <w:pPr>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（1）电子响应文件逾期递交的；</w:t>
      </w:r>
    </w:p>
    <w:p>
      <w:pPr>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（2）纸质响应文件逾期递交或者未送达指定地点或者未按照比价文件要求封装的；</w:t>
      </w:r>
    </w:p>
    <w:p>
      <w:pPr>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w:t>
      </w:r>
      <w:r>
        <w:rPr>
          <w:rFonts w:ascii="仿宋" w:hAnsi="仿宋" w:eastAsia="仿宋" w:cs="宋体"/>
          <w:color w:val="000000" w:themeColor="text1"/>
          <w14:textFill>
            <w14:solidFill>
              <w14:schemeClr w14:val="tx1"/>
            </w14:solidFill>
          </w14:textFill>
        </w:rPr>
        <w:t>3</w:t>
      </w:r>
      <w:r>
        <w:rPr>
          <w:rFonts w:hint="eastAsia" w:ascii="仿宋" w:hAnsi="仿宋" w:eastAsia="仿宋" w:cs="宋体"/>
          <w:color w:val="000000" w:themeColor="text1"/>
          <w14:textFill>
            <w14:solidFill>
              <w14:schemeClr w14:val="tx1"/>
            </w14:solidFill>
          </w14:textFill>
        </w:rPr>
        <w:t>）未按比价公告或者响应公告书要求获得本项目比价文件的。</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15</w:t>
      </w:r>
      <w:r>
        <w:rPr>
          <w:rFonts w:hint="eastAsia" w:ascii="仿宋" w:hAnsi="仿宋" w:eastAsia="仿宋" w:cs="仿宋"/>
          <w:color w:val="000000" w:themeColor="text1"/>
          <w:sz w:val="24"/>
          <w:szCs w:val="24"/>
          <w14:textFill>
            <w14:solidFill>
              <w14:schemeClr w14:val="tx1"/>
            </w14:solidFill>
          </w14:textFill>
        </w:rPr>
        <w:t>.响应文件的修改、撤回和撤销</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15</w:t>
      </w:r>
      <w:r>
        <w:rPr>
          <w:rFonts w:hint="eastAsia" w:ascii="仿宋" w:hAnsi="仿宋" w:eastAsia="仿宋" w:cs="仿宋"/>
          <w:color w:val="000000" w:themeColor="text1"/>
          <w14:textFill>
            <w14:solidFill>
              <w14:schemeClr w14:val="tx1"/>
            </w14:solidFill>
          </w14:textFill>
        </w:rPr>
        <w:t>.1</w:t>
      </w:r>
      <w:r>
        <w:rPr>
          <w:rFonts w:hint="eastAsia" w:ascii="仿宋" w:hAnsi="仿宋" w:eastAsia="仿宋" w:cs="宋体"/>
          <w:color w:val="000000" w:themeColor="text1"/>
          <w:spacing w:val="-4"/>
          <w14:textFill>
            <w14:solidFill>
              <w14:schemeClr w14:val="tx1"/>
            </w14:solidFill>
          </w14:textFill>
        </w:rPr>
        <w:t>在</w:t>
      </w:r>
      <w:r>
        <w:rPr>
          <w:rFonts w:hint="eastAsia" w:ascii="仿宋" w:hAnsi="仿宋" w:eastAsia="仿宋" w:cs="宋体"/>
          <w:color w:val="000000" w:themeColor="text1"/>
          <w14:textFill>
            <w14:solidFill>
              <w14:schemeClr w14:val="tx1"/>
            </w14:solidFill>
          </w14:textFill>
        </w:rPr>
        <w:t>比价文件</w:t>
      </w:r>
      <w:r>
        <w:rPr>
          <w:rFonts w:hint="eastAsia" w:ascii="仿宋" w:hAnsi="仿宋" w:eastAsia="仿宋" w:cs="宋体"/>
          <w:color w:val="000000" w:themeColor="text1"/>
          <w:spacing w:val="-4"/>
          <w14:textFill>
            <w14:solidFill>
              <w14:schemeClr w14:val="tx1"/>
            </w14:solidFill>
          </w14:textFill>
        </w:rPr>
        <w:t>规定的</w:t>
      </w:r>
      <w:r>
        <w:rPr>
          <w:rFonts w:hint="eastAsia" w:ascii="仿宋" w:hAnsi="仿宋" w:eastAsia="仿宋" w:cs="仿宋"/>
          <w:color w:val="000000" w:themeColor="text1"/>
          <w14:textFill>
            <w14:solidFill>
              <w14:schemeClr w14:val="tx1"/>
            </w14:solidFill>
          </w14:textFill>
        </w:rPr>
        <w:t>响应文件</w:t>
      </w:r>
      <w:r>
        <w:rPr>
          <w:rFonts w:hint="eastAsia" w:ascii="仿宋" w:hAnsi="仿宋" w:eastAsia="仿宋" w:cs="宋体"/>
          <w:color w:val="000000" w:themeColor="text1"/>
          <w:spacing w:val="-4"/>
          <w14:textFill>
            <w14:solidFill>
              <w14:schemeClr w14:val="tx1"/>
            </w14:solidFill>
          </w14:textFill>
        </w:rPr>
        <w:t>递交截止时间前，</w:t>
      </w:r>
      <w:r>
        <w:rPr>
          <w:rFonts w:hint="eastAsia" w:ascii="仿宋" w:hAnsi="仿宋" w:eastAsia="仿宋" w:cs="宋体"/>
          <w:color w:val="000000" w:themeColor="text1"/>
          <w14:textFill>
            <w14:solidFill>
              <w14:schemeClr w14:val="tx1"/>
            </w14:solidFill>
          </w14:textFill>
        </w:rPr>
        <w:t>可以补充、修改或撤回已提交的响应文件。</w:t>
      </w:r>
      <w:r>
        <w:rPr>
          <w:rFonts w:ascii="仿宋" w:hAnsi="仿宋" w:eastAsia="仿宋" w:cs="宋体"/>
          <w:color w:val="000000" w:themeColor="text1"/>
          <w14:textFill>
            <w14:solidFill>
              <w14:schemeClr w14:val="tx1"/>
            </w14:solidFill>
          </w14:textFill>
        </w:rPr>
        <w:t>补充、修改的内容为</w:t>
      </w:r>
      <w:r>
        <w:rPr>
          <w:rFonts w:hint="eastAsia" w:ascii="仿宋" w:hAnsi="仿宋" w:eastAsia="仿宋" w:cs="宋体"/>
          <w:color w:val="000000" w:themeColor="text1"/>
          <w14:textFill>
            <w14:solidFill>
              <w14:schemeClr w14:val="tx1"/>
            </w14:solidFill>
          </w14:textFill>
        </w:rPr>
        <w:t>响应</w:t>
      </w:r>
      <w:r>
        <w:rPr>
          <w:rFonts w:ascii="仿宋" w:hAnsi="仿宋" w:eastAsia="仿宋" w:cs="宋体"/>
          <w:color w:val="000000" w:themeColor="text1"/>
          <w14:textFill>
            <w14:solidFill>
              <w14:schemeClr w14:val="tx1"/>
            </w14:solidFill>
          </w14:textFill>
        </w:rPr>
        <w:t>文件的组成部分</w:t>
      </w:r>
      <w:r>
        <w:rPr>
          <w:rFonts w:hint="eastAsia" w:ascii="仿宋" w:hAnsi="仿宋" w:eastAsia="仿宋" w:cs="宋体"/>
          <w:color w:val="000000" w:themeColor="text1"/>
          <w14:textFill>
            <w14:solidFill>
              <w14:schemeClr w14:val="tx1"/>
            </w14:solidFill>
          </w14:textFill>
        </w:rPr>
        <w:t>，应当在响应文件递交截止时间前按照比价文件的规定进行递交。</w:t>
      </w:r>
    </w:p>
    <w:p>
      <w:pPr>
        <w:pStyle w:val="2"/>
        <w:spacing w:line="360" w:lineRule="auto"/>
        <w:rPr>
          <w:color w:val="000000" w:themeColor="text1"/>
          <w14:textFill>
            <w14:solidFill>
              <w14:schemeClr w14:val="tx1"/>
            </w14:solidFill>
          </w14:textFill>
        </w:rPr>
      </w:pPr>
      <w:bookmarkStart w:id="72" w:name="_Toc247085716"/>
      <w:bookmarkStart w:id="73" w:name="_Toc144974526"/>
      <w:bookmarkStart w:id="74" w:name="_Toc152045558"/>
      <w:bookmarkStart w:id="75" w:name="_Toc326223561"/>
      <w:bookmarkStart w:id="76" w:name="_Toc152042334"/>
      <w:bookmarkStart w:id="77" w:name="_Toc332188194"/>
      <w:bookmarkStart w:id="78" w:name="_Toc334766948"/>
      <w:bookmarkStart w:id="79" w:name="_Toc246996202"/>
      <w:bookmarkStart w:id="80" w:name="_Toc246996945"/>
      <w:bookmarkStart w:id="81" w:name="_Toc179632576"/>
      <w:r>
        <w:rPr>
          <w:rFonts w:ascii="仿宋" w:hAnsi="仿宋" w:eastAsia="仿宋" w:cs="仿宋"/>
          <w:color w:val="000000" w:themeColor="text1"/>
          <w14:textFill>
            <w14:solidFill>
              <w14:schemeClr w14:val="tx1"/>
            </w14:solidFill>
          </w14:textFill>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000000" w:themeColor="text1"/>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响应文件递交截止时间后，供应商在响应有效期内撤销其响应文件，比价保证金不予退还。</w:t>
      </w:r>
    </w:p>
    <w:p>
      <w:pPr>
        <w:pStyle w:val="5"/>
        <w:spacing w:before="0" w:after="0" w:line="360" w:lineRule="auto"/>
        <w:ind w:firstLine="482"/>
        <w:rPr>
          <w:rFonts w:ascii="仿宋" w:hAnsi="仿宋" w:eastAsia="仿宋" w:cs="仿宋"/>
          <w:color w:val="000000" w:themeColor="text1"/>
          <w:sz w:val="24"/>
          <w:szCs w:val="24"/>
          <w14:textFill>
            <w14:solidFill>
              <w14:schemeClr w14:val="tx1"/>
            </w14:solidFill>
          </w14:textFill>
        </w:rPr>
      </w:pPr>
      <w:bookmarkStart w:id="82" w:name="_Toc12797"/>
      <w:bookmarkStart w:id="83" w:name="_Toc287600123"/>
      <w:bookmarkStart w:id="84" w:name="_Toc11361"/>
      <w:bookmarkStart w:id="85" w:name="_Toc2636"/>
      <w:bookmarkStart w:id="86" w:name="_Toc444891341"/>
      <w:bookmarkStart w:id="87" w:name="_Toc20575"/>
      <w:bookmarkStart w:id="88" w:name="_Toc20741"/>
      <w:bookmarkStart w:id="89" w:name="_Toc2055"/>
      <w:bookmarkStart w:id="90" w:name="_Toc30466"/>
      <w:bookmarkStart w:id="91" w:name="_Toc517281821"/>
      <w:r>
        <w:rPr>
          <w:rFonts w:hint="eastAsia" w:ascii="仿宋" w:hAnsi="仿宋" w:eastAsia="仿宋" w:cs="仿宋"/>
          <w:color w:val="000000" w:themeColor="text1"/>
          <w:sz w:val="24"/>
          <w:szCs w:val="24"/>
          <w14:textFill>
            <w14:solidFill>
              <w14:schemeClr w14:val="tx1"/>
            </w14:solidFill>
          </w14:textFill>
        </w:rPr>
        <w:t>（五）比价和评审</w:t>
      </w:r>
      <w:bookmarkEnd w:id="82"/>
      <w:bookmarkEnd w:id="83"/>
      <w:bookmarkEnd w:id="84"/>
      <w:bookmarkEnd w:id="85"/>
      <w:bookmarkEnd w:id="86"/>
      <w:bookmarkEnd w:id="87"/>
      <w:bookmarkEnd w:id="88"/>
      <w:bookmarkEnd w:id="89"/>
      <w:bookmarkEnd w:id="90"/>
      <w:bookmarkEnd w:id="91"/>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bookmarkStart w:id="92" w:name="_Toc234223229"/>
      <w:bookmarkStart w:id="93" w:name="_Toc234223227"/>
      <w:r>
        <w:rPr>
          <w:rFonts w:ascii="仿宋" w:hAnsi="仿宋" w:eastAsia="仿宋" w:cs="仿宋"/>
          <w:color w:val="000000" w:themeColor="text1"/>
          <w:sz w:val="24"/>
          <w:szCs w:val="24"/>
          <w14:textFill>
            <w14:solidFill>
              <w14:schemeClr w14:val="tx1"/>
            </w14:solidFill>
          </w14:textFill>
        </w:rPr>
        <w:t>16</w:t>
      </w:r>
      <w:r>
        <w:rPr>
          <w:rFonts w:hint="eastAsia" w:ascii="仿宋" w:hAnsi="仿宋" w:eastAsia="仿宋" w:cs="仿宋"/>
          <w:color w:val="000000" w:themeColor="text1"/>
          <w:sz w:val="24"/>
          <w:szCs w:val="24"/>
          <w14:textFill>
            <w14:solidFill>
              <w14:schemeClr w14:val="tx1"/>
            </w14:solidFill>
          </w14:textFill>
        </w:rPr>
        <w:t>.组建</w:t>
      </w:r>
      <w:bookmarkEnd w:id="92"/>
      <w:r>
        <w:rPr>
          <w:rFonts w:hint="eastAsia" w:ascii="仿宋" w:hAnsi="仿宋" w:eastAsia="仿宋" w:cs="仿宋"/>
          <w:color w:val="000000" w:themeColor="text1"/>
          <w:sz w:val="24"/>
          <w:szCs w:val="24"/>
          <w14:textFill>
            <w14:solidFill>
              <w14:schemeClr w14:val="tx1"/>
            </w14:solidFill>
          </w14:textFill>
        </w:rPr>
        <w:t>比价小组</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6.1</w:t>
      </w:r>
      <w:r>
        <w:rPr>
          <w:rFonts w:hint="eastAsia" w:ascii="仿宋" w:hAnsi="仿宋" w:eastAsia="仿宋" w:cs="宋体"/>
          <w:color w:val="000000" w:themeColor="text1"/>
          <w14:textFill>
            <w14:solidFill>
              <w14:schemeClr w14:val="tx1"/>
            </w14:solidFill>
          </w14:textFill>
        </w:rPr>
        <w:t>采购人依照企业采购管理制度的相关规定组建比价小组，具体人数</w:t>
      </w:r>
      <w:r>
        <w:rPr>
          <w:rFonts w:hint="eastAsia" w:ascii="仿宋" w:hAnsi="仿宋" w:eastAsia="仿宋" w:cs="仿宋"/>
          <w:color w:val="000000" w:themeColor="text1"/>
          <w14:textFill>
            <w14:solidFill>
              <w14:schemeClr w14:val="tx1"/>
            </w14:solidFill>
          </w14:textFill>
        </w:rPr>
        <w:t>见</w:t>
      </w:r>
      <w:r>
        <w:rPr>
          <w:rFonts w:hint="eastAsia" w:ascii="仿宋" w:hAnsi="仿宋" w:eastAsia="仿宋" w:cs="仿宋"/>
          <w:color w:val="000000" w:themeColor="text1"/>
          <w:u w:val="single"/>
          <w14:textFill>
            <w14:solidFill>
              <w14:schemeClr w14:val="tx1"/>
            </w14:solidFill>
          </w14:textFill>
        </w:rPr>
        <w:t>本须知前附表</w:t>
      </w:r>
      <w:r>
        <w:rPr>
          <w:rFonts w:hint="eastAsia" w:ascii="仿宋" w:hAnsi="仿宋" w:eastAsia="仿宋" w:cs="宋体"/>
          <w:color w:val="000000" w:themeColor="text1"/>
          <w14:textFill>
            <w14:solidFill>
              <w14:schemeClr w14:val="tx1"/>
            </w14:solidFill>
          </w14:textFill>
        </w:rPr>
        <w:t>，比价小组成员名单在成交结果确定前保密。</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6.2</w:t>
      </w:r>
      <w:r>
        <w:rPr>
          <w:rFonts w:hint="eastAsia" w:ascii="仿宋" w:hAnsi="仿宋" w:eastAsia="仿宋" w:cs="宋体"/>
          <w:color w:val="000000" w:themeColor="text1"/>
          <w14:textFill>
            <w14:solidFill>
              <w14:schemeClr w14:val="tx1"/>
            </w14:solidFill>
          </w14:textFill>
        </w:rPr>
        <w:t>比价小组成员应当按照客观、公正、审慎的原则，根据比价文件规定的评审程序、评审方法和评审标准进行独立评审。</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bookmarkStart w:id="94" w:name="_Toc234223228"/>
      <w:r>
        <w:rPr>
          <w:rFonts w:ascii="仿宋" w:hAnsi="仿宋" w:eastAsia="仿宋" w:cs="仿宋"/>
          <w:color w:val="000000" w:themeColor="text1"/>
          <w:sz w:val="24"/>
          <w:szCs w:val="24"/>
          <w14:textFill>
            <w14:solidFill>
              <w14:schemeClr w14:val="tx1"/>
            </w14:solidFill>
          </w14:textFill>
        </w:rPr>
        <w:t>17</w:t>
      </w:r>
      <w:r>
        <w:rPr>
          <w:rFonts w:hint="eastAsia" w:ascii="仿宋" w:hAnsi="仿宋" w:eastAsia="仿宋" w:cs="仿宋"/>
          <w:color w:val="000000" w:themeColor="text1"/>
          <w:sz w:val="24"/>
          <w:szCs w:val="24"/>
          <w14:textFill>
            <w14:solidFill>
              <w14:schemeClr w14:val="tx1"/>
            </w14:solidFill>
          </w14:textFill>
        </w:rPr>
        <w:t>.初步评审</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7.1</w:t>
      </w:r>
      <w:r>
        <w:rPr>
          <w:rFonts w:hint="eastAsia" w:ascii="仿宋" w:hAnsi="仿宋" w:eastAsia="仿宋" w:cs="宋体"/>
          <w:color w:val="000000" w:themeColor="text1"/>
          <w14:textFill>
            <w14:solidFill>
              <w14:schemeClr w14:val="tx1"/>
            </w14:solidFill>
          </w14:textFill>
        </w:rPr>
        <w:t>比价小组按照第三章评审办法中初步评审的内容及要求，对响应文件进行初步评审。未通过初步评审的供应商，其比价响应将被否决，不进入详细评审等后续环节。</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7.2</w:t>
      </w:r>
      <w:r>
        <w:rPr>
          <w:rFonts w:hint="eastAsia" w:ascii="仿宋" w:hAnsi="仿宋" w:eastAsia="仿宋" w:cs="宋体"/>
          <w:color w:val="000000" w:themeColor="text1"/>
          <w14:textFill>
            <w14:solidFill>
              <w14:schemeClr w14:val="tx1"/>
            </w14:solidFill>
          </w14:textFill>
        </w:rPr>
        <w:t>比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7.3</w:t>
      </w:r>
      <w:r>
        <w:rPr>
          <w:rFonts w:hint="eastAsia" w:ascii="仿宋" w:hAnsi="仿宋" w:eastAsia="仿宋" w:cs="宋体"/>
          <w:color w:val="000000" w:themeColor="text1"/>
          <w14:textFill>
            <w14:solidFill>
              <w14:schemeClr w14:val="tx1"/>
            </w14:solidFill>
          </w14:textFill>
        </w:rPr>
        <w:t>比价小组对供应商递交的澄清、说明或补正有疑问的，可以要求供应商进一步澄清、说明或者补正，直至满足比价小组的要求。拒不按要求进行澄清、说明或者补正的供应商</w:t>
      </w:r>
      <w:r>
        <w:rPr>
          <w:rFonts w:hint="eastAsia" w:ascii="仿宋" w:hAnsi="仿宋" w:eastAsia="仿宋" w:cs="仿宋"/>
          <w:b/>
          <w:bCs/>
          <w:color w:val="000000" w:themeColor="text1"/>
          <w14:textFill>
            <w14:solidFill>
              <w14:schemeClr w14:val="tx1"/>
            </w14:solidFill>
          </w14:textFill>
        </w:rPr>
        <w:t>，比价小组有权对其响应做否决处理。</w:t>
      </w:r>
    </w:p>
    <w:p>
      <w:pPr>
        <w:topLinePunct/>
        <w:spacing w:line="360" w:lineRule="auto"/>
        <w:rPr>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7.4</w:t>
      </w:r>
      <w:r>
        <w:rPr>
          <w:rFonts w:hint="eastAsia" w:ascii="仿宋" w:hAnsi="仿宋" w:eastAsia="仿宋" w:cs="宋体"/>
          <w:color w:val="000000" w:themeColor="text1"/>
          <w14:textFill>
            <w14:solidFill>
              <w14:schemeClr w14:val="tx1"/>
            </w14:solidFill>
          </w14:textFill>
        </w:rPr>
        <w:t>比价小组必要时可以要求供应商提交有关证明和证件的原件，以便核验。拒不按要求提供原件的供应商，</w:t>
      </w:r>
      <w:r>
        <w:rPr>
          <w:rFonts w:hint="eastAsia" w:ascii="仿宋" w:hAnsi="仿宋" w:eastAsia="仿宋" w:cs="仿宋"/>
          <w:b/>
          <w:bCs/>
          <w:color w:val="000000" w:themeColor="text1"/>
          <w14:textFill>
            <w14:solidFill>
              <w14:schemeClr w14:val="tx1"/>
            </w14:solidFill>
          </w14:textFill>
        </w:rPr>
        <w:t>比价小组有权对其响应做否决处理。</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ascii="仿宋" w:hAnsi="仿宋" w:eastAsia="仿宋" w:cs="仿宋"/>
          <w:color w:val="000000" w:themeColor="text1"/>
          <w:sz w:val="24"/>
          <w:szCs w:val="24"/>
          <w14:textFill>
            <w14:solidFill>
              <w14:schemeClr w14:val="tx1"/>
            </w14:solidFill>
          </w14:textFill>
        </w:rPr>
        <w:t>8.</w:t>
      </w:r>
      <w:r>
        <w:rPr>
          <w:rFonts w:hint="eastAsia" w:ascii="仿宋" w:hAnsi="仿宋" w:eastAsia="仿宋" w:cs="仿宋"/>
          <w:color w:val="000000" w:themeColor="text1"/>
          <w:sz w:val="24"/>
          <w:szCs w:val="24"/>
          <w14:textFill>
            <w14:solidFill>
              <w14:schemeClr w14:val="tx1"/>
            </w14:solidFill>
          </w14:textFill>
        </w:rPr>
        <w:t>比价程序</w:t>
      </w:r>
    </w:p>
    <w:p>
      <w:pPr>
        <w:spacing w:line="360" w:lineRule="auto"/>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14:textFill>
            <w14:solidFill>
              <w14:schemeClr w14:val="tx1"/>
            </w14:solidFill>
          </w14:textFill>
        </w:rPr>
        <w:t>18</w:t>
      </w:r>
      <w:r>
        <w:rPr>
          <w:rFonts w:hint="eastAsia" w:ascii="仿宋" w:hAnsi="仿宋" w:eastAsia="仿宋" w:cs="仿宋"/>
          <w:color w:val="000000" w:themeColor="text1"/>
          <w14:textFill>
            <w14:solidFill>
              <w14:schemeClr w14:val="tx1"/>
            </w14:solidFill>
          </w14:textFill>
        </w:rPr>
        <w:t>.1比价小组所有成员应当集中与通过初步评审的单一供应商分别进行比价，并给予所有参加比价的供应商平等的比价机会。供应商比价顺序、比价形式以及其他要求等</w:t>
      </w:r>
      <w:r>
        <w:rPr>
          <w:rFonts w:hint="eastAsia" w:ascii="仿宋" w:hAnsi="仿宋" w:eastAsia="仿宋" w:cs="仿宋"/>
          <w:color w:val="000000" w:themeColor="text1"/>
          <w:u w:val="single"/>
          <w14:textFill>
            <w14:solidFill>
              <w14:schemeClr w14:val="tx1"/>
            </w14:solidFill>
          </w14:textFill>
        </w:rPr>
        <w:t>详见本须知前附表。</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18.2</w:t>
      </w:r>
      <w:r>
        <w:rPr>
          <w:rFonts w:hint="eastAsia" w:ascii="仿宋" w:hAnsi="仿宋" w:eastAsia="仿宋" w:cs="仿宋"/>
          <w:color w:val="000000" w:themeColor="text1"/>
          <w14:textFill>
            <w14:solidFill>
              <w14:schemeClr w14:val="tx1"/>
            </w14:solidFill>
          </w14:textFill>
        </w:rPr>
        <w:t>比价小组与供应商就比价文件中的价格、商务内容、技术内容或有待供应商进一步明确的内容等进行一对一比价，并要求实质性响应的供应商提交最终报价。具体比价内容详见</w:t>
      </w:r>
      <w:r>
        <w:rPr>
          <w:rFonts w:hint="eastAsia" w:ascii="仿宋" w:hAnsi="仿宋" w:eastAsia="仿宋" w:cs="仿宋"/>
          <w:color w:val="000000" w:themeColor="text1"/>
          <w:u w:val="single"/>
          <w14:textFill>
            <w14:solidFill>
              <w14:schemeClr w14:val="tx1"/>
            </w14:solidFill>
          </w14:textFill>
        </w:rPr>
        <w:t>本须知前附表</w:t>
      </w:r>
      <w:r>
        <w:rPr>
          <w:rFonts w:hint="eastAsia" w:ascii="仿宋" w:hAnsi="仿宋" w:eastAsia="仿宋" w:cs="仿宋"/>
          <w:color w:val="000000" w:themeColor="text1"/>
          <w14:textFill>
            <w14:solidFill>
              <w14:schemeClr w14:val="tx1"/>
            </w14:solidFill>
          </w14:textFill>
        </w:rPr>
        <w:t>。</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8.3</w:t>
      </w:r>
      <w:r>
        <w:rPr>
          <w:rFonts w:hint="eastAsia" w:ascii="仿宋_GB2312" w:hAnsi="宋体" w:eastAsia="仿宋_GB2312"/>
          <w:color w:val="000000" w:themeColor="text1"/>
          <w14:textFill>
            <w14:solidFill>
              <w14:schemeClr w14:val="tx1"/>
            </w14:solidFill>
          </w14:textFill>
        </w:rPr>
        <w:t>比价过程中可能实质性变动的内容：供应商报价及服务方案、承诺。采购需求中的商务、服务要求以及合同草案条款等。实质性变动的内容，须经比价小组提出，最终涉及变动事项，供应商应授权代表人进行最终确认，签字或盖章有效。</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18.3</w:t>
      </w:r>
      <w:r>
        <w:rPr>
          <w:rFonts w:hint="eastAsia" w:ascii="仿宋" w:hAnsi="仿宋" w:eastAsia="仿宋" w:cs="仿宋"/>
          <w:color w:val="000000" w:themeColor="text1"/>
          <w14:textFill>
            <w14:solidFill>
              <w14:schemeClr w14:val="tx1"/>
            </w14:solidFill>
          </w14:textFill>
        </w:rPr>
        <w:t>比价小组可视情况要求供应商进行多轮比价及报价。比价中，任何一方不得向第三方透露与比价有关的任何信息。</w:t>
      </w:r>
    </w:p>
    <w:bookmarkEnd w:id="94"/>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8</w:t>
      </w:r>
      <w:r>
        <w:rPr>
          <w:rFonts w:hint="eastAsia" w:ascii="仿宋" w:hAnsi="仿宋" w:eastAsia="仿宋" w:cs="仿宋"/>
          <w:color w:val="000000" w:themeColor="text1"/>
          <w14:textFill>
            <w14:solidFill>
              <w14:schemeClr w14:val="tx1"/>
            </w14:solidFill>
          </w14:textFill>
        </w:rPr>
        <w:t>.4各轮报价有算术错误的，比价小组按照以下原则对报价进行修正，修正的价格经供应商书面确认后具有约束力。供应商不接受或不确认修正后价格的，比价小组</w:t>
      </w:r>
      <w:r>
        <w:rPr>
          <w:rFonts w:hint="eastAsia" w:ascii="仿宋" w:hAnsi="仿宋" w:eastAsia="仿宋" w:cs="仿宋"/>
          <w:b/>
          <w:bCs/>
          <w:color w:val="000000" w:themeColor="text1"/>
          <w14:textFill>
            <w14:solidFill>
              <w14:schemeClr w14:val="tx1"/>
            </w14:solidFill>
          </w14:textFill>
        </w:rPr>
        <w:t>应当否决其响应</w:t>
      </w:r>
      <w:r>
        <w:rPr>
          <w:rFonts w:hint="eastAsia" w:ascii="仿宋" w:hAnsi="仿宋" w:eastAsia="仿宋" w:cs="仿宋"/>
          <w:color w:val="000000" w:themeColor="text1"/>
          <w14:textFill>
            <w14:solidFill>
              <w14:schemeClr w14:val="tx1"/>
            </w14:solidFill>
          </w14:textFill>
        </w:rPr>
        <w:t>。</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（1）大写金额与小写金额不一致的，以大写金额为准；</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（2）总价金额与根据单价计算出的结果不一致的，以单价金额为准修正总价，但单价金额小数点有明显错误的除外。</w:t>
      </w:r>
    </w:p>
    <w:bookmarkEnd w:id="93"/>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19</w:t>
      </w:r>
      <w:r>
        <w:rPr>
          <w:rFonts w:hint="eastAsia" w:ascii="仿宋" w:hAnsi="仿宋" w:eastAsia="仿宋" w:cs="仿宋"/>
          <w:color w:val="000000" w:themeColor="text1"/>
          <w:sz w:val="24"/>
          <w:szCs w:val="24"/>
          <w14:textFill>
            <w14:solidFill>
              <w14:schemeClr w14:val="tx1"/>
            </w14:solidFill>
          </w14:textFill>
        </w:rPr>
        <w:t>.详细评审</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19</w:t>
      </w:r>
      <w:r>
        <w:rPr>
          <w:rFonts w:hint="eastAsia" w:ascii="仿宋" w:hAnsi="仿宋" w:eastAsia="仿宋" w:cs="仿宋"/>
          <w:color w:val="000000" w:themeColor="text1"/>
          <w14:textFill>
            <w14:solidFill>
              <w14:schemeClr w14:val="tx1"/>
            </w14:solidFill>
          </w14:textFill>
        </w:rPr>
        <w:t>.1比价文件能够详细列明采购标的的技术、服务要求的，比价结束后，比价小组将要求所有继续参加比价的供应商在规定时间内提交最后报价。</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19.2</w:t>
      </w:r>
      <w:r>
        <w:rPr>
          <w:rFonts w:hint="eastAsia" w:ascii="仿宋" w:hAnsi="仿宋" w:eastAsia="仿宋" w:cs="仿宋"/>
          <w:color w:val="000000" w:themeColor="text1"/>
          <w14:textFill>
            <w14:solidFill>
              <w14:schemeClr w14:val="tx1"/>
            </w14:solidFill>
          </w14:textFill>
        </w:rPr>
        <w:t>比价文件不能详细列明采购标的的技术、服务要求，须经比价由供应商提供最终设计方案或解决方案的，比价结束后，比价小组按照少数服从多数的原则投票推荐3家以上供应商的设计方案或者解决方案，并要求其在规定时间内提交最后报价。</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19.3</w:t>
      </w:r>
      <w:r>
        <w:rPr>
          <w:rFonts w:hint="eastAsia" w:ascii="仿宋" w:hAnsi="仿宋" w:eastAsia="仿宋" w:cs="仿宋"/>
          <w:color w:val="000000" w:themeColor="text1"/>
          <w14:textFill>
            <w14:solidFill>
              <w14:schemeClr w14:val="tx1"/>
            </w14:solidFill>
          </w14:textFill>
        </w:rPr>
        <w:t>最后报价是供应商响应文件的有效组成部分。</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19.4</w:t>
      </w:r>
      <w:r>
        <w:rPr>
          <w:rFonts w:hint="eastAsia" w:ascii="仿宋" w:hAnsi="仿宋" w:eastAsia="仿宋" w:cs="仿宋"/>
          <w:color w:val="000000" w:themeColor="text1"/>
          <w14:textFill>
            <w14:solidFill>
              <w14:schemeClr w14:val="tx1"/>
            </w14:solidFill>
          </w14:textFill>
        </w:rPr>
        <w:t>发生以下情形之一的，原则上做终止采购处理：</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（1）出现影响采购公正的违法、违规行为的；</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（2）成交候选人报价超过预算金额，采购需求方无法解决的；</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（3）成交人为</w:t>
      </w:r>
      <w:r>
        <w:rPr>
          <w:rFonts w:ascii="仿宋" w:hAnsi="仿宋" w:eastAsia="仿宋" w:cs="仿宋"/>
          <w:color w:val="000000" w:themeColor="text1"/>
          <w14:textFill>
            <w14:solidFill>
              <w14:schemeClr w14:val="tx1"/>
            </w14:solidFill>
          </w14:textFill>
        </w:rPr>
        <w:t>1</w:t>
      </w:r>
      <w:r>
        <w:rPr>
          <w:rFonts w:hint="eastAsia" w:ascii="仿宋" w:hAnsi="仿宋" w:eastAsia="仿宋" w:cs="仿宋"/>
          <w:color w:val="000000" w:themeColor="text1"/>
          <w14:textFill>
            <w14:solidFill>
              <w14:schemeClr w14:val="tx1"/>
            </w14:solidFill>
          </w14:textFill>
        </w:rPr>
        <w:t>家的项目，有效供应商少于2家（不含本数）；成交人为N家（N＞1）的项目，有效供应商少于N+</w:t>
      </w:r>
      <w:r>
        <w:rPr>
          <w:rFonts w:ascii="仿宋" w:hAnsi="仿宋" w:eastAsia="仿宋" w:cs="仿宋"/>
          <w:color w:val="000000" w:themeColor="text1"/>
          <w14:textFill>
            <w14:solidFill>
              <w14:schemeClr w14:val="tx1"/>
            </w14:solidFill>
          </w14:textFill>
        </w:rPr>
        <w:t>2</w:t>
      </w:r>
      <w:r>
        <w:rPr>
          <w:rFonts w:hint="eastAsia" w:ascii="仿宋" w:hAnsi="仿宋" w:eastAsia="仿宋" w:cs="仿宋"/>
          <w:color w:val="000000" w:themeColor="text1"/>
          <w14:textFill>
            <w14:solidFill>
              <w14:schemeClr w14:val="tx1"/>
            </w14:solidFill>
          </w14:textFill>
        </w:rPr>
        <w:t>家（不含本数）；</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（4）因重大变故，采购任务取消。 </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19</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5</w:t>
      </w:r>
      <w:r>
        <w:rPr>
          <w:rFonts w:hint="eastAsia" w:ascii="仿宋" w:hAnsi="仿宋" w:eastAsia="仿宋" w:cs="仿宋"/>
          <w:color w:val="000000" w:themeColor="text1"/>
          <w14:textFill>
            <w14:solidFill>
              <w14:schemeClr w14:val="tx1"/>
            </w14:solidFill>
          </w14:textFill>
        </w:rPr>
        <w:t>比价小组应当从质量和服务均能满足采购文件实质性响应要求的供应商中，按照最后报价由低到高的顺序提出成交候选人，具体情况</w:t>
      </w:r>
      <w:r>
        <w:rPr>
          <w:rFonts w:hint="eastAsia" w:ascii="仿宋" w:hAnsi="仿宋" w:eastAsia="仿宋" w:cs="仿宋"/>
          <w:color w:val="000000" w:themeColor="text1"/>
          <w:u w:val="single"/>
          <w14:textFill>
            <w14:solidFill>
              <w14:schemeClr w14:val="tx1"/>
            </w14:solidFill>
          </w14:textFill>
        </w:rPr>
        <w:t>详见本须知前附表</w:t>
      </w:r>
      <w:r>
        <w:rPr>
          <w:rFonts w:hint="eastAsia" w:ascii="仿宋" w:hAnsi="仿宋" w:eastAsia="仿宋" w:cs="仿宋"/>
          <w:color w:val="000000" w:themeColor="text1"/>
          <w14:textFill>
            <w14:solidFill>
              <w14:schemeClr w14:val="tx1"/>
            </w14:solidFill>
          </w14:textFill>
        </w:rPr>
        <w:t>。</w:t>
      </w:r>
      <w:r>
        <w:rPr>
          <w:rFonts w:hint="eastAsia" w:ascii="仿宋" w:hAnsi="仿宋" w:eastAsia="仿宋" w:cs="宋体"/>
          <w:color w:val="000000" w:themeColor="text1"/>
          <w14:textFill>
            <w14:solidFill>
              <w14:schemeClr w14:val="tx1"/>
            </w14:solidFill>
          </w14:textFill>
        </w:rPr>
        <w:t>成交候选人的经营、财务状况发生较大变化或者存在违法行为，采购人认为可能影响其履约能力的，应当在发出成交通知书前由原比价小组按照比价文件规定的标准和方法审查确认。</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20</w:t>
      </w:r>
      <w:r>
        <w:rPr>
          <w:rFonts w:hint="eastAsia" w:ascii="仿宋" w:hAnsi="仿宋" w:eastAsia="仿宋" w:cs="仿宋"/>
          <w:color w:val="000000" w:themeColor="text1"/>
          <w:sz w:val="24"/>
          <w:szCs w:val="24"/>
          <w14:textFill>
            <w14:solidFill>
              <w14:schemeClr w14:val="tx1"/>
            </w14:solidFill>
          </w14:textFill>
        </w:rPr>
        <w:t>．特别声明</w:t>
      </w:r>
    </w:p>
    <w:p>
      <w:pPr>
        <w:snapToGrid w:val="0"/>
        <w:spacing w:line="360" w:lineRule="auto"/>
        <w:ind w:right="-57"/>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20.1供应商</w:t>
      </w:r>
      <w:r>
        <w:rPr>
          <w:rFonts w:hint="eastAsia" w:ascii="仿宋_GB2312" w:hAnsi="宋体" w:eastAsia="仿宋_GB2312"/>
          <w:color w:val="000000" w:themeColor="text1"/>
          <w14:textFill>
            <w14:solidFill>
              <w14:schemeClr w14:val="tx1"/>
            </w14:solidFill>
          </w14:textFill>
        </w:rPr>
        <w:t>提供虚假材料或文件的，自动丧失参加资格。</w:t>
      </w:r>
    </w:p>
    <w:p>
      <w:pPr>
        <w:snapToGrid w:val="0"/>
        <w:spacing w:line="360" w:lineRule="auto"/>
        <w:ind w:right="-57"/>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20.2供应商</w:t>
      </w:r>
      <w:r>
        <w:rPr>
          <w:rFonts w:hint="eastAsia" w:ascii="仿宋_GB2312" w:hAnsi="宋体" w:eastAsia="仿宋_GB2312"/>
          <w:color w:val="000000" w:themeColor="text1"/>
          <w14:textFill>
            <w14:solidFill>
              <w14:schemeClr w14:val="tx1"/>
            </w14:solidFill>
          </w14:textFill>
        </w:rPr>
        <w:t>未在响应文件中提及和承诺，但又未明确书面提出异议的事项，按本比价比价邀请函的有关要求执行。</w:t>
      </w:r>
    </w:p>
    <w:p>
      <w:pPr>
        <w:snapToGrid w:val="0"/>
        <w:spacing w:line="360" w:lineRule="auto"/>
        <w:ind w:right="-57"/>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20.3</w:t>
      </w:r>
      <w:r>
        <w:rPr>
          <w:rFonts w:hint="eastAsia" w:ascii="仿宋_GB2312" w:hAnsi="宋体" w:eastAsia="仿宋_GB2312"/>
          <w:color w:val="000000" w:themeColor="text1"/>
          <w14:textFill>
            <w14:solidFill>
              <w14:schemeClr w14:val="tx1"/>
            </w14:solidFill>
          </w14:textFill>
        </w:rPr>
        <w:t>供应商不应将本次采购理解为政府采购与招标。</w:t>
      </w:r>
    </w:p>
    <w:p>
      <w:pPr>
        <w:snapToGrid w:val="0"/>
        <w:spacing w:line="360" w:lineRule="auto"/>
        <w:ind w:right="-57"/>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20.4供应商</w:t>
      </w:r>
      <w:r>
        <w:rPr>
          <w:rFonts w:hint="eastAsia" w:ascii="仿宋_GB2312" w:hAnsi="宋体" w:eastAsia="仿宋_GB2312"/>
          <w:color w:val="000000" w:themeColor="text1"/>
          <w14:textFill>
            <w14:solidFill>
              <w14:schemeClr w14:val="tx1"/>
            </w14:solidFill>
          </w14:textFill>
        </w:rPr>
        <w:t>没有按规定时间和内容提供材料的，视为放弃。</w:t>
      </w:r>
    </w:p>
    <w:p>
      <w:pPr>
        <w:snapToGrid w:val="0"/>
        <w:spacing w:line="360" w:lineRule="auto"/>
        <w:ind w:right="-57"/>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20.5</w:t>
      </w:r>
      <w:r>
        <w:rPr>
          <w:rFonts w:hint="eastAsia" w:ascii="仿宋_GB2312" w:hAnsi="宋体" w:eastAsia="仿宋_GB2312"/>
          <w:color w:val="000000" w:themeColor="text1"/>
          <w14:textFill>
            <w14:solidFill>
              <w14:schemeClr w14:val="tx1"/>
            </w14:solidFill>
          </w14:textFill>
        </w:rPr>
        <w:t>比价文件及附件之著作权受中国法律保护，所有文件仅限于供应商参加本次采购比价使用，任何用于其他目的之复制或引用均应事先获得采购方书面许可。</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21</w:t>
      </w:r>
      <w:r>
        <w:rPr>
          <w:rFonts w:hint="eastAsia" w:ascii="仿宋" w:hAnsi="仿宋" w:eastAsia="仿宋" w:cs="仿宋"/>
          <w:color w:val="000000" w:themeColor="text1"/>
          <w:sz w:val="24"/>
          <w:szCs w:val="24"/>
          <w14:textFill>
            <w14:solidFill>
              <w14:schemeClr w14:val="tx1"/>
            </w14:solidFill>
          </w14:textFill>
        </w:rPr>
        <w:t>．确定成交供应商</w:t>
      </w:r>
    </w:p>
    <w:p>
      <w:pPr>
        <w:pStyle w:val="2"/>
        <w:snapToGrid w:val="0"/>
        <w:spacing w:after="0" w:line="360" w:lineRule="auto"/>
        <w:ind w:right="-57" w:firstLine="480" w:firstLineChars="20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采购人确定成交供应商过程中，发现成交候选供应商有下列情形之一的，将不予确定其为成交供应商，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bookmarkStart w:id="95" w:name="_Toc287600124"/>
      <w:bookmarkStart w:id="96" w:name="_Toc28031"/>
      <w:bookmarkStart w:id="97" w:name="_Toc19451"/>
      <w:bookmarkStart w:id="98" w:name="_Toc444891342"/>
      <w:bookmarkStart w:id="99" w:name="_Toc234223231"/>
      <w:bookmarkStart w:id="100" w:name="_Toc517281822"/>
      <w:bookmarkStart w:id="101" w:name="_Toc9911"/>
      <w:bookmarkStart w:id="102" w:name="_Toc16781"/>
      <w:bookmarkStart w:id="103" w:name="_Toc13936"/>
      <w:bookmarkStart w:id="104" w:name="_Toc2322"/>
      <w:r>
        <w:rPr>
          <w:rFonts w:hint="eastAsia" w:ascii="仿宋_GB2312" w:hAnsi="宋体" w:eastAsia="仿宋_GB2312"/>
          <w:color w:val="000000" w:themeColor="text1"/>
          <w14:textFill>
            <w14:solidFill>
              <w14:schemeClr w14:val="tx1"/>
            </w14:solidFill>
          </w14:textFill>
        </w:rPr>
        <w:t>（1）成交候选供应商存在违法、违纪行为的；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4</w:t>
      </w:r>
      <w:r>
        <w:rPr>
          <w:rFonts w:hint="eastAsia" w:ascii="仿宋_GB2312" w:hAnsi="宋体" w:eastAsia="仿宋_GB2312"/>
          <w:color w:val="000000" w:themeColor="text1"/>
          <w14:textFill>
            <w14:solidFill>
              <w14:schemeClr w14:val="tx1"/>
            </w14:solidFill>
          </w14:textFill>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5</w:t>
      </w:r>
      <w:r>
        <w:rPr>
          <w:rFonts w:hint="eastAsia" w:ascii="仿宋_GB2312" w:hAnsi="宋体" w:eastAsia="仿宋_GB2312"/>
          <w:color w:val="000000" w:themeColor="text1"/>
          <w14:textFill>
            <w14:solidFill>
              <w14:schemeClr w14:val="tx1"/>
            </w14:solidFill>
          </w14:textFill>
        </w:rPr>
        <w:t>）成交候选供应商在响应文件中提供虚假材料的；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6</w:t>
      </w:r>
      <w:r>
        <w:rPr>
          <w:rFonts w:hint="eastAsia" w:ascii="仿宋_GB2312" w:hAnsi="宋体" w:eastAsia="仿宋_GB2312"/>
          <w:color w:val="000000" w:themeColor="text1"/>
          <w14:textFill>
            <w14:solidFill>
              <w14:schemeClr w14:val="tx1"/>
            </w14:solidFill>
          </w14:textFill>
        </w:rPr>
        <w:t>）除因不可抗力或磋商文件认可的情形以外，成交供应商不与采购人签订合同的；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7</w:t>
      </w:r>
      <w:r>
        <w:rPr>
          <w:rFonts w:hint="eastAsia" w:ascii="仿宋_GB2312" w:hAnsi="宋体" w:eastAsia="仿宋_GB2312"/>
          <w:color w:val="000000" w:themeColor="text1"/>
          <w14:textFill>
            <w14:solidFill>
              <w14:schemeClr w14:val="tx1"/>
            </w14:solidFill>
          </w14:textFill>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8</w:t>
      </w:r>
      <w:r>
        <w:rPr>
          <w:rFonts w:hint="eastAsia" w:ascii="仿宋_GB2312" w:hAnsi="宋体" w:eastAsia="仿宋_GB2312"/>
          <w:color w:val="000000" w:themeColor="text1"/>
          <w14:textFill>
            <w14:solidFill>
              <w14:schemeClr w14:val="tx1"/>
            </w14:solidFill>
          </w14:textFill>
        </w:rPr>
        <w:t>）成交供应商在签订合同时向采购人提出附加条件或要求变更实质性合同条款的；</w:t>
      </w:r>
    </w:p>
    <w:p>
      <w:pPr>
        <w:pStyle w:val="2"/>
        <w:snapToGrid w:val="0"/>
        <w:spacing w:after="0" w:line="360" w:lineRule="auto"/>
        <w:ind w:right="-57" w:firstLine="424" w:firstLineChars="177"/>
        <w:rPr>
          <w:rFonts w:ascii="仿宋" w:hAnsi="仿宋" w:eastAsia="仿宋" w:cs="仿宋"/>
          <w:color w:val="000000" w:themeColor="text1"/>
          <w:lang w:bidi="ar"/>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9</w:t>
      </w:r>
      <w:r>
        <w:rPr>
          <w:rFonts w:hint="eastAsia" w:ascii="仿宋_GB2312" w:hAnsi="宋体" w:eastAsia="仿宋_GB2312"/>
          <w:color w:val="000000" w:themeColor="text1"/>
          <w14:textFill>
            <w14:solidFill>
              <w14:schemeClr w14:val="tx1"/>
            </w14:solidFill>
          </w14:textFill>
        </w:rPr>
        <w:t>）</w:t>
      </w:r>
      <w:r>
        <w:rPr>
          <w:rFonts w:hint="eastAsia" w:ascii="仿宋" w:hAnsi="仿宋" w:eastAsia="仿宋" w:cs="仿宋"/>
          <w:color w:val="000000" w:themeColor="text1"/>
          <w:lang w:bidi="ar"/>
          <w14:textFill>
            <w14:solidFill>
              <w14:schemeClr w14:val="tx1"/>
            </w14:solidFill>
          </w14:textFill>
        </w:rPr>
        <w:t>供应商有恶意欺诈、弄虚作假、围标串标、哄抬标价、徇私行贿等法律法规中所列违规行为的；</w:t>
      </w:r>
    </w:p>
    <w:p>
      <w:pPr>
        <w:pStyle w:val="2"/>
        <w:snapToGrid w:val="0"/>
        <w:spacing w:after="0" w:line="360" w:lineRule="auto"/>
        <w:ind w:right="-57" w:firstLine="424" w:firstLineChars="177"/>
        <w:rPr>
          <w:rFonts w:ascii="仿宋" w:hAnsi="仿宋" w:eastAsia="仿宋" w:cs="仿宋"/>
          <w:color w:val="000000" w:themeColor="text1"/>
          <w:lang w:bidi="ar"/>
          <w14:textFill>
            <w14:solidFill>
              <w14:schemeClr w14:val="tx1"/>
            </w14:solidFill>
          </w14:textFill>
        </w:rPr>
      </w:pPr>
      <w:r>
        <w:rPr>
          <w:rFonts w:hint="eastAsia" w:ascii="仿宋" w:hAnsi="仿宋" w:eastAsia="仿宋" w:cs="仿宋"/>
          <w:color w:val="000000" w:themeColor="text1"/>
          <w:lang w:bidi="ar"/>
          <w14:textFill>
            <w14:solidFill>
              <w14:schemeClr w14:val="tx1"/>
            </w14:solidFill>
          </w14:textFill>
        </w:rPr>
        <w:t>（1</w:t>
      </w:r>
      <w:r>
        <w:rPr>
          <w:rFonts w:ascii="仿宋" w:hAnsi="仿宋" w:eastAsia="仿宋" w:cs="仿宋"/>
          <w:color w:val="000000" w:themeColor="text1"/>
          <w:lang w:bidi="ar"/>
          <w14:textFill>
            <w14:solidFill>
              <w14:schemeClr w14:val="tx1"/>
            </w14:solidFill>
          </w14:textFill>
        </w:rPr>
        <w:t>0</w:t>
      </w:r>
      <w:r>
        <w:rPr>
          <w:rFonts w:hint="eastAsia" w:ascii="仿宋" w:hAnsi="仿宋" w:eastAsia="仿宋" w:cs="仿宋"/>
          <w:color w:val="000000" w:themeColor="text1"/>
          <w:lang w:bidi="ar"/>
          <w14:textFill>
            <w14:solidFill>
              <w14:schemeClr w14:val="tx1"/>
            </w14:solidFill>
          </w14:textFill>
        </w:rPr>
        <w:t>）成交供应商不按照磋商文件要求提交履约保证金的；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11</w:t>
      </w:r>
      <w:r>
        <w:rPr>
          <w:rFonts w:hint="eastAsia" w:ascii="仿宋_GB2312" w:hAnsi="宋体" w:eastAsia="仿宋_GB2312"/>
          <w:color w:val="000000" w:themeColor="text1"/>
          <w14:textFill>
            <w14:solidFill>
              <w14:schemeClr w14:val="tx1"/>
            </w14:solidFill>
          </w14:textFill>
        </w:rPr>
        <w:t>）其他不应确定成交供应商的情形。</w:t>
      </w:r>
    </w:p>
    <w:p>
      <w:pPr>
        <w:pStyle w:val="5"/>
        <w:spacing w:before="0" w:after="0" w:line="360" w:lineRule="auto"/>
        <w:ind w:firstLine="482"/>
        <w:rPr>
          <w:rFonts w:ascii="仿宋" w:hAnsi="仿宋" w:eastAsia="仿宋" w:cs="仿宋"/>
          <w:color w:val="000000" w:themeColor="text1"/>
          <w:sz w:val="24"/>
          <w:szCs w:val="24"/>
          <w14:textFill>
            <w14:solidFill>
              <w14:schemeClr w14:val="tx1"/>
            </w14:solidFill>
          </w14:textFill>
        </w:rPr>
      </w:pPr>
      <w:bookmarkStart w:id="105" w:name="_Toc12422"/>
      <w:r>
        <w:rPr>
          <w:rFonts w:hint="eastAsia" w:ascii="仿宋" w:hAnsi="仿宋" w:eastAsia="仿宋" w:cs="仿宋"/>
          <w:color w:val="000000" w:themeColor="text1"/>
          <w:sz w:val="24"/>
          <w:szCs w:val="24"/>
          <w14:textFill>
            <w14:solidFill>
              <w14:schemeClr w14:val="tx1"/>
            </w14:solidFill>
          </w14:textFill>
        </w:rPr>
        <w:t>（六）授予合同</w:t>
      </w:r>
      <w:bookmarkEnd w:id="95"/>
      <w:bookmarkEnd w:id="96"/>
      <w:bookmarkEnd w:id="97"/>
      <w:bookmarkEnd w:id="98"/>
      <w:bookmarkEnd w:id="99"/>
      <w:bookmarkEnd w:id="100"/>
      <w:bookmarkEnd w:id="101"/>
      <w:bookmarkEnd w:id="102"/>
      <w:bookmarkEnd w:id="103"/>
      <w:bookmarkEnd w:id="104"/>
      <w:bookmarkEnd w:id="105"/>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bookmarkStart w:id="106" w:name="_Toc234223232"/>
      <w:r>
        <w:rPr>
          <w:rFonts w:hint="eastAsia" w:ascii="仿宋" w:hAnsi="仿宋" w:eastAsia="仿宋" w:cs="仿宋"/>
          <w:color w:val="000000" w:themeColor="text1"/>
          <w:sz w:val="24"/>
          <w:szCs w:val="24"/>
          <w14:textFill>
            <w14:solidFill>
              <w14:schemeClr w14:val="tx1"/>
            </w14:solidFill>
          </w14:textFill>
        </w:rPr>
        <w:t>2</w:t>
      </w:r>
      <w:r>
        <w:rPr>
          <w:rFonts w:ascii="仿宋" w:hAnsi="仿宋" w:eastAsia="仿宋" w:cs="仿宋"/>
          <w:color w:val="000000" w:themeColor="text1"/>
          <w:sz w:val="24"/>
          <w:szCs w:val="24"/>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确定</w:t>
      </w:r>
      <w:bookmarkEnd w:id="106"/>
      <w:r>
        <w:rPr>
          <w:rFonts w:hint="eastAsia" w:ascii="仿宋" w:hAnsi="仿宋" w:eastAsia="仿宋" w:cs="仿宋"/>
          <w:color w:val="000000" w:themeColor="text1"/>
          <w:sz w:val="24"/>
          <w:szCs w:val="24"/>
          <w14:textFill>
            <w14:solidFill>
              <w14:schemeClr w14:val="tx1"/>
            </w14:solidFill>
          </w14:textFill>
        </w:rPr>
        <w:t>成交人</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22.1</w:t>
      </w:r>
      <w:r>
        <w:rPr>
          <w:rFonts w:hint="eastAsia" w:ascii="仿宋" w:hAnsi="仿宋" w:eastAsia="仿宋" w:cs="仿宋"/>
          <w:color w:val="000000" w:themeColor="text1"/>
          <w14:textFill>
            <w14:solidFill>
              <w14:schemeClr w14:val="tx1"/>
            </w14:solidFill>
          </w14:textFill>
        </w:rPr>
        <w:t>采购人依据比价小组推荐的成交候选人名单确定成交人，成交人数量</w:t>
      </w:r>
      <w:r>
        <w:rPr>
          <w:rFonts w:hint="eastAsia" w:ascii="仿宋" w:hAnsi="仿宋" w:eastAsia="仿宋" w:cs="仿宋"/>
          <w:color w:val="000000" w:themeColor="text1"/>
          <w:u w:val="single"/>
          <w14:textFill>
            <w14:solidFill>
              <w14:schemeClr w14:val="tx1"/>
            </w14:solidFill>
          </w14:textFill>
        </w:rPr>
        <w:t>见本须知前附表</w:t>
      </w:r>
      <w:r>
        <w:rPr>
          <w:rFonts w:hint="eastAsia" w:ascii="仿宋" w:hAnsi="仿宋" w:eastAsia="仿宋" w:cs="仿宋"/>
          <w:color w:val="000000" w:themeColor="text1"/>
          <w14:textFill>
            <w14:solidFill>
              <w14:schemeClr w14:val="tx1"/>
            </w14:solidFill>
          </w14:textFill>
        </w:rPr>
        <w:t>。</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22.</w:t>
      </w:r>
      <w:r>
        <w:rPr>
          <w:rFonts w:hint="eastAsia" w:ascii="仿宋" w:hAnsi="仿宋" w:eastAsia="仿宋" w:cs="宋体"/>
          <w:color w:val="000000" w:themeColor="text1"/>
          <w14:textFill>
            <w14:solidFill>
              <w14:schemeClr w14:val="tx1"/>
            </w14:solidFill>
          </w14:textFill>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w:t>
      </w:r>
      <w:r>
        <w:rPr>
          <w:rFonts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签订合同</w:t>
      </w:r>
    </w:p>
    <w:p>
      <w:pPr>
        <w:topLinePunc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w:t>
      </w:r>
      <w:r>
        <w:rPr>
          <w:rFonts w:ascii="仿宋" w:hAnsi="仿宋" w:eastAsia="仿宋" w:cs="仿宋"/>
          <w:color w:val="000000" w:themeColor="text1"/>
          <w14:textFill>
            <w14:solidFill>
              <w14:schemeClr w14:val="tx1"/>
            </w14:solidFill>
          </w14:textFill>
        </w:rPr>
        <w:t>3.1</w:t>
      </w:r>
      <w:r>
        <w:rPr>
          <w:rFonts w:hint="eastAsia" w:ascii="仿宋" w:hAnsi="仿宋" w:eastAsia="仿宋" w:cs="仿宋"/>
          <w:color w:val="000000" w:themeColor="text1"/>
          <w14:textFill>
            <w14:solidFill>
              <w14:schemeClr w14:val="tx1"/>
            </w14:solidFill>
          </w14:textFill>
        </w:rPr>
        <w:t>采购人与成交人按照比价文件和成交人的响应文件</w:t>
      </w:r>
      <w:r>
        <w:rPr>
          <w:rFonts w:hint="eastAsia" w:ascii="仿宋" w:hAnsi="仿宋" w:eastAsia="仿宋" w:cs="宋体"/>
          <w:color w:val="000000" w:themeColor="text1"/>
          <w14:textFill>
            <w14:solidFill>
              <w14:schemeClr w14:val="tx1"/>
            </w14:solidFill>
          </w14:textFill>
        </w:rPr>
        <w:t>订立书面合同。合同的标的、价款、质量、履行期限等主要条款应当与</w:t>
      </w:r>
      <w:r>
        <w:rPr>
          <w:rFonts w:hint="eastAsia" w:ascii="仿宋" w:hAnsi="仿宋" w:eastAsia="仿宋" w:cs="仿宋"/>
          <w:color w:val="000000" w:themeColor="text1"/>
          <w14:textFill>
            <w14:solidFill>
              <w14:schemeClr w14:val="tx1"/>
            </w14:solidFill>
          </w14:textFill>
        </w:rPr>
        <w:t>比价</w:t>
      </w:r>
      <w:r>
        <w:rPr>
          <w:rFonts w:hint="eastAsia" w:ascii="仿宋" w:hAnsi="仿宋" w:eastAsia="仿宋" w:cs="宋体"/>
          <w:color w:val="000000" w:themeColor="text1"/>
          <w14:textFill>
            <w14:solidFill>
              <w14:schemeClr w14:val="tx1"/>
            </w14:solidFill>
          </w14:textFill>
        </w:rPr>
        <w:t>文件和</w:t>
      </w:r>
      <w:r>
        <w:rPr>
          <w:rFonts w:hint="eastAsia" w:ascii="仿宋" w:hAnsi="仿宋" w:eastAsia="仿宋" w:cs="仿宋"/>
          <w:color w:val="000000" w:themeColor="text1"/>
          <w14:textFill>
            <w14:solidFill>
              <w14:schemeClr w14:val="tx1"/>
            </w14:solidFill>
          </w14:textFill>
        </w:rPr>
        <w:t>成交</w:t>
      </w:r>
      <w:r>
        <w:rPr>
          <w:rFonts w:hint="eastAsia" w:ascii="仿宋" w:hAnsi="仿宋" w:eastAsia="仿宋" w:cs="宋体"/>
          <w:color w:val="000000" w:themeColor="text1"/>
          <w14:textFill>
            <w14:solidFill>
              <w14:schemeClr w14:val="tx1"/>
            </w14:solidFill>
          </w14:textFill>
        </w:rPr>
        <w:t>人的</w:t>
      </w:r>
      <w:r>
        <w:rPr>
          <w:rFonts w:hint="eastAsia" w:ascii="仿宋" w:hAnsi="仿宋" w:eastAsia="仿宋" w:cs="仿宋"/>
          <w:color w:val="000000" w:themeColor="text1"/>
          <w14:textFill>
            <w14:solidFill>
              <w14:schemeClr w14:val="tx1"/>
            </w14:solidFill>
          </w14:textFill>
        </w:rPr>
        <w:t>响应</w:t>
      </w:r>
      <w:r>
        <w:rPr>
          <w:rFonts w:hint="eastAsia" w:ascii="仿宋" w:hAnsi="仿宋" w:eastAsia="仿宋" w:cs="宋体"/>
          <w:color w:val="000000" w:themeColor="text1"/>
          <w14:textFill>
            <w14:solidFill>
              <w14:schemeClr w14:val="tx1"/>
            </w14:solidFill>
          </w14:textFill>
        </w:rPr>
        <w:t>文件的内容一致。</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w:t>
      </w:r>
      <w:r>
        <w:rPr>
          <w:rFonts w:ascii="仿宋" w:hAnsi="仿宋" w:eastAsia="仿宋" w:cs="仿宋"/>
          <w:color w:val="000000" w:themeColor="text1"/>
          <w14:textFill>
            <w14:solidFill>
              <w14:schemeClr w14:val="tx1"/>
            </w14:solidFill>
          </w14:textFill>
        </w:rPr>
        <w:t>3.2</w:t>
      </w:r>
      <w:r>
        <w:rPr>
          <w:rFonts w:hint="eastAsia" w:ascii="仿宋" w:hAnsi="仿宋" w:eastAsia="仿宋" w:cs="仿宋"/>
          <w:color w:val="000000" w:themeColor="text1"/>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23.3</w:t>
      </w:r>
      <w:r>
        <w:rPr>
          <w:rFonts w:hint="eastAsia" w:ascii="仿宋" w:hAnsi="仿宋" w:eastAsia="仿宋" w:cs="宋体"/>
          <w:color w:val="000000" w:themeColor="text1"/>
          <w14:textFill>
            <w14:solidFill>
              <w14:schemeClr w14:val="tx1"/>
            </w14:solidFill>
          </w14:textFill>
        </w:rPr>
        <w:t>比价文件要求成交人提交履约保证金的，成交人应当按照</w:t>
      </w:r>
      <w:r>
        <w:rPr>
          <w:rFonts w:hint="eastAsia" w:ascii="仿宋" w:hAnsi="仿宋" w:eastAsia="仿宋" w:cs="宋体"/>
          <w:color w:val="000000" w:themeColor="text1"/>
          <w:u w:val="single"/>
          <w14:textFill>
            <w14:solidFill>
              <w14:schemeClr w14:val="tx1"/>
            </w14:solidFill>
          </w14:textFill>
        </w:rPr>
        <w:t>本须知前附表</w:t>
      </w:r>
      <w:r>
        <w:rPr>
          <w:rFonts w:hint="eastAsia" w:ascii="仿宋" w:hAnsi="仿宋" w:eastAsia="仿宋" w:cs="宋体"/>
          <w:color w:val="000000" w:themeColor="text1"/>
          <w14:textFill>
            <w14:solidFill>
              <w14:schemeClr w14:val="tx1"/>
            </w14:solidFill>
          </w14:textFill>
        </w:rPr>
        <w:t>要求的金额和方式递交。成交人如不按要求提交履约保证金，将取消其成交资格。</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w:t>
      </w:r>
      <w:r>
        <w:rPr>
          <w:rFonts w:ascii="仿宋" w:hAnsi="仿宋" w:eastAsia="仿宋" w:cs="宋体"/>
          <w:color w:val="000000" w:themeColor="text1"/>
          <w14:textFill>
            <w14:solidFill>
              <w14:schemeClr w14:val="tx1"/>
            </w14:solidFill>
          </w14:textFill>
        </w:rPr>
        <w:t>3</w:t>
      </w:r>
      <w:r>
        <w:rPr>
          <w:rFonts w:hint="eastAsia" w:ascii="仿宋" w:hAnsi="仿宋" w:eastAsia="仿宋" w:cs="宋体"/>
          <w:color w:val="000000" w:themeColor="text1"/>
          <w14:textFill>
            <w14:solidFill>
              <w14:schemeClr w14:val="tx1"/>
            </w14:solidFill>
          </w14:textFill>
        </w:rPr>
        <w:t>.4成交供应商</w:t>
      </w:r>
      <w:r>
        <w:rPr>
          <w:rFonts w:ascii="仿宋" w:hAnsi="仿宋" w:eastAsia="仿宋" w:cs="宋体"/>
          <w:color w:val="000000" w:themeColor="text1"/>
          <w14:textFill>
            <w14:solidFill>
              <w14:schemeClr w14:val="tx1"/>
            </w14:solidFill>
          </w14:textFill>
        </w:rPr>
        <w:t>不履行与</w:t>
      </w:r>
      <w:r>
        <w:rPr>
          <w:rFonts w:hint="eastAsia" w:ascii="仿宋" w:hAnsi="仿宋" w:eastAsia="仿宋" w:cs="宋体"/>
          <w:color w:val="000000" w:themeColor="text1"/>
          <w14:textFill>
            <w14:solidFill>
              <w14:schemeClr w14:val="tx1"/>
            </w14:solidFill>
          </w14:textFill>
        </w:rPr>
        <w:t>采购</w:t>
      </w:r>
      <w:r>
        <w:rPr>
          <w:rFonts w:ascii="仿宋" w:hAnsi="仿宋" w:eastAsia="仿宋" w:cs="宋体"/>
          <w:color w:val="000000" w:themeColor="text1"/>
          <w14:textFill>
            <w14:solidFill>
              <w14:schemeClr w14:val="tx1"/>
            </w14:solidFill>
          </w14:textFill>
        </w:rPr>
        <w:t>人订立的合同的，</w:t>
      </w:r>
      <w:r>
        <w:rPr>
          <w:rFonts w:hint="eastAsia" w:ascii="仿宋" w:hAnsi="仿宋" w:eastAsia="仿宋" w:cs="宋体"/>
          <w:color w:val="000000" w:themeColor="text1"/>
          <w14:textFill>
            <w14:solidFill>
              <w14:schemeClr w14:val="tx1"/>
            </w14:solidFill>
          </w14:textFill>
        </w:rPr>
        <w:t>履约</w:t>
      </w:r>
      <w:r>
        <w:rPr>
          <w:rFonts w:ascii="仿宋" w:hAnsi="仿宋" w:eastAsia="仿宋" w:cs="宋体"/>
          <w:color w:val="000000" w:themeColor="text1"/>
          <w14:textFill>
            <w14:solidFill>
              <w14:schemeClr w14:val="tx1"/>
            </w14:solidFill>
          </w14:textFill>
        </w:rPr>
        <w:t>保证金不予退还，给</w:t>
      </w:r>
      <w:r>
        <w:rPr>
          <w:rFonts w:hint="eastAsia" w:ascii="仿宋" w:hAnsi="仿宋" w:eastAsia="仿宋" w:cs="宋体"/>
          <w:color w:val="000000" w:themeColor="text1"/>
          <w14:textFill>
            <w14:solidFill>
              <w14:schemeClr w14:val="tx1"/>
            </w14:solidFill>
          </w14:textFill>
        </w:rPr>
        <w:t>采购</w:t>
      </w:r>
      <w:r>
        <w:rPr>
          <w:rFonts w:ascii="仿宋" w:hAnsi="仿宋" w:eastAsia="仿宋" w:cs="宋体"/>
          <w:color w:val="000000" w:themeColor="text1"/>
          <w14:textFill>
            <w14:solidFill>
              <w14:schemeClr w14:val="tx1"/>
            </w14:solidFill>
          </w14:textFill>
        </w:rPr>
        <w:t>人造成的损失超过履约保证金数额的，还应当对超过部分予以赔偿；没有提交履约保证金的，应当对</w:t>
      </w:r>
      <w:r>
        <w:rPr>
          <w:rFonts w:hint="eastAsia" w:ascii="仿宋" w:hAnsi="仿宋" w:eastAsia="仿宋" w:cs="宋体"/>
          <w:color w:val="000000" w:themeColor="text1"/>
          <w14:textFill>
            <w14:solidFill>
              <w14:schemeClr w14:val="tx1"/>
            </w14:solidFill>
          </w14:textFill>
        </w:rPr>
        <w:t>采购</w:t>
      </w:r>
      <w:r>
        <w:rPr>
          <w:rFonts w:ascii="仿宋" w:hAnsi="仿宋" w:eastAsia="仿宋" w:cs="宋体"/>
          <w:color w:val="000000" w:themeColor="text1"/>
          <w14:textFill>
            <w14:solidFill>
              <w14:schemeClr w14:val="tx1"/>
            </w14:solidFill>
          </w14:textFill>
        </w:rPr>
        <w:t>人的损失承担赔偿责任。</w:t>
      </w:r>
    </w:p>
    <w:p>
      <w:pPr>
        <w:pStyle w:val="3"/>
        <w:spacing w:before="0" w:after="0"/>
        <w:jc w:val="left"/>
        <w:rPr>
          <w:rFonts w:ascii="仿宋" w:hAnsi="仿宋" w:eastAsia="仿宋" w:cs="仿宋"/>
          <w:color w:val="000000" w:themeColor="text1"/>
          <w:sz w:val="28"/>
          <w:szCs w:val="28"/>
          <w14:textFill>
            <w14:solidFill>
              <w14:schemeClr w14:val="tx1"/>
            </w14:solidFill>
          </w14:textFill>
        </w:rPr>
      </w:pPr>
      <w:bookmarkStart w:id="107" w:name="_Toc317"/>
      <w:bookmarkStart w:id="108" w:name="_Toc10670"/>
      <w:bookmarkStart w:id="109" w:name="_Toc8109"/>
      <w:r>
        <w:rPr>
          <w:rFonts w:hint="eastAsia" w:ascii="仿宋" w:hAnsi="仿宋" w:eastAsia="仿宋" w:cs="仿宋"/>
          <w:color w:val="000000" w:themeColor="text1"/>
          <w:sz w:val="28"/>
          <w:szCs w:val="28"/>
          <w14:textFill>
            <w14:solidFill>
              <w14:schemeClr w14:val="tx1"/>
            </w14:solidFill>
          </w14:textFill>
        </w:rPr>
        <w:t>第三章 评审办法</w:t>
      </w:r>
      <w:bookmarkEnd w:id="107"/>
      <w:bookmarkEnd w:id="108"/>
    </w:p>
    <w:p>
      <w:pPr>
        <w:pStyle w:val="4"/>
        <w:jc w:val="left"/>
        <w:rPr>
          <w:rFonts w:ascii="仿宋" w:hAnsi="仿宋" w:eastAsia="仿宋" w:cs="仿宋"/>
          <w:color w:val="000000" w:themeColor="text1"/>
          <w:sz w:val="24"/>
          <w:szCs w:val="24"/>
          <w14:textFill>
            <w14:solidFill>
              <w14:schemeClr w14:val="tx1"/>
            </w14:solidFill>
          </w14:textFill>
        </w:rPr>
      </w:pPr>
      <w:bookmarkStart w:id="110" w:name="_Toc7201"/>
      <w:bookmarkStart w:id="111" w:name="_Toc775"/>
      <w:bookmarkStart w:id="112" w:name="_Toc517281825"/>
      <w:bookmarkStart w:id="113" w:name="_Toc444891344"/>
      <w:bookmarkStart w:id="114" w:name="_Toc226969358"/>
      <w:bookmarkStart w:id="115" w:name="_Toc227057964"/>
      <w:r>
        <w:rPr>
          <w:rFonts w:hint="eastAsia" w:ascii="仿宋" w:hAnsi="仿宋" w:eastAsia="仿宋" w:cs="仿宋"/>
          <w:color w:val="000000" w:themeColor="text1"/>
          <w:sz w:val="24"/>
          <w:szCs w:val="24"/>
          <w14:textFill>
            <w14:solidFill>
              <w14:schemeClr w14:val="tx1"/>
            </w14:solidFill>
          </w14:textFill>
        </w:rPr>
        <w:t>一、评审程序</w:t>
      </w:r>
      <w:bookmarkEnd w:id="110"/>
      <w:bookmarkEnd w:id="111"/>
      <w:bookmarkEnd w:id="112"/>
      <w:bookmarkEnd w:id="113"/>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比价小组对响应文件中的相关内容进行评审。评审按照以下程序进行：</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1.熟悉比价文件；</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2.对响应文件进行初步评审，检查响应文件是否满足比价文件的初审要求；初步评审中不符合评审标准的，将做否决比价响应处理；</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3.供应商有以下情形之一的，比价小组应当否决其比价响应：</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（1）按照比价公告要求已经递交电子响应文件，但未按要求递交纸质响应文件；</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（2）响应文件未经供应商盖章和单位负责人签字；</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（3）允许联合体响应的，联合体没有递交共同响应协议；</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（4）不符合国家或者比价文件规定的资格条件；</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（5）同一供应商提交两个以上不同的响应文件或者响应报价，但比价文件要求提交备选文件的除外；</w:t>
      </w:r>
    </w:p>
    <w:p>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w:t>
      </w:r>
      <w:r>
        <w:rPr>
          <w:rFonts w:hint="eastAsia" w:ascii="仿宋" w:hAnsi="仿宋" w:eastAsia="仿宋" w:cs="宋体"/>
          <w:color w:val="000000" w:themeColor="text1"/>
          <w14:textFill>
            <w14:solidFill>
              <w14:schemeClr w14:val="tx1"/>
            </w14:solidFill>
          </w14:textFill>
        </w:rPr>
        <w:t>最终报价低于成本或者高于比价文件设定的最高投标限价；</w:t>
      </w:r>
    </w:p>
    <w:p>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（7）响应文件未对比价文件的实质性要求和条件作出响应； </w:t>
      </w:r>
    </w:p>
    <w:p>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（8）供应商有串通投标、弄虚作假、行贿等违法行为；</w:t>
      </w:r>
    </w:p>
    <w:p>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（9）不接受或不确认因算术性错误进行的价格修正；</w:t>
      </w:r>
    </w:p>
    <w:p>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（10）响应文件附有采购人不能接受的条件；</w:t>
      </w:r>
    </w:p>
    <w:p>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（11）不符合比价文件中规定的其他实质性要求。</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4.初步评审</w:t>
      </w:r>
      <w:r>
        <w:rPr>
          <w:rFonts w:hint="eastAsia" w:ascii="仿宋" w:hAnsi="仿宋" w:eastAsia="仿宋" w:cs="仿宋"/>
          <w:color w:val="000000" w:themeColor="text1"/>
          <w:lang w:val="zh-CN"/>
          <w14:textFill>
            <w14:solidFill>
              <w14:schemeClr w14:val="tx1"/>
            </w14:solidFill>
          </w14:textFill>
        </w:rPr>
        <w:t>内容允许在比价过程中按比价小组规定的时间内补充，若未在规定时间内补充则将导致响应无效。</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5.通过初步评审的供应商分别进行比价；</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6.通过初步评审的供应商进行最终报价；</w:t>
      </w:r>
    </w:p>
    <w:p>
      <w:pPr>
        <w:spacing w:line="360" w:lineRule="auto"/>
        <w:ind w:firstLine="420" w:firstLineChars="175"/>
        <w:rPr>
          <w:rFonts w:ascii="仿宋" w:hAnsi="仿宋" w:eastAsia="仿宋" w:cs="仿宋"/>
          <w:color w:val="000000" w:themeColor="text1"/>
          <w14:textFill>
            <w14:solidFill>
              <w14:schemeClr w14:val="tx1"/>
            </w14:solidFill>
          </w14:textFill>
        </w:rPr>
      </w:pPr>
      <w:bookmarkStart w:id="116" w:name="_Toc517281826"/>
      <w:bookmarkStart w:id="117" w:name="_Toc444891345"/>
      <w:r>
        <w:rPr>
          <w:rFonts w:hint="eastAsia" w:ascii="仿宋" w:hAnsi="仿宋" w:eastAsia="仿宋" w:cs="仿宋"/>
          <w:color w:val="000000" w:themeColor="text1"/>
          <w14:textFill>
            <w14:solidFill>
              <w14:schemeClr w14:val="tx1"/>
            </w14:solidFill>
          </w14:textFill>
        </w:rPr>
        <w:t>7.从质量和服务均能满足采购文件实质性响应要求的供应商中，按照最后报价由低到高的顺序提出成交候选人，提交评审结果，评审结果应包含评审情况说明、排名次序、推荐成交候选人名单及其他说明事项。</w:t>
      </w:r>
    </w:p>
    <w:p>
      <w:pPr>
        <w:spacing w:line="360" w:lineRule="auto"/>
        <w:ind w:firstLine="240" w:firstLineChars="1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w:t>
      </w:r>
      <w:r>
        <w:rPr>
          <w:rFonts w:ascii="仿宋" w:hAnsi="仿宋" w:eastAsia="仿宋" w:cs="仿宋"/>
          <w:color w:val="000000" w:themeColor="text1"/>
          <w14:textFill>
            <w14:solidFill>
              <w14:schemeClr w14:val="tx1"/>
            </w14:solidFill>
          </w14:textFill>
        </w:rPr>
        <w:t>.1</w:t>
      </w:r>
      <w:r>
        <w:rPr>
          <w:rFonts w:hint="eastAsia" w:ascii="仿宋" w:hAnsi="仿宋" w:eastAsia="仿宋" w:cs="仿宋"/>
          <w:color w:val="000000" w:themeColor="text1"/>
          <w14:textFill>
            <w14:solidFill>
              <w14:schemeClr w14:val="tx1"/>
            </w14:solidFill>
          </w14:textFill>
        </w:rPr>
        <w:t>对于承诺提供增值税专用发票的供应商，评审价格即不含税的投标总价净价；</w:t>
      </w:r>
    </w:p>
    <w:p>
      <w:pPr>
        <w:pStyle w:val="2"/>
        <w:spacing w:line="360" w:lineRule="auto"/>
        <w:ind w:firstLine="240" w:firstLineChars="10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7.2</w:t>
      </w:r>
      <w:r>
        <w:rPr>
          <w:rFonts w:hint="eastAsia" w:ascii="仿宋" w:hAnsi="仿宋" w:eastAsia="仿宋" w:cs="仿宋"/>
          <w:color w:val="000000" w:themeColor="text1"/>
          <w14:textFill>
            <w14:solidFill>
              <w14:schemeClr w14:val="tx1"/>
            </w14:solidFill>
          </w14:textFill>
        </w:rPr>
        <w:t>对于不能提供增值税专用发票的供应商，评审价格是含税的投标总价。</w:t>
      </w:r>
    </w:p>
    <w:p>
      <w:pPr>
        <w:pStyle w:val="4"/>
        <w:jc w:val="lef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r>
      <w:bookmarkStart w:id="118" w:name="_Toc2957"/>
      <w:bookmarkStart w:id="119" w:name="_Toc32019"/>
      <w:r>
        <w:rPr>
          <w:rFonts w:hint="eastAsia" w:ascii="仿宋" w:hAnsi="仿宋" w:eastAsia="仿宋" w:cs="仿宋"/>
          <w:color w:val="000000" w:themeColor="text1"/>
          <w:sz w:val="24"/>
          <w:szCs w:val="24"/>
          <w14:textFill>
            <w14:solidFill>
              <w14:schemeClr w14:val="tx1"/>
            </w14:solidFill>
          </w14:textFill>
        </w:rPr>
        <w:t>二、初步评审</w:t>
      </w:r>
      <w:bookmarkEnd w:id="116"/>
      <w:bookmarkEnd w:id="117"/>
      <w:bookmarkEnd w:id="118"/>
      <w:bookmarkEnd w:id="119"/>
    </w:p>
    <w:bookmarkEnd w:id="114"/>
    <w:bookmarkEnd w:id="115"/>
    <w:tbl>
      <w:tblPr>
        <w:tblStyle w:val="29"/>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66"/>
        <w:gridCol w:w="1169"/>
        <w:gridCol w:w="1951"/>
        <w:gridCol w:w="6068"/>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Align w:val="center"/>
          </w:tcPr>
          <w:p>
            <w:pPr>
              <w:spacing w:line="360" w:lineRule="auto"/>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序号</w:t>
            </w:r>
          </w:p>
        </w:tc>
        <w:tc>
          <w:tcPr>
            <w:tcW w:w="593" w:type="pct"/>
          </w:tcPr>
          <w:p>
            <w:pPr>
              <w:spacing w:before="24" w:after="24" w:line="360" w:lineRule="auto"/>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评审环节</w:t>
            </w:r>
          </w:p>
        </w:tc>
        <w:tc>
          <w:tcPr>
            <w:tcW w:w="990" w:type="pct"/>
            <w:vAlign w:val="center"/>
          </w:tcPr>
          <w:p>
            <w:pPr>
              <w:spacing w:before="24" w:after="24" w:line="360" w:lineRule="auto"/>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评审因素</w:t>
            </w:r>
          </w:p>
        </w:tc>
        <w:tc>
          <w:tcPr>
            <w:tcW w:w="3079" w:type="pct"/>
            <w:vAlign w:val="center"/>
          </w:tcPr>
          <w:p>
            <w:pPr>
              <w:spacing w:line="360" w:lineRule="auto"/>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w:t>
            </w:r>
          </w:p>
        </w:tc>
        <w:tc>
          <w:tcPr>
            <w:tcW w:w="593" w:type="pct"/>
            <w:vMerge w:val="restart"/>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形式评审标准</w:t>
            </w:r>
          </w:p>
        </w:tc>
        <w:tc>
          <w:tcPr>
            <w:tcW w:w="990"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供应商名称</w:t>
            </w:r>
          </w:p>
        </w:tc>
        <w:tc>
          <w:tcPr>
            <w:tcW w:w="3079"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90" w:type="pct"/>
            <w:vAlign w:val="center"/>
          </w:tcPr>
          <w:p>
            <w:pPr>
              <w:spacing w:before="24" w:after="24" w:line="276" w:lineRule="auto"/>
              <w:jc w:val="center"/>
              <w:rPr>
                <w:rFonts w:ascii="仿宋" w:hAnsi="仿宋" w:eastAsia="仿宋" w:cs="仿宋"/>
                <w:color w:val="000000" w:themeColor="text1"/>
                <w:spacing w:val="-4"/>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法定代表人（负责人）身份证明</w:t>
            </w:r>
          </w:p>
        </w:tc>
        <w:tc>
          <w:tcPr>
            <w:tcW w:w="3079" w:type="pct"/>
            <w:vAlign w:val="center"/>
          </w:tcPr>
          <w:p>
            <w:pPr>
              <w:pStyle w:val="73"/>
              <w:topLinePunct/>
              <w:jc w:val="left"/>
              <w:rPr>
                <w:rFonts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1、提供法定代表人（负责人）身份证复印件。</w:t>
            </w:r>
          </w:p>
          <w:p>
            <w:pPr>
              <w:pStyle w:val="72"/>
              <w:tabs>
                <w:tab w:val="left" w:pos="630"/>
              </w:tabs>
              <w:topLinePunct/>
              <w:spacing w:before="62" w:beforeLines="20" w:after="62" w:afterLines="20" w:line="276" w:lineRule="auto"/>
              <w:rPr>
                <w:rFonts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90"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法定代表人（负责人）授权委托书</w:t>
            </w:r>
          </w:p>
        </w:tc>
        <w:tc>
          <w:tcPr>
            <w:tcW w:w="3079" w:type="pct"/>
            <w:vAlign w:val="center"/>
          </w:tcPr>
          <w:p>
            <w:pPr>
              <w:pStyle w:val="73"/>
              <w:topLinePunct/>
              <w:spacing w:line="276" w:lineRule="auto"/>
              <w:rPr>
                <w:rFonts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1、提供委托代理人身份证复印件。</w:t>
            </w:r>
          </w:p>
          <w:p>
            <w:pPr>
              <w:pStyle w:val="73"/>
              <w:topLinePunct/>
              <w:spacing w:line="276" w:lineRule="auto"/>
              <w:rPr>
                <w:rFonts w:ascii="仿宋" w:hAnsi="仿宋" w:eastAsia="仿宋" w:cs="Cambria Math"/>
                <w:color w:val="000000" w:themeColor="text1"/>
                <w:sz w:val="21"/>
                <w:szCs w:val="2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2、落款</w:t>
            </w:r>
            <w:r>
              <w:rPr>
                <w:rFonts w:hint="eastAsia" w:ascii="仿宋" w:hAnsi="仿宋" w:eastAsia="仿宋" w:cs="仿宋"/>
                <w:bCs/>
                <w:color w:val="000000" w:themeColor="text1"/>
                <w:sz w:val="22"/>
                <w14:textFill>
                  <w14:solidFill>
                    <w14:schemeClr w14:val="tx1"/>
                  </w14:solidFill>
                </w14:textFill>
              </w:rPr>
              <w:t>加盖公章</w:t>
            </w:r>
            <w:r>
              <w:rPr>
                <w:rFonts w:hint="eastAsia" w:ascii="仿宋" w:hAnsi="仿宋" w:eastAsia="仿宋" w:cs="仿宋"/>
                <w:b/>
                <w:bCs/>
                <w:color w:val="000000" w:themeColor="text1"/>
                <w:sz w:val="22"/>
                <w14:textFill>
                  <w14:solidFill>
                    <w14:schemeClr w14:val="tx1"/>
                  </w14:solidFill>
                </w14:textFill>
              </w:rPr>
              <w:t>并由</w:t>
            </w:r>
            <w:r>
              <w:rPr>
                <w:rFonts w:hint="eastAsia" w:ascii="仿宋" w:hAnsi="仿宋" w:eastAsia="仿宋" w:cs="仿宋"/>
                <w:color w:val="000000" w:themeColor="text1"/>
                <w:sz w:val="22"/>
                <w14:textFill>
                  <w14:solidFill>
                    <w14:schemeClr w14:val="tx1"/>
                  </w14:solidFill>
                </w14:textFill>
              </w:rPr>
              <w:t>法定代表人（负责人）签字</w:t>
            </w:r>
            <w:r>
              <w:rPr>
                <w:rFonts w:hint="eastAsia" w:ascii="仿宋" w:hAnsi="仿宋" w:eastAsia="仿宋" w:cs="仿宋"/>
                <w:b/>
                <w:bCs/>
                <w:color w:val="000000" w:themeColor="text1"/>
                <w:sz w:val="22"/>
                <w14:textFill>
                  <w14:solidFill>
                    <w14:schemeClr w14:val="tx1"/>
                  </w14:solidFill>
                </w14:textFill>
              </w:rPr>
              <w:t>和</w:t>
            </w:r>
            <w:r>
              <w:rPr>
                <w:rFonts w:hint="eastAsia" w:ascii="仿宋" w:hAnsi="仿宋" w:eastAsia="仿宋" w:cs="仿宋"/>
                <w:color w:val="000000" w:themeColor="text1"/>
                <w:sz w:val="22"/>
                <w14:textFill>
                  <w14:solidFill>
                    <w14:schemeClr w14:val="tx1"/>
                  </w14:solidFill>
                </w14:textFill>
              </w:rPr>
              <w:t>其委托代理人</w:t>
            </w:r>
            <w:r>
              <w:rPr>
                <w:rFonts w:hint="eastAsia" w:ascii="仿宋" w:hAnsi="仿宋" w:eastAsia="仿宋" w:cs="仿宋"/>
                <w:b/>
                <w:bCs/>
                <w:color w:val="000000" w:themeColor="text1"/>
                <w:sz w:val="22"/>
                <w14:textFill>
                  <w14:solidFill>
                    <w14:schemeClr w14:val="tx1"/>
                  </w14:solidFill>
                </w14:textFill>
              </w:rPr>
              <w:t>双方</w:t>
            </w:r>
            <w:r>
              <w:rPr>
                <w:rFonts w:hint="eastAsia" w:ascii="仿宋" w:hAnsi="仿宋" w:eastAsia="仿宋" w:cs="仿宋"/>
                <w:bCs/>
                <w:color w:val="000000" w:themeColor="text1"/>
                <w:sz w:val="22"/>
                <w14:textFill>
                  <w14:solidFill>
                    <w14:schemeClr w14:val="tx1"/>
                  </w14:solidFill>
                </w14:textFill>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90"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响应文件签字或盖章</w:t>
            </w:r>
          </w:p>
        </w:tc>
        <w:tc>
          <w:tcPr>
            <w:tcW w:w="3079" w:type="pct"/>
            <w:vAlign w:val="center"/>
          </w:tcPr>
          <w:p>
            <w:pPr>
              <w:spacing w:before="24" w:after="24"/>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1、上述两款以外的响应文件格式中有落款的文件，</w:t>
            </w:r>
            <w:r>
              <w:rPr>
                <w:rFonts w:hint="eastAsia" w:ascii="仿宋" w:hAnsi="仿宋" w:eastAsia="仿宋" w:cs="宋体"/>
                <w:b/>
                <w:color w:val="000000" w:themeColor="text1"/>
                <w:szCs w:val="21"/>
                <w14:textFill>
                  <w14:solidFill>
                    <w14:schemeClr w14:val="tx1"/>
                  </w14:solidFill>
                </w14:textFill>
              </w:rPr>
              <w:t>均需</w:t>
            </w:r>
            <w:r>
              <w:rPr>
                <w:rFonts w:hint="eastAsia" w:ascii="仿宋" w:hAnsi="仿宋" w:eastAsia="仿宋" w:cs="宋体"/>
                <w:color w:val="000000" w:themeColor="text1"/>
                <w:szCs w:val="21"/>
                <w14:textFill>
                  <w14:solidFill>
                    <w14:schemeClr w14:val="tx1"/>
                  </w14:solidFill>
                </w14:textFill>
              </w:rPr>
              <w:t>加盖公章</w:t>
            </w:r>
            <w:r>
              <w:rPr>
                <w:rFonts w:hint="eastAsia" w:ascii="仿宋" w:hAnsi="仿宋" w:eastAsia="仿宋" w:cs="宋体"/>
                <w:b/>
                <w:color w:val="000000" w:themeColor="text1"/>
                <w:szCs w:val="21"/>
                <w14:textFill>
                  <w14:solidFill>
                    <w14:schemeClr w14:val="tx1"/>
                  </w14:solidFill>
                </w14:textFill>
              </w:rPr>
              <w:t>或</w:t>
            </w:r>
            <w:r>
              <w:rPr>
                <w:rFonts w:hint="eastAsia" w:ascii="仿宋" w:hAnsi="仿宋" w:eastAsia="仿宋" w:cs="宋体"/>
                <w:color w:val="000000" w:themeColor="text1"/>
                <w:szCs w:val="21"/>
                <w14:textFill>
                  <w14:solidFill>
                    <w14:schemeClr w14:val="tx1"/>
                  </w14:solidFill>
                </w14:textFill>
              </w:rPr>
              <w:t>由法定代表人（负责人）签字</w:t>
            </w:r>
            <w:r>
              <w:rPr>
                <w:rFonts w:hint="eastAsia" w:ascii="仿宋" w:hAnsi="仿宋" w:eastAsia="仿宋" w:cs="宋体"/>
                <w:b/>
                <w:color w:val="000000" w:themeColor="text1"/>
                <w:szCs w:val="21"/>
                <w14:textFill>
                  <w14:solidFill>
                    <w14:schemeClr w14:val="tx1"/>
                  </w14:solidFill>
                </w14:textFill>
              </w:rPr>
              <w:t>或</w:t>
            </w:r>
            <w:r>
              <w:rPr>
                <w:rFonts w:hint="eastAsia" w:ascii="仿宋" w:hAnsi="仿宋" w:eastAsia="仿宋" w:cs="宋体"/>
                <w:color w:val="000000" w:themeColor="text1"/>
                <w:szCs w:val="21"/>
                <w14:textFill>
                  <w14:solidFill>
                    <w14:schemeClr w14:val="tx1"/>
                  </w14:solidFill>
                </w14:textFill>
              </w:rPr>
              <w:t>其委托代理人签字。</w:t>
            </w:r>
          </w:p>
          <w:p>
            <w:pPr>
              <w:pStyle w:val="61"/>
              <w:spacing w:before="62" w:beforeLines="20" w:after="62" w:afterLines="20" w:line="276"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2、响应文件的所有签字处均指手写签字</w:t>
            </w:r>
            <w:r>
              <w:rPr>
                <w:rFonts w:hint="eastAsia" w:ascii="仿宋" w:hAnsi="仿宋" w:eastAsia="仿宋"/>
                <w:b/>
                <w:color w:val="000000" w:themeColor="text1"/>
                <w14:textFill>
                  <w14:solidFill>
                    <w14:schemeClr w14:val="tx1"/>
                  </w14:solidFill>
                </w14:textFill>
              </w:rPr>
              <w:t>或</w:t>
            </w:r>
            <w:r>
              <w:rPr>
                <w:rFonts w:hint="eastAsia" w:ascii="仿宋" w:hAnsi="仿宋" w:eastAsia="仿宋"/>
                <w:color w:val="000000" w:themeColor="text1"/>
                <w14:textFill>
                  <w14:solidFill>
                    <w14:schemeClr w14:val="tx1"/>
                  </w14:solidFill>
                </w14:textFill>
              </w:rPr>
              <w:t>签名章/印章</w:t>
            </w:r>
            <w:r>
              <w:rPr>
                <w:rFonts w:hint="eastAsia" w:ascii="仿宋" w:hAnsi="仿宋" w:eastAsia="仿宋"/>
                <w:b/>
                <w:bCs/>
                <w:color w:val="000000" w:themeColor="text1"/>
                <w14:textFill>
                  <w14:solidFill>
                    <w14:schemeClr w14:val="tx1"/>
                  </w14:solidFill>
                </w14:textFill>
              </w:rPr>
              <w:t>或</w:t>
            </w:r>
            <w:r>
              <w:rPr>
                <w:rFonts w:hint="eastAsia" w:ascii="仿宋" w:hAnsi="仿宋" w:eastAsia="仿宋"/>
                <w:color w:val="000000" w:themeColor="text1"/>
                <w14:textFill>
                  <w14:solidFill>
                    <w14:schemeClr w14:val="tx1"/>
                  </w14:solidFill>
                </w14:textFill>
              </w:rPr>
              <w:t>CA签名章，</w:t>
            </w:r>
            <w:r>
              <w:rPr>
                <w:rFonts w:hint="eastAsia" w:ascii="仿宋" w:hAnsi="仿宋" w:eastAsia="仿宋"/>
                <w:b/>
                <w:color w:val="000000" w:themeColor="text1"/>
                <w14:textFill>
                  <w14:solidFill>
                    <w14:schemeClr w14:val="tx1"/>
                  </w14:solidFill>
                </w14:textFill>
              </w:rPr>
              <w:t>不得</w:t>
            </w:r>
            <w:r>
              <w:rPr>
                <w:rFonts w:hint="eastAsia" w:ascii="仿宋" w:hAnsi="仿宋" w:eastAsia="仿宋"/>
                <w:color w:val="000000" w:themeColor="text1"/>
                <w14:textFill>
                  <w14:solidFill>
                    <w14:schemeClr w14:val="tx1"/>
                  </w14:solidFill>
                </w14:textFill>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2</w:t>
            </w:r>
          </w:p>
        </w:tc>
        <w:tc>
          <w:tcPr>
            <w:tcW w:w="593" w:type="pct"/>
            <w:vMerge w:val="restart"/>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资格评审标准</w:t>
            </w:r>
          </w:p>
        </w:tc>
        <w:tc>
          <w:tcPr>
            <w:tcW w:w="990"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 w:val="22"/>
                <w:szCs w:val="21"/>
                <w14:textFill>
                  <w14:solidFill>
                    <w14:schemeClr w14:val="tx1"/>
                  </w14:solidFill>
                </w14:textFill>
              </w:rPr>
              <w:t>具有独立承担民事责任的能力</w:t>
            </w:r>
          </w:p>
        </w:tc>
        <w:tc>
          <w:tcPr>
            <w:tcW w:w="3079"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90" w:type="pct"/>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Monaco"/>
                <w:color w:val="000000" w:themeColor="text1"/>
                <w:sz w:val="22"/>
                <w:szCs w:val="21"/>
                <w14:textFill>
                  <w14:solidFill>
                    <w14:schemeClr w14:val="tx1"/>
                  </w14:solidFill>
                </w14:textFill>
              </w:rPr>
              <w:t>供应商应具有履行合同所必需的设备和专业技术能力</w:t>
            </w:r>
          </w:p>
        </w:tc>
        <w:tc>
          <w:tcPr>
            <w:tcW w:w="3079"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90" w:type="pct"/>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近三年内无违法违规记录</w:t>
            </w:r>
          </w:p>
        </w:tc>
        <w:tc>
          <w:tcPr>
            <w:tcW w:w="3079"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90" w:type="pct"/>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未被纳入采购人及其所隶属的中国人民保险各级机构的供应商黑名单</w:t>
            </w:r>
          </w:p>
        </w:tc>
        <w:tc>
          <w:tcPr>
            <w:tcW w:w="3079"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90"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控股管理关系</w:t>
            </w:r>
          </w:p>
        </w:tc>
        <w:tc>
          <w:tcPr>
            <w:tcW w:w="3079"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90"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非联合体投标</w:t>
            </w:r>
          </w:p>
        </w:tc>
        <w:tc>
          <w:tcPr>
            <w:tcW w:w="3079"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3</w:t>
            </w:r>
          </w:p>
        </w:tc>
        <w:tc>
          <w:tcPr>
            <w:tcW w:w="593" w:type="pct"/>
            <w:vMerge w:val="restart"/>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响应性评审标准</w:t>
            </w:r>
          </w:p>
        </w:tc>
        <w:tc>
          <w:tcPr>
            <w:tcW w:w="990"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响应函</w:t>
            </w:r>
          </w:p>
        </w:tc>
        <w:tc>
          <w:tcPr>
            <w:tcW w:w="3079"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除填写双方名称、项目名称外，未修改原文内容</w:t>
            </w:r>
            <w:r>
              <w:rPr>
                <w:rFonts w:hint="eastAsia" w:ascii="仿宋" w:hAnsi="仿宋" w:eastAsia="仿宋" w:cs="Cambria Math"/>
                <w:color w:val="000000" w:themeColor="text1"/>
                <w:szCs w:val="21"/>
                <w14:textFill>
                  <w14:solidFill>
                    <w14:schemeClr w14:val="tx1"/>
                  </w14:solidFill>
                </w14:textFill>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90" w:type="pct"/>
            <w:vAlign w:val="center"/>
          </w:tcPr>
          <w:p>
            <w:pPr>
              <w:spacing w:before="24" w:after="24" w:line="276"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供应商行为准则承诺书</w:t>
            </w:r>
          </w:p>
        </w:tc>
        <w:tc>
          <w:tcPr>
            <w:tcW w:w="3079" w:type="pct"/>
            <w:vAlign w:val="center"/>
          </w:tcPr>
          <w:p>
            <w:pPr>
              <w:spacing w:before="24" w:after="24" w:line="276" w:lineRule="auto"/>
              <w:rPr>
                <w:rFonts w:ascii="仿宋" w:hAnsi="仿宋" w:eastAsia="仿宋" w:cs="Cambria Math"/>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90" w:type="pct"/>
            <w:vAlign w:val="center"/>
          </w:tcPr>
          <w:p>
            <w:pPr>
              <w:spacing w:before="24" w:after="24" w:line="276"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供应商廉洁诚信承诺书</w:t>
            </w:r>
          </w:p>
        </w:tc>
        <w:tc>
          <w:tcPr>
            <w:tcW w:w="3079" w:type="pct"/>
            <w:vAlign w:val="center"/>
          </w:tcPr>
          <w:p>
            <w:pPr>
              <w:spacing w:before="24" w:after="24" w:line="276" w:lineRule="auto"/>
              <w:rPr>
                <w:rFonts w:ascii="仿宋" w:hAnsi="仿宋" w:eastAsia="仿宋" w:cs="Cambria Math"/>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90"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供应商偏离应答</w:t>
            </w:r>
          </w:p>
        </w:tc>
        <w:tc>
          <w:tcPr>
            <w:tcW w:w="3079"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《供应商须知应答偏离表》、《合同条款应答偏离表》、《采购需求应答偏离表》》进行了符合第二章“供应商须知”的应答</w:t>
            </w:r>
          </w:p>
        </w:tc>
      </w:tr>
    </w:tbl>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bookmarkEnd w:id="109"/>
    <w:p>
      <w:pPr>
        <w:pStyle w:val="3"/>
        <w:spacing w:before="0" w:after="0"/>
        <w:ind w:left="0" w:firstLine="0"/>
        <w:jc w:val="left"/>
        <w:rPr>
          <w:rFonts w:ascii="仿宋" w:hAnsi="仿宋" w:eastAsia="仿宋" w:cs="仿宋"/>
          <w:color w:val="000000" w:themeColor="text1"/>
          <w:sz w:val="28"/>
          <w:szCs w:val="28"/>
          <w14:textFill>
            <w14:solidFill>
              <w14:schemeClr w14:val="tx1"/>
            </w14:solidFill>
          </w14:textFill>
        </w:rPr>
      </w:pPr>
      <w:bookmarkStart w:id="120" w:name="_Toc15254"/>
    </w:p>
    <w:p>
      <w:pPr>
        <w:rPr>
          <w:rFonts w:ascii="仿宋" w:hAnsi="仿宋" w:eastAsia="仿宋" w:cs="仿宋"/>
          <w:color w:val="000000" w:themeColor="text1"/>
          <w:sz w:val="28"/>
          <w:szCs w:val="28"/>
          <w14:textFill>
            <w14:solidFill>
              <w14:schemeClr w14:val="tx1"/>
            </w14:solidFill>
          </w14:textFill>
        </w:rPr>
      </w:pPr>
    </w:p>
    <w:p>
      <w:pPr>
        <w:pStyle w:val="2"/>
        <w:rPr>
          <w:rFonts w:ascii="仿宋" w:hAnsi="仿宋" w:eastAsia="仿宋" w:cs="仿宋"/>
          <w:color w:val="000000" w:themeColor="text1"/>
          <w:sz w:val="28"/>
          <w:szCs w:val="28"/>
          <w14:textFill>
            <w14:solidFill>
              <w14:schemeClr w14:val="tx1"/>
            </w14:solidFill>
          </w14:textFill>
        </w:rPr>
      </w:pPr>
    </w:p>
    <w:p>
      <w:pPr>
        <w:rPr>
          <w:color w:val="000000" w:themeColor="text1"/>
          <w14:textFill>
            <w14:solidFill>
              <w14:schemeClr w14:val="tx1"/>
            </w14:solidFill>
          </w14:textFill>
        </w:rPr>
      </w:pPr>
    </w:p>
    <w:p>
      <w:pPr>
        <w:pStyle w:val="3"/>
        <w:spacing w:before="0" w:after="0"/>
        <w:jc w:val="left"/>
        <w:rPr>
          <w:rStyle w:val="34"/>
          <w:rFonts w:asciiTheme="minorHAnsi" w:hAnsiTheme="minorHAnsi" w:eastAsiaTheme="minorEastAsia"/>
          <w:b w:val="0"/>
          <w:bCs w:val="0"/>
          <w:color w:val="000000" w:themeColor="text1"/>
          <w:kern w:val="0"/>
          <w:szCs w:val="24"/>
          <w14:textFill>
            <w14:solidFill>
              <w14:schemeClr w14:val="tx1"/>
            </w14:solidFill>
          </w14:textFill>
        </w:rPr>
      </w:pPr>
      <w:bookmarkStart w:id="121" w:name="_Toc19262"/>
      <w:r>
        <w:rPr>
          <w:rFonts w:hint="eastAsia" w:ascii="仿宋" w:hAnsi="仿宋" w:eastAsia="仿宋" w:cs="仿宋"/>
          <w:color w:val="000000" w:themeColor="text1"/>
          <w:sz w:val="28"/>
          <w:szCs w:val="28"/>
          <w14:textFill>
            <w14:solidFill>
              <w14:schemeClr w14:val="tx1"/>
            </w14:solidFill>
          </w14:textFill>
        </w:rPr>
        <w:t>第四章 合同条</w:t>
      </w:r>
      <w:bookmarkEnd w:id="120"/>
      <w:r>
        <w:rPr>
          <w:rFonts w:hint="eastAsia" w:ascii="仿宋" w:hAnsi="仿宋" w:eastAsia="仿宋" w:cs="仿宋"/>
          <w:color w:val="000000" w:themeColor="text1"/>
          <w:sz w:val="28"/>
          <w:szCs w:val="28"/>
          <w14:textFill>
            <w14:solidFill>
              <w14:schemeClr w14:val="tx1"/>
            </w14:solidFill>
          </w14:textFill>
        </w:rPr>
        <w:t>款</w:t>
      </w:r>
      <w:bookmarkEnd w:id="121"/>
    </w:p>
    <w:p>
      <w:pPr>
        <w:rPr>
          <w:color w:val="000000" w:themeColor="text1"/>
          <w14:textFill>
            <w14:solidFill>
              <w14:schemeClr w14:val="tx1"/>
            </w14:solidFill>
          </w14:textFill>
        </w:rPr>
      </w:pPr>
    </w:p>
    <w:p>
      <w:pPr>
        <w:spacing w:line="600" w:lineRule="exact"/>
        <w:jc w:val="center"/>
        <w:rPr>
          <w:rFonts w:ascii="仿宋" w:hAnsi="仿宋" w:eastAsia="仿宋" w:cs="Calibri"/>
          <w:color w:val="000000" w:themeColor="text1"/>
          <w14:textFill>
            <w14:solidFill>
              <w14:schemeClr w14:val="tx1"/>
            </w14:solidFill>
          </w14:textFill>
        </w:rPr>
      </w:pPr>
      <w:r>
        <w:rPr>
          <w:rFonts w:hint="eastAsia"/>
          <w:color w:val="000000" w:themeColor="text1"/>
          <w14:textFill>
            <w14:solidFill>
              <w14:schemeClr w14:val="tx1"/>
            </w14:solidFill>
          </w14:textFill>
        </w:rPr>
        <w:tab/>
      </w:r>
      <w:r>
        <w:rPr>
          <w:rFonts w:hint="eastAsia" w:ascii="仿宋" w:hAnsi="仿宋" w:eastAsia="仿宋"/>
          <w:b/>
          <w:bCs/>
          <w:color w:val="000000" w:themeColor="text1"/>
          <w14:textFill>
            <w14:solidFill>
              <w14:schemeClr w14:val="tx1"/>
            </w14:solidFill>
          </w14:textFill>
        </w:rPr>
        <w:t>商务部分</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第一条 </w:t>
      </w:r>
      <w:r>
        <w:rPr>
          <w:rFonts w:hint="eastAsia" w:ascii="仿宋" w:hAnsi="仿宋" w:eastAsia="仿宋"/>
          <w:b/>
          <w:bCs/>
          <w:color w:val="000000" w:themeColor="text1"/>
          <w14:textFill>
            <w14:solidFill>
              <w14:schemeClr w14:val="tx1"/>
            </w14:solidFill>
          </w14:textFill>
        </w:rPr>
        <w:t>项目内容及要求</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本合同项下甲乙双方约定的项目内容及要求见本合同【附件】。</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第二条 </w:t>
      </w:r>
      <w:r>
        <w:rPr>
          <w:rFonts w:hint="eastAsia" w:ascii="仿宋" w:hAnsi="仿宋" w:eastAsia="仿宋"/>
          <w:b/>
          <w:bCs/>
          <w:color w:val="000000" w:themeColor="text1"/>
          <w14:textFill>
            <w14:solidFill>
              <w14:schemeClr w14:val="tx1"/>
            </w14:solidFill>
          </w14:textFill>
        </w:rPr>
        <w:t>服务方案及验收</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双方约定的服务方案详见本合同【附件】。</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第三条 </w:t>
      </w:r>
      <w:r>
        <w:rPr>
          <w:rFonts w:hint="eastAsia" w:ascii="仿宋" w:hAnsi="仿宋" w:eastAsia="仿宋"/>
          <w:b/>
          <w:bCs/>
          <w:color w:val="000000" w:themeColor="text1"/>
          <w14:textFill>
            <w14:solidFill>
              <w14:schemeClr w14:val="tx1"/>
            </w14:solidFill>
          </w14:textFill>
        </w:rPr>
        <w:t>合同价格</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（一） 本合同总价款为</w:t>
      </w:r>
      <w:r>
        <w:rPr>
          <w:rFonts w:hint="eastAsia" w:ascii="仿宋" w:hAnsi="仿宋" w:eastAsia="仿宋"/>
          <w:color w:val="000000" w:themeColor="text1"/>
          <w:u w:val="single"/>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元（大写：</w:t>
      </w:r>
      <w:r>
        <w:rPr>
          <w:rFonts w:hint="eastAsia" w:ascii="仿宋" w:hAnsi="仿宋" w:eastAsia="仿宋"/>
          <w:color w:val="000000" w:themeColor="text1"/>
          <w:u w:val="single"/>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）。合同价格明细见【附件】。</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（二） 乙方因提供本合同项下服务所发生的一切费用和税费，已包括在前款约定的费用当中；除双方另有书面约定外，甲方不再就乙方提供本合同项下的服务向乙方另行支付任何其它费用。</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（三） 本合同付款安排见【附件】。</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（四） 由于乙方未提供或未及时提供足额有效的增值税专用发票，或乙方变更账户信息但未提前通知甲方而导致的付款迟延，甲方不承担任何责任。</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（五）本合同为单价合同，公交站台宣传服务：</w:t>
      </w:r>
      <w:r>
        <w:rPr>
          <w:rFonts w:hint="eastAsia" w:ascii="仿宋" w:hAnsi="仿宋" w:eastAsia="仿宋"/>
          <w:color w:val="000000" w:themeColor="text1"/>
          <w:u w:val="single"/>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元/块/月，服务费用最高不超过上述合同总价款。</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第四条 </w:t>
      </w:r>
      <w:r>
        <w:rPr>
          <w:rFonts w:hint="eastAsia" w:ascii="仿宋" w:hAnsi="仿宋" w:eastAsia="仿宋"/>
          <w:b/>
          <w:bCs/>
          <w:color w:val="000000" w:themeColor="text1"/>
          <w14:textFill>
            <w14:solidFill>
              <w14:schemeClr w14:val="tx1"/>
            </w14:solidFill>
          </w14:textFill>
        </w:rPr>
        <w:t>双方的权利和义务</w:t>
      </w:r>
    </w:p>
    <w:p>
      <w:pPr>
        <w:spacing w:line="600" w:lineRule="exact"/>
        <w:ind w:firstLine="660"/>
        <w:rPr>
          <w:rFonts w:ascii="仿宋" w:hAnsi="仿宋" w:eastAsia="仿宋"/>
          <w:b/>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除本合同约定的双方的权利义务外，甲乙双方在本合同项下的其他权利和义务见【附件】的约定。</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第五条 </w:t>
      </w:r>
      <w:r>
        <w:rPr>
          <w:rFonts w:hint="eastAsia" w:ascii="仿宋" w:hAnsi="仿宋" w:eastAsia="仿宋"/>
          <w:b/>
          <w:bCs/>
          <w:color w:val="000000" w:themeColor="text1"/>
          <w14:textFill>
            <w14:solidFill>
              <w14:schemeClr w14:val="tx1"/>
            </w14:solidFill>
          </w14:textFill>
        </w:rPr>
        <w:t>违约责任</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甲、乙任一方或双方违约的，违约一方应当向相对方承担相应的违约责任。违约责任的具体约定见【附件】。</w:t>
      </w:r>
    </w:p>
    <w:p>
      <w:pPr>
        <w:spacing w:line="600" w:lineRule="exact"/>
        <w:jc w:val="center"/>
        <w:rPr>
          <w:rFonts w:ascii="仿宋" w:hAnsi="仿宋" w:eastAsia="仿宋"/>
          <w:color w:val="000000" w:themeColor="text1"/>
          <w14:textFill>
            <w14:solidFill>
              <w14:schemeClr w14:val="tx1"/>
            </w14:solidFill>
          </w14:textFill>
        </w:rPr>
      </w:pPr>
      <w:r>
        <w:rPr>
          <w:rFonts w:hint="eastAsia" w:ascii="仿宋" w:hAnsi="仿宋" w:eastAsia="仿宋"/>
          <w:b/>
          <w:bCs/>
          <w:color w:val="000000" w:themeColor="text1"/>
          <w14:textFill>
            <w14:solidFill>
              <w14:schemeClr w14:val="tx1"/>
            </w14:solidFill>
          </w14:textFill>
        </w:rPr>
        <w:t>通用部分</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第六条 </w:t>
      </w:r>
      <w:r>
        <w:rPr>
          <w:rFonts w:hint="eastAsia" w:ascii="仿宋" w:hAnsi="仿宋" w:eastAsia="仿宋"/>
          <w:b/>
          <w:bCs/>
          <w:color w:val="000000" w:themeColor="text1"/>
          <w14:textFill>
            <w14:solidFill>
              <w14:schemeClr w14:val="tx1"/>
            </w14:solidFill>
          </w14:textFill>
        </w:rPr>
        <w:t>双方的权利和义务</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（一） 甲方的权利和义务</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（1）甲方有权获得本合同项下乙方应提供的全部合格的服务；</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（2）甲方有权在合同期内对乙方的服务进行监督；</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（3）乙方未按照合同约定履行义务的，甲方有权采取相应的措施；</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（4）甲方应按照合同约定向乙方支付合同价款；</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（5）甲方对其提供的样本、稿件本身及其内容的真实性、合法性、知识产权的独立性等承担全部责任，所提供样本、稿件引起的纠纷、争议及相关损失由甲方自行承担；</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6）乙方提供的每个阶段的工作成果须经过甲方的确认，确认以后的工作成果乙方不得擅自修改。甲方有权根据服务需求对乙方的服务内容随时提出修改要求，但应及时以书面形式通知乙方，乙方收到通知后的当天应按新的内容执行；</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（7）甲方享有其它双方约定的权利、承担其它双方约定的义务。</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（二） 乙方的权利和义务</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（1）乙方有权获得甲方支付的合同价款；</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（2）乙方应按照合同约定向甲方提供全部合格的服务；</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（3）乙方应按照合同约定履行相应的维护和保修或其他后续义务；</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（4）乙方必须遵守甲方制定的各项服务标准、工作流程及各项要求；</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（5）乙方应当按照甲方提出的变更需求及时调整和完善服务内容；</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（6）乙方服务团队成员有熊小利等，乙方人员如需变更应提前两周与甲方协调并取得同意；</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（7）乙方承担由于自身或合作施工单位由于服务效果与服务设计方案偏差原因造成的损失；</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（8）乙方享有其它双方约定的权利、承担其它双方约定的义务。</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（三） 合同期限：</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自合同签订生效之日起一年期，如合同总价款 </w:t>
      </w:r>
      <w:r>
        <w:rPr>
          <w:rFonts w:hint="eastAsia" w:ascii="仿宋" w:hAnsi="仿宋" w:eastAsia="仿宋"/>
          <w:color w:val="000000" w:themeColor="text1"/>
          <w:u w:val="single"/>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全部使用完毕，则合同期限自动终止，双方权利与义务同时终止。</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第七条 </w:t>
      </w:r>
      <w:r>
        <w:rPr>
          <w:rFonts w:hint="eastAsia" w:ascii="仿宋" w:hAnsi="仿宋" w:eastAsia="仿宋"/>
          <w:b/>
          <w:bCs/>
          <w:color w:val="000000" w:themeColor="text1"/>
          <w14:textFill>
            <w14:solidFill>
              <w14:schemeClr w14:val="tx1"/>
            </w14:solidFill>
          </w14:textFill>
        </w:rPr>
        <w:t>禁止转让</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未经甲方事先书面同意，乙方不得将其本合同项下之全部义务或其中一部分义务转让给第三方执行。</w:t>
      </w:r>
    </w:p>
    <w:p>
      <w:pPr>
        <w:spacing w:line="600" w:lineRule="exact"/>
        <w:ind w:firstLine="660"/>
        <w:rPr>
          <w:rFonts w:ascii="仿宋" w:hAnsi="仿宋" w:eastAsia="仿宋"/>
          <w:b/>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第八条 商标使用</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未经甲方书面许可，乙方不得将甲方的商标、公司名称、标识等用于宣传和/或展示。</w:t>
      </w:r>
    </w:p>
    <w:p>
      <w:pPr>
        <w:spacing w:line="600" w:lineRule="exact"/>
        <w:ind w:firstLine="660"/>
        <w:rPr>
          <w:rFonts w:ascii="仿宋" w:hAnsi="仿宋" w:eastAsia="仿宋"/>
          <w:b/>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第九条 知识产权保障及权利保证</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（一） 知识产权保障</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1）乙方根据本合同或在本合同履行过程中专门为甲方或根据甲方提供的有关资料而产生的任何创意、设计、宣传资料等作品（包括但不限于任何图案、图像、配音、配乐、文字、专题片语、卡通人物形象、FLASH等，无论最终是否被甲方选用），其知识产权和其他权益全部归甲方所有，甲方可以不受限制地进行使用或许可第三方使用。未经甲方事先书面许可，乙方不得为本合同之外的任何目的、以任何形式自行使用或许可任何第三方使用。</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2）甲方授权乙方为本合同约定的目的在本合同履行过程中使用其提供的企业名称、企业标识、业务标识、商标等。乙方保证正确、合理地使用上述名称、标识、商标等，保证不擅自改动、歪曲其整体形象和组成部分，保证不为本合同之外的任何目的或在本合同履行完毕以后、以任何形式自行使用或擅自许可任何第三方使用。</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3）甲方根据本合同向乙方提供的宣传资料和其中所包含的创意、设计、图形、图片、文字等素材，其知识产权和其他权益全部归甲方所有，未经甲方事先书面许可，乙方不得为本合同之外的任何目的或在本合同履行完毕以后、以任何形式自行使用或擅自许可任何第三方使用。</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（4）本合同因履行完毕、解除或不可抗力等终止之日起3日内，乙方应将甲方提供的所有信息和资料移交甲方，并且自终止之日起不得继续使用或擅自许可任何第三方使用甲方提供的所有信息和资料。</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第十条 </w:t>
      </w:r>
      <w:r>
        <w:rPr>
          <w:rFonts w:hint="eastAsia" w:ascii="仿宋" w:hAnsi="仿宋" w:eastAsia="仿宋"/>
          <w:b/>
          <w:bCs/>
          <w:color w:val="000000" w:themeColor="text1"/>
          <w14:textFill>
            <w14:solidFill>
              <w14:schemeClr w14:val="tx1"/>
            </w14:solidFill>
          </w14:textFill>
        </w:rPr>
        <w:t>违约责任</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（一） 如果由于甲方原因延迟付款，每延迟一天，甲方应按照应付合同价款的0.05%向乙方支付违约金。</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（二） 如果乙方未按合同约定的时间、地点、内容、质量要求等提供服务，每延迟一天，应支付违约金</w:t>
      </w:r>
      <w:r>
        <w:rPr>
          <w:rFonts w:hint="eastAsia" w:ascii="仿宋" w:hAnsi="仿宋" w:eastAsia="仿宋"/>
          <w:color w:val="000000" w:themeColor="text1"/>
          <w:u w:val="single"/>
          <w:lang w:val="en-US" w:eastAsia="zh-CN"/>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元。乙方迟延提供服务，并不免除乙方应当按照合同继续提供服务的义务。如果乙方延迟30天仍不能按照合同约定提供服务的，甲方有权解除合同。甲方有权从未付合同价款中扣除乙方延迟履行合同义务的违约金，不足部分，乙方应予以补足。</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（三） 因违约而解除合同</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（1）如乙方服务团队负责人发生变更或核心服务团队发生重大变化，乙方未能及时书面告知甲方造成服务水平下降，或变更后人员资质不符合甲方要求的，甲方有权即时解除本合同。</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（2）如乙方未经甲方书面许可，以甲方名义向媒体或其他第三方进行任何商业行为的，甲方有权即时解除本合同。</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（3）因乙方延迟履行合同义务或因其他违约行为导致甲方解除合同的，乙方应向甲方支付本合同价款总额20%的违约金，如违约金不足以弥补甲方损失的，超出部分由乙方继续承担赔偿责任。</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（四） 如果乙方违反本合同约定的保密义务，乙方应向甲方支付相当于本合同总价款20%的违约金，甲方受到的损失超出违约金的部分，由乙方继续承担赔偿责任。</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（五） 除本合同的约定外，因乙方的违约行为给甲方造成损失的，乙方应向甲方支付相当于本合同总价款20%的违约金，如甲方受到的损失超过违约金的，超出部分由乙方继续承担赔偿责任。</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第十一条 </w:t>
      </w:r>
      <w:r>
        <w:rPr>
          <w:rFonts w:hint="eastAsia" w:ascii="仿宋" w:hAnsi="仿宋" w:eastAsia="仿宋"/>
          <w:b/>
          <w:bCs/>
          <w:color w:val="000000" w:themeColor="text1"/>
          <w14:textFill>
            <w14:solidFill>
              <w14:schemeClr w14:val="tx1"/>
            </w14:solidFill>
          </w14:textFill>
        </w:rPr>
        <w:t>保密义务</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（二） 乙方在本合同中所受领的保密信息应及时返还甲方或在甲方监督下予以销毁。乙方擅自留存备份信息，视为违反保密约定。</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（三） 无论本合同因何种原因终止，本保密条款依然有效。</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第十条 </w:t>
      </w:r>
      <w:r>
        <w:rPr>
          <w:rFonts w:hint="eastAsia" w:ascii="仿宋" w:hAnsi="仿宋" w:eastAsia="仿宋"/>
          <w:b/>
          <w:bCs/>
          <w:color w:val="000000" w:themeColor="text1"/>
          <w14:textFill>
            <w14:solidFill>
              <w14:schemeClr w14:val="tx1"/>
            </w14:solidFill>
          </w14:textFill>
        </w:rPr>
        <w:t>不可抗力</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（三） 合同一方迟延履行后发生不可抗力的，不能免除其责任。</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第十三条 </w:t>
      </w:r>
      <w:r>
        <w:rPr>
          <w:rFonts w:hint="eastAsia" w:ascii="仿宋" w:hAnsi="仿宋" w:eastAsia="仿宋"/>
          <w:b/>
          <w:bCs/>
          <w:color w:val="000000" w:themeColor="text1"/>
          <w14:textFill>
            <w14:solidFill>
              <w14:schemeClr w14:val="tx1"/>
            </w14:solidFill>
          </w14:textFill>
        </w:rPr>
        <w:t>合同变更</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对本合同的任何变更或补充，须经甲乙双方协商一致，并另行签订书面补充协议。</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第十四条 </w:t>
      </w:r>
      <w:r>
        <w:rPr>
          <w:rFonts w:hint="eastAsia" w:ascii="仿宋" w:hAnsi="仿宋" w:eastAsia="仿宋"/>
          <w:b/>
          <w:bCs/>
          <w:color w:val="000000" w:themeColor="text1"/>
          <w14:textFill>
            <w14:solidFill>
              <w14:schemeClr w14:val="tx1"/>
            </w14:solidFill>
          </w14:textFill>
        </w:rPr>
        <w:t>合同特别终止</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（一） 甲乙双方同意在乙方出现下列情形时，甲方可以书面形式通知乙方（或者乙方的破产清算组或相关管理人）提出终止合同而不向其提供任何补偿：</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（1）乙方破产、解散（包括但不限于乙方股东会决议解散、乙方被吊销营业执照、被责令关闭、被撤销、被司法机关裁决解散等情形）；</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（2）乙方发生未经甲方书面同意的重大产权变更（包括但不限于合并、分立、注销等情形)；（如系上市公司）被勒令停止上市；以及任何原因背负重大债务导致无履行能力。</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（二） 如果因上述原因导致本合同终止，甲方已经采取或者将要采取任何补救措施的权利不受任何影响。</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第十三条 </w:t>
      </w:r>
      <w:r>
        <w:rPr>
          <w:rFonts w:hint="eastAsia" w:ascii="仿宋" w:hAnsi="仿宋" w:eastAsia="仿宋"/>
          <w:b/>
          <w:bCs/>
          <w:color w:val="000000" w:themeColor="text1"/>
          <w14:textFill>
            <w14:solidFill>
              <w14:schemeClr w14:val="tx1"/>
            </w14:solidFill>
          </w14:textFill>
        </w:rPr>
        <w:t>法律适用与争议解决</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（一） 本合同的订立、效力、解释、履行和争议的解决均适用中华人民共和国法律（不包括港澳台地区法律）。</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（二） 凡因本合同引起的或与本合同有关的任何争议，双方首先应友好协商解决。协商不成的，任何一方均可向甲方所在地有管辖权的法院提起诉讼。</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第十四条 </w:t>
      </w:r>
      <w:r>
        <w:rPr>
          <w:rFonts w:hint="eastAsia" w:ascii="仿宋" w:hAnsi="仿宋" w:eastAsia="仿宋"/>
          <w:b/>
          <w:bCs/>
          <w:color w:val="000000" w:themeColor="text1"/>
          <w14:textFill>
            <w14:solidFill>
              <w14:schemeClr w14:val="tx1"/>
            </w14:solidFill>
          </w14:textFill>
        </w:rPr>
        <w:t>合同生效及其他</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（一） 本合同经甲乙双方法定代表人或授权代表签字并加盖公章或合同专用章后生效。</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（二） 本合同一式</w:t>
      </w:r>
      <w:r>
        <w:rPr>
          <w:rFonts w:hint="eastAsia" w:ascii="仿宋" w:hAnsi="仿宋" w:eastAsia="仿宋" w:cs="仿宋"/>
          <w:color w:val="000000" w:themeColor="text1"/>
          <w14:textFill>
            <w14:solidFill>
              <w14:schemeClr w14:val="tx1"/>
            </w14:solidFill>
          </w14:textFill>
        </w:rPr>
        <w:t>_______</w:t>
      </w:r>
      <w:r>
        <w:rPr>
          <w:rFonts w:hint="eastAsia" w:ascii="仿宋" w:hAnsi="仿宋" w:eastAsia="仿宋"/>
          <w:color w:val="000000" w:themeColor="text1"/>
          <w14:textFill>
            <w14:solidFill>
              <w14:schemeClr w14:val="tx1"/>
            </w14:solidFill>
          </w14:textFill>
        </w:rPr>
        <w:t>份，其中正本</w:t>
      </w:r>
      <w:r>
        <w:rPr>
          <w:rFonts w:hint="eastAsia" w:ascii="仿宋" w:hAnsi="仿宋" w:eastAsia="仿宋" w:cs="仿宋"/>
          <w:color w:val="000000" w:themeColor="text1"/>
          <w14:textFill>
            <w14:solidFill>
              <w14:schemeClr w14:val="tx1"/>
            </w14:solidFill>
          </w14:textFill>
        </w:rPr>
        <w:t>_______</w:t>
      </w:r>
      <w:r>
        <w:rPr>
          <w:rFonts w:hint="eastAsia" w:ascii="仿宋" w:hAnsi="仿宋" w:eastAsia="仿宋"/>
          <w:color w:val="000000" w:themeColor="text1"/>
          <w14:textFill>
            <w14:solidFill>
              <w14:schemeClr w14:val="tx1"/>
            </w14:solidFill>
          </w14:textFill>
        </w:rPr>
        <w:t>份，副本</w:t>
      </w:r>
      <w:r>
        <w:rPr>
          <w:rFonts w:hint="eastAsia" w:ascii="仿宋" w:hAnsi="仿宋" w:eastAsia="仿宋" w:cs="仿宋"/>
          <w:color w:val="000000" w:themeColor="text1"/>
          <w14:textFill>
            <w14:solidFill>
              <w14:schemeClr w14:val="tx1"/>
            </w14:solidFill>
          </w14:textFill>
        </w:rPr>
        <w:t>_______</w:t>
      </w:r>
      <w:r>
        <w:rPr>
          <w:rFonts w:hint="eastAsia" w:ascii="仿宋" w:hAnsi="仿宋" w:eastAsia="仿宋"/>
          <w:color w:val="000000" w:themeColor="text1"/>
          <w14:textFill>
            <w14:solidFill>
              <w14:schemeClr w14:val="tx1"/>
            </w14:solidFill>
          </w14:textFill>
        </w:rPr>
        <w:t>份。甲方执</w:t>
      </w:r>
      <w:r>
        <w:rPr>
          <w:rFonts w:hint="eastAsia" w:ascii="仿宋" w:hAnsi="仿宋" w:eastAsia="仿宋" w:cs="仿宋"/>
          <w:color w:val="000000" w:themeColor="text1"/>
          <w14:textFill>
            <w14:solidFill>
              <w14:schemeClr w14:val="tx1"/>
            </w14:solidFill>
          </w14:textFill>
        </w:rPr>
        <w:t>_______</w:t>
      </w:r>
      <w:r>
        <w:rPr>
          <w:rFonts w:hint="eastAsia" w:ascii="仿宋" w:hAnsi="仿宋" w:eastAsia="仿宋"/>
          <w:color w:val="000000" w:themeColor="text1"/>
          <w14:textFill>
            <w14:solidFill>
              <w14:schemeClr w14:val="tx1"/>
            </w14:solidFill>
          </w14:textFill>
        </w:rPr>
        <w:t>份正本，</w:t>
      </w:r>
      <w:r>
        <w:rPr>
          <w:rFonts w:hint="eastAsia" w:ascii="仿宋" w:hAnsi="仿宋" w:eastAsia="仿宋" w:cs="仿宋"/>
          <w:color w:val="000000" w:themeColor="text1"/>
          <w14:textFill>
            <w14:solidFill>
              <w14:schemeClr w14:val="tx1"/>
            </w14:solidFill>
          </w14:textFill>
        </w:rPr>
        <w:t>_______</w:t>
      </w:r>
      <w:r>
        <w:rPr>
          <w:rFonts w:hint="eastAsia" w:ascii="仿宋" w:hAnsi="仿宋" w:eastAsia="仿宋"/>
          <w:color w:val="000000" w:themeColor="text1"/>
          <w14:textFill>
            <w14:solidFill>
              <w14:schemeClr w14:val="tx1"/>
            </w14:solidFill>
          </w14:textFill>
        </w:rPr>
        <w:t>份副本；乙方执</w:t>
      </w:r>
      <w:r>
        <w:rPr>
          <w:rFonts w:hint="eastAsia" w:ascii="仿宋" w:hAnsi="仿宋" w:eastAsia="仿宋" w:cs="仿宋"/>
          <w:color w:val="000000" w:themeColor="text1"/>
          <w14:textFill>
            <w14:solidFill>
              <w14:schemeClr w14:val="tx1"/>
            </w14:solidFill>
          </w14:textFill>
        </w:rPr>
        <w:t>_______</w:t>
      </w:r>
      <w:r>
        <w:rPr>
          <w:rFonts w:hint="eastAsia" w:ascii="仿宋" w:hAnsi="仿宋" w:eastAsia="仿宋"/>
          <w:color w:val="000000" w:themeColor="text1"/>
          <w14:textFill>
            <w14:solidFill>
              <w14:schemeClr w14:val="tx1"/>
            </w14:solidFill>
          </w14:textFill>
        </w:rPr>
        <w:t>份正本，</w:t>
      </w:r>
      <w:r>
        <w:rPr>
          <w:rFonts w:hint="eastAsia" w:ascii="仿宋" w:hAnsi="仿宋" w:eastAsia="仿宋" w:cs="仿宋"/>
          <w:color w:val="000000" w:themeColor="text1"/>
          <w14:textFill>
            <w14:solidFill>
              <w14:schemeClr w14:val="tx1"/>
            </w14:solidFill>
          </w14:textFill>
        </w:rPr>
        <w:t>_______</w:t>
      </w:r>
      <w:r>
        <w:rPr>
          <w:rFonts w:hint="eastAsia" w:ascii="仿宋" w:hAnsi="仿宋" w:eastAsia="仿宋"/>
          <w:color w:val="000000" w:themeColor="text1"/>
          <w14:textFill>
            <w14:solidFill>
              <w14:schemeClr w14:val="tx1"/>
            </w14:solidFill>
          </w14:textFill>
        </w:rPr>
        <w:t>份副本。</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（三） 无论本合同是否有相反约定，本合同附件（如有）作为本合同的组成部分，与本合同具有同等法律效力，当附件条款与本合同条款发生冲突时，以本合同条款为准。</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（四）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（五） 由于法律和法规、政策而导致本合同任何条款无效或无法执行，则该条款无效，但不影响剩余其他条款的效力。</w:t>
      </w:r>
    </w:p>
    <w:p>
      <w:pPr>
        <w:spacing w:line="600" w:lineRule="exact"/>
        <w:ind w:firstLine="660"/>
        <w:rPr>
          <w:rFonts w:ascii="仿宋" w:hAnsi="仿宋" w:eastAsia="仿宋"/>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第十五条 </w:t>
      </w:r>
      <w:r>
        <w:rPr>
          <w:rFonts w:hint="eastAsia" w:ascii="仿宋" w:hAnsi="仿宋" w:eastAsia="仿宋"/>
          <w:b/>
          <w:bCs/>
          <w:color w:val="000000" w:themeColor="text1"/>
          <w14:textFill>
            <w14:solidFill>
              <w14:schemeClr w14:val="tx1"/>
            </w14:solidFill>
          </w14:textFill>
        </w:rPr>
        <w:t>附件的组成</w:t>
      </w:r>
    </w:p>
    <w:p>
      <w:pPr>
        <w:pStyle w:val="2"/>
        <w:rPr>
          <w:rFonts w:ascii="仿宋" w:hAnsi="仿宋" w:eastAsia="仿宋"/>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tabs>
          <w:tab w:val="left" w:pos="2252"/>
        </w:tabs>
        <w:rPr>
          <w:color w:val="000000" w:themeColor="text1"/>
          <w14:textFill>
            <w14:solidFill>
              <w14:schemeClr w14:val="tx1"/>
            </w14:solidFill>
          </w14:textFill>
        </w:rPr>
      </w:pPr>
      <w:r>
        <w:rPr>
          <w:rFonts w:hint="eastAsia"/>
          <w:color w:val="000000" w:themeColor="text1"/>
          <w14:textFill>
            <w14:solidFill>
              <w14:schemeClr w14:val="tx1"/>
            </w14:solidFill>
          </w14:textFill>
        </w:rPr>
        <w:tab/>
      </w: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keepNext/>
        <w:keepLines/>
        <w:widowControl w:val="0"/>
        <w:tabs>
          <w:tab w:val="left" w:pos="2190"/>
        </w:tabs>
        <w:spacing w:before="120" w:after="120" w:line="240" w:lineRule="exact"/>
        <w:jc w:val="both"/>
        <w:outlineLvl w:val="0"/>
        <w:rPr>
          <w:rFonts w:ascii="Times New Roman" w:hAnsi="Times New Roman" w:eastAsia="楷体" w:cs="Times New Roman"/>
          <w:b/>
          <w:bCs/>
          <w:color w:val="000000" w:themeColor="text1"/>
          <w:kern w:val="44"/>
          <w:szCs w:val="44"/>
          <w14:textFill>
            <w14:solidFill>
              <w14:schemeClr w14:val="tx1"/>
            </w14:solidFill>
          </w14:textFill>
        </w:rPr>
      </w:pPr>
    </w:p>
    <w:p>
      <w:pPr>
        <w:keepNext/>
        <w:keepLines/>
        <w:widowControl w:val="0"/>
        <w:tabs>
          <w:tab w:val="left" w:pos="2190"/>
        </w:tabs>
        <w:spacing w:before="120" w:after="120" w:line="240" w:lineRule="exact"/>
        <w:ind w:firstLine="482" w:firstLineChars="200"/>
        <w:jc w:val="both"/>
        <w:outlineLvl w:val="0"/>
        <w:rPr>
          <w:rFonts w:ascii="Times New Roman" w:hAnsi="Times New Roman" w:eastAsia="楷体" w:cs="Times New Roman"/>
          <w:b/>
          <w:bCs/>
          <w:color w:val="000000" w:themeColor="text1"/>
          <w:kern w:val="44"/>
          <w:szCs w:val="44"/>
          <w14:textFill>
            <w14:solidFill>
              <w14:schemeClr w14:val="tx1"/>
            </w14:solidFill>
          </w14:textFill>
        </w:rPr>
      </w:pPr>
      <w:bookmarkStart w:id="122" w:name="_Toc14224"/>
      <w:bookmarkStart w:id="123" w:name="_Toc27595"/>
      <w:r>
        <w:rPr>
          <w:rFonts w:hint="eastAsia" w:ascii="Times New Roman" w:hAnsi="Times New Roman" w:eastAsia="楷体" w:cs="Times New Roman"/>
          <w:b/>
          <w:bCs/>
          <w:color w:val="000000" w:themeColor="text1"/>
          <w:kern w:val="44"/>
          <w:szCs w:val="44"/>
          <w14:textFill>
            <w14:solidFill>
              <w14:schemeClr w14:val="tx1"/>
            </w14:solidFill>
          </w14:textFill>
        </w:rPr>
        <w:t>附件一</w:t>
      </w:r>
      <w:bookmarkEnd w:id="122"/>
      <w:bookmarkEnd w:id="123"/>
      <w:r>
        <w:rPr>
          <w:rFonts w:ascii="Times New Roman" w:hAnsi="Times New Roman" w:eastAsia="楷体" w:cs="Times New Roman"/>
          <w:b/>
          <w:bCs/>
          <w:color w:val="000000" w:themeColor="text1"/>
          <w:kern w:val="44"/>
          <w:szCs w:val="44"/>
          <w14:textFill>
            <w14:solidFill>
              <w14:schemeClr w14:val="tx1"/>
            </w14:solidFill>
          </w14:textFill>
        </w:rPr>
        <w:tab/>
      </w:r>
    </w:p>
    <w:p>
      <w:pPr>
        <w:widowControl w:val="0"/>
        <w:adjustRightInd w:val="0"/>
        <w:spacing w:line="360" w:lineRule="auto"/>
        <w:jc w:val="center"/>
        <w:textAlignment w:val="baseline"/>
        <w:rPr>
          <w:rFonts w:ascii="楷体" w:hAnsi="楷体" w:eastAsia="楷体" w:cs="楷体"/>
          <w:b/>
          <w:color w:val="000000" w:themeColor="text1"/>
          <w:szCs w:val="20"/>
          <w14:textFill>
            <w14:solidFill>
              <w14:schemeClr w14:val="tx1"/>
            </w14:solidFill>
          </w14:textFill>
        </w:rPr>
      </w:pPr>
      <w:r>
        <w:rPr>
          <w:rFonts w:hint="eastAsia" w:ascii="楷体" w:hAnsi="楷体" w:eastAsia="楷体" w:cs="楷体"/>
          <w:b/>
          <w:color w:val="000000" w:themeColor="text1"/>
          <w:szCs w:val="20"/>
          <w14:textFill>
            <w14:solidFill>
              <w14:schemeClr w14:val="tx1"/>
            </w14:solidFill>
          </w14:textFill>
        </w:rPr>
        <w:t>服务内容及要求</w:t>
      </w:r>
    </w:p>
    <w:p>
      <w:pPr>
        <w:widowControl w:val="0"/>
        <w:tabs>
          <w:tab w:val="left" w:pos="165"/>
          <w:tab w:val="left" w:pos="315"/>
        </w:tabs>
        <w:autoSpaceDE w:val="0"/>
        <w:autoSpaceDN w:val="0"/>
        <w:spacing w:line="360" w:lineRule="auto"/>
        <w:ind w:firstLine="470"/>
        <w:jc w:val="both"/>
        <w:rPr>
          <w:rFonts w:ascii="楷体" w:hAnsi="楷体" w:eastAsia="楷体" w:cs="Arial"/>
          <w:color w:val="000000" w:themeColor="text1"/>
          <w14:textFill>
            <w14:solidFill>
              <w14:schemeClr w14:val="tx1"/>
            </w14:solidFill>
          </w14:textFill>
        </w:rPr>
      </w:pPr>
    </w:p>
    <w:p>
      <w:pPr>
        <w:widowControl w:val="0"/>
        <w:tabs>
          <w:tab w:val="left" w:pos="165"/>
          <w:tab w:val="left" w:pos="315"/>
        </w:tabs>
        <w:autoSpaceDE w:val="0"/>
        <w:autoSpaceDN w:val="0"/>
        <w:spacing w:line="360" w:lineRule="auto"/>
        <w:ind w:firstLine="470"/>
        <w:jc w:val="both"/>
        <w:rPr>
          <w:rFonts w:ascii="楷体" w:hAnsi="楷体" w:eastAsia="楷体" w:cs="Arial"/>
          <w:snapToGrid w:val="0"/>
          <w:color w:val="000000" w:themeColor="text1"/>
          <w:spacing w:val="24"/>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1.</w:t>
      </w:r>
      <w:r>
        <w:rPr>
          <w:rFonts w:hint="eastAsia" w:ascii="楷体" w:hAnsi="楷体" w:eastAsia="楷体" w:cs="Arial"/>
          <w:snapToGrid w:val="0"/>
          <w:color w:val="000000" w:themeColor="text1"/>
          <w:spacing w:val="24"/>
          <w14:textFill>
            <w14:solidFill>
              <w14:schemeClr w14:val="tx1"/>
            </w14:solidFill>
          </w14:textFill>
        </w:rPr>
        <w:t>项目名称</w:t>
      </w:r>
    </w:p>
    <w:p>
      <w:pPr>
        <w:widowControl w:val="0"/>
        <w:autoSpaceDE w:val="0"/>
        <w:autoSpaceDN w:val="0"/>
        <w:adjustRightInd w:val="0"/>
        <w:spacing w:line="360" w:lineRule="auto"/>
        <w:ind w:firstLine="480" w:firstLineChars="200"/>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项目名称：</w:t>
      </w:r>
    </w:p>
    <w:p>
      <w:pPr>
        <w:widowControl w:val="0"/>
        <w:adjustRightInd w:val="0"/>
        <w:spacing w:line="360" w:lineRule="auto"/>
        <w:ind w:firstLine="480" w:firstLineChars="200"/>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2.项目内容</w:t>
      </w:r>
    </w:p>
    <w:p>
      <w:pPr>
        <w:widowControl w:val="0"/>
        <w:adjustRightInd w:val="0"/>
        <w:spacing w:line="360" w:lineRule="auto"/>
        <w:ind w:firstLine="480" w:firstLineChars="200"/>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 xml:space="preserve">（1）乙方向甲方提供的服务的内容：                                 </w:t>
      </w:r>
    </w:p>
    <w:p>
      <w:pPr>
        <w:widowControl w:val="0"/>
        <w:adjustRightInd w:val="0"/>
        <w:spacing w:line="360" w:lineRule="auto"/>
        <w:ind w:firstLine="432" w:firstLineChars="150"/>
        <w:jc w:val="both"/>
        <w:textAlignment w:val="baseline"/>
        <w:rPr>
          <w:rFonts w:ascii="楷体" w:hAnsi="楷体" w:eastAsia="楷体" w:cs="Arial"/>
          <w:snapToGrid w:val="0"/>
          <w:color w:val="000000" w:themeColor="text1"/>
          <w:spacing w:val="24"/>
          <w14:textFill>
            <w14:solidFill>
              <w14:schemeClr w14:val="tx1"/>
            </w14:solidFill>
          </w14:textFill>
        </w:rPr>
      </w:pPr>
      <w:r>
        <w:rPr>
          <w:rFonts w:hint="eastAsia" w:ascii="楷体" w:hAnsi="楷体" w:eastAsia="楷体" w:cs="Arial"/>
          <w:snapToGrid w:val="0"/>
          <w:color w:val="000000" w:themeColor="text1"/>
          <w:spacing w:val="24"/>
          <w14:textFill>
            <w14:solidFill>
              <w14:schemeClr w14:val="tx1"/>
            </w14:solidFill>
          </w14:textFill>
        </w:rPr>
        <w:t>（2）服务期限：。</w:t>
      </w:r>
    </w:p>
    <w:p>
      <w:pPr>
        <w:widowControl w:val="0"/>
        <w:adjustRightInd w:val="0"/>
        <w:spacing w:line="360" w:lineRule="auto"/>
        <w:ind w:firstLine="432" w:firstLineChars="150"/>
        <w:jc w:val="both"/>
        <w:textAlignment w:val="baseline"/>
        <w:rPr>
          <w:rFonts w:ascii="楷体" w:hAnsi="楷体" w:eastAsia="楷体" w:cs="Arial"/>
          <w:snapToGrid w:val="0"/>
          <w:color w:val="000000" w:themeColor="text1"/>
          <w:spacing w:val="24"/>
          <w14:textFill>
            <w14:solidFill>
              <w14:schemeClr w14:val="tx1"/>
            </w14:solidFill>
          </w14:textFill>
        </w:rPr>
      </w:pPr>
      <w:r>
        <w:rPr>
          <w:rFonts w:hint="eastAsia" w:ascii="楷体" w:hAnsi="楷体" w:eastAsia="楷体" w:cs="Arial"/>
          <w:snapToGrid w:val="0"/>
          <w:color w:val="000000" w:themeColor="text1"/>
          <w:spacing w:val="24"/>
          <w14:textFill>
            <w14:solidFill>
              <w14:schemeClr w14:val="tx1"/>
            </w14:solidFill>
          </w14:textFill>
        </w:rPr>
        <w:t>（3）</w:t>
      </w:r>
      <w:r>
        <w:rPr>
          <w:rFonts w:hint="eastAsia" w:ascii="楷体" w:hAnsi="楷体" w:eastAsia="楷体" w:cs="Arial"/>
          <w:color w:val="000000" w:themeColor="text1"/>
          <w14:textFill>
            <w14:solidFill>
              <w14:schemeClr w14:val="tx1"/>
            </w14:solidFill>
          </w14:textFill>
        </w:rPr>
        <w:t xml:space="preserve">甲方向乙方支付的合同服务费用总计为人民币    元（大写：    整）。费用包括如下项目：                                       </w:t>
      </w:r>
    </w:p>
    <w:p>
      <w:pPr>
        <w:widowControl w:val="0"/>
        <w:adjustRightInd w:val="0"/>
        <w:spacing w:line="360" w:lineRule="auto"/>
        <w:ind w:firstLine="432" w:firstLineChars="150"/>
        <w:jc w:val="both"/>
        <w:textAlignment w:val="baseline"/>
        <w:rPr>
          <w:rFonts w:ascii="楷体" w:hAnsi="楷体" w:eastAsia="楷体" w:cs="Arial"/>
          <w:snapToGrid w:val="0"/>
          <w:color w:val="000000" w:themeColor="text1"/>
          <w:spacing w:val="24"/>
          <w14:textFill>
            <w14:solidFill>
              <w14:schemeClr w14:val="tx1"/>
            </w14:solidFill>
          </w14:textFill>
        </w:rPr>
      </w:pPr>
      <w:r>
        <w:rPr>
          <w:rFonts w:hint="eastAsia" w:ascii="楷体" w:hAnsi="楷体" w:eastAsia="楷体" w:cs="Arial"/>
          <w:snapToGrid w:val="0"/>
          <w:color w:val="000000" w:themeColor="text1"/>
          <w:spacing w:val="24"/>
          <w14:textFill>
            <w14:solidFill>
              <w14:schemeClr w14:val="tx1"/>
            </w14:solidFill>
          </w14:textFill>
        </w:rPr>
        <w:t>（4）其他要求：</w:t>
      </w:r>
    </w:p>
    <w:p>
      <w:pPr>
        <w:widowControl w:val="0"/>
        <w:tabs>
          <w:tab w:val="left" w:pos="165"/>
          <w:tab w:val="left" w:pos="315"/>
        </w:tabs>
        <w:autoSpaceDE w:val="0"/>
        <w:autoSpaceDN w:val="0"/>
        <w:spacing w:line="360" w:lineRule="auto"/>
        <w:ind w:firstLine="468" w:firstLineChars="195"/>
        <w:jc w:val="both"/>
        <w:rPr>
          <w:rFonts w:ascii="楷体" w:hAnsi="楷体" w:eastAsia="楷体" w:cs="Arial"/>
          <w:snapToGrid w:val="0"/>
          <w:color w:val="000000" w:themeColor="text1"/>
          <w:spacing w:val="24"/>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3.</w:t>
      </w:r>
      <w:r>
        <w:rPr>
          <w:rFonts w:hint="eastAsia" w:ascii="楷体" w:hAnsi="楷体" w:eastAsia="楷体" w:cs="Arial"/>
          <w:snapToGrid w:val="0"/>
          <w:color w:val="000000" w:themeColor="text1"/>
          <w:spacing w:val="24"/>
          <w14:textFill>
            <w14:solidFill>
              <w14:schemeClr w14:val="tx1"/>
            </w14:solidFill>
          </w14:textFill>
        </w:rPr>
        <w:t>告知</w:t>
      </w:r>
    </w:p>
    <w:p>
      <w:pPr>
        <w:widowControl w:val="0"/>
        <w:tabs>
          <w:tab w:val="left" w:pos="165"/>
          <w:tab w:val="left" w:pos="315"/>
        </w:tabs>
        <w:autoSpaceDE w:val="0"/>
        <w:autoSpaceDN w:val="0"/>
        <w:spacing w:line="360" w:lineRule="auto"/>
        <w:ind w:firstLine="480" w:firstLineChars="200"/>
        <w:jc w:val="both"/>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甲乙双方同意涉及本合同的一切事宜均以书面形式提交，双方应及时响应。</w:t>
      </w:r>
    </w:p>
    <w:p>
      <w:pPr>
        <w:widowControl w:val="0"/>
        <w:tabs>
          <w:tab w:val="left" w:pos="315"/>
        </w:tabs>
        <w:autoSpaceDE w:val="0"/>
        <w:autoSpaceDN w:val="0"/>
        <w:spacing w:line="360" w:lineRule="auto"/>
        <w:ind w:firstLine="468" w:firstLineChars="195"/>
        <w:jc w:val="both"/>
        <w:rPr>
          <w:rFonts w:ascii="楷体" w:hAnsi="楷体" w:eastAsia="楷体" w:cs="Arial"/>
          <w:snapToGrid w:val="0"/>
          <w:color w:val="000000" w:themeColor="text1"/>
          <w:spacing w:val="24"/>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4.</w:t>
      </w:r>
      <w:r>
        <w:rPr>
          <w:rFonts w:hint="eastAsia" w:ascii="楷体" w:hAnsi="楷体" w:eastAsia="楷体" w:cs="Arial"/>
          <w:snapToGrid w:val="0"/>
          <w:color w:val="000000" w:themeColor="text1"/>
          <w:spacing w:val="24"/>
          <w14:textFill>
            <w14:solidFill>
              <w14:schemeClr w14:val="tx1"/>
            </w14:solidFill>
          </w14:textFill>
        </w:rPr>
        <w:t>问题项目处理</w:t>
      </w:r>
    </w:p>
    <w:p>
      <w:pPr>
        <w:widowControl w:val="0"/>
        <w:adjustRightInd w:val="0"/>
        <w:spacing w:line="360" w:lineRule="auto"/>
        <w:ind w:firstLine="480" w:firstLineChars="200"/>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widowControl w:val="0"/>
        <w:adjustRightInd w:val="0"/>
        <w:spacing w:line="360" w:lineRule="auto"/>
        <w:ind w:firstLine="480" w:firstLineChars="200"/>
        <w:jc w:val="both"/>
        <w:textAlignment w:val="baseline"/>
        <w:rPr>
          <w:rFonts w:ascii="楷体" w:hAnsi="楷体" w:eastAsia="楷体" w:cs="Arial"/>
          <w:color w:val="000000" w:themeColor="text1"/>
          <w14:textFill>
            <w14:solidFill>
              <w14:schemeClr w14:val="tx1"/>
            </w14:solidFill>
          </w14:textFill>
        </w:rPr>
      </w:pPr>
    </w:p>
    <w:p>
      <w:pPr>
        <w:widowControl w:val="0"/>
        <w:adjustRightInd w:val="0"/>
        <w:spacing w:line="360" w:lineRule="auto"/>
        <w:ind w:firstLine="480" w:firstLineChars="200"/>
        <w:jc w:val="both"/>
        <w:textAlignment w:val="baseline"/>
        <w:rPr>
          <w:rFonts w:ascii="楷体" w:hAnsi="楷体" w:eastAsia="楷体" w:cs="Arial"/>
          <w:color w:val="000000" w:themeColor="text1"/>
          <w14:textFill>
            <w14:solidFill>
              <w14:schemeClr w14:val="tx1"/>
            </w14:solidFill>
          </w14:textFill>
        </w:rPr>
      </w:pPr>
    </w:p>
    <w:p>
      <w:pPr>
        <w:widowControl w:val="0"/>
        <w:adjustRightInd w:val="0"/>
        <w:spacing w:line="360" w:lineRule="auto"/>
        <w:ind w:firstLine="480" w:firstLineChars="200"/>
        <w:jc w:val="both"/>
        <w:textAlignment w:val="baseline"/>
        <w:rPr>
          <w:rFonts w:ascii="楷体" w:hAnsi="楷体" w:eastAsia="楷体" w:cs="Arial"/>
          <w:color w:val="000000" w:themeColor="text1"/>
          <w14:textFill>
            <w14:solidFill>
              <w14:schemeClr w14:val="tx1"/>
            </w14:solidFill>
          </w14:textFill>
        </w:rPr>
      </w:pPr>
    </w:p>
    <w:p>
      <w:pPr>
        <w:widowControl w:val="0"/>
        <w:adjustRightInd w:val="0"/>
        <w:spacing w:line="360" w:lineRule="auto"/>
        <w:ind w:firstLine="480" w:firstLineChars="200"/>
        <w:jc w:val="both"/>
        <w:textAlignment w:val="baseline"/>
        <w:rPr>
          <w:rFonts w:ascii="楷体" w:hAnsi="楷体" w:eastAsia="楷体" w:cs="Arial"/>
          <w:color w:val="000000" w:themeColor="text1"/>
          <w14:textFill>
            <w14:solidFill>
              <w14:schemeClr w14:val="tx1"/>
            </w14:solidFill>
          </w14:textFill>
        </w:rPr>
      </w:pPr>
    </w:p>
    <w:p>
      <w:pPr>
        <w:widowControl w:val="0"/>
        <w:adjustRightInd w:val="0"/>
        <w:spacing w:line="360" w:lineRule="auto"/>
        <w:ind w:firstLine="480" w:firstLineChars="200"/>
        <w:jc w:val="both"/>
        <w:textAlignment w:val="baseline"/>
        <w:rPr>
          <w:rFonts w:ascii="楷体" w:hAnsi="楷体" w:eastAsia="楷体" w:cs="Arial"/>
          <w:color w:val="000000" w:themeColor="text1"/>
          <w14:textFill>
            <w14:solidFill>
              <w14:schemeClr w14:val="tx1"/>
            </w14:solidFill>
          </w14:textFill>
        </w:rPr>
      </w:pPr>
    </w:p>
    <w:p>
      <w:pPr>
        <w:widowControl w:val="0"/>
        <w:adjustRightInd w:val="0"/>
        <w:spacing w:line="360" w:lineRule="auto"/>
        <w:ind w:firstLine="480" w:firstLineChars="200"/>
        <w:jc w:val="both"/>
        <w:textAlignment w:val="baseline"/>
        <w:rPr>
          <w:rFonts w:ascii="楷体" w:hAnsi="楷体" w:eastAsia="楷体" w:cs="Arial"/>
          <w:color w:val="000000" w:themeColor="text1"/>
          <w14:textFill>
            <w14:solidFill>
              <w14:schemeClr w14:val="tx1"/>
            </w14:solidFill>
          </w14:textFill>
        </w:rPr>
      </w:pPr>
    </w:p>
    <w:p>
      <w:pPr>
        <w:widowControl w:val="0"/>
        <w:adjustRightInd w:val="0"/>
        <w:spacing w:line="360" w:lineRule="auto"/>
        <w:jc w:val="both"/>
        <w:textAlignment w:val="baseline"/>
        <w:rPr>
          <w:rFonts w:ascii="楷体" w:hAnsi="楷体" w:eastAsia="楷体" w:cs="Arial"/>
          <w:color w:val="000000" w:themeColor="text1"/>
          <w14:textFill>
            <w14:solidFill>
              <w14:schemeClr w14:val="tx1"/>
            </w14:solidFill>
          </w14:textFill>
        </w:rPr>
      </w:pPr>
    </w:p>
    <w:p>
      <w:pPr>
        <w:widowControl w:val="0"/>
        <w:adjustRightInd w:val="0"/>
        <w:spacing w:line="360" w:lineRule="auto"/>
        <w:ind w:firstLine="480" w:firstLineChars="200"/>
        <w:jc w:val="both"/>
        <w:textAlignment w:val="baseline"/>
        <w:rPr>
          <w:rFonts w:ascii="楷体" w:hAnsi="楷体" w:eastAsia="楷体" w:cs="Arial"/>
          <w:color w:val="000000" w:themeColor="text1"/>
          <w14:textFill>
            <w14:solidFill>
              <w14:schemeClr w14:val="tx1"/>
            </w14:solidFill>
          </w14:textFill>
        </w:rPr>
      </w:pPr>
    </w:p>
    <w:p>
      <w:pPr>
        <w:pStyle w:val="2"/>
        <w:rPr>
          <w:rFonts w:ascii="楷体" w:hAnsi="楷体" w:eastAsia="楷体" w:cs="Arial"/>
          <w:color w:val="000000" w:themeColor="text1"/>
          <w14:textFill>
            <w14:solidFill>
              <w14:schemeClr w14:val="tx1"/>
            </w14:solidFill>
          </w14:textFill>
        </w:rPr>
      </w:pPr>
    </w:p>
    <w:p>
      <w:pPr>
        <w:pStyle w:val="2"/>
        <w:rPr>
          <w:rFonts w:ascii="楷体" w:hAnsi="楷体" w:eastAsia="楷体" w:cs="Arial"/>
          <w:color w:val="000000" w:themeColor="text1"/>
          <w14:textFill>
            <w14:solidFill>
              <w14:schemeClr w14:val="tx1"/>
            </w14:solidFill>
          </w14:textFill>
        </w:rPr>
      </w:pPr>
    </w:p>
    <w:p>
      <w:pPr>
        <w:pStyle w:val="2"/>
        <w:rPr>
          <w:rFonts w:ascii="楷体" w:hAnsi="楷体" w:eastAsia="楷体" w:cs="Arial"/>
          <w:color w:val="000000" w:themeColor="text1"/>
          <w14:textFill>
            <w14:solidFill>
              <w14:schemeClr w14:val="tx1"/>
            </w14:solidFill>
          </w14:textFill>
        </w:rPr>
      </w:pPr>
    </w:p>
    <w:p>
      <w:pPr>
        <w:pStyle w:val="2"/>
        <w:rPr>
          <w:rFonts w:ascii="楷体" w:hAnsi="楷体" w:eastAsia="楷体" w:cs="Arial"/>
          <w:color w:val="000000" w:themeColor="text1"/>
          <w14:textFill>
            <w14:solidFill>
              <w14:schemeClr w14:val="tx1"/>
            </w14:solidFill>
          </w14:textFill>
        </w:rPr>
      </w:pPr>
    </w:p>
    <w:p>
      <w:pPr>
        <w:keepNext/>
        <w:keepLines/>
        <w:widowControl w:val="0"/>
        <w:spacing w:before="120" w:after="120" w:line="240" w:lineRule="exact"/>
        <w:ind w:firstLine="482" w:firstLineChars="200"/>
        <w:jc w:val="both"/>
        <w:outlineLvl w:val="0"/>
        <w:rPr>
          <w:rFonts w:ascii="Times New Roman" w:hAnsi="Times New Roman" w:eastAsia="楷体" w:cs="Times New Roman"/>
          <w:b/>
          <w:bCs/>
          <w:color w:val="000000" w:themeColor="text1"/>
          <w:kern w:val="44"/>
          <w:szCs w:val="44"/>
          <w14:textFill>
            <w14:solidFill>
              <w14:schemeClr w14:val="tx1"/>
            </w14:solidFill>
          </w14:textFill>
        </w:rPr>
      </w:pPr>
      <w:bookmarkStart w:id="124" w:name="_Toc11188"/>
      <w:bookmarkStart w:id="125" w:name="_Toc2781"/>
      <w:r>
        <w:rPr>
          <w:rFonts w:hint="eastAsia" w:ascii="Times New Roman" w:hAnsi="Times New Roman" w:eastAsia="楷体" w:cs="Times New Roman"/>
          <w:b/>
          <w:bCs/>
          <w:color w:val="000000" w:themeColor="text1"/>
          <w:kern w:val="44"/>
          <w:szCs w:val="44"/>
          <w14:textFill>
            <w14:solidFill>
              <w14:schemeClr w14:val="tx1"/>
            </w14:solidFill>
          </w14:textFill>
        </w:rPr>
        <w:t>附件二</w:t>
      </w:r>
      <w:bookmarkEnd w:id="124"/>
      <w:bookmarkEnd w:id="125"/>
    </w:p>
    <w:p>
      <w:pPr>
        <w:widowControl w:val="0"/>
        <w:adjustRightInd w:val="0"/>
        <w:spacing w:line="360" w:lineRule="auto"/>
        <w:jc w:val="center"/>
        <w:textAlignment w:val="baseline"/>
        <w:rPr>
          <w:rFonts w:ascii="楷体" w:hAnsi="楷体" w:eastAsia="楷体" w:cs="楷体"/>
          <w:b/>
          <w:color w:val="000000" w:themeColor="text1"/>
          <w:szCs w:val="20"/>
          <w14:textFill>
            <w14:solidFill>
              <w14:schemeClr w14:val="tx1"/>
            </w14:solidFill>
          </w14:textFill>
        </w:rPr>
      </w:pPr>
      <w:r>
        <w:rPr>
          <w:rFonts w:hint="eastAsia" w:ascii="楷体" w:hAnsi="楷体" w:eastAsia="楷体" w:cs="楷体"/>
          <w:b/>
          <w:color w:val="000000" w:themeColor="text1"/>
          <w:szCs w:val="20"/>
          <w14:textFill>
            <w14:solidFill>
              <w14:schemeClr w14:val="tx1"/>
            </w14:solidFill>
          </w14:textFill>
        </w:rPr>
        <w:t>付款</w:t>
      </w:r>
    </w:p>
    <w:p>
      <w:pPr>
        <w:widowControl w:val="0"/>
        <w:autoSpaceDE w:val="0"/>
        <w:autoSpaceDN w:val="0"/>
        <w:adjustRightInd w:val="0"/>
        <w:spacing w:line="360" w:lineRule="auto"/>
        <w:ind w:left="482"/>
        <w:textAlignment w:val="baseline"/>
        <w:rPr>
          <w:rFonts w:ascii="楷体" w:hAnsi="楷体" w:eastAsia="楷体" w:cs="楷体"/>
          <w:color w:val="000000" w:themeColor="text1"/>
          <w:szCs w:val="20"/>
          <w14:textFill>
            <w14:solidFill>
              <w14:schemeClr w14:val="tx1"/>
            </w14:solidFill>
          </w14:textFill>
        </w:rPr>
      </w:pPr>
    </w:p>
    <w:p>
      <w:pPr>
        <w:widowControl w:val="0"/>
        <w:autoSpaceDE w:val="0"/>
        <w:autoSpaceDN w:val="0"/>
        <w:adjustRightInd w:val="0"/>
        <w:spacing w:line="360" w:lineRule="auto"/>
        <w:ind w:left="482"/>
        <w:textAlignment w:val="baseline"/>
        <w:rPr>
          <w:rFonts w:ascii="楷体" w:hAnsi="楷体" w:eastAsia="楷体" w:cs="楷体"/>
          <w:color w:val="000000" w:themeColor="text1"/>
          <w:szCs w:val="20"/>
          <w14:textFill>
            <w14:solidFill>
              <w14:schemeClr w14:val="tx1"/>
            </w14:solidFill>
          </w14:textFill>
        </w:rPr>
      </w:pPr>
      <w:r>
        <w:rPr>
          <w:rFonts w:ascii="楷体" w:hAnsi="楷体" w:eastAsia="楷体" w:cs="楷体"/>
          <w:color w:val="000000" w:themeColor="text1"/>
          <w:szCs w:val="20"/>
          <w14:textFill>
            <w14:solidFill>
              <w14:schemeClr w14:val="tx1"/>
            </w14:solidFill>
          </w14:textFill>
        </w:rPr>
        <w:t>1.</w:t>
      </w:r>
      <w:r>
        <w:rPr>
          <w:rFonts w:hint="eastAsia" w:ascii="楷体" w:hAnsi="楷体" w:eastAsia="楷体" w:cs="楷体"/>
          <w:color w:val="000000" w:themeColor="text1"/>
          <w:szCs w:val="20"/>
          <w14:textFill>
            <w14:solidFill>
              <w14:schemeClr w14:val="tx1"/>
            </w14:solidFill>
          </w14:textFill>
        </w:rPr>
        <w:t>本合同使用货币种类为人民币。</w:t>
      </w:r>
    </w:p>
    <w:p>
      <w:pPr>
        <w:widowControl w:val="0"/>
        <w:adjustRightInd w:val="0"/>
        <w:spacing w:line="360" w:lineRule="auto"/>
        <w:ind w:firstLine="480" w:firstLineChars="200"/>
        <w:textAlignment w:val="baseline"/>
        <w:rPr>
          <w:rFonts w:ascii="楷体" w:hAnsi="楷体" w:eastAsia="楷体" w:cs="Times New Roman"/>
          <w:color w:val="000000" w:themeColor="text1"/>
          <w:szCs w:val="20"/>
          <w14:textFill>
            <w14:solidFill>
              <w14:schemeClr w14:val="tx1"/>
            </w14:solidFill>
          </w14:textFill>
        </w:rPr>
      </w:pPr>
      <w:r>
        <w:rPr>
          <w:rFonts w:hint="eastAsia" w:ascii="楷体" w:hAnsi="楷体" w:eastAsia="楷体" w:cs="楷体"/>
          <w:color w:val="000000" w:themeColor="text1"/>
          <w:szCs w:val="20"/>
          <w14:textFill>
            <w14:solidFill>
              <w14:schemeClr w14:val="tx1"/>
            </w14:solidFill>
          </w14:textFill>
        </w:rPr>
        <w:t>2</w:t>
      </w:r>
      <w:r>
        <w:rPr>
          <w:rFonts w:ascii="楷体" w:hAnsi="楷体" w:eastAsia="楷体" w:cs="楷体"/>
          <w:color w:val="000000" w:themeColor="text1"/>
          <w:szCs w:val="20"/>
          <w14:textFill>
            <w14:solidFill>
              <w14:schemeClr w14:val="tx1"/>
            </w14:solidFill>
          </w14:textFill>
        </w:rPr>
        <w:t>.</w:t>
      </w:r>
      <w:r>
        <w:rPr>
          <w:rFonts w:hint="eastAsia" w:ascii="楷体" w:hAnsi="楷体" w:eastAsia="楷体" w:cs="Times New Roman"/>
          <w:color w:val="000000" w:themeColor="text1"/>
          <w:szCs w:val="20"/>
          <w14:textFill>
            <w14:solidFill>
              <w14:schemeClr w14:val="tx1"/>
            </w14:solidFill>
          </w14:textFill>
        </w:rPr>
        <w:t>付款方式：</w:t>
      </w:r>
      <w:r>
        <w:rPr>
          <w:rFonts w:hint="eastAsia" w:ascii="楷体" w:hAnsi="楷体" w:eastAsia="楷体" w:cs="Times New Roman"/>
          <w:color w:val="000000" w:themeColor="text1"/>
          <w:szCs w:val="20"/>
          <w:u w:val="single"/>
          <w14:textFill>
            <w14:solidFill>
              <w14:schemeClr w14:val="tx1"/>
            </w14:solidFill>
          </w14:textFill>
        </w:rPr>
        <w:t>转账</w:t>
      </w:r>
      <w:r>
        <w:rPr>
          <w:rFonts w:hint="eastAsia" w:ascii="楷体" w:hAnsi="楷体" w:eastAsia="楷体" w:cs="Times New Roman"/>
          <w:color w:val="000000" w:themeColor="text1"/>
          <w:szCs w:val="20"/>
          <w14:textFill>
            <w14:solidFill>
              <w14:schemeClr w14:val="tx1"/>
            </w14:solidFill>
          </w14:textFill>
        </w:rPr>
        <w:t>双方采用转账方式付款的，甲方应向乙方以下账户进行支付：</w:t>
      </w:r>
    </w:p>
    <w:p>
      <w:pPr>
        <w:widowControl w:val="0"/>
        <w:adjustRightInd w:val="0"/>
        <w:spacing w:after="156" w:afterLines="50" w:line="360" w:lineRule="auto"/>
        <w:ind w:firstLine="480" w:firstLineChars="200"/>
        <w:textAlignment w:val="baseline"/>
        <w:rPr>
          <w:rFonts w:ascii="楷体" w:hAnsi="楷体" w:eastAsia="楷体" w:cs="Times New Roman"/>
          <w:color w:val="000000" w:themeColor="text1"/>
          <w:szCs w:val="20"/>
          <w:u w:val="single"/>
          <w14:textFill>
            <w14:solidFill>
              <w14:schemeClr w14:val="tx1"/>
            </w14:solidFill>
          </w14:textFill>
        </w:rPr>
      </w:pPr>
      <w:r>
        <w:rPr>
          <w:rFonts w:ascii="楷体" w:hAnsi="楷体" w:eastAsia="楷体" w:cs="Times New Roman"/>
          <w:color w:val="000000" w:themeColor="text1"/>
          <w:szCs w:val="20"/>
          <w14:textFill>
            <w14:solidFill>
              <w14:schemeClr w14:val="tx1"/>
            </w14:solidFill>
          </w14:textFill>
        </w:rPr>
        <w:tab/>
      </w:r>
      <w:r>
        <w:rPr>
          <w:rFonts w:hint="eastAsia" w:ascii="楷体" w:hAnsi="楷体" w:eastAsia="楷体" w:cs="Times New Roman"/>
          <w:color w:val="000000" w:themeColor="text1"/>
          <w:szCs w:val="20"/>
          <w14:textFill>
            <w14:solidFill>
              <w14:schemeClr w14:val="tx1"/>
            </w14:solidFill>
          </w14:textFill>
        </w:rPr>
        <w:t>乙方：</w:t>
      </w:r>
    </w:p>
    <w:p>
      <w:pPr>
        <w:widowControl w:val="0"/>
        <w:adjustRightInd w:val="0"/>
        <w:spacing w:after="156" w:afterLines="50" w:line="360" w:lineRule="auto"/>
        <w:ind w:firstLine="480" w:firstLineChars="200"/>
        <w:textAlignment w:val="baseline"/>
        <w:rPr>
          <w:rFonts w:ascii="楷体" w:hAnsi="楷体" w:eastAsia="楷体" w:cs="Times New Roman"/>
          <w:color w:val="000000" w:themeColor="text1"/>
          <w:szCs w:val="20"/>
          <w:u w:val="single"/>
          <w14:textFill>
            <w14:solidFill>
              <w14:schemeClr w14:val="tx1"/>
            </w14:solidFill>
          </w14:textFill>
        </w:rPr>
      </w:pPr>
      <w:r>
        <w:rPr>
          <w:rFonts w:ascii="楷体" w:hAnsi="楷体" w:eastAsia="楷体" w:cs="Times New Roman"/>
          <w:color w:val="000000" w:themeColor="text1"/>
          <w:szCs w:val="20"/>
          <w14:textFill>
            <w14:solidFill>
              <w14:schemeClr w14:val="tx1"/>
            </w14:solidFill>
          </w14:textFill>
        </w:rPr>
        <w:tab/>
      </w:r>
      <w:r>
        <w:rPr>
          <w:rFonts w:ascii="楷体" w:hAnsi="楷体" w:eastAsia="楷体" w:cs="Times New Roman"/>
          <w:color w:val="000000" w:themeColor="text1"/>
          <w:szCs w:val="20"/>
          <w14:textFill>
            <w14:solidFill>
              <w14:schemeClr w14:val="tx1"/>
            </w14:solidFill>
          </w14:textFill>
        </w:rPr>
        <w:t>开户行：</w:t>
      </w:r>
    </w:p>
    <w:p>
      <w:pPr>
        <w:widowControl w:val="0"/>
        <w:adjustRightInd w:val="0"/>
        <w:spacing w:after="156" w:afterLines="50" w:line="360" w:lineRule="auto"/>
        <w:ind w:firstLine="480" w:firstLineChars="200"/>
        <w:textAlignment w:val="baseline"/>
        <w:rPr>
          <w:rFonts w:ascii="楷体" w:hAnsi="楷体" w:eastAsia="楷体" w:cs="Times New Roman"/>
          <w:color w:val="000000" w:themeColor="text1"/>
          <w:szCs w:val="20"/>
          <w:u w:val="single"/>
          <w14:textFill>
            <w14:solidFill>
              <w14:schemeClr w14:val="tx1"/>
            </w14:solidFill>
          </w14:textFill>
        </w:rPr>
      </w:pPr>
      <w:r>
        <w:rPr>
          <w:rFonts w:ascii="楷体" w:hAnsi="楷体" w:eastAsia="楷体" w:cs="Times New Roman"/>
          <w:color w:val="000000" w:themeColor="text1"/>
          <w:szCs w:val="20"/>
          <w14:textFill>
            <w14:solidFill>
              <w14:schemeClr w14:val="tx1"/>
            </w14:solidFill>
          </w14:textFill>
        </w:rPr>
        <w:tab/>
      </w:r>
      <w:r>
        <w:rPr>
          <w:rFonts w:ascii="楷体" w:hAnsi="楷体" w:eastAsia="楷体" w:cs="Times New Roman"/>
          <w:color w:val="000000" w:themeColor="text1"/>
          <w:szCs w:val="20"/>
          <w14:textFill>
            <w14:solidFill>
              <w14:schemeClr w14:val="tx1"/>
            </w14:solidFill>
          </w14:textFill>
        </w:rPr>
        <w:t>账户名称：</w:t>
      </w:r>
    </w:p>
    <w:p>
      <w:pPr>
        <w:widowControl w:val="0"/>
        <w:adjustRightInd w:val="0"/>
        <w:spacing w:after="156" w:afterLines="50" w:line="360" w:lineRule="auto"/>
        <w:ind w:firstLine="480" w:firstLineChars="200"/>
        <w:textAlignment w:val="baseline"/>
        <w:rPr>
          <w:rFonts w:ascii="楷体" w:hAnsi="楷体" w:eastAsia="楷体" w:cs="Times New Roman"/>
          <w:color w:val="000000" w:themeColor="text1"/>
          <w:szCs w:val="20"/>
          <w:u w:val="single"/>
          <w14:textFill>
            <w14:solidFill>
              <w14:schemeClr w14:val="tx1"/>
            </w14:solidFill>
          </w14:textFill>
        </w:rPr>
      </w:pPr>
      <w:r>
        <w:rPr>
          <w:rFonts w:ascii="楷体" w:hAnsi="楷体" w:eastAsia="楷体" w:cs="Times New Roman"/>
          <w:color w:val="000000" w:themeColor="text1"/>
          <w:szCs w:val="20"/>
          <w14:textFill>
            <w14:solidFill>
              <w14:schemeClr w14:val="tx1"/>
            </w14:solidFill>
          </w14:textFill>
        </w:rPr>
        <w:tab/>
      </w:r>
      <w:r>
        <w:rPr>
          <w:rFonts w:ascii="楷体" w:hAnsi="楷体" w:eastAsia="楷体" w:cs="Times New Roman"/>
          <w:color w:val="000000" w:themeColor="text1"/>
          <w:szCs w:val="20"/>
          <w14:textFill>
            <w14:solidFill>
              <w14:schemeClr w14:val="tx1"/>
            </w14:solidFill>
          </w14:textFill>
        </w:rPr>
        <w:t>账号：</w:t>
      </w:r>
    </w:p>
    <w:p>
      <w:pPr>
        <w:widowControl w:val="0"/>
        <w:adjustRightInd w:val="0"/>
        <w:spacing w:after="156" w:afterLines="50" w:line="360" w:lineRule="atLeast"/>
        <w:ind w:firstLine="480" w:firstLineChars="200"/>
        <w:textAlignment w:val="baseline"/>
        <w:rPr>
          <w:rFonts w:ascii="楷体" w:hAnsi="楷体" w:eastAsia="楷体" w:cs="Times New Roman"/>
          <w:color w:val="000000" w:themeColor="text1"/>
          <w:szCs w:val="20"/>
          <w14:textFill>
            <w14:solidFill>
              <w14:schemeClr w14:val="tx1"/>
            </w14:solidFill>
          </w14:textFill>
        </w:rPr>
      </w:pPr>
      <w:r>
        <w:rPr>
          <w:rFonts w:hint="eastAsia" w:ascii="楷体" w:hAnsi="楷体" w:eastAsia="楷体" w:cs="Times New Roman"/>
          <w:color w:val="000000" w:themeColor="text1"/>
          <w:szCs w:val="20"/>
          <w14:textFill>
            <w14:solidFill>
              <w14:schemeClr w14:val="tx1"/>
            </w14:solidFill>
          </w14:textFill>
        </w:rPr>
        <w:t>乙方如需改变上述账户，应提前</w:t>
      </w:r>
      <w:r>
        <w:rPr>
          <w:rFonts w:ascii="楷体" w:hAnsi="楷体" w:eastAsia="楷体" w:cs="Times New Roman"/>
          <w:color w:val="000000" w:themeColor="text1"/>
          <w:szCs w:val="20"/>
          <w14:textFill>
            <w14:solidFill>
              <w14:schemeClr w14:val="tx1"/>
            </w14:solidFill>
          </w14:textFill>
        </w:rPr>
        <w:t>10</w:t>
      </w:r>
      <w:r>
        <w:rPr>
          <w:rFonts w:hint="eastAsia" w:ascii="楷体" w:hAnsi="楷体" w:eastAsia="楷体" w:cs="Times New Roman"/>
          <w:color w:val="000000" w:themeColor="text1"/>
          <w:szCs w:val="20"/>
          <w14:textFill>
            <w14:solidFill>
              <w14:schemeClr w14:val="tx1"/>
            </w14:solidFill>
          </w14:textFill>
        </w:rPr>
        <w:t>日以书面通知甲方。</w:t>
      </w:r>
    </w:p>
    <w:p>
      <w:pPr>
        <w:widowControl w:val="0"/>
        <w:adjustRightInd w:val="0"/>
        <w:spacing w:line="360" w:lineRule="auto"/>
        <w:ind w:firstLine="480" w:firstLineChars="200"/>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3.付款安排</w:t>
      </w:r>
    </w:p>
    <w:p>
      <w:pPr>
        <w:widowControl w:val="0"/>
        <w:autoSpaceDE w:val="0"/>
        <w:autoSpaceDN w:val="0"/>
        <w:adjustRightInd w:val="0"/>
        <w:spacing w:line="360" w:lineRule="auto"/>
        <w:ind w:firstLine="470" w:firstLineChars="196"/>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在合同期限内单次投放数量据实结算，供应商提供正规发票及单次投放结算清单，采购方审核无误后，在30个工作日内支付对应款项，累计投放结算额度不超过合同总额。</w:t>
      </w:r>
    </w:p>
    <w:p>
      <w:pPr>
        <w:widowControl w:val="0"/>
        <w:adjustRightInd w:val="0"/>
        <w:spacing w:line="360" w:lineRule="auto"/>
        <w:ind w:firstLine="480" w:firstLineChars="200"/>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4.增值税专用发票的相关约定</w:t>
      </w:r>
    </w:p>
    <w:p>
      <w:pPr>
        <w:widowControl w:val="0"/>
        <w:autoSpaceDE w:val="0"/>
        <w:autoSpaceDN w:val="0"/>
        <w:adjustRightInd w:val="0"/>
        <w:spacing w:line="360" w:lineRule="auto"/>
        <w:ind w:firstLine="470" w:firstLineChars="196"/>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 xml:space="preserve">（1）乙方应向甲方开具增值税专用发票，甲方开票信息如下： </w:t>
      </w:r>
    </w:p>
    <w:p>
      <w:pPr>
        <w:widowControl w:val="0"/>
        <w:spacing w:line="360" w:lineRule="auto"/>
        <w:ind w:firstLine="480" w:firstLineChars="200"/>
        <w:jc w:val="both"/>
        <w:rPr>
          <w:rFonts w:ascii="楷体" w:hAnsi="楷体" w:eastAsia="楷体" w:cs="Times New Roman"/>
          <w:color w:val="000000" w:themeColor="text1"/>
          <w:kern w:val="2"/>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 xml:space="preserve">公司名称： </w:t>
      </w:r>
      <w:r>
        <w:rPr>
          <w:rFonts w:hint="eastAsia" w:ascii="楷体" w:hAnsi="楷体" w:eastAsia="楷体" w:cs="Times New Roman"/>
          <w:color w:val="000000" w:themeColor="text1"/>
          <w:kern w:val="2"/>
          <w14:textFill>
            <w14:solidFill>
              <w14:schemeClr w14:val="tx1"/>
            </w14:solidFill>
          </w14:textFill>
        </w:rPr>
        <w:t>中国人民财产保险股份有限公司广安市分公司</w:t>
      </w:r>
    </w:p>
    <w:p>
      <w:pPr>
        <w:widowControl w:val="0"/>
        <w:spacing w:line="360" w:lineRule="auto"/>
        <w:ind w:firstLine="480" w:firstLineChars="200"/>
        <w:jc w:val="both"/>
        <w:rPr>
          <w:rFonts w:ascii="楷体" w:hAnsi="楷体" w:eastAsia="楷体" w:cs="Times New Roman"/>
          <w:color w:val="000000" w:themeColor="text1"/>
          <w:kern w:val="2"/>
          <w14:textFill>
            <w14:solidFill>
              <w14:schemeClr w14:val="tx1"/>
            </w14:solidFill>
          </w14:textFill>
        </w:rPr>
      </w:pPr>
      <w:r>
        <w:rPr>
          <w:rFonts w:hint="eastAsia" w:ascii="楷体" w:hAnsi="楷体" w:eastAsia="楷体" w:cs="Times New Roman"/>
          <w:color w:val="000000" w:themeColor="text1"/>
          <w:kern w:val="2"/>
          <w14:textFill>
            <w14:solidFill>
              <w14:schemeClr w14:val="tx1"/>
            </w14:solidFill>
          </w14:textFill>
        </w:rPr>
        <w:t>纳税识别号： 91511600709135121L</w:t>
      </w:r>
    </w:p>
    <w:p>
      <w:pPr>
        <w:widowControl w:val="0"/>
        <w:spacing w:line="360" w:lineRule="auto"/>
        <w:ind w:firstLine="480" w:firstLineChars="200"/>
        <w:jc w:val="both"/>
        <w:rPr>
          <w:rFonts w:ascii="楷体" w:hAnsi="楷体" w:eastAsia="楷体" w:cs="Times New Roman"/>
          <w:color w:val="000000" w:themeColor="text1"/>
          <w:kern w:val="2"/>
          <w14:textFill>
            <w14:solidFill>
              <w14:schemeClr w14:val="tx1"/>
            </w14:solidFill>
          </w14:textFill>
        </w:rPr>
      </w:pPr>
      <w:r>
        <w:rPr>
          <w:rFonts w:hint="eastAsia" w:ascii="楷体" w:hAnsi="楷体" w:eastAsia="楷体" w:cs="Times New Roman"/>
          <w:color w:val="000000" w:themeColor="text1"/>
          <w:kern w:val="2"/>
          <w14:textFill>
            <w14:solidFill>
              <w14:schemeClr w14:val="tx1"/>
            </w14:solidFill>
          </w14:textFill>
        </w:rPr>
        <w:t>银行账号： 2316552329123101093</w:t>
      </w:r>
    </w:p>
    <w:p>
      <w:pPr>
        <w:widowControl w:val="0"/>
        <w:spacing w:line="360" w:lineRule="auto"/>
        <w:ind w:firstLine="480" w:firstLineChars="200"/>
        <w:jc w:val="both"/>
        <w:rPr>
          <w:rFonts w:ascii="楷体" w:hAnsi="楷体" w:eastAsia="楷体" w:cs="Times New Roman"/>
          <w:color w:val="000000" w:themeColor="text1"/>
          <w:kern w:val="2"/>
          <w14:textFill>
            <w14:solidFill>
              <w14:schemeClr w14:val="tx1"/>
            </w14:solidFill>
          </w14:textFill>
        </w:rPr>
      </w:pPr>
      <w:r>
        <w:rPr>
          <w:rFonts w:hint="eastAsia" w:ascii="楷体" w:hAnsi="楷体" w:eastAsia="楷体" w:cs="Times New Roman"/>
          <w:color w:val="000000" w:themeColor="text1"/>
          <w:kern w:val="2"/>
          <w14:textFill>
            <w14:solidFill>
              <w14:schemeClr w14:val="tx1"/>
            </w14:solidFill>
          </w14:textFill>
        </w:rPr>
        <w:t>开户银行： 中国工商银行广安城南支行</w:t>
      </w:r>
    </w:p>
    <w:p>
      <w:pPr>
        <w:widowControl w:val="0"/>
        <w:spacing w:line="360" w:lineRule="auto"/>
        <w:ind w:firstLine="480" w:firstLineChars="200"/>
        <w:jc w:val="both"/>
        <w:rPr>
          <w:rFonts w:ascii="楷体" w:hAnsi="楷体" w:eastAsia="楷体" w:cs="Times New Roman"/>
          <w:color w:val="000000" w:themeColor="text1"/>
          <w:kern w:val="2"/>
          <w14:textFill>
            <w14:solidFill>
              <w14:schemeClr w14:val="tx1"/>
            </w14:solidFill>
          </w14:textFill>
        </w:rPr>
      </w:pPr>
      <w:r>
        <w:rPr>
          <w:rFonts w:hint="eastAsia" w:ascii="楷体" w:hAnsi="楷体" w:eastAsia="楷体" w:cs="Times New Roman"/>
          <w:color w:val="000000" w:themeColor="text1"/>
          <w:kern w:val="2"/>
          <w14:textFill>
            <w14:solidFill>
              <w14:schemeClr w14:val="tx1"/>
            </w14:solidFill>
          </w14:textFill>
        </w:rPr>
        <w:t>开票地址： 四川省广安市广安区万盛东路173号</w:t>
      </w:r>
    </w:p>
    <w:p>
      <w:pPr>
        <w:widowControl w:val="0"/>
        <w:autoSpaceDE w:val="0"/>
        <w:autoSpaceDN w:val="0"/>
        <w:adjustRightInd w:val="0"/>
        <w:spacing w:line="360" w:lineRule="auto"/>
        <w:ind w:firstLine="470" w:firstLineChars="196"/>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Times New Roman"/>
          <w:color w:val="000000" w:themeColor="text1"/>
          <w:kern w:val="2"/>
          <w14:textFill>
            <w14:solidFill>
              <w14:schemeClr w14:val="tx1"/>
            </w14:solidFill>
          </w14:textFill>
        </w:rPr>
        <w:t>开票电话： 0826-2334105</w:t>
      </w:r>
    </w:p>
    <w:p>
      <w:pPr>
        <w:widowControl w:val="0"/>
        <w:autoSpaceDE w:val="0"/>
        <w:autoSpaceDN w:val="0"/>
        <w:adjustRightInd w:val="0"/>
        <w:spacing w:line="360" w:lineRule="auto"/>
        <w:ind w:firstLine="470" w:firstLineChars="196"/>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（2）乙方同时向甲方公司及其分支机构提供产品及服务的，双方应在合同中约定甲方的分支机构和对应的价款。乙方应分别对清单中的费用承担方开具相应金额的增值税专用发票；</w:t>
      </w:r>
    </w:p>
    <w:p>
      <w:pPr>
        <w:widowControl w:val="0"/>
        <w:autoSpaceDE w:val="0"/>
        <w:autoSpaceDN w:val="0"/>
        <w:adjustRightInd w:val="0"/>
        <w:spacing w:line="360" w:lineRule="auto"/>
        <w:ind w:firstLine="470" w:firstLineChars="196"/>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（3）乙方应在每次增值税专用发票开具后的30个自然日内向甲方提交相应增值税专用发票，否则甲方有权拒收发票。经多次分批的增值税专用发票的开具、提交以及双方收付款，</w:t>
      </w:r>
      <w:r>
        <w:rPr>
          <w:rFonts w:hint="eastAsia" w:ascii="楷体_GB2312" w:hAnsi="宋体" w:eastAsia="楷体_GB2312" w:cs="Times New Roman"/>
          <w:color w:val="000000" w:themeColor="text1"/>
          <w:szCs w:val="20"/>
          <w14:textFill>
            <w14:solidFill>
              <w14:schemeClr w14:val="tx1"/>
            </w14:solidFill>
          </w14:textFill>
        </w:rPr>
        <w:t>乙方开具并提交甲方的增值税专用发票的价税合计金额应与甲方已经支付的价税合计款项保持一致</w:t>
      </w:r>
      <w:r>
        <w:rPr>
          <w:rFonts w:hint="eastAsia" w:ascii="楷体" w:hAnsi="楷体" w:eastAsia="楷体" w:cs="Arial"/>
          <w:color w:val="000000" w:themeColor="text1"/>
          <w14:textFill>
            <w14:solidFill>
              <w14:schemeClr w14:val="tx1"/>
            </w14:solidFill>
          </w14:textFill>
        </w:rPr>
        <w:t xml:space="preserve">； </w:t>
      </w:r>
    </w:p>
    <w:p>
      <w:pPr>
        <w:widowControl w:val="0"/>
        <w:autoSpaceDE w:val="0"/>
        <w:autoSpaceDN w:val="0"/>
        <w:adjustRightInd w:val="0"/>
        <w:spacing w:line="360" w:lineRule="auto"/>
        <w:ind w:firstLine="470" w:firstLineChars="196"/>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widowControl w:val="0"/>
        <w:autoSpaceDE w:val="0"/>
        <w:autoSpaceDN w:val="0"/>
        <w:adjustRightInd w:val="0"/>
        <w:spacing w:line="360" w:lineRule="auto"/>
        <w:ind w:firstLine="470" w:firstLineChars="196"/>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widowControl w:val="0"/>
        <w:autoSpaceDE w:val="0"/>
        <w:autoSpaceDN w:val="0"/>
        <w:adjustRightInd w:val="0"/>
        <w:spacing w:line="360" w:lineRule="auto"/>
        <w:ind w:firstLine="470" w:firstLineChars="196"/>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widowControl w:val="0"/>
        <w:autoSpaceDE w:val="0"/>
        <w:autoSpaceDN w:val="0"/>
        <w:adjustRightInd w:val="0"/>
        <w:spacing w:line="360" w:lineRule="auto"/>
        <w:ind w:firstLine="470" w:firstLineChars="196"/>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pStyle w:val="2"/>
        <w:rPr>
          <w:rFonts w:ascii="Times New Roman" w:hAnsi="Times New Roman" w:eastAsia="宋体" w:cs="Times New Roman"/>
          <w:color w:val="000000" w:themeColor="text1"/>
          <w:szCs w:val="20"/>
          <w14:textFill>
            <w14:solidFill>
              <w14:schemeClr w14:val="tx1"/>
            </w14:solidFill>
          </w14:textFill>
        </w:rPr>
      </w:pPr>
    </w:p>
    <w:p>
      <w:pPr>
        <w:pStyle w:val="2"/>
        <w:rPr>
          <w:rFonts w:ascii="Times New Roman" w:hAnsi="Times New Roman" w:eastAsia="宋体" w:cs="Times New Roman"/>
          <w:color w:val="000000" w:themeColor="text1"/>
          <w:szCs w:val="20"/>
          <w14:textFill>
            <w14:solidFill>
              <w14:schemeClr w14:val="tx1"/>
            </w14:solidFill>
          </w14:textFill>
        </w:rPr>
      </w:pPr>
    </w:p>
    <w:p>
      <w:pPr>
        <w:pStyle w:val="2"/>
        <w:rPr>
          <w:rFonts w:ascii="Times New Roman" w:hAnsi="Times New Roman" w:eastAsia="宋体" w:cs="Times New Roman"/>
          <w:color w:val="000000" w:themeColor="text1"/>
          <w:szCs w:val="20"/>
          <w14:textFill>
            <w14:solidFill>
              <w14:schemeClr w14:val="tx1"/>
            </w14:solidFill>
          </w14:textFill>
        </w:rPr>
      </w:pPr>
    </w:p>
    <w:p>
      <w:pPr>
        <w:pStyle w:val="2"/>
        <w:rPr>
          <w:rFonts w:ascii="Times New Roman" w:hAnsi="Times New Roman" w:eastAsia="宋体" w:cs="Times New Roman"/>
          <w:color w:val="000000" w:themeColor="text1"/>
          <w:szCs w:val="20"/>
          <w14:textFill>
            <w14:solidFill>
              <w14:schemeClr w14:val="tx1"/>
            </w14:solidFill>
          </w14:textFill>
        </w:rPr>
      </w:pPr>
    </w:p>
    <w:p>
      <w:pPr>
        <w:pStyle w:val="2"/>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keepNext/>
        <w:keepLines/>
        <w:widowControl w:val="0"/>
        <w:spacing w:before="120" w:after="120" w:line="240" w:lineRule="exact"/>
        <w:ind w:firstLine="482" w:firstLineChars="200"/>
        <w:jc w:val="both"/>
        <w:outlineLvl w:val="0"/>
        <w:rPr>
          <w:rFonts w:ascii="Times New Roman" w:hAnsi="Times New Roman" w:eastAsia="楷体" w:cs="Times New Roman"/>
          <w:b/>
          <w:bCs/>
          <w:color w:val="000000" w:themeColor="text1"/>
          <w:kern w:val="44"/>
          <w:szCs w:val="44"/>
          <w14:textFill>
            <w14:solidFill>
              <w14:schemeClr w14:val="tx1"/>
            </w14:solidFill>
          </w14:textFill>
        </w:rPr>
      </w:pPr>
      <w:bookmarkStart w:id="126" w:name="_Toc22506"/>
      <w:bookmarkStart w:id="127" w:name="_Toc14553"/>
      <w:r>
        <w:rPr>
          <w:rFonts w:hint="eastAsia" w:ascii="Times New Roman" w:hAnsi="Times New Roman" w:eastAsia="楷体" w:cs="Times New Roman"/>
          <w:b/>
          <w:bCs/>
          <w:color w:val="000000" w:themeColor="text1"/>
          <w:kern w:val="44"/>
          <w:szCs w:val="44"/>
          <w14:textFill>
            <w14:solidFill>
              <w14:schemeClr w14:val="tx1"/>
            </w14:solidFill>
          </w14:textFill>
        </w:rPr>
        <w:t>附件三</w:t>
      </w:r>
      <w:bookmarkEnd w:id="126"/>
      <w:bookmarkEnd w:id="127"/>
    </w:p>
    <w:p>
      <w:pPr>
        <w:widowControl w:val="0"/>
        <w:adjustRightInd w:val="0"/>
        <w:spacing w:line="360" w:lineRule="auto"/>
        <w:jc w:val="center"/>
        <w:textAlignment w:val="baseline"/>
        <w:rPr>
          <w:rFonts w:ascii="楷体" w:hAnsi="楷体" w:eastAsia="楷体" w:cs="楷体"/>
          <w:b/>
          <w:color w:val="000000" w:themeColor="text1"/>
          <w:szCs w:val="20"/>
          <w14:textFill>
            <w14:solidFill>
              <w14:schemeClr w14:val="tx1"/>
            </w14:solidFill>
          </w14:textFill>
        </w:rPr>
      </w:pPr>
      <w:r>
        <w:rPr>
          <w:rFonts w:hint="eastAsia" w:ascii="楷体" w:hAnsi="楷体" w:eastAsia="楷体" w:cs="楷体"/>
          <w:b/>
          <w:color w:val="000000" w:themeColor="text1"/>
          <w:szCs w:val="20"/>
          <w14:textFill>
            <w14:solidFill>
              <w14:schemeClr w14:val="tx1"/>
            </w14:solidFill>
          </w14:textFill>
        </w:rPr>
        <w:t>双方的权利和义务</w:t>
      </w:r>
    </w:p>
    <w:p>
      <w:pPr>
        <w:widowControl w:val="0"/>
        <w:adjustRightInd w:val="0"/>
        <w:spacing w:line="360" w:lineRule="auto"/>
        <w:ind w:firstLine="482" w:firstLineChars="200"/>
        <w:jc w:val="both"/>
        <w:textAlignment w:val="baseline"/>
        <w:rPr>
          <w:rFonts w:ascii="楷体" w:hAnsi="楷体" w:eastAsia="楷体" w:cs="Arial"/>
          <w:b/>
          <w:color w:val="000000" w:themeColor="text1"/>
          <w14:textFill>
            <w14:solidFill>
              <w14:schemeClr w14:val="tx1"/>
            </w14:solidFill>
          </w14:textFill>
        </w:rPr>
      </w:pPr>
    </w:p>
    <w:p>
      <w:pPr>
        <w:widowControl w:val="0"/>
        <w:adjustRightInd w:val="0"/>
        <w:spacing w:line="360" w:lineRule="auto"/>
        <w:ind w:firstLine="480" w:firstLineChars="200"/>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1.甲方的权利和义务</w:t>
      </w:r>
    </w:p>
    <w:p>
      <w:pPr>
        <w:widowControl w:val="0"/>
        <w:adjustRightInd w:val="0"/>
        <w:spacing w:line="360" w:lineRule="auto"/>
        <w:ind w:firstLine="576" w:firstLineChars="200"/>
        <w:jc w:val="both"/>
        <w:textAlignment w:val="baseline"/>
        <w:rPr>
          <w:rFonts w:ascii="楷体" w:hAnsi="楷体" w:eastAsia="楷体" w:cs="Arial"/>
          <w:snapToGrid w:val="0"/>
          <w:color w:val="000000" w:themeColor="text1"/>
          <w:spacing w:val="24"/>
          <w14:textFill>
            <w14:solidFill>
              <w14:schemeClr w14:val="tx1"/>
            </w14:solidFill>
          </w14:textFill>
        </w:rPr>
      </w:pPr>
    </w:p>
    <w:p>
      <w:pPr>
        <w:widowControl w:val="0"/>
        <w:adjustRightInd w:val="0"/>
        <w:spacing w:line="360" w:lineRule="auto"/>
        <w:ind w:firstLine="480"/>
        <w:jc w:val="both"/>
        <w:textAlignment w:val="baseline"/>
        <w:rPr>
          <w:rFonts w:ascii="楷体" w:hAnsi="楷体" w:eastAsia="楷体" w:cs="Arial"/>
          <w:color w:val="000000" w:themeColor="text1"/>
          <w14:textFill>
            <w14:solidFill>
              <w14:schemeClr w14:val="tx1"/>
            </w14:solidFill>
          </w14:textFill>
        </w:rPr>
      </w:pPr>
      <w:r>
        <w:rPr>
          <w:rFonts w:hint="eastAsia" w:ascii="楷体" w:hAnsi="楷体" w:eastAsia="楷体" w:cs="Arial"/>
          <w:color w:val="000000" w:themeColor="text1"/>
          <w14:textFill>
            <w14:solidFill>
              <w14:schemeClr w14:val="tx1"/>
            </w14:solidFill>
          </w14:textFill>
        </w:rPr>
        <w:t>2.乙方的权利和义务</w:t>
      </w: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keepNext/>
        <w:keepLines/>
        <w:widowControl w:val="0"/>
        <w:spacing w:before="120" w:after="120" w:line="240" w:lineRule="exact"/>
        <w:ind w:firstLine="482" w:firstLineChars="200"/>
        <w:jc w:val="both"/>
        <w:outlineLvl w:val="0"/>
        <w:rPr>
          <w:rFonts w:ascii="Times New Roman" w:hAnsi="Times New Roman" w:eastAsia="楷体" w:cs="Times New Roman"/>
          <w:b/>
          <w:bCs/>
          <w:color w:val="000000" w:themeColor="text1"/>
          <w:kern w:val="44"/>
          <w:szCs w:val="44"/>
          <w14:textFill>
            <w14:solidFill>
              <w14:schemeClr w14:val="tx1"/>
            </w14:solidFill>
          </w14:textFill>
        </w:rPr>
      </w:pPr>
    </w:p>
    <w:p>
      <w:pPr>
        <w:keepNext/>
        <w:keepLines/>
        <w:widowControl w:val="0"/>
        <w:spacing w:before="120" w:after="120" w:line="240" w:lineRule="exact"/>
        <w:ind w:firstLine="482" w:firstLineChars="200"/>
        <w:jc w:val="both"/>
        <w:outlineLvl w:val="0"/>
        <w:rPr>
          <w:rFonts w:ascii="Times New Roman" w:hAnsi="Times New Roman" w:eastAsia="楷体" w:cs="Times New Roman"/>
          <w:b/>
          <w:bCs/>
          <w:color w:val="000000" w:themeColor="text1"/>
          <w:kern w:val="44"/>
          <w:szCs w:val="44"/>
          <w14:textFill>
            <w14:solidFill>
              <w14:schemeClr w14:val="tx1"/>
            </w14:solidFill>
          </w14:textFill>
        </w:rPr>
      </w:pPr>
    </w:p>
    <w:p>
      <w:pPr>
        <w:keepNext/>
        <w:keepLines/>
        <w:widowControl w:val="0"/>
        <w:spacing w:before="120" w:after="120" w:line="240" w:lineRule="exact"/>
        <w:ind w:firstLine="482" w:firstLineChars="200"/>
        <w:jc w:val="both"/>
        <w:outlineLvl w:val="0"/>
        <w:rPr>
          <w:rFonts w:ascii="Times New Roman" w:hAnsi="Times New Roman" w:eastAsia="楷体" w:cs="Times New Roman"/>
          <w:b/>
          <w:bCs/>
          <w:color w:val="000000" w:themeColor="text1"/>
          <w:kern w:val="44"/>
          <w:szCs w:val="44"/>
          <w14:textFill>
            <w14:solidFill>
              <w14:schemeClr w14:val="tx1"/>
            </w14:solidFill>
          </w14:textFill>
        </w:rPr>
      </w:pPr>
    </w:p>
    <w:p>
      <w:pPr>
        <w:keepNext/>
        <w:keepLines/>
        <w:widowControl w:val="0"/>
        <w:spacing w:before="120" w:after="120" w:line="240" w:lineRule="exact"/>
        <w:ind w:firstLine="482" w:firstLineChars="200"/>
        <w:jc w:val="both"/>
        <w:outlineLvl w:val="0"/>
        <w:rPr>
          <w:rFonts w:ascii="Times New Roman" w:hAnsi="Times New Roman" w:eastAsia="楷体" w:cs="Times New Roman"/>
          <w:b/>
          <w:bCs/>
          <w:color w:val="000000" w:themeColor="text1"/>
          <w:kern w:val="44"/>
          <w:szCs w:val="44"/>
          <w14:textFill>
            <w14:solidFill>
              <w14:schemeClr w14:val="tx1"/>
            </w14:solidFill>
          </w14:textFill>
        </w:rPr>
      </w:pPr>
    </w:p>
    <w:p>
      <w:pPr>
        <w:keepNext/>
        <w:keepLines/>
        <w:widowControl w:val="0"/>
        <w:spacing w:before="120" w:after="120" w:line="240" w:lineRule="exact"/>
        <w:ind w:firstLine="482" w:firstLineChars="200"/>
        <w:jc w:val="both"/>
        <w:outlineLvl w:val="0"/>
        <w:rPr>
          <w:rFonts w:ascii="Times New Roman" w:hAnsi="Times New Roman" w:eastAsia="楷体" w:cs="Times New Roman"/>
          <w:b/>
          <w:bCs/>
          <w:color w:val="000000" w:themeColor="text1"/>
          <w:kern w:val="44"/>
          <w:szCs w:val="44"/>
          <w14:textFill>
            <w14:solidFill>
              <w14:schemeClr w14:val="tx1"/>
            </w14:solidFill>
          </w14:textFill>
        </w:rPr>
      </w:pPr>
    </w:p>
    <w:p>
      <w:pPr>
        <w:keepNext/>
        <w:keepLines/>
        <w:widowControl w:val="0"/>
        <w:spacing w:before="120" w:after="120" w:line="240" w:lineRule="exact"/>
        <w:ind w:firstLine="482" w:firstLineChars="200"/>
        <w:jc w:val="both"/>
        <w:outlineLvl w:val="0"/>
        <w:rPr>
          <w:rFonts w:ascii="Times New Roman" w:hAnsi="Times New Roman" w:eastAsia="楷体" w:cs="Times New Roman"/>
          <w:b/>
          <w:bCs/>
          <w:color w:val="000000" w:themeColor="text1"/>
          <w:kern w:val="44"/>
          <w:szCs w:val="44"/>
          <w14:textFill>
            <w14:solidFill>
              <w14:schemeClr w14:val="tx1"/>
            </w14:solidFill>
          </w14:textFill>
        </w:rPr>
      </w:pPr>
    </w:p>
    <w:p>
      <w:pPr>
        <w:keepNext/>
        <w:keepLines/>
        <w:widowControl w:val="0"/>
        <w:spacing w:before="120" w:after="120" w:line="240" w:lineRule="exact"/>
        <w:ind w:firstLine="482" w:firstLineChars="200"/>
        <w:jc w:val="both"/>
        <w:outlineLvl w:val="0"/>
        <w:rPr>
          <w:rFonts w:ascii="Times New Roman" w:hAnsi="Times New Roman" w:eastAsia="楷体" w:cs="Times New Roman"/>
          <w:b/>
          <w:bCs/>
          <w:color w:val="000000" w:themeColor="text1"/>
          <w:kern w:val="44"/>
          <w:szCs w:val="44"/>
          <w14:textFill>
            <w14:solidFill>
              <w14:schemeClr w14:val="tx1"/>
            </w14:solidFill>
          </w14:textFill>
        </w:rPr>
      </w:pPr>
    </w:p>
    <w:p>
      <w:pPr>
        <w:keepNext/>
        <w:keepLines/>
        <w:widowControl w:val="0"/>
        <w:spacing w:before="120" w:after="120" w:line="240" w:lineRule="exact"/>
        <w:ind w:firstLine="482" w:firstLineChars="200"/>
        <w:jc w:val="both"/>
        <w:outlineLvl w:val="0"/>
        <w:rPr>
          <w:rFonts w:ascii="Times New Roman" w:hAnsi="Times New Roman" w:eastAsia="楷体" w:cs="Times New Roman"/>
          <w:b/>
          <w:bCs/>
          <w:color w:val="000000" w:themeColor="text1"/>
          <w:kern w:val="44"/>
          <w:szCs w:val="44"/>
          <w14:textFill>
            <w14:solidFill>
              <w14:schemeClr w14:val="tx1"/>
            </w14:solidFill>
          </w14:textFill>
        </w:rPr>
      </w:pPr>
    </w:p>
    <w:p>
      <w:pPr>
        <w:keepNext/>
        <w:keepLines/>
        <w:widowControl w:val="0"/>
        <w:spacing w:before="120" w:after="120" w:line="240" w:lineRule="exact"/>
        <w:ind w:firstLine="482" w:firstLineChars="200"/>
        <w:jc w:val="both"/>
        <w:outlineLvl w:val="0"/>
        <w:rPr>
          <w:rFonts w:ascii="Times New Roman" w:hAnsi="Times New Roman" w:eastAsia="楷体" w:cs="Times New Roman"/>
          <w:b/>
          <w:bCs/>
          <w:color w:val="000000" w:themeColor="text1"/>
          <w:kern w:val="44"/>
          <w:szCs w:val="44"/>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widowControl w:val="0"/>
        <w:adjustRightInd w:val="0"/>
        <w:spacing w:line="360" w:lineRule="atLeast"/>
        <w:textAlignment w:val="baseline"/>
        <w:rPr>
          <w:rFonts w:ascii="Times New Roman" w:hAnsi="Times New Roman" w:eastAsia="宋体" w:cs="Times New Roman"/>
          <w:color w:val="000000" w:themeColor="text1"/>
          <w:szCs w:val="20"/>
          <w14:textFill>
            <w14:solidFill>
              <w14:schemeClr w14:val="tx1"/>
            </w14:solidFill>
          </w14:textFill>
        </w:rPr>
      </w:pPr>
    </w:p>
    <w:p>
      <w:pPr>
        <w:keepNext/>
        <w:keepLines/>
        <w:widowControl w:val="0"/>
        <w:spacing w:before="120" w:after="120" w:line="240" w:lineRule="exact"/>
        <w:jc w:val="both"/>
        <w:outlineLvl w:val="0"/>
        <w:rPr>
          <w:rFonts w:ascii="Times New Roman" w:hAnsi="Times New Roman" w:eastAsia="楷体" w:cs="Times New Roman"/>
          <w:b/>
          <w:bCs/>
          <w:color w:val="000000" w:themeColor="text1"/>
          <w:kern w:val="44"/>
          <w:szCs w:val="44"/>
          <w14:textFill>
            <w14:solidFill>
              <w14:schemeClr w14:val="tx1"/>
            </w14:solidFill>
          </w14:textFill>
        </w:rPr>
      </w:pPr>
    </w:p>
    <w:p>
      <w:pPr>
        <w:pStyle w:val="2"/>
      </w:pPr>
    </w:p>
    <w:p>
      <w:pPr>
        <w:keepNext/>
        <w:keepLines/>
        <w:widowControl w:val="0"/>
        <w:spacing w:before="120" w:after="120" w:line="240" w:lineRule="exact"/>
        <w:ind w:firstLine="482" w:firstLineChars="200"/>
        <w:jc w:val="both"/>
        <w:outlineLvl w:val="0"/>
        <w:rPr>
          <w:rFonts w:ascii="Times New Roman" w:hAnsi="Times New Roman" w:eastAsia="楷体" w:cs="Times New Roman"/>
          <w:b/>
          <w:bCs/>
          <w:color w:val="000000" w:themeColor="text1"/>
          <w:kern w:val="44"/>
          <w:szCs w:val="44"/>
          <w14:textFill>
            <w14:solidFill>
              <w14:schemeClr w14:val="tx1"/>
            </w14:solidFill>
          </w14:textFill>
        </w:rPr>
      </w:pPr>
      <w:bookmarkStart w:id="128" w:name="_Toc21671"/>
      <w:bookmarkStart w:id="129" w:name="_Toc9516"/>
      <w:r>
        <w:rPr>
          <w:rFonts w:hint="eastAsia" w:ascii="Times New Roman" w:hAnsi="Times New Roman" w:eastAsia="楷体" w:cs="Times New Roman"/>
          <w:b/>
          <w:bCs/>
          <w:color w:val="000000" w:themeColor="text1"/>
          <w:kern w:val="44"/>
          <w:szCs w:val="44"/>
          <w14:textFill>
            <w14:solidFill>
              <w14:schemeClr w14:val="tx1"/>
            </w14:solidFill>
          </w14:textFill>
        </w:rPr>
        <w:t>附件四</w:t>
      </w:r>
      <w:bookmarkEnd w:id="128"/>
      <w:bookmarkEnd w:id="129"/>
    </w:p>
    <w:p>
      <w:pPr>
        <w:widowControl w:val="0"/>
        <w:adjustRightInd w:val="0"/>
        <w:spacing w:line="360" w:lineRule="auto"/>
        <w:jc w:val="center"/>
        <w:textAlignment w:val="baseline"/>
        <w:rPr>
          <w:rFonts w:ascii="楷体" w:hAnsi="楷体" w:eastAsia="楷体" w:cs="Times New Roman"/>
          <w:b/>
          <w:color w:val="000000" w:themeColor="text1"/>
          <w:szCs w:val="20"/>
          <w14:textFill>
            <w14:solidFill>
              <w14:schemeClr w14:val="tx1"/>
            </w14:solidFill>
          </w14:textFill>
        </w:rPr>
      </w:pPr>
      <w:r>
        <w:rPr>
          <w:rFonts w:hint="eastAsia" w:ascii="楷体" w:hAnsi="楷体" w:eastAsia="楷体" w:cs="Times New Roman"/>
          <w:b/>
          <w:color w:val="000000" w:themeColor="text1"/>
          <w:szCs w:val="20"/>
          <w14:textFill>
            <w14:solidFill>
              <w14:schemeClr w14:val="tx1"/>
            </w14:solidFill>
          </w14:textFill>
        </w:rPr>
        <w:t>违约责任</w:t>
      </w:r>
    </w:p>
    <w:p>
      <w:pPr>
        <w:widowControl w:val="0"/>
        <w:adjustRightInd w:val="0"/>
        <w:spacing w:line="360" w:lineRule="auto"/>
        <w:ind w:firstLine="480" w:firstLineChars="200"/>
        <w:textAlignment w:val="baseline"/>
        <w:rPr>
          <w:rFonts w:ascii="楷体" w:hAnsi="楷体" w:eastAsia="楷体" w:cs="Times New Roman"/>
          <w:color w:val="000000" w:themeColor="text1"/>
          <w:szCs w:val="20"/>
          <w14:textFill>
            <w14:solidFill>
              <w14:schemeClr w14:val="tx1"/>
            </w14:solidFill>
          </w14:textFill>
        </w:rPr>
      </w:pPr>
    </w:p>
    <w:p>
      <w:pPr>
        <w:widowControl w:val="0"/>
        <w:adjustRightInd w:val="0"/>
        <w:spacing w:line="360" w:lineRule="auto"/>
        <w:ind w:firstLine="480" w:firstLineChars="200"/>
        <w:textAlignment w:val="baseline"/>
        <w:rPr>
          <w:rFonts w:ascii="楷体" w:hAnsi="楷体" w:eastAsia="楷体" w:cs="Times New Roman"/>
          <w:color w:val="000000" w:themeColor="text1"/>
          <w:szCs w:val="20"/>
          <w14:textFill>
            <w14:solidFill>
              <w14:schemeClr w14:val="tx1"/>
            </w14:solidFill>
          </w14:textFill>
        </w:rPr>
      </w:pPr>
      <w:r>
        <w:rPr>
          <w:rFonts w:hint="eastAsia" w:ascii="楷体" w:hAnsi="楷体" w:eastAsia="楷体" w:cs="Times New Roman"/>
          <w:color w:val="000000" w:themeColor="text1"/>
          <w:szCs w:val="20"/>
          <w14:textFill>
            <w14:solidFill>
              <w14:schemeClr w14:val="tx1"/>
            </w14:solidFill>
          </w14:textFill>
        </w:rPr>
        <w:t>除合同约定的违约责任以外，任何一方存在以下约定情形的，应承担相应的违约责任：</w:t>
      </w:r>
    </w:p>
    <w:p>
      <w:pPr>
        <w:widowControl w:val="0"/>
        <w:adjustRightInd w:val="0"/>
        <w:spacing w:line="360" w:lineRule="atLeast"/>
        <w:textAlignment w:val="baseline"/>
        <w:rPr>
          <w:rFonts w:ascii="楷体" w:hAnsi="楷体" w:eastAsia="楷体" w:cs="Times New Roman"/>
          <w:color w:val="000000" w:themeColor="text1"/>
          <w:szCs w:val="20"/>
          <w14:textFill>
            <w14:solidFill>
              <w14:schemeClr w14:val="tx1"/>
            </w14:solidFill>
          </w14:textFill>
        </w:rPr>
      </w:pPr>
      <w:r>
        <w:rPr>
          <w:rFonts w:hint="eastAsia" w:ascii="楷体" w:hAnsi="楷体" w:eastAsia="楷体" w:cs="Times New Roman"/>
          <w:color w:val="000000" w:themeColor="text1"/>
          <w:szCs w:val="20"/>
          <w14:textFill>
            <w14:solidFill>
              <w14:schemeClr w14:val="tx1"/>
            </w14:solidFill>
          </w14:textFill>
        </w:rPr>
        <w:br w:type="page"/>
      </w:r>
    </w:p>
    <w:p>
      <w:pPr>
        <w:keepNext/>
        <w:keepLines/>
        <w:widowControl w:val="0"/>
        <w:spacing w:before="120" w:after="120" w:line="240" w:lineRule="exact"/>
        <w:ind w:firstLine="482" w:firstLineChars="200"/>
        <w:jc w:val="both"/>
        <w:outlineLvl w:val="0"/>
        <w:rPr>
          <w:rFonts w:ascii="Times New Roman" w:hAnsi="Times New Roman" w:eastAsia="楷体" w:cs="Times New Roman"/>
          <w:b/>
          <w:bCs/>
          <w:color w:val="000000" w:themeColor="text1"/>
          <w:kern w:val="44"/>
          <w:szCs w:val="44"/>
          <w14:textFill>
            <w14:solidFill>
              <w14:schemeClr w14:val="tx1"/>
            </w14:solidFill>
          </w14:textFill>
        </w:rPr>
      </w:pPr>
      <w:bookmarkStart w:id="130" w:name="_Toc19133"/>
      <w:bookmarkStart w:id="131" w:name="_Toc29581"/>
      <w:r>
        <w:rPr>
          <w:rFonts w:hint="eastAsia" w:ascii="Times New Roman" w:hAnsi="Times New Roman" w:eastAsia="楷体" w:cs="Times New Roman"/>
          <w:b/>
          <w:bCs/>
          <w:color w:val="000000" w:themeColor="text1"/>
          <w:kern w:val="44"/>
          <w:szCs w:val="44"/>
          <w14:textFill>
            <w14:solidFill>
              <w14:schemeClr w14:val="tx1"/>
            </w14:solidFill>
          </w14:textFill>
        </w:rPr>
        <w:t>附件五</w:t>
      </w:r>
      <w:bookmarkEnd w:id="130"/>
      <w:bookmarkEnd w:id="131"/>
    </w:p>
    <w:p>
      <w:pPr>
        <w:widowControl w:val="0"/>
        <w:adjustRightInd w:val="0"/>
        <w:spacing w:before="312" w:beforeLines="100" w:after="312" w:afterLines="100" w:line="300" w:lineRule="auto"/>
        <w:jc w:val="center"/>
        <w:textAlignment w:val="baseline"/>
        <w:rPr>
          <w:rFonts w:ascii="楷体" w:hAnsi="楷体" w:eastAsia="楷体" w:cs="楷体"/>
          <w:b/>
          <w:bCs/>
          <w:color w:val="000000" w:themeColor="text1"/>
          <w:spacing w:val="20"/>
          <w:sz w:val="28"/>
          <w:szCs w:val="28"/>
          <w14:textFill>
            <w14:solidFill>
              <w14:schemeClr w14:val="tx1"/>
            </w14:solidFill>
          </w14:textFill>
        </w:rPr>
      </w:pPr>
      <w:r>
        <w:rPr>
          <w:rFonts w:hint="eastAsia" w:ascii="楷体" w:hAnsi="楷体" w:eastAsia="楷体" w:cs="楷体"/>
          <w:b/>
          <w:bCs/>
          <w:color w:val="000000" w:themeColor="text1"/>
          <w:spacing w:val="20"/>
          <w:kern w:val="2"/>
          <w:sz w:val="28"/>
          <w:szCs w:val="28"/>
          <w:lang w:bidi="ar"/>
          <w14:textFill>
            <w14:solidFill>
              <w14:schemeClr w14:val="tx1"/>
            </w14:solidFill>
          </w14:textFill>
        </w:rPr>
        <w:t>廉洁诚信协议</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widowControl w:val="0"/>
        <w:adjustRightInd w:val="0"/>
        <w:spacing w:before="312" w:beforeLines="100" w:after="312" w:afterLines="100" w:line="300" w:lineRule="auto"/>
        <w:ind w:firstLine="482" w:firstLineChars="200"/>
        <w:jc w:val="both"/>
        <w:textAlignment w:val="baseline"/>
        <w:rPr>
          <w:rFonts w:ascii="楷体" w:hAnsi="楷体" w:eastAsia="楷体" w:cs="楷体"/>
          <w:b/>
          <w:bCs/>
          <w:color w:val="000000" w:themeColor="text1"/>
          <w14:textFill>
            <w14:solidFill>
              <w14:schemeClr w14:val="tx1"/>
            </w14:solidFill>
          </w14:textFill>
        </w:rPr>
      </w:pPr>
      <w:r>
        <w:rPr>
          <w:rFonts w:hint="eastAsia" w:ascii="楷体" w:hAnsi="楷体" w:eastAsia="楷体" w:cs="楷体"/>
          <w:b/>
          <w:bCs/>
          <w:color w:val="000000" w:themeColor="text1"/>
          <w:kern w:val="2"/>
          <w:lang w:bidi="ar"/>
          <w14:textFill>
            <w14:solidFill>
              <w14:schemeClr w14:val="tx1"/>
            </w14:solidFill>
          </w14:textFill>
        </w:rPr>
        <w:t>第一条  总则</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1.1甲乙双方均应当严格遵守国家法律法规和甲方集中采购管理、供应商管理的相关要求，不从事任何违法违规违纪行为。坚持诚实守信原则，恪守商业道德和职业道德，规范商务人员廉洁从业行为。</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1.3本协议所称相关主体，对任何一方而言，包括但不限于以下单位或者个人：</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（1）一方或其关联方之工作人员；</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（2）受一方委托办理相关事务的单位或者个人；</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（3）利用职权或者影响力影响交易的单位或者个人；</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（4）前述相关人员的亲属；</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（5）与前述相关主体存在利害关系的其他单位或者人员。</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乙方相关主体实施违反本协议约定之行为的，均应视为乙方实施行为。</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1.4一方监督发现对方相关主体在业务合作中存在违规行为的，应当及时提醒并有权向对方纪检部门举报。情节严重构成犯罪的，任何一方均有权向司法机关报案，追究相关单位或者人员的刑事责任。</w:t>
      </w:r>
    </w:p>
    <w:p>
      <w:pPr>
        <w:widowControl w:val="0"/>
        <w:adjustRightInd w:val="0"/>
        <w:spacing w:before="312" w:beforeLines="100" w:after="312" w:afterLines="100" w:line="300" w:lineRule="auto"/>
        <w:ind w:firstLine="482" w:firstLineChars="200"/>
        <w:jc w:val="both"/>
        <w:textAlignment w:val="baseline"/>
        <w:rPr>
          <w:rFonts w:ascii="楷体" w:hAnsi="楷体" w:eastAsia="楷体" w:cs="楷体"/>
          <w:b/>
          <w:bCs/>
          <w:color w:val="000000" w:themeColor="text1"/>
          <w14:textFill>
            <w14:solidFill>
              <w14:schemeClr w14:val="tx1"/>
            </w14:solidFill>
          </w14:textFill>
        </w:rPr>
      </w:pPr>
      <w:r>
        <w:rPr>
          <w:rFonts w:hint="eastAsia" w:ascii="楷体" w:hAnsi="楷体" w:eastAsia="楷体" w:cs="楷体"/>
          <w:b/>
          <w:bCs/>
          <w:color w:val="000000" w:themeColor="text1"/>
          <w:kern w:val="2"/>
          <w:lang w:bidi="ar"/>
          <w14:textFill>
            <w14:solidFill>
              <w14:schemeClr w14:val="tx1"/>
            </w14:solidFill>
          </w14:textFill>
        </w:rPr>
        <w:t>第二条  商业贿赂</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2.1本协议所称商业贿赂，是指乙方或乙方相关主体为获取或意图获取交易机会或者竞争优势，采用财物或者其他形式贿赂甲方或甲方相关主体的行为。</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2.3本条第1款所称其他形式，包括但不限于：</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（1）以任何方式实施商业贿赂或违规提供回扣、折扣、宴请与游玩活动或其他不正当利益；</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（2）为甲方或甲方相关主体安排有可能影响公平、公正交易的宴请、健身、娱乐等活动；</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（3）为甲方或甲方相关主体投资入股、个人借款或买卖股票、债券等提供方便；</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（4）为甲方或甲方相关主体购买或装修住房、婚丧嫁娶、配偶子女上学或工作安排以及出国出境、旅游等提供方便；</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（5）违反规定为甲方或甲方相关主体在乙方相关企业工作、挂名兼职、合伙经营、介绍承揽业务等提供方便；</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（6）向甲方或甲方相关主体提供借款、融资、担保等；</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（7）给予或承诺给予其不正当利益的其他行为；</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（8）其他违反国家法律法规或商业道德准则的影响公正交易的行为。</w:t>
      </w:r>
    </w:p>
    <w:p>
      <w:pPr>
        <w:widowControl w:val="0"/>
        <w:adjustRightInd w:val="0"/>
        <w:spacing w:before="312" w:beforeLines="100" w:after="312" w:afterLines="100" w:line="300" w:lineRule="auto"/>
        <w:ind w:firstLine="482" w:firstLineChars="200"/>
        <w:jc w:val="both"/>
        <w:textAlignment w:val="baseline"/>
        <w:rPr>
          <w:rFonts w:ascii="楷体" w:hAnsi="楷体" w:eastAsia="楷体" w:cs="楷体"/>
          <w:b/>
          <w:bCs/>
          <w:color w:val="000000" w:themeColor="text1"/>
          <w14:textFill>
            <w14:solidFill>
              <w14:schemeClr w14:val="tx1"/>
            </w14:solidFill>
          </w14:textFill>
        </w:rPr>
      </w:pPr>
      <w:r>
        <w:rPr>
          <w:rFonts w:hint="eastAsia" w:ascii="楷体" w:hAnsi="楷体" w:eastAsia="楷体" w:cs="楷体"/>
          <w:b/>
          <w:bCs/>
          <w:color w:val="000000" w:themeColor="text1"/>
          <w:kern w:val="2"/>
          <w:lang w:bidi="ar"/>
          <w14:textFill>
            <w14:solidFill>
              <w14:schemeClr w14:val="tx1"/>
            </w14:solidFill>
          </w14:textFill>
        </w:rPr>
        <w:t>第三条  回扣</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3.1本协议所称回扣，是指乙方促成合作时在账外暗中以现金、实物或者其他方式退给甲方或甲方相关主体一定比例的商品或服务价款。</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3.2本条第1款所称账外，是指未在依法设立的反映其生产经营活动或者行政事业经费收支的财务账上按照财务会计制度规定明确如实记载，包括不记入财务账、转入其他财务账或者做假账等。</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3.3乙方在账外暗中给予甲方相关主体回扣的，视为实施商业贿赂行为。</w:t>
      </w:r>
    </w:p>
    <w:p>
      <w:pPr>
        <w:widowControl w:val="0"/>
        <w:adjustRightInd w:val="0"/>
        <w:spacing w:before="312" w:beforeLines="100" w:after="312" w:afterLines="100" w:line="300" w:lineRule="auto"/>
        <w:ind w:firstLine="482" w:firstLineChars="200"/>
        <w:jc w:val="both"/>
        <w:textAlignment w:val="baseline"/>
        <w:rPr>
          <w:rFonts w:ascii="楷体" w:hAnsi="楷体" w:eastAsia="楷体" w:cs="楷体"/>
          <w:b/>
          <w:bCs/>
          <w:color w:val="000000" w:themeColor="text1"/>
          <w14:textFill>
            <w14:solidFill>
              <w14:schemeClr w14:val="tx1"/>
            </w14:solidFill>
          </w14:textFill>
        </w:rPr>
      </w:pPr>
      <w:r>
        <w:rPr>
          <w:rFonts w:hint="eastAsia" w:ascii="楷体" w:hAnsi="楷体" w:eastAsia="楷体" w:cs="楷体"/>
          <w:b/>
          <w:bCs/>
          <w:color w:val="000000" w:themeColor="text1"/>
          <w:kern w:val="2"/>
          <w:lang w:bidi="ar"/>
          <w14:textFill>
            <w14:solidFill>
              <w14:schemeClr w14:val="tx1"/>
            </w14:solidFill>
          </w14:textFill>
        </w:rPr>
        <w:t>第四条  折扣</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4.2乙方提供的商品或服务，可以以明示方式给予甲方折扣。乙方给予甲方折扣的，必须在采购协议中予以明确并如实入账。</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4.3本条第1款所称如实入账，是指根据采购或合作协议约定的金额和支付方式，在依法设立的反映甲方生产经营活动收支的财务账上按照财务会计制度规定明确如实记载。</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4.4乙方违反本条约定的，视为实施商业贿赂行为。</w:t>
      </w:r>
    </w:p>
    <w:p>
      <w:pPr>
        <w:widowControl w:val="0"/>
        <w:adjustRightInd w:val="0"/>
        <w:spacing w:before="312" w:beforeLines="100" w:after="312" w:afterLines="100" w:line="300" w:lineRule="auto"/>
        <w:ind w:firstLine="482" w:firstLineChars="200"/>
        <w:jc w:val="both"/>
        <w:textAlignment w:val="baseline"/>
        <w:rPr>
          <w:rFonts w:ascii="楷体" w:hAnsi="楷体" w:eastAsia="楷体" w:cs="楷体"/>
          <w:b/>
          <w:bCs/>
          <w:color w:val="000000" w:themeColor="text1"/>
          <w14:textFill>
            <w14:solidFill>
              <w14:schemeClr w14:val="tx1"/>
            </w14:solidFill>
          </w14:textFill>
        </w:rPr>
      </w:pPr>
      <w:r>
        <w:rPr>
          <w:rFonts w:hint="eastAsia" w:ascii="楷体" w:hAnsi="楷体" w:eastAsia="楷体" w:cs="楷体"/>
          <w:b/>
          <w:bCs/>
          <w:color w:val="000000" w:themeColor="text1"/>
          <w:kern w:val="2"/>
          <w:lang w:bidi="ar"/>
          <w14:textFill>
            <w14:solidFill>
              <w14:schemeClr w14:val="tx1"/>
            </w14:solidFill>
          </w14:textFill>
        </w:rPr>
        <w:t>第五条  宴请与游玩活动</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5.2乙方不得为甲方相关主体提供各种形式的旅游、健身、KTV、酒吧、按摩、赌博、色情等娱乐休闲活动。</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5.3乙方违反本条约定的，视为实施商业贿赂行为。</w:t>
      </w:r>
    </w:p>
    <w:p>
      <w:pPr>
        <w:widowControl w:val="0"/>
        <w:adjustRightInd w:val="0"/>
        <w:spacing w:before="312" w:beforeLines="100" w:after="312" w:afterLines="100" w:line="300" w:lineRule="auto"/>
        <w:ind w:firstLine="482" w:firstLineChars="200"/>
        <w:jc w:val="both"/>
        <w:textAlignment w:val="baseline"/>
        <w:rPr>
          <w:rFonts w:ascii="楷体" w:hAnsi="楷体" w:eastAsia="楷体" w:cs="楷体"/>
          <w:b/>
          <w:bCs/>
          <w:color w:val="000000" w:themeColor="text1"/>
          <w14:textFill>
            <w14:solidFill>
              <w14:schemeClr w14:val="tx1"/>
            </w14:solidFill>
          </w14:textFill>
        </w:rPr>
      </w:pPr>
      <w:r>
        <w:rPr>
          <w:rFonts w:hint="eastAsia" w:ascii="楷体" w:hAnsi="楷体" w:eastAsia="楷体" w:cs="楷体"/>
          <w:b/>
          <w:bCs/>
          <w:color w:val="000000" w:themeColor="text1"/>
          <w:kern w:val="2"/>
          <w:lang w:bidi="ar"/>
          <w14:textFill>
            <w14:solidFill>
              <w14:schemeClr w14:val="tx1"/>
            </w14:solidFill>
          </w14:textFill>
        </w:rPr>
        <w:t>第六条  禁止行为</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双方一致同意双方或双方相关主体的如下行为是应当禁止的营私舞弊或腐败行为：</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6.1甲方及甲方相关主体向乙方索要或收受财物或其他形式的财产性利益、非财产性利益。</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6.2乙方及乙方相关主体向甲方或甲方相关主体提供财物或其他形式的财产性利益、非财产性利益，包括但不限于：</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（1）报销甲方相关主体的私人费用；</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（2）提供超过宴请标准的宴请或娱乐活动；</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（3）介绍甲方相关主体亲友到乙方处工作；</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（4）提出、邀请或事实上接受甲方相关主体在乙方参股或参与乙方经营活动；</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（5）组织或向甲方相关主体提供旅游等代偿活动利益；</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（6）向甲方相关主体提供借款、融资、担保等；</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（7）给予或承诺给予甲方相关主体不正当利益的其他行为；</w:t>
      </w:r>
    </w:p>
    <w:p>
      <w:pPr>
        <w:widowControl w:val="0"/>
        <w:adjustRightInd w:val="0"/>
        <w:spacing w:after="312" w:afterLines="100" w:line="360" w:lineRule="atLeast"/>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（8）其他违反本协议约定、国家法律法规或商业道德准则的影响公正交易的行为。</w:t>
      </w:r>
    </w:p>
    <w:p>
      <w:pPr>
        <w:widowControl w:val="0"/>
        <w:adjustRightInd w:val="0"/>
        <w:spacing w:before="312" w:beforeLines="100" w:after="312" w:afterLines="100" w:line="300" w:lineRule="auto"/>
        <w:ind w:firstLine="482" w:firstLineChars="200"/>
        <w:jc w:val="both"/>
        <w:textAlignment w:val="baseline"/>
        <w:rPr>
          <w:rFonts w:ascii="楷体" w:hAnsi="楷体" w:eastAsia="楷体" w:cs="楷体"/>
          <w:b/>
          <w:bCs/>
          <w:color w:val="000000" w:themeColor="text1"/>
          <w14:textFill>
            <w14:solidFill>
              <w14:schemeClr w14:val="tx1"/>
            </w14:solidFill>
          </w14:textFill>
        </w:rPr>
      </w:pPr>
      <w:r>
        <w:rPr>
          <w:rFonts w:hint="eastAsia" w:ascii="楷体" w:hAnsi="楷体" w:eastAsia="楷体" w:cs="楷体"/>
          <w:b/>
          <w:bCs/>
          <w:color w:val="000000" w:themeColor="text1"/>
          <w:kern w:val="2"/>
          <w:lang w:bidi="ar"/>
          <w14:textFill>
            <w14:solidFill>
              <w14:schemeClr w14:val="tx1"/>
            </w14:solidFill>
          </w14:textFill>
        </w:rPr>
        <w:t>第七条  乙方承诺</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乙方承诺在双方的商务接洽、合同关系、交易过程中遵守如下要求：</w:t>
      </w:r>
    </w:p>
    <w:p>
      <w:pPr>
        <w:widowControl w:val="0"/>
        <w:adjustRightInd w:val="0"/>
        <w:spacing w:before="312" w:beforeLines="100" w:after="312" w:afterLines="100" w:line="300" w:lineRule="auto"/>
        <w:ind w:firstLine="482" w:firstLineChars="200"/>
        <w:jc w:val="both"/>
        <w:textAlignment w:val="baseline"/>
        <w:rPr>
          <w:rFonts w:ascii="楷体" w:hAnsi="楷体" w:eastAsia="楷体" w:cs="楷体"/>
          <w:b/>
          <w:bCs/>
          <w:color w:val="000000" w:themeColor="text1"/>
          <w14:textFill>
            <w14:solidFill>
              <w14:schemeClr w14:val="tx1"/>
            </w14:solidFill>
          </w14:textFill>
        </w:rPr>
      </w:pPr>
      <w:r>
        <w:rPr>
          <w:rFonts w:hint="eastAsia" w:ascii="楷体" w:hAnsi="楷体" w:eastAsia="楷体" w:cs="楷体"/>
          <w:b/>
          <w:bCs/>
          <w:color w:val="000000" w:themeColor="text1"/>
          <w:kern w:val="2"/>
          <w:lang w:bidi="ar"/>
          <w14:textFill>
            <w14:solidFill>
              <w14:schemeClr w14:val="tx1"/>
            </w14:solidFill>
          </w14:textFill>
        </w:rPr>
        <w:t>7.1 避免利害关系</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widowControl w:val="0"/>
        <w:adjustRightInd w:val="0"/>
        <w:spacing w:before="312" w:beforeLines="100" w:after="312" w:afterLines="100" w:line="300" w:lineRule="auto"/>
        <w:ind w:firstLine="482" w:firstLineChars="200"/>
        <w:jc w:val="both"/>
        <w:textAlignment w:val="baseline"/>
        <w:rPr>
          <w:rFonts w:ascii="楷体" w:hAnsi="楷体" w:eastAsia="楷体" w:cs="楷体"/>
          <w:b/>
          <w:bCs/>
          <w:color w:val="000000" w:themeColor="text1"/>
          <w14:textFill>
            <w14:solidFill>
              <w14:schemeClr w14:val="tx1"/>
            </w14:solidFill>
          </w14:textFill>
        </w:rPr>
      </w:pPr>
      <w:r>
        <w:rPr>
          <w:rFonts w:hint="eastAsia" w:ascii="楷体" w:hAnsi="楷体" w:eastAsia="楷体" w:cs="楷体"/>
          <w:b/>
          <w:bCs/>
          <w:color w:val="000000" w:themeColor="text1"/>
          <w:kern w:val="2"/>
          <w:lang w:bidi="ar"/>
          <w14:textFill>
            <w14:solidFill>
              <w14:schemeClr w14:val="tx1"/>
            </w14:solidFill>
          </w14:textFill>
        </w:rPr>
        <w:t>7.2 恪守廉洁自律原则</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7.2.2支持甲方的廉洁诚信建设，承诺承担实名举报的义务，若乙方或乙方相关主体对甲方或甲方相关主体的索贿行为不拒绝、不申报，并满足其要求的，则该行为视同乙方实施商业贿赂行为。</w:t>
      </w:r>
    </w:p>
    <w:p>
      <w:pPr>
        <w:widowControl w:val="0"/>
        <w:adjustRightInd w:val="0"/>
        <w:spacing w:before="312" w:beforeLines="100" w:after="312" w:afterLines="100" w:line="300" w:lineRule="auto"/>
        <w:ind w:firstLine="482" w:firstLineChars="200"/>
        <w:jc w:val="both"/>
        <w:textAlignment w:val="baseline"/>
        <w:rPr>
          <w:rFonts w:ascii="楷体" w:hAnsi="楷体" w:eastAsia="楷体" w:cs="楷体"/>
          <w:b/>
          <w:bCs/>
          <w:color w:val="000000" w:themeColor="text1"/>
          <w14:textFill>
            <w14:solidFill>
              <w14:schemeClr w14:val="tx1"/>
            </w14:solidFill>
          </w14:textFill>
        </w:rPr>
      </w:pPr>
      <w:r>
        <w:rPr>
          <w:rFonts w:hint="eastAsia" w:ascii="楷体" w:hAnsi="楷体" w:eastAsia="楷体" w:cs="楷体"/>
          <w:b/>
          <w:bCs/>
          <w:color w:val="000000" w:themeColor="text1"/>
          <w:kern w:val="2"/>
          <w:lang w:bidi="ar"/>
          <w14:textFill>
            <w14:solidFill>
              <w14:schemeClr w14:val="tx1"/>
            </w14:solidFill>
          </w14:textFill>
        </w:rPr>
        <w:t>7.3 恪守诚实信用原则</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7.3.2严格遵守向甲方做出的承诺、双方签署的合同、协议和备忘录等，确保产品质量和服务质量，不隐瞒任何可能对甲方利益造成影响的信息，积极配合甲方的审计。</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7.3.3严格遵守甲方的供应商行为准则、合作协议、保密承诺书等政策文件中的相关规定。</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7.3.4严格遵守甲方的品牌管理的相关规定，未经甲方授权不擅自使用甲方字样、授权合作伙伴等类似容易对外产生混淆的字样。</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7.3.5严格遵守国家相关法律法规及甲方的管理规定，不参与任何违法活动。</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7.3.6承诺实事求是，不对内部或社会传递任何虚假信息，严格遵守保密协议，不透露任何甲方的商业机密。</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7.3.7未经甲方同意，不向任何新闻媒体、第三方述及有关甲方工作人员恪守商业道德方面的评价、信息。</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widowControl w:val="0"/>
        <w:adjustRightInd w:val="0"/>
        <w:spacing w:before="312" w:beforeLines="100" w:after="312" w:afterLines="100" w:line="300" w:lineRule="auto"/>
        <w:ind w:firstLine="482" w:firstLineChars="200"/>
        <w:jc w:val="both"/>
        <w:textAlignment w:val="baseline"/>
        <w:rPr>
          <w:rFonts w:ascii="楷体" w:hAnsi="楷体" w:eastAsia="楷体" w:cs="楷体"/>
          <w:b/>
          <w:bCs/>
          <w:color w:val="000000" w:themeColor="text1"/>
          <w14:textFill>
            <w14:solidFill>
              <w14:schemeClr w14:val="tx1"/>
            </w14:solidFill>
          </w14:textFill>
        </w:rPr>
      </w:pPr>
      <w:r>
        <w:rPr>
          <w:rFonts w:hint="eastAsia" w:ascii="楷体" w:hAnsi="楷体" w:eastAsia="楷体" w:cs="楷体"/>
          <w:b/>
          <w:bCs/>
          <w:color w:val="000000" w:themeColor="text1"/>
          <w:kern w:val="2"/>
          <w:lang w:bidi="ar"/>
          <w14:textFill>
            <w14:solidFill>
              <w14:schemeClr w14:val="tx1"/>
            </w14:solidFill>
          </w14:textFill>
        </w:rPr>
        <w:t>7.4 确保信息公开透明</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7.4.1主动向甲方披露与采购项目相关的信息，包括乙方真实情况、产品价格、技术参数、服务团队信息、履约情况等。</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7.4.2不利用非法手段向甲方及甲方相关主体打探有关涉及甲方及甲方相关主体的商业秘密、人员信息、采购信息等。</w:t>
      </w:r>
    </w:p>
    <w:p>
      <w:pPr>
        <w:widowControl w:val="0"/>
        <w:adjustRightInd w:val="0"/>
        <w:spacing w:before="312" w:beforeLines="100" w:after="312" w:afterLines="100" w:line="300" w:lineRule="auto"/>
        <w:ind w:firstLine="482" w:firstLineChars="200"/>
        <w:jc w:val="both"/>
        <w:textAlignment w:val="baseline"/>
        <w:rPr>
          <w:rFonts w:ascii="楷体" w:hAnsi="楷体" w:eastAsia="楷体" w:cs="楷体"/>
          <w:b/>
          <w:bCs/>
          <w:color w:val="000000" w:themeColor="text1"/>
          <w14:textFill>
            <w14:solidFill>
              <w14:schemeClr w14:val="tx1"/>
            </w14:solidFill>
          </w14:textFill>
        </w:rPr>
      </w:pPr>
      <w:r>
        <w:rPr>
          <w:rFonts w:hint="eastAsia" w:ascii="楷体" w:hAnsi="楷体" w:eastAsia="楷体" w:cs="楷体"/>
          <w:b/>
          <w:bCs/>
          <w:color w:val="000000" w:themeColor="text1"/>
          <w:kern w:val="2"/>
          <w:lang w:bidi="ar"/>
          <w14:textFill>
            <w14:solidFill>
              <w14:schemeClr w14:val="tx1"/>
            </w14:solidFill>
          </w14:textFill>
        </w:rPr>
        <w:t>7.5 积极配合监督举报</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7.5.2如乙方有知悉或怀疑甲方相关主体有违反上述约定的，应及时采取措施并有权向甲方纪检部门举报。甲方会对所有信息提供者及所提供的全部资料严格保密。</w:t>
      </w:r>
    </w:p>
    <w:p>
      <w:pPr>
        <w:widowControl w:val="0"/>
        <w:adjustRightInd w:val="0"/>
        <w:spacing w:before="312" w:beforeLines="100" w:after="312" w:afterLines="100" w:line="300" w:lineRule="auto"/>
        <w:ind w:firstLine="482" w:firstLineChars="200"/>
        <w:jc w:val="both"/>
        <w:textAlignment w:val="baseline"/>
        <w:rPr>
          <w:rFonts w:ascii="楷体" w:hAnsi="楷体" w:eastAsia="楷体" w:cs="楷体"/>
          <w:b/>
          <w:bCs/>
          <w:color w:val="000000" w:themeColor="text1"/>
          <w14:textFill>
            <w14:solidFill>
              <w14:schemeClr w14:val="tx1"/>
            </w14:solidFill>
          </w14:textFill>
        </w:rPr>
      </w:pPr>
      <w:r>
        <w:rPr>
          <w:rFonts w:hint="eastAsia" w:ascii="楷体" w:hAnsi="楷体" w:eastAsia="楷体" w:cs="楷体"/>
          <w:b/>
          <w:bCs/>
          <w:color w:val="000000" w:themeColor="text1"/>
          <w:kern w:val="2"/>
          <w:lang w:bidi="ar"/>
          <w14:textFill>
            <w14:solidFill>
              <w14:schemeClr w14:val="tx1"/>
            </w14:solidFill>
          </w14:textFill>
        </w:rPr>
        <w:t>7.6 加强内部廉洁管理</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7.6.1加强内部管理：加强对员工的廉洁教育和培训，提高员工的道德素质和法律意识，建立健全内部管理制度，确保员工行为的合规性和廉洁性。</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7.6.2设立监督机制：通过专门的监督机构或人员，对乙方的业务活动进行实时监督，确保员工行为的合规性。</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7.6.3建立举报制度：鼓励员工积极举报违规行为，对举报人予以保护并给予奖励。</w:t>
      </w:r>
    </w:p>
    <w:p>
      <w:pPr>
        <w:widowControl w:val="0"/>
        <w:adjustRightInd w:val="0"/>
        <w:spacing w:before="312" w:beforeLines="100" w:after="312" w:afterLines="100" w:line="300" w:lineRule="auto"/>
        <w:ind w:firstLine="482" w:firstLineChars="200"/>
        <w:jc w:val="both"/>
        <w:textAlignment w:val="baseline"/>
        <w:rPr>
          <w:rFonts w:ascii="楷体" w:hAnsi="楷体" w:eastAsia="楷体" w:cs="楷体"/>
          <w:b/>
          <w:bCs/>
          <w:color w:val="000000" w:themeColor="text1"/>
          <w14:textFill>
            <w14:solidFill>
              <w14:schemeClr w14:val="tx1"/>
            </w14:solidFill>
          </w14:textFill>
        </w:rPr>
      </w:pPr>
      <w:r>
        <w:rPr>
          <w:rFonts w:hint="eastAsia" w:ascii="楷体" w:hAnsi="楷体" w:eastAsia="楷体" w:cs="楷体"/>
          <w:b/>
          <w:bCs/>
          <w:color w:val="000000" w:themeColor="text1"/>
          <w:kern w:val="2"/>
          <w:lang w:bidi="ar"/>
          <w14:textFill>
            <w14:solidFill>
              <w14:schemeClr w14:val="tx1"/>
            </w14:solidFill>
          </w14:textFill>
        </w:rPr>
        <w:t>第八条  违约责任</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8.1若甲方人员违反本协议第六条规定的，按照甲方内部管理权限，依据有关法律和规定给予处分或组织处理，涉嫌犯罪的，移交司法机关追究刑事责任。</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8.2如乙方违反本协议任何约定或承诺，甲方有权依据甲方采购管理、供应商管理和采购文件相关要求，对乙方进行严肃处理，相关处罚结果记入供应商诚信档案。</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8.3 如乙方违反本协议任何约定或承诺，</w:t>
      </w:r>
      <w:r>
        <w:rPr>
          <w:rFonts w:hint="eastAsia" w:ascii="楷体" w:hAnsi="楷体" w:eastAsia="楷体" w:cs="楷体"/>
          <w:b/>
          <w:bCs/>
          <w:color w:val="000000" w:themeColor="text1"/>
          <w:kern w:val="2"/>
          <w:lang w:bidi="ar"/>
          <w14:textFill>
            <w14:solidFill>
              <w14:schemeClr w14:val="tx1"/>
            </w14:solidFill>
          </w14:textFill>
        </w:rPr>
        <w:t>甲方及甲方子公司有权根据情节严重程度选择单方全面终止与乙方的合同及合作，且无需承担任何责任。乙方给甲方造成损失的，甲方有权要求乙方承担全部赔偿责任。</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8.4</w:t>
      </w:r>
      <w:r>
        <w:rPr>
          <w:rFonts w:hint="eastAsia" w:ascii="楷体" w:hAnsi="楷体" w:eastAsia="楷体" w:cs="楷体"/>
          <w:b/>
          <w:bCs/>
          <w:color w:val="000000" w:themeColor="text1"/>
          <w:kern w:val="2"/>
          <w:lang w:bidi="ar"/>
          <w14:textFill>
            <w14:solidFill>
              <w14:schemeClr w14:val="tx1"/>
            </w14:solidFill>
          </w14:textFill>
        </w:rPr>
        <w:t>甲方及甲方子公司按照前述条款要求乙方承担赔偿责任的，</w:t>
      </w:r>
      <w:r>
        <w:rPr>
          <w:rFonts w:hint="eastAsia" w:ascii="楷体" w:hAnsi="楷体" w:eastAsia="楷体" w:cs="楷体"/>
          <w:color w:val="000000" w:themeColor="text1"/>
          <w:kern w:val="2"/>
          <w:lang w:bidi="ar"/>
          <w14:textFill>
            <w14:solidFill>
              <w14:schemeClr w14:val="tx1"/>
            </w14:solidFill>
          </w14:textFill>
        </w:rPr>
        <w:t>乙方应于甲方发出赔偿通知之日起【10】个工作日内支付，如未及时支付，甲方及甲方子公司有权从主合同款项中直接扣除。</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8.5乙方知悉并同意，对于上述情形的处理甲方有完全的判断权和自主权。</w:t>
      </w:r>
    </w:p>
    <w:p>
      <w:pPr>
        <w:widowControl w:val="0"/>
        <w:adjustRightInd w:val="0"/>
        <w:spacing w:before="312" w:beforeLines="100" w:after="312" w:afterLines="100" w:line="300" w:lineRule="auto"/>
        <w:ind w:firstLine="482" w:firstLineChars="200"/>
        <w:jc w:val="both"/>
        <w:textAlignment w:val="baseline"/>
        <w:rPr>
          <w:rFonts w:ascii="楷体" w:hAnsi="楷体" w:eastAsia="楷体" w:cs="楷体"/>
          <w:b/>
          <w:bCs/>
          <w:color w:val="000000" w:themeColor="text1"/>
          <w14:textFill>
            <w14:solidFill>
              <w14:schemeClr w14:val="tx1"/>
            </w14:solidFill>
          </w14:textFill>
        </w:rPr>
      </w:pPr>
      <w:r>
        <w:rPr>
          <w:rFonts w:hint="eastAsia" w:ascii="楷体" w:hAnsi="楷体" w:eastAsia="楷体" w:cs="楷体"/>
          <w:b/>
          <w:bCs/>
          <w:color w:val="000000" w:themeColor="text1"/>
          <w:kern w:val="2"/>
          <w:lang w:bidi="ar"/>
          <w14:textFill>
            <w14:solidFill>
              <w14:schemeClr w14:val="tx1"/>
            </w14:solidFill>
          </w14:textFill>
        </w:rPr>
        <w:t>第九条  附则</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9.1本协议的标题及各条款的标题仅为检索方便而设置，具体内容应当以各条款的具体规定为准，而不应参考该标题进行解释。</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widowControl w:val="0"/>
        <w:adjustRightInd w:val="0"/>
        <w:spacing w:before="312" w:beforeLines="100" w:after="312" w:afterLines="100" w:line="300" w:lineRule="auto"/>
        <w:ind w:firstLine="480" w:firstLineChars="200"/>
        <w:jc w:val="both"/>
        <w:textAlignment w:val="baseline"/>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widowControl w:val="0"/>
        <w:jc w:val="both"/>
        <w:rPr>
          <w:color w:val="000000" w:themeColor="text1"/>
          <w:kern w:val="2"/>
          <w:sz w:val="2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9.5本协议长期有效。</w:t>
      </w:r>
    </w:p>
    <w:p>
      <w:pPr>
        <w:widowControl w:val="0"/>
        <w:jc w:val="both"/>
        <w:rPr>
          <w:color w:val="000000" w:themeColor="text1"/>
          <w:kern w:val="2"/>
          <w:sz w:val="21"/>
          <w14:textFill>
            <w14:solidFill>
              <w14:schemeClr w14:val="tx1"/>
            </w14:solidFill>
          </w14:textFill>
        </w:rPr>
      </w:pPr>
    </w:p>
    <w:p>
      <w:pPr>
        <w:pStyle w:val="2"/>
        <w:rPr>
          <w:color w:val="000000" w:themeColor="text1"/>
          <w14:textFill>
            <w14:solidFill>
              <w14:schemeClr w14:val="tx1"/>
            </w14:solidFill>
          </w14:textFill>
        </w:rPr>
        <w:sectPr>
          <w:footerReference r:id="rId7" w:type="default"/>
          <w:pgSz w:w="11906" w:h="16838"/>
          <w:pgMar w:top="1417" w:right="1134" w:bottom="1134" w:left="1134" w:header="851" w:footer="992" w:gutter="0"/>
          <w:cols w:space="720" w:num="1"/>
          <w:titlePg/>
          <w:docGrid w:type="lines" w:linePitch="312" w:charSpace="0"/>
        </w:sectPr>
      </w:pPr>
    </w:p>
    <w:p>
      <w:pPr>
        <w:pStyle w:val="3"/>
        <w:pageBreakBefore/>
        <w:ind w:left="0" w:firstLine="3064" w:firstLineChars="1090"/>
        <w:jc w:val="left"/>
        <w:rPr>
          <w:rFonts w:ascii="仿宋_GB2312" w:hAnsi="宋体" w:eastAsia="仿宋_GB2312"/>
          <w:color w:val="000000" w:themeColor="text1"/>
          <w:sz w:val="28"/>
          <w:szCs w:val="28"/>
          <w14:textFill>
            <w14:solidFill>
              <w14:schemeClr w14:val="tx1"/>
            </w14:solidFill>
          </w14:textFill>
        </w:rPr>
      </w:pPr>
      <w:bookmarkStart w:id="132" w:name="_Toc4181"/>
      <w:bookmarkStart w:id="133" w:name="_Toc11215"/>
      <w:r>
        <w:rPr>
          <w:rFonts w:hint="eastAsia" w:ascii="仿宋_GB2312" w:hAnsi="宋体" w:eastAsia="仿宋_GB2312"/>
          <w:color w:val="000000" w:themeColor="text1"/>
          <w:sz w:val="28"/>
          <w:szCs w:val="28"/>
          <w14:textFill>
            <w14:solidFill>
              <w14:schemeClr w14:val="tx1"/>
            </w14:solidFill>
          </w14:textFill>
        </w:rPr>
        <w:t>第五章 采购</w:t>
      </w:r>
      <w:bookmarkEnd w:id="132"/>
      <w:r>
        <w:rPr>
          <w:rFonts w:hint="eastAsia" w:ascii="仿宋_GB2312" w:hAnsi="宋体" w:eastAsia="仿宋_GB2312"/>
          <w:color w:val="000000" w:themeColor="text1"/>
          <w:sz w:val="28"/>
          <w:szCs w:val="28"/>
          <w14:textFill>
            <w14:solidFill>
              <w14:schemeClr w14:val="tx1"/>
            </w14:solidFill>
          </w14:textFill>
        </w:rPr>
        <w:t>需求</w:t>
      </w:r>
      <w:bookmarkEnd w:id="133"/>
    </w:p>
    <w:p>
      <w:pPr>
        <w:numPr>
          <w:ilvl w:val="0"/>
          <w:numId w:val="3"/>
        </w:numPr>
        <w:spacing w:line="360" w:lineRule="auto"/>
        <w:ind w:firstLine="480" w:firstLineChars="200"/>
        <w:rPr>
          <w:rFonts w:ascii="楷体" w:hAnsi="楷体" w:eastAsia="楷体"/>
          <w:color w:val="000000" w:themeColor="text1"/>
          <w14:textFill>
            <w14:solidFill>
              <w14:schemeClr w14:val="tx1"/>
            </w14:solidFill>
          </w14:textFill>
        </w:rPr>
      </w:pPr>
      <w:r>
        <w:rPr>
          <w:rFonts w:ascii="楷体" w:hAnsi="楷体" w:eastAsia="楷体" w:cs="仿宋_GB2312"/>
          <w:color w:val="000000" w:themeColor="text1"/>
          <w14:textFill>
            <w14:solidFill>
              <w14:schemeClr w14:val="tx1"/>
            </w14:solidFill>
          </w14:textFill>
        </w:rPr>
        <w:t>采购项目背景</w:t>
      </w:r>
    </w:p>
    <w:p>
      <w:pPr>
        <w:spacing w:line="360" w:lineRule="auto"/>
        <w:ind w:firstLine="480" w:firstLineChars="200"/>
        <w:rPr>
          <w:rFonts w:ascii="楷体" w:hAnsi="楷体" w:eastAsia="楷体"/>
          <w:color w:val="000000" w:themeColor="text1"/>
          <w14:textFill>
            <w14:solidFill>
              <w14:schemeClr w14:val="tx1"/>
            </w14:solidFill>
          </w14:textFill>
        </w:rPr>
      </w:pPr>
      <w:r>
        <w:rPr>
          <w:rFonts w:hint="eastAsia" w:ascii="楷体" w:hAnsi="楷体" w:eastAsia="楷体"/>
          <w:color w:val="000000" w:themeColor="text1"/>
          <w14:textFill>
            <w14:solidFill>
              <w14:schemeClr w14:val="tx1"/>
            </w14:solidFill>
          </w14:textFill>
        </w:rPr>
        <w:t xml:space="preserve"> </w:t>
      </w:r>
      <w:r>
        <w:rPr>
          <w:rFonts w:hint="eastAsia" w:ascii="楷体" w:hAnsi="楷体" w:eastAsia="楷体" w:cs="楷体"/>
          <w:color w:val="000000" w:themeColor="text1"/>
          <w:kern w:val="2"/>
          <w:lang w:bidi="ar"/>
          <w14:textFill>
            <w14:solidFill>
              <w14:schemeClr w14:val="tx1"/>
            </w14:solidFill>
          </w14:textFill>
        </w:rPr>
        <w:t>为进一步拓展</w:t>
      </w:r>
      <w:r>
        <w:rPr>
          <w:rFonts w:hint="eastAsia" w:ascii="楷体" w:hAnsi="楷体" w:eastAsia="楷体" w:cs="楷体"/>
          <w:color w:val="000000" w:themeColor="text1"/>
          <w:kern w:val="2"/>
          <w:lang w:eastAsia="zh-CN" w:bidi="ar"/>
          <w14:textFill>
            <w14:solidFill>
              <w14:schemeClr w14:val="tx1"/>
            </w14:solidFill>
          </w14:textFill>
        </w:rPr>
        <w:t>前锋区</w:t>
      </w:r>
      <w:r>
        <w:rPr>
          <w:rFonts w:hint="eastAsia" w:ascii="楷体" w:hAnsi="楷体" w:eastAsia="楷体" w:cs="楷体"/>
          <w:color w:val="000000" w:themeColor="text1"/>
          <w:kern w:val="2"/>
          <w:lang w:bidi="ar"/>
          <w14:textFill>
            <w14:solidFill>
              <w14:schemeClr w14:val="tx1"/>
            </w14:solidFill>
          </w14:textFill>
        </w:rPr>
        <w:t>市场，提高</w:t>
      </w:r>
      <w:r>
        <w:rPr>
          <w:rFonts w:hint="eastAsia" w:ascii="楷体" w:hAnsi="楷体" w:eastAsia="楷体" w:cs="楷体"/>
          <w:kern w:val="2"/>
          <w:sz w:val="24"/>
          <w:szCs w:val="24"/>
          <w:lang w:val="en-US" w:eastAsia="zh-CN" w:bidi="ar"/>
        </w:rPr>
        <w:t>前锋区</w:t>
      </w:r>
      <w:r>
        <w:rPr>
          <w:rFonts w:hint="eastAsia" w:ascii="楷体" w:hAnsi="楷体" w:eastAsia="楷体" w:cs="楷体"/>
          <w:color w:val="000000" w:themeColor="text1"/>
          <w:kern w:val="2"/>
          <w:lang w:bidi="ar"/>
          <w14:textFill>
            <w14:solidFill>
              <w14:schemeClr w14:val="tx1"/>
            </w14:solidFill>
          </w14:textFill>
        </w:rPr>
        <w:t>支公司在区域内的知名度和影响力，计划利用</w:t>
      </w:r>
      <w:r>
        <w:rPr>
          <w:rFonts w:hint="eastAsia" w:ascii="楷体" w:hAnsi="楷体" w:eastAsia="楷体" w:cs="楷体"/>
          <w:color w:val="000000" w:themeColor="text1"/>
          <w:kern w:val="2"/>
          <w:lang w:eastAsia="zh-CN" w:bidi="ar"/>
          <w14:textFill>
            <w14:solidFill>
              <w14:schemeClr w14:val="tx1"/>
            </w14:solidFill>
          </w14:textFill>
        </w:rPr>
        <w:t>前锋区</w:t>
      </w:r>
      <w:r>
        <w:rPr>
          <w:rFonts w:hint="eastAsia" w:ascii="楷体" w:hAnsi="楷体" w:eastAsia="楷体" w:cs="楷体"/>
          <w:color w:val="000000" w:themeColor="text1"/>
          <w:kern w:val="2"/>
          <w:lang w:bidi="ar"/>
          <w14:textFill>
            <w14:solidFill>
              <w14:schemeClr w14:val="tx1"/>
            </w14:solidFill>
          </w14:textFill>
        </w:rPr>
        <w:t>辖内公交站台进行商险宣传，宣传内容聚焦于公司核心产品，包括车险产品及线上化增值服务、随车驾意险等个人非车险产品。公交站台作为城市公共空间高频接触点，具有覆盖面广、受众稳定、曝光度高的特点，是进行精准化、场景化营销的理想渠道。</w:t>
      </w:r>
    </w:p>
    <w:p>
      <w:pPr>
        <w:numPr>
          <w:ilvl w:val="0"/>
          <w:numId w:val="3"/>
        </w:numPr>
        <w:spacing w:line="360" w:lineRule="auto"/>
        <w:ind w:firstLine="480" w:firstLineChars="200"/>
        <w:rPr>
          <w:rFonts w:ascii="楷体" w:hAnsi="楷体" w:eastAsia="楷体" w:cs="仿宋_GB2312"/>
          <w:color w:val="000000" w:themeColor="text1"/>
          <w14:textFill>
            <w14:solidFill>
              <w14:schemeClr w14:val="tx1"/>
            </w14:solidFill>
          </w14:textFill>
        </w:rPr>
      </w:pPr>
      <w:r>
        <w:rPr>
          <w:rFonts w:ascii="楷体" w:hAnsi="楷体" w:eastAsia="楷体" w:cs="仿宋_GB2312"/>
          <w:color w:val="000000" w:themeColor="text1"/>
          <w14:textFill>
            <w14:solidFill>
              <w14:schemeClr w14:val="tx1"/>
            </w14:solidFill>
          </w14:textFill>
        </w:rPr>
        <w:t>采购内容</w:t>
      </w:r>
    </w:p>
    <w:p>
      <w:pPr>
        <w:spacing w:line="360" w:lineRule="auto"/>
        <w:ind w:left="480" w:leftChars="200"/>
        <w:rPr>
          <w:rFonts w:ascii="楷体" w:hAnsi="楷体" w:eastAsia="楷体" w:cs="仿宋_GB2312"/>
          <w:color w:val="000000" w:themeColor="text1"/>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采购</w:t>
      </w:r>
      <w:r>
        <w:rPr>
          <w:rFonts w:hint="eastAsia" w:ascii="楷体" w:hAnsi="楷体" w:eastAsia="楷体" w:cs="楷体"/>
          <w:color w:val="000000" w:themeColor="text1"/>
          <w:kern w:val="2"/>
          <w:lang w:eastAsia="zh-CN" w:bidi="ar"/>
          <w14:textFill>
            <w14:solidFill>
              <w14:schemeClr w14:val="tx1"/>
            </w14:solidFill>
          </w14:textFill>
        </w:rPr>
        <w:t>前锋区</w:t>
      </w:r>
      <w:r>
        <w:rPr>
          <w:rFonts w:hint="eastAsia" w:ascii="楷体" w:hAnsi="楷体" w:eastAsia="楷体" w:cs="楷体"/>
          <w:color w:val="000000" w:themeColor="text1"/>
          <w:kern w:val="2"/>
          <w:lang w:bidi="ar"/>
          <w14:textFill>
            <w14:solidFill>
              <w14:schemeClr w14:val="tx1"/>
            </w14:solidFill>
          </w14:textFill>
        </w:rPr>
        <w:t>公交站台宣传服务，投放宣传画面到公交站台宣传位</w:t>
      </w:r>
    </w:p>
    <w:p>
      <w:pPr>
        <w:numPr>
          <w:ilvl w:val="0"/>
          <w:numId w:val="3"/>
        </w:numPr>
        <w:spacing w:line="360" w:lineRule="auto"/>
        <w:ind w:firstLine="480" w:firstLineChars="200"/>
        <w:rPr>
          <w:rFonts w:ascii="楷体" w:hAnsi="楷体" w:eastAsia="楷体" w:cs="仿宋_GB2312"/>
          <w:color w:val="000000" w:themeColor="text1"/>
          <w14:textFill>
            <w14:solidFill>
              <w14:schemeClr w14:val="tx1"/>
            </w14:solidFill>
          </w14:textFill>
        </w:rPr>
      </w:pPr>
      <w:r>
        <w:rPr>
          <w:rFonts w:hint="eastAsia" w:ascii="楷体" w:hAnsi="楷体" w:eastAsia="楷体" w:cs="仿宋_GB2312"/>
          <w:color w:val="000000" w:themeColor="text1"/>
          <w14:textFill>
            <w14:solidFill>
              <w14:schemeClr w14:val="tx1"/>
            </w14:solidFill>
          </w14:textFill>
        </w:rPr>
        <w:t>采购数量</w:t>
      </w:r>
    </w:p>
    <w:p>
      <w:pPr>
        <w:pStyle w:val="2"/>
        <w:ind w:firstLine="480" w:firstLineChars="200"/>
        <w:rPr>
          <w:rFonts w:ascii="楷体" w:hAnsi="楷体" w:eastAsia="楷体" w:cs="楷体"/>
          <w:color w:val="000000" w:themeColor="text1"/>
          <w:kern w:val="2"/>
          <w:lang w:bidi="ar"/>
          <w14:textFill>
            <w14:solidFill>
              <w14:schemeClr w14:val="tx1"/>
            </w14:solidFill>
          </w14:textFill>
        </w:rPr>
      </w:pPr>
      <w:r>
        <w:rPr>
          <w:rFonts w:hint="eastAsia" w:ascii="楷体" w:hAnsi="楷体" w:eastAsia="楷体" w:cs="楷体"/>
          <w:color w:val="000000" w:themeColor="text1"/>
          <w:kern w:val="2"/>
          <w:lang w:eastAsia="zh-CN" w:bidi="ar"/>
          <w14:textFill>
            <w14:solidFill>
              <w14:schemeClr w14:val="tx1"/>
            </w14:solidFill>
          </w14:textFill>
        </w:rPr>
        <w:t>前锋区</w:t>
      </w:r>
      <w:r>
        <w:rPr>
          <w:rFonts w:hint="eastAsia" w:ascii="楷体" w:hAnsi="楷体" w:eastAsia="楷体" w:cs="楷体"/>
          <w:color w:val="000000" w:themeColor="text1"/>
          <w:kern w:val="2"/>
          <w:lang w:bidi="ar"/>
          <w14:textFill>
            <w14:solidFill>
              <w14:schemeClr w14:val="tx1"/>
            </w14:solidFill>
          </w14:textFill>
        </w:rPr>
        <w:t>支公司计划根据实际情况选取有效路段进行投放，根据成交单价确定采购数量。</w:t>
      </w:r>
    </w:p>
    <w:p>
      <w:pPr>
        <w:pStyle w:val="2"/>
        <w:rPr>
          <w:rFonts w:ascii="楷体" w:hAnsi="楷体" w:eastAsia="楷体" w:cs="楷体"/>
          <w:color w:val="000000" w:themeColor="text1"/>
          <w:kern w:val="2"/>
          <w:lang w:bidi="ar"/>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按照单价最高1200元/块/月（含制作、安装、维护费）标准，采购数量累计不低于400块。</w:t>
      </w:r>
    </w:p>
    <w:p>
      <w:pPr>
        <w:pStyle w:val="2"/>
        <w:ind w:left="480" w:leftChars="200"/>
        <w:rPr>
          <w:rFonts w:ascii="楷体" w:hAnsi="楷体" w:eastAsia="楷体" w:cs="楷体"/>
          <w:color w:val="000000" w:themeColor="text1"/>
          <w:kern w:val="2"/>
          <w:lang w:bidi="ar"/>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注：以上数量为预估，仅作为供应商报价依据，不作为采购方承诺，最终据实结算。</w:t>
      </w:r>
    </w:p>
    <w:p>
      <w:pPr>
        <w:numPr>
          <w:ilvl w:val="0"/>
          <w:numId w:val="3"/>
        </w:numPr>
        <w:spacing w:line="360" w:lineRule="auto"/>
        <w:ind w:firstLine="480" w:firstLineChars="200"/>
        <w:rPr>
          <w:rFonts w:ascii="楷体" w:hAnsi="楷体" w:eastAsia="楷体" w:cs="仿宋_GB2312"/>
          <w:color w:val="000000" w:themeColor="text1"/>
          <w14:textFill>
            <w14:solidFill>
              <w14:schemeClr w14:val="tx1"/>
            </w14:solidFill>
          </w14:textFill>
        </w:rPr>
      </w:pPr>
      <w:r>
        <w:rPr>
          <w:rFonts w:hint="eastAsia" w:ascii="楷体" w:hAnsi="楷体" w:eastAsia="楷体" w:cs="仿宋_GB2312"/>
          <w:color w:val="000000" w:themeColor="text1"/>
          <w14:textFill>
            <w14:solidFill>
              <w14:schemeClr w14:val="tx1"/>
            </w14:solidFill>
          </w14:textFill>
        </w:rPr>
        <w:t>付款方式（应与合同条款中相关描述保持一致）</w:t>
      </w:r>
    </w:p>
    <w:p>
      <w:pPr>
        <w:pStyle w:val="2"/>
        <w:ind w:firstLine="480" w:firstLineChars="200"/>
        <w:rPr>
          <w:rFonts w:hint="eastAsia" w:ascii="楷体" w:hAnsi="楷体" w:eastAsia="楷体" w:cs="楷体"/>
          <w:color w:val="000000" w:themeColor="text1"/>
          <w:kern w:val="2"/>
          <w:sz w:val="24"/>
          <w:szCs w:val="24"/>
          <w:lang w:val="en-US" w:eastAsia="zh-CN" w:bidi="ar"/>
          <w14:textFill>
            <w14:solidFill>
              <w14:schemeClr w14:val="tx1"/>
            </w14:solidFill>
          </w14:textFill>
        </w:rPr>
      </w:pPr>
      <w:r>
        <w:rPr>
          <w:rFonts w:hint="eastAsia" w:ascii="楷体" w:hAnsi="楷体" w:eastAsia="楷体" w:cs="楷体"/>
          <w:color w:val="000000" w:themeColor="text1"/>
          <w:kern w:val="2"/>
          <w:sz w:val="24"/>
          <w:szCs w:val="24"/>
          <w:lang w:val="en-US" w:eastAsia="zh-CN" w:bidi="ar"/>
          <w14:textFill>
            <w14:solidFill>
              <w14:schemeClr w14:val="tx1"/>
            </w14:solidFill>
          </w14:textFill>
        </w:rPr>
        <w:t>在合同期限内单次投放数量据实结算，供应商提供正规发票及单次投放结算清单，采购方审核无误后，在30个工作日内支付对应款项，累计投放结算额度不超过合同总额。</w:t>
      </w:r>
    </w:p>
    <w:p>
      <w:pPr>
        <w:numPr>
          <w:ilvl w:val="0"/>
          <w:numId w:val="3"/>
        </w:numPr>
        <w:spacing w:line="360" w:lineRule="auto"/>
        <w:ind w:firstLine="480" w:firstLineChars="200"/>
        <w:rPr>
          <w:rFonts w:ascii="楷体" w:hAnsi="楷体" w:eastAsia="楷体" w:cs="仿宋_GB2312"/>
          <w:color w:val="000000" w:themeColor="text1"/>
          <w14:textFill>
            <w14:solidFill>
              <w14:schemeClr w14:val="tx1"/>
            </w14:solidFill>
          </w14:textFill>
        </w:rPr>
      </w:pPr>
      <w:r>
        <w:rPr>
          <w:rFonts w:hint="eastAsia" w:ascii="楷体" w:hAnsi="楷体" w:eastAsia="楷体" w:cs="仿宋_GB2312"/>
          <w:color w:val="000000" w:themeColor="text1"/>
          <w14:textFill>
            <w14:solidFill>
              <w14:schemeClr w14:val="tx1"/>
            </w14:solidFill>
          </w14:textFill>
        </w:rPr>
        <w:t>规格型号/技术/服务要求</w:t>
      </w:r>
    </w:p>
    <w:p>
      <w:pPr>
        <w:spacing w:line="360" w:lineRule="auto"/>
        <w:ind w:firstLine="480" w:firstLineChars="200"/>
        <w:rPr>
          <w:rFonts w:ascii="楷体" w:hAnsi="楷体" w:eastAsia="楷体" w:cs="楷体"/>
          <w:color w:val="000000" w:themeColor="text1"/>
          <w:kern w:val="2"/>
          <w:lang w:bidi="ar"/>
          <w14:textFill>
            <w14:solidFill>
              <w14:schemeClr w14:val="tx1"/>
            </w14:solidFill>
          </w14:textFill>
        </w:rPr>
      </w:pPr>
      <w:r>
        <w:rPr>
          <w:rFonts w:hint="eastAsia" w:ascii="楷体" w:hAnsi="楷体" w:eastAsia="楷体" w:cs="楷体"/>
          <w:color w:val="000000" w:themeColor="text1"/>
          <w:kern w:val="2"/>
          <w:lang w:eastAsia="zh-CN" w:bidi="ar"/>
          <w14:textFill>
            <w14:solidFill>
              <w14:schemeClr w14:val="tx1"/>
            </w14:solidFill>
          </w14:textFill>
        </w:rPr>
        <w:t>前锋区</w:t>
      </w:r>
      <w:r>
        <w:rPr>
          <w:rFonts w:hint="eastAsia" w:ascii="楷体" w:hAnsi="楷体" w:eastAsia="楷体" w:cs="楷体"/>
          <w:color w:val="000000" w:themeColor="text1"/>
          <w:kern w:val="2"/>
          <w:lang w:bidi="ar"/>
          <w14:textFill>
            <w14:solidFill>
              <w14:schemeClr w14:val="tx1"/>
            </w14:solidFill>
          </w14:textFill>
        </w:rPr>
        <w:t>辖区</w:t>
      </w:r>
      <w:r>
        <w:rPr>
          <w:rFonts w:hint="eastAsia" w:ascii="楷体" w:hAnsi="楷体" w:eastAsia="楷体" w:cs="楷体"/>
          <w:color w:val="000000" w:themeColor="text1"/>
          <w:kern w:val="2"/>
          <w:lang w:val="en-US" w:eastAsia="zh-CN" w:bidi="ar"/>
          <w14:textFill>
            <w14:solidFill>
              <w14:schemeClr w14:val="tx1"/>
            </w14:solidFill>
          </w14:textFill>
        </w:rPr>
        <w:t>23</w:t>
      </w:r>
      <w:r>
        <w:rPr>
          <w:rFonts w:hint="eastAsia" w:ascii="楷体" w:hAnsi="楷体" w:eastAsia="楷体" w:cs="楷体"/>
          <w:color w:val="000000" w:themeColor="text1"/>
          <w:kern w:val="2"/>
          <w:lang w:bidi="ar"/>
          <w14:textFill>
            <w14:solidFill>
              <w14:schemeClr w14:val="tx1"/>
            </w14:solidFill>
          </w14:textFill>
        </w:rPr>
        <w:t>个公交站台名，共</w:t>
      </w:r>
      <w:r>
        <w:rPr>
          <w:rFonts w:hint="eastAsia" w:ascii="楷体" w:hAnsi="楷体" w:eastAsia="楷体" w:cs="楷体"/>
          <w:color w:val="000000" w:themeColor="text1"/>
          <w:kern w:val="2"/>
          <w:lang w:val="en-US" w:eastAsia="zh-CN" w:bidi="ar"/>
          <w14:textFill>
            <w14:solidFill>
              <w14:schemeClr w14:val="tx1"/>
            </w14:solidFill>
          </w14:textFill>
        </w:rPr>
        <w:t>123</w:t>
      </w:r>
      <w:r>
        <w:rPr>
          <w:rFonts w:hint="eastAsia" w:ascii="楷体" w:hAnsi="楷体" w:eastAsia="楷体" w:cs="楷体"/>
          <w:color w:val="000000" w:themeColor="text1"/>
          <w:kern w:val="2"/>
          <w:lang w:bidi="ar"/>
          <w14:textFill>
            <w14:solidFill>
              <w14:schemeClr w14:val="tx1"/>
            </w14:solidFill>
          </w14:textFill>
        </w:rPr>
        <w:t>块宣传位。</w:t>
      </w:r>
    </w:p>
    <w:p>
      <w:pPr>
        <w:spacing w:line="360" w:lineRule="auto"/>
        <w:ind w:firstLine="480" w:firstLineChars="200"/>
        <w:rPr>
          <w:rFonts w:ascii="楷体" w:hAnsi="楷体" w:eastAsia="楷体" w:cs="楷体"/>
          <w:color w:val="000000" w:themeColor="text1"/>
          <w:kern w:val="2"/>
          <w:lang w:bidi="ar"/>
          <w14:textFill>
            <w14:solidFill>
              <w14:schemeClr w14:val="tx1"/>
            </w14:solidFill>
          </w14:textFill>
        </w:rPr>
      </w:pPr>
      <w:r>
        <w:rPr>
          <w:rFonts w:hint="eastAsia" w:ascii="楷体" w:hAnsi="楷体" w:eastAsia="楷体" w:cs="楷体"/>
          <w:color w:val="000000" w:themeColor="text1"/>
          <w:kern w:val="2"/>
          <w:lang w:eastAsia="zh-CN" w:bidi="ar"/>
          <w14:textFill>
            <w14:solidFill>
              <w14:schemeClr w14:val="tx1"/>
            </w14:solidFill>
          </w14:textFill>
        </w:rPr>
        <w:t>前锋区</w:t>
      </w:r>
      <w:r>
        <w:rPr>
          <w:rFonts w:hint="eastAsia" w:ascii="楷体" w:hAnsi="楷体" w:eastAsia="楷体" w:cs="楷体"/>
          <w:color w:val="000000" w:themeColor="text1"/>
          <w:kern w:val="2"/>
          <w:lang w:bidi="ar"/>
          <w14:textFill>
            <w14:solidFill>
              <w14:schemeClr w14:val="tx1"/>
            </w14:solidFill>
          </w14:textFill>
        </w:rPr>
        <w:t>支公司计划根据实际情况选取有效路段进行投放，单价为1200元/块/月（含制作、安装、维护费），画面材质及规格为3.5M*1.5M双面530g高精度喷绘，总费用预计48万元。</w:t>
      </w:r>
    </w:p>
    <w:p>
      <w:pPr>
        <w:spacing w:line="360" w:lineRule="auto"/>
        <w:ind w:firstLine="480" w:firstLineChars="200"/>
        <w:rPr>
          <w:rFonts w:ascii="楷体" w:hAnsi="楷体" w:eastAsia="楷体" w:cs="楷体"/>
          <w:color w:val="000000" w:themeColor="text1"/>
          <w:kern w:val="2"/>
          <w:lang w:bidi="ar"/>
          <w14:textFill>
            <w14:solidFill>
              <w14:schemeClr w14:val="tx1"/>
            </w14:solidFill>
          </w14:textFill>
        </w:rPr>
      </w:pPr>
      <w:r>
        <w:rPr>
          <w:rFonts w:hint="eastAsia" w:ascii="楷体" w:hAnsi="楷体" w:eastAsia="楷体" w:cs="楷体"/>
          <w:color w:val="000000" w:themeColor="text1"/>
          <w:kern w:val="2"/>
          <w:lang w:bidi="ar"/>
          <w14:textFill>
            <w14:solidFill>
              <w14:schemeClr w14:val="tx1"/>
            </w14:solidFill>
          </w14:textFill>
        </w:rPr>
        <w:t>供应商需取得授权，并按采购方指定时间、地点完成宣传牌安装，确保安装位置合规、牢固，投放前提供安装点位清单及现场照片、视频确认；投放期间定期巡检（每月至少1次），及时修复脱落、破损、褪色等问题，保障宣传效果。</w:t>
      </w:r>
    </w:p>
    <w:p>
      <w:pPr>
        <w:pStyle w:val="2"/>
        <w:ind w:left="480" w:leftChars="200"/>
        <w:rPr>
          <w:rFonts w:ascii="楷体" w:hAnsi="楷体" w:eastAsia="楷体"/>
          <w:color w:val="000000" w:themeColor="text1"/>
          <w14:textFill>
            <w14:solidFill>
              <w14:schemeClr w14:val="tx1"/>
            </w14:solidFill>
          </w14:textFill>
        </w:rPr>
      </w:pPr>
    </w:p>
    <w:p>
      <w:pPr>
        <w:pStyle w:val="2"/>
        <w:rPr>
          <w:rFonts w:ascii="楷体" w:hAnsi="楷体" w:eastAsia="楷体"/>
          <w:color w:val="000000" w:themeColor="text1"/>
          <w14:textFill>
            <w14:solidFill>
              <w14:schemeClr w14:val="tx1"/>
            </w14:solidFill>
          </w14:textFill>
        </w:rPr>
      </w:pPr>
      <w:r>
        <w:rPr>
          <w:rFonts w:hint="eastAsia" w:ascii="楷体" w:hAnsi="楷体" w:eastAsia="楷体"/>
          <w:color w:val="000000" w:themeColor="text1"/>
          <w14:textFill>
            <w14:solidFill>
              <w14:schemeClr w14:val="tx1"/>
            </w14:solidFill>
          </w14:textFill>
        </w:rPr>
        <w:t xml:space="preserve"> </w:t>
      </w:r>
      <w:r>
        <w:rPr>
          <w:rFonts w:ascii="楷体" w:hAnsi="楷体" w:eastAsia="楷体"/>
          <w:color w:val="000000" w:themeColor="text1"/>
          <w14:textFill>
            <w14:solidFill>
              <w14:schemeClr w14:val="tx1"/>
            </w14:solidFill>
          </w14:textFill>
        </w:rPr>
        <w:t xml:space="preserve">   </w:t>
      </w:r>
    </w:p>
    <w:p>
      <w:pPr>
        <w:rPr>
          <w:rFonts w:ascii="楷体" w:hAnsi="楷体" w:eastAsia="楷体"/>
          <w:color w:val="000000" w:themeColor="text1"/>
          <w14:textFill>
            <w14:solidFill>
              <w14:schemeClr w14:val="tx1"/>
            </w14:solidFill>
          </w14:textFill>
        </w:rPr>
      </w:pPr>
    </w:p>
    <w:p>
      <w:pPr>
        <w:pStyle w:val="2"/>
        <w:rPr>
          <w:rFonts w:ascii="楷体" w:hAnsi="楷体" w:eastAsia="楷体"/>
          <w:color w:val="000000" w:themeColor="text1"/>
          <w14:textFill>
            <w14:solidFill>
              <w14:schemeClr w14:val="tx1"/>
            </w14:solidFill>
          </w14:textFill>
        </w:rPr>
      </w:pPr>
    </w:p>
    <w:p>
      <w:pPr>
        <w:pStyle w:val="2"/>
        <w:rPr>
          <w:rFonts w:ascii="楷体" w:hAnsi="楷体" w:eastAsia="楷体"/>
          <w:color w:val="000000" w:themeColor="text1"/>
          <w14:textFill>
            <w14:solidFill>
              <w14:schemeClr w14:val="tx1"/>
            </w14:solidFill>
          </w14:textFill>
        </w:rPr>
      </w:pPr>
    </w:p>
    <w:p>
      <w:pPr>
        <w:pStyle w:val="2"/>
        <w:rPr>
          <w:rFonts w:ascii="楷体" w:hAnsi="楷体" w:eastAsia="楷体"/>
          <w:color w:val="000000" w:themeColor="text1"/>
          <w14:textFill>
            <w14:solidFill>
              <w14:schemeClr w14:val="tx1"/>
            </w14:solidFill>
          </w14:textFill>
        </w:rPr>
      </w:pPr>
    </w:p>
    <w:p>
      <w:pPr>
        <w:pStyle w:val="2"/>
        <w:rPr>
          <w:rFonts w:ascii="楷体" w:hAnsi="楷体" w:eastAsia="楷体"/>
          <w:color w:val="000000" w:themeColor="text1"/>
          <w14:textFill>
            <w14:solidFill>
              <w14:schemeClr w14:val="tx1"/>
            </w14:solidFill>
          </w14:textFill>
        </w:rPr>
      </w:pPr>
    </w:p>
    <w:p>
      <w:pPr>
        <w:pStyle w:val="2"/>
        <w:rPr>
          <w:rFonts w:ascii="楷体" w:hAnsi="楷体" w:eastAsia="楷体"/>
          <w:color w:val="000000" w:themeColor="text1"/>
          <w14:textFill>
            <w14:solidFill>
              <w14:schemeClr w14:val="tx1"/>
            </w14:solidFill>
          </w14:textFill>
        </w:rPr>
      </w:pPr>
    </w:p>
    <w:p>
      <w:pPr>
        <w:pStyle w:val="3"/>
        <w:spacing w:before="0" w:after="0"/>
        <w:jc w:val="left"/>
        <w:rPr>
          <w:rFonts w:ascii="仿宋" w:hAnsi="仿宋" w:eastAsia="仿宋" w:cs="仿宋"/>
          <w:color w:val="000000" w:themeColor="text1"/>
          <w:sz w:val="28"/>
          <w:szCs w:val="28"/>
          <w14:textFill>
            <w14:solidFill>
              <w14:schemeClr w14:val="tx1"/>
            </w14:solidFill>
          </w14:textFill>
        </w:rPr>
      </w:pPr>
      <w:bookmarkStart w:id="134" w:name="_Toc3675"/>
      <w:bookmarkStart w:id="135" w:name="_Toc16519"/>
      <w:bookmarkStart w:id="136" w:name="_Toc9891"/>
      <w:r>
        <w:rPr>
          <w:rFonts w:hint="eastAsia" w:ascii="仿宋" w:hAnsi="仿宋" w:eastAsia="仿宋" w:cs="仿宋"/>
          <w:color w:val="000000" w:themeColor="text1"/>
          <w:sz w:val="28"/>
          <w:szCs w:val="28"/>
          <w14:textFill>
            <w14:solidFill>
              <w14:schemeClr w14:val="tx1"/>
            </w14:solidFill>
          </w14:textFill>
        </w:rPr>
        <w:t>第六章 响应文件格式</w:t>
      </w:r>
      <w:bookmarkEnd w:id="134"/>
      <w:bookmarkEnd w:id="135"/>
    </w:p>
    <w:p>
      <w:pPr>
        <w:spacing w:line="360" w:lineRule="auto"/>
        <w:rPr>
          <w:rFonts w:ascii="仿宋" w:hAnsi="仿宋" w:eastAsia="仿宋" w:cs="仿宋"/>
          <w:b/>
          <w:color w:val="000000" w:themeColor="text1"/>
          <w14:textFill>
            <w14:solidFill>
              <w14:schemeClr w14:val="tx1"/>
            </w14:solidFill>
          </w14:textFill>
        </w:rPr>
      </w:pPr>
      <w:r>
        <w:rPr>
          <w:rFonts w:hint="eastAsia" w:ascii="仿宋" w:hAnsi="仿宋" w:eastAsia="仿宋" w:cs="宋体"/>
          <w:b/>
          <w:color w:val="000000" w:themeColor="text1"/>
          <w14:textFill>
            <w14:solidFill>
              <w14:schemeClr w14:val="tx1"/>
            </w14:solidFill>
          </w14:textFill>
        </w:rPr>
        <w:t>封面格式</w:t>
      </w:r>
    </w:p>
    <w:tbl>
      <w:tblPr>
        <w:tblStyle w:val="29"/>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ascii="仿宋" w:hAnsi="仿宋" w:eastAsia="仿宋" w:cs="仿宋"/>
                <w:color w:val="000000" w:themeColor="text1"/>
                <w:sz w:val="32"/>
                <w14:textFill>
                  <w14:solidFill>
                    <w14:schemeClr w14:val="tx1"/>
                  </w14:solidFill>
                </w14:textFill>
              </w:rPr>
            </w:pPr>
            <w:r>
              <w:rPr>
                <w:rFonts w:hint="eastAsia" w:ascii="仿宋" w:hAnsi="仿宋" w:eastAsia="仿宋" w:cs="仿宋"/>
                <w:color w:val="000000" w:themeColor="text1"/>
                <w:sz w:val="32"/>
                <w14:textFill>
                  <w14:solidFill>
                    <w14:schemeClr w14:val="tx1"/>
                  </w14:solidFill>
                </w14:textFill>
              </w:rPr>
              <w:t>正本/副本</w:t>
            </w:r>
          </w:p>
          <w:p>
            <w:pPr>
              <w:pStyle w:val="61"/>
              <w:ind w:right="-284"/>
              <w:jc w:val="center"/>
              <w:rPr>
                <w:rFonts w:hint="eastAsia" w:ascii="仿宋" w:hAnsi="仿宋" w:eastAsia="仿宋" w:cs="仿宋"/>
                <w:color w:val="000000" w:themeColor="text1"/>
                <w:sz w:val="28"/>
                <w:u w:val="single"/>
                <w:lang w:eastAsia="zh-CN"/>
                <w14:textFill>
                  <w14:solidFill>
                    <w14:schemeClr w14:val="tx1"/>
                  </w14:solidFill>
                </w14:textFill>
              </w:rPr>
            </w:pPr>
            <w:r>
              <w:rPr>
                <w:rFonts w:hint="eastAsia" w:ascii="仿宋" w:hAnsi="仿宋" w:eastAsia="仿宋" w:cs="仿宋"/>
                <w:color w:val="000000" w:themeColor="text1"/>
                <w:sz w:val="32"/>
                <w:lang w:eastAsia="zh-CN"/>
                <w14:textFill>
                  <w14:solidFill>
                    <w14:schemeClr w14:val="tx1"/>
                  </w14:solidFill>
                </w14:textFill>
              </w:rPr>
              <w:t>人保财险四川省广安市分公司前锋区公交站台宣传服务采购项目</w:t>
            </w:r>
          </w:p>
          <w:p>
            <w:pPr>
              <w:pStyle w:val="61"/>
              <w:spacing w:before="624" w:after="156" w:line="160" w:lineRule="atLeast"/>
              <w:ind w:right="-284"/>
              <w:jc w:val="center"/>
              <w:rPr>
                <w:rFonts w:ascii="仿宋" w:hAnsi="仿宋" w:eastAsia="仿宋" w:cs="仿宋"/>
                <w:color w:val="000000" w:themeColor="text1"/>
                <w:sz w:val="52"/>
                <w14:textFill>
                  <w14:solidFill>
                    <w14:schemeClr w14:val="tx1"/>
                  </w14:solidFill>
                </w14:textFill>
              </w:rPr>
            </w:pPr>
            <w:r>
              <w:rPr>
                <w:rFonts w:hint="eastAsia" w:ascii="仿宋" w:hAnsi="仿宋" w:eastAsia="仿宋" w:cs="仿宋"/>
                <w:color w:val="000000" w:themeColor="text1"/>
                <w:sz w:val="52"/>
                <w14:textFill>
                  <w14:solidFill>
                    <w14:schemeClr w14:val="tx1"/>
                  </w14:solidFill>
                </w14:textFill>
              </w:rPr>
              <w:t>比价响应文件</w:t>
            </w:r>
          </w:p>
          <w:p>
            <w:pPr>
              <w:pStyle w:val="61"/>
              <w:spacing w:before="624" w:after="156" w:line="160" w:lineRule="atLeast"/>
              <w:ind w:right="-284"/>
              <w:jc w:val="center"/>
              <w:rPr>
                <w:rFonts w:ascii="仿宋" w:hAnsi="仿宋" w:eastAsia="仿宋" w:cs="仿宋"/>
                <w:color w:val="000000" w:themeColor="text1"/>
                <w:sz w:val="52"/>
                <w14:textFill>
                  <w14:solidFill>
                    <w14:schemeClr w14:val="tx1"/>
                  </w14:solidFill>
                </w14:textFill>
              </w:rPr>
            </w:pPr>
          </w:p>
          <w:p>
            <w:pPr>
              <w:pStyle w:val="61"/>
              <w:spacing w:before="624" w:after="156" w:line="240" w:lineRule="atLeast"/>
              <w:jc w:val="center"/>
              <w:rPr>
                <w:rFonts w:ascii="仿宋" w:hAnsi="仿宋" w:eastAsia="仿宋" w:cs="仿宋"/>
                <w:color w:val="000000" w:themeColor="text1"/>
                <w:sz w:val="40"/>
                <w14:textFill>
                  <w14:solidFill>
                    <w14:schemeClr w14:val="tx1"/>
                  </w14:solidFill>
                </w14:textFill>
              </w:rPr>
            </w:pPr>
            <w:r>
              <w:rPr>
                <w:rFonts w:hint="eastAsia" w:ascii="仿宋" w:hAnsi="仿宋" w:eastAsia="仿宋" w:cs="仿宋"/>
                <w:color w:val="000000" w:themeColor="text1"/>
                <w:sz w:val="40"/>
                <w14:textFill>
                  <w14:solidFill>
                    <w14:schemeClr w14:val="tx1"/>
                  </w14:solidFill>
                </w14:textFill>
              </w:rPr>
              <w:t>（商务文件/报价文件）</w:t>
            </w:r>
          </w:p>
          <w:p>
            <w:pPr>
              <w:pStyle w:val="61"/>
              <w:spacing w:before="1560" w:line="400" w:lineRule="atLeast"/>
              <w:ind w:right="-284" w:firstLine="2520" w:firstLineChars="105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供应商：</w:t>
            </w:r>
            <w:r>
              <w:rPr>
                <w:rFonts w:hint="eastAsia" w:ascii="仿宋" w:hAnsi="仿宋" w:eastAsia="仿宋" w:cs="仿宋"/>
                <w:color w:val="000000" w:themeColor="text1"/>
                <w:sz w:val="24"/>
                <w:u w:val="single"/>
                <w14:textFill>
                  <w14:solidFill>
                    <w14:schemeClr w14:val="tx1"/>
                  </w14:solidFill>
                </w14:textFill>
              </w:rPr>
              <w:t>（盖章）</w:t>
            </w:r>
          </w:p>
          <w:p>
            <w:pPr>
              <w:pStyle w:val="61"/>
              <w:spacing w:after="156" w:line="400" w:lineRule="atLeast"/>
              <w:ind w:right="-284"/>
              <w:jc w:val="center"/>
              <w:rPr>
                <w:rFonts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法定代表人或其委托的代理人：（签字或盖章）</w:t>
            </w:r>
          </w:p>
          <w:p>
            <w:pPr>
              <w:pStyle w:val="61"/>
              <w:spacing w:after="624"/>
              <w:ind w:right="-284"/>
              <w:jc w:val="center"/>
              <w:rPr>
                <w:rFonts w:ascii="仿宋" w:hAnsi="仿宋" w:eastAsia="仿宋" w:cs="仿宋"/>
                <w:color w:val="000000" w:themeColor="text1"/>
                <w:sz w:val="24"/>
                <w14:textFill>
                  <w14:solidFill>
                    <w14:schemeClr w14:val="tx1"/>
                  </w14:solidFill>
                </w14:textFill>
              </w:rPr>
            </w:pPr>
          </w:p>
          <w:p>
            <w:pPr>
              <w:pStyle w:val="61"/>
              <w:spacing w:after="624"/>
              <w:ind w:right="-284"/>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年     月      日</w:t>
            </w:r>
          </w:p>
        </w:tc>
      </w:tr>
    </w:tbl>
    <w:p>
      <w:pPr>
        <w:spacing w:line="360" w:lineRule="auto"/>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格式：封口</w:t>
      </w:r>
    </w:p>
    <w:tbl>
      <w:tblPr>
        <w:tblStyle w:val="2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-------------于年月日时分之前不准启封（公章）------------</w:t>
            </w:r>
          </w:p>
        </w:tc>
      </w:tr>
    </w:tbl>
    <w:p>
      <w:pPr>
        <w:rPr>
          <w:rFonts w:ascii="仿宋" w:hAnsi="仿宋" w:eastAsia="仿宋" w:cs="仿宋"/>
          <w:color w:val="000000" w:themeColor="text1"/>
          <w:szCs w:val="21"/>
          <w14:textFill>
            <w14:solidFill>
              <w14:schemeClr w14:val="tx1"/>
            </w14:solidFill>
          </w14:textFill>
        </w:rPr>
      </w:pPr>
    </w:p>
    <w:p>
      <w:pPr>
        <w:pStyle w:val="4"/>
        <w:jc w:val="both"/>
        <w:rPr>
          <w:rFonts w:ascii="仿宋" w:hAnsi="仿宋" w:eastAsia="仿宋" w:cs="仿宋"/>
          <w:color w:val="000000" w:themeColor="text1"/>
          <w:sz w:val="24"/>
          <w:szCs w:val="24"/>
          <w14:textFill>
            <w14:solidFill>
              <w14:schemeClr w14:val="tx1"/>
            </w14:solidFill>
          </w14:textFill>
        </w:rPr>
      </w:pPr>
      <w:bookmarkStart w:id="137" w:name="_Toc3936"/>
      <w:bookmarkStart w:id="138" w:name="_Toc11783"/>
      <w:bookmarkStart w:id="139" w:name="_Toc21280"/>
      <w:bookmarkStart w:id="140" w:name="_Toc25957"/>
      <w:bookmarkStart w:id="141" w:name="_Toc287600131"/>
      <w:bookmarkStart w:id="142" w:name="_Toc444891353"/>
      <w:bookmarkStart w:id="143" w:name="_Toc19783362"/>
      <w:bookmarkStart w:id="144" w:name="_Toc517281836"/>
      <w:bookmarkStart w:id="145" w:name="_Toc19910"/>
      <w:bookmarkStart w:id="146" w:name="_Toc287600129"/>
      <w:bookmarkStart w:id="147" w:name="_Toc19783360"/>
      <w:r>
        <w:rPr>
          <w:rFonts w:ascii="仿宋" w:hAnsi="仿宋" w:eastAsia="仿宋" w:cs="仿宋"/>
          <w:color w:val="000000" w:themeColor="text1"/>
          <w:sz w:val="24"/>
          <w:szCs w:val="24"/>
          <w14:textFill>
            <w14:solidFill>
              <w14:schemeClr w14:val="tx1"/>
            </w14:solidFill>
          </w14:textFill>
        </w:rPr>
        <w:br w:type="page"/>
      </w:r>
      <w:bookmarkStart w:id="148" w:name="_Toc4823"/>
      <w:bookmarkStart w:id="149" w:name="_Toc17191"/>
      <w:r>
        <w:rPr>
          <w:rFonts w:hint="eastAsia" w:ascii="仿宋" w:hAnsi="仿宋" w:eastAsia="仿宋" w:cs="仿宋"/>
          <w:color w:val="000000" w:themeColor="text1"/>
          <w:sz w:val="24"/>
          <w:szCs w:val="24"/>
          <w14:textFill>
            <w14:solidFill>
              <w14:schemeClr w14:val="tx1"/>
            </w14:solidFill>
          </w14:textFill>
        </w:rPr>
        <w:t>一、商务文件</w:t>
      </w:r>
      <w:bookmarkEnd w:id="137"/>
      <w:bookmarkEnd w:id="148"/>
      <w:bookmarkEnd w:id="149"/>
    </w:p>
    <w:p>
      <w:pPr>
        <w:jc w:val="center"/>
        <w:rPr>
          <w:color w:val="000000" w:themeColor="text1"/>
          <w14:textFill>
            <w14:solidFill>
              <w14:schemeClr w14:val="tx1"/>
            </w14:solidFill>
          </w14:textFill>
        </w:rPr>
      </w:pPr>
      <w:bookmarkStart w:id="150" w:name="_Toc26744"/>
      <w:r>
        <w:rPr>
          <w:rFonts w:hint="eastAsia" w:ascii="仿宋" w:hAnsi="仿宋" w:eastAsia="仿宋" w:cs="仿宋"/>
          <w:b/>
          <w:bCs/>
          <w:color w:val="000000" w:themeColor="text1"/>
          <w14:textFill>
            <w14:solidFill>
              <w14:schemeClr w14:val="tx1"/>
            </w14:solidFill>
          </w14:textFill>
        </w:rPr>
        <w:t>初步评审索引表</w:t>
      </w:r>
      <w:bookmarkEnd w:id="150"/>
    </w:p>
    <w:tbl>
      <w:tblPr>
        <w:tblStyle w:val="29"/>
        <w:tblW w:w="5089"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8"/>
        <w:gridCol w:w="4215"/>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序号</w:t>
            </w:r>
          </w:p>
        </w:tc>
        <w:tc>
          <w:tcPr>
            <w:tcW w:w="1701" w:type="dxa"/>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评审环节</w:t>
            </w:r>
          </w:p>
        </w:tc>
        <w:tc>
          <w:tcPr>
            <w:tcW w:w="3299" w:type="dxa"/>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评审因素</w:t>
            </w:r>
          </w:p>
        </w:tc>
        <w:tc>
          <w:tcPr>
            <w:tcW w:w="4216" w:type="dxa"/>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w:t>
            </w:r>
          </w:p>
        </w:tc>
        <w:tc>
          <w:tcPr>
            <w:tcW w:w="1701" w:type="dxa"/>
            <w:vMerge w:val="restart"/>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形式评审标准</w:t>
            </w:r>
          </w:p>
        </w:tc>
        <w:tc>
          <w:tcPr>
            <w:tcW w:w="3299" w:type="dxa"/>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供应商名称</w:t>
            </w:r>
          </w:p>
        </w:tc>
        <w:tc>
          <w:tcPr>
            <w:tcW w:w="4216"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299" w:type="dxa"/>
            <w:vAlign w:val="center"/>
          </w:tcPr>
          <w:p>
            <w:pPr>
              <w:spacing w:before="24" w:after="24" w:line="276"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法定代表人（负责人）身份证明</w:t>
            </w:r>
          </w:p>
        </w:tc>
        <w:tc>
          <w:tcPr>
            <w:tcW w:w="4216" w:type="dxa"/>
            <w:vAlign w:val="center"/>
          </w:tcPr>
          <w:p>
            <w:pPr>
              <w:pStyle w:val="72"/>
              <w:tabs>
                <w:tab w:val="left" w:pos="630"/>
              </w:tabs>
              <w:topLinePunct/>
              <w:spacing w:before="48" w:beforeLines="20" w:after="48" w:afterLines="20"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299" w:type="dxa"/>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法定代表人（负责人）授权委托书</w:t>
            </w:r>
          </w:p>
        </w:tc>
        <w:tc>
          <w:tcPr>
            <w:tcW w:w="4216" w:type="dxa"/>
            <w:vAlign w:val="center"/>
          </w:tcPr>
          <w:p>
            <w:pPr>
              <w:pStyle w:val="72"/>
              <w:tabs>
                <w:tab w:val="left" w:pos="630"/>
              </w:tabs>
              <w:topLinePunct/>
              <w:spacing w:before="48" w:beforeLines="20" w:after="48" w:afterLines="20"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299" w:type="dxa"/>
            <w:vAlign w:val="center"/>
          </w:tcPr>
          <w:p>
            <w:pPr>
              <w:spacing w:before="24" w:after="24" w:line="276" w:lineRule="auto"/>
              <w:jc w:val="center"/>
              <w:rPr>
                <w:rFonts w:ascii="仿宋" w:hAnsi="仿宋" w:eastAsia="仿宋" w:cs="宋体"/>
                <w:color w:val="000000" w:themeColor="text1"/>
                <w:spacing w:val="-4"/>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响应文件签字或盖章</w:t>
            </w:r>
          </w:p>
        </w:tc>
        <w:tc>
          <w:tcPr>
            <w:tcW w:w="4216" w:type="dxa"/>
            <w:vAlign w:val="center"/>
          </w:tcPr>
          <w:p>
            <w:pPr>
              <w:pStyle w:val="61"/>
              <w:spacing w:before="48" w:beforeLines="20" w:after="48" w:afterLines="20" w:line="276" w:lineRule="auto"/>
              <w:rPr>
                <w:rFonts w:ascii="仿宋" w:hAnsi="仿宋" w:eastAsia="仿宋" w:cs="仿宋"/>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2</w:t>
            </w:r>
          </w:p>
        </w:tc>
        <w:tc>
          <w:tcPr>
            <w:tcW w:w="1701" w:type="dxa"/>
            <w:vMerge w:val="restart"/>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资格评审标准</w:t>
            </w:r>
          </w:p>
        </w:tc>
        <w:tc>
          <w:tcPr>
            <w:tcW w:w="3299" w:type="dxa"/>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 w:val="22"/>
                <w:szCs w:val="21"/>
                <w14:textFill>
                  <w14:solidFill>
                    <w14:schemeClr w14:val="tx1"/>
                  </w14:solidFill>
                </w14:textFill>
              </w:rPr>
              <w:t>具有独立承担民事责任的能力</w:t>
            </w:r>
          </w:p>
        </w:tc>
        <w:tc>
          <w:tcPr>
            <w:tcW w:w="4216"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299" w:type="dxa"/>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Monaco"/>
                <w:color w:val="000000" w:themeColor="text1"/>
                <w:sz w:val="22"/>
                <w:szCs w:val="21"/>
                <w14:textFill>
                  <w14:solidFill>
                    <w14:schemeClr w14:val="tx1"/>
                  </w14:solidFill>
                </w14:textFill>
              </w:rPr>
              <w:t>供应商应具有履行合同所必需的设备和专业技术能力</w:t>
            </w:r>
          </w:p>
        </w:tc>
        <w:tc>
          <w:tcPr>
            <w:tcW w:w="4216"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299" w:type="dxa"/>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近三年内无违法违规记录</w:t>
            </w:r>
          </w:p>
        </w:tc>
        <w:tc>
          <w:tcPr>
            <w:tcW w:w="4216"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299" w:type="dxa"/>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未被纳入采购人及其所隶属的中国人民保险各级机构的供应商黑名单</w:t>
            </w:r>
          </w:p>
        </w:tc>
        <w:tc>
          <w:tcPr>
            <w:tcW w:w="4216"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299" w:type="dxa"/>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控股管理关系</w:t>
            </w:r>
          </w:p>
        </w:tc>
        <w:tc>
          <w:tcPr>
            <w:tcW w:w="4216"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299" w:type="dxa"/>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非联合体投标</w:t>
            </w:r>
          </w:p>
        </w:tc>
        <w:tc>
          <w:tcPr>
            <w:tcW w:w="4216"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3</w:t>
            </w:r>
          </w:p>
        </w:tc>
        <w:tc>
          <w:tcPr>
            <w:tcW w:w="1701" w:type="dxa"/>
            <w:vMerge w:val="restart"/>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响应性评审标准</w:t>
            </w:r>
          </w:p>
        </w:tc>
        <w:tc>
          <w:tcPr>
            <w:tcW w:w="3299" w:type="dxa"/>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响应函</w:t>
            </w:r>
          </w:p>
        </w:tc>
        <w:tc>
          <w:tcPr>
            <w:tcW w:w="4216"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299" w:type="dxa"/>
            <w:vAlign w:val="center"/>
          </w:tcPr>
          <w:p>
            <w:pPr>
              <w:spacing w:before="24" w:after="24" w:line="276"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供应商行为准则承诺书</w:t>
            </w:r>
          </w:p>
        </w:tc>
        <w:tc>
          <w:tcPr>
            <w:tcW w:w="4216"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299" w:type="dxa"/>
            <w:vAlign w:val="center"/>
          </w:tcPr>
          <w:p>
            <w:pPr>
              <w:spacing w:before="24" w:after="24" w:line="276"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供应商廉洁诚信承诺书</w:t>
            </w:r>
          </w:p>
        </w:tc>
        <w:tc>
          <w:tcPr>
            <w:tcW w:w="4216"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299" w:type="dxa"/>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供应商偏离应答</w:t>
            </w:r>
          </w:p>
        </w:tc>
        <w:tc>
          <w:tcPr>
            <w:tcW w:w="4216"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bl>
    <w:p>
      <w:pPr>
        <w:rPr>
          <w:rFonts w:ascii="宋体" w:hAnsi="宋体"/>
          <w:color w:val="000000" w:themeColor="text1"/>
          <w:szCs w:val="21"/>
          <w14:textFill>
            <w14:solidFill>
              <w14:schemeClr w14:val="tx1"/>
            </w14:solidFill>
          </w14:textFill>
        </w:rPr>
        <w:sectPr>
          <w:footerReference r:id="rId8" w:type="default"/>
          <w:pgSz w:w="11906" w:h="16838"/>
          <w:pgMar w:top="1417" w:right="1134" w:bottom="1134" w:left="1134" w:header="964" w:footer="964" w:gutter="0"/>
          <w:cols w:space="720" w:num="1"/>
          <w:docGrid w:linePitch="312" w:charSpace="0"/>
        </w:sectPr>
      </w:pPr>
    </w:p>
    <w:bookmarkEnd w:id="138"/>
    <w:bookmarkEnd w:id="139"/>
    <w:bookmarkEnd w:id="140"/>
    <w:bookmarkEnd w:id="141"/>
    <w:bookmarkEnd w:id="142"/>
    <w:bookmarkEnd w:id="143"/>
    <w:bookmarkEnd w:id="144"/>
    <w:bookmarkEnd w:id="145"/>
    <w:p>
      <w:pPr>
        <w:pStyle w:val="5"/>
        <w:spacing w:before="0" w:line="440" w:lineRule="exact"/>
        <w:rPr>
          <w:rFonts w:ascii="仿宋" w:hAnsi="仿宋" w:eastAsia="仿宋" w:cs="仿宋"/>
          <w:color w:val="000000" w:themeColor="text1"/>
          <w:sz w:val="24"/>
          <w:szCs w:val="24"/>
          <w14:textFill>
            <w14:solidFill>
              <w14:schemeClr w14:val="tx1"/>
            </w14:solidFill>
          </w14:textFill>
        </w:rPr>
      </w:pPr>
      <w:bookmarkStart w:id="151" w:name="_Toc27958"/>
      <w:bookmarkStart w:id="152" w:name="_Toc20400"/>
      <w:bookmarkStart w:id="153" w:name="_Toc7202"/>
      <w:bookmarkStart w:id="154" w:name="_Toc444891354"/>
      <w:bookmarkStart w:id="155" w:name="_Toc25121"/>
      <w:bookmarkStart w:id="156" w:name="_Toc12140"/>
      <w:bookmarkStart w:id="157" w:name="_Toc27799"/>
      <w:bookmarkStart w:id="158" w:name="_Toc517281837"/>
      <w:r>
        <w:rPr>
          <w:rFonts w:hint="eastAsia" w:ascii="仿宋" w:hAnsi="仿宋" w:eastAsia="仿宋" w:cs="仿宋"/>
          <w:color w:val="000000" w:themeColor="text1"/>
          <w:sz w:val="24"/>
          <w:szCs w:val="24"/>
          <w14:textFill>
            <w14:solidFill>
              <w14:schemeClr w14:val="tx1"/>
            </w14:solidFill>
          </w14:textFill>
        </w:rPr>
        <w:t>（一）响应函</w:t>
      </w:r>
      <w:bookmarkEnd w:id="151"/>
      <w:bookmarkEnd w:id="152"/>
    </w:p>
    <w:p>
      <w:pPr>
        <w:pStyle w:val="61"/>
        <w:spacing w:line="440" w:lineRule="exact"/>
        <w:rPr>
          <w:rFonts w:ascii="仿宋" w:hAnsi="仿宋" w:eastAsia="仿宋" w:cs="Cambria Math"/>
          <w:color w:val="000000" w:themeColor="text1"/>
          <w:sz w:val="24"/>
          <w:szCs w:val="24"/>
          <w:u w:val="single"/>
          <w14:textFill>
            <w14:solidFill>
              <w14:schemeClr w14:val="tx1"/>
            </w14:solidFill>
          </w14:textFill>
        </w:rPr>
      </w:pPr>
      <w:r>
        <w:rPr>
          <w:rFonts w:hint="eastAsia" w:ascii="仿宋" w:hAnsi="仿宋" w:eastAsia="仿宋" w:cs="Cambria Math"/>
          <w:color w:val="000000" w:themeColor="text1"/>
          <w:sz w:val="24"/>
          <w:szCs w:val="24"/>
          <w:u w:val="single"/>
          <w14:textFill>
            <w14:solidFill>
              <w14:schemeClr w14:val="tx1"/>
            </w14:solidFill>
          </w14:textFill>
        </w:rPr>
        <w:t xml:space="preserve">致：中国人民财产保险股份有限公司广安市分公司     </w:t>
      </w:r>
    </w:p>
    <w:p>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u w:val="single"/>
          <w14:textFill>
            <w14:solidFill>
              <w14:schemeClr w14:val="tx1"/>
            </w14:solidFill>
          </w14:textFill>
        </w:rPr>
        <w:t xml:space="preserve">   （供应商名称）   </w:t>
      </w:r>
      <w:r>
        <w:rPr>
          <w:rFonts w:hint="eastAsia" w:ascii="仿宋" w:hAnsi="仿宋" w:eastAsia="仿宋" w:cs="Cambria Math"/>
          <w:color w:val="000000" w:themeColor="text1"/>
          <w14:textFill>
            <w14:solidFill>
              <w14:schemeClr w14:val="tx1"/>
            </w14:solidFill>
          </w14:textFill>
        </w:rPr>
        <w:t>（以下称“我方”）已仔细研究了</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lang w:eastAsia="zh-CN"/>
          <w14:textFill>
            <w14:solidFill>
              <w14:schemeClr w14:val="tx1"/>
            </w14:solidFill>
          </w14:textFill>
        </w:rPr>
        <w:t>人保财险四川省广安市分公司前锋区公交站台宣传服务采购项目</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比价文件的全部内容，包括澄清或者修改文件以及有关附件，我方将严格按照比价文件要求递交符合要求的全部比价响应文件。</w:t>
      </w:r>
    </w:p>
    <w:p>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现我方承诺如下内容：</w:t>
      </w:r>
    </w:p>
    <w:p>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1. 本响应函及比价响应文件自比价响应文件提交截止日起有效期为</w:t>
      </w:r>
      <w:r>
        <w:rPr>
          <w:rFonts w:hint="eastAsia" w:ascii="仿宋" w:hAnsi="仿宋" w:eastAsia="仿宋" w:cs="Cambria Math"/>
          <w:color w:val="000000" w:themeColor="text1"/>
          <w:u w:val="single"/>
          <w14:textFill>
            <w14:solidFill>
              <w14:schemeClr w14:val="tx1"/>
            </w14:solidFill>
          </w14:textFill>
        </w:rPr>
        <w:t>30天</w:t>
      </w:r>
      <w:r>
        <w:rPr>
          <w:rFonts w:hint="eastAsia" w:ascii="仿宋" w:hAnsi="仿宋" w:eastAsia="仿宋" w:cs="Cambria Math"/>
          <w:color w:val="000000" w:themeColor="text1"/>
          <w14:textFill>
            <w14:solidFill>
              <w14:schemeClr w14:val="tx1"/>
            </w14:solidFill>
          </w14:textFill>
        </w:rPr>
        <w:t>，我方承诺在响应有效期内不修改、撤销比价响应文件。</w:t>
      </w:r>
    </w:p>
    <w:p>
      <w:pP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t>2</w:t>
      </w:r>
      <w:r>
        <w:rPr>
          <w:rFonts w:hint="eastAsia" w:ascii="仿宋" w:hAnsi="仿宋" w:eastAsia="仿宋" w:cs="Cambria Math"/>
          <w:color w:val="000000" w:themeColor="text1"/>
          <w14:textFill>
            <w14:solidFill>
              <w14:schemeClr w14:val="tx1"/>
            </w14:solidFill>
          </w14:textFill>
        </w:rPr>
        <w:t>. 我方承诺提供比价过程中可能要求的澄清、说明、补正或者算术性错误修正确认，并同意我方提供的以上材料构成我方响应文件的组成部分。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t>3</w:t>
      </w:r>
      <w:r>
        <w:rPr>
          <w:rFonts w:hint="eastAsia" w:ascii="仿宋" w:hAnsi="仿宋" w:eastAsia="仿宋" w:cs="Cambria Math"/>
          <w:color w:val="000000" w:themeColor="text1"/>
          <w14:textFill>
            <w14:solidFill>
              <w14:schemeClr w14:val="tx1"/>
            </w14:solidFill>
          </w14:textFill>
        </w:rPr>
        <w:t>. 我方同意提供贵方可能要求的与我方响应文件有关的一切数据、资料、证明原件、证件原件。</w:t>
      </w:r>
    </w:p>
    <w:p>
      <w:pP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t>4</w:t>
      </w:r>
      <w:r>
        <w:rPr>
          <w:rFonts w:hint="eastAsia" w:ascii="仿宋" w:hAnsi="仿宋" w:eastAsia="仿宋" w:cs="Cambria Math"/>
          <w:color w:val="000000" w:themeColor="text1"/>
          <w14:textFill>
            <w14:solidFill>
              <w14:schemeClr w14:val="tx1"/>
            </w14:solidFill>
          </w14:textFill>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5</w:t>
      </w:r>
      <w:r>
        <w:rPr>
          <w:rFonts w:hint="eastAsia" w:ascii="仿宋" w:hAnsi="仿宋" w:eastAsia="仿宋" w:cs="宋体"/>
          <w:color w:val="000000" w:themeColor="text1"/>
          <w14:textFill>
            <w14:solidFill>
              <w14:schemeClr w14:val="tx1"/>
            </w14:solidFill>
          </w14:textFill>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t>6</w:t>
      </w:r>
      <w:r>
        <w:rPr>
          <w:rFonts w:hint="eastAsia" w:ascii="仿宋" w:hAnsi="仿宋" w:eastAsia="仿宋" w:cs="Cambria Math"/>
          <w:color w:val="000000" w:themeColor="text1"/>
          <w14:textFill>
            <w14:solidFill>
              <w14:schemeClr w14:val="tx1"/>
            </w14:solidFill>
          </w14:textFill>
        </w:rPr>
        <w:t>. 如我方成交：</w:t>
      </w:r>
    </w:p>
    <w:p>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（1）我方承诺在收到成交通知书后，在成交通知书规定的期限内与贵方签订合同。</w:t>
      </w:r>
    </w:p>
    <w:p>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（2）我方承诺按照比价文件规定递交履约保证金。</w:t>
      </w:r>
    </w:p>
    <w:p>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（3）我方承诺按照比价文件的规定及合同约定履行相关责任和义务。</w:t>
      </w:r>
    </w:p>
    <w:p>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（4）我方在此承诺，双方合作后可开具增值税专用发票。</w:t>
      </w: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（盖章）</w:t>
      </w:r>
    </w:p>
    <w:p>
      <w:pPr>
        <w:spacing w:line="440" w:lineRule="exact"/>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日期：</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年</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日</w:t>
      </w:r>
    </w:p>
    <w:p>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br w:type="page"/>
      </w:r>
      <w:bookmarkEnd w:id="146"/>
      <w:bookmarkEnd w:id="147"/>
      <w:bookmarkEnd w:id="153"/>
      <w:bookmarkEnd w:id="154"/>
      <w:bookmarkEnd w:id="155"/>
      <w:bookmarkEnd w:id="156"/>
      <w:bookmarkEnd w:id="157"/>
      <w:bookmarkEnd w:id="158"/>
      <w:bookmarkStart w:id="159" w:name="_Toc13983"/>
      <w:bookmarkStart w:id="160" w:name="_Toc3642"/>
      <w:r>
        <w:rPr>
          <w:rFonts w:hint="eastAsia" w:ascii="仿宋" w:hAnsi="仿宋" w:eastAsia="仿宋" w:cs="仿宋"/>
          <w:color w:val="000000" w:themeColor="text1"/>
          <w:sz w:val="24"/>
          <w:szCs w:val="24"/>
          <w14:textFill>
            <w14:solidFill>
              <w14:schemeClr w14:val="tx1"/>
            </w14:solidFill>
          </w14:textFill>
        </w:rPr>
        <w:t>（二）法定代表人（负责人）身份证明书</w:t>
      </w:r>
      <w:bookmarkEnd w:id="159"/>
      <w:bookmarkEnd w:id="160"/>
      <w:r>
        <w:rPr>
          <w:rFonts w:hint="eastAsia" w:ascii="仿宋" w:hAnsi="仿宋" w:eastAsia="仿宋" w:cs="仿宋"/>
          <w:color w:val="000000" w:themeColor="text1"/>
          <w:sz w:val="24"/>
          <w:szCs w:val="24"/>
          <w14:textFill>
            <w14:solidFill>
              <w14:schemeClr w14:val="tx1"/>
            </w14:solidFill>
          </w14:textFill>
        </w:rPr>
        <w:tab/>
      </w:r>
    </w:p>
    <w:p>
      <w:pPr>
        <w:spacing w:line="360" w:lineRule="auto"/>
        <w:jc w:val="center"/>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法定代表人（负责人）身份证明书</w:t>
      </w:r>
      <w:r>
        <w:rPr>
          <w:rFonts w:hint="eastAsia" w:ascii="仿宋" w:hAnsi="仿宋" w:eastAsia="仿宋" w:cs="仿宋"/>
          <w:b/>
          <w:color w:val="000000" w:themeColor="text1"/>
          <w14:textFill>
            <w14:solidFill>
              <w14:schemeClr w14:val="tx1"/>
            </w14:solidFill>
          </w14:textFill>
        </w:rPr>
        <w:tab/>
      </w:r>
    </w:p>
    <w:p>
      <w:pPr>
        <w:spacing w:line="360" w:lineRule="auto"/>
        <w:rPr>
          <w:rFonts w:ascii="仿宋" w:hAnsi="仿宋" w:eastAsia="仿宋" w:cs="仿宋"/>
          <w:b/>
          <w:color w:val="000000" w:themeColor="text1"/>
          <w14:textFill>
            <w14:solidFill>
              <w14:schemeClr w14:val="tx1"/>
            </w14:solidFill>
          </w14:textFill>
        </w:rPr>
      </w:pPr>
    </w:p>
    <w:p>
      <w:pPr>
        <w:topLinePunct/>
        <w:spacing w:line="360" w:lineRule="auto"/>
        <w:rPr>
          <w:rFonts w:ascii="仿宋" w:hAnsi="仿宋" w:eastAsia="仿宋" w:cs="仿宋"/>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p>
    <w:p>
      <w:pPr>
        <w:topLinePunc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成立时间：</w:t>
      </w:r>
      <w:r>
        <w:rPr>
          <w:rFonts w:hint="eastAsia" w:ascii="仿宋" w:hAnsi="仿宋" w:eastAsia="仿宋" w:cs="仿宋"/>
          <w:color w:val="000000" w:themeColor="text1"/>
          <w:u w:val="single"/>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年</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日</w:t>
      </w:r>
    </w:p>
    <w:p>
      <w:pPr>
        <w:topLinePunct/>
        <w:spacing w:line="360" w:lineRule="auto"/>
        <w:rPr>
          <w:rFonts w:ascii="仿宋" w:hAnsi="仿宋" w:eastAsia="仿宋" w:cs="仿宋"/>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姓名：</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性别：</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年龄：</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职务：</w:t>
      </w:r>
      <w:r>
        <w:rPr>
          <w:rFonts w:hint="eastAsia" w:ascii="仿宋" w:hAnsi="仿宋" w:eastAsia="仿宋" w:cs="仿宋"/>
          <w:color w:val="000000" w:themeColor="text1"/>
          <w:u w:val="single"/>
          <w14:textFill>
            <w14:solidFill>
              <w14:schemeClr w14:val="tx1"/>
            </w14:solidFill>
          </w14:textFill>
        </w:rPr>
        <w:t xml:space="preserve">         </w:t>
      </w:r>
    </w:p>
    <w:p>
      <w:pPr>
        <w:topLinePunc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系</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（供应商名称）的法定代表人（负责人）。</w:t>
      </w:r>
    </w:p>
    <w:p>
      <w:pPr>
        <w:topLinePunc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特此证明。</w:t>
      </w:r>
    </w:p>
    <w:p>
      <w:pPr>
        <w:topLinePunct/>
        <w:spacing w:line="360" w:lineRule="auto"/>
        <w:rPr>
          <w:rFonts w:ascii="仿宋" w:hAnsi="仿宋" w:eastAsia="仿宋" w:cs="仿宋"/>
          <w:color w:val="000000" w:themeColor="text1"/>
          <w14:textFill>
            <w14:solidFill>
              <w14:schemeClr w14:val="tx1"/>
            </w14:solidFill>
          </w14:textFill>
        </w:rPr>
      </w:pPr>
    </w:p>
    <w:p>
      <w:pPr>
        <w:spacing w:line="360" w:lineRule="auto"/>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附：法定代表人（负责人）身份证复印件（需同时提供正面及背面）。</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themeColor="text1"/>
          <w14:textFill>
            <w14:solidFill>
              <w14:schemeClr w14:val="tx1"/>
            </w14:solidFill>
          </w14:textFill>
        </w:rPr>
      </w:pPr>
    </w:p>
    <w:p>
      <w:pPr>
        <w:pStyle w:val="61"/>
        <w:spacing w:line="440" w:lineRule="atLeast"/>
        <w:ind w:firstLine="480"/>
        <w:jc w:val="left"/>
        <w:rPr>
          <w:rFonts w:ascii="仿宋" w:hAnsi="仿宋" w:eastAsia="仿宋" w:cs="仿宋"/>
          <w:color w:val="000000" w:themeColor="text1"/>
          <w14:textFill>
            <w14:solidFill>
              <w14:schemeClr w14:val="tx1"/>
            </w14:solidFill>
          </w14:textFill>
        </w:rPr>
      </w:pPr>
    </w:p>
    <w:p>
      <w:pPr>
        <w:pStyle w:val="61"/>
        <w:spacing w:line="440" w:lineRule="atLeast"/>
        <w:ind w:firstLine="480"/>
        <w:jc w:val="left"/>
        <w:rPr>
          <w:rFonts w:ascii="仿宋" w:hAnsi="仿宋" w:eastAsia="仿宋" w:cs="仿宋"/>
          <w:color w:val="000000" w:themeColor="text1"/>
          <w14:textFill>
            <w14:solidFill>
              <w14:schemeClr w14:val="tx1"/>
            </w14:solidFill>
          </w14:textFill>
        </w:rPr>
      </w:pPr>
    </w:p>
    <w:p>
      <w:pPr>
        <w:spacing w:line="360" w:lineRule="auto"/>
        <w:ind w:firstLine="610"/>
        <w:rPr>
          <w:rFonts w:ascii="仿宋" w:hAnsi="仿宋" w:eastAsia="仿宋" w:cs="仿宋"/>
          <w:color w:val="000000" w:themeColor="text1"/>
          <w14:textFill>
            <w14:solidFill>
              <w14:schemeClr w14:val="tx1"/>
            </w14:solidFill>
          </w14:textFill>
        </w:rPr>
      </w:pPr>
    </w:p>
    <w:p>
      <w:pPr>
        <w:tabs>
          <w:tab w:val="left" w:pos="720"/>
          <w:tab w:val="left" w:pos="900"/>
        </w:tabs>
        <w:spacing w:line="360" w:lineRule="auto"/>
        <w:rPr>
          <w:rFonts w:ascii="仿宋" w:hAnsi="仿宋" w:eastAsia="仿宋" w:cs="仿宋"/>
          <w:color w:val="000000" w:themeColor="text1"/>
          <w14:textFill>
            <w14:solidFill>
              <w14:schemeClr w14:val="tx1"/>
            </w14:solidFill>
          </w14:textFill>
        </w:rPr>
      </w:pP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p>
    <w:p>
      <w:pPr>
        <w:wordWrap w:val="0"/>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rPr>
          <w:rFonts w:ascii="仿宋" w:hAnsi="仿宋" w:eastAsia="仿宋" w:cs="仿宋"/>
          <w:color w:val="000000" w:themeColor="text1"/>
          <w14:textFill>
            <w14:solidFill>
              <w14:schemeClr w14:val="tx1"/>
            </w14:solidFill>
          </w14:textFill>
        </w:rPr>
        <w:t xml:space="preserve">  </w:t>
      </w: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    </w:t>
      </w: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 </w:t>
      </w:r>
      <w:r>
        <w:rPr>
          <w:rFonts w:ascii="仿宋" w:hAnsi="仿宋" w:eastAsia="仿宋" w:cs="仿宋"/>
          <w:color w:val="000000" w:themeColor="text1"/>
          <w14:textFill>
            <w14:solidFill>
              <w14:schemeClr w14:val="tx1"/>
            </w14:solidFill>
          </w14:textFill>
        </w:rPr>
        <w:t xml:space="preserve">   </w:t>
      </w: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（盖章）</w:t>
      </w:r>
    </w:p>
    <w:p>
      <w:pPr>
        <w:spacing w:line="440" w:lineRule="exact"/>
        <w:jc w:val="right"/>
        <w:rPr>
          <w:rFonts w:ascii="仿宋" w:hAnsi="仿宋" w:eastAsia="仿宋" w:cs="仿宋"/>
          <w:b/>
          <w:bCs/>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日期：</w:t>
      </w:r>
      <w:r>
        <w:rPr>
          <w:rFonts w:hint="eastAsia" w:ascii="仿宋" w:hAnsi="仿宋" w:eastAsia="仿宋" w:cs="仿宋"/>
          <w:color w:val="000000" w:themeColor="text1"/>
          <w:u w:val="single"/>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年</w:t>
      </w:r>
      <w:r>
        <w:rPr>
          <w:rFonts w:hint="eastAsia" w:ascii="仿宋" w:hAnsi="仿宋" w:eastAsia="仿宋" w:cs="仿宋"/>
          <w:color w:val="000000" w:themeColor="text1"/>
          <w:u w:val="single"/>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日</w:t>
      </w:r>
    </w:p>
    <w:p>
      <w:pPr>
        <w:tabs>
          <w:tab w:val="left" w:pos="720"/>
          <w:tab w:val="left" w:pos="900"/>
        </w:tabs>
        <w:spacing w:line="360" w:lineRule="auto"/>
        <w:ind w:left="1078"/>
        <w:rPr>
          <w:rFonts w:ascii="仿宋" w:hAnsi="仿宋" w:eastAsia="仿宋" w:cs="仿宋"/>
          <w:color w:val="000000" w:themeColor="text1"/>
          <w14:textFill>
            <w14:solidFill>
              <w14:schemeClr w14:val="tx1"/>
            </w14:solidFill>
          </w14:textFill>
        </w:rPr>
      </w:pPr>
    </w:p>
    <w:p>
      <w:pPr>
        <w:tabs>
          <w:tab w:val="left" w:pos="720"/>
          <w:tab w:val="left" w:pos="900"/>
        </w:tabs>
        <w:spacing w:line="360" w:lineRule="auto"/>
        <w:ind w:left="1078"/>
        <w:rPr>
          <w:rFonts w:ascii="仿宋" w:hAnsi="仿宋" w:eastAsia="仿宋" w:cs="仿宋"/>
          <w:color w:val="000000" w:themeColor="text1"/>
          <w14:textFill>
            <w14:solidFill>
              <w14:schemeClr w14:val="tx1"/>
            </w14:solidFill>
          </w14:textFill>
        </w:rPr>
      </w:pPr>
    </w:p>
    <w:p>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r>
      <w:bookmarkStart w:id="161" w:name="_Toc5582"/>
      <w:bookmarkStart w:id="162" w:name="_Toc20707"/>
      <w:bookmarkStart w:id="163" w:name="_Toc26267"/>
      <w:bookmarkStart w:id="164" w:name="_Toc287600130"/>
      <w:bookmarkStart w:id="165" w:name="_Toc24788"/>
      <w:bookmarkStart w:id="166" w:name="_Toc527"/>
      <w:bookmarkStart w:id="167" w:name="_Toc4426"/>
      <w:bookmarkStart w:id="168" w:name="_Toc517281838"/>
      <w:bookmarkStart w:id="169" w:name="_Toc19783361"/>
      <w:bookmarkStart w:id="170" w:name="_Toc444891355"/>
      <w:r>
        <w:rPr>
          <w:rFonts w:hint="eastAsia" w:ascii="仿宋" w:hAnsi="仿宋" w:eastAsia="仿宋" w:cs="仿宋"/>
          <w:color w:val="000000" w:themeColor="text1"/>
          <w:sz w:val="24"/>
          <w:szCs w:val="24"/>
          <w14:textFill>
            <w14:solidFill>
              <w14:schemeClr w14:val="tx1"/>
            </w14:solidFill>
          </w14:textFill>
        </w:rPr>
        <w:t>（三）法定代表人（负责人）授权委托书</w:t>
      </w:r>
      <w:bookmarkEnd w:id="161"/>
      <w:bookmarkEnd w:id="162"/>
      <w:bookmarkEnd w:id="163"/>
      <w:bookmarkEnd w:id="164"/>
      <w:bookmarkEnd w:id="165"/>
      <w:bookmarkEnd w:id="166"/>
      <w:bookmarkEnd w:id="167"/>
      <w:bookmarkEnd w:id="168"/>
      <w:bookmarkEnd w:id="169"/>
      <w:bookmarkEnd w:id="170"/>
    </w:p>
    <w:p>
      <w:pPr>
        <w:pStyle w:val="61"/>
        <w:spacing w:before="240" w:after="240" w:line="360" w:lineRule="auto"/>
        <w:jc w:val="center"/>
        <w:rPr>
          <w:rFonts w:ascii="仿宋" w:hAnsi="仿宋" w:eastAsia="仿宋" w:cs="Cambria Math"/>
          <w:b/>
          <w:color w:val="000000" w:themeColor="text1"/>
          <w:sz w:val="24"/>
          <w:szCs w:val="24"/>
          <w14:textFill>
            <w14:solidFill>
              <w14:schemeClr w14:val="tx1"/>
            </w14:solidFill>
          </w14:textFill>
        </w:rPr>
      </w:pPr>
      <w:r>
        <w:rPr>
          <w:rFonts w:hint="eastAsia" w:ascii="仿宋" w:hAnsi="仿宋" w:eastAsia="仿宋" w:cs="Cambria Math"/>
          <w:b/>
          <w:color w:val="000000" w:themeColor="text1"/>
          <w:sz w:val="24"/>
          <w:szCs w:val="24"/>
          <w14:textFill>
            <w14:solidFill>
              <w14:schemeClr w14:val="tx1"/>
            </w14:solidFill>
          </w14:textFill>
        </w:rPr>
        <w:t>法定代表人（负责人）授权委托书</w:t>
      </w:r>
    </w:p>
    <w:p>
      <w:pPr>
        <w:pStyle w:val="61"/>
        <w:topLinePunct/>
        <w:spacing w:line="360" w:lineRule="auto"/>
        <w:ind w:firstLine="480" w:firstLineChars="200"/>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本人</w:t>
      </w:r>
      <w:r>
        <w:rPr>
          <w:rFonts w:hint="eastAsia" w:ascii="仿宋" w:hAnsi="仿宋" w:eastAsia="仿宋" w:cs="仿宋"/>
          <w:color w:val="000000" w:themeColor="text1"/>
          <w:sz w:val="24"/>
          <w:u w:val="single"/>
          <w14:textFill>
            <w14:solidFill>
              <w14:schemeClr w14:val="tx1"/>
            </w14:solidFill>
          </w14:textFill>
        </w:rPr>
        <w:t xml:space="preserve"> （姓名）</w:t>
      </w:r>
      <w:r>
        <w:rPr>
          <w:rFonts w:hint="eastAsia" w:ascii="仿宋" w:hAnsi="仿宋" w:eastAsia="仿宋" w:cs="仿宋"/>
          <w:color w:val="000000" w:themeColor="text1"/>
          <w:sz w:val="24"/>
          <w14:textFill>
            <w14:solidFill>
              <w14:schemeClr w14:val="tx1"/>
            </w14:solidFill>
          </w14:textFill>
        </w:rPr>
        <w:t>系</w:t>
      </w:r>
      <w:r>
        <w:rPr>
          <w:rFonts w:hint="eastAsia" w:ascii="仿宋" w:hAnsi="仿宋" w:eastAsia="仿宋" w:cs="仿宋"/>
          <w:color w:val="000000" w:themeColor="text1"/>
          <w:sz w:val="24"/>
          <w:u w:val="single"/>
          <w14:textFill>
            <w14:solidFill>
              <w14:schemeClr w14:val="tx1"/>
            </w14:solidFill>
          </w14:textFill>
        </w:rPr>
        <w:t>（供应商名称）</w:t>
      </w:r>
      <w:r>
        <w:rPr>
          <w:rFonts w:hint="eastAsia" w:ascii="仿宋" w:hAnsi="仿宋" w:eastAsia="仿宋" w:cs="仿宋"/>
          <w:color w:val="000000" w:themeColor="text1"/>
          <w:sz w:val="24"/>
          <w14:textFill>
            <w14:solidFill>
              <w14:schemeClr w14:val="tx1"/>
            </w14:solidFill>
          </w14:textFill>
        </w:rPr>
        <w:t>的法定代表人</w:t>
      </w:r>
      <w:r>
        <w:rPr>
          <w:rFonts w:hint="eastAsia" w:ascii="仿宋" w:hAnsi="仿宋" w:eastAsia="仿宋" w:cs="仿宋"/>
          <w:color w:val="000000" w:themeColor="text1"/>
          <w:sz w:val="24"/>
          <w:szCs w:val="24"/>
          <w14:textFill>
            <w14:solidFill>
              <w14:schemeClr w14:val="tx1"/>
            </w14:solidFill>
          </w14:textFill>
        </w:rPr>
        <w:t>（负责人）</w:t>
      </w:r>
      <w:r>
        <w:rPr>
          <w:rFonts w:hint="eastAsia" w:ascii="仿宋" w:hAnsi="仿宋" w:eastAsia="仿宋" w:cs="仿宋"/>
          <w:color w:val="000000" w:themeColor="text1"/>
          <w:sz w:val="24"/>
          <w14:textFill>
            <w14:solidFill>
              <w14:schemeClr w14:val="tx1"/>
            </w14:solidFill>
          </w14:textFill>
        </w:rPr>
        <w:t>，现授权委托</w:t>
      </w:r>
      <w:r>
        <w:rPr>
          <w:rFonts w:hint="eastAsia" w:ascii="仿宋" w:hAnsi="仿宋" w:eastAsia="仿宋" w:cs="仿宋"/>
          <w:color w:val="000000" w:themeColor="text1"/>
          <w:sz w:val="24"/>
          <w:u w:val="single"/>
          <w14:textFill>
            <w14:solidFill>
              <w14:schemeClr w14:val="tx1"/>
            </w14:solidFill>
          </w14:textFill>
        </w:rPr>
        <w:t xml:space="preserve"> （姓名）</w:t>
      </w:r>
      <w:r>
        <w:rPr>
          <w:rFonts w:hint="eastAsia" w:ascii="仿宋" w:hAnsi="仿宋" w:eastAsia="仿宋" w:cs="仿宋"/>
          <w:color w:val="000000" w:themeColor="text1"/>
          <w:sz w:val="24"/>
          <w14:textFill>
            <w14:solidFill>
              <w14:schemeClr w14:val="tx1"/>
            </w14:solidFill>
          </w14:textFill>
        </w:rPr>
        <w:t>为我方代理人。</w:t>
      </w:r>
      <w:r>
        <w:rPr>
          <w:rFonts w:hint="eastAsia" w:ascii="仿宋" w:hAnsi="仿宋" w:eastAsia="仿宋" w:cs="Cambria Math"/>
          <w:color w:val="000000" w:themeColor="text1"/>
          <w:sz w:val="24"/>
          <w:szCs w:val="24"/>
          <w14:textFill>
            <w14:solidFill>
              <w14:schemeClr w14:val="tx1"/>
            </w14:solidFill>
          </w14:textFill>
        </w:rPr>
        <w:t>代理人根据授权，以我方名义签署、澄清、说明、补正、递交、撤回、修改</w:t>
      </w:r>
      <w:r>
        <w:rPr>
          <w:rFonts w:hint="eastAsia" w:ascii="仿宋" w:hAnsi="仿宋" w:eastAsia="仿宋" w:cs="Cambria Math"/>
          <w:color w:val="000000" w:themeColor="text1"/>
          <w:sz w:val="24"/>
          <w:szCs w:val="24"/>
          <w:u w:val="single"/>
          <w:lang w:eastAsia="zh-CN"/>
          <w14:textFill>
            <w14:solidFill>
              <w14:schemeClr w14:val="tx1"/>
            </w14:solidFill>
          </w14:textFill>
        </w:rPr>
        <w:t>人保财险四川省广安市分公司前锋区公交站台宣传服务采购项目</w:t>
      </w:r>
      <w:r>
        <w:rPr>
          <w:rFonts w:hint="eastAsia" w:ascii="仿宋" w:hAnsi="仿宋" w:eastAsia="仿宋" w:cs="Cambria Math"/>
          <w:color w:val="000000" w:themeColor="text1"/>
          <w:sz w:val="24"/>
          <w:szCs w:val="24"/>
          <w:u w:val="single"/>
          <w14:textFill>
            <w14:solidFill>
              <w14:schemeClr w14:val="tx1"/>
            </w14:solidFill>
          </w14:textFill>
        </w:rPr>
        <w:t xml:space="preserve"> </w:t>
      </w:r>
      <w:r>
        <w:rPr>
          <w:rFonts w:hint="eastAsia" w:ascii="仿宋" w:hAnsi="仿宋" w:eastAsia="仿宋" w:cs="Cambria Math"/>
          <w:color w:val="000000" w:themeColor="text1"/>
          <w:sz w:val="24"/>
          <w:szCs w:val="24"/>
          <w14:textFill>
            <w14:solidFill>
              <w14:schemeClr w14:val="tx1"/>
            </w14:solidFill>
          </w14:textFill>
        </w:rPr>
        <w:t>比价响应文件、签订合同和处理有关事宜，其法律后果由我方承担。</w:t>
      </w:r>
    </w:p>
    <w:p>
      <w:pPr>
        <w:spacing w:line="360" w:lineRule="auto"/>
        <w:ind w:firstLine="480" w:firstLineChars="2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委托期限：</w:t>
      </w:r>
      <w:r>
        <w:rPr>
          <w:rFonts w:hint="eastAsia" w:ascii="仿宋" w:hAnsi="仿宋" w:eastAsia="仿宋" w:cs="Cambria Math"/>
          <w:color w:val="000000" w:themeColor="text1"/>
          <w:u w:val="single"/>
          <w14:textFill>
            <w14:solidFill>
              <w14:schemeClr w14:val="tx1"/>
            </w14:solidFill>
          </w14:textFill>
        </w:rPr>
        <w:t xml:space="preserve"> 自</w:t>
      </w:r>
      <w:r>
        <w:rPr>
          <w:rFonts w:hint="eastAsia" w:ascii="仿宋" w:hAnsi="仿宋" w:eastAsia="仿宋" w:cs="微软雅黑"/>
          <w:color w:val="000000" w:themeColor="text1"/>
          <w:u w:val="single"/>
          <w14:textFill>
            <w14:solidFill>
              <w14:schemeClr w14:val="tx1"/>
            </w14:solidFill>
          </w14:textFill>
        </w:rPr>
        <w:t>本委托书签字盖章生效</w:t>
      </w:r>
      <w:r>
        <w:rPr>
          <w:rFonts w:hint="eastAsia" w:ascii="仿宋" w:hAnsi="仿宋" w:eastAsia="仿宋" w:cs="Cambria Math"/>
          <w:color w:val="000000" w:themeColor="text1"/>
          <w:u w:val="single"/>
          <w14:textFill>
            <w14:solidFill>
              <w14:schemeClr w14:val="tx1"/>
            </w14:solidFill>
          </w14:textFill>
        </w:rPr>
        <w:t xml:space="preserve">之日起至比价响应有效期到期之日为止 </w:t>
      </w:r>
      <w:r>
        <w:rPr>
          <w:rFonts w:hint="eastAsia" w:ascii="仿宋" w:hAnsi="仿宋" w:eastAsia="仿宋" w:cs="Cambria Math"/>
          <w:color w:val="000000" w:themeColor="text1"/>
          <w14:textFill>
            <w14:solidFill>
              <w14:schemeClr w14:val="tx1"/>
            </w14:solidFill>
          </w14:textFill>
        </w:rPr>
        <w:t>。</w:t>
      </w:r>
    </w:p>
    <w:p>
      <w:pPr>
        <w:pStyle w:val="61"/>
        <w:spacing w:line="360" w:lineRule="auto"/>
        <w:ind w:firstLine="480" w:firstLineChars="200"/>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Cambria Math"/>
          <w:color w:val="000000" w:themeColor="text1"/>
          <w:sz w:val="24"/>
          <w:szCs w:val="24"/>
          <w14:textFill>
            <w14:solidFill>
              <w14:schemeClr w14:val="tx1"/>
            </w14:solidFill>
          </w14:textFill>
        </w:rPr>
        <w:t>代理人无转委托权。</w:t>
      </w:r>
    </w:p>
    <w:p>
      <w:pPr>
        <w:pStyle w:val="61"/>
        <w:spacing w:line="360" w:lineRule="auto"/>
        <w:ind w:firstLine="482" w:firstLineChars="200"/>
        <w:rPr>
          <w:rFonts w:ascii="仿宋" w:hAnsi="仿宋" w:eastAsia="仿宋" w:cs="Cambria Math"/>
          <w:b/>
          <w:bCs/>
          <w:color w:val="000000" w:themeColor="text1"/>
          <w:sz w:val="24"/>
          <w:szCs w:val="24"/>
          <w14:textFill>
            <w14:solidFill>
              <w14:schemeClr w14:val="tx1"/>
            </w14:solidFill>
          </w14:textFill>
        </w:rPr>
      </w:pPr>
    </w:p>
    <w:p>
      <w:pPr>
        <w:pStyle w:val="61"/>
        <w:spacing w:line="360" w:lineRule="auto"/>
        <w:ind w:firstLine="482" w:firstLineChars="200"/>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Cambria Math"/>
          <w:b/>
          <w:bCs/>
          <w:color w:val="000000" w:themeColor="text1"/>
          <w:sz w:val="24"/>
          <w:szCs w:val="24"/>
          <w14:textFill>
            <w14:solidFill>
              <w14:schemeClr w14:val="tx1"/>
            </w14:solidFill>
          </w14:textFill>
        </w:rPr>
        <w:t>附：委托代理人身份证复印件（需同时提供正面及背面）</w:t>
      </w:r>
      <w:r>
        <w:rPr>
          <w:rFonts w:hint="eastAsia" w:ascii="仿宋" w:hAnsi="仿宋" w:eastAsia="仿宋" w:cs="Cambria Math"/>
          <w:color w:val="000000" w:themeColor="text1"/>
          <w:sz w:val="24"/>
          <w:szCs w:val="24"/>
          <w14:textFill>
            <w14:solidFill>
              <w14:schemeClr w14:val="tx1"/>
            </w14:solidFill>
          </w14:textFill>
        </w:rPr>
        <w:t>。</w:t>
      </w:r>
    </w:p>
    <w:p>
      <w:pPr>
        <w:pStyle w:val="61"/>
        <w:spacing w:line="440" w:lineRule="atLeast"/>
        <w:ind w:firstLine="480"/>
        <w:jc w:val="lef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2336;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000000" w:themeColor="text1"/>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4384;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themeColor="text1"/>
          <w14:textFill>
            <w14:solidFill>
              <w14:schemeClr w14:val="tx1"/>
            </w14:solidFill>
          </w14:textFill>
        </w:rPr>
      </w:pPr>
    </w:p>
    <w:p>
      <w:pPr>
        <w:spacing w:line="360" w:lineRule="auto"/>
        <w:ind w:left="720"/>
        <w:rPr>
          <w:rFonts w:ascii="仿宋" w:hAnsi="仿宋" w:eastAsia="仿宋" w:cs="仿宋"/>
          <w:b/>
          <w:color w:val="000000" w:themeColor="text1"/>
          <w14:textFill>
            <w14:solidFill>
              <w14:schemeClr w14:val="tx1"/>
            </w14:solidFill>
          </w14:textFill>
        </w:rPr>
      </w:pPr>
    </w:p>
    <w:p>
      <w:pPr>
        <w:tabs>
          <w:tab w:val="left" w:pos="540"/>
        </w:tabs>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ab/>
      </w:r>
    </w:p>
    <w:p>
      <w:pPr>
        <w:pStyle w:val="2"/>
        <w:rPr>
          <w:rFonts w:ascii="宋体" w:hAnsi="宋体"/>
          <w:color w:val="000000" w:themeColor="text1"/>
          <w:szCs w:val="21"/>
          <w14:textFill>
            <w14:solidFill>
              <w14:schemeClr w14:val="tx1"/>
            </w14:solidFill>
          </w14:textFill>
        </w:rPr>
      </w:pPr>
    </w:p>
    <w:p>
      <w:pPr>
        <w:pStyle w:val="2"/>
        <w:rPr>
          <w:rFonts w:ascii="宋体" w:hAnsi="宋体"/>
          <w:color w:val="000000" w:themeColor="text1"/>
          <w:szCs w:val="21"/>
          <w14:textFill>
            <w14:solidFill>
              <w14:schemeClr w14:val="tx1"/>
            </w14:solidFill>
          </w14:textFill>
        </w:rPr>
      </w:pPr>
    </w:p>
    <w:p>
      <w:pPr>
        <w:pStyle w:val="2"/>
        <w:rPr>
          <w:rFonts w:ascii="宋体" w:hAnsi="宋体"/>
          <w:color w:val="000000" w:themeColor="text1"/>
          <w:szCs w:val="21"/>
          <w14:textFill>
            <w14:solidFill>
              <w14:schemeClr w14:val="tx1"/>
            </w14:solidFill>
          </w14:textFill>
        </w:rPr>
      </w:pPr>
    </w:p>
    <w:p>
      <w:pPr>
        <w:spacing w:line="360" w:lineRule="auto"/>
        <w:ind w:right="420" w:firstLine="4200" w:firstLineChars="1750"/>
        <w:rPr>
          <w:rFonts w:ascii="仿宋" w:hAnsi="仿宋" w:eastAsia="仿宋" w:cs="Cambria Math"/>
          <w:color w:val="000000" w:themeColor="text1"/>
          <w14:textFill>
            <w14:solidFill>
              <w14:schemeClr w14:val="tx1"/>
            </w14:solidFill>
          </w14:textFill>
        </w:rPr>
      </w:pPr>
    </w:p>
    <w:p>
      <w:pPr>
        <w:spacing w:line="360" w:lineRule="auto"/>
        <w:ind w:right="420" w:firstLine="4200" w:firstLineChars="175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（盖章）</w:t>
      </w:r>
    </w:p>
    <w:p>
      <w:pPr>
        <w:spacing w:line="360" w:lineRule="auto"/>
        <w:ind w:right="420" w:firstLine="3120" w:firstLineChars="13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法定代表人（负责人）：</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（签字或盖章）</w:t>
      </w:r>
    </w:p>
    <w:p>
      <w:pPr>
        <w:pStyle w:val="61"/>
        <w:wordWrap w:val="0"/>
        <w:spacing w:line="360" w:lineRule="auto"/>
        <w:ind w:right="105" w:firstLine="4200" w:firstLineChars="1750"/>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Cambria Math"/>
          <w:color w:val="000000" w:themeColor="text1"/>
          <w:sz w:val="24"/>
          <w:szCs w:val="24"/>
          <w14:textFill>
            <w14:solidFill>
              <w14:schemeClr w14:val="tx1"/>
            </w14:solidFill>
          </w14:textFill>
        </w:rPr>
        <w:t>委托代理人：</w:t>
      </w:r>
      <w:r>
        <w:rPr>
          <w:rFonts w:hint="eastAsia" w:ascii="仿宋" w:hAnsi="仿宋" w:eastAsia="仿宋" w:cs="Cambria Math"/>
          <w:color w:val="000000" w:themeColor="text1"/>
          <w:sz w:val="24"/>
          <w:szCs w:val="24"/>
          <w:u w:val="single"/>
          <w14:textFill>
            <w14:solidFill>
              <w14:schemeClr w14:val="tx1"/>
            </w14:solidFill>
          </w14:textFill>
        </w:rPr>
        <w:t xml:space="preserve">               </w:t>
      </w:r>
      <w:r>
        <w:rPr>
          <w:rFonts w:hint="eastAsia" w:ascii="仿宋" w:hAnsi="仿宋" w:eastAsia="仿宋" w:cs="Cambria Math"/>
          <w:color w:val="000000" w:themeColor="text1"/>
          <w:sz w:val="24"/>
          <w:szCs w:val="24"/>
          <w14:textFill>
            <w14:solidFill>
              <w14:schemeClr w14:val="tx1"/>
            </w14:solidFill>
          </w14:textFill>
        </w:rPr>
        <w:t>（签字</w:t>
      </w:r>
      <w:r>
        <w:rPr>
          <w:rFonts w:hint="eastAsia" w:ascii="仿宋" w:hAnsi="仿宋" w:eastAsia="仿宋" w:cs="Cambria Math"/>
          <w:color w:val="000000" w:themeColor="text1"/>
          <w:sz w:val="24"/>
          <w14:textFill>
            <w14:solidFill>
              <w14:schemeClr w14:val="tx1"/>
            </w14:solidFill>
          </w14:textFill>
        </w:rPr>
        <w:t>或盖章</w:t>
      </w:r>
      <w:r>
        <w:rPr>
          <w:rFonts w:hint="eastAsia" w:ascii="仿宋" w:hAnsi="仿宋" w:eastAsia="仿宋" w:cs="Cambria Math"/>
          <w:color w:val="000000" w:themeColor="text1"/>
          <w:sz w:val="24"/>
          <w:szCs w:val="24"/>
          <w14:textFill>
            <w14:solidFill>
              <w14:schemeClr w14:val="tx1"/>
            </w14:solidFill>
          </w14:textFill>
        </w:rPr>
        <w:t xml:space="preserve">） </w:t>
      </w:r>
    </w:p>
    <w:p>
      <w:pPr>
        <w:wordWrap w:val="0"/>
        <w:spacing w:line="360" w:lineRule="auto"/>
        <w:ind w:firstLine="4200" w:firstLineChars="1750"/>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年</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月</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日</w:t>
      </w:r>
    </w:p>
    <w:p>
      <w:pPr>
        <w:tabs>
          <w:tab w:val="left" w:pos="540"/>
        </w:tabs>
        <w:rPr>
          <w:rFonts w:ascii="仿宋" w:hAnsi="仿宋" w:eastAsia="仿宋" w:cs="仿宋"/>
          <w:color w:val="000000" w:themeColor="text1"/>
          <w:szCs w:val="21"/>
          <w14:textFill>
            <w14:solidFill>
              <w14:schemeClr w14:val="tx1"/>
            </w14:solidFill>
          </w14:textFill>
        </w:rPr>
        <w:sectPr>
          <w:pgSz w:w="11906" w:h="16838"/>
          <w:pgMar w:top="1417" w:right="1134" w:bottom="1134" w:left="1134" w:header="851" w:footer="992" w:gutter="0"/>
          <w:cols w:space="720" w:num="1"/>
          <w:titlePg/>
          <w:docGrid w:type="lines" w:linePitch="312" w:charSpace="0"/>
        </w:sectPr>
      </w:pPr>
    </w:p>
    <w:p>
      <w:pPr>
        <w:pStyle w:val="5"/>
        <w:spacing w:before="0" w:after="0" w:line="360" w:lineRule="auto"/>
        <w:rPr>
          <w:rFonts w:ascii="仿宋" w:hAnsi="仿宋" w:eastAsia="仿宋" w:cs="仿宋"/>
          <w:color w:val="000000" w:themeColor="text1"/>
          <w:sz w:val="24"/>
          <w:szCs w:val="24"/>
          <w14:textFill>
            <w14:solidFill>
              <w14:schemeClr w14:val="tx1"/>
            </w14:solidFill>
          </w14:textFill>
        </w:rPr>
      </w:pPr>
      <w:bookmarkStart w:id="171" w:name="_Toc11300"/>
      <w:bookmarkStart w:id="172" w:name="_Toc30551"/>
      <w:bookmarkStart w:id="173" w:name="_Toc517281841"/>
      <w:r>
        <w:rPr>
          <w:rFonts w:hint="eastAsia" w:ascii="仿宋" w:hAnsi="仿宋" w:eastAsia="仿宋" w:cs="仿宋"/>
          <w:color w:val="000000" w:themeColor="text1"/>
          <w:sz w:val="24"/>
          <w:szCs w:val="24"/>
          <w14:textFill>
            <w14:solidFill>
              <w14:schemeClr w14:val="tx1"/>
            </w14:solidFill>
          </w14:textFill>
        </w:rPr>
        <w:t>（四）资格证明文件</w:t>
      </w:r>
      <w:bookmarkEnd w:id="171"/>
      <w:bookmarkEnd w:id="172"/>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1、供应商基本情况信息表</w:t>
      </w:r>
    </w:p>
    <w:p>
      <w:pPr>
        <w:pStyle w:val="61"/>
        <w:spacing w:line="360" w:lineRule="auto"/>
        <w:jc w:val="center"/>
        <w:rPr>
          <w:rFonts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注册地址</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1789"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公司办公场所面职</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平米</w:t>
            </w: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办事处地址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联系方式</w:t>
            </w: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联系人</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000000" w:themeColor="text1"/>
                <w:szCs w:val="21"/>
                <w14:textFill>
                  <w14:solidFill>
                    <w14:schemeClr w14:val="tx1"/>
                  </w14:solidFill>
                </w14:textFill>
              </w:rPr>
            </w:pP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传真</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网址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组织结构</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法定代表人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1468"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98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电话</w:t>
            </w:r>
          </w:p>
        </w:tc>
        <w:tc>
          <w:tcPr>
            <w:tcW w:w="114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技术负责人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姓名</w:t>
            </w:r>
          </w:p>
        </w:tc>
        <w:tc>
          <w:tcPr>
            <w:tcW w:w="1345"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1468"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职称</w:t>
            </w:r>
          </w:p>
        </w:tc>
        <w:tc>
          <w:tcPr>
            <w:tcW w:w="189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98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电话</w:t>
            </w:r>
          </w:p>
        </w:tc>
        <w:tc>
          <w:tcPr>
            <w:tcW w:w="114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成立时间</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5489" w:type="dxa"/>
            <w:gridSpan w:val="6"/>
            <w:tcBorders>
              <w:top w:val="nil"/>
              <w:left w:val="nil"/>
              <w:bottom w:val="single" w:color="000000" w:sz="4" w:space="0"/>
              <w:right w:val="single" w:color="000000" w:sz="4" w:space="0"/>
            </w:tcBorders>
            <w:vAlign w:val="center"/>
          </w:tcPr>
          <w:p>
            <w:pPr>
              <w:pStyle w:val="61"/>
              <w:topLinePunct/>
              <w:ind w:firstLine="105"/>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企业资质等级</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713" w:type="dxa"/>
            <w:vMerge w:val="restart"/>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营业执照号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themeColor="text1"/>
                <w:szCs w:val="21"/>
                <w14:textFill>
                  <w14:solidFill>
                    <w14:schemeClr w14:val="tx1"/>
                  </w14:solidFill>
                </w14:textFill>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高级职称人员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注册资金</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themeColor="text1"/>
                <w:szCs w:val="21"/>
                <w14:textFill>
                  <w14:solidFill>
                    <w14:schemeClr w14:val="tx1"/>
                  </w14:solidFill>
                </w14:textFill>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中级职称人员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开户银行</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themeColor="text1"/>
                <w:szCs w:val="21"/>
                <w14:textFill>
                  <w14:solidFill>
                    <w14:schemeClr w14:val="tx1"/>
                  </w14:solidFill>
                </w14:textFill>
              </w:rPr>
            </w:pPr>
          </w:p>
        </w:tc>
        <w:tc>
          <w:tcPr>
            <w:tcW w:w="2646" w:type="dxa"/>
            <w:gridSpan w:val="3"/>
            <w:vMerge w:val="restart"/>
            <w:tcBorders>
              <w:top w:val="nil"/>
              <w:left w:val="nil"/>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初级职称人员</w:t>
            </w:r>
          </w:p>
        </w:tc>
        <w:tc>
          <w:tcPr>
            <w:tcW w:w="2130" w:type="dxa"/>
            <w:gridSpan w:val="2"/>
            <w:vMerge w:val="restart"/>
            <w:tcBorders>
              <w:top w:val="nil"/>
              <w:left w:val="nil"/>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账号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themeColor="text1"/>
                <w:szCs w:val="21"/>
                <w14:textFill>
                  <w14:solidFill>
                    <w14:schemeClr w14:val="tx1"/>
                  </w14:solidFill>
                </w14:textFill>
              </w:rPr>
            </w:pPr>
          </w:p>
        </w:tc>
        <w:tc>
          <w:tcPr>
            <w:tcW w:w="2646" w:type="dxa"/>
            <w:gridSpan w:val="3"/>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2130" w:type="dxa"/>
            <w:gridSpan w:val="2"/>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ind w:firstLine="210"/>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经营范围</w:t>
            </w:r>
          </w:p>
        </w:tc>
        <w:tc>
          <w:tcPr>
            <w:tcW w:w="7609" w:type="dxa"/>
            <w:gridSpan w:val="9"/>
            <w:tcBorders>
              <w:top w:val="nil"/>
              <w:left w:val="nil"/>
              <w:bottom w:val="single" w:color="000000" w:sz="4" w:space="0"/>
              <w:right w:val="single" w:color="000000" w:sz="4" w:space="0"/>
            </w:tcBorders>
            <w:vAlign w:val="center"/>
          </w:tcPr>
          <w:p>
            <w:pPr>
              <w:pStyle w:val="61"/>
              <w:topLinePunct/>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备注</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bl>
    <w:p>
      <w:pPr>
        <w:pStyle w:val="61"/>
        <w:jc w:val="left"/>
        <w:rPr>
          <w:rFonts w:ascii="仿宋" w:hAnsi="仿宋" w:eastAsia="仿宋" w:cs="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注：提供由工商部门核发的最新营业执照（正副本皆可）。</w:t>
      </w:r>
    </w:p>
    <w:p>
      <w:pPr>
        <w:pStyle w:val="61"/>
        <w:jc w:val="left"/>
        <w:rPr>
          <w:rFonts w:ascii="仿宋" w:hAnsi="仿宋" w:eastAsia="仿宋" w:cs="仿宋"/>
          <w:b/>
          <w:color w:val="000000" w:themeColor="text1"/>
          <w14:textFill>
            <w14:solidFill>
              <w14:schemeClr w14:val="tx1"/>
            </w14:solidFill>
          </w14:textFill>
        </w:rPr>
      </w:pPr>
    </w:p>
    <w:p>
      <w:pPr>
        <w:pStyle w:val="61"/>
        <w:jc w:val="left"/>
        <w:rPr>
          <w:rFonts w:ascii="仿宋" w:hAnsi="仿宋" w:eastAsia="仿宋" w:cs="仿宋"/>
          <w:b/>
          <w:color w:val="000000" w:themeColor="text1"/>
          <w14:textFill>
            <w14:solidFill>
              <w14:schemeClr w14:val="tx1"/>
            </w14:solidFill>
          </w14:textFill>
        </w:rPr>
      </w:pPr>
    </w:p>
    <w:p>
      <w:pPr>
        <w:pStyle w:val="61"/>
        <w:jc w:val="left"/>
        <w:rPr>
          <w:rFonts w:ascii="仿宋" w:hAnsi="仿宋" w:eastAsia="仿宋" w:cs="仿宋"/>
          <w:b/>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（盖章）</w:t>
      </w:r>
    </w:p>
    <w:p>
      <w:pPr>
        <w:spacing w:line="360" w:lineRule="auto"/>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年</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月</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日</w:t>
      </w:r>
    </w:p>
    <w:p>
      <w:pPr>
        <w:pStyle w:val="2"/>
        <w:jc w:val="both"/>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br w:type="page"/>
      </w:r>
    </w:p>
    <w:p>
      <w:pPr>
        <w:pStyle w:val="6"/>
        <w:spacing w:before="0" w:after="0" w:line="360" w:lineRule="auto"/>
        <w:rPr>
          <w:rFonts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、同类项目实施经验</w:t>
      </w:r>
      <w:r>
        <w:rPr>
          <w:rFonts w:hint="eastAsia" w:ascii="仿宋" w:hAnsi="仿宋" w:eastAsia="仿宋" w:cs="仿宋"/>
          <w:b w:val="0"/>
          <w:bCs w:val="0"/>
          <w:color w:val="000000" w:themeColor="text1"/>
          <w:sz w:val="24"/>
          <w:szCs w:val="24"/>
          <w14:textFill>
            <w14:solidFill>
              <w14:schemeClr w14:val="tx1"/>
            </w14:solidFill>
          </w14:textFill>
        </w:rPr>
        <w:t xml:space="preserve"> </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pPr>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序号</w:t>
            </w:r>
          </w:p>
        </w:tc>
        <w:tc>
          <w:tcPr>
            <w:tcW w:w="471" w:type="pct"/>
            <w:vAlign w:val="center"/>
          </w:tcPr>
          <w:p>
            <w:pPr>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合同名称</w:t>
            </w:r>
          </w:p>
        </w:tc>
        <w:tc>
          <w:tcPr>
            <w:tcW w:w="678" w:type="pct"/>
            <w:vAlign w:val="center"/>
          </w:tcPr>
          <w:p>
            <w:pPr>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合同签订时间</w:t>
            </w:r>
          </w:p>
        </w:tc>
        <w:tc>
          <w:tcPr>
            <w:tcW w:w="645" w:type="pct"/>
            <w:vAlign w:val="center"/>
          </w:tcPr>
          <w:p>
            <w:pPr>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采购内容</w:t>
            </w:r>
          </w:p>
        </w:tc>
        <w:tc>
          <w:tcPr>
            <w:tcW w:w="641" w:type="pct"/>
            <w:vAlign w:val="center"/>
          </w:tcPr>
          <w:p>
            <w:pPr>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合同金额（万元）</w:t>
            </w:r>
          </w:p>
        </w:tc>
        <w:tc>
          <w:tcPr>
            <w:tcW w:w="565" w:type="pct"/>
            <w:vAlign w:val="center"/>
          </w:tcPr>
          <w:p>
            <w:pPr>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合同甲方</w:t>
            </w:r>
          </w:p>
        </w:tc>
        <w:tc>
          <w:tcPr>
            <w:tcW w:w="821" w:type="pct"/>
            <w:vAlign w:val="center"/>
          </w:tcPr>
          <w:p>
            <w:pPr>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合同甲方联系人及电话</w:t>
            </w:r>
          </w:p>
        </w:tc>
        <w:tc>
          <w:tcPr>
            <w:tcW w:w="709" w:type="pct"/>
            <w:vAlign w:val="center"/>
          </w:tcPr>
          <w:p>
            <w:pPr>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pPr>
              <w:jc w:val="center"/>
              <w:rPr>
                <w:rFonts w:ascii="仿宋" w:hAnsi="仿宋" w:eastAsia="仿宋" w:cs="仿宋"/>
                <w:color w:val="000000" w:themeColor="text1"/>
                <w:szCs w:val="21"/>
                <w14:textFill>
                  <w14:solidFill>
                    <w14:schemeClr w14:val="tx1"/>
                  </w14:solidFill>
                </w14:textFill>
              </w:rPr>
            </w:pPr>
          </w:p>
        </w:tc>
        <w:tc>
          <w:tcPr>
            <w:tcW w:w="471" w:type="pct"/>
            <w:vAlign w:val="center"/>
          </w:tcPr>
          <w:p>
            <w:pPr>
              <w:jc w:val="center"/>
              <w:rPr>
                <w:rFonts w:ascii="仿宋" w:hAnsi="仿宋" w:eastAsia="仿宋" w:cs="仿宋"/>
                <w:color w:val="000000" w:themeColor="text1"/>
                <w:szCs w:val="21"/>
                <w14:textFill>
                  <w14:solidFill>
                    <w14:schemeClr w14:val="tx1"/>
                  </w14:solidFill>
                </w14:textFill>
              </w:rPr>
            </w:pPr>
          </w:p>
        </w:tc>
        <w:tc>
          <w:tcPr>
            <w:tcW w:w="678" w:type="pct"/>
            <w:vAlign w:val="center"/>
          </w:tcPr>
          <w:p>
            <w:pPr>
              <w:jc w:val="center"/>
              <w:rPr>
                <w:rFonts w:ascii="仿宋" w:hAnsi="仿宋" w:eastAsia="仿宋" w:cs="仿宋"/>
                <w:color w:val="000000" w:themeColor="text1"/>
                <w:szCs w:val="21"/>
                <w14:textFill>
                  <w14:solidFill>
                    <w14:schemeClr w14:val="tx1"/>
                  </w14:solidFill>
                </w14:textFill>
              </w:rPr>
            </w:pPr>
          </w:p>
        </w:tc>
        <w:tc>
          <w:tcPr>
            <w:tcW w:w="645" w:type="pct"/>
            <w:vAlign w:val="center"/>
          </w:tcPr>
          <w:p>
            <w:pPr>
              <w:jc w:val="center"/>
              <w:rPr>
                <w:rFonts w:ascii="仿宋" w:hAnsi="仿宋" w:eastAsia="仿宋" w:cs="仿宋"/>
                <w:color w:val="000000" w:themeColor="text1"/>
                <w:szCs w:val="21"/>
                <w14:textFill>
                  <w14:solidFill>
                    <w14:schemeClr w14:val="tx1"/>
                  </w14:solidFill>
                </w14:textFill>
              </w:rPr>
            </w:pPr>
          </w:p>
        </w:tc>
        <w:tc>
          <w:tcPr>
            <w:tcW w:w="641" w:type="pct"/>
            <w:vAlign w:val="center"/>
          </w:tcPr>
          <w:p>
            <w:pPr>
              <w:jc w:val="center"/>
              <w:rPr>
                <w:rFonts w:ascii="仿宋" w:hAnsi="仿宋" w:eastAsia="仿宋" w:cs="仿宋"/>
                <w:color w:val="000000" w:themeColor="text1"/>
                <w:szCs w:val="21"/>
                <w14:textFill>
                  <w14:solidFill>
                    <w14:schemeClr w14:val="tx1"/>
                  </w14:solidFill>
                </w14:textFill>
              </w:rPr>
            </w:pPr>
          </w:p>
        </w:tc>
        <w:tc>
          <w:tcPr>
            <w:tcW w:w="565" w:type="pct"/>
            <w:vAlign w:val="center"/>
          </w:tcPr>
          <w:p>
            <w:pPr>
              <w:jc w:val="center"/>
              <w:rPr>
                <w:rFonts w:ascii="仿宋" w:hAnsi="仿宋" w:eastAsia="仿宋" w:cs="仿宋"/>
                <w:color w:val="000000" w:themeColor="text1"/>
                <w:szCs w:val="21"/>
                <w14:textFill>
                  <w14:solidFill>
                    <w14:schemeClr w14:val="tx1"/>
                  </w14:solidFill>
                </w14:textFill>
              </w:rPr>
            </w:pPr>
          </w:p>
        </w:tc>
        <w:tc>
          <w:tcPr>
            <w:tcW w:w="821" w:type="pct"/>
            <w:vAlign w:val="center"/>
          </w:tcPr>
          <w:p>
            <w:pPr>
              <w:jc w:val="center"/>
              <w:rPr>
                <w:rFonts w:ascii="仿宋" w:hAnsi="仿宋" w:eastAsia="仿宋" w:cs="仿宋"/>
                <w:color w:val="000000" w:themeColor="text1"/>
                <w:szCs w:val="21"/>
                <w14:textFill>
                  <w14:solidFill>
                    <w14:schemeClr w14:val="tx1"/>
                  </w14:solidFill>
                </w14:textFill>
              </w:rPr>
            </w:pPr>
          </w:p>
        </w:tc>
        <w:tc>
          <w:tcPr>
            <w:tcW w:w="709" w:type="pct"/>
            <w:vAlign w:val="center"/>
          </w:tcPr>
          <w:p>
            <w:pPr>
              <w:jc w:val="center"/>
              <w:rPr>
                <w:rFonts w:ascii="仿宋" w:hAnsi="仿宋" w:eastAsia="仿宋" w:cs="仿宋"/>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000000" w:themeColor="text1"/>
                <w:szCs w:val="21"/>
                <w14:textFill>
                  <w14:solidFill>
                    <w14:schemeClr w14:val="tx1"/>
                  </w14:solidFill>
                </w14:textFill>
              </w:rPr>
            </w:pPr>
          </w:p>
          <w:p>
            <w:pPr>
              <w:jc w:val="center"/>
              <w:rPr>
                <w:rFonts w:ascii="仿宋" w:hAnsi="仿宋" w:eastAsia="仿宋" w:cs="仿宋"/>
                <w:color w:val="000000" w:themeColor="text1"/>
                <w:szCs w:val="21"/>
                <w14:textFill>
                  <w14:solidFill>
                    <w14:schemeClr w14:val="tx1"/>
                  </w14:solidFill>
                </w14:textFill>
              </w:rPr>
            </w:pPr>
          </w:p>
        </w:tc>
        <w:tc>
          <w:tcPr>
            <w:tcW w:w="471" w:type="pct"/>
            <w:vAlign w:val="center"/>
          </w:tcPr>
          <w:p>
            <w:pPr>
              <w:jc w:val="center"/>
              <w:rPr>
                <w:rFonts w:ascii="仿宋" w:hAnsi="仿宋" w:eastAsia="仿宋" w:cs="仿宋"/>
                <w:color w:val="000000" w:themeColor="text1"/>
                <w:szCs w:val="21"/>
                <w14:textFill>
                  <w14:solidFill>
                    <w14:schemeClr w14:val="tx1"/>
                  </w14:solidFill>
                </w14:textFill>
              </w:rPr>
            </w:pPr>
          </w:p>
        </w:tc>
        <w:tc>
          <w:tcPr>
            <w:tcW w:w="678" w:type="pct"/>
            <w:vAlign w:val="center"/>
          </w:tcPr>
          <w:p>
            <w:pPr>
              <w:jc w:val="center"/>
              <w:rPr>
                <w:rFonts w:ascii="仿宋" w:hAnsi="仿宋" w:eastAsia="仿宋" w:cs="仿宋"/>
                <w:color w:val="000000" w:themeColor="text1"/>
                <w:szCs w:val="21"/>
                <w14:textFill>
                  <w14:solidFill>
                    <w14:schemeClr w14:val="tx1"/>
                  </w14:solidFill>
                </w14:textFill>
              </w:rPr>
            </w:pPr>
          </w:p>
        </w:tc>
        <w:tc>
          <w:tcPr>
            <w:tcW w:w="645" w:type="pct"/>
            <w:vAlign w:val="center"/>
          </w:tcPr>
          <w:p>
            <w:pPr>
              <w:jc w:val="center"/>
              <w:rPr>
                <w:rFonts w:ascii="仿宋" w:hAnsi="仿宋" w:eastAsia="仿宋" w:cs="仿宋"/>
                <w:color w:val="000000" w:themeColor="text1"/>
                <w:szCs w:val="21"/>
                <w14:textFill>
                  <w14:solidFill>
                    <w14:schemeClr w14:val="tx1"/>
                  </w14:solidFill>
                </w14:textFill>
              </w:rPr>
            </w:pPr>
          </w:p>
        </w:tc>
        <w:tc>
          <w:tcPr>
            <w:tcW w:w="641" w:type="pct"/>
            <w:vAlign w:val="center"/>
          </w:tcPr>
          <w:p>
            <w:pPr>
              <w:jc w:val="center"/>
              <w:rPr>
                <w:rFonts w:ascii="仿宋" w:hAnsi="仿宋" w:eastAsia="仿宋" w:cs="仿宋"/>
                <w:color w:val="000000" w:themeColor="text1"/>
                <w:szCs w:val="21"/>
                <w14:textFill>
                  <w14:solidFill>
                    <w14:schemeClr w14:val="tx1"/>
                  </w14:solidFill>
                </w14:textFill>
              </w:rPr>
            </w:pPr>
          </w:p>
        </w:tc>
        <w:tc>
          <w:tcPr>
            <w:tcW w:w="565" w:type="pct"/>
            <w:vAlign w:val="center"/>
          </w:tcPr>
          <w:p>
            <w:pPr>
              <w:jc w:val="center"/>
              <w:rPr>
                <w:rFonts w:ascii="仿宋" w:hAnsi="仿宋" w:eastAsia="仿宋" w:cs="仿宋"/>
                <w:color w:val="000000" w:themeColor="text1"/>
                <w:szCs w:val="21"/>
                <w14:textFill>
                  <w14:solidFill>
                    <w14:schemeClr w14:val="tx1"/>
                  </w14:solidFill>
                </w14:textFill>
              </w:rPr>
            </w:pPr>
          </w:p>
        </w:tc>
        <w:tc>
          <w:tcPr>
            <w:tcW w:w="821" w:type="pct"/>
            <w:vAlign w:val="center"/>
          </w:tcPr>
          <w:p>
            <w:pPr>
              <w:jc w:val="center"/>
              <w:rPr>
                <w:rFonts w:ascii="仿宋" w:hAnsi="仿宋" w:eastAsia="仿宋" w:cs="仿宋"/>
                <w:color w:val="000000" w:themeColor="text1"/>
                <w:szCs w:val="21"/>
                <w14:textFill>
                  <w14:solidFill>
                    <w14:schemeClr w14:val="tx1"/>
                  </w14:solidFill>
                </w14:textFill>
              </w:rPr>
            </w:pPr>
          </w:p>
        </w:tc>
        <w:tc>
          <w:tcPr>
            <w:tcW w:w="709" w:type="pct"/>
            <w:vAlign w:val="center"/>
          </w:tcPr>
          <w:p>
            <w:pPr>
              <w:jc w:val="center"/>
              <w:rPr>
                <w:rFonts w:ascii="仿宋" w:hAnsi="仿宋" w:eastAsia="仿宋" w:cs="仿宋"/>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000000" w:themeColor="text1"/>
                <w:szCs w:val="21"/>
                <w14:textFill>
                  <w14:solidFill>
                    <w14:schemeClr w14:val="tx1"/>
                  </w14:solidFill>
                </w14:textFill>
              </w:rPr>
            </w:pPr>
          </w:p>
        </w:tc>
        <w:tc>
          <w:tcPr>
            <w:tcW w:w="471" w:type="pct"/>
            <w:vAlign w:val="center"/>
          </w:tcPr>
          <w:p>
            <w:pPr>
              <w:jc w:val="center"/>
              <w:rPr>
                <w:rFonts w:ascii="仿宋" w:hAnsi="仿宋" w:eastAsia="仿宋" w:cs="仿宋"/>
                <w:color w:val="000000" w:themeColor="text1"/>
                <w:szCs w:val="21"/>
                <w14:textFill>
                  <w14:solidFill>
                    <w14:schemeClr w14:val="tx1"/>
                  </w14:solidFill>
                </w14:textFill>
              </w:rPr>
            </w:pPr>
          </w:p>
        </w:tc>
        <w:tc>
          <w:tcPr>
            <w:tcW w:w="678" w:type="pct"/>
            <w:vAlign w:val="center"/>
          </w:tcPr>
          <w:p>
            <w:pPr>
              <w:jc w:val="center"/>
              <w:rPr>
                <w:rFonts w:ascii="仿宋" w:hAnsi="仿宋" w:eastAsia="仿宋" w:cs="仿宋"/>
                <w:color w:val="000000" w:themeColor="text1"/>
                <w:szCs w:val="21"/>
                <w14:textFill>
                  <w14:solidFill>
                    <w14:schemeClr w14:val="tx1"/>
                  </w14:solidFill>
                </w14:textFill>
              </w:rPr>
            </w:pPr>
          </w:p>
        </w:tc>
        <w:tc>
          <w:tcPr>
            <w:tcW w:w="645" w:type="pct"/>
            <w:vAlign w:val="center"/>
          </w:tcPr>
          <w:p>
            <w:pPr>
              <w:jc w:val="center"/>
              <w:rPr>
                <w:rFonts w:ascii="仿宋" w:hAnsi="仿宋" w:eastAsia="仿宋" w:cs="仿宋"/>
                <w:color w:val="000000" w:themeColor="text1"/>
                <w:szCs w:val="21"/>
                <w14:textFill>
                  <w14:solidFill>
                    <w14:schemeClr w14:val="tx1"/>
                  </w14:solidFill>
                </w14:textFill>
              </w:rPr>
            </w:pPr>
          </w:p>
        </w:tc>
        <w:tc>
          <w:tcPr>
            <w:tcW w:w="641" w:type="pct"/>
            <w:vAlign w:val="center"/>
          </w:tcPr>
          <w:p>
            <w:pPr>
              <w:jc w:val="center"/>
              <w:rPr>
                <w:rFonts w:ascii="仿宋" w:hAnsi="仿宋" w:eastAsia="仿宋" w:cs="仿宋"/>
                <w:color w:val="000000" w:themeColor="text1"/>
                <w:szCs w:val="21"/>
                <w14:textFill>
                  <w14:solidFill>
                    <w14:schemeClr w14:val="tx1"/>
                  </w14:solidFill>
                </w14:textFill>
              </w:rPr>
            </w:pPr>
          </w:p>
        </w:tc>
        <w:tc>
          <w:tcPr>
            <w:tcW w:w="565" w:type="pct"/>
            <w:vAlign w:val="center"/>
          </w:tcPr>
          <w:p>
            <w:pPr>
              <w:jc w:val="center"/>
              <w:rPr>
                <w:rFonts w:ascii="仿宋" w:hAnsi="仿宋" w:eastAsia="仿宋" w:cs="仿宋"/>
                <w:color w:val="000000" w:themeColor="text1"/>
                <w:szCs w:val="21"/>
                <w14:textFill>
                  <w14:solidFill>
                    <w14:schemeClr w14:val="tx1"/>
                  </w14:solidFill>
                </w14:textFill>
              </w:rPr>
            </w:pPr>
          </w:p>
        </w:tc>
        <w:tc>
          <w:tcPr>
            <w:tcW w:w="821" w:type="pct"/>
            <w:vAlign w:val="center"/>
          </w:tcPr>
          <w:p>
            <w:pPr>
              <w:jc w:val="center"/>
              <w:rPr>
                <w:rFonts w:ascii="仿宋" w:hAnsi="仿宋" w:eastAsia="仿宋" w:cs="仿宋"/>
                <w:color w:val="000000" w:themeColor="text1"/>
                <w:szCs w:val="21"/>
                <w14:textFill>
                  <w14:solidFill>
                    <w14:schemeClr w14:val="tx1"/>
                  </w14:solidFill>
                </w14:textFill>
              </w:rPr>
            </w:pPr>
          </w:p>
        </w:tc>
        <w:tc>
          <w:tcPr>
            <w:tcW w:w="709" w:type="pct"/>
            <w:vAlign w:val="center"/>
          </w:tcPr>
          <w:p>
            <w:pPr>
              <w:jc w:val="center"/>
              <w:rPr>
                <w:rFonts w:ascii="仿宋" w:hAnsi="仿宋" w:eastAsia="仿宋" w:cs="仿宋"/>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000000" w:themeColor="text1"/>
                <w:szCs w:val="21"/>
                <w14:textFill>
                  <w14:solidFill>
                    <w14:schemeClr w14:val="tx1"/>
                  </w14:solidFill>
                </w14:textFill>
              </w:rPr>
            </w:pPr>
          </w:p>
        </w:tc>
        <w:tc>
          <w:tcPr>
            <w:tcW w:w="471" w:type="pct"/>
            <w:vAlign w:val="center"/>
          </w:tcPr>
          <w:p>
            <w:pPr>
              <w:jc w:val="center"/>
              <w:rPr>
                <w:rFonts w:ascii="仿宋" w:hAnsi="仿宋" w:eastAsia="仿宋" w:cs="仿宋"/>
                <w:color w:val="000000" w:themeColor="text1"/>
                <w:szCs w:val="21"/>
                <w14:textFill>
                  <w14:solidFill>
                    <w14:schemeClr w14:val="tx1"/>
                  </w14:solidFill>
                </w14:textFill>
              </w:rPr>
            </w:pPr>
          </w:p>
        </w:tc>
        <w:tc>
          <w:tcPr>
            <w:tcW w:w="678" w:type="pct"/>
            <w:vAlign w:val="center"/>
          </w:tcPr>
          <w:p>
            <w:pPr>
              <w:jc w:val="center"/>
              <w:rPr>
                <w:rFonts w:ascii="仿宋" w:hAnsi="仿宋" w:eastAsia="仿宋" w:cs="仿宋"/>
                <w:color w:val="000000" w:themeColor="text1"/>
                <w:szCs w:val="21"/>
                <w14:textFill>
                  <w14:solidFill>
                    <w14:schemeClr w14:val="tx1"/>
                  </w14:solidFill>
                </w14:textFill>
              </w:rPr>
            </w:pPr>
          </w:p>
        </w:tc>
        <w:tc>
          <w:tcPr>
            <w:tcW w:w="645" w:type="pct"/>
            <w:vAlign w:val="center"/>
          </w:tcPr>
          <w:p>
            <w:pPr>
              <w:jc w:val="center"/>
              <w:rPr>
                <w:rFonts w:ascii="仿宋" w:hAnsi="仿宋" w:eastAsia="仿宋" w:cs="仿宋"/>
                <w:color w:val="000000" w:themeColor="text1"/>
                <w:szCs w:val="21"/>
                <w14:textFill>
                  <w14:solidFill>
                    <w14:schemeClr w14:val="tx1"/>
                  </w14:solidFill>
                </w14:textFill>
              </w:rPr>
            </w:pPr>
          </w:p>
        </w:tc>
        <w:tc>
          <w:tcPr>
            <w:tcW w:w="641" w:type="pct"/>
            <w:vAlign w:val="center"/>
          </w:tcPr>
          <w:p>
            <w:pPr>
              <w:jc w:val="center"/>
              <w:rPr>
                <w:rFonts w:ascii="仿宋" w:hAnsi="仿宋" w:eastAsia="仿宋" w:cs="仿宋"/>
                <w:color w:val="000000" w:themeColor="text1"/>
                <w:szCs w:val="21"/>
                <w14:textFill>
                  <w14:solidFill>
                    <w14:schemeClr w14:val="tx1"/>
                  </w14:solidFill>
                </w14:textFill>
              </w:rPr>
            </w:pPr>
          </w:p>
        </w:tc>
        <w:tc>
          <w:tcPr>
            <w:tcW w:w="565" w:type="pct"/>
            <w:vAlign w:val="center"/>
          </w:tcPr>
          <w:p>
            <w:pPr>
              <w:jc w:val="center"/>
              <w:rPr>
                <w:rFonts w:ascii="仿宋" w:hAnsi="仿宋" w:eastAsia="仿宋" w:cs="仿宋"/>
                <w:color w:val="000000" w:themeColor="text1"/>
                <w:szCs w:val="21"/>
                <w14:textFill>
                  <w14:solidFill>
                    <w14:schemeClr w14:val="tx1"/>
                  </w14:solidFill>
                </w14:textFill>
              </w:rPr>
            </w:pPr>
          </w:p>
        </w:tc>
        <w:tc>
          <w:tcPr>
            <w:tcW w:w="821" w:type="pct"/>
            <w:vAlign w:val="center"/>
          </w:tcPr>
          <w:p>
            <w:pPr>
              <w:jc w:val="center"/>
              <w:rPr>
                <w:rFonts w:ascii="仿宋" w:hAnsi="仿宋" w:eastAsia="仿宋" w:cs="仿宋"/>
                <w:color w:val="000000" w:themeColor="text1"/>
                <w:szCs w:val="21"/>
                <w14:textFill>
                  <w14:solidFill>
                    <w14:schemeClr w14:val="tx1"/>
                  </w14:solidFill>
                </w14:textFill>
              </w:rPr>
            </w:pPr>
          </w:p>
        </w:tc>
        <w:tc>
          <w:tcPr>
            <w:tcW w:w="709" w:type="pct"/>
            <w:vAlign w:val="center"/>
          </w:tcPr>
          <w:p>
            <w:pPr>
              <w:jc w:val="center"/>
              <w:rPr>
                <w:rFonts w:ascii="仿宋" w:hAnsi="仿宋" w:eastAsia="仿宋" w:cs="仿宋"/>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000000" w:themeColor="text1"/>
                <w:szCs w:val="21"/>
                <w14:textFill>
                  <w14:solidFill>
                    <w14:schemeClr w14:val="tx1"/>
                  </w14:solidFill>
                </w14:textFill>
              </w:rPr>
            </w:pPr>
          </w:p>
        </w:tc>
        <w:tc>
          <w:tcPr>
            <w:tcW w:w="471" w:type="pct"/>
            <w:vAlign w:val="center"/>
          </w:tcPr>
          <w:p>
            <w:pPr>
              <w:jc w:val="center"/>
              <w:rPr>
                <w:rFonts w:ascii="仿宋" w:hAnsi="仿宋" w:eastAsia="仿宋" w:cs="仿宋"/>
                <w:color w:val="000000" w:themeColor="text1"/>
                <w:szCs w:val="21"/>
                <w14:textFill>
                  <w14:solidFill>
                    <w14:schemeClr w14:val="tx1"/>
                  </w14:solidFill>
                </w14:textFill>
              </w:rPr>
            </w:pPr>
          </w:p>
        </w:tc>
        <w:tc>
          <w:tcPr>
            <w:tcW w:w="678" w:type="pct"/>
            <w:vAlign w:val="center"/>
          </w:tcPr>
          <w:p>
            <w:pPr>
              <w:jc w:val="center"/>
              <w:rPr>
                <w:rFonts w:ascii="仿宋" w:hAnsi="仿宋" w:eastAsia="仿宋" w:cs="仿宋"/>
                <w:color w:val="000000" w:themeColor="text1"/>
                <w:szCs w:val="21"/>
                <w14:textFill>
                  <w14:solidFill>
                    <w14:schemeClr w14:val="tx1"/>
                  </w14:solidFill>
                </w14:textFill>
              </w:rPr>
            </w:pPr>
          </w:p>
        </w:tc>
        <w:tc>
          <w:tcPr>
            <w:tcW w:w="645" w:type="pct"/>
            <w:vAlign w:val="center"/>
          </w:tcPr>
          <w:p>
            <w:pPr>
              <w:jc w:val="center"/>
              <w:rPr>
                <w:rFonts w:ascii="仿宋" w:hAnsi="仿宋" w:eastAsia="仿宋" w:cs="仿宋"/>
                <w:color w:val="000000" w:themeColor="text1"/>
                <w:szCs w:val="21"/>
                <w14:textFill>
                  <w14:solidFill>
                    <w14:schemeClr w14:val="tx1"/>
                  </w14:solidFill>
                </w14:textFill>
              </w:rPr>
            </w:pPr>
          </w:p>
        </w:tc>
        <w:tc>
          <w:tcPr>
            <w:tcW w:w="641" w:type="pct"/>
            <w:vAlign w:val="center"/>
          </w:tcPr>
          <w:p>
            <w:pPr>
              <w:jc w:val="center"/>
              <w:rPr>
                <w:rFonts w:ascii="仿宋" w:hAnsi="仿宋" w:eastAsia="仿宋" w:cs="仿宋"/>
                <w:color w:val="000000" w:themeColor="text1"/>
                <w:szCs w:val="21"/>
                <w14:textFill>
                  <w14:solidFill>
                    <w14:schemeClr w14:val="tx1"/>
                  </w14:solidFill>
                </w14:textFill>
              </w:rPr>
            </w:pPr>
          </w:p>
        </w:tc>
        <w:tc>
          <w:tcPr>
            <w:tcW w:w="565" w:type="pct"/>
            <w:vAlign w:val="center"/>
          </w:tcPr>
          <w:p>
            <w:pPr>
              <w:jc w:val="center"/>
              <w:rPr>
                <w:rFonts w:ascii="仿宋" w:hAnsi="仿宋" w:eastAsia="仿宋" w:cs="仿宋"/>
                <w:color w:val="000000" w:themeColor="text1"/>
                <w:szCs w:val="21"/>
                <w14:textFill>
                  <w14:solidFill>
                    <w14:schemeClr w14:val="tx1"/>
                  </w14:solidFill>
                </w14:textFill>
              </w:rPr>
            </w:pPr>
          </w:p>
        </w:tc>
        <w:tc>
          <w:tcPr>
            <w:tcW w:w="821" w:type="pct"/>
            <w:vAlign w:val="center"/>
          </w:tcPr>
          <w:p>
            <w:pPr>
              <w:jc w:val="center"/>
              <w:rPr>
                <w:rFonts w:ascii="仿宋" w:hAnsi="仿宋" w:eastAsia="仿宋" w:cs="仿宋"/>
                <w:color w:val="000000" w:themeColor="text1"/>
                <w:szCs w:val="21"/>
                <w14:textFill>
                  <w14:solidFill>
                    <w14:schemeClr w14:val="tx1"/>
                  </w14:solidFill>
                </w14:textFill>
              </w:rPr>
            </w:pPr>
          </w:p>
        </w:tc>
        <w:tc>
          <w:tcPr>
            <w:tcW w:w="709" w:type="pct"/>
            <w:vAlign w:val="center"/>
          </w:tcPr>
          <w:p>
            <w:pPr>
              <w:jc w:val="center"/>
              <w:rPr>
                <w:rFonts w:ascii="仿宋" w:hAnsi="仿宋" w:eastAsia="仿宋" w:cs="仿宋"/>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000000" w:themeColor="text1"/>
                <w:szCs w:val="21"/>
                <w14:textFill>
                  <w14:solidFill>
                    <w14:schemeClr w14:val="tx1"/>
                  </w14:solidFill>
                </w14:textFill>
              </w:rPr>
            </w:pPr>
          </w:p>
        </w:tc>
        <w:tc>
          <w:tcPr>
            <w:tcW w:w="471" w:type="pct"/>
            <w:vAlign w:val="center"/>
          </w:tcPr>
          <w:p>
            <w:pPr>
              <w:jc w:val="center"/>
              <w:rPr>
                <w:rFonts w:ascii="仿宋" w:hAnsi="仿宋" w:eastAsia="仿宋" w:cs="仿宋"/>
                <w:color w:val="000000" w:themeColor="text1"/>
                <w:szCs w:val="21"/>
                <w14:textFill>
                  <w14:solidFill>
                    <w14:schemeClr w14:val="tx1"/>
                  </w14:solidFill>
                </w14:textFill>
              </w:rPr>
            </w:pPr>
          </w:p>
        </w:tc>
        <w:tc>
          <w:tcPr>
            <w:tcW w:w="678" w:type="pct"/>
            <w:vAlign w:val="center"/>
          </w:tcPr>
          <w:p>
            <w:pPr>
              <w:jc w:val="center"/>
              <w:rPr>
                <w:rFonts w:ascii="仿宋" w:hAnsi="仿宋" w:eastAsia="仿宋" w:cs="仿宋"/>
                <w:color w:val="000000" w:themeColor="text1"/>
                <w:szCs w:val="21"/>
                <w14:textFill>
                  <w14:solidFill>
                    <w14:schemeClr w14:val="tx1"/>
                  </w14:solidFill>
                </w14:textFill>
              </w:rPr>
            </w:pPr>
          </w:p>
        </w:tc>
        <w:tc>
          <w:tcPr>
            <w:tcW w:w="645" w:type="pct"/>
            <w:vAlign w:val="center"/>
          </w:tcPr>
          <w:p>
            <w:pPr>
              <w:jc w:val="center"/>
              <w:rPr>
                <w:rFonts w:ascii="仿宋" w:hAnsi="仿宋" w:eastAsia="仿宋" w:cs="仿宋"/>
                <w:color w:val="000000" w:themeColor="text1"/>
                <w:szCs w:val="21"/>
                <w14:textFill>
                  <w14:solidFill>
                    <w14:schemeClr w14:val="tx1"/>
                  </w14:solidFill>
                </w14:textFill>
              </w:rPr>
            </w:pPr>
          </w:p>
        </w:tc>
        <w:tc>
          <w:tcPr>
            <w:tcW w:w="641" w:type="pct"/>
            <w:vAlign w:val="center"/>
          </w:tcPr>
          <w:p>
            <w:pPr>
              <w:jc w:val="center"/>
              <w:rPr>
                <w:rFonts w:ascii="仿宋" w:hAnsi="仿宋" w:eastAsia="仿宋" w:cs="仿宋"/>
                <w:color w:val="000000" w:themeColor="text1"/>
                <w:szCs w:val="21"/>
                <w14:textFill>
                  <w14:solidFill>
                    <w14:schemeClr w14:val="tx1"/>
                  </w14:solidFill>
                </w14:textFill>
              </w:rPr>
            </w:pPr>
          </w:p>
        </w:tc>
        <w:tc>
          <w:tcPr>
            <w:tcW w:w="565" w:type="pct"/>
            <w:vAlign w:val="center"/>
          </w:tcPr>
          <w:p>
            <w:pPr>
              <w:jc w:val="center"/>
              <w:rPr>
                <w:rFonts w:ascii="仿宋" w:hAnsi="仿宋" w:eastAsia="仿宋" w:cs="仿宋"/>
                <w:color w:val="000000" w:themeColor="text1"/>
                <w:szCs w:val="21"/>
                <w14:textFill>
                  <w14:solidFill>
                    <w14:schemeClr w14:val="tx1"/>
                  </w14:solidFill>
                </w14:textFill>
              </w:rPr>
            </w:pPr>
          </w:p>
        </w:tc>
        <w:tc>
          <w:tcPr>
            <w:tcW w:w="821" w:type="pct"/>
            <w:vAlign w:val="center"/>
          </w:tcPr>
          <w:p>
            <w:pPr>
              <w:jc w:val="center"/>
              <w:rPr>
                <w:rFonts w:ascii="仿宋" w:hAnsi="仿宋" w:eastAsia="仿宋" w:cs="仿宋"/>
                <w:color w:val="000000" w:themeColor="text1"/>
                <w:szCs w:val="21"/>
                <w14:textFill>
                  <w14:solidFill>
                    <w14:schemeClr w14:val="tx1"/>
                  </w14:solidFill>
                </w14:textFill>
              </w:rPr>
            </w:pPr>
          </w:p>
        </w:tc>
        <w:tc>
          <w:tcPr>
            <w:tcW w:w="709" w:type="pct"/>
            <w:vAlign w:val="center"/>
          </w:tcPr>
          <w:p>
            <w:pPr>
              <w:jc w:val="center"/>
              <w:rPr>
                <w:rFonts w:ascii="仿宋" w:hAnsi="仿宋" w:eastAsia="仿宋" w:cs="仿宋"/>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000000" w:themeColor="text1"/>
                <w:szCs w:val="21"/>
                <w14:textFill>
                  <w14:solidFill>
                    <w14:schemeClr w14:val="tx1"/>
                  </w14:solidFill>
                </w14:textFill>
              </w:rPr>
            </w:pPr>
          </w:p>
        </w:tc>
        <w:tc>
          <w:tcPr>
            <w:tcW w:w="471" w:type="pct"/>
            <w:vAlign w:val="center"/>
          </w:tcPr>
          <w:p>
            <w:pPr>
              <w:jc w:val="center"/>
              <w:rPr>
                <w:rFonts w:ascii="仿宋" w:hAnsi="仿宋" w:eastAsia="仿宋" w:cs="仿宋"/>
                <w:color w:val="000000" w:themeColor="text1"/>
                <w:szCs w:val="21"/>
                <w14:textFill>
                  <w14:solidFill>
                    <w14:schemeClr w14:val="tx1"/>
                  </w14:solidFill>
                </w14:textFill>
              </w:rPr>
            </w:pPr>
          </w:p>
        </w:tc>
        <w:tc>
          <w:tcPr>
            <w:tcW w:w="678" w:type="pct"/>
            <w:vAlign w:val="center"/>
          </w:tcPr>
          <w:p>
            <w:pPr>
              <w:jc w:val="center"/>
              <w:rPr>
                <w:rFonts w:ascii="仿宋" w:hAnsi="仿宋" w:eastAsia="仿宋" w:cs="仿宋"/>
                <w:color w:val="000000" w:themeColor="text1"/>
                <w:szCs w:val="21"/>
                <w14:textFill>
                  <w14:solidFill>
                    <w14:schemeClr w14:val="tx1"/>
                  </w14:solidFill>
                </w14:textFill>
              </w:rPr>
            </w:pPr>
          </w:p>
        </w:tc>
        <w:tc>
          <w:tcPr>
            <w:tcW w:w="645" w:type="pct"/>
            <w:vAlign w:val="center"/>
          </w:tcPr>
          <w:p>
            <w:pPr>
              <w:jc w:val="center"/>
              <w:rPr>
                <w:rFonts w:ascii="仿宋" w:hAnsi="仿宋" w:eastAsia="仿宋" w:cs="仿宋"/>
                <w:color w:val="000000" w:themeColor="text1"/>
                <w:szCs w:val="21"/>
                <w14:textFill>
                  <w14:solidFill>
                    <w14:schemeClr w14:val="tx1"/>
                  </w14:solidFill>
                </w14:textFill>
              </w:rPr>
            </w:pPr>
          </w:p>
        </w:tc>
        <w:tc>
          <w:tcPr>
            <w:tcW w:w="641" w:type="pct"/>
            <w:vAlign w:val="center"/>
          </w:tcPr>
          <w:p>
            <w:pPr>
              <w:jc w:val="center"/>
              <w:rPr>
                <w:rFonts w:ascii="仿宋" w:hAnsi="仿宋" w:eastAsia="仿宋" w:cs="仿宋"/>
                <w:color w:val="000000" w:themeColor="text1"/>
                <w:szCs w:val="21"/>
                <w14:textFill>
                  <w14:solidFill>
                    <w14:schemeClr w14:val="tx1"/>
                  </w14:solidFill>
                </w14:textFill>
              </w:rPr>
            </w:pPr>
          </w:p>
        </w:tc>
        <w:tc>
          <w:tcPr>
            <w:tcW w:w="565" w:type="pct"/>
            <w:vAlign w:val="center"/>
          </w:tcPr>
          <w:p>
            <w:pPr>
              <w:jc w:val="center"/>
              <w:rPr>
                <w:rFonts w:ascii="仿宋" w:hAnsi="仿宋" w:eastAsia="仿宋" w:cs="仿宋"/>
                <w:color w:val="000000" w:themeColor="text1"/>
                <w:szCs w:val="21"/>
                <w14:textFill>
                  <w14:solidFill>
                    <w14:schemeClr w14:val="tx1"/>
                  </w14:solidFill>
                </w14:textFill>
              </w:rPr>
            </w:pPr>
          </w:p>
        </w:tc>
        <w:tc>
          <w:tcPr>
            <w:tcW w:w="821" w:type="pct"/>
            <w:vAlign w:val="center"/>
          </w:tcPr>
          <w:p>
            <w:pPr>
              <w:jc w:val="center"/>
              <w:rPr>
                <w:rFonts w:ascii="仿宋" w:hAnsi="仿宋" w:eastAsia="仿宋" w:cs="仿宋"/>
                <w:color w:val="000000" w:themeColor="text1"/>
                <w:szCs w:val="21"/>
                <w14:textFill>
                  <w14:solidFill>
                    <w14:schemeClr w14:val="tx1"/>
                  </w14:solidFill>
                </w14:textFill>
              </w:rPr>
            </w:pPr>
          </w:p>
        </w:tc>
        <w:tc>
          <w:tcPr>
            <w:tcW w:w="709" w:type="pct"/>
            <w:vAlign w:val="center"/>
          </w:tcPr>
          <w:p>
            <w:pPr>
              <w:jc w:val="center"/>
              <w:rPr>
                <w:rFonts w:ascii="仿宋" w:hAnsi="仿宋" w:eastAsia="仿宋" w:cs="仿宋"/>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000000" w:themeColor="text1"/>
                <w:szCs w:val="21"/>
                <w14:textFill>
                  <w14:solidFill>
                    <w14:schemeClr w14:val="tx1"/>
                  </w14:solidFill>
                </w14:textFill>
              </w:rPr>
            </w:pPr>
          </w:p>
        </w:tc>
        <w:tc>
          <w:tcPr>
            <w:tcW w:w="471" w:type="pct"/>
            <w:vAlign w:val="center"/>
          </w:tcPr>
          <w:p>
            <w:pPr>
              <w:jc w:val="center"/>
              <w:rPr>
                <w:rFonts w:ascii="仿宋" w:hAnsi="仿宋" w:eastAsia="仿宋" w:cs="仿宋"/>
                <w:color w:val="000000" w:themeColor="text1"/>
                <w:szCs w:val="21"/>
                <w14:textFill>
                  <w14:solidFill>
                    <w14:schemeClr w14:val="tx1"/>
                  </w14:solidFill>
                </w14:textFill>
              </w:rPr>
            </w:pPr>
          </w:p>
        </w:tc>
        <w:tc>
          <w:tcPr>
            <w:tcW w:w="678" w:type="pct"/>
            <w:vAlign w:val="center"/>
          </w:tcPr>
          <w:p>
            <w:pPr>
              <w:jc w:val="center"/>
              <w:rPr>
                <w:rFonts w:ascii="仿宋" w:hAnsi="仿宋" w:eastAsia="仿宋" w:cs="仿宋"/>
                <w:color w:val="000000" w:themeColor="text1"/>
                <w:szCs w:val="21"/>
                <w14:textFill>
                  <w14:solidFill>
                    <w14:schemeClr w14:val="tx1"/>
                  </w14:solidFill>
                </w14:textFill>
              </w:rPr>
            </w:pPr>
          </w:p>
        </w:tc>
        <w:tc>
          <w:tcPr>
            <w:tcW w:w="645" w:type="pct"/>
            <w:vAlign w:val="center"/>
          </w:tcPr>
          <w:p>
            <w:pPr>
              <w:jc w:val="center"/>
              <w:rPr>
                <w:rFonts w:ascii="仿宋" w:hAnsi="仿宋" w:eastAsia="仿宋" w:cs="仿宋"/>
                <w:color w:val="000000" w:themeColor="text1"/>
                <w:szCs w:val="21"/>
                <w14:textFill>
                  <w14:solidFill>
                    <w14:schemeClr w14:val="tx1"/>
                  </w14:solidFill>
                </w14:textFill>
              </w:rPr>
            </w:pPr>
          </w:p>
        </w:tc>
        <w:tc>
          <w:tcPr>
            <w:tcW w:w="641" w:type="pct"/>
            <w:vAlign w:val="center"/>
          </w:tcPr>
          <w:p>
            <w:pPr>
              <w:jc w:val="center"/>
              <w:rPr>
                <w:rFonts w:ascii="仿宋" w:hAnsi="仿宋" w:eastAsia="仿宋" w:cs="仿宋"/>
                <w:color w:val="000000" w:themeColor="text1"/>
                <w:szCs w:val="21"/>
                <w14:textFill>
                  <w14:solidFill>
                    <w14:schemeClr w14:val="tx1"/>
                  </w14:solidFill>
                </w14:textFill>
              </w:rPr>
            </w:pPr>
          </w:p>
        </w:tc>
        <w:tc>
          <w:tcPr>
            <w:tcW w:w="565" w:type="pct"/>
            <w:vAlign w:val="center"/>
          </w:tcPr>
          <w:p>
            <w:pPr>
              <w:jc w:val="center"/>
              <w:rPr>
                <w:rFonts w:ascii="仿宋" w:hAnsi="仿宋" w:eastAsia="仿宋" w:cs="仿宋"/>
                <w:color w:val="000000" w:themeColor="text1"/>
                <w:szCs w:val="21"/>
                <w14:textFill>
                  <w14:solidFill>
                    <w14:schemeClr w14:val="tx1"/>
                  </w14:solidFill>
                </w14:textFill>
              </w:rPr>
            </w:pPr>
          </w:p>
        </w:tc>
        <w:tc>
          <w:tcPr>
            <w:tcW w:w="821" w:type="pct"/>
            <w:vAlign w:val="center"/>
          </w:tcPr>
          <w:p>
            <w:pPr>
              <w:jc w:val="center"/>
              <w:rPr>
                <w:rFonts w:ascii="仿宋" w:hAnsi="仿宋" w:eastAsia="仿宋" w:cs="仿宋"/>
                <w:color w:val="000000" w:themeColor="text1"/>
                <w:szCs w:val="21"/>
                <w14:textFill>
                  <w14:solidFill>
                    <w14:schemeClr w14:val="tx1"/>
                  </w14:solidFill>
                </w14:textFill>
              </w:rPr>
            </w:pPr>
          </w:p>
        </w:tc>
        <w:tc>
          <w:tcPr>
            <w:tcW w:w="709" w:type="pct"/>
            <w:vAlign w:val="center"/>
          </w:tcPr>
          <w:p>
            <w:pPr>
              <w:jc w:val="center"/>
              <w:rPr>
                <w:rFonts w:ascii="仿宋" w:hAnsi="仿宋" w:eastAsia="仿宋" w:cs="仿宋"/>
                <w:color w:val="000000" w:themeColor="text1"/>
                <w:szCs w:val="21"/>
                <w14:textFill>
                  <w14:solidFill>
                    <w14:schemeClr w14:val="tx1"/>
                  </w14:solidFill>
                </w14:textFill>
              </w:rPr>
            </w:pPr>
          </w:p>
        </w:tc>
      </w:tr>
    </w:tbl>
    <w:p>
      <w:pPr>
        <w:spacing w:line="360" w:lineRule="auto"/>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备注：</w:t>
      </w:r>
    </w:p>
    <w:p>
      <w:pPr>
        <w:spacing w:line="360" w:lineRule="auto"/>
        <w:textAlignment w:val="baseline"/>
        <w:rPr>
          <w:rFonts w:ascii="仿宋" w:hAnsi="仿宋" w:eastAsia="仿宋"/>
          <w:b/>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2）按照比价公告的资格要求提供有效的实施经验证明材料，作为资格后审的评审依据。</w:t>
      </w:r>
    </w:p>
    <w:p>
      <w:pPr>
        <w:spacing w:line="360" w:lineRule="auto"/>
        <w:textAlignment w:val="baseline"/>
        <w:rPr>
          <w:rFonts w:ascii="仿宋" w:hAnsi="仿宋" w:eastAsia="仿宋"/>
          <w:b/>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000000" w:themeColor="text1"/>
          <w14:textFill>
            <w14:solidFill>
              <w14:schemeClr w14:val="tx1"/>
            </w14:solidFill>
          </w14:textFill>
        </w:rPr>
      </w:pPr>
    </w:p>
    <w:p>
      <w:pPr>
        <w:spacing w:line="360" w:lineRule="auto"/>
        <w:ind w:firstLine="480" w:firstLineChars="200"/>
        <w:rPr>
          <w:rFonts w:ascii="仿宋" w:hAnsi="仿宋" w:eastAsia="仿宋" w:cs="仿宋"/>
          <w:bCs/>
          <w:color w:val="000000" w:themeColor="text1"/>
          <w14:textFill>
            <w14:solidFill>
              <w14:schemeClr w14:val="tx1"/>
            </w14:solidFill>
          </w14:textFill>
        </w:rPr>
      </w:pPr>
    </w:p>
    <w:p>
      <w:pPr>
        <w:pStyle w:val="51"/>
        <w:topLinePunct/>
        <w:adjustRightInd w:val="0"/>
        <w:snapToGrid w:val="0"/>
        <w:spacing w:line="360" w:lineRule="auto"/>
        <w:ind w:left="1575" w:firstLine="0" w:firstLineChars="0"/>
        <w:rPr>
          <w:rFonts w:ascii="仿宋" w:hAnsi="仿宋" w:eastAsia="仿宋" w:cs="仿宋"/>
          <w:bCs/>
          <w:color w:val="000000" w:themeColor="text1"/>
          <w14:textFill>
            <w14:solidFill>
              <w14:schemeClr w14:val="tx1"/>
            </w14:solidFill>
          </w14:textFill>
        </w:rPr>
      </w:pPr>
    </w:p>
    <w:p>
      <w:pPr>
        <w:pStyle w:val="51"/>
        <w:topLinePunct/>
        <w:adjustRightInd w:val="0"/>
        <w:snapToGrid w:val="0"/>
        <w:spacing w:line="360" w:lineRule="auto"/>
        <w:ind w:left="1575" w:firstLine="0" w:firstLineChars="0"/>
        <w:rPr>
          <w:rFonts w:ascii="仿宋" w:hAnsi="仿宋" w:eastAsia="仿宋" w:cs="仿宋"/>
          <w:bCs/>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（盖章）</w:t>
      </w:r>
    </w:p>
    <w:p>
      <w:pPr>
        <w:spacing w:line="360" w:lineRule="auto"/>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年</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月</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日</w:t>
      </w:r>
    </w:p>
    <w:p>
      <w:pPr>
        <w:pStyle w:val="2"/>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、无违法违规记录查询截图</w:t>
      </w:r>
    </w:p>
    <w:p>
      <w:pPr>
        <w:snapToGrid w:val="0"/>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信用中国查询网址：https://www.creditchina.gov.cn/xinxigongshi/</w:t>
      </w:r>
    </w:p>
    <w:p>
      <w:pPr>
        <w:snapToGrid w:val="0"/>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政府采购严重违法失信行为记录名单查询网址：</w:t>
      </w:r>
    </w:p>
    <w:p>
      <w:pPr>
        <w:snapToGrid w:val="0"/>
        <w:ind w:firstLine="480" w:firstLineChars="200"/>
        <w:textAlignment w:val="baseline"/>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https://www.creditchina.gov.cn/zhuanxiangchaxun/zhengfucaigouyanzhongweifashixinmingdan/</w:t>
      </w:r>
    </w:p>
    <w:p>
      <w:pPr>
        <w:spacing w:line="360" w:lineRule="auto"/>
        <w:textAlignment w:val="baseline"/>
        <w:rPr>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（1）失信被执行人查询截图范例：</w:t>
      </w:r>
    </w:p>
    <w:p>
      <w:pPr>
        <w:ind w:firstLine="240" w:firstLineChars="100"/>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2"/>
                    <a:stretch>
                      <a:fillRect/>
                    </a:stretch>
                  </pic:blipFill>
                  <pic:spPr>
                    <a:xfrm>
                      <a:off x="0" y="0"/>
                      <a:ext cx="6117590" cy="3164840"/>
                    </a:xfrm>
                    <a:prstGeom prst="rect">
                      <a:avLst/>
                    </a:prstGeom>
                  </pic:spPr>
                </pic:pic>
              </a:graphicData>
            </a:graphic>
          </wp:inline>
        </w:drawing>
      </w:r>
    </w:p>
    <w:p>
      <w:pPr>
        <w:rPr>
          <w:rFonts w:ascii="仿宋" w:hAnsi="仿宋" w:eastAsia="仿宋"/>
          <w:color w:val="000000" w:themeColor="text1"/>
          <w:szCs w:val="2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（2）</w:t>
      </w:r>
      <w:r>
        <w:rPr>
          <w:rFonts w:hint="eastAsia" w:ascii="仿宋" w:hAnsi="仿宋" w:eastAsia="仿宋" w:cs="微软雅黑"/>
          <w:color w:val="000000" w:themeColor="text1"/>
          <w14:textFill>
            <w14:solidFill>
              <w14:schemeClr w14:val="tx1"/>
            </w14:solidFill>
          </w14:textFill>
        </w:rPr>
        <w:t>重大</w:t>
      </w:r>
      <w:r>
        <w:rPr>
          <w:rFonts w:hint="eastAsia" w:ascii="仿宋" w:hAnsi="仿宋" w:eastAsia="仿宋" w:cs="仿宋"/>
          <w:color w:val="000000" w:themeColor="text1"/>
          <w14:textFill>
            <w14:solidFill>
              <w14:schemeClr w14:val="tx1"/>
            </w14:solidFill>
          </w14:textFill>
        </w:rPr>
        <w:t>税收违法失信主体</w:t>
      </w:r>
      <w:r>
        <w:rPr>
          <w:rFonts w:hint="eastAsia" w:ascii="仿宋" w:hAnsi="仿宋" w:eastAsia="仿宋" w:cs="微软雅黑"/>
          <w:color w:val="000000" w:themeColor="text1"/>
          <w14:textFill>
            <w14:solidFill>
              <w14:schemeClr w14:val="tx1"/>
            </w14:solidFill>
          </w14:textFill>
        </w:rPr>
        <w:t>查询截图范例：</w:t>
      </w:r>
    </w:p>
    <w:p>
      <w:pPr>
        <w:rPr>
          <w:rFonts w:ascii="仿宋" w:hAnsi="仿宋" w:eastAsia="仿宋" w:cs="Cambria Math"/>
          <w:color w:val="000000" w:themeColor="text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3"/>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（3）政府采购严重违法失信行为记录名单查询截图范例：</w:t>
      </w:r>
    </w:p>
    <w:p>
      <w:pPr>
        <w:ind w:firstLine="240" w:firstLineChars="100"/>
        <w:rPr>
          <w:rFonts w:ascii="仿宋" w:hAnsi="仿宋" w:eastAsia="仿宋" w:cs="仿宋"/>
          <w:color w:val="000000" w:themeColor="text1"/>
          <w14:textFill>
            <w14:solidFill>
              <w14:schemeClr w14:val="tx1"/>
            </w14:solidFill>
          </w14:textFill>
        </w:rPr>
      </w:pPr>
      <w:r>
        <w:rPr>
          <w:rFonts w:hint="eastAsia" w:eastAsia="宋体"/>
          <w:color w:val="000000" w:themeColor="text1"/>
          <w14:textFill>
            <w14:solidFill>
              <w14:schemeClr w14:val="tx1"/>
            </w14:solidFill>
          </w14:textFill>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4"/>
                    <a:stretch>
                      <a:fillRect/>
                    </a:stretch>
                  </pic:blipFill>
                  <pic:spPr>
                    <a:xfrm>
                      <a:off x="0" y="0"/>
                      <a:ext cx="6117590" cy="3169285"/>
                    </a:xfrm>
                    <a:prstGeom prst="rect">
                      <a:avLst/>
                    </a:prstGeom>
                  </pic:spPr>
                </pic:pic>
              </a:graphicData>
            </a:graphic>
          </wp:inline>
        </w:drawing>
      </w:r>
      <w:r>
        <w:rPr>
          <w:rFonts w:ascii="仿宋" w:hAnsi="仿宋" w:eastAsia="仿宋" w:cs="仿宋"/>
          <w:color w:val="000000" w:themeColor="text1"/>
          <w14:textFill>
            <w14:solidFill>
              <w14:schemeClr w14:val="tx1"/>
            </w14:solidFill>
          </w14:textFill>
        </w:rPr>
        <w:br w:type="page"/>
      </w:r>
      <w:r>
        <w:rPr>
          <w:rFonts w:hint="eastAsia" w:ascii="仿宋" w:hAnsi="仿宋" w:eastAsia="仿宋" w:cs="仿宋"/>
          <w:color w:val="000000" w:themeColor="text1"/>
          <w:lang w:val="en-US" w:eastAsia="zh-CN"/>
          <w14:textFill>
            <w14:solidFill>
              <w14:schemeClr w14:val="tx1"/>
            </w14:solidFill>
          </w14:textFill>
        </w:rPr>
        <w:t>4</w:t>
      </w:r>
      <w:r>
        <w:rPr>
          <w:rFonts w:hint="eastAsia" w:ascii="仿宋" w:hAnsi="仿宋" w:eastAsia="仿宋" w:cs="仿宋"/>
          <w:color w:val="000000" w:themeColor="text1"/>
          <w14:textFill>
            <w14:solidFill>
              <w14:schemeClr w14:val="tx1"/>
            </w14:solidFill>
          </w14:textFill>
        </w:rPr>
        <w:t>、未列入供应商黑名单且未在禁入期承诺函</w:t>
      </w:r>
    </w:p>
    <w:p>
      <w:pPr>
        <w:pStyle w:val="2"/>
        <w:spacing w:before="240"/>
        <w:jc w:val="both"/>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致：</w:t>
      </w:r>
      <w:r>
        <w:rPr>
          <w:rFonts w:hint="eastAsia" w:ascii="仿宋" w:hAnsi="仿宋" w:eastAsia="仿宋" w:cs="Cambria Math"/>
          <w:color w:val="000000" w:themeColor="text1"/>
          <w:u w:val="single"/>
          <w14:textFill>
            <w14:solidFill>
              <w14:schemeClr w14:val="tx1"/>
            </w14:solidFill>
          </w14:textFill>
        </w:rPr>
        <w:t>中国人民财产保险股份有限公司广安市分公司</w:t>
      </w:r>
      <w:r>
        <w:rPr>
          <w:rFonts w:hint="eastAsia" w:ascii="仿宋" w:hAnsi="仿宋" w:eastAsia="仿宋" w:cs="Cambria Math"/>
          <w:color w:val="000000" w:themeColor="text1"/>
          <w14:textFill>
            <w14:solidFill>
              <w14:schemeClr w14:val="tx1"/>
            </w14:solidFill>
          </w14:textFill>
        </w:rPr>
        <w:t>：</w:t>
      </w:r>
    </w:p>
    <w:p>
      <w:pPr>
        <w:adjustRightInd w:val="0"/>
        <w:snapToGrid w:val="0"/>
        <w:spacing w:before="240" w:line="360" w:lineRule="auto"/>
        <w:ind w:firstLine="480" w:firstLineChars="2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我方</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（供应商名称）</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000000" w:themeColor="text1"/>
          <w14:textFill>
            <w14:solidFill>
              <w14:schemeClr w14:val="tx1"/>
            </w14:solidFill>
          </w14:textFill>
        </w:rPr>
      </w:pPr>
    </w:p>
    <w:p>
      <w:pPr>
        <w:pStyle w:val="2"/>
        <w:ind w:firstLine="480" w:firstLineChars="200"/>
        <w:jc w:val="both"/>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特此承诺。</w:t>
      </w: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（盖章）</w:t>
      </w:r>
    </w:p>
    <w:p>
      <w:pPr>
        <w:spacing w:line="360" w:lineRule="auto"/>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年</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月</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日</w:t>
      </w:r>
    </w:p>
    <w:p>
      <w:pPr>
        <w:pStyle w:val="66"/>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br w:type="page"/>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bookmarkStart w:id="174" w:name="_Hlk69983040"/>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、供应商控股及管理关系情况申报表</w:t>
      </w:r>
    </w:p>
    <w:p>
      <w:pPr>
        <w:pStyle w:val="51"/>
        <w:spacing w:before="240" w:after="240" w:line="360" w:lineRule="auto"/>
        <w:ind w:firstLine="0" w:firstLineChars="0"/>
        <w:jc w:val="center"/>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供应商控股及管理关系情况申报表</w:t>
      </w:r>
    </w:p>
    <w:p>
      <w:pPr>
        <w:adjustRightInd w:val="0"/>
        <w:snapToGrid w:val="0"/>
        <w:spacing w:line="360" w:lineRule="auto"/>
        <w:ind w:left="-89" w:leftChars="-295" w:hanging="619" w:hangingChars="258"/>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致：</w:t>
      </w:r>
      <w:r>
        <w:rPr>
          <w:rFonts w:hint="eastAsia" w:ascii="仿宋" w:hAnsi="仿宋" w:eastAsia="仿宋" w:cs="宋体"/>
          <w:color w:val="000000" w:themeColor="text1"/>
          <w:u w:val="single"/>
          <w14:textFill>
            <w14:solidFill>
              <w14:schemeClr w14:val="tx1"/>
            </w14:solidFill>
          </w14:textFill>
        </w:rPr>
        <w:t xml:space="preserve">  中国人民财产保险股份有限公司广安市分公司 </w:t>
      </w:r>
      <w:r>
        <w:rPr>
          <w:rFonts w:hint="eastAsia" w:ascii="仿宋" w:hAnsi="仿宋" w:eastAsia="仿宋" w:cs="宋体"/>
          <w:color w:val="000000" w:themeColor="text1"/>
          <w14:textFill>
            <w14:solidFill>
              <w14:schemeClr w14:val="tx1"/>
            </w14:solidFill>
          </w14:textFill>
        </w:rPr>
        <w:t>：</w:t>
      </w:r>
    </w:p>
    <w:p>
      <w:pPr>
        <w:adjustRightInd w:val="0"/>
        <w:snapToGrid w:val="0"/>
        <w:spacing w:line="360" w:lineRule="auto"/>
        <w:ind w:left="-706" w:leftChars="-294" w:right="-586" w:rightChars="-244" w:firstLine="616" w:firstLineChars="257"/>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我方参加</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u w:val="single"/>
          <w:lang w:eastAsia="zh-CN"/>
          <w14:textFill>
            <w14:solidFill>
              <w14:schemeClr w14:val="tx1"/>
            </w14:solidFill>
          </w14:textFill>
        </w:rPr>
        <w:t>人保财险四川省广安市分公司前锋区公交站台宣传服务采购项目</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的比价，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576"/>
        <w:gridCol w:w="53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申报人名称</w:t>
            </w:r>
          </w:p>
        </w:tc>
        <w:tc>
          <w:tcPr>
            <w:tcW w:w="7926" w:type="dxa"/>
            <w:gridSpan w:val="2"/>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法定代表人/单位负责人</w:t>
            </w:r>
          </w:p>
        </w:tc>
        <w:tc>
          <w:tcPr>
            <w:tcW w:w="257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姓    名</w:t>
            </w:r>
          </w:p>
        </w:tc>
        <w:tc>
          <w:tcPr>
            <w:tcW w:w="5350"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c>
          <w:tcPr>
            <w:tcW w:w="257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身份证号</w:t>
            </w:r>
          </w:p>
        </w:tc>
        <w:tc>
          <w:tcPr>
            <w:tcW w:w="5350"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控股关系</w:t>
            </w:r>
          </w:p>
        </w:tc>
        <w:tc>
          <w:tcPr>
            <w:tcW w:w="257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控股股东/投资人名称及出资比例</w:t>
            </w:r>
          </w:p>
        </w:tc>
        <w:tc>
          <w:tcPr>
            <w:tcW w:w="5350"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c>
          <w:tcPr>
            <w:tcW w:w="257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被控股/被投资单位名称及出资比例</w:t>
            </w:r>
          </w:p>
        </w:tc>
        <w:tc>
          <w:tcPr>
            <w:tcW w:w="5350"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管理关系</w:t>
            </w:r>
          </w:p>
        </w:tc>
        <w:tc>
          <w:tcPr>
            <w:tcW w:w="257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管理关系单位名称</w:t>
            </w:r>
          </w:p>
        </w:tc>
        <w:tc>
          <w:tcPr>
            <w:tcW w:w="5350"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c>
          <w:tcPr>
            <w:tcW w:w="257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被管理关系单位名称</w:t>
            </w:r>
          </w:p>
        </w:tc>
        <w:tc>
          <w:tcPr>
            <w:tcW w:w="5350"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备注：</w:t>
            </w:r>
          </w:p>
        </w:tc>
      </w:tr>
    </w:tbl>
    <w:p>
      <w:pPr>
        <w:adjustRightInd w:val="0"/>
        <w:snapToGrid w:val="0"/>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注：</w:t>
      </w:r>
    </w:p>
    <w:p>
      <w:pPr>
        <w:adjustRightInd w:val="0"/>
        <w:snapToGrid w:val="0"/>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3.如未有相关情况，请在相应栏填写“无”。</w:t>
      </w:r>
    </w:p>
    <w:p>
      <w:pPr>
        <w:pStyle w:val="78"/>
        <w:adjustRightInd w:val="0"/>
        <w:snapToGrid w:val="0"/>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2.管理关系单位是指与不具有出资持股关系的其他单位之间存在管理与被管理关系的单位； </w:t>
      </w:r>
    </w:p>
    <w:p>
      <w:pPr>
        <w:pStyle w:val="78"/>
        <w:adjustRightInd w:val="0"/>
        <w:snapToGrid w:val="0"/>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3.如未有相关情况，请在相应栏填写“无”。</w:t>
      </w:r>
    </w:p>
    <w:p>
      <w:pPr>
        <w:spacing w:line="360" w:lineRule="auto"/>
        <w:ind w:left="480" w:hanging="480" w:hangingChars="200"/>
        <w:rPr>
          <w:rFonts w:ascii="仿宋" w:hAnsi="仿宋" w:eastAsia="仿宋" w:cs="宋体"/>
          <w:color w:val="000000" w:themeColor="text1"/>
          <w14:textFill>
            <w14:solidFill>
              <w14:schemeClr w14:val="tx1"/>
            </w14:solidFill>
          </w14:textFill>
        </w:rPr>
      </w:pPr>
    </w:p>
    <w:p>
      <w:pPr>
        <w:spacing w:line="360" w:lineRule="auto"/>
        <w:ind w:firstLine="4080" w:firstLineChars="1700"/>
        <w:jc w:val="righ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供应商名称：</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（盖章）</w:t>
      </w:r>
    </w:p>
    <w:p>
      <w:pPr>
        <w:spacing w:line="360" w:lineRule="auto"/>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日期：</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年</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月</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日</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、非联合体比价响应声明</w:t>
      </w:r>
    </w:p>
    <w:bookmarkEnd w:id="173"/>
    <w:bookmarkEnd w:id="174"/>
    <w:p>
      <w:pPr>
        <w:adjustRightInd w:val="0"/>
        <w:snapToGrid w:val="0"/>
        <w:spacing w:before="240" w:line="360" w:lineRule="auto"/>
        <w:rPr>
          <w:rFonts w:ascii="仿宋" w:hAnsi="仿宋" w:eastAsia="仿宋" w:cs="Cambria Math"/>
          <w:color w:val="000000" w:themeColor="text1"/>
          <w14:textFill>
            <w14:solidFill>
              <w14:schemeClr w14:val="tx1"/>
            </w14:solidFill>
          </w14:textFill>
        </w:rPr>
      </w:pPr>
      <w:bookmarkStart w:id="175" w:name="_Toc71192048"/>
      <w:r>
        <w:rPr>
          <w:rFonts w:hint="eastAsia" w:ascii="仿宋" w:hAnsi="仿宋" w:eastAsia="仿宋" w:cs="Cambria Math"/>
          <w:color w:val="000000" w:themeColor="text1"/>
          <w14:textFill>
            <w14:solidFill>
              <w14:schemeClr w14:val="tx1"/>
            </w14:solidFill>
          </w14:textFill>
        </w:rPr>
        <w:t>致：中国人民财产保险股份有限公司广安市分公司：</w:t>
      </w:r>
    </w:p>
    <w:p>
      <w:pPr>
        <w:adjustRightInd w:val="0"/>
        <w:snapToGrid w:val="0"/>
        <w:spacing w:before="240" w:line="360" w:lineRule="auto"/>
        <w:ind w:firstLine="480" w:firstLineChars="2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我方</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（供应商名称）</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独立参与</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lang w:eastAsia="zh-CN"/>
          <w14:textFill>
            <w14:solidFill>
              <w14:schemeClr w14:val="tx1"/>
            </w14:solidFill>
          </w14:textFill>
        </w:rPr>
        <w:t>人保财险四川省广安市分公司前锋区公交站台宣传服务采购项目</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比价响应，非联合体参与比价响应。</w:t>
      </w:r>
      <w:r>
        <w:rPr>
          <w:rFonts w:ascii="仿宋" w:hAnsi="仿宋" w:eastAsia="仿宋" w:cs="Cambria Math"/>
          <w:color w:val="000000" w:themeColor="text1"/>
          <w14:textFill>
            <w14:solidFill>
              <w14:schemeClr w14:val="tx1"/>
            </w14:solidFill>
          </w14:textFill>
        </w:rPr>
        <w:t xml:space="preserve"> </w:t>
      </w:r>
    </w:p>
    <w:p>
      <w:pPr>
        <w:pStyle w:val="2"/>
        <w:ind w:firstLine="480" w:firstLineChars="200"/>
        <w:jc w:val="both"/>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特此声明。</w:t>
      </w: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（盖章）</w:t>
      </w:r>
    </w:p>
    <w:p>
      <w:pPr>
        <w:spacing w:line="360" w:lineRule="auto"/>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年</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月</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日</w:t>
      </w:r>
    </w:p>
    <w:p>
      <w:pP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br w:type="page"/>
      </w:r>
    </w:p>
    <w:p>
      <w:pPr>
        <w:pStyle w:val="5"/>
        <w:spacing w:before="0" w:after="0" w:line="360" w:lineRule="auto"/>
        <w:rPr>
          <w:rFonts w:ascii="仿宋" w:hAnsi="仿宋" w:cs="宋体"/>
          <w:color w:val="000000" w:themeColor="text1"/>
          <w:szCs w:val="24"/>
          <w14:textFill>
            <w14:solidFill>
              <w14:schemeClr w14:val="tx1"/>
            </w14:solidFill>
          </w14:textFill>
        </w:rPr>
      </w:pPr>
      <w:bookmarkStart w:id="176" w:name="_Toc18208"/>
      <w:bookmarkStart w:id="177" w:name="_Toc8539"/>
      <w:bookmarkStart w:id="178" w:name="_Toc15130"/>
      <w:bookmarkStart w:id="179" w:name="_Toc65683009"/>
      <w:bookmarkStart w:id="180" w:name="_Toc144139212"/>
      <w:bookmarkStart w:id="181" w:name="_Toc112068411"/>
      <w:r>
        <w:rPr>
          <w:rFonts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五</w:t>
      </w:r>
      <w:r>
        <w:rPr>
          <w:rFonts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供应商</w:t>
      </w:r>
      <w:r>
        <w:rPr>
          <w:rFonts w:ascii="仿宋" w:hAnsi="仿宋" w:eastAsia="仿宋" w:cs="仿宋"/>
          <w:color w:val="000000" w:themeColor="text1"/>
          <w:sz w:val="24"/>
          <w:szCs w:val="24"/>
          <w14:textFill>
            <w14:solidFill>
              <w14:schemeClr w14:val="tx1"/>
            </w14:solidFill>
          </w14:textFill>
        </w:rPr>
        <w:t>须知应答偏离表</w:t>
      </w:r>
      <w:bookmarkEnd w:id="176"/>
      <w:bookmarkEnd w:id="177"/>
      <w:bookmarkEnd w:id="178"/>
      <w:bookmarkEnd w:id="179"/>
      <w:bookmarkEnd w:id="180"/>
      <w:bookmarkEnd w:id="181"/>
    </w:p>
    <w:p>
      <w:pPr>
        <w:spacing w:line="360" w:lineRule="auto"/>
        <w:jc w:val="center"/>
        <w:rPr>
          <w:rFonts w:ascii="仿宋" w:hAnsi="仿宋" w:eastAsia="仿宋" w:cs="宋体"/>
          <w:b/>
          <w:bCs/>
          <w:color w:val="000000" w:themeColor="text1"/>
          <w14:textFill>
            <w14:solidFill>
              <w14:schemeClr w14:val="tx1"/>
            </w14:solidFill>
          </w14:textFill>
        </w:rPr>
      </w:pPr>
      <w:r>
        <w:rPr>
          <w:rFonts w:hint="eastAsia" w:ascii="仿宋" w:hAnsi="仿宋" w:eastAsia="仿宋" w:cs="宋体"/>
          <w:b/>
          <w:bCs/>
          <w:color w:val="000000" w:themeColor="text1"/>
          <w14:textFill>
            <w14:solidFill>
              <w14:schemeClr w14:val="tx1"/>
            </w14:solidFill>
          </w14:textFill>
        </w:rPr>
        <w:t>供应商须知应答偏离表</w:t>
      </w:r>
    </w:p>
    <w:p>
      <w:pPr>
        <w:spacing w:line="360" w:lineRule="auto"/>
        <w:rPr>
          <w:rFonts w:ascii="仿宋" w:hAnsi="仿宋" w:eastAsia="仿宋" w:cs="宋体"/>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 </w:t>
      </w:r>
      <w:r>
        <w:rPr>
          <w:rFonts w:ascii="仿宋" w:hAnsi="仿宋" w:eastAsia="仿宋" w:cs="宋体"/>
          <w:color w:val="000000" w:themeColor="text1"/>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序号</w:t>
            </w:r>
          </w:p>
        </w:tc>
        <w:tc>
          <w:tcPr>
            <w:tcW w:w="2285" w:type="dxa"/>
            <w:vAlign w:val="center"/>
          </w:tcPr>
          <w:p>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条目号</w:t>
            </w:r>
          </w:p>
        </w:tc>
        <w:tc>
          <w:tcPr>
            <w:tcW w:w="2495" w:type="dxa"/>
            <w:vAlign w:val="center"/>
          </w:tcPr>
          <w:p>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原文内容</w:t>
            </w:r>
          </w:p>
        </w:tc>
        <w:tc>
          <w:tcPr>
            <w:tcW w:w="2704" w:type="dxa"/>
            <w:vAlign w:val="center"/>
          </w:tcPr>
          <w:p>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应答</w:t>
            </w:r>
          </w:p>
        </w:tc>
        <w:tc>
          <w:tcPr>
            <w:tcW w:w="1408" w:type="dxa"/>
            <w:vAlign w:val="center"/>
          </w:tcPr>
          <w:p>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themeColor="text1"/>
                <w:szCs w:val="21"/>
                <w14:textFill>
                  <w14:solidFill>
                    <w14:schemeClr w14:val="tx1"/>
                  </w14:solidFill>
                </w14:textFill>
              </w:rPr>
            </w:pPr>
          </w:p>
        </w:tc>
        <w:tc>
          <w:tcPr>
            <w:tcW w:w="2285" w:type="dxa"/>
          </w:tcPr>
          <w:p>
            <w:pPr>
              <w:spacing w:line="360" w:lineRule="auto"/>
              <w:rPr>
                <w:rFonts w:ascii="仿宋" w:hAnsi="仿宋" w:eastAsia="仿宋" w:cs="宋体"/>
                <w:color w:val="000000" w:themeColor="text1"/>
                <w:szCs w:val="21"/>
                <w14:textFill>
                  <w14:solidFill>
                    <w14:schemeClr w14:val="tx1"/>
                  </w14:solidFill>
                </w14:textFill>
              </w:rPr>
            </w:pPr>
          </w:p>
        </w:tc>
        <w:tc>
          <w:tcPr>
            <w:tcW w:w="2495" w:type="dxa"/>
          </w:tcPr>
          <w:p>
            <w:pPr>
              <w:spacing w:line="360" w:lineRule="auto"/>
              <w:rPr>
                <w:rFonts w:ascii="仿宋" w:hAnsi="仿宋" w:eastAsia="仿宋" w:cs="宋体"/>
                <w:color w:val="000000" w:themeColor="text1"/>
                <w:szCs w:val="21"/>
                <w14:textFill>
                  <w14:solidFill>
                    <w14:schemeClr w14:val="tx1"/>
                  </w14:solidFill>
                </w14:textFill>
              </w:rPr>
            </w:pPr>
          </w:p>
        </w:tc>
        <w:tc>
          <w:tcPr>
            <w:tcW w:w="2704" w:type="dxa"/>
          </w:tcPr>
          <w:p>
            <w:pPr>
              <w:spacing w:line="360" w:lineRule="auto"/>
              <w:rPr>
                <w:rFonts w:ascii="仿宋" w:hAnsi="仿宋" w:eastAsia="仿宋" w:cs="宋体"/>
                <w:color w:val="000000" w:themeColor="text1"/>
                <w:szCs w:val="21"/>
                <w14:textFill>
                  <w14:solidFill>
                    <w14:schemeClr w14:val="tx1"/>
                  </w14:solidFill>
                </w14:textFill>
              </w:rPr>
            </w:pPr>
          </w:p>
        </w:tc>
        <w:tc>
          <w:tcPr>
            <w:tcW w:w="1408" w:type="dxa"/>
          </w:tcPr>
          <w:p>
            <w:pPr>
              <w:spacing w:line="360" w:lineRule="auto"/>
              <w:rPr>
                <w:rFonts w:ascii="仿宋" w:hAnsi="仿宋" w:eastAsia="仿宋" w:cs="宋体"/>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themeColor="text1"/>
                <w:szCs w:val="21"/>
                <w14:textFill>
                  <w14:solidFill>
                    <w14:schemeClr w14:val="tx1"/>
                  </w14:solidFill>
                </w14:textFill>
              </w:rPr>
            </w:pPr>
          </w:p>
        </w:tc>
        <w:tc>
          <w:tcPr>
            <w:tcW w:w="2285" w:type="dxa"/>
          </w:tcPr>
          <w:p>
            <w:pPr>
              <w:spacing w:line="360" w:lineRule="auto"/>
              <w:rPr>
                <w:rFonts w:ascii="仿宋" w:hAnsi="仿宋" w:eastAsia="仿宋" w:cs="宋体"/>
                <w:color w:val="000000" w:themeColor="text1"/>
                <w:szCs w:val="21"/>
                <w14:textFill>
                  <w14:solidFill>
                    <w14:schemeClr w14:val="tx1"/>
                  </w14:solidFill>
                </w14:textFill>
              </w:rPr>
            </w:pPr>
          </w:p>
        </w:tc>
        <w:tc>
          <w:tcPr>
            <w:tcW w:w="2495" w:type="dxa"/>
          </w:tcPr>
          <w:p>
            <w:pPr>
              <w:spacing w:line="360" w:lineRule="auto"/>
              <w:rPr>
                <w:rFonts w:ascii="仿宋" w:hAnsi="仿宋" w:eastAsia="仿宋" w:cs="宋体"/>
                <w:color w:val="000000" w:themeColor="text1"/>
                <w:szCs w:val="21"/>
                <w14:textFill>
                  <w14:solidFill>
                    <w14:schemeClr w14:val="tx1"/>
                  </w14:solidFill>
                </w14:textFill>
              </w:rPr>
            </w:pPr>
          </w:p>
        </w:tc>
        <w:tc>
          <w:tcPr>
            <w:tcW w:w="2704" w:type="dxa"/>
          </w:tcPr>
          <w:p>
            <w:pPr>
              <w:spacing w:line="360" w:lineRule="auto"/>
              <w:rPr>
                <w:rFonts w:ascii="仿宋" w:hAnsi="仿宋" w:eastAsia="仿宋" w:cs="宋体"/>
                <w:color w:val="000000" w:themeColor="text1"/>
                <w:szCs w:val="21"/>
                <w14:textFill>
                  <w14:solidFill>
                    <w14:schemeClr w14:val="tx1"/>
                  </w14:solidFill>
                </w14:textFill>
              </w:rPr>
            </w:pPr>
          </w:p>
        </w:tc>
        <w:tc>
          <w:tcPr>
            <w:tcW w:w="1408" w:type="dxa"/>
          </w:tcPr>
          <w:p>
            <w:pPr>
              <w:spacing w:line="360" w:lineRule="auto"/>
              <w:rPr>
                <w:rFonts w:ascii="仿宋" w:hAnsi="仿宋" w:eastAsia="仿宋" w:cs="宋体"/>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themeColor="text1"/>
                <w:szCs w:val="21"/>
                <w14:textFill>
                  <w14:solidFill>
                    <w14:schemeClr w14:val="tx1"/>
                  </w14:solidFill>
                </w14:textFill>
              </w:rPr>
            </w:pPr>
          </w:p>
        </w:tc>
        <w:tc>
          <w:tcPr>
            <w:tcW w:w="2285" w:type="dxa"/>
          </w:tcPr>
          <w:p>
            <w:pPr>
              <w:spacing w:line="360" w:lineRule="auto"/>
              <w:rPr>
                <w:rFonts w:ascii="仿宋" w:hAnsi="仿宋" w:eastAsia="仿宋" w:cs="宋体"/>
                <w:color w:val="000000" w:themeColor="text1"/>
                <w:szCs w:val="21"/>
                <w14:textFill>
                  <w14:solidFill>
                    <w14:schemeClr w14:val="tx1"/>
                  </w14:solidFill>
                </w14:textFill>
              </w:rPr>
            </w:pPr>
          </w:p>
        </w:tc>
        <w:tc>
          <w:tcPr>
            <w:tcW w:w="2495" w:type="dxa"/>
          </w:tcPr>
          <w:p>
            <w:pPr>
              <w:spacing w:line="360" w:lineRule="auto"/>
              <w:rPr>
                <w:rFonts w:ascii="仿宋" w:hAnsi="仿宋" w:eastAsia="仿宋" w:cs="宋体"/>
                <w:color w:val="000000" w:themeColor="text1"/>
                <w:szCs w:val="21"/>
                <w14:textFill>
                  <w14:solidFill>
                    <w14:schemeClr w14:val="tx1"/>
                  </w14:solidFill>
                </w14:textFill>
              </w:rPr>
            </w:pPr>
          </w:p>
        </w:tc>
        <w:tc>
          <w:tcPr>
            <w:tcW w:w="2704" w:type="dxa"/>
          </w:tcPr>
          <w:p>
            <w:pPr>
              <w:spacing w:line="360" w:lineRule="auto"/>
              <w:rPr>
                <w:rFonts w:ascii="仿宋" w:hAnsi="仿宋" w:eastAsia="仿宋" w:cs="宋体"/>
                <w:color w:val="000000" w:themeColor="text1"/>
                <w:szCs w:val="21"/>
                <w14:textFill>
                  <w14:solidFill>
                    <w14:schemeClr w14:val="tx1"/>
                  </w14:solidFill>
                </w14:textFill>
              </w:rPr>
            </w:pPr>
          </w:p>
        </w:tc>
        <w:tc>
          <w:tcPr>
            <w:tcW w:w="1408" w:type="dxa"/>
          </w:tcPr>
          <w:p>
            <w:pPr>
              <w:spacing w:line="360" w:lineRule="auto"/>
              <w:rPr>
                <w:rFonts w:ascii="仿宋" w:hAnsi="仿宋" w:eastAsia="仿宋" w:cs="宋体"/>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themeColor="text1"/>
                <w:szCs w:val="21"/>
                <w14:textFill>
                  <w14:solidFill>
                    <w14:schemeClr w14:val="tx1"/>
                  </w14:solidFill>
                </w14:textFill>
              </w:rPr>
            </w:pPr>
          </w:p>
        </w:tc>
        <w:tc>
          <w:tcPr>
            <w:tcW w:w="2285" w:type="dxa"/>
          </w:tcPr>
          <w:p>
            <w:pPr>
              <w:spacing w:line="360" w:lineRule="auto"/>
              <w:rPr>
                <w:rFonts w:ascii="仿宋" w:hAnsi="仿宋" w:eastAsia="仿宋" w:cs="宋体"/>
                <w:color w:val="000000" w:themeColor="text1"/>
                <w:szCs w:val="21"/>
                <w14:textFill>
                  <w14:solidFill>
                    <w14:schemeClr w14:val="tx1"/>
                  </w14:solidFill>
                </w14:textFill>
              </w:rPr>
            </w:pPr>
          </w:p>
        </w:tc>
        <w:tc>
          <w:tcPr>
            <w:tcW w:w="2495" w:type="dxa"/>
          </w:tcPr>
          <w:p>
            <w:pPr>
              <w:spacing w:line="360" w:lineRule="auto"/>
              <w:rPr>
                <w:rFonts w:ascii="仿宋" w:hAnsi="仿宋" w:eastAsia="仿宋" w:cs="宋体"/>
                <w:color w:val="000000" w:themeColor="text1"/>
                <w:szCs w:val="21"/>
                <w14:textFill>
                  <w14:solidFill>
                    <w14:schemeClr w14:val="tx1"/>
                  </w14:solidFill>
                </w14:textFill>
              </w:rPr>
            </w:pPr>
          </w:p>
        </w:tc>
        <w:tc>
          <w:tcPr>
            <w:tcW w:w="2704" w:type="dxa"/>
          </w:tcPr>
          <w:p>
            <w:pPr>
              <w:spacing w:line="360" w:lineRule="auto"/>
              <w:rPr>
                <w:rFonts w:ascii="仿宋" w:hAnsi="仿宋" w:eastAsia="仿宋" w:cs="宋体"/>
                <w:color w:val="000000" w:themeColor="text1"/>
                <w:szCs w:val="21"/>
                <w14:textFill>
                  <w14:solidFill>
                    <w14:schemeClr w14:val="tx1"/>
                  </w14:solidFill>
                </w14:textFill>
              </w:rPr>
            </w:pPr>
          </w:p>
        </w:tc>
        <w:tc>
          <w:tcPr>
            <w:tcW w:w="1408" w:type="dxa"/>
          </w:tcPr>
          <w:p>
            <w:pPr>
              <w:spacing w:line="360" w:lineRule="auto"/>
              <w:rPr>
                <w:rFonts w:ascii="仿宋" w:hAnsi="仿宋" w:eastAsia="仿宋" w:cs="宋体"/>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themeColor="text1"/>
                <w:szCs w:val="21"/>
                <w14:textFill>
                  <w14:solidFill>
                    <w14:schemeClr w14:val="tx1"/>
                  </w14:solidFill>
                </w14:textFill>
              </w:rPr>
            </w:pPr>
          </w:p>
        </w:tc>
        <w:tc>
          <w:tcPr>
            <w:tcW w:w="2285" w:type="dxa"/>
          </w:tcPr>
          <w:p>
            <w:pPr>
              <w:spacing w:line="360" w:lineRule="auto"/>
              <w:rPr>
                <w:rFonts w:ascii="仿宋" w:hAnsi="仿宋" w:eastAsia="仿宋" w:cs="宋体"/>
                <w:color w:val="000000" w:themeColor="text1"/>
                <w:szCs w:val="21"/>
                <w14:textFill>
                  <w14:solidFill>
                    <w14:schemeClr w14:val="tx1"/>
                  </w14:solidFill>
                </w14:textFill>
              </w:rPr>
            </w:pPr>
          </w:p>
        </w:tc>
        <w:tc>
          <w:tcPr>
            <w:tcW w:w="2495" w:type="dxa"/>
          </w:tcPr>
          <w:p>
            <w:pPr>
              <w:spacing w:line="360" w:lineRule="auto"/>
              <w:rPr>
                <w:rFonts w:ascii="仿宋" w:hAnsi="仿宋" w:eastAsia="仿宋" w:cs="宋体"/>
                <w:color w:val="000000" w:themeColor="text1"/>
                <w:szCs w:val="21"/>
                <w14:textFill>
                  <w14:solidFill>
                    <w14:schemeClr w14:val="tx1"/>
                  </w14:solidFill>
                </w14:textFill>
              </w:rPr>
            </w:pPr>
          </w:p>
        </w:tc>
        <w:tc>
          <w:tcPr>
            <w:tcW w:w="2704" w:type="dxa"/>
          </w:tcPr>
          <w:p>
            <w:pPr>
              <w:spacing w:line="360" w:lineRule="auto"/>
              <w:rPr>
                <w:rFonts w:ascii="仿宋" w:hAnsi="仿宋" w:eastAsia="仿宋" w:cs="宋体"/>
                <w:color w:val="000000" w:themeColor="text1"/>
                <w:szCs w:val="21"/>
                <w14:textFill>
                  <w14:solidFill>
                    <w14:schemeClr w14:val="tx1"/>
                  </w14:solidFill>
                </w14:textFill>
              </w:rPr>
            </w:pPr>
          </w:p>
        </w:tc>
        <w:tc>
          <w:tcPr>
            <w:tcW w:w="1408" w:type="dxa"/>
          </w:tcPr>
          <w:p>
            <w:pPr>
              <w:spacing w:line="360" w:lineRule="auto"/>
              <w:rPr>
                <w:rFonts w:ascii="仿宋" w:hAnsi="仿宋" w:eastAsia="仿宋" w:cs="宋体"/>
                <w:color w:val="000000" w:themeColor="text1"/>
                <w:szCs w:val="21"/>
                <w14:textFill>
                  <w14:solidFill>
                    <w14:schemeClr w14:val="tx1"/>
                  </w14:solidFill>
                </w14:textFill>
              </w:rPr>
            </w:pPr>
          </w:p>
        </w:tc>
      </w:tr>
    </w:tbl>
    <w:p>
      <w:pPr>
        <w:spacing w:line="360" w:lineRule="auto"/>
        <w:ind w:left="480" w:hanging="480" w:hangingChars="200"/>
        <w:rPr>
          <w:rFonts w:ascii="仿宋" w:hAnsi="仿宋" w:eastAsia="仿宋" w:cs="宋体"/>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注：所有偏离须在本表中列出，未在本偏离表中列出偏离，将视为供应商已完全接受比价文件要求</w:t>
      </w:r>
      <w:r>
        <w:rPr>
          <w:rFonts w:hint="eastAsia" w:ascii="仿宋" w:hAnsi="仿宋" w:eastAsia="仿宋" w:cs="宋体"/>
          <w:b/>
          <w:bCs/>
          <w:color w:val="000000" w:themeColor="text1"/>
          <w14:textFill>
            <w14:solidFill>
              <w14:schemeClr w14:val="tx1"/>
            </w14:solidFill>
          </w14:textFill>
        </w:rPr>
        <w:t>。如全部满足，在偏离表中应答“全部满足”即可。</w:t>
      </w:r>
    </w:p>
    <w:p>
      <w:pPr>
        <w:spacing w:line="360" w:lineRule="auto"/>
        <w:ind w:firstLine="4080" w:firstLineChars="1700"/>
        <w:jc w:val="right"/>
        <w:rPr>
          <w:rFonts w:ascii="仿宋" w:hAnsi="仿宋" w:eastAsia="仿宋" w:cs="宋体"/>
          <w:color w:val="000000" w:themeColor="text1"/>
          <w14:textFill>
            <w14:solidFill>
              <w14:schemeClr w14:val="tx1"/>
            </w14:solidFill>
          </w14:textFill>
        </w:rPr>
      </w:pPr>
    </w:p>
    <w:p>
      <w:pPr>
        <w:spacing w:line="360" w:lineRule="auto"/>
        <w:ind w:firstLine="4080" w:firstLineChars="1700"/>
        <w:jc w:val="right"/>
        <w:rPr>
          <w:rFonts w:ascii="仿宋" w:hAnsi="仿宋" w:eastAsia="仿宋" w:cs="宋体"/>
          <w:color w:val="000000" w:themeColor="text1"/>
          <w14:textFill>
            <w14:solidFill>
              <w14:schemeClr w14:val="tx1"/>
            </w14:solidFill>
          </w14:textFill>
        </w:rPr>
      </w:pPr>
    </w:p>
    <w:p>
      <w:pPr>
        <w:spacing w:line="360" w:lineRule="auto"/>
        <w:ind w:firstLine="4080" w:firstLineChars="1700"/>
        <w:jc w:val="right"/>
        <w:rPr>
          <w:rFonts w:ascii="仿宋" w:hAnsi="仿宋" w:eastAsia="仿宋" w:cs="宋体"/>
          <w:color w:val="000000" w:themeColor="text1"/>
          <w14:textFill>
            <w14:solidFill>
              <w14:schemeClr w14:val="tx1"/>
            </w14:solidFill>
          </w14:textFill>
        </w:rPr>
      </w:pPr>
    </w:p>
    <w:p>
      <w:pPr>
        <w:spacing w:line="360" w:lineRule="auto"/>
        <w:ind w:firstLine="4080" w:firstLineChars="1700"/>
        <w:jc w:val="righ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供应商名称：</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（盖章）</w:t>
      </w:r>
    </w:p>
    <w:p>
      <w:pPr>
        <w:spacing w:line="360" w:lineRule="auto"/>
        <w:jc w:val="right"/>
        <w:rPr>
          <w:rFonts w:ascii="仿宋" w:hAnsi="仿宋" w:eastAsia="仿宋" w:cs="宋体"/>
          <w:color w:val="000000" w:themeColor="text1"/>
          <w14:textFill>
            <w14:solidFill>
              <w14:schemeClr w14:val="tx1"/>
            </w14:solidFill>
          </w14:textFill>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000000" w:themeColor="text1"/>
          <w14:textFill>
            <w14:solidFill>
              <w14:schemeClr w14:val="tx1"/>
            </w14:solidFill>
          </w14:textFill>
        </w:rPr>
        <w:t>日期：</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年</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月</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日</w:t>
      </w:r>
    </w:p>
    <w:p>
      <w:pPr>
        <w:spacing w:line="360" w:lineRule="auto"/>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（六）合同条款应答偏</w:t>
      </w:r>
      <w:r>
        <w:rPr>
          <w:rFonts w:ascii="仿宋" w:hAnsi="仿宋" w:eastAsia="仿宋" w:cs="仿宋"/>
          <w:b/>
          <w:bCs/>
          <w:color w:val="000000" w:themeColor="text1"/>
          <w14:textFill>
            <w14:solidFill>
              <w14:schemeClr w14:val="tx1"/>
            </w14:solidFill>
          </w14:textFill>
        </w:rPr>
        <w:t>离表</w:t>
      </w:r>
    </w:p>
    <w:p>
      <w:pPr>
        <w:spacing w:line="360" w:lineRule="auto"/>
        <w:jc w:val="center"/>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合同条款应答偏离表</w:t>
      </w:r>
    </w:p>
    <w:p>
      <w:pPr>
        <w:spacing w:line="360" w:lineRule="auto"/>
        <w:rPr>
          <w:rFonts w:ascii="仿宋" w:hAnsi="仿宋" w:eastAsia="仿宋" w:cs="仿宋"/>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序号</w:t>
            </w:r>
          </w:p>
        </w:tc>
        <w:tc>
          <w:tcPr>
            <w:tcW w:w="2285" w:type="dxa"/>
            <w:vAlign w:val="center"/>
          </w:tcPr>
          <w:p>
            <w:pPr>
              <w:spacing w:line="360"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条目号</w:t>
            </w:r>
          </w:p>
        </w:tc>
        <w:tc>
          <w:tcPr>
            <w:tcW w:w="2495" w:type="dxa"/>
            <w:vAlign w:val="center"/>
          </w:tcPr>
          <w:p>
            <w:pPr>
              <w:spacing w:line="360"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原文内容</w:t>
            </w:r>
          </w:p>
        </w:tc>
        <w:tc>
          <w:tcPr>
            <w:tcW w:w="2704" w:type="dxa"/>
            <w:vAlign w:val="center"/>
          </w:tcPr>
          <w:p>
            <w:pPr>
              <w:spacing w:line="360"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应答</w:t>
            </w:r>
          </w:p>
        </w:tc>
        <w:tc>
          <w:tcPr>
            <w:tcW w:w="1408" w:type="dxa"/>
            <w:vAlign w:val="center"/>
          </w:tcPr>
          <w:p>
            <w:pPr>
              <w:spacing w:line="360"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bl>
    <w:p>
      <w:pPr>
        <w:spacing w:before="240" w:line="360" w:lineRule="auto"/>
        <w:ind w:left="480" w:hanging="480" w:hangingChars="2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注：所有偏离必须在本表中列出，未在本偏离表中列出偏离，将视为供应商已完全接受比价文件要求；</w:t>
      </w:r>
      <w:r>
        <w:rPr>
          <w:rFonts w:hint="eastAsia" w:ascii="仿宋" w:hAnsi="仿宋" w:eastAsia="仿宋" w:cs="Cambria Math"/>
          <w:b/>
          <w:bCs/>
          <w:color w:val="000000" w:themeColor="text1"/>
          <w14:textFill>
            <w14:solidFill>
              <w14:schemeClr w14:val="tx1"/>
            </w14:solidFill>
          </w14:textFill>
        </w:rPr>
        <w:t>如全部满足，在偏离表中应答“全部满足”即可</w:t>
      </w:r>
      <w:r>
        <w:rPr>
          <w:rFonts w:hint="eastAsia" w:ascii="仿宋" w:hAnsi="仿宋" w:eastAsia="仿宋" w:cs="Cambria Math"/>
          <w:color w:val="000000" w:themeColor="text1"/>
          <w14:textFill>
            <w14:solidFill>
              <w14:schemeClr w14:val="tx1"/>
            </w14:solidFill>
          </w14:textFill>
        </w:rPr>
        <w:t>。</w:t>
      </w:r>
    </w:p>
    <w:p>
      <w:pPr>
        <w:spacing w:line="600" w:lineRule="exact"/>
        <w:rPr>
          <w:rFonts w:ascii="仿宋" w:hAnsi="仿宋" w:eastAsia="仿宋" w:cs="仿宋"/>
          <w:color w:val="000000" w:themeColor="text1"/>
          <w:szCs w:val="21"/>
          <w14:textFill>
            <w14:solidFill>
              <w14:schemeClr w14:val="tx1"/>
            </w14:solidFill>
          </w14:textFill>
        </w:rPr>
      </w:pPr>
    </w:p>
    <w:p>
      <w:pPr>
        <w:spacing w:line="360" w:lineRule="auto"/>
        <w:ind w:firstLine="420"/>
        <w:jc w:val="right"/>
        <w:rPr>
          <w:rFonts w:ascii="仿宋" w:hAnsi="仿宋" w:eastAsia="仿宋" w:cs="仿宋"/>
          <w:color w:val="000000" w:themeColor="text1"/>
          <w14:textFill>
            <w14:solidFill>
              <w14:schemeClr w14:val="tx1"/>
            </w14:solidFill>
          </w14:textFill>
        </w:rPr>
      </w:pP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（盖章）</w:t>
      </w:r>
    </w:p>
    <w:p>
      <w:pPr>
        <w:spacing w:line="440" w:lineRule="exact"/>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日期：</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年</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日</w:t>
      </w:r>
    </w:p>
    <w:p>
      <w:pPr>
        <w:spacing w:line="360" w:lineRule="auto"/>
        <w:rPr>
          <w:rFonts w:ascii="仿宋" w:hAnsi="仿宋" w:eastAsia="仿宋" w:cs="仿宋"/>
          <w:color w:val="000000" w:themeColor="text1"/>
          <w:u w:val="single"/>
          <w14:textFill>
            <w14:solidFill>
              <w14:schemeClr w14:val="tx1"/>
            </w14:solidFill>
          </w14:textFill>
        </w:rPr>
      </w:pPr>
    </w:p>
    <w:p>
      <w:pPr>
        <w:pStyle w:val="5"/>
        <w:spacing w:before="0" w:after="0" w:line="360" w:lineRule="auto"/>
        <w:rPr>
          <w:rFonts w:ascii="仿宋" w:hAnsi="仿宋" w:eastAsia="仿宋" w:cs="宋体"/>
          <w:color w:val="000000" w:themeColor="text1"/>
          <w:sz w:val="24"/>
          <w14:textFill>
            <w14:solidFill>
              <w14:schemeClr w14:val="tx1"/>
            </w14:solidFill>
          </w14:textFill>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000000" w:themeColor="text1"/>
          <w:sz w:val="24"/>
          <w:szCs w:val="24"/>
          <w14:textFill>
            <w14:solidFill>
              <w14:schemeClr w14:val="tx1"/>
            </w14:solidFill>
          </w14:textFill>
        </w:rPr>
        <w:br w:type="page"/>
      </w:r>
    </w:p>
    <w:p>
      <w:pPr>
        <w:pStyle w:val="5"/>
        <w:spacing w:before="0" w:after="0" w:line="360" w:lineRule="auto"/>
        <w:rPr>
          <w:rFonts w:ascii="仿宋" w:hAnsi="仿宋" w:eastAsia="仿宋" w:cs="仿宋"/>
          <w:color w:val="000000" w:themeColor="text1"/>
          <w:sz w:val="24"/>
          <w:szCs w:val="24"/>
          <w14:textFill>
            <w14:solidFill>
              <w14:schemeClr w14:val="tx1"/>
            </w14:solidFill>
          </w14:textFill>
        </w:rPr>
      </w:pPr>
      <w:bookmarkStart w:id="182" w:name="_Toc17890"/>
      <w:bookmarkStart w:id="183" w:name="_Toc6850"/>
      <w:r>
        <w:rPr>
          <w:rFonts w:hint="eastAsia" w:ascii="仿宋" w:hAnsi="仿宋" w:eastAsia="仿宋" w:cs="仿宋"/>
          <w:color w:val="000000" w:themeColor="text1"/>
          <w:sz w:val="24"/>
          <w:szCs w:val="24"/>
          <w14:textFill>
            <w14:solidFill>
              <w14:schemeClr w14:val="tx1"/>
            </w14:solidFill>
          </w14:textFill>
        </w:rPr>
        <w:t>（七）供应商行为准则承诺书</w:t>
      </w:r>
      <w:bookmarkEnd w:id="182"/>
      <w:bookmarkEnd w:id="183"/>
    </w:p>
    <w:p>
      <w:pPr>
        <w:jc w:val="center"/>
        <w:rPr>
          <w:rFonts w:ascii="仿宋" w:hAnsi="仿宋" w:eastAsia="仿宋" w:cs="宋体"/>
          <w:b/>
          <w:bCs/>
          <w:color w:val="000000" w:themeColor="text1"/>
          <w:sz w:val="28"/>
          <w:szCs w:val="28"/>
          <w14:textFill>
            <w14:solidFill>
              <w14:schemeClr w14:val="tx1"/>
            </w14:solidFill>
          </w14:textFill>
        </w:rPr>
      </w:pPr>
      <w:bookmarkStart w:id="184" w:name="_Toc15599"/>
      <w:r>
        <w:rPr>
          <w:rFonts w:hint="eastAsia" w:ascii="仿宋" w:hAnsi="仿宋" w:eastAsia="仿宋" w:cs="宋体"/>
          <w:b/>
          <w:bCs/>
          <w:color w:val="000000" w:themeColor="text1"/>
          <w:sz w:val="28"/>
          <w:szCs w:val="28"/>
          <w14:textFill>
            <w14:solidFill>
              <w14:schemeClr w14:val="tx1"/>
            </w14:solidFill>
          </w14:textFill>
        </w:rPr>
        <w:t>供应商行为准则承诺书</w:t>
      </w:r>
    </w:p>
    <w:p>
      <w:pPr>
        <w:spacing w:line="360" w:lineRule="auto"/>
        <w:ind w:firstLine="480" w:firstLineChars="200"/>
        <w:rPr>
          <w:rFonts w:ascii="仿宋" w:hAnsi="仿宋" w:eastAsia="仿宋" w:cs="仿宋"/>
          <w:color w:val="000000" w:themeColor="text1"/>
          <w14:textFill>
            <w14:solidFill>
              <w14:schemeClr w14:val="tx1"/>
            </w14:solidFill>
          </w14:textFill>
        </w:rPr>
      </w:pP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十三、采购过程中涉及函件往来的，使用供应商以下地址及联系方式：</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公司名称（全称、盖章）：________________</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法定代表人（负责人）姓名、职务：__________________</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邮编：__________地址：__________________</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电话：__________传真：__________________</w:t>
      </w:r>
    </w:p>
    <w:p>
      <w:pPr>
        <w:pStyle w:val="77"/>
        <w:spacing w:line="360" w:lineRule="auto"/>
        <w:ind w:firstLine="480"/>
        <w:rPr>
          <w:rFonts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法定代表人（负责人）或授权代表签字：______________</w:t>
      </w:r>
    </w:p>
    <w:p>
      <w:pPr>
        <w:pStyle w:val="5"/>
        <w:spacing w:before="0" w:after="0" w:line="360" w:lineRule="auto"/>
        <w:rPr>
          <w:rFonts w:ascii="仿宋" w:hAnsi="仿宋" w:cs="宋体"/>
          <w:color w:val="000000" w:themeColor="text1"/>
          <w:szCs w:val="24"/>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r>
      <w:bookmarkStart w:id="185" w:name="_Toc8068"/>
      <w:bookmarkStart w:id="186" w:name="_Toc18709"/>
      <w:r>
        <w:rPr>
          <w:rFonts w:hint="eastAsia" w:ascii="仿宋" w:hAnsi="仿宋" w:eastAsia="仿宋" w:cs="宋体"/>
          <w:bCs w:val="0"/>
          <w:color w:val="000000" w:themeColor="text1"/>
          <w:sz w:val="24"/>
          <w:szCs w:val="24"/>
          <w14:textFill>
            <w14:solidFill>
              <w14:schemeClr w14:val="tx1"/>
            </w14:solidFill>
          </w14:textFill>
        </w:rPr>
        <w:t>（八）供应商廉洁诚信承诺书</w:t>
      </w:r>
      <w:bookmarkEnd w:id="184"/>
      <w:bookmarkEnd w:id="185"/>
      <w:bookmarkEnd w:id="186"/>
    </w:p>
    <w:p>
      <w:pPr>
        <w:spacing w:line="600" w:lineRule="exact"/>
        <w:jc w:val="center"/>
        <w:rPr>
          <w:rFonts w:ascii="仿宋" w:hAnsi="仿宋" w:eastAsia="仿宋" w:cs="宋体"/>
          <w:b/>
          <w:bCs/>
          <w:color w:val="000000" w:themeColor="text1"/>
          <w:sz w:val="28"/>
          <w:szCs w:val="28"/>
          <w14:textFill>
            <w14:solidFill>
              <w14:schemeClr w14:val="tx1"/>
            </w14:solidFill>
          </w14:textFill>
        </w:rPr>
      </w:pPr>
      <w:r>
        <w:rPr>
          <w:rFonts w:hint="eastAsia" w:ascii="仿宋" w:hAnsi="仿宋" w:eastAsia="仿宋" w:cs="宋体"/>
          <w:b/>
          <w:bCs/>
          <w:color w:val="000000" w:themeColor="text1"/>
          <w:sz w:val="28"/>
          <w:szCs w:val="28"/>
          <w14:textFill>
            <w14:solidFill>
              <w14:schemeClr w14:val="tx1"/>
            </w14:solidFill>
          </w14:textFill>
        </w:rPr>
        <w:t>供应商廉洁诚信承诺书</w:t>
      </w:r>
    </w:p>
    <w:p>
      <w:pPr>
        <w:spacing w:line="360" w:lineRule="auto"/>
        <w:ind w:firstLine="480" w:firstLineChars="200"/>
        <w:rPr>
          <w:rFonts w:ascii="仿宋" w:hAnsi="仿宋" w:eastAsia="仿宋" w:cs="宋体"/>
          <w:color w:val="000000" w:themeColor="text1"/>
          <w14:textFill>
            <w14:solidFill>
              <w14:schemeClr w14:val="tx1"/>
            </w14:solidFill>
          </w14:textFill>
        </w:rPr>
      </w:pP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为维护公平竞争的市场秩序和公正透明的商业环境，保证与</w:t>
      </w:r>
      <w:r>
        <w:rPr>
          <w:rFonts w:hint="eastAsia" w:ascii="仿宋" w:hAnsi="仿宋" w:eastAsia="仿宋" w:cs="仿宋"/>
          <w:color w:val="000000" w:themeColor="text1"/>
          <w14:textFill>
            <w14:solidFill>
              <w14:schemeClr w14:val="tx1"/>
            </w14:solidFill>
          </w14:textFill>
        </w:rPr>
        <w:t>中国人民保险集团公司、各子公司以及各级分支机构（以下简称“中国人民保险”）</w:t>
      </w:r>
      <w:r>
        <w:rPr>
          <w:rFonts w:hint="eastAsia" w:ascii="仿宋" w:hAnsi="仿宋" w:eastAsia="仿宋" w:cs="宋体"/>
          <w:color w:val="000000" w:themeColor="text1"/>
          <w14:textFill>
            <w14:solidFill>
              <w14:schemeClr w14:val="tx1"/>
            </w14:solidFill>
          </w14:textFill>
        </w:rPr>
        <w:t>合作项目的顺利进行，我方作为参与</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的合作过程中郑重承诺如下：</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一、遵守法律法规承诺。我们将严格遵守《中华人民共和国反不正当竞争法》《关于禁止商业贿赂行为的暂行规定》等国家法律法规和</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采购管理、供应商管理相关制度要求，坚决不从事任何违法违规违纪行为。</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二、避免利害关系承诺。我们将在采购过程中主动申报与</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及相关主体的关联及利害关系，包括我们的相关主体与</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三、廉洁自律承诺。我们坚决不以任何形式为获取或意图获取交易机会、竞争优势或谋取不正当利益而向</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或相关主体实施商业贿赂或营私舞弊行为，包括但不限于：</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（2）为其安排有可能影响公平、公正交易的宴请、健身、娱乐等活动；</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（3）为其投资入股、个人借款或买卖股票、债券等提供方便；</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（5）违反规定为其在我方相关企业工作、挂名兼职、合伙经营、介绍承揽业务等提供方便；</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（6）向其提供借款、融资、担保等；</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（7）给予或承诺给予其不正当利益的其他行为；</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（8）其他违反国家法律法规或商业道德准则的影响公正交易的行为。</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我们也不会以任何方式向</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四、诚实信用承诺。我们坚决不进行任何违背诚实信用原则的行为，包括但不限于：</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出借、转让资质证书；</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伙同他人串标、围标或非法排挤竞争对手；</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（4）隐瞒任何可能对贵方利益造成影响的信息，不配合贵方的审计。</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（3）建立举报制度：鼓励员工积极举报违规行为，对举报人予以保护并给予奖励。</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七、配合监督承诺。我们将积极配合</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八、如违反上述承诺，我方自愿承担以下法律责任：</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（1）如我方及我方工作人员违反本承诺书承诺，</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（2）如我方及我方工作人员违反本承诺书承诺，</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及其子公司等所有关联主体有权限制或取消我方在</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参与采购项目的资格；</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（3）如我方及我方工作人员违反本承诺书承诺，</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（4）如我方及我方工作人员违反本承诺书承诺，除承担前述（1）（2）（3）项责任外，</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000000" w:themeColor="text1"/>
          <w14:textFill>
            <w14:solidFill>
              <w14:schemeClr w14:val="tx1"/>
            </w14:solidFill>
          </w14:textFill>
        </w:rPr>
      </w:pP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本承诺书自承诺方签字和盖章之日起生效。如我方成功中选</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000000" w:themeColor="text1"/>
          <w14:textFill>
            <w14:solidFill>
              <w14:schemeClr w14:val="tx1"/>
            </w14:solidFill>
          </w14:textFill>
        </w:rPr>
      </w:pPr>
    </w:p>
    <w:p>
      <w:pPr>
        <w:tabs>
          <w:tab w:val="left" w:pos="458"/>
        </w:tabs>
        <w:spacing w:line="360" w:lineRule="auto"/>
        <w:ind w:firstLine="3578" w:firstLineChars="1491"/>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公司名称（全称、盖章）：________________</w:t>
      </w:r>
    </w:p>
    <w:p>
      <w:pPr>
        <w:spacing w:line="360" w:lineRule="auto"/>
        <w:ind w:firstLine="3578" w:firstLineChars="1491"/>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法定代表人姓名、职务：__________________</w:t>
      </w:r>
    </w:p>
    <w:p>
      <w:pPr>
        <w:spacing w:line="360" w:lineRule="auto"/>
        <w:ind w:firstLine="3578" w:firstLineChars="1491"/>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法定代表人或授权代表签字：______________</w:t>
      </w:r>
    </w:p>
    <w:p>
      <w:pPr>
        <w:spacing w:line="360" w:lineRule="auto"/>
        <w:ind w:firstLine="3578" w:firstLineChars="1491"/>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日期：__________________________________</w:t>
      </w:r>
      <w:r>
        <w:rPr>
          <w:rFonts w:hint="eastAsia" w:ascii="仿宋" w:hAnsi="仿宋" w:eastAsia="仿宋" w:cs="仿宋"/>
          <w:color w:val="000000" w:themeColor="text1"/>
          <w14:textFill>
            <w14:solidFill>
              <w14:schemeClr w14:val="tx1"/>
            </w14:solidFill>
          </w14:textFill>
        </w:rPr>
        <w:br w:type="page"/>
      </w:r>
    </w:p>
    <w:p>
      <w:pPr>
        <w:pStyle w:val="5"/>
        <w:spacing w:before="0" w:after="0" w:line="360" w:lineRule="auto"/>
        <w:rPr>
          <w:rFonts w:ascii="仿宋" w:hAnsi="仿宋" w:cs="宋体"/>
          <w:color w:val="000000" w:themeColor="text1"/>
          <w:szCs w:val="24"/>
          <w14:textFill>
            <w14:solidFill>
              <w14:schemeClr w14:val="tx1"/>
            </w14:solidFill>
          </w14:textFill>
        </w:rPr>
      </w:pPr>
      <w:bookmarkStart w:id="187" w:name="_Toc15735"/>
      <w:r>
        <w:rPr>
          <w:rFonts w:hint="eastAsia" w:ascii="仿宋" w:hAnsi="仿宋" w:eastAsia="仿宋" w:cs="宋体"/>
          <w:bCs w:val="0"/>
          <w:color w:val="000000" w:themeColor="text1"/>
          <w:sz w:val="24"/>
          <w:szCs w:val="24"/>
          <w14:textFill>
            <w14:solidFill>
              <w14:schemeClr w14:val="tx1"/>
            </w14:solidFill>
          </w14:textFill>
        </w:rPr>
        <w:t>（九）信息安全采购要求承诺函</w:t>
      </w:r>
      <w:bookmarkEnd w:id="187"/>
    </w:p>
    <w:p>
      <w:pPr>
        <w:jc w:val="center"/>
        <w:rPr>
          <w:b/>
          <w:color w:val="000000" w:themeColor="text1"/>
          <w14:textFill>
            <w14:solidFill>
              <w14:schemeClr w14:val="tx1"/>
            </w14:solidFill>
          </w14:textFill>
        </w:rPr>
      </w:pPr>
    </w:p>
    <w:p>
      <w:pPr>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信息安全采购要求承诺函</w:t>
      </w:r>
    </w:p>
    <w:p>
      <w:pPr>
        <w:rPr>
          <w:color w:val="000000" w:themeColor="text1"/>
          <w14:textFill>
            <w14:solidFill>
              <w14:schemeClr w14:val="tx1"/>
            </w14:solidFill>
          </w14:textFill>
        </w:rPr>
      </w:pPr>
    </w:p>
    <w:p>
      <w:pPr>
        <w:adjustRightInd w:val="0"/>
        <w:snapToGrid w:val="0"/>
        <w:spacing w:line="360" w:lineRule="auto"/>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致：中国人民财产保险股份有限公司广安市</w:t>
      </w:r>
      <w:r>
        <w:rPr>
          <w:rFonts w:ascii="仿宋_GB2312" w:hAnsi="宋体" w:eastAsia="仿宋_GB2312"/>
          <w:color w:val="000000" w:themeColor="text1"/>
          <w14:textFill>
            <w14:solidFill>
              <w14:schemeClr w14:val="tx1"/>
            </w14:solidFill>
          </w14:textFill>
        </w:rPr>
        <w:t>分公司</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2.根据实际情况，投标人在A\B两项之间择一承诺</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A投标人向招标人提供的产品或服务，不需要任何外国实体提供技术支持。</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3.根据实际情况，投标人在A\B两项之间择一承诺</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rPr>
          <w:rFonts w:ascii="仿宋_GB2312" w:hAnsi="宋体" w:eastAsia="仿宋_GB2312"/>
          <w:color w:val="000000" w:themeColor="text1"/>
          <w14:textFill>
            <w14:solidFill>
              <w14:schemeClr w14:val="tx1"/>
            </w14:solidFill>
          </w14:textFill>
        </w:rPr>
      </w:pPr>
    </w:p>
    <w:p>
      <w:pPr>
        <w:spacing w:line="360" w:lineRule="auto"/>
        <w:rPr>
          <w:rFonts w:ascii="仿宋_GB2312" w:hAnsi="宋体" w:eastAsia="仿宋_GB2312"/>
          <w:color w:val="000000" w:themeColor="text1"/>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投标人授权代表(签字):</w:t>
      </w:r>
      <w:r>
        <w:rPr>
          <w:rFonts w:hint="eastAsia" w:ascii="仿宋_GB2312" w:hAnsi="宋体" w:eastAsia="仿宋_GB2312"/>
          <w:color w:val="000000" w:themeColor="text1"/>
          <w14:textFill>
            <w14:solidFill>
              <w14:schemeClr w14:val="tx1"/>
            </w14:solidFill>
          </w14:textFill>
        </w:rPr>
        <w:tab/>
      </w:r>
    </w:p>
    <w:p>
      <w:pPr>
        <w:spacing w:line="360" w:lineRule="auto"/>
        <w:rPr>
          <w:rFonts w:ascii="仿宋" w:hAnsi="仿宋" w:eastAsia="仿宋" w:cs="仿宋"/>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日期：</w:t>
      </w:r>
    </w:p>
    <w:p>
      <w:pPr>
        <w:spacing w:line="360" w:lineRule="auto"/>
        <w:ind w:firstLine="4790" w:firstLineChars="1491"/>
        <w:rPr>
          <w:rStyle w:val="58"/>
          <w:rFonts w:ascii="仿宋" w:hAnsi="仿宋" w:eastAsia="仿宋" w:cs="仿宋"/>
          <w:color w:val="000000" w:themeColor="text1"/>
          <w14:textFill>
            <w14:solidFill>
              <w14:schemeClr w14:val="tx1"/>
            </w14:solidFill>
          </w14:textFill>
        </w:rPr>
      </w:pPr>
    </w:p>
    <w:p>
      <w:pPr>
        <w:spacing w:line="360" w:lineRule="auto"/>
        <w:ind w:firstLine="4790" w:firstLineChars="1491"/>
        <w:rPr>
          <w:rStyle w:val="58"/>
          <w:rFonts w:ascii="仿宋" w:hAnsi="仿宋" w:eastAsia="仿宋" w:cs="仿宋"/>
          <w:color w:val="000000" w:themeColor="text1"/>
          <w14:textFill>
            <w14:solidFill>
              <w14:schemeClr w14:val="tx1"/>
            </w14:solidFill>
          </w14:textFill>
        </w:rPr>
      </w:pPr>
    </w:p>
    <w:p>
      <w:pPr>
        <w:spacing w:line="360" w:lineRule="auto"/>
        <w:ind w:firstLine="4790" w:firstLineChars="1491"/>
        <w:rPr>
          <w:rStyle w:val="58"/>
          <w:rFonts w:ascii="仿宋" w:hAnsi="仿宋" w:eastAsia="仿宋" w:cs="仿宋"/>
          <w:color w:val="000000" w:themeColor="text1"/>
          <w14:textFill>
            <w14:solidFill>
              <w14:schemeClr w14:val="tx1"/>
            </w14:solidFill>
          </w14:textFill>
        </w:rPr>
      </w:pPr>
    </w:p>
    <w:p>
      <w:pPr>
        <w:spacing w:line="360" w:lineRule="auto"/>
        <w:ind w:firstLine="4790" w:firstLineChars="1491"/>
        <w:rPr>
          <w:rStyle w:val="58"/>
          <w:rFonts w:ascii="仿宋" w:hAnsi="仿宋" w:eastAsia="仿宋" w:cs="仿宋"/>
          <w:color w:val="000000" w:themeColor="text1"/>
          <w14:textFill>
            <w14:solidFill>
              <w14:schemeClr w14:val="tx1"/>
            </w14:solidFill>
          </w14:textFill>
        </w:rPr>
      </w:pPr>
    </w:p>
    <w:p>
      <w:pPr>
        <w:spacing w:line="360" w:lineRule="auto"/>
        <w:ind w:firstLine="4790" w:firstLineChars="1491"/>
        <w:rPr>
          <w:rStyle w:val="58"/>
          <w:rFonts w:ascii="仿宋" w:hAnsi="仿宋" w:eastAsia="仿宋" w:cs="仿宋"/>
          <w:color w:val="000000" w:themeColor="text1"/>
          <w14:textFill>
            <w14:solidFill>
              <w14:schemeClr w14:val="tx1"/>
            </w14:solidFill>
          </w14:textFill>
        </w:rPr>
      </w:pPr>
    </w:p>
    <w:p>
      <w:pPr>
        <w:spacing w:line="360" w:lineRule="auto"/>
        <w:ind w:firstLine="4790" w:firstLineChars="1491"/>
        <w:rPr>
          <w:rStyle w:val="58"/>
          <w:rFonts w:ascii="仿宋" w:hAnsi="仿宋" w:eastAsia="仿宋" w:cs="仿宋"/>
          <w:color w:val="000000" w:themeColor="text1"/>
          <w14:textFill>
            <w14:solidFill>
              <w14:schemeClr w14:val="tx1"/>
            </w14:solidFill>
          </w14:textFill>
        </w:rPr>
      </w:pPr>
    </w:p>
    <w:p>
      <w:pPr>
        <w:spacing w:line="360" w:lineRule="auto"/>
        <w:ind w:firstLine="4790" w:firstLineChars="1491"/>
        <w:rPr>
          <w:rStyle w:val="58"/>
          <w:rFonts w:ascii="仿宋" w:hAnsi="仿宋" w:eastAsia="仿宋" w:cs="仿宋"/>
          <w:color w:val="000000" w:themeColor="text1"/>
          <w14:textFill>
            <w14:solidFill>
              <w14:schemeClr w14:val="tx1"/>
            </w14:solidFill>
          </w14:textFill>
        </w:rPr>
      </w:pPr>
    </w:p>
    <w:p>
      <w:pPr>
        <w:spacing w:line="360" w:lineRule="auto"/>
        <w:ind w:firstLine="4790" w:firstLineChars="1491"/>
        <w:rPr>
          <w:rStyle w:val="58"/>
          <w:rFonts w:ascii="仿宋" w:hAnsi="仿宋" w:eastAsia="仿宋" w:cs="仿宋"/>
          <w:color w:val="000000" w:themeColor="text1"/>
          <w14:textFill>
            <w14:solidFill>
              <w14:schemeClr w14:val="tx1"/>
            </w14:solidFill>
          </w14:textFill>
        </w:rPr>
      </w:pPr>
    </w:p>
    <w:p>
      <w:pPr>
        <w:spacing w:line="360" w:lineRule="auto"/>
        <w:ind w:firstLine="4790" w:firstLineChars="1491"/>
        <w:rPr>
          <w:rStyle w:val="58"/>
          <w:rFonts w:ascii="仿宋" w:hAnsi="仿宋" w:eastAsia="仿宋" w:cs="仿宋"/>
          <w:color w:val="000000" w:themeColor="text1"/>
          <w14:textFill>
            <w14:solidFill>
              <w14:schemeClr w14:val="tx1"/>
            </w14:solidFill>
          </w14:textFill>
        </w:rPr>
      </w:pPr>
    </w:p>
    <w:p>
      <w:pPr>
        <w:spacing w:line="360" w:lineRule="auto"/>
        <w:ind w:firstLine="4790" w:firstLineChars="1491"/>
        <w:rPr>
          <w:rStyle w:val="58"/>
          <w:rFonts w:ascii="仿宋" w:hAnsi="仿宋" w:eastAsia="仿宋" w:cs="仿宋"/>
          <w:color w:val="000000" w:themeColor="text1"/>
          <w14:textFill>
            <w14:solidFill>
              <w14:schemeClr w14:val="tx1"/>
            </w14:solidFill>
          </w14:textFill>
        </w:rPr>
      </w:pPr>
    </w:p>
    <w:p>
      <w:pPr>
        <w:spacing w:line="360" w:lineRule="auto"/>
        <w:ind w:firstLine="4790" w:firstLineChars="1491"/>
        <w:rPr>
          <w:rStyle w:val="58"/>
          <w:rFonts w:ascii="仿宋" w:hAnsi="仿宋" w:eastAsia="仿宋" w:cs="仿宋"/>
          <w:color w:val="000000" w:themeColor="text1"/>
          <w14:textFill>
            <w14:solidFill>
              <w14:schemeClr w14:val="tx1"/>
            </w14:solidFill>
          </w14:textFill>
        </w:rPr>
      </w:pPr>
    </w:p>
    <w:p>
      <w:pPr>
        <w:spacing w:line="360" w:lineRule="auto"/>
        <w:ind w:firstLine="4790" w:firstLineChars="1491"/>
        <w:rPr>
          <w:rStyle w:val="58"/>
          <w:rFonts w:ascii="仿宋" w:hAnsi="仿宋" w:eastAsia="仿宋" w:cs="仿宋"/>
          <w:color w:val="000000" w:themeColor="text1"/>
          <w14:textFill>
            <w14:solidFill>
              <w14:schemeClr w14:val="tx1"/>
            </w14:solidFill>
          </w14:textFill>
        </w:rPr>
      </w:pPr>
    </w:p>
    <w:p>
      <w:pPr>
        <w:spacing w:line="360" w:lineRule="auto"/>
        <w:ind w:firstLine="4790" w:firstLineChars="1491"/>
        <w:rPr>
          <w:rStyle w:val="58"/>
          <w:rFonts w:ascii="仿宋" w:hAnsi="仿宋" w:eastAsia="仿宋" w:cs="仿宋"/>
          <w:color w:val="000000" w:themeColor="text1"/>
          <w14:textFill>
            <w14:solidFill>
              <w14:schemeClr w14:val="tx1"/>
            </w14:solidFill>
          </w14:textFill>
        </w:rPr>
      </w:pPr>
    </w:p>
    <w:p>
      <w:pPr>
        <w:spacing w:line="360" w:lineRule="auto"/>
        <w:ind w:firstLine="4790" w:firstLineChars="1491"/>
        <w:rPr>
          <w:rStyle w:val="58"/>
          <w:rFonts w:ascii="仿宋" w:hAnsi="仿宋" w:eastAsia="仿宋" w:cs="仿宋"/>
          <w:color w:val="000000" w:themeColor="text1"/>
          <w14:textFill>
            <w14:solidFill>
              <w14:schemeClr w14:val="tx1"/>
            </w14:solidFill>
          </w14:textFill>
        </w:rPr>
      </w:pPr>
    </w:p>
    <w:p>
      <w:pPr>
        <w:spacing w:line="360" w:lineRule="auto"/>
        <w:ind w:firstLine="4790" w:firstLineChars="1491"/>
        <w:rPr>
          <w:rStyle w:val="58"/>
          <w:rFonts w:ascii="仿宋" w:hAnsi="仿宋" w:eastAsia="仿宋" w:cs="仿宋"/>
          <w:color w:val="000000" w:themeColor="text1"/>
          <w14:textFill>
            <w14:solidFill>
              <w14:schemeClr w14:val="tx1"/>
            </w14:solidFill>
          </w14:textFill>
        </w:rPr>
      </w:pPr>
    </w:p>
    <w:p>
      <w:pPr>
        <w:spacing w:line="360" w:lineRule="auto"/>
        <w:ind w:firstLine="4790" w:firstLineChars="1491"/>
        <w:rPr>
          <w:rStyle w:val="58"/>
          <w:rFonts w:ascii="仿宋" w:hAnsi="仿宋" w:eastAsia="仿宋" w:cs="仿宋"/>
          <w:color w:val="000000" w:themeColor="text1"/>
          <w14:textFill>
            <w14:solidFill>
              <w14:schemeClr w14:val="tx1"/>
            </w14:solidFill>
          </w14:textFill>
        </w:rPr>
      </w:pPr>
    </w:p>
    <w:p>
      <w:pPr>
        <w:spacing w:line="360" w:lineRule="auto"/>
        <w:ind w:firstLine="4790" w:firstLineChars="1491"/>
        <w:rPr>
          <w:rStyle w:val="58"/>
          <w:rFonts w:ascii="仿宋" w:hAnsi="仿宋" w:eastAsia="仿宋" w:cs="仿宋"/>
          <w:color w:val="000000" w:themeColor="text1"/>
          <w14:textFill>
            <w14:solidFill>
              <w14:schemeClr w14:val="tx1"/>
            </w14:solidFill>
          </w14:textFill>
        </w:rPr>
      </w:pPr>
    </w:p>
    <w:p>
      <w:pPr>
        <w:pStyle w:val="5"/>
        <w:spacing w:before="0" w:after="0" w:line="360" w:lineRule="auto"/>
        <w:rPr>
          <w:rFonts w:ascii="仿宋" w:hAnsi="仿宋" w:eastAsia="仿宋" w:cs="宋体"/>
          <w:bCs w:val="0"/>
          <w:color w:val="000000" w:themeColor="text1"/>
          <w:sz w:val="21"/>
          <w:szCs w:val="24"/>
          <w14:textFill>
            <w14:solidFill>
              <w14:schemeClr w14:val="tx1"/>
            </w14:solidFill>
          </w14:textFill>
        </w:rPr>
      </w:pPr>
      <w:bookmarkStart w:id="188" w:name="_Toc13681"/>
      <w:r>
        <w:rPr>
          <w:rFonts w:hint="eastAsia" w:ascii="仿宋" w:hAnsi="仿宋" w:eastAsia="仿宋" w:cs="宋体"/>
          <w:color w:val="000000" w:themeColor="text1"/>
          <w:sz w:val="24"/>
          <w14:textFill>
            <w14:solidFill>
              <w14:schemeClr w14:val="tx1"/>
            </w14:solidFill>
          </w14:textFill>
        </w:rPr>
        <w:t>（十）其他材料</w:t>
      </w:r>
      <w:bookmarkEnd w:id="188"/>
    </w:p>
    <w:p>
      <w:pPr>
        <w:spacing w:line="360" w:lineRule="auto"/>
        <w:rPr>
          <w:rFonts w:ascii="宋体" w:hAnsi="宋体"/>
          <w:color w:val="000000" w:themeColor="text1"/>
          <w:szCs w:val="21"/>
          <w14:textFill>
            <w14:solidFill>
              <w14:schemeClr w14:val="tx1"/>
            </w14:solidFill>
          </w14:textFill>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000000" w:themeColor="text1"/>
          <w14:textFill>
            <w14:solidFill>
              <w14:schemeClr w14:val="tx1"/>
            </w14:solidFill>
          </w14:textFill>
        </w:rPr>
        <w:t>供应商</w:t>
      </w:r>
      <w:r>
        <w:rPr>
          <w:rFonts w:ascii="仿宋" w:hAnsi="仿宋" w:eastAsia="仿宋" w:cs="Cambria Math"/>
          <w:color w:val="000000" w:themeColor="text1"/>
          <w14:textFill>
            <w14:solidFill>
              <w14:schemeClr w14:val="tx1"/>
            </w14:solidFill>
          </w14:textFill>
        </w:rPr>
        <w:t>认为需提供的其他材料</w:t>
      </w:r>
      <w:r>
        <w:rPr>
          <w:rFonts w:hint="eastAsia" w:ascii="仿宋" w:hAnsi="仿宋" w:eastAsia="仿宋" w:cs="Cambria Math"/>
          <w:color w:val="000000" w:themeColor="text1"/>
          <w14:textFill>
            <w14:solidFill>
              <w14:schemeClr w14:val="tx1"/>
            </w14:solidFill>
          </w14:textFill>
        </w:rPr>
        <w:t>。</w:t>
      </w:r>
    </w:p>
    <w:bookmarkEnd w:id="175"/>
    <w:p>
      <w:pPr>
        <w:pStyle w:val="4"/>
        <w:jc w:val="both"/>
        <w:rPr>
          <w:rFonts w:ascii="仿宋" w:hAnsi="仿宋" w:eastAsia="仿宋" w:cs="仿宋"/>
          <w:color w:val="000000" w:themeColor="text1"/>
          <w:sz w:val="24"/>
          <w:szCs w:val="24"/>
          <w14:textFill>
            <w14:solidFill>
              <w14:schemeClr w14:val="tx1"/>
            </w14:solidFill>
          </w14:textFill>
        </w:rPr>
      </w:pPr>
      <w:bookmarkStart w:id="189" w:name="_Toc28698"/>
      <w:bookmarkStart w:id="190" w:name="_Toc5270"/>
      <w:r>
        <w:rPr>
          <w:rFonts w:hint="eastAsia" w:ascii="仿宋" w:hAnsi="仿宋" w:eastAsia="仿宋" w:cs="仿宋"/>
          <w:color w:val="000000" w:themeColor="text1"/>
          <w:sz w:val="24"/>
          <w:szCs w:val="24"/>
          <w14:textFill>
            <w14:solidFill>
              <w14:schemeClr w14:val="tx1"/>
            </w14:solidFill>
          </w14:textFill>
        </w:rPr>
        <w:t>二、</w:t>
      </w:r>
      <w:bookmarkEnd w:id="189"/>
      <w:bookmarkStart w:id="191" w:name="_Toc20443"/>
      <w:r>
        <w:rPr>
          <w:rFonts w:hint="eastAsia" w:ascii="仿宋" w:hAnsi="仿宋" w:eastAsia="仿宋" w:cs="仿宋"/>
          <w:color w:val="000000" w:themeColor="text1"/>
          <w:sz w:val="24"/>
          <w:szCs w:val="24"/>
          <w14:textFill>
            <w14:solidFill>
              <w14:schemeClr w14:val="tx1"/>
            </w14:solidFill>
          </w14:textFill>
        </w:rPr>
        <w:t>报价文件</w:t>
      </w:r>
      <w:bookmarkEnd w:id="190"/>
      <w:bookmarkEnd w:id="191"/>
    </w:p>
    <w:p>
      <w:pPr>
        <w:pStyle w:val="5"/>
        <w:spacing w:before="0" w:after="0" w:line="360" w:lineRule="auto"/>
        <w:ind w:firstLine="482"/>
        <w:rPr>
          <w:rFonts w:ascii="仿宋" w:hAnsi="仿宋" w:eastAsia="仿宋" w:cs="仿宋"/>
          <w:color w:val="000000" w:themeColor="text1"/>
          <w:sz w:val="24"/>
          <w:szCs w:val="24"/>
          <w14:textFill>
            <w14:solidFill>
              <w14:schemeClr w14:val="tx1"/>
            </w14:solidFill>
          </w14:textFill>
        </w:rPr>
      </w:pPr>
      <w:bookmarkStart w:id="192" w:name="_Toc511726864"/>
      <w:bookmarkStart w:id="193" w:name="_Toc3739"/>
      <w:bookmarkStart w:id="194" w:name="_Toc18942"/>
      <w:r>
        <w:rPr>
          <w:rFonts w:hint="eastAsia" w:ascii="仿宋" w:hAnsi="仿宋" w:eastAsia="仿宋" w:cs="仿宋"/>
          <w:color w:val="000000" w:themeColor="text1"/>
          <w:sz w:val="24"/>
          <w:szCs w:val="24"/>
          <w14:textFill>
            <w14:solidFill>
              <w14:schemeClr w14:val="tx1"/>
            </w14:solidFill>
          </w14:textFill>
        </w:rPr>
        <w:t>（一）报价</w:t>
      </w:r>
      <w:bookmarkEnd w:id="192"/>
      <w:r>
        <w:rPr>
          <w:rFonts w:hint="eastAsia" w:ascii="仿宋" w:hAnsi="仿宋" w:eastAsia="仿宋" w:cs="仿宋"/>
          <w:color w:val="000000" w:themeColor="text1"/>
          <w:sz w:val="24"/>
          <w:szCs w:val="24"/>
          <w14:textFill>
            <w14:solidFill>
              <w14:schemeClr w14:val="tx1"/>
            </w14:solidFill>
          </w14:textFill>
        </w:rPr>
        <w:t>一览表</w:t>
      </w:r>
      <w:bookmarkEnd w:id="193"/>
      <w:bookmarkEnd w:id="194"/>
    </w:p>
    <w:p>
      <w:pPr>
        <w:pStyle w:val="11"/>
        <w:spacing w:line="360" w:lineRule="auto"/>
        <w:ind w:hanging="142"/>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项目名称：</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eastAsia="zh-CN"/>
          <w14:textFill>
            <w14:solidFill>
              <w14:schemeClr w14:val="tx1"/>
            </w14:solidFill>
          </w14:textFill>
        </w:rPr>
        <w:t>人保财险四川省广安市分公司前锋区公交站台宣传服务采购项目</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w:t>
      </w:r>
    </w:p>
    <w:p>
      <w:pPr>
        <w:pStyle w:val="11"/>
        <w:spacing w:line="360" w:lineRule="auto"/>
        <w:ind w:hanging="142"/>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货币单位：</w:t>
      </w:r>
      <w:r>
        <w:rPr>
          <w:rFonts w:hint="eastAsia" w:ascii="仿宋" w:hAnsi="仿宋" w:eastAsia="仿宋" w:cs="仿宋"/>
          <w:color w:val="000000" w:themeColor="text1"/>
          <w:sz w:val="24"/>
          <w:szCs w:val="24"/>
          <w:u w:val="single"/>
          <w14:textFill>
            <w14:solidFill>
              <w14:schemeClr w14:val="tx1"/>
            </w14:solidFill>
          </w14:textFill>
        </w:rPr>
        <w:t xml:space="preserve"> 人民币元    </w:t>
      </w:r>
    </w:p>
    <w:p>
      <w:pPr>
        <w:jc w:val="center"/>
        <w:textAlignment w:val="center"/>
        <w:rPr>
          <w:rFonts w:ascii="仿宋" w:hAnsi="仿宋" w:eastAsia="仿宋" w:cs="仿宋"/>
          <w:color w:val="000000" w:themeColor="text1"/>
          <w:szCs w:val="21"/>
          <w:lang w:bidi="ar"/>
          <w14:textFill>
            <w14:solidFill>
              <w14:schemeClr w14:val="tx1"/>
            </w14:solidFill>
          </w14:textFill>
        </w:rPr>
      </w:pPr>
    </w:p>
    <w:tbl>
      <w:tblPr>
        <w:tblStyle w:val="29"/>
        <w:tblW w:w="5213" w:type="pct"/>
        <w:jc w:val="center"/>
        <w:tblLayout w:type="fixed"/>
        <w:tblCellMar>
          <w:top w:w="0" w:type="dxa"/>
          <w:left w:w="108" w:type="dxa"/>
          <w:bottom w:w="0" w:type="dxa"/>
          <w:right w:w="108" w:type="dxa"/>
        </w:tblCellMar>
      </w:tblPr>
      <w:tblGrid>
        <w:gridCol w:w="677"/>
        <w:gridCol w:w="2012"/>
        <w:gridCol w:w="1603"/>
        <w:gridCol w:w="1858"/>
        <w:gridCol w:w="1136"/>
        <w:gridCol w:w="1340"/>
        <w:gridCol w:w="795"/>
      </w:tblGrid>
      <w:tr>
        <w:tblPrEx>
          <w:tblCellMar>
            <w:top w:w="0" w:type="dxa"/>
            <w:left w:w="108" w:type="dxa"/>
            <w:bottom w:w="0" w:type="dxa"/>
            <w:right w:w="108" w:type="dxa"/>
          </w:tblCellMar>
        </w:tblPrEx>
        <w:trPr>
          <w:trHeight w:val="927" w:hRule="atLeast"/>
          <w:jc w:val="center"/>
        </w:trPr>
        <w:tc>
          <w:tcPr>
            <w:tcW w:w="359"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themeColor="text1"/>
                <w:szCs w:val="21"/>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序号</w:t>
            </w:r>
          </w:p>
        </w:tc>
        <w:tc>
          <w:tcPr>
            <w:tcW w:w="1067"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themeColor="text1"/>
                <w:szCs w:val="21"/>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报价内容</w:t>
            </w:r>
          </w:p>
        </w:tc>
        <w:tc>
          <w:tcPr>
            <w:tcW w:w="850"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themeColor="text1"/>
                <w:szCs w:val="21"/>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含税总价</w:t>
            </w:r>
            <w:r>
              <w:rPr>
                <w:rFonts w:hint="eastAsia" w:ascii="仿宋" w:hAnsi="仿宋" w:eastAsia="仿宋" w:cs="宋体"/>
                <w:b/>
                <w:color w:val="000000" w:themeColor="text1"/>
                <w:szCs w:val="21"/>
                <w14:textFill>
                  <w14:solidFill>
                    <w14:schemeClr w14:val="tx1"/>
                  </w14:solidFill>
                </w14:textFill>
              </w:rPr>
              <w:t>（元）</w:t>
            </w:r>
          </w:p>
        </w:tc>
        <w:tc>
          <w:tcPr>
            <w:tcW w:w="98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themeColor="text1"/>
                <w:szCs w:val="21"/>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增值发票类型（专票/普票）</w:t>
            </w:r>
          </w:p>
        </w:tc>
        <w:tc>
          <w:tcPr>
            <w:tcW w:w="60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themeColor="text1"/>
                <w:szCs w:val="21"/>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税率</w:t>
            </w:r>
          </w:p>
          <w:p>
            <w:pPr>
              <w:jc w:val="center"/>
              <w:rPr>
                <w:rFonts w:ascii="仿宋" w:hAnsi="仿宋" w:eastAsia="仿宋" w:cs="宋体"/>
                <w:b/>
                <w:bCs/>
                <w:color w:val="000000" w:themeColor="text1"/>
                <w:szCs w:val="21"/>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w:t>
            </w:r>
          </w:p>
        </w:tc>
        <w:tc>
          <w:tcPr>
            <w:tcW w:w="710"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不含税总价</w:t>
            </w:r>
            <w:r>
              <w:rPr>
                <w:rFonts w:hint="eastAsia" w:ascii="仿宋" w:hAnsi="仿宋" w:eastAsia="仿宋" w:cs="宋体"/>
                <w:b/>
                <w:color w:val="000000" w:themeColor="text1"/>
                <w:szCs w:val="21"/>
                <w14:textFill>
                  <w14:solidFill>
                    <w14:schemeClr w14:val="tx1"/>
                  </w14:solidFill>
                </w14:textFill>
              </w:rPr>
              <w:t>（元）</w:t>
            </w:r>
          </w:p>
        </w:tc>
        <w:tc>
          <w:tcPr>
            <w:tcW w:w="42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themeColor="text1"/>
                <w:szCs w:val="21"/>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备注</w:t>
            </w:r>
          </w:p>
        </w:tc>
      </w:tr>
      <w:tr>
        <w:tblPrEx>
          <w:tblCellMar>
            <w:top w:w="0" w:type="dxa"/>
            <w:left w:w="108" w:type="dxa"/>
            <w:bottom w:w="0" w:type="dxa"/>
            <w:right w:w="108" w:type="dxa"/>
          </w:tblCellMar>
        </w:tblPrEx>
        <w:trPr>
          <w:trHeight w:val="1409" w:hRule="atLeast"/>
          <w:jc w:val="center"/>
        </w:trPr>
        <w:tc>
          <w:tcPr>
            <w:tcW w:w="359" w:type="pct"/>
            <w:tcBorders>
              <w:top w:val="nil"/>
              <w:left w:val="single" w:color="auto" w:sz="4" w:space="0"/>
              <w:bottom w:val="single" w:color="auto" w:sz="4" w:space="0"/>
              <w:right w:val="single" w:color="auto" w:sz="4" w:space="0"/>
            </w:tcBorders>
            <w:vAlign w:val="center"/>
          </w:tcPr>
          <w:p>
            <w:pPr>
              <w:jc w:val="center"/>
              <w:rPr>
                <w:rFonts w:ascii="仿宋" w:hAnsi="仿宋" w:eastAsia="仿宋" w:cs="宋体"/>
                <w:bCs/>
                <w:color w:val="000000" w:themeColor="text1"/>
                <w:szCs w:val="21"/>
                <w14:textFill>
                  <w14:solidFill>
                    <w14:schemeClr w14:val="tx1"/>
                  </w14:solidFill>
                </w14:textFill>
              </w:rPr>
            </w:pPr>
            <w:r>
              <w:rPr>
                <w:rFonts w:hint="eastAsia" w:ascii="仿宋" w:hAnsi="仿宋" w:eastAsia="仿宋" w:cs="宋体"/>
                <w:bCs/>
                <w:color w:val="000000" w:themeColor="text1"/>
                <w:szCs w:val="21"/>
                <w14:textFill>
                  <w14:solidFill>
                    <w14:schemeClr w14:val="tx1"/>
                  </w14:solidFill>
                </w14:textFill>
              </w:rPr>
              <w:t>1</w:t>
            </w:r>
          </w:p>
        </w:tc>
        <w:tc>
          <w:tcPr>
            <w:tcW w:w="1067" w:type="pct"/>
            <w:tcBorders>
              <w:top w:val="nil"/>
              <w:left w:val="nil"/>
              <w:bottom w:val="single" w:color="auto" w:sz="4" w:space="0"/>
              <w:right w:val="single" w:color="auto" w:sz="4" w:space="0"/>
            </w:tcBorders>
            <w:vAlign w:val="center"/>
          </w:tcPr>
          <w:p>
            <w:pPr>
              <w:jc w:val="center"/>
              <w:rPr>
                <w:rFonts w:ascii="仿宋" w:hAnsi="仿宋" w:eastAsia="仿宋" w:cs="宋体"/>
                <w:bCs/>
                <w:color w:val="000000" w:themeColor="text1"/>
                <w:szCs w:val="21"/>
                <w14:textFill>
                  <w14:solidFill>
                    <w14:schemeClr w14:val="tx1"/>
                  </w14:solidFill>
                </w14:textFill>
              </w:rPr>
            </w:pPr>
            <w:r>
              <w:rPr>
                <w:rFonts w:hint="eastAsia" w:ascii="仿宋" w:hAnsi="仿宋" w:eastAsia="仿宋" w:cs="宋体"/>
                <w:bCs/>
                <w:color w:val="000000" w:themeColor="text1"/>
                <w:szCs w:val="21"/>
                <w:lang w:eastAsia="zh-CN"/>
                <w14:textFill>
                  <w14:solidFill>
                    <w14:schemeClr w14:val="tx1"/>
                  </w14:solidFill>
                </w14:textFill>
              </w:rPr>
              <w:t>前锋区</w:t>
            </w:r>
            <w:r>
              <w:rPr>
                <w:rFonts w:hint="eastAsia" w:ascii="仿宋" w:hAnsi="仿宋" w:eastAsia="仿宋" w:cs="宋体"/>
                <w:bCs/>
                <w:color w:val="000000" w:themeColor="text1"/>
                <w:szCs w:val="21"/>
                <w14:textFill>
                  <w14:solidFill>
                    <w14:schemeClr w14:val="tx1"/>
                  </w14:solidFill>
                </w14:textFill>
              </w:rPr>
              <w:t>公交站台宣传服务</w:t>
            </w:r>
          </w:p>
        </w:tc>
        <w:tc>
          <w:tcPr>
            <w:tcW w:w="850" w:type="pct"/>
            <w:tcBorders>
              <w:top w:val="nil"/>
              <w:left w:val="nil"/>
              <w:bottom w:val="single" w:color="auto" w:sz="4" w:space="0"/>
              <w:right w:val="single" w:color="auto" w:sz="4" w:space="0"/>
            </w:tcBorders>
            <w:vAlign w:val="center"/>
          </w:tcPr>
          <w:p>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3.</w:t>
            </w:r>
            <w:r>
              <w:rPr>
                <w:rFonts w:hint="eastAsia" w:ascii="仿宋" w:hAnsi="仿宋" w:eastAsia="仿宋" w:cs="宋体"/>
                <w:color w:val="000000" w:themeColor="text1"/>
                <w:szCs w:val="21"/>
                <w:lang w:val="en-US" w:eastAsia="zh-CN"/>
                <w14:textFill>
                  <w14:solidFill>
                    <w14:schemeClr w14:val="tx1"/>
                  </w14:solidFill>
                </w14:textFill>
              </w:rPr>
              <w:t>5</w:t>
            </w:r>
            <w:r>
              <w:rPr>
                <w:rFonts w:hint="eastAsia" w:ascii="仿宋" w:hAnsi="仿宋" w:eastAsia="仿宋" w:cs="宋体"/>
                <w:color w:val="000000" w:themeColor="text1"/>
                <w:szCs w:val="21"/>
                <w14:textFill>
                  <w14:solidFill>
                    <w14:schemeClr w14:val="tx1"/>
                  </w14:solidFill>
                </w14:textFill>
              </w:rPr>
              <w:t>M*1.5M双面530g高精度喷绘</w:t>
            </w:r>
          </w:p>
        </w:tc>
        <w:tc>
          <w:tcPr>
            <w:tcW w:w="985" w:type="pct"/>
            <w:tcBorders>
              <w:top w:val="single" w:color="auto" w:sz="4" w:space="0"/>
              <w:left w:val="single" w:color="auto" w:sz="4" w:space="0"/>
              <w:bottom w:val="single" w:color="auto" w:sz="4" w:space="0"/>
              <w:right w:val="single" w:color="auto" w:sz="4" w:space="0"/>
            </w:tcBorders>
          </w:tcPr>
          <w:p>
            <w:pPr>
              <w:jc w:val="center"/>
              <w:rPr>
                <w:rFonts w:ascii="仿宋" w:hAnsi="仿宋" w:eastAsia="仿宋" w:cs="宋体"/>
                <w:color w:val="000000" w:themeColor="text1"/>
                <w:szCs w:val="21"/>
                <w14:textFill>
                  <w14:solidFill>
                    <w14:schemeClr w14:val="tx1"/>
                  </w14:solidFill>
                </w14:textFill>
              </w:rPr>
            </w:pPr>
          </w:p>
        </w:tc>
        <w:tc>
          <w:tcPr>
            <w:tcW w:w="60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1%</w:t>
            </w:r>
          </w:p>
        </w:tc>
        <w:tc>
          <w:tcPr>
            <w:tcW w:w="710" w:type="pct"/>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  </w:t>
            </w:r>
          </w:p>
        </w:tc>
        <w:tc>
          <w:tcPr>
            <w:tcW w:w="42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themeColor="text1"/>
                <w:szCs w:val="21"/>
                <w14:textFill>
                  <w14:solidFill>
                    <w14:schemeClr w14:val="tx1"/>
                  </w14:solidFill>
                </w14:textFill>
              </w:rPr>
            </w:pPr>
          </w:p>
        </w:tc>
      </w:tr>
    </w:tbl>
    <w:p>
      <w:pPr>
        <w:spacing w:line="360" w:lineRule="auto"/>
        <w:rPr>
          <w:rFonts w:ascii="仿宋" w:hAnsi="仿宋" w:eastAsia="仿宋" w:cs="仿宋"/>
          <w:bCs/>
          <w:color w:val="000000" w:themeColor="text1"/>
          <w14:textFill>
            <w14:solidFill>
              <w14:schemeClr w14:val="tx1"/>
            </w14:solidFill>
          </w14:textFill>
        </w:rPr>
      </w:pPr>
    </w:p>
    <w:p>
      <w:pPr>
        <w:spacing w:line="360" w:lineRule="auto"/>
        <w:rPr>
          <w:rFonts w:ascii="仿宋" w:hAnsi="仿宋" w:eastAsia="仿宋" w:cs="仿宋"/>
          <w:bCs/>
          <w:color w:val="000000" w:themeColor="text1"/>
          <w14:textFill>
            <w14:solidFill>
              <w14:schemeClr w14:val="tx1"/>
            </w14:solidFill>
          </w14:textFill>
        </w:rPr>
      </w:pPr>
      <w:r>
        <w:rPr>
          <w:rFonts w:hint="eastAsia" w:ascii="仿宋" w:hAnsi="仿宋" w:eastAsia="仿宋" w:cs="仿宋"/>
          <w:bCs/>
          <w:color w:val="000000" w:themeColor="text1"/>
          <w14:textFill>
            <w14:solidFill>
              <w14:schemeClr w14:val="tx1"/>
            </w14:solidFill>
          </w14:textFill>
        </w:rPr>
        <w:t>备注：</w:t>
      </w:r>
    </w:p>
    <w:p>
      <w:pPr>
        <w:spacing w:line="360" w:lineRule="auto"/>
        <w:rPr>
          <w:rFonts w:ascii="仿宋" w:hAnsi="仿宋" w:eastAsia="仿宋"/>
          <w:bCs/>
          <w:color w:val="000000" w:themeColor="text1"/>
          <w14:textFill>
            <w14:solidFill>
              <w14:schemeClr w14:val="tx1"/>
            </w14:solidFill>
          </w14:textFill>
        </w:rPr>
      </w:pPr>
      <w:r>
        <w:rPr>
          <w:rFonts w:hint="eastAsia" w:ascii="仿宋" w:hAnsi="仿宋" w:eastAsia="仿宋"/>
          <w:bCs/>
          <w:color w:val="000000" w:themeColor="text1"/>
          <w14:textFill>
            <w14:solidFill>
              <w14:schemeClr w14:val="tx1"/>
            </w14:solidFill>
          </w14:textFill>
        </w:rPr>
        <w:t>1.本次报价精确到小数点后两位（四舍五入）。</w:t>
      </w:r>
    </w:p>
    <w:p>
      <w:pPr>
        <w:pStyle w:val="51"/>
        <w:spacing w:line="360" w:lineRule="auto"/>
        <w:ind w:firstLine="0" w:firstLineChars="0"/>
        <w:rPr>
          <w:rFonts w:ascii="仿宋" w:hAnsi="仿宋" w:eastAsia="仿宋" w:cs="宋体"/>
          <w:bCs/>
          <w:color w:val="000000" w:themeColor="text1"/>
          <w14:textFill>
            <w14:solidFill>
              <w14:schemeClr w14:val="tx1"/>
            </w14:solidFill>
          </w14:textFill>
        </w:rPr>
      </w:pPr>
      <w:r>
        <w:rPr>
          <w:rFonts w:hint="eastAsia" w:ascii="仿宋" w:hAnsi="仿宋" w:eastAsia="仿宋" w:cs="宋体"/>
          <w:bCs/>
          <w:color w:val="000000" w:themeColor="text1"/>
          <w14:textFill>
            <w14:solidFill>
              <w14:schemeClr w14:val="tx1"/>
            </w14:solidFill>
          </w14:textFill>
        </w:rPr>
        <w:t>2.含税价=不含税价*(1+税率)，若报价与此公式不符，增值税专用发票以不含税</w:t>
      </w:r>
    </w:p>
    <w:p>
      <w:pPr>
        <w:pStyle w:val="51"/>
        <w:spacing w:line="360" w:lineRule="auto"/>
        <w:ind w:firstLine="0" w:firstLineChars="0"/>
        <w:rPr>
          <w:rFonts w:ascii="仿宋" w:hAnsi="仿宋" w:eastAsia="仿宋" w:cs="宋体"/>
          <w:bCs/>
          <w:color w:val="000000" w:themeColor="text1"/>
          <w14:textFill>
            <w14:solidFill>
              <w14:schemeClr w14:val="tx1"/>
            </w14:solidFill>
          </w14:textFill>
        </w:rPr>
      </w:pPr>
      <w:r>
        <w:rPr>
          <w:rFonts w:hint="eastAsia" w:ascii="仿宋" w:hAnsi="仿宋" w:eastAsia="仿宋" w:cs="宋体"/>
          <w:bCs/>
          <w:color w:val="000000" w:themeColor="text1"/>
          <w14:textFill>
            <w14:solidFill>
              <w14:schemeClr w14:val="tx1"/>
            </w14:solidFill>
          </w14:textFill>
        </w:rPr>
        <w:t>价为准进行修正，增值税普通发票以含税价进行修正。</w:t>
      </w:r>
    </w:p>
    <w:p>
      <w:pPr>
        <w:pStyle w:val="51"/>
        <w:spacing w:line="360" w:lineRule="auto"/>
        <w:ind w:firstLine="0" w:firstLineChars="0"/>
        <w:rPr>
          <w:rFonts w:ascii="仿宋" w:hAnsi="仿宋" w:eastAsia="仿宋" w:cs="宋体"/>
          <w:bCs/>
          <w:color w:val="000000" w:themeColor="text1"/>
          <w14:textFill>
            <w14:solidFill>
              <w14:schemeClr w14:val="tx1"/>
            </w14:solidFill>
          </w14:textFill>
        </w:rPr>
      </w:pPr>
      <w:r>
        <w:rPr>
          <w:rFonts w:hint="eastAsia" w:ascii="仿宋" w:hAnsi="仿宋" w:eastAsia="仿宋" w:cs="宋体"/>
          <w:bCs/>
          <w:color w:val="000000" w:themeColor="text1"/>
          <w14:textFill>
            <w14:solidFill>
              <w14:schemeClr w14:val="tx1"/>
            </w14:solidFill>
          </w14:textFill>
        </w:rPr>
        <w:t>3.后续如因国家税率调整，专票以不含税价不变进行调整，普票以含税价不变进行</w:t>
      </w:r>
    </w:p>
    <w:p>
      <w:pPr>
        <w:pStyle w:val="51"/>
        <w:spacing w:line="360" w:lineRule="auto"/>
        <w:ind w:firstLine="0" w:firstLineChars="0"/>
        <w:rPr>
          <w:rFonts w:ascii="仿宋" w:hAnsi="仿宋" w:eastAsia="仿宋" w:cs="宋体"/>
          <w:bCs/>
          <w:color w:val="000000" w:themeColor="text1"/>
          <w14:textFill>
            <w14:solidFill>
              <w14:schemeClr w14:val="tx1"/>
            </w14:solidFill>
          </w14:textFill>
        </w:rPr>
      </w:pPr>
      <w:r>
        <w:rPr>
          <w:rFonts w:hint="eastAsia" w:ascii="仿宋" w:hAnsi="仿宋" w:eastAsia="仿宋" w:cs="宋体"/>
          <w:bCs/>
          <w:color w:val="000000" w:themeColor="text1"/>
          <w14:textFill>
            <w14:solidFill>
              <w14:schemeClr w14:val="tx1"/>
            </w14:solidFill>
          </w14:textFill>
        </w:rPr>
        <w:t>调整。</w:t>
      </w:r>
    </w:p>
    <w:p>
      <w:pPr>
        <w:pStyle w:val="51"/>
        <w:spacing w:line="360" w:lineRule="auto"/>
        <w:ind w:firstLine="0" w:firstLineChars="0"/>
        <w:rPr>
          <w:rFonts w:ascii="仿宋" w:hAnsi="仿宋" w:eastAsia="仿宋" w:cs="宋体"/>
          <w:bCs/>
          <w:color w:val="000000" w:themeColor="text1"/>
          <w14:textFill>
            <w14:solidFill>
              <w14:schemeClr w14:val="tx1"/>
            </w14:solidFill>
          </w14:textFill>
        </w:rPr>
      </w:pPr>
      <w:r>
        <w:rPr>
          <w:rFonts w:hint="eastAsia" w:ascii="仿宋" w:hAnsi="仿宋" w:eastAsia="仿宋" w:cs="宋体"/>
          <w:bCs/>
          <w:color w:val="000000" w:themeColor="text1"/>
          <w14:textFill>
            <w14:solidFill>
              <w14:schemeClr w14:val="tx1"/>
            </w14:solidFill>
          </w14:textFill>
        </w:rPr>
        <w:t>4.宣传点位表可根据实际情况自行添加或删除表格行。</w:t>
      </w:r>
    </w:p>
    <w:p>
      <w:pPr>
        <w:pStyle w:val="51"/>
        <w:spacing w:line="360" w:lineRule="auto"/>
        <w:ind w:firstLine="0" w:firstLineChars="0"/>
        <w:rPr>
          <w:rFonts w:ascii="仿宋" w:hAnsi="仿宋" w:eastAsia="仿宋" w:cs="宋体"/>
          <w:bCs/>
          <w:color w:val="000000" w:themeColor="text1"/>
          <w14:textFill>
            <w14:solidFill>
              <w14:schemeClr w14:val="tx1"/>
            </w14:solidFill>
          </w14:textFill>
        </w:rPr>
      </w:pPr>
      <w:r>
        <w:rPr>
          <w:rFonts w:hint="eastAsia" w:ascii="仿宋" w:hAnsi="仿宋" w:eastAsia="仿宋" w:cs="宋体"/>
          <w:bCs/>
          <w:color w:val="000000" w:themeColor="text1"/>
          <w14:textFill>
            <w14:solidFill>
              <w14:schemeClr w14:val="tx1"/>
            </w14:solidFill>
          </w14:textFill>
        </w:rPr>
        <w:t>5.该报价包含设计费、材料费、装卸费、包装费、运输费等与本项目有关的所有费用。除报价外，采购方无须就本项目项下的任何义务支付任何费用。</w:t>
      </w:r>
    </w:p>
    <w:p>
      <w:pPr>
        <w:pStyle w:val="51"/>
        <w:spacing w:line="360" w:lineRule="auto"/>
        <w:ind w:firstLine="0" w:firstLineChars="0"/>
        <w:rPr>
          <w:rFonts w:ascii="仿宋" w:hAnsi="仿宋" w:eastAsia="仿宋" w:cs="宋体"/>
          <w:bCs/>
          <w:color w:val="000000" w:themeColor="text1"/>
          <w14:textFill>
            <w14:solidFill>
              <w14:schemeClr w14:val="tx1"/>
            </w14:solidFill>
          </w14:textFill>
        </w:rPr>
      </w:pPr>
    </w:p>
    <w:p>
      <w:pPr>
        <w:spacing w:line="360" w:lineRule="auto"/>
        <w:rPr>
          <w:rFonts w:ascii="仿宋" w:hAnsi="仿宋" w:eastAsia="仿宋" w:cs="仿宋"/>
          <w:color w:val="000000" w:themeColor="text1"/>
          <w14:textFill>
            <w14:solidFill>
              <w14:schemeClr w14:val="tx1"/>
            </w14:solidFill>
          </w14:textFill>
        </w:rPr>
      </w:pPr>
    </w:p>
    <w:p>
      <w:pPr>
        <w:widowControl w:val="0"/>
        <w:numPr>
          <w:ilvl w:val="0"/>
          <w:numId w:val="1"/>
        </w:numPr>
        <w:spacing w:line="440" w:lineRule="exact"/>
        <w:jc w:val="right"/>
        <w:rPr>
          <w:rFonts w:ascii="仿宋" w:hAnsi="仿宋" w:eastAsia="仿宋" w:cs="宋体"/>
          <w:color w:val="000000" w:themeColor="text1"/>
          <w14:textFill>
            <w14:solidFill>
              <w14:schemeClr w14:val="tx1"/>
            </w14:solidFill>
          </w14:textFill>
        </w:rPr>
      </w:pPr>
      <w:bookmarkStart w:id="195" w:name="_Toc518302646"/>
      <w:bookmarkStart w:id="196" w:name="_Toc482180015"/>
      <w:bookmarkStart w:id="197" w:name="_Toc517281864"/>
      <w:bookmarkStart w:id="198" w:name="_Toc2267055"/>
      <w:bookmarkStart w:id="199" w:name="_Toc530319762"/>
      <w:bookmarkStart w:id="200" w:name="_Toc16591840"/>
    </w:p>
    <w:p>
      <w:pPr>
        <w:widowControl w:val="0"/>
        <w:numPr>
          <w:ilvl w:val="0"/>
          <w:numId w:val="1"/>
        </w:numPr>
        <w:spacing w:line="440" w:lineRule="exact"/>
        <w:jc w:val="righ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供应商名称：</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（盖章）</w:t>
      </w:r>
    </w:p>
    <w:p>
      <w:pPr>
        <w:widowControl w:val="0"/>
        <w:numPr>
          <w:ilvl w:val="0"/>
          <w:numId w:val="1"/>
        </w:numPr>
        <w:spacing w:line="440" w:lineRule="exact"/>
        <w:jc w:val="righ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法定代表人或其授权代理人：</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（签字）</w:t>
      </w:r>
    </w:p>
    <w:p>
      <w:pPr>
        <w:widowControl w:val="0"/>
        <w:numPr>
          <w:ilvl w:val="0"/>
          <w:numId w:val="1"/>
        </w:numPr>
        <w:spacing w:line="440" w:lineRule="exact"/>
        <w:jc w:val="righ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日期：</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年</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月</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日</w:t>
      </w:r>
    </w:p>
    <w:bookmarkEnd w:id="136"/>
    <w:bookmarkEnd w:id="195"/>
    <w:bookmarkEnd w:id="196"/>
    <w:bookmarkEnd w:id="197"/>
    <w:bookmarkEnd w:id="198"/>
    <w:bookmarkEnd w:id="199"/>
    <w:bookmarkEnd w:id="200"/>
    <w:p>
      <w:pPr>
        <w:pStyle w:val="3"/>
        <w:tabs>
          <w:tab w:val="clear" w:pos="425"/>
        </w:tabs>
        <w:spacing w:before="0" w:after="0" w:line="560" w:lineRule="exact"/>
        <w:ind w:left="0" w:firstLine="0"/>
        <w:jc w:val="left"/>
        <w:rPr>
          <w:rFonts w:ascii="仿宋_GB2312" w:hAnsi="宋体" w:eastAsia="仿宋_GB2312" w:cs="宋体"/>
          <w:color w:val="000000" w:themeColor="text1"/>
          <w:sz w:val="28"/>
          <w:szCs w:val="28"/>
          <w14:textFill>
            <w14:solidFill>
              <w14:schemeClr w14:val="tx1"/>
            </w14:solidFill>
          </w14:textFill>
        </w:rPr>
      </w:pPr>
    </w:p>
    <w:sectPr>
      <w:headerReference r:id="rId9" w:type="default"/>
      <w:footerReference r:id="rId10" w:type="default"/>
      <w:pgSz w:w="11906" w:h="16838"/>
      <w:pgMar w:top="1418" w:right="1555" w:bottom="1418" w:left="1531"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0002A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1"/>
    <w:family w:val="roman"/>
    <w:pitch w:val="default"/>
    <w:sig w:usb0="E00002FF" w:usb1="420024FF" w:usb2="00000000" w:usb3="00000000" w:csb0="2000019F" w:csb1="00000000"/>
  </w:font>
  <w:font w:name="楷体">
    <w:panose1 w:val="02010609060101010101"/>
    <w:charset w:val="86"/>
    <w:family w:val="modern"/>
    <w:pitch w:val="default"/>
    <w:sig w:usb0="800002BF" w:usb1="38CF7CFA" w:usb2="00000016" w:usb3="00000000" w:csb0="00040001" w:csb1="00000000"/>
  </w:font>
  <w:font w:name="Monaco">
    <w:altName w:val="Courier New"/>
    <w:panose1 w:val="00000000000000000000"/>
    <w:charset w:val="00"/>
    <w:family w:val="modern"/>
    <w:pitch w:val="default"/>
    <w:sig w:usb0="00000000" w:usb1="00000000" w:usb2="00000000" w:usb3="00000000" w:csb0="00040001" w:csb1="00000000"/>
  </w:font>
  <w:font w:name="新宋体">
    <w:panose1 w:val="02010609030101010101"/>
    <w:charset w:val="86"/>
    <w:family w:val="modern"/>
    <w:pitch w:val="default"/>
    <w:sig w:usb0="00000003" w:usb1="288F0000" w:usb2="00000006" w:usb3="00000000" w:csb0="00040001" w:csb1="00000000"/>
  </w:font>
  <w:font w:name="Wingdings 2">
    <w:panose1 w:val="05020102010507070707"/>
    <w:charset w:val="02"/>
    <w:family w:val="roman"/>
    <w:pitch w:val="default"/>
    <w:sig w:usb0="00000000" w:usb1="00000000" w:usb2="00000000" w:usb3="00000000" w:csb0="80000000" w:csb1="00000000"/>
  </w:font>
  <w:font w:name="楷体_GB2312">
    <w:altName w:val="楷体"/>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9"/>
                            <w:jc w:val="center"/>
                          </w:pPr>
                          <w:r>
                            <w:fldChar w:fldCharType="begin"/>
                          </w:r>
                          <w:r>
                            <w:instrText xml:space="preserve">PAGE   \* MERGEFORMAT</w:instrText>
                          </w:r>
                          <w:r>
                            <w:fldChar w:fldCharType="separate"/>
                          </w:r>
                          <w:r>
                            <w:rPr>
                              <w:lang w:val="zh-CN"/>
                            </w:rPr>
                            <w:t>19</w:t>
                          </w:r>
                          <w: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T9WjcIBAACO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KSEsctTvz888f51+P54Tt5&#10;m/XpA9SYdhcwMQ3v/YC5sx/QmWkPKtr8RUIE46ju6aKuHBIR+dFquVpVGBIYmy+Iz56ehwjpg/SW&#10;ZKOhEcdXVOXHT5DG1DklV3P+VhtTRmjcXw7EzB6Wex97zFYadsNEaOfbE/LpcfINdbjolJiPDoXN&#10;SzIbcTZ2k5FrQHh3SFi49JNRR6ipGI6pMJpWKu/Bn/eS9fQbbX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U/Vo3CAQAAjgMAAA4AAAAAAAAAAQAgAAAAHgEAAGRycy9lMm9Eb2MueG1sUEsF&#10;BgAAAAAGAAYAWQEAAFIFAAAAAA==&#10;">
              <v:fill on="f" focussize="0,0"/>
              <v:stroke on="f"/>
              <v:imagedata o:title=""/>
              <o:lock v:ext="edit" aspectratio="f"/>
              <v:textbox inset="0mm,0mm,0mm,0mm" style="mso-fit-shape-to-text:t;">
                <w:txbxContent>
                  <w:p>
                    <w:pPr>
                      <w:pStyle w:val="19"/>
                      <w:jc w:val="center"/>
                    </w:pPr>
                    <w:r>
                      <w:fldChar w:fldCharType="begin"/>
                    </w:r>
                    <w:r>
                      <w:instrText xml:space="preserve">PAGE   \* MERGEFORMAT</w:instrText>
                    </w:r>
                    <w:r>
                      <w:fldChar w:fldCharType="separate"/>
                    </w:r>
                    <w:r>
                      <w:rPr>
                        <w:lang w:val="zh-CN"/>
                      </w:rPr>
                      <w:t>19</w:t>
                    </w:r>
                    <w:r>
                      <w:fldChar w:fldCharType="end"/>
                    </w:r>
                  </w:p>
                </w:txbxContent>
              </v:textbox>
            </v:shape>
          </w:pict>
        </mc:Fallback>
      </mc:AlternateContent>
    </w:r>
  </w:p>
  <w:p>
    <w:pPr>
      <w:pStyle w:val="1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05895937"/>
    </w:sdtPr>
    <w:sdtContent>
      <w:sdt>
        <w:sdtPr>
          <w:id w:val="1728636285"/>
        </w:sdtPr>
        <w:sdtContent>
          <w:p>
            <w:pPr>
              <w:pStyle w:val="1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60</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63</w:t>
            </w:r>
            <w:r>
              <w:rPr>
                <w:b/>
                <w:bCs/>
                <w:sz w:val="24"/>
                <w:szCs w:val="24"/>
              </w:rPr>
              <w:fldChar w:fldCharType="end"/>
            </w:r>
          </w:p>
        </w:sdtContent>
      </w:sdt>
    </w:sdtContent>
  </w:sdt>
  <w:p>
    <w:pPr>
      <w:pStyle w:val="1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rFonts w:hint="eastAsia"/>
      </w:rPr>
      <w:t>磋商</w:t>
    </w:r>
    <w:r>
      <w:t>文件</w:t>
    </w:r>
  </w:p>
  <w:p>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1">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abstractNum w:abstractNumId="2">
    <w:nsid w:val="765F1FBE"/>
    <w:multiLevelType w:val="singleLevel"/>
    <w:tmpl w:val="765F1FBE"/>
    <w:lvl w:ilvl="0" w:tentative="0">
      <w:start w:val="1"/>
      <w:numFmt w:val="chineseCounting"/>
      <w:suff w:val="nothing"/>
      <w:lvlText w:val="%1、"/>
      <w:lvlJc w:val="left"/>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attachedTemplate r:id="rId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271C"/>
    <w:rsid w:val="00032BC1"/>
    <w:rsid w:val="00036E66"/>
    <w:rsid w:val="00036EC4"/>
    <w:rsid w:val="00037399"/>
    <w:rsid w:val="00037A1C"/>
    <w:rsid w:val="00046575"/>
    <w:rsid w:val="000503A9"/>
    <w:rsid w:val="000514BA"/>
    <w:rsid w:val="00053A41"/>
    <w:rsid w:val="00055B72"/>
    <w:rsid w:val="0005657E"/>
    <w:rsid w:val="000612DD"/>
    <w:rsid w:val="000621BC"/>
    <w:rsid w:val="00063CBA"/>
    <w:rsid w:val="000661E0"/>
    <w:rsid w:val="000668AF"/>
    <w:rsid w:val="000701FC"/>
    <w:rsid w:val="00070E95"/>
    <w:rsid w:val="00071E6A"/>
    <w:rsid w:val="00074628"/>
    <w:rsid w:val="0007615C"/>
    <w:rsid w:val="00077638"/>
    <w:rsid w:val="000805C8"/>
    <w:rsid w:val="00084636"/>
    <w:rsid w:val="00086F2B"/>
    <w:rsid w:val="000877E5"/>
    <w:rsid w:val="00087EAE"/>
    <w:rsid w:val="0009102D"/>
    <w:rsid w:val="00091A25"/>
    <w:rsid w:val="000928E9"/>
    <w:rsid w:val="00093909"/>
    <w:rsid w:val="00094D27"/>
    <w:rsid w:val="0009732E"/>
    <w:rsid w:val="0009798B"/>
    <w:rsid w:val="000A1566"/>
    <w:rsid w:val="000A3236"/>
    <w:rsid w:val="000B0226"/>
    <w:rsid w:val="000B0EAF"/>
    <w:rsid w:val="000B236A"/>
    <w:rsid w:val="000C066D"/>
    <w:rsid w:val="000C16C0"/>
    <w:rsid w:val="000C3539"/>
    <w:rsid w:val="000C5A44"/>
    <w:rsid w:val="000C6058"/>
    <w:rsid w:val="000C7AB0"/>
    <w:rsid w:val="000C7E52"/>
    <w:rsid w:val="000D4DCA"/>
    <w:rsid w:val="000D718B"/>
    <w:rsid w:val="000E01B4"/>
    <w:rsid w:val="000E13CF"/>
    <w:rsid w:val="000E4913"/>
    <w:rsid w:val="000F0B6C"/>
    <w:rsid w:val="000F197A"/>
    <w:rsid w:val="000F29A7"/>
    <w:rsid w:val="000F61FB"/>
    <w:rsid w:val="000F6280"/>
    <w:rsid w:val="000F7453"/>
    <w:rsid w:val="0010302B"/>
    <w:rsid w:val="0011186D"/>
    <w:rsid w:val="00111940"/>
    <w:rsid w:val="00111A81"/>
    <w:rsid w:val="001124F4"/>
    <w:rsid w:val="00113F94"/>
    <w:rsid w:val="00115059"/>
    <w:rsid w:val="001166CC"/>
    <w:rsid w:val="0012321E"/>
    <w:rsid w:val="00124BC3"/>
    <w:rsid w:val="00130AE0"/>
    <w:rsid w:val="00131E00"/>
    <w:rsid w:val="00132769"/>
    <w:rsid w:val="00142437"/>
    <w:rsid w:val="00143790"/>
    <w:rsid w:val="00147A0D"/>
    <w:rsid w:val="00147BA4"/>
    <w:rsid w:val="00151287"/>
    <w:rsid w:val="0015241B"/>
    <w:rsid w:val="00157822"/>
    <w:rsid w:val="001624C4"/>
    <w:rsid w:val="001710A5"/>
    <w:rsid w:val="00171A30"/>
    <w:rsid w:val="00171C4B"/>
    <w:rsid w:val="001748ED"/>
    <w:rsid w:val="00174D8C"/>
    <w:rsid w:val="0018109E"/>
    <w:rsid w:val="00181F29"/>
    <w:rsid w:val="00182053"/>
    <w:rsid w:val="00182D8C"/>
    <w:rsid w:val="00187A6C"/>
    <w:rsid w:val="001951F0"/>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10DA3"/>
    <w:rsid w:val="00210EDE"/>
    <w:rsid w:val="00211367"/>
    <w:rsid w:val="002154D7"/>
    <w:rsid w:val="0021748F"/>
    <w:rsid w:val="002203C8"/>
    <w:rsid w:val="002212FB"/>
    <w:rsid w:val="0022160E"/>
    <w:rsid w:val="00226E0F"/>
    <w:rsid w:val="00227100"/>
    <w:rsid w:val="00227D8C"/>
    <w:rsid w:val="00230768"/>
    <w:rsid w:val="0023388E"/>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3EFD"/>
    <w:rsid w:val="002E4C43"/>
    <w:rsid w:val="002E5586"/>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1332"/>
    <w:rsid w:val="00321D05"/>
    <w:rsid w:val="003240C9"/>
    <w:rsid w:val="003302E3"/>
    <w:rsid w:val="00332497"/>
    <w:rsid w:val="003360D4"/>
    <w:rsid w:val="0034260D"/>
    <w:rsid w:val="00342DBB"/>
    <w:rsid w:val="0034443F"/>
    <w:rsid w:val="00345C1D"/>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E2133"/>
    <w:rsid w:val="003E2C5C"/>
    <w:rsid w:val="003E5624"/>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64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A07B8"/>
    <w:rsid w:val="004B3E83"/>
    <w:rsid w:val="004B48A8"/>
    <w:rsid w:val="004B4B3B"/>
    <w:rsid w:val="004B7FD0"/>
    <w:rsid w:val="004C1A93"/>
    <w:rsid w:val="004C1AA9"/>
    <w:rsid w:val="004C5F4C"/>
    <w:rsid w:val="004C6169"/>
    <w:rsid w:val="004D03AA"/>
    <w:rsid w:val="004D1595"/>
    <w:rsid w:val="004D2726"/>
    <w:rsid w:val="004D33F5"/>
    <w:rsid w:val="004D4FA3"/>
    <w:rsid w:val="004D59CA"/>
    <w:rsid w:val="004D5A00"/>
    <w:rsid w:val="004D704A"/>
    <w:rsid w:val="004E3240"/>
    <w:rsid w:val="004E3BC1"/>
    <w:rsid w:val="004E6D4B"/>
    <w:rsid w:val="004E7F72"/>
    <w:rsid w:val="004E7FD7"/>
    <w:rsid w:val="004F05DA"/>
    <w:rsid w:val="004F520F"/>
    <w:rsid w:val="004F5673"/>
    <w:rsid w:val="004F731B"/>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6AA3"/>
    <w:rsid w:val="00537EA4"/>
    <w:rsid w:val="00545294"/>
    <w:rsid w:val="00545B0D"/>
    <w:rsid w:val="00545FE6"/>
    <w:rsid w:val="0055258B"/>
    <w:rsid w:val="00552CB1"/>
    <w:rsid w:val="0055725D"/>
    <w:rsid w:val="00560198"/>
    <w:rsid w:val="00564BF3"/>
    <w:rsid w:val="00565783"/>
    <w:rsid w:val="0056658A"/>
    <w:rsid w:val="00570512"/>
    <w:rsid w:val="0057086B"/>
    <w:rsid w:val="00570905"/>
    <w:rsid w:val="00572529"/>
    <w:rsid w:val="00574684"/>
    <w:rsid w:val="005757A0"/>
    <w:rsid w:val="005765FC"/>
    <w:rsid w:val="0058139C"/>
    <w:rsid w:val="00583880"/>
    <w:rsid w:val="00584A9A"/>
    <w:rsid w:val="00584CA7"/>
    <w:rsid w:val="005949DB"/>
    <w:rsid w:val="005A64FC"/>
    <w:rsid w:val="005A6B5B"/>
    <w:rsid w:val="005B45BD"/>
    <w:rsid w:val="005C0257"/>
    <w:rsid w:val="005C3C4A"/>
    <w:rsid w:val="005C4EA1"/>
    <w:rsid w:val="005D197D"/>
    <w:rsid w:val="005D2196"/>
    <w:rsid w:val="005D2D45"/>
    <w:rsid w:val="005D5BB6"/>
    <w:rsid w:val="005E2105"/>
    <w:rsid w:val="005E3E84"/>
    <w:rsid w:val="005E4A86"/>
    <w:rsid w:val="005E5A74"/>
    <w:rsid w:val="005E619A"/>
    <w:rsid w:val="005E7C58"/>
    <w:rsid w:val="005F5572"/>
    <w:rsid w:val="00606557"/>
    <w:rsid w:val="006167C0"/>
    <w:rsid w:val="00622835"/>
    <w:rsid w:val="006329BA"/>
    <w:rsid w:val="00637AD1"/>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32FC"/>
    <w:rsid w:val="00684BD7"/>
    <w:rsid w:val="00686CE1"/>
    <w:rsid w:val="006876A9"/>
    <w:rsid w:val="00690D0F"/>
    <w:rsid w:val="006920D4"/>
    <w:rsid w:val="0069245E"/>
    <w:rsid w:val="006A5E39"/>
    <w:rsid w:val="006B0296"/>
    <w:rsid w:val="006B15D2"/>
    <w:rsid w:val="006B2924"/>
    <w:rsid w:val="006B46F8"/>
    <w:rsid w:val="006B53EF"/>
    <w:rsid w:val="006C0520"/>
    <w:rsid w:val="006C05B5"/>
    <w:rsid w:val="006C2684"/>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05233"/>
    <w:rsid w:val="00717D15"/>
    <w:rsid w:val="00717FB0"/>
    <w:rsid w:val="007217DA"/>
    <w:rsid w:val="00722A6E"/>
    <w:rsid w:val="00722ECE"/>
    <w:rsid w:val="00723958"/>
    <w:rsid w:val="00734A4D"/>
    <w:rsid w:val="00736489"/>
    <w:rsid w:val="007409A0"/>
    <w:rsid w:val="007454C1"/>
    <w:rsid w:val="00751B33"/>
    <w:rsid w:val="00754DDB"/>
    <w:rsid w:val="00756971"/>
    <w:rsid w:val="00757041"/>
    <w:rsid w:val="0075738F"/>
    <w:rsid w:val="00760830"/>
    <w:rsid w:val="00763767"/>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901"/>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373D9"/>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6350"/>
    <w:rsid w:val="00897877"/>
    <w:rsid w:val="008A509B"/>
    <w:rsid w:val="008A7831"/>
    <w:rsid w:val="008B00D9"/>
    <w:rsid w:val="008B2918"/>
    <w:rsid w:val="008C29A4"/>
    <w:rsid w:val="008C3081"/>
    <w:rsid w:val="008D3621"/>
    <w:rsid w:val="008D61AE"/>
    <w:rsid w:val="008E08BE"/>
    <w:rsid w:val="008E248F"/>
    <w:rsid w:val="008E432B"/>
    <w:rsid w:val="008F4903"/>
    <w:rsid w:val="008F51C8"/>
    <w:rsid w:val="008F5577"/>
    <w:rsid w:val="008F5A09"/>
    <w:rsid w:val="009002D1"/>
    <w:rsid w:val="0090092E"/>
    <w:rsid w:val="0090164F"/>
    <w:rsid w:val="00903AF2"/>
    <w:rsid w:val="0090412B"/>
    <w:rsid w:val="00911960"/>
    <w:rsid w:val="0091464B"/>
    <w:rsid w:val="00915081"/>
    <w:rsid w:val="009231A0"/>
    <w:rsid w:val="00924025"/>
    <w:rsid w:val="009243B2"/>
    <w:rsid w:val="00925C5B"/>
    <w:rsid w:val="0093020F"/>
    <w:rsid w:val="00932525"/>
    <w:rsid w:val="009342E3"/>
    <w:rsid w:val="009353B8"/>
    <w:rsid w:val="00944A25"/>
    <w:rsid w:val="009450F9"/>
    <w:rsid w:val="00951326"/>
    <w:rsid w:val="0095619D"/>
    <w:rsid w:val="00960CA0"/>
    <w:rsid w:val="009614D3"/>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000E"/>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1CE0"/>
    <w:rsid w:val="009E313A"/>
    <w:rsid w:val="009E7C8F"/>
    <w:rsid w:val="009F3FDC"/>
    <w:rsid w:val="009F530E"/>
    <w:rsid w:val="00A02097"/>
    <w:rsid w:val="00A0368D"/>
    <w:rsid w:val="00A050BC"/>
    <w:rsid w:val="00A05A38"/>
    <w:rsid w:val="00A06563"/>
    <w:rsid w:val="00A14215"/>
    <w:rsid w:val="00A15766"/>
    <w:rsid w:val="00A15DD5"/>
    <w:rsid w:val="00A16700"/>
    <w:rsid w:val="00A17C01"/>
    <w:rsid w:val="00A34427"/>
    <w:rsid w:val="00A40435"/>
    <w:rsid w:val="00A43BEF"/>
    <w:rsid w:val="00A47D16"/>
    <w:rsid w:val="00A5480D"/>
    <w:rsid w:val="00A568CA"/>
    <w:rsid w:val="00A604FD"/>
    <w:rsid w:val="00A7018D"/>
    <w:rsid w:val="00A74469"/>
    <w:rsid w:val="00A74B0B"/>
    <w:rsid w:val="00A750B7"/>
    <w:rsid w:val="00A76250"/>
    <w:rsid w:val="00A76BEB"/>
    <w:rsid w:val="00A84125"/>
    <w:rsid w:val="00A87C19"/>
    <w:rsid w:val="00A9373F"/>
    <w:rsid w:val="00A963F0"/>
    <w:rsid w:val="00A973F6"/>
    <w:rsid w:val="00AA3948"/>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B8D"/>
    <w:rsid w:val="00B55293"/>
    <w:rsid w:val="00B55A20"/>
    <w:rsid w:val="00B55F0D"/>
    <w:rsid w:val="00B571F1"/>
    <w:rsid w:val="00B6171E"/>
    <w:rsid w:val="00B62399"/>
    <w:rsid w:val="00B650E1"/>
    <w:rsid w:val="00B67BBE"/>
    <w:rsid w:val="00B70816"/>
    <w:rsid w:val="00B73BF9"/>
    <w:rsid w:val="00B82185"/>
    <w:rsid w:val="00B84CB5"/>
    <w:rsid w:val="00B85D82"/>
    <w:rsid w:val="00B86818"/>
    <w:rsid w:val="00B92434"/>
    <w:rsid w:val="00B926BF"/>
    <w:rsid w:val="00B94F15"/>
    <w:rsid w:val="00B960A6"/>
    <w:rsid w:val="00B968E8"/>
    <w:rsid w:val="00BA25AB"/>
    <w:rsid w:val="00BA3DAB"/>
    <w:rsid w:val="00BA7590"/>
    <w:rsid w:val="00BB2934"/>
    <w:rsid w:val="00BB67B5"/>
    <w:rsid w:val="00BB6BF1"/>
    <w:rsid w:val="00BB7F1C"/>
    <w:rsid w:val="00BC2422"/>
    <w:rsid w:val="00BC2646"/>
    <w:rsid w:val="00BC4B15"/>
    <w:rsid w:val="00BD04A2"/>
    <w:rsid w:val="00BD56FB"/>
    <w:rsid w:val="00BE047E"/>
    <w:rsid w:val="00BE1BE2"/>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2206"/>
    <w:rsid w:val="00C44670"/>
    <w:rsid w:val="00C45E55"/>
    <w:rsid w:val="00C55C56"/>
    <w:rsid w:val="00C60CEB"/>
    <w:rsid w:val="00C6128C"/>
    <w:rsid w:val="00C62BAA"/>
    <w:rsid w:val="00C62DB3"/>
    <w:rsid w:val="00C64B67"/>
    <w:rsid w:val="00C7789A"/>
    <w:rsid w:val="00C83097"/>
    <w:rsid w:val="00C8351F"/>
    <w:rsid w:val="00C84318"/>
    <w:rsid w:val="00C84C4C"/>
    <w:rsid w:val="00C94094"/>
    <w:rsid w:val="00CA01C9"/>
    <w:rsid w:val="00CA1898"/>
    <w:rsid w:val="00CA301B"/>
    <w:rsid w:val="00CA5F79"/>
    <w:rsid w:val="00CA62B3"/>
    <w:rsid w:val="00CA747D"/>
    <w:rsid w:val="00CB2580"/>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02F4"/>
    <w:rsid w:val="00D81C93"/>
    <w:rsid w:val="00D824D8"/>
    <w:rsid w:val="00D8270A"/>
    <w:rsid w:val="00D82C74"/>
    <w:rsid w:val="00D84F1E"/>
    <w:rsid w:val="00D85A47"/>
    <w:rsid w:val="00D9149E"/>
    <w:rsid w:val="00D9404F"/>
    <w:rsid w:val="00D965C9"/>
    <w:rsid w:val="00D96C53"/>
    <w:rsid w:val="00DA3027"/>
    <w:rsid w:val="00DB3608"/>
    <w:rsid w:val="00DB4DB3"/>
    <w:rsid w:val="00DB5243"/>
    <w:rsid w:val="00DC148C"/>
    <w:rsid w:val="00DC1FF4"/>
    <w:rsid w:val="00DC2665"/>
    <w:rsid w:val="00DD2455"/>
    <w:rsid w:val="00DD7378"/>
    <w:rsid w:val="00DD7984"/>
    <w:rsid w:val="00DE0846"/>
    <w:rsid w:val="00DE0D7E"/>
    <w:rsid w:val="00DE21C6"/>
    <w:rsid w:val="00DE7524"/>
    <w:rsid w:val="00DF0E6E"/>
    <w:rsid w:val="00DF35E8"/>
    <w:rsid w:val="00DF37C9"/>
    <w:rsid w:val="00DF474F"/>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2213"/>
    <w:rsid w:val="00E22291"/>
    <w:rsid w:val="00E2300D"/>
    <w:rsid w:val="00E27477"/>
    <w:rsid w:val="00E37279"/>
    <w:rsid w:val="00E377D5"/>
    <w:rsid w:val="00E43585"/>
    <w:rsid w:val="00E44C9F"/>
    <w:rsid w:val="00E451EE"/>
    <w:rsid w:val="00E461B9"/>
    <w:rsid w:val="00E55953"/>
    <w:rsid w:val="00E572B2"/>
    <w:rsid w:val="00E60026"/>
    <w:rsid w:val="00E611F8"/>
    <w:rsid w:val="00E62CD5"/>
    <w:rsid w:val="00E6311C"/>
    <w:rsid w:val="00E65963"/>
    <w:rsid w:val="00E727B9"/>
    <w:rsid w:val="00E752BD"/>
    <w:rsid w:val="00E868CE"/>
    <w:rsid w:val="00E87D78"/>
    <w:rsid w:val="00E91FC5"/>
    <w:rsid w:val="00E92EBE"/>
    <w:rsid w:val="00E935C3"/>
    <w:rsid w:val="00E93A49"/>
    <w:rsid w:val="00E93C2C"/>
    <w:rsid w:val="00E947A1"/>
    <w:rsid w:val="00EA227E"/>
    <w:rsid w:val="00EA4726"/>
    <w:rsid w:val="00EA61C2"/>
    <w:rsid w:val="00EA730A"/>
    <w:rsid w:val="00EB164C"/>
    <w:rsid w:val="00EB1ABF"/>
    <w:rsid w:val="00EB54B9"/>
    <w:rsid w:val="00EB7B9E"/>
    <w:rsid w:val="00EC1428"/>
    <w:rsid w:val="00EC1645"/>
    <w:rsid w:val="00EC507E"/>
    <w:rsid w:val="00EC61CE"/>
    <w:rsid w:val="00ED2FC1"/>
    <w:rsid w:val="00ED459E"/>
    <w:rsid w:val="00EE1639"/>
    <w:rsid w:val="00EE5E67"/>
    <w:rsid w:val="00EF2F6A"/>
    <w:rsid w:val="00F00AE7"/>
    <w:rsid w:val="00F021B9"/>
    <w:rsid w:val="00F060C2"/>
    <w:rsid w:val="00F121B6"/>
    <w:rsid w:val="00F13C90"/>
    <w:rsid w:val="00F16B93"/>
    <w:rsid w:val="00F16E49"/>
    <w:rsid w:val="00F20F76"/>
    <w:rsid w:val="00F21082"/>
    <w:rsid w:val="00F27064"/>
    <w:rsid w:val="00F30314"/>
    <w:rsid w:val="00F31667"/>
    <w:rsid w:val="00F3255E"/>
    <w:rsid w:val="00F336D9"/>
    <w:rsid w:val="00F35DC6"/>
    <w:rsid w:val="00F41302"/>
    <w:rsid w:val="00F437F5"/>
    <w:rsid w:val="00F4733D"/>
    <w:rsid w:val="00F53E3D"/>
    <w:rsid w:val="00F54346"/>
    <w:rsid w:val="00F569A6"/>
    <w:rsid w:val="00F56E90"/>
    <w:rsid w:val="00F57249"/>
    <w:rsid w:val="00F57E4C"/>
    <w:rsid w:val="00F6223E"/>
    <w:rsid w:val="00F633EE"/>
    <w:rsid w:val="00F63848"/>
    <w:rsid w:val="00F66DC5"/>
    <w:rsid w:val="00F67EC1"/>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C1EC8"/>
    <w:rsid w:val="00FC30AC"/>
    <w:rsid w:val="00FC3EFD"/>
    <w:rsid w:val="00FC4A95"/>
    <w:rsid w:val="00FD0E97"/>
    <w:rsid w:val="00FD61E5"/>
    <w:rsid w:val="00FD74E7"/>
    <w:rsid w:val="00FE4408"/>
    <w:rsid w:val="00FE64F5"/>
    <w:rsid w:val="00FF0618"/>
    <w:rsid w:val="00FF2378"/>
    <w:rsid w:val="00FF4004"/>
    <w:rsid w:val="00FF6580"/>
    <w:rsid w:val="03CA6EF6"/>
    <w:rsid w:val="0569312B"/>
    <w:rsid w:val="064B6D8C"/>
    <w:rsid w:val="0A141145"/>
    <w:rsid w:val="0ACB4877"/>
    <w:rsid w:val="0F0912BA"/>
    <w:rsid w:val="13B40768"/>
    <w:rsid w:val="17334565"/>
    <w:rsid w:val="178772D7"/>
    <w:rsid w:val="18146217"/>
    <w:rsid w:val="18215304"/>
    <w:rsid w:val="19332BB1"/>
    <w:rsid w:val="1B96587B"/>
    <w:rsid w:val="1D237383"/>
    <w:rsid w:val="1F5171F9"/>
    <w:rsid w:val="232457F5"/>
    <w:rsid w:val="24CF4FC0"/>
    <w:rsid w:val="292532D4"/>
    <w:rsid w:val="2BBB535D"/>
    <w:rsid w:val="2DF81ACA"/>
    <w:rsid w:val="2E3461D7"/>
    <w:rsid w:val="2FFB605E"/>
    <w:rsid w:val="32DF4A6D"/>
    <w:rsid w:val="34425E22"/>
    <w:rsid w:val="362C1207"/>
    <w:rsid w:val="36FF0D6B"/>
    <w:rsid w:val="37915A99"/>
    <w:rsid w:val="397D76E1"/>
    <w:rsid w:val="3CB4092F"/>
    <w:rsid w:val="401318DA"/>
    <w:rsid w:val="4FCF6B0F"/>
    <w:rsid w:val="551B1668"/>
    <w:rsid w:val="55EF1647"/>
    <w:rsid w:val="55FE463F"/>
    <w:rsid w:val="56257777"/>
    <w:rsid w:val="57E4016C"/>
    <w:rsid w:val="5A3E7999"/>
    <w:rsid w:val="5AE1183E"/>
    <w:rsid w:val="5B4F2887"/>
    <w:rsid w:val="5B7D6727"/>
    <w:rsid w:val="5B9A01BB"/>
    <w:rsid w:val="5C5D0552"/>
    <w:rsid w:val="5CBC7A68"/>
    <w:rsid w:val="60360D16"/>
    <w:rsid w:val="63936F88"/>
    <w:rsid w:val="664B2F83"/>
    <w:rsid w:val="6936651F"/>
    <w:rsid w:val="6D535020"/>
    <w:rsid w:val="6EED25F6"/>
    <w:rsid w:val="737B034A"/>
    <w:rsid w:val="746305B1"/>
    <w:rsid w:val="74862811"/>
    <w:rsid w:val="772B54F6"/>
    <w:rsid w:val="7913570D"/>
    <w:rsid w:val="79886BF4"/>
    <w:rsid w:val="7F842F5E"/>
    <w:rsid w:val="7F8626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2"/>
    <w:qFormat/>
    <w:uiPriority w:val="99"/>
    <w:pPr>
      <w:spacing w:after="120"/>
    </w:pPr>
  </w:style>
  <w:style w:type="paragraph" w:styleId="11">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49"/>
    <w:qFormat/>
    <w:uiPriority w:val="99"/>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2"/>
    <w:next w:val="12"/>
    <w:link w:val="50"/>
    <w:qFormat/>
    <w:uiPriority w:val="0"/>
    <w:rPr>
      <w:b/>
      <w:bCs/>
    </w:rPr>
  </w:style>
  <w:style w:type="table" w:styleId="30">
    <w:name w:val="Table Grid"/>
    <w:basedOn w:val="2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3"/>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2"/>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1"/>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5"/>
    <w:qFormat/>
    <w:uiPriority w:val="0"/>
    <w:rPr>
      <w:rFonts w:asciiTheme="minorHAnsi" w:hAnsiTheme="minorHAnsi" w:eastAsiaTheme="minorEastAsia" w:cstheme="minorBidi"/>
      <w:b/>
      <w:bCs/>
      <w:sz w:val="32"/>
      <w:szCs w:val="32"/>
    </w:rPr>
  </w:style>
  <w:style w:type="character" w:customStyle="1" w:styleId="59">
    <w:name w:val="标题 4 Char"/>
    <w:basedOn w:val="31"/>
    <w:link w:val="6"/>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7"/>
    <w:qFormat/>
    <w:uiPriority w:val="0"/>
    <w:rPr>
      <w:rFonts w:ascii="Arial" w:hAnsi="Arial" w:eastAsia="黑体"/>
      <w:b/>
      <w:bCs/>
      <w:sz w:val="24"/>
      <w:szCs w:val="24"/>
    </w:rPr>
  </w:style>
  <w:style w:type="character" w:customStyle="1" w:styleId="81">
    <w:name w:val="标题 7 Char"/>
    <w:basedOn w:val="31"/>
    <w:link w:val="8"/>
    <w:qFormat/>
    <w:uiPriority w:val="0"/>
    <w:rPr>
      <w:rFonts w:ascii="Times New Roman" w:hAnsi="Times New Roman"/>
      <w:b/>
      <w:bCs/>
      <w:sz w:val="24"/>
      <w:szCs w:val="24"/>
    </w:rPr>
  </w:style>
  <w:style w:type="character" w:customStyle="1" w:styleId="82">
    <w:name w:val="标题 8 Char"/>
    <w:basedOn w:val="31"/>
    <w:link w:val="9"/>
    <w:qFormat/>
    <w:uiPriority w:val="0"/>
    <w:rPr>
      <w:rFonts w:ascii="Arial" w:hAnsi="Arial" w:eastAsia="黑体"/>
      <w:sz w:val="24"/>
      <w:szCs w:val="24"/>
    </w:rPr>
  </w:style>
  <w:style w:type="character" w:customStyle="1" w:styleId="83">
    <w:name w:val="标题 9 Char"/>
    <w:basedOn w:val="31"/>
    <w:link w:val="10"/>
    <w:qFormat/>
    <w:uiPriority w:val="0"/>
    <w:rPr>
      <w:rFonts w:ascii="Arial" w:hAnsi="Arial" w:eastAsia="黑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3.jpeg"/><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4BCEA6F-4B2C-4A84-B608-3C965D9A2CB3}">
  <ds:schemaRefs/>
</ds:datastoreItem>
</file>

<file path=docProps/app.xml><?xml version="1.0" encoding="utf-8"?>
<Properties xmlns="http://schemas.openxmlformats.org/officeDocument/2006/extended-properties" xmlns:vt="http://schemas.openxmlformats.org/officeDocument/2006/docPropsVTypes">
  <Template>0.docx</Template>
  <Company>Lenovo</Company>
  <Pages>62</Pages>
  <Words>5143</Words>
  <Characters>29318</Characters>
  <Lines>244</Lines>
  <Paragraphs>68</Paragraphs>
  <TotalTime>1</TotalTime>
  <ScaleCrop>false</ScaleCrop>
  <LinksUpToDate>false</LinksUpToDate>
  <CharactersWithSpaces>34393</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刘潇忆</cp:lastModifiedBy>
  <cp:lastPrinted>2019-12-03T09:03:00Z</cp:lastPrinted>
  <dcterms:modified xsi:type="dcterms:W3CDTF">2026-05-09T08:06:59Z</dcterms:modified>
  <cp:revision>178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CF44D7C5205A4FC3BA3FBB78C9DF7E5A</vt:lpwstr>
  </property>
</Properties>
</file>