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宋体" w:eastAsia="仿宋_GB2312"/>
          <w:b/>
          <w:sz w:val="36"/>
          <w:szCs w:val="36"/>
          <w:lang w:eastAsia="zh-CN"/>
        </w:rPr>
      </w:pPr>
      <w:r>
        <w:rPr>
          <w:rFonts w:hint="eastAsia" w:ascii="仿宋_GB2312" w:hAnsi="宋体" w:eastAsia="仿宋_GB2312"/>
          <w:b/>
          <w:sz w:val="36"/>
          <w:szCs w:val="36"/>
          <w:lang w:eastAsia="zh-CN"/>
        </w:rPr>
        <w:t>人保财险四川省达州市分公司</w:t>
      </w:r>
    </w:p>
    <w:p>
      <w:pPr>
        <w:jc w:val="center"/>
        <w:rPr>
          <w:rFonts w:hint="eastAsia" w:ascii="仿宋_GB2312" w:hAnsi="宋体" w:eastAsia="仿宋_GB2312"/>
          <w:b/>
          <w:sz w:val="36"/>
          <w:szCs w:val="36"/>
          <w:lang w:eastAsia="zh-CN"/>
        </w:rPr>
      </w:pPr>
      <w:r>
        <w:rPr>
          <w:rFonts w:hint="eastAsia" w:ascii="仿宋_GB2312" w:hAnsi="宋体" w:eastAsia="仿宋_GB2312"/>
          <w:b/>
          <w:sz w:val="36"/>
          <w:szCs w:val="36"/>
          <w:lang w:val="en-US" w:eastAsia="zh-CN"/>
        </w:rPr>
        <w:t>2026年度</w:t>
      </w:r>
      <w:r>
        <w:rPr>
          <w:rFonts w:hint="eastAsia" w:ascii="仿宋_GB2312" w:hAnsi="宋体" w:eastAsia="仿宋_GB2312"/>
          <w:b/>
          <w:sz w:val="36"/>
          <w:szCs w:val="36"/>
          <w:lang w:eastAsia="zh-CN"/>
        </w:rPr>
        <w:t>车险电梯轿厢宣传采购项目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谈</w:t>
      </w:r>
    </w:p>
    <w:p>
      <w:pPr>
        <w:jc w:val="center"/>
        <w:rPr>
          <w:rFonts w:ascii="仿宋_GB2312" w:eastAsia="仿宋_GB2312"/>
          <w:sz w:val="72"/>
          <w:szCs w:val="72"/>
        </w:rPr>
      </w:pPr>
      <w:r>
        <w:rPr>
          <w:rFonts w:hint="eastAsia" w:ascii="仿宋_GB2312" w:eastAsia="仿宋_GB2312"/>
          <w:sz w:val="72"/>
          <w:szCs w:val="72"/>
        </w:rPr>
        <w:t>判</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5</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竞争性谈判邀请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三、谈判文件的获取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（二）谈判文件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（五）竞争性谈判和评审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竞争性谈判邀请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auto"/>
        </w:rPr>
        <w:t>本项目</w:t>
      </w:r>
      <w:r>
        <w:rPr>
          <w:rFonts w:hint="eastAsia" w:ascii="仿宋_GB2312" w:hAnsi="宋体" w:eastAsia="仿宋_GB2312"/>
          <w:color w:val="auto"/>
          <w:u w:val="single"/>
          <w:lang w:val="en-US" w:eastAsia="zh-CN"/>
        </w:rPr>
        <w:t>人保财险四川省达州市分公司2026年度车险电梯轿厢宣传采购项目</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达州市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批准并落实资金，组织本项目的谈判工作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达州市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达州市</w:t>
      </w:r>
      <w:r>
        <w:rPr>
          <w:rFonts w:hint="eastAsia" w:ascii="仿宋" w:hAnsi="仿宋" w:eastAsia="仿宋" w:cs="宋体"/>
          <w:color w:val="auto"/>
        </w:rPr>
        <w:t>分公司”）</w:t>
      </w:r>
      <w:r>
        <w:rPr>
          <w:rFonts w:hint="eastAsia" w:ascii="仿宋" w:hAnsi="仿宋" w:eastAsia="仿宋" w:cs="仿宋"/>
          <w:color w:val="auto"/>
        </w:rPr>
        <w:t>根据成交结果与成交人签署。现通过竞争性谈判方式实施，</w:t>
      </w:r>
      <w:r>
        <w:rPr>
          <w:rFonts w:hint="eastAsia" w:ascii="仿宋" w:hAnsi="仿宋" w:eastAsia="仿宋" w:cs="Cambria Math"/>
          <w:color w:val="auto"/>
        </w:rPr>
        <w:t>有意向且具有提供标的物能力的潜在供应商（以下简称“供应商”）可前来参与谈判响应。</w:t>
      </w: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21237"/>
      <w:bookmarkStart w:id="3" w:name="_Toc186737791"/>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_GB2312" w:hAnsi="宋体" w:eastAsia="仿宋_GB2312"/>
          <w:u w:val="single"/>
          <w:lang w:val="en-US" w:eastAsia="zh-CN"/>
        </w:rPr>
        <w:t>人保财险四川省达州市分公司2026年度车险电梯轿厢宣传采购项目</w:t>
      </w:r>
      <w:r>
        <w:rPr>
          <w:rFonts w:hint="eastAsia" w:ascii="仿宋" w:hAnsi="仿宋" w:eastAsia="仿宋" w:cs="仿宋"/>
          <w:color w:val="000000"/>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w:t>
      </w:r>
      <w:r>
        <w:rPr>
          <w:rFonts w:hint="eastAsia" w:ascii="仿宋" w:hAnsi="仿宋" w:eastAsia="仿宋" w:cs="仿宋"/>
          <w:color w:val="auto"/>
          <w:lang w:val="en-US" w:eastAsia="zh-CN"/>
        </w:rPr>
        <w:t>电梯轿厢宣传服务</w:t>
      </w:r>
      <w:r>
        <w:rPr>
          <w:rFonts w:hint="eastAsia" w:ascii="仿宋" w:hAnsi="仿宋" w:eastAsia="仿宋" w:cs="仿宋"/>
          <w:color w:val="auto"/>
        </w:rPr>
        <w:t>，具体技</w:t>
      </w:r>
      <w:r>
        <w:rPr>
          <w:rFonts w:hint="eastAsia" w:ascii="仿宋" w:hAnsi="仿宋" w:eastAsia="仿宋" w:cs="仿宋"/>
          <w:color w:val="000000"/>
        </w:rPr>
        <w:t>术要求详见第五章采购需求。</w:t>
      </w:r>
    </w:p>
    <w:p>
      <w:pPr>
        <w:adjustRightInd w:val="0"/>
        <w:snapToGrid w:val="0"/>
        <w:spacing w:line="360" w:lineRule="auto"/>
        <w:ind w:firstLine="480" w:firstLineChars="200"/>
        <w:rPr>
          <w:rFonts w:hint="eastAsia" w:ascii="仿宋" w:hAnsi="仿宋" w:eastAsia="仿宋" w:cs="仿宋"/>
          <w:color w:val="000000"/>
          <w:lang w:eastAsia="zh-CN"/>
        </w:rPr>
      </w:pPr>
      <w:r>
        <w:rPr>
          <w:rFonts w:hint="eastAsia" w:ascii="仿宋" w:hAnsi="仿宋" w:eastAsia="仿宋" w:cs="仿宋"/>
          <w:color w:val="000000"/>
        </w:rPr>
        <w:t>1.3 标包划分：本项目根据我司</w:t>
      </w:r>
      <w:r>
        <w:rPr>
          <w:rFonts w:hint="eastAsia" w:ascii="仿宋" w:hAnsi="仿宋" w:eastAsia="仿宋" w:cs="仿宋"/>
          <w:color w:val="000000"/>
          <w:lang w:eastAsia="zh-CN"/>
        </w:rPr>
        <w:t>宣传服务</w:t>
      </w:r>
      <w:r>
        <w:rPr>
          <w:rFonts w:hint="eastAsia" w:ascii="仿宋" w:hAnsi="仿宋" w:eastAsia="仿宋" w:cs="仿宋"/>
          <w:color w:val="000000"/>
        </w:rPr>
        <w:t>区域划分</w:t>
      </w:r>
      <w:r>
        <w:rPr>
          <w:rFonts w:hint="eastAsia" w:ascii="仿宋" w:hAnsi="仿宋" w:eastAsia="仿宋" w:cs="仿宋"/>
          <w:color w:val="000000"/>
          <w:lang w:val="en-US" w:eastAsia="zh-CN"/>
        </w:rPr>
        <w:t>2</w:t>
      </w:r>
      <w:r>
        <w:rPr>
          <w:rFonts w:hint="eastAsia" w:ascii="仿宋" w:hAnsi="仿宋" w:eastAsia="仿宋" w:cs="仿宋"/>
          <w:color w:val="000000"/>
        </w:rPr>
        <w:t>个标包</w:t>
      </w:r>
      <w:r>
        <w:rPr>
          <w:rFonts w:hint="eastAsia" w:ascii="仿宋" w:hAnsi="仿宋" w:eastAsia="仿宋" w:cs="仿宋"/>
          <w:color w:val="000000"/>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第一包:渠县</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第二包:开江</w:t>
      </w:r>
    </w:p>
    <w:p>
      <w:pPr>
        <w:adjustRightInd w:val="0"/>
        <w:snapToGrid w:val="0"/>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1.4 项目性质：宣传服务。</w:t>
      </w:r>
    </w:p>
    <w:p>
      <w:pPr>
        <w:adjustRightInd w:val="0"/>
        <w:snapToGrid w:val="0"/>
        <w:spacing w:line="360" w:lineRule="auto"/>
        <w:ind w:firstLine="480" w:firstLineChars="200"/>
        <w:rPr>
          <w:rFonts w:hint="eastAsia" w:ascii="仿宋" w:hAnsi="仿宋" w:eastAsia="仿宋" w:cs="仿宋"/>
          <w:color w:val="000000"/>
          <w:lang w:val="en-US" w:eastAsia="zh-CN"/>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仿宋"/>
          <w:color w:val="000000"/>
          <w:lang w:val="en-US" w:eastAsia="zh-CN"/>
        </w:rPr>
        <w:t>6个月（开江支公司）、8个月（渠县支公司）。</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1.6</w:t>
      </w:r>
      <w:r>
        <w:rPr>
          <w:rFonts w:hint="eastAsia" w:ascii="仿宋" w:hAnsi="仿宋" w:eastAsia="仿宋" w:cs="宋体"/>
          <w:color w:val="000000"/>
        </w:rPr>
        <w:t>服务地点/交货地点：</w:t>
      </w:r>
      <w:r>
        <w:rPr>
          <w:rFonts w:hint="eastAsia" w:ascii="仿宋" w:hAnsi="仿宋" w:eastAsia="仿宋" w:cs="宋体"/>
          <w:color w:val="000000"/>
          <w:lang w:val="en-US" w:eastAsia="zh-CN"/>
        </w:rPr>
        <w:t>达州市开江县和渠县辖域内</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1.7项目限价:项目设置最高限价，详见第五章采购需求。本项目中选2家供应商，第一包预算支付服务费 32万，第二包预算支付服务费 23.85万，供应商根据我司承保企业所需的电梯轿厢宣传服务项目进行总报价，竞争性谈判第一名的供应商中标第一包，第二名的供应商中标第二包。</w:t>
      </w:r>
    </w:p>
    <w:p>
      <w:pPr>
        <w:pStyle w:val="2"/>
        <w:rPr>
          <w:rFonts w:hint="eastAsia" w:ascii="仿宋" w:hAnsi="仿宋" w:eastAsia="仿宋" w:cs="仿宋"/>
          <w:b/>
          <w:bCs/>
          <w:iCs/>
          <w:color w:val="000000"/>
          <w:sz w:val="24"/>
          <w:szCs w:val="24"/>
          <w:lang w:val="en-US" w:eastAsia="zh-CN" w:bidi="ar-SA"/>
        </w:rPr>
      </w:pPr>
      <w:r>
        <w:rPr>
          <w:rFonts w:hint="eastAsia"/>
        </w:rPr>
        <w:t xml:space="preserve"> </w:t>
      </w:r>
      <w:bookmarkStart w:id="4" w:name="_Toc17569"/>
      <w:bookmarkStart w:id="5" w:name="_Toc186737792"/>
      <w:r>
        <w:rPr>
          <w:rFonts w:hint="eastAsia" w:ascii="仿宋" w:hAnsi="仿宋" w:eastAsia="仿宋" w:cs="仿宋"/>
          <w:b/>
          <w:bCs/>
          <w:iCs/>
          <w:color w:val="000000"/>
          <w:sz w:val="24"/>
          <w:szCs w:val="24"/>
          <w:lang w:val="en-US" w:eastAsia="zh-CN" w:bidi="ar-SA"/>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pageBreakBefore w:val="0"/>
        <w:kinsoku/>
        <w:wordWrap w:val="0"/>
        <w:overflowPunct/>
        <w:topLinePunct/>
        <w:autoSpaceDE/>
        <w:autoSpaceDN/>
        <w:bidi w:val="0"/>
        <w:spacing w:line="500" w:lineRule="exact"/>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w:t>
      </w:r>
      <w:r>
        <w:rPr>
          <w:rFonts w:hint="eastAsia" w:ascii="仿宋" w:hAnsi="仿宋" w:eastAsia="仿宋" w:cs="宋体"/>
          <w:color w:val="000000" w:themeColor="text1"/>
          <w14:textFill>
            <w14:solidFill>
              <w14:schemeClr w14:val="tx1"/>
            </w14:solidFill>
          </w14:textFill>
        </w:rPr>
        <w:t>提供响应文件递交截止日前6个月内开具的银行资信证明或提供承诺函，格式详见第六章响应文件格式。</w:t>
      </w:r>
    </w:p>
    <w:p>
      <w:pPr>
        <w:pageBreakBefore w:val="0"/>
        <w:kinsoku/>
        <w:wordWrap w:val="0"/>
        <w:overflowPunct/>
        <w:topLinePunct/>
        <w:autoSpaceDE/>
        <w:autoSpaceDN/>
        <w:bidi w:val="0"/>
        <w:spacing w:line="500" w:lineRule="exact"/>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w:t>
      </w:r>
      <w:r>
        <w:rPr>
          <w:rFonts w:hint="eastAsia" w:ascii="仿宋" w:hAnsi="仿宋" w:eastAsia="仿宋" w:cs="宋体"/>
          <w:color w:val="000000" w:themeColor="text1"/>
          <w14:textFill>
            <w14:solidFill>
              <w14:schemeClr w14:val="tx1"/>
            </w14:solidFill>
          </w14:textFill>
        </w:rPr>
        <w:t>提供</w:t>
      </w:r>
      <w:r>
        <w:rPr>
          <w:rFonts w:hint="eastAsia" w:ascii="仿宋" w:hAnsi="仿宋" w:eastAsia="仿宋" w:cs="宋体"/>
          <w:color w:val="000000" w:themeColor="text1"/>
          <w:lang w:val="en-US" w:eastAsia="zh-CN"/>
          <w14:textFill>
            <w14:solidFill>
              <w14:schemeClr w14:val="tx1"/>
            </w14:solidFill>
          </w14:textFill>
        </w:rPr>
        <w:t>近期服务案例或</w:t>
      </w:r>
      <w:r>
        <w:rPr>
          <w:rFonts w:hint="eastAsia" w:ascii="仿宋" w:hAnsi="仿宋" w:eastAsia="仿宋" w:cs="宋体"/>
          <w:color w:val="000000" w:themeColor="text1"/>
          <w14:textFill>
            <w14:solidFill>
              <w14:schemeClr w14:val="tx1"/>
            </w14:solidFill>
          </w14:textFill>
        </w:rPr>
        <w:t>承诺函，格式详见第六章响应文件格式。</w:t>
      </w:r>
    </w:p>
    <w:p>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w:t>
      </w:r>
      <w:r>
        <w:rPr>
          <w:rFonts w:hint="eastAsia" w:ascii="仿宋" w:hAnsi="仿宋" w:eastAsia="仿宋" w:cs="宋体"/>
          <w:color w:val="000000" w:themeColor="text1"/>
          <w14:textFill>
            <w14:solidFill>
              <w14:schemeClr w14:val="tx1"/>
            </w14:solidFill>
          </w14:textFill>
        </w:rPr>
        <w:t>提供近6个月任意一个月的税收和社会保障资金缴纳凭证或提供承诺函，格式详见第六章响应文件格式。</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000000" w:themeColor="text1"/>
          <w14:textFill>
            <w14:solidFill>
              <w14:schemeClr w14:val="tx1"/>
            </w14:solidFill>
          </w14:textFill>
        </w:rPr>
        <w:t>20</w:t>
      </w:r>
      <w:r>
        <w:rPr>
          <w:rFonts w:hint="eastAsia" w:ascii="仿宋" w:hAnsi="仿宋" w:eastAsia="仿宋" w:cs="宋体"/>
          <w:b/>
          <w:bCs/>
          <w:color w:val="000000" w:themeColor="text1"/>
          <w:lang w:val="en-US" w:eastAsia="zh-CN"/>
          <w14:textFill>
            <w14:solidFill>
              <w14:schemeClr w14:val="tx1"/>
            </w14:solidFill>
          </w14:textFill>
        </w:rPr>
        <w:t>23</w:t>
      </w:r>
      <w:r>
        <w:rPr>
          <w:rFonts w:hint="eastAsia" w:ascii="仿宋" w:hAnsi="仿宋" w:eastAsia="仿宋" w:cs="宋体"/>
          <w:b/>
          <w:bCs/>
          <w:color w:val="000000" w:themeColor="text1"/>
          <w14:textFill>
            <w14:solidFill>
              <w14:schemeClr w14:val="tx1"/>
            </w14:solidFill>
          </w14:textFill>
        </w:rPr>
        <w:t>年</w:t>
      </w:r>
      <w:r>
        <w:rPr>
          <w:rFonts w:hint="eastAsia" w:ascii="仿宋" w:hAnsi="仿宋" w:eastAsia="仿宋" w:cs="宋体"/>
          <w:b/>
          <w:bCs/>
          <w:color w:val="000000"/>
        </w:rPr>
        <w:t>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2.7单位负责人为同一人或存在控股、管理关系的不同单位，不得参加同一标段/标包谈判响应或未划分标段/标包的同一采购项目的谈判响应，需填写《供应商控股及管理关系情况申报表》。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2.8本项目不接受联合体谈判响应。提供承诺函，格式详见第六章响应文件格式。</w:t>
      </w:r>
    </w:p>
    <w:p>
      <w:pPr>
        <w:pStyle w:val="4"/>
        <w:spacing w:after="240"/>
        <w:jc w:val="left"/>
        <w:rPr>
          <w:rFonts w:ascii="仿宋" w:hAnsi="仿宋" w:eastAsia="仿宋" w:cs="仿宋"/>
          <w:color w:val="000000"/>
          <w:sz w:val="24"/>
          <w:szCs w:val="24"/>
        </w:rPr>
      </w:pPr>
      <w:bookmarkStart w:id="6" w:name="_Toc186737793"/>
      <w:bookmarkStart w:id="7" w:name="_Toc2019"/>
      <w:r>
        <w:rPr>
          <w:rFonts w:hint="eastAsia" w:ascii="仿宋" w:hAnsi="仿宋" w:eastAsia="仿宋" w:cs="仿宋"/>
          <w:color w:val="000000"/>
          <w:sz w:val="24"/>
          <w:szCs w:val="24"/>
        </w:rPr>
        <w:t>三、谈判文件的获取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.1谈判文件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宋体"/>
          <w:b/>
          <w:color w:val="auto"/>
          <w:sz w:val="24"/>
          <w:szCs w:val="24"/>
        </w:rPr>
        <w:t>至</w:t>
      </w:r>
      <w:r>
        <w:rPr>
          <w:rFonts w:hint="eastAsia" w:ascii="仿宋" w:hAnsi="仿宋" w:eastAsia="仿宋" w:cs="仿宋"/>
          <w:color w:val="000000"/>
          <w:sz w:val="24"/>
          <w:szCs w:val="24"/>
          <w:u w:val="single"/>
          <w:lang w:val="en-US" w:eastAsia="zh-CN"/>
        </w:rPr>
        <w:t xml:space="preserve">                </w:t>
      </w:r>
      <w:r>
        <w:rPr>
          <w:rFonts w:hint="eastAsia" w:ascii="仿宋" w:hAnsi="仿宋" w:eastAsia="仿宋" w:cs="宋体"/>
          <w:color w:val="auto"/>
          <w:sz w:val="24"/>
          <w:szCs w:val="24"/>
        </w:rPr>
        <w:t>（北京时间，下同）。</w:t>
      </w:r>
    </w:p>
    <w:p>
      <w:pPr>
        <w:pStyle w:val="11"/>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w:t>
      </w:r>
      <w:r>
        <w:rPr>
          <w:rFonts w:hint="eastAsia" w:ascii="仿宋" w:hAnsi="仿宋" w:eastAsia="仿宋" w:cs="宋体"/>
          <w:color w:val="000000" w:themeColor="text1"/>
          <w:sz w:val="24"/>
          <w14:textFill>
            <w14:solidFill>
              <w14:schemeClr w14:val="tx1"/>
            </w14:solidFill>
          </w14:textFill>
        </w:rPr>
        <w:t>拟报名参加本项目的供应商，请通过“人保e采”外网门户获取谈判文件</w:t>
      </w:r>
      <w:r>
        <w:rPr>
          <w:rFonts w:hint="eastAsia" w:ascii="仿宋" w:hAnsi="仿宋" w:eastAsia="仿宋" w:cs="仿宋_GB2312"/>
          <w:color w:val="000000" w:themeColor="text1"/>
          <w:sz w:val="24"/>
          <w:szCs w:val="24"/>
          <w14:textFill>
            <w14:solidFill>
              <w14:schemeClr w14:val="tx1"/>
            </w14:solidFill>
          </w14:textFill>
        </w:rPr>
        <w:t>。</w:t>
      </w:r>
    </w:p>
    <w:p>
      <w:pPr>
        <w:pStyle w:val="4"/>
        <w:jc w:val="left"/>
        <w:rPr>
          <w:rFonts w:ascii="仿宋" w:hAnsi="仿宋" w:eastAsia="仿宋" w:cs="仿宋"/>
          <w:color w:val="000000"/>
          <w:sz w:val="24"/>
          <w:szCs w:val="24"/>
        </w:rPr>
      </w:pPr>
      <w:bookmarkStart w:id="8" w:name="_Toc32115"/>
      <w:bookmarkStart w:id="9" w:name="_Toc186737794"/>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b w:val="0"/>
          <w:bCs/>
          <w:color w:val="auto"/>
          <w:sz w:val="24"/>
          <w:szCs w:val="24"/>
          <w:u w:val="single"/>
          <w:lang w:val="en-US" w:eastAsia="zh-CN"/>
        </w:rPr>
        <w:t xml:space="preserve">                      </w:t>
      </w:r>
      <w:r>
        <w:rPr>
          <w:rFonts w:hint="eastAsia" w:ascii="仿宋" w:hAnsi="仿宋" w:eastAsia="仿宋" w:cs="宋体"/>
          <w:b/>
          <w:bCs/>
          <w:color w:val="auto"/>
        </w:rPr>
        <w:t>。</w:t>
      </w:r>
    </w:p>
    <w:p>
      <w:pPr>
        <w:spacing w:line="360" w:lineRule="auto"/>
        <w:ind w:firstLine="480" w:firstLineChars="200"/>
        <w:jc w:val="both"/>
        <w:rPr>
          <w:rFonts w:hint="eastAsia"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.2响应文件的递交：现场递交或邮寄至四川省达州市通川区滩头街2号</w:t>
      </w:r>
      <w:r>
        <w:rPr>
          <w:rFonts w:hint="eastAsia" w:ascii="仿宋" w:hAnsi="仿宋" w:eastAsia="仿宋" w:cs="宋体"/>
          <w:color w:val="000000"/>
          <w:lang w:eastAsia="zh-CN"/>
        </w:rPr>
        <w:t>，</w:t>
      </w:r>
      <w:r>
        <w:rPr>
          <w:rFonts w:hint="eastAsia" w:ascii="仿宋" w:hAnsi="仿宋" w:eastAsia="仿宋" w:cs="宋体"/>
          <w:color w:val="000000"/>
        </w:rPr>
        <w:t>逾期送达或者未送达指定地点或者未按照谈判文件要求封装的纸质响应文件不予接收。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.3本项目将于上述同一时间、地点进行谈判，</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未按照谈判公告要求获取谈判文件的。</w:t>
      </w:r>
    </w:p>
    <w:p>
      <w:pPr>
        <w:pStyle w:val="4"/>
        <w:jc w:val="left"/>
        <w:rPr>
          <w:rFonts w:ascii="仿宋" w:hAnsi="仿宋" w:eastAsia="仿宋" w:cs="仿宋"/>
          <w:color w:val="000000"/>
          <w:sz w:val="24"/>
          <w:szCs w:val="24"/>
        </w:rPr>
      </w:pPr>
      <w:bookmarkStart w:id="10" w:name="_Toc186737795"/>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本项目谈判公告同时在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w:t>
      </w:r>
      <w:r>
        <w:rPr>
          <w:rFonts w:hint="eastAsia" w:ascii="仿宋" w:hAnsi="仿宋" w:eastAsia="仿宋" w:cs="宋体"/>
          <w:color w:val="000000"/>
        </w:rPr>
        <w:t>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30596"/>
      <w:bookmarkStart w:id="13" w:name="_Toc186737796"/>
      <w:r>
        <w:rPr>
          <w:rFonts w:hint="eastAsia" w:ascii="仿宋" w:hAnsi="仿宋" w:eastAsia="仿宋" w:cs="仿宋"/>
          <w:color w:val="000000"/>
          <w:sz w:val="24"/>
          <w:szCs w:val="24"/>
        </w:rPr>
        <w:t>六、联系方式</w:t>
      </w:r>
      <w:bookmarkEnd w:id="12"/>
      <w:bookmarkEnd w:id="13"/>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采购人：中国人民财产保险股份有限公司</w:t>
      </w:r>
      <w:r>
        <w:rPr>
          <w:rFonts w:hint="eastAsia" w:ascii="仿宋_GB2312" w:hAnsi="宋体" w:eastAsia="仿宋_GB2312"/>
          <w:lang w:val="en-US" w:eastAsia="zh-CN"/>
        </w:rPr>
        <w:t>达州市分公司</w:t>
      </w:r>
    </w:p>
    <w:p>
      <w:pPr>
        <w:spacing w:line="360" w:lineRule="auto"/>
        <w:ind w:firstLine="480" w:firstLineChars="200"/>
        <w:jc w:val="both"/>
        <w:rPr>
          <w:rFonts w:hint="eastAsia" w:ascii="仿宋_GB2312" w:hAnsi="宋体" w:eastAsia="仿宋_GB2312"/>
        </w:rPr>
      </w:pPr>
      <w:r>
        <w:rPr>
          <w:rFonts w:hint="eastAsia" w:ascii="仿宋_GB2312" w:hAnsi="宋体" w:eastAsia="仿宋_GB2312"/>
        </w:rPr>
        <w:t>地址：</w:t>
      </w:r>
      <w:r>
        <w:rPr>
          <w:rFonts w:hint="eastAsia" w:ascii="仿宋_GB2312" w:hAnsi="宋体" w:eastAsia="仿宋_GB2312"/>
          <w:lang w:val="en-US" w:eastAsia="zh-CN"/>
        </w:rPr>
        <w:t>达州市通川区通川区滩头街2号</w:t>
      </w:r>
      <w:r>
        <w:rPr>
          <w:rFonts w:hint="eastAsia" w:ascii="仿宋_GB2312" w:hAnsi="宋体" w:eastAsia="仿宋_GB2312"/>
        </w:rPr>
        <w:t xml:space="preserve"> </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邮编：</w:t>
      </w:r>
      <w:r>
        <w:rPr>
          <w:rFonts w:hint="eastAsia" w:ascii="仿宋_GB2312" w:hAnsi="宋体" w:eastAsia="仿宋_GB2312"/>
          <w:lang w:val="en-US" w:eastAsia="zh-CN"/>
        </w:rPr>
        <w:t>635100</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联系</w:t>
      </w:r>
      <w:r>
        <w:rPr>
          <w:rFonts w:hint="eastAsia" w:ascii="仿宋_GB2312" w:hAnsi="宋体" w:eastAsia="仿宋_GB2312"/>
          <w:lang w:val="en-US" w:eastAsia="zh-CN"/>
        </w:rPr>
        <w:t>人：向曦</w:t>
      </w:r>
    </w:p>
    <w:p>
      <w:pPr>
        <w:spacing w:line="360" w:lineRule="auto"/>
        <w:ind w:firstLine="480" w:firstLineChars="200"/>
        <w:jc w:val="both"/>
        <w:rPr>
          <w:rFonts w:hint="eastAsia" w:ascii="仿宋_GB2312" w:hAnsi="宋体" w:eastAsia="仿宋_GB2312"/>
          <w:lang w:val="en-US" w:eastAsia="zh-CN"/>
        </w:rPr>
      </w:pPr>
      <w:r>
        <w:rPr>
          <w:rFonts w:hint="eastAsia" w:ascii="仿宋_GB2312" w:hAnsi="宋体" w:eastAsia="仿宋_GB2312"/>
          <w:lang w:val="en-US" w:eastAsia="zh-CN"/>
        </w:rPr>
        <w:t>电话：19583300770</w:t>
      </w:r>
    </w:p>
    <w:p>
      <w:pPr>
        <w:spacing w:line="360" w:lineRule="auto"/>
        <w:ind w:firstLine="480" w:firstLineChars="200"/>
        <w:jc w:val="both"/>
        <w:rPr>
          <w:rFonts w:hint="eastAsia" w:ascii="仿宋_GB2312" w:hAnsi="宋体" w:eastAsia="仿宋_GB2312"/>
        </w:rPr>
      </w:pPr>
      <w:r>
        <w:rPr>
          <w:rFonts w:hint="eastAsia" w:ascii="仿宋_GB2312" w:hAnsi="宋体" w:eastAsia="仿宋_GB2312"/>
        </w:rPr>
        <w:t>邮箱地址：</w:t>
      </w:r>
      <w:r>
        <w:rPr>
          <w:rFonts w:ascii="宋体" w:hAnsi="宋体" w:eastAsia="宋体" w:cs="宋体"/>
          <w:sz w:val="24"/>
          <w:szCs w:val="24"/>
        </w:rPr>
        <w:t>xiangxi@sic.picc.com.cn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rPr>
          <w:rFonts w:hint="eastAsia" w:ascii="仿宋_GB2312" w:hAnsi="宋体" w:eastAsia="仿宋_GB2312"/>
        </w:rPr>
      </w:pPr>
      <w:r>
        <w:rPr>
          <w:rFonts w:hint="eastAsia" w:ascii="仿宋_GB2312" w:hAnsi="宋体" w:eastAsia="仿宋_GB2312"/>
        </w:rPr>
        <w:t>采购人：中国人民财产保险股份有限公司</w:t>
      </w:r>
      <w:r>
        <w:rPr>
          <w:rFonts w:hint="eastAsia" w:ascii="仿宋_GB2312" w:hAnsi="宋体" w:eastAsia="仿宋_GB2312"/>
          <w:lang w:val="en-US" w:eastAsia="zh-CN"/>
        </w:rPr>
        <w:t>达州市</w:t>
      </w:r>
      <w:r>
        <w:rPr>
          <w:rFonts w:hint="eastAsia" w:ascii="仿宋_GB2312" w:hAnsi="宋体" w:eastAsia="仿宋_GB2312"/>
        </w:rPr>
        <w:t>分公司</w:t>
      </w:r>
    </w:p>
    <w:p>
      <w:pPr>
        <w:spacing w:line="360" w:lineRule="auto"/>
        <w:ind w:firstLine="480" w:firstLineChars="200"/>
        <w:jc w:val="right"/>
        <w:rPr>
          <w:rFonts w:hint="eastAsia" w:ascii="仿宋_GB2312" w:hAnsi="宋体" w:eastAsia="仿宋_GB2312"/>
        </w:rPr>
      </w:pPr>
      <w:r>
        <w:rPr>
          <w:rFonts w:hint="eastAsia" w:ascii="仿宋_GB2312" w:hAnsi="宋体" w:eastAsia="仿宋_GB2312"/>
        </w:rPr>
        <w:t>202</w:t>
      </w:r>
      <w:r>
        <w:rPr>
          <w:rFonts w:hint="eastAsia" w:ascii="仿宋_GB2312" w:hAnsi="宋体" w:eastAsia="仿宋_GB2312"/>
          <w:lang w:val="en-US" w:eastAsia="zh-CN"/>
        </w:rPr>
        <w:t>6</w:t>
      </w:r>
      <w:r>
        <w:rPr>
          <w:rFonts w:hint="eastAsia" w:ascii="仿宋_GB2312" w:hAnsi="宋体" w:eastAsia="仿宋_GB2312"/>
        </w:rPr>
        <w:t>年</w:t>
      </w:r>
      <w:r>
        <w:rPr>
          <w:rFonts w:hint="eastAsia" w:ascii="仿宋_GB2312" w:hAnsi="宋体" w:eastAsia="仿宋_GB2312"/>
          <w:lang w:val="en-US" w:eastAsia="zh-CN"/>
        </w:rPr>
        <w:t>5</w:t>
      </w:r>
      <w:r>
        <w:rPr>
          <w:rFonts w:hint="eastAsia" w:ascii="仿宋_GB2312" w:hAnsi="宋体" w:eastAsia="仿宋_GB2312"/>
        </w:rPr>
        <w:t>月</w:t>
      </w:r>
      <w:r>
        <w:rPr>
          <w:rFonts w:hint="eastAsia" w:ascii="仿宋_GB2312" w:hAnsi="宋体" w:eastAsia="仿宋_GB2312"/>
          <w:lang w:val="en-US" w:eastAsia="zh-CN"/>
        </w:rPr>
        <w:t>12</w:t>
      </w:r>
      <w:r>
        <w:rPr>
          <w:rFonts w:hint="eastAsia" w:ascii="仿宋_GB2312" w:hAnsi="宋体" w:eastAsia="仿宋_GB2312"/>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★谈判文件实质性要求的标识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谈判文件中标识“★”条款、注明“谈判响应将被否决”、“对其响应做否决处理”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★谈判响应有效期</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谈判响应有效期：</w:t>
            </w:r>
            <w:r>
              <w:rPr>
                <w:rFonts w:hint="eastAsia" w:ascii="仿宋" w:hAnsi="仿宋" w:eastAsia="仿宋" w:cs="仿宋"/>
                <w:color w:val="000000" w:themeColor="text1"/>
                <w:u w:val="single"/>
                <w:lang w:val="en-US" w:eastAsia="zh-CN"/>
                <w14:textFill>
                  <w14:solidFill>
                    <w14:schemeClr w14:val="tx1"/>
                  </w14:solidFill>
                </w14:textFill>
              </w:rPr>
              <w:t>5</w:t>
            </w:r>
            <w:r>
              <w:rPr>
                <w:rFonts w:hint="eastAsia" w:ascii="仿宋" w:hAnsi="仿宋" w:eastAsia="仿宋" w:cs="仿宋"/>
                <w:color w:val="000000" w:themeColor="text1"/>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000000"/>
                <w:sz w:val="21"/>
                <w:szCs w:val="21"/>
                <w:lang w:val="en-US" w:eastAsia="zh-CN"/>
              </w:rPr>
              <w:t>盖鲜章版PDF格式</w:t>
            </w:r>
            <w:r>
              <w:rPr>
                <w:rFonts w:hint="eastAsia" w:ascii="仿宋" w:hAnsi="仿宋" w:eastAsia="仿宋"/>
                <w:color w:val="000000"/>
                <w:sz w:val="21"/>
                <w:szCs w:val="21"/>
                <w:lang w:eastAsia="zh-CN"/>
              </w:rPr>
              <w:t>）；</w:t>
            </w:r>
            <w:r>
              <w:rPr>
                <w:rFonts w:hint="eastAsia" w:ascii="仿宋" w:hAnsi="仿宋" w:eastAsia="仿宋"/>
                <w:color w:val="000000" w:themeColor="text1"/>
                <w:sz w:val="21"/>
                <w:szCs w:val="21"/>
                <w:lang w:eastAsia="zh-CN"/>
                <w14:textFill>
                  <w14:solidFill>
                    <w14:schemeClr w14:val="tx1"/>
                  </w14:solidFill>
                </w14:textFill>
              </w:rPr>
              <w:t>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1</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谈判响应报价</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2）谈判小组将视谈判情况决定是否进行多轮次报价，供应商</w:t>
            </w:r>
            <w:r>
              <w:rPr>
                <w:rFonts w:hint="eastAsia" w:ascii="仿宋" w:hAnsi="仿宋" w:eastAsia="仿宋" w:cs="仿宋"/>
                <w:color w:val="000000" w:themeColor="text1"/>
                <w:u w:val="single"/>
                <w:lang w:eastAsia="zh-CN"/>
                <w14:textFill>
                  <w14:solidFill>
                    <w14:schemeClr w14:val="tx1"/>
                  </w14:solidFill>
                </w14:textFill>
              </w:rPr>
              <w:t>最后一轮谈判提交的报价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ascii="仿宋_GB2312" w:eastAsia="仿宋_GB2312"/>
                <w:sz w:val="24"/>
                <w:szCs w:val="24"/>
                <w:lang w:eastAsia="zh-CN"/>
              </w:rPr>
              <w:t>2.1.</w:t>
            </w:r>
            <w:r>
              <w:rPr>
                <w:rFonts w:hint="eastAsia" w:ascii="仿宋_GB2312" w:eastAsia="仿宋_GB2312"/>
                <w:sz w:val="24"/>
                <w:szCs w:val="24"/>
                <w:lang w:val="en-US" w:eastAsia="zh-CN"/>
              </w:rPr>
              <w:t>10</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组建谈判小组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本项目谈判小组成员人数为</w:t>
            </w:r>
            <w:r>
              <w:rPr>
                <w:rFonts w:hint="eastAsia" w:ascii="仿宋" w:hAnsi="仿宋" w:eastAsia="仿宋" w:cs="仿宋"/>
                <w:color w:val="000000" w:themeColor="text1"/>
                <w:sz w:val="22"/>
                <w:u w:val="single"/>
                <w:lang w:val="en-US" w:eastAsia="zh-CN"/>
                <w14:textFill>
                  <w14:solidFill>
                    <w14:schemeClr w14:val="tx1"/>
                  </w14:solidFill>
                </w14:textFill>
              </w:rPr>
              <w:t>5</w:t>
            </w:r>
            <w:r>
              <w:rPr>
                <w:rFonts w:hint="eastAsia" w:ascii="仿宋" w:hAnsi="仿宋" w:eastAsia="仿宋" w:cs="仿宋"/>
                <w:color w:val="000000" w:themeColor="text1"/>
                <w:sz w:val="22"/>
                <w:u w:val="single"/>
                <w14:textFill>
                  <w14:solidFill>
                    <w14:schemeClr w14:val="tx1"/>
                  </w14:solidFill>
                </w14:textFill>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1</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谈判程序及方式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（1）谈判小组将与通过初步评审的有效供应商按照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供应商随机抽取顺序</w:t>
            </w:r>
            <w:r>
              <w:rPr>
                <w:rFonts w:hint="eastAsia" w:ascii="仿宋" w:hAnsi="仿宋" w:eastAsia="仿宋" w:cs="仿宋"/>
                <w:color w:val="000000"/>
                <w:sz w:val="22"/>
                <w:szCs w:val="22"/>
              </w:rPr>
              <w:t>逐一进行谈判，供应商至少应派法定代表人或其授权委托人准时参会。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谈判内容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报价、对采购需求的理解、产品配置/技术方案、实施方案、人员配置、服务承诺、商务条款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谈判小组从质量和服务均能满足采购文件实质性响应要求的供应商中，按照最后报价由低到高的顺序</w:t>
            </w:r>
            <w:r>
              <w:rPr>
                <w:rFonts w:hint="eastAsia" w:ascii="仿宋" w:hAnsi="仿宋" w:eastAsia="仿宋" w:cs="宋体"/>
                <w:color w:val="000000"/>
                <w:sz w:val="22"/>
              </w:rPr>
              <w:t>推荐</w:t>
            </w:r>
            <w:r>
              <w:rPr>
                <w:rFonts w:hint="eastAsia" w:ascii="仿宋" w:hAnsi="仿宋" w:eastAsia="仿宋" w:cs="宋体"/>
                <w:color w:val="000000" w:themeColor="text1"/>
                <w:sz w:val="22"/>
                <w:lang w:val="en-US" w:eastAsia="zh-CN"/>
                <w14:textFill>
                  <w14:solidFill>
                    <w14:schemeClr w14:val="tx1"/>
                  </w14:solidFill>
                </w14:textFill>
              </w:rPr>
              <w:t>2</w:t>
            </w:r>
            <w:r>
              <w:rPr>
                <w:rFonts w:hint="eastAsia" w:ascii="仿宋" w:hAnsi="仿宋" w:eastAsia="仿宋" w:cs="仿宋"/>
                <w:color w:val="000000" w:themeColor="text1"/>
                <w:sz w:val="22"/>
                <w:szCs w:val="22"/>
                <w:u w:val="single"/>
                <w14:textFill>
                  <w14:solidFill>
                    <w14:schemeClr w14:val="tx1"/>
                  </w14:solidFill>
                </w14:textFill>
              </w:rPr>
              <w:t>家</w:t>
            </w:r>
            <w:r>
              <w:rPr>
                <w:rFonts w:hint="eastAsia" w:ascii="仿宋" w:hAnsi="仿宋" w:eastAsia="仿宋" w:cs="宋体"/>
                <w:color w:val="000000" w:themeColor="text1"/>
                <w:sz w:val="22"/>
                <w14:textFill>
                  <w14:solidFill>
                    <w14:schemeClr w14:val="tx1"/>
                  </w14:solidFill>
                </w14:textFill>
              </w:rPr>
              <w:t>为</w:t>
            </w:r>
            <w:r>
              <w:rPr>
                <w:rFonts w:hint="eastAsia" w:ascii="仿宋" w:hAnsi="仿宋" w:eastAsia="仿宋" w:cs="宋体"/>
                <w:color w:val="000000"/>
                <w:sz w:val="22"/>
              </w:rPr>
              <w:t>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lang w:val="en-US" w:eastAsia="zh-CN"/>
                <w14:textFill>
                  <w14:solidFill>
                    <w14:schemeClr w14:val="tx1"/>
                  </w14:solidFill>
                </w14:textFill>
              </w:rPr>
              <w:t>2</w:t>
            </w:r>
            <w:r>
              <w:rPr>
                <w:rFonts w:hint="eastAsia" w:ascii="仿宋" w:hAnsi="仿宋" w:eastAsia="仿宋" w:cs="仿宋"/>
                <w:color w:val="000000" w:themeColor="text1"/>
                <w:sz w:val="22"/>
                <w:szCs w:val="22"/>
                <w:u w:val="single"/>
                <w14:textFill>
                  <w14:solidFill>
                    <w14:schemeClr w14:val="tx1"/>
                  </w14:solidFill>
                </w14:textFill>
              </w:rPr>
              <w:t>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不按照谈判文件要求提交履约保证金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、存在重大经营或法律风险、被查实存在影响采购结果的违法行为等情形，采购人按照谈判小组提出的成交候选人名单排序依次确定其他成交候选人为成交人，或者重新采购。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sym w:font="Wingdings 2" w:char="0052"/>
            </w:r>
            <w:r>
              <w:rPr>
                <w:rFonts w:hint="eastAsia" w:ascii="仿宋" w:hAnsi="仿宋" w:eastAsia="仿宋"/>
                <w:color w:val="000000" w:themeColor="text1"/>
                <w14:textFill>
                  <w14:solidFill>
                    <w14:schemeClr w14:val="tx1"/>
                  </w14:solidFill>
                </w14:textFill>
              </w:rPr>
              <w:t>不收取</w:t>
            </w:r>
          </w:p>
        </w:tc>
      </w:tr>
    </w:tbl>
    <w:p>
      <w:pPr>
        <w:pStyle w:val="2"/>
        <w:rPr>
          <w:rFonts w:ascii="仿宋_GB2312" w:eastAsia="仿宋_GB2312"/>
        </w:rPr>
      </w:pPr>
    </w:p>
    <w:p>
      <w:pPr>
        <w:pStyle w:val="4"/>
        <w:jc w:val="left"/>
        <w:rPr>
          <w:rFonts w:hint="eastAsia" w:ascii="仿宋" w:hAnsi="仿宋" w:eastAsia="仿宋" w:cs="仿宋"/>
          <w:color w:val="000000"/>
          <w:sz w:val="24"/>
          <w:szCs w:val="24"/>
        </w:rPr>
      </w:pPr>
      <w:bookmarkStart w:id="17" w:name="_Toc6047"/>
      <w:bookmarkStart w:id="18" w:name="_Toc517281816"/>
      <w:bookmarkStart w:id="19" w:name="_Toc20514"/>
      <w:bookmarkStart w:id="20" w:name="_Toc11071"/>
      <w:bookmarkStart w:id="21" w:name="_Toc19783313"/>
      <w:bookmarkStart w:id="22" w:name="_Toc287600118"/>
      <w:bookmarkStart w:id="23" w:name="_Toc27232"/>
      <w:bookmarkStart w:id="24" w:name="_Toc444891336"/>
      <w:bookmarkStart w:id="25" w:name="_Toc27220"/>
      <w:bookmarkStart w:id="26" w:name="_Toc186737799"/>
    </w:p>
    <w:p>
      <w:pPr>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287600119"/>
      <w:bookmarkStart w:id="28" w:name="_Toc517281817"/>
      <w:bookmarkStart w:id="29" w:name="_Toc19783314"/>
      <w:bookmarkStart w:id="30" w:name="_Toc16441"/>
      <w:bookmarkStart w:id="31" w:name="_Toc3678"/>
      <w:bookmarkStart w:id="32" w:name="_Toc11851"/>
      <w:bookmarkStart w:id="33" w:name="_Toc186737800"/>
      <w:bookmarkStart w:id="34" w:name="_Toc22969"/>
      <w:bookmarkStart w:id="35" w:name="_Toc431"/>
      <w:bookmarkStart w:id="36" w:name="_Toc6681"/>
      <w:bookmarkStart w:id="37" w:name="_Toc444891337"/>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本项目按照中华人民共和国有关法律、行政法规和部门规章以及采购人的采购管理制度，通过竞争性谈判方式确定签约供应商。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5.谈判响应费用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自行承担所有准备和参与本次谈判响应的有关费用。</w:t>
      </w:r>
    </w:p>
    <w:p>
      <w:pPr>
        <w:pStyle w:val="5"/>
        <w:spacing w:after="0" w:line="360" w:lineRule="auto"/>
        <w:ind w:firstLine="482"/>
        <w:rPr>
          <w:rFonts w:ascii="仿宋" w:hAnsi="仿宋" w:eastAsia="仿宋" w:cs="仿宋"/>
          <w:color w:val="000000"/>
          <w:sz w:val="24"/>
          <w:szCs w:val="24"/>
        </w:rPr>
      </w:pPr>
      <w:bookmarkStart w:id="38" w:name="_Toc287600120"/>
      <w:bookmarkStart w:id="39" w:name="_Toc444891338"/>
      <w:bookmarkStart w:id="40" w:name="_Toc10975"/>
      <w:bookmarkStart w:id="41" w:name="_Toc5255"/>
      <w:bookmarkStart w:id="42" w:name="_Toc186737801"/>
      <w:bookmarkStart w:id="43" w:name="_Toc14164"/>
      <w:bookmarkStart w:id="44" w:name="_Toc25513"/>
      <w:bookmarkStart w:id="45" w:name="_Toc517281818"/>
      <w:bookmarkStart w:id="46" w:name="_Toc19783315"/>
      <w:bookmarkStart w:id="47" w:name="_Toc3016"/>
      <w:bookmarkStart w:id="48" w:name="_Toc24246"/>
      <w:r>
        <w:rPr>
          <w:rFonts w:hint="eastAsia" w:ascii="仿宋" w:hAnsi="仿宋" w:eastAsia="仿宋" w:cs="仿宋"/>
          <w:color w:val="000000"/>
          <w:sz w:val="24"/>
          <w:szCs w:val="24"/>
        </w:rPr>
        <w:t>（二）谈判文件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6.谈判文件的组成</w:t>
      </w:r>
    </w:p>
    <w:p>
      <w:pPr>
        <w:spacing w:line="360" w:lineRule="auto"/>
        <w:rPr>
          <w:rFonts w:ascii="仿宋" w:hAnsi="仿宋" w:eastAsia="仿宋" w:cs="仿宋"/>
          <w:color w:val="000000"/>
        </w:rPr>
      </w:pPr>
      <w:r>
        <w:rPr>
          <w:rFonts w:hint="eastAsia" w:ascii="仿宋" w:hAnsi="仿宋" w:eastAsia="仿宋" w:cs="仿宋"/>
          <w:color w:val="000000"/>
        </w:rPr>
        <w:t>6.1谈判文件包括下列内容：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7.谈判文件的修改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在响应文件递交截止时间前，无论出于何种原因，采购人可主动地或在解答供应商要求澄清的问题时对谈判文件进行修改。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供应商有权要求采购人对谈判文件中的有关问题进行答疑、澄清。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供应商对谈判文件如有疑问,应在首次响应文件递交截止时间前按谈判文件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对于谈判文件的修改，如影响供应商响应文件编制的，</w:t>
      </w:r>
      <w:r>
        <w:rPr>
          <w:rFonts w:hint="eastAsia" w:ascii="仿宋_GB2312" w:hAnsi="宋体" w:eastAsia="仿宋_GB2312"/>
          <w:spacing w:val="-3"/>
        </w:rPr>
        <w:t>采购人应推迟响应文件递交截止日期，并以书面或邮件形式通知所有已获取谈判文件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任何对谈判文件的澄清均为谈判文件的组成部分，并具有同等的法律效力。如谈判文件的澄清与谈判文件有矛盾，以日期后的为准。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8.谈判响应预备会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采购人认为必要时，将召开谈判响应预备会(答疑会)，公开解答潜在供应商对谈判文件提出的疑问。</w:t>
      </w:r>
    </w:p>
    <w:p>
      <w:pPr>
        <w:pStyle w:val="5"/>
        <w:spacing w:after="0" w:line="360" w:lineRule="auto"/>
        <w:jc w:val="center"/>
        <w:rPr>
          <w:rFonts w:ascii="仿宋" w:hAnsi="仿宋" w:eastAsia="仿宋" w:cs="仿宋"/>
          <w:color w:val="000000"/>
          <w:sz w:val="24"/>
          <w:szCs w:val="24"/>
        </w:rPr>
      </w:pPr>
      <w:bookmarkStart w:id="49" w:name="_Toc444891339"/>
      <w:bookmarkStart w:id="50" w:name="_Toc13691"/>
      <w:bookmarkStart w:id="51" w:name="_Toc27642"/>
      <w:bookmarkStart w:id="52" w:name="_Toc19783316"/>
      <w:bookmarkStart w:id="53" w:name="_Toc186737802"/>
      <w:bookmarkStart w:id="54" w:name="_Toc16985"/>
      <w:bookmarkStart w:id="55" w:name="_Toc27563"/>
      <w:bookmarkStart w:id="56" w:name="_Toc31141"/>
      <w:bookmarkStart w:id="57" w:name="_Toc287600121"/>
      <w:bookmarkStart w:id="58" w:name="_Toc517281819"/>
      <w:bookmarkStart w:id="59" w:name="_Toc14308"/>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供应商应当按照谈判文件的要求编制响应文件，并对其提交的响应文件的真实性、合法性承担法律责任。响应文件应当对谈判文件提出的实质性要求和条件作出响应。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11.谈判响应报价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.谈判响应有效期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谈判响应有效期从响应文件递交截止之日起算，具体时间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，在此期间，供应商不得要求撤销或修改其响应文件。供应商承诺的谈判响应有效期必须不短于谈判文件规定的谈判响应有效期，否则将构成对谈判文件的非实质性响应，谈判响应将被否决。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对于谈判文件中提及的原件或复印件要求，照片件、扫描件、影印件、截图件等与其具有同等效力（谈判文件有特殊要求的除外）。</w:t>
      </w:r>
    </w:p>
    <w:p>
      <w:pPr>
        <w:pStyle w:val="5"/>
        <w:spacing w:after="0" w:line="360" w:lineRule="auto"/>
        <w:ind w:firstLine="482"/>
        <w:rPr>
          <w:rFonts w:ascii="仿宋" w:hAnsi="仿宋" w:eastAsia="仿宋" w:cs="仿宋"/>
          <w:color w:val="000000"/>
          <w:sz w:val="24"/>
          <w:szCs w:val="24"/>
        </w:rPr>
      </w:pPr>
      <w:bookmarkStart w:id="61" w:name="_Toc444891340"/>
      <w:bookmarkStart w:id="62" w:name="_Toc517281820"/>
      <w:bookmarkStart w:id="63" w:name="_Toc21600"/>
      <w:bookmarkStart w:id="64" w:name="_Toc287600122"/>
      <w:bookmarkStart w:id="65" w:name="_Toc19783317"/>
      <w:bookmarkStart w:id="66" w:name="_Toc18673"/>
      <w:bookmarkStart w:id="67" w:name="_Toc7129"/>
      <w:bookmarkStart w:id="68" w:name="_Toc14726"/>
      <w:bookmarkStart w:id="69" w:name="_Toc4155"/>
      <w:bookmarkStart w:id="70" w:name="_Toc186737803"/>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（2）纸质响应文件逾期递交或者未送达指定地点或者未按照谈判文件要求封装的；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）未按谈判公告或者响应公告书要求获得本项目谈判文件的。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谈判文件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，应当在响应文件递交截止时间前按照谈判文件的规定进行递交。</w:t>
      </w:r>
    </w:p>
    <w:p>
      <w:pPr>
        <w:pStyle w:val="2"/>
        <w:spacing w:line="360" w:lineRule="auto"/>
      </w:pPr>
      <w:bookmarkStart w:id="72" w:name="_Toc332188194"/>
      <w:bookmarkStart w:id="73" w:name="_Toc179632576"/>
      <w:bookmarkStart w:id="74" w:name="_Toc152045558"/>
      <w:bookmarkStart w:id="75" w:name="_Toc326223561"/>
      <w:bookmarkStart w:id="76" w:name="_Toc246996945"/>
      <w:bookmarkStart w:id="77" w:name="_Toc334766948"/>
      <w:bookmarkStart w:id="78" w:name="_Toc247085716"/>
      <w:bookmarkStart w:id="79" w:name="_Toc144974526"/>
      <w:bookmarkStart w:id="80" w:name="_Toc246996202"/>
      <w:bookmarkStart w:id="81" w:name="_Toc152042334"/>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响应文件递交截止时间后，供应商在响应有效期内撤销其响应文件，谈判保证金不予退还。</w:t>
      </w:r>
    </w:p>
    <w:p>
      <w:pPr>
        <w:pStyle w:val="5"/>
        <w:spacing w:before="0" w:after="0" w:line="360" w:lineRule="auto"/>
        <w:ind w:firstLine="482"/>
        <w:rPr>
          <w:rFonts w:ascii="仿宋" w:hAnsi="仿宋" w:eastAsia="仿宋" w:cs="仿宋"/>
          <w:color w:val="000000"/>
          <w:sz w:val="24"/>
          <w:szCs w:val="24"/>
        </w:rPr>
      </w:pPr>
      <w:bookmarkStart w:id="82" w:name="_Toc444891341"/>
      <w:bookmarkStart w:id="83" w:name="_Toc12797"/>
      <w:bookmarkStart w:id="84" w:name="_Toc2636"/>
      <w:bookmarkStart w:id="85" w:name="_Toc517281821"/>
      <w:bookmarkStart w:id="86" w:name="_Toc20741"/>
      <w:bookmarkStart w:id="87" w:name="_Toc30466"/>
      <w:bookmarkStart w:id="88" w:name="_Toc2055"/>
      <w:bookmarkStart w:id="89" w:name="_Toc186737804"/>
      <w:bookmarkStart w:id="90" w:name="_Toc287600123"/>
      <w:bookmarkStart w:id="91" w:name="_Toc11361"/>
      <w:r>
        <w:rPr>
          <w:rFonts w:hint="eastAsia" w:ascii="仿宋" w:hAnsi="仿宋" w:eastAsia="仿宋" w:cs="仿宋"/>
          <w:color w:val="000000"/>
          <w:sz w:val="24"/>
          <w:szCs w:val="24"/>
        </w:rPr>
        <w:t>（五）竞争性谈判和评审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谈判小组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采购人依照企业采购管理制度的相关规定组建谈判小组，具体人数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，谈判小组成员名单在成交结果确定前保密。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谈判小组成员应当按照客观、公正、审慎的原则，根据谈判文件规定的评审程序、评审方法和评审标准进行独立评审。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谈判小组按照第三章评审办法中初步评审的内容及要求，对响应文件进行初步评审。未通过初步评审的供应商，其谈判响应将被否决，不进入详细评审等后续环节。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rPr>
        <w:t>，谈判小组有权对其响应做否决处理。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谈判小组必要时可以要求供应商提交有关证明和证件的原件，以便核验。拒不按要求提供原件的供应商，</w:t>
      </w:r>
      <w:r>
        <w:rPr>
          <w:rFonts w:hint="eastAsia" w:ascii="仿宋" w:hAnsi="仿宋" w:eastAsia="仿宋" w:cs="仿宋"/>
          <w:b/>
          <w:bCs/>
        </w:rPr>
        <w:t>谈判小组有权对其响应做否决处理。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谈判程序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谈判小组可视情况要求供应商进行多轮谈判及报价。谈判中，任何一方不得向第三方透露与谈判有关的任何信息。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.1谈判文件能够详细列明采购标的的技术、服务要求的，谈判结束后，谈判小组将要求所有继续参加谈判的供应商在规定时间内提交最后报价。</w:t>
      </w:r>
    </w:p>
    <w:p>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谈判小组应当从质量和服务均能满足采购文件实质性响应要求的供应商中，按照最后报价由低到高的顺序提出成交候选人，具体情况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成交候选人的经营、财务状况发生较大变化或者存在违法行为，采购人认为可能影响其履约能力的，应当在发出成交通知书前由原谈判小组按照谈判文件规定的标准和方法审查确认。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未在响应文件中提及和承诺，但又未明确书面提出异议的事项，按本谈判谈判邀请函的有关要求执行。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谈判文件及附件之著作权受中国法律保护，所有文件仅限于供应商参加本次采购谈判使用，任何用于其他目的之复制或引用均应事先获得采购方书面许可。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bookmarkStart w:id="95" w:name="_Toc186737805"/>
      <w:bookmarkStart w:id="96" w:name="_Toc9911"/>
      <w:bookmarkStart w:id="97" w:name="_Toc2322"/>
      <w:bookmarkStart w:id="98" w:name="_Toc13936"/>
      <w:bookmarkStart w:id="99" w:name="_Toc19451"/>
      <w:bookmarkStart w:id="100" w:name="_Toc517281822"/>
      <w:bookmarkStart w:id="101" w:name="_Toc234223231"/>
      <w:bookmarkStart w:id="102" w:name="_Toc28031"/>
      <w:bookmarkStart w:id="103" w:name="_Toc16781"/>
      <w:bookmarkStart w:id="104" w:name="_Toc287600124"/>
      <w:bookmarkStart w:id="105" w:name="_Toc444891342"/>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采购人依据谈判小组推荐的成交候选人名单确定成交人，成交人数量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采购人与成交人按照谈判文件和成交人的响应文件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谈判</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谈判文件要求成交人提交履约保证金的，成交人应当按照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3"/>
        <w:spacing w:before="0" w:after="0"/>
        <w:jc w:val="left"/>
        <w:rPr>
          <w:rFonts w:ascii="仿宋" w:hAnsi="仿宋" w:eastAsia="仿宋" w:cs="仿宋"/>
          <w:sz w:val="28"/>
          <w:szCs w:val="28"/>
        </w:rPr>
      </w:pPr>
      <w:bookmarkStart w:id="107" w:name="_Toc10670"/>
      <w:bookmarkStart w:id="108" w:name="_Toc186737806"/>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444891344"/>
      <w:bookmarkStart w:id="111" w:name="_Toc7201"/>
      <w:bookmarkStart w:id="112" w:name="_Toc517281825"/>
      <w:bookmarkStart w:id="113" w:name="_Toc186737807"/>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谈判小组对响应文件中的相关内容进行评审。评审按照以下程序进行：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1.熟悉谈判文件；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2.对响应文件进行初步评审，检查响应文件是否满足谈判文件的初审要求；初步评审中不符合评审标准的，将做否决谈判响应处理；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3.供应商有以下情形之一的，谈判小组应当否决其谈判响应：</w:t>
      </w:r>
    </w:p>
    <w:p>
      <w:pPr>
        <w:spacing w:line="360" w:lineRule="auto"/>
        <w:ind w:firstLine="420" w:firstLineChars="175"/>
        <w:rPr>
          <w:rFonts w:ascii="仿宋" w:hAnsi="仿宋" w:eastAsia="仿宋" w:cs="仿宋"/>
        </w:rPr>
      </w:pPr>
      <w:r>
        <w:rPr>
          <w:rFonts w:hint="eastAsia" w:ascii="仿宋" w:hAnsi="仿宋" w:eastAsia="仿宋" w:cs="仿宋"/>
        </w:rPr>
        <w:t>（1）按照谈判公告要求已经递交电子响应文件，但未按要求递交纸质响应文件；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（4）不符合国家或者谈判文件规定的资格条件；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（5）同一供应商提交两个以上不同的响应文件或者响应报价，但谈判文件要求提交备选文件的除外；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最终报价低于成本或者高于谈判文件设定的最高投标限价；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（7）响应文件未对谈判文件的实质性要求和条件作出响应；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（11）不符合谈判文件中规定的其他实质性要求。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内容允许在谈判过程中按谈判小组规定的时间内补充，若未在规定时间内补充则将导致响应无效。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5.通过初步评审的供应商分别进行谈判；</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hint="eastAsia"/>
        </w:rPr>
      </w:pPr>
      <w:bookmarkStart w:id="116" w:name="_Toc444891345"/>
      <w:bookmarkStart w:id="117" w:name="_Toc517281826"/>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118" w:name="_Toc186737808"/>
      <w:bookmarkStart w:id="119" w:name="_Toc3201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02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9"/>
        <w:gridCol w:w="1173"/>
        <w:gridCol w:w="1959"/>
        <w:gridCol w:w="609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17"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2"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75"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8"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4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8"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93"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8"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营业执照</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4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lang w:val="en-US" w:eastAsia="zh-CN"/>
              </w:rPr>
              <w:t>商业信誉及财务制度</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设备及专业技术</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税收及社保资金</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无违法违规记录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未被列入黑名单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控股及管理关系</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非联合体</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8"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8"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2"/>
      </w:pPr>
    </w:p>
    <w:p>
      <w:pPr>
        <w:pStyle w:val="2"/>
      </w:pPr>
    </w:p>
    <w:bookmarkEnd w:id="109"/>
    <w:p>
      <w:pPr>
        <w:pStyle w:val="3"/>
        <w:spacing w:before="0" w:after="0"/>
        <w:jc w:val="left"/>
        <w:rPr>
          <w:rStyle w:val="34"/>
          <w:rFonts w:asciiTheme="minorHAnsi" w:hAnsiTheme="minorHAnsi" w:eastAsiaTheme="minorEastAsia"/>
          <w:b w:val="0"/>
          <w:bCs w:val="0"/>
          <w:color w:val="000000" w:themeColor="text1"/>
          <w:kern w:val="0"/>
          <w:szCs w:val="24"/>
          <w14:textFill>
            <w14:solidFill>
              <w14:schemeClr w14:val="tx1"/>
            </w14:solidFill>
          </w14:textFill>
        </w:rPr>
      </w:pPr>
      <w:bookmarkStart w:id="120" w:name="_Toc15254"/>
      <w:bookmarkStart w:id="121" w:name="_Toc186737810"/>
      <w:r>
        <w:rPr>
          <w:rFonts w:hint="eastAsia" w:ascii="仿宋" w:hAnsi="仿宋" w:eastAsia="仿宋" w:cs="仿宋"/>
          <w:color w:val="000000" w:themeColor="text1"/>
          <w:sz w:val="28"/>
          <w:szCs w:val="28"/>
          <w14:textFill>
            <w14:solidFill>
              <w14:schemeClr w14:val="tx1"/>
            </w14:solidFill>
          </w14:textFill>
        </w:rPr>
        <w:t>第四章 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00" w:lineRule="exact"/>
        <w:ind w:left="0" w:right="0"/>
        <w:jc w:val="center"/>
        <w:textAlignment w:val="auto"/>
        <w:rPr>
          <w:rFonts w:hint="default" w:ascii="仿宋_GB2312" w:hAnsi="宋体" w:eastAsia="仿宋_GB2312" w:cs="宋体"/>
          <w:b/>
          <w:bCs/>
          <w:color w:val="auto"/>
          <w:kern w:val="44"/>
          <w:sz w:val="28"/>
          <w:szCs w:val="28"/>
          <w:lang w:val="en-US" w:eastAsia="zh-CN" w:bidi="ar-SA"/>
        </w:rPr>
      </w:pPr>
      <w:r>
        <w:rPr>
          <w:rFonts w:hint="eastAsia" w:ascii="仿宋_GB2312" w:hAnsi="宋体" w:eastAsia="仿宋_GB2312" w:cs="宋体"/>
          <w:b/>
          <w:bCs/>
          <w:color w:val="auto"/>
          <w:kern w:val="44"/>
          <w:sz w:val="28"/>
          <w:szCs w:val="28"/>
          <w:lang w:val="en-US" w:eastAsia="zh-CN" w:bidi="ar-SA"/>
        </w:rPr>
        <w:t>电梯轿厢宣传合同模板</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商务部分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第一条 </w:t>
      </w:r>
      <w:r>
        <w:rPr>
          <w:rFonts w:hint="eastAsia" w:ascii="仿宋_GB2312" w:hAnsi="仿宋_GB2312" w:eastAsia="仿宋_GB2312" w:cs="仿宋_GB2312"/>
          <w:sz w:val="24"/>
          <w:szCs w:val="24"/>
        </w:rPr>
        <w:t>项目内容及要求</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项目内容和要求</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第二条 </w:t>
      </w:r>
      <w:r>
        <w:rPr>
          <w:rFonts w:hint="eastAsia" w:ascii="仿宋_GB2312" w:hAnsi="仿宋_GB2312" w:eastAsia="仿宋_GB2312" w:cs="仿宋_GB2312"/>
          <w:b/>
          <w:sz w:val="24"/>
          <w:szCs w:val="24"/>
        </w:rPr>
        <w:t>合同价格</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本合同总价款为_______元（大写：_______）。合同价格明细见【附件】。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合同价款包括但不限于设计费、出片打样费、印刷费、纸张费、装订费、包装费、运输费或邮递费、劳务报酬及其他相关费用，除此之外，甲方不再向乙方支付任何费用。</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第三条 </w:t>
      </w:r>
      <w:r>
        <w:rPr>
          <w:rFonts w:hint="eastAsia" w:ascii="仿宋_GB2312" w:hAnsi="仿宋_GB2312" w:eastAsia="仿宋_GB2312" w:cs="仿宋_GB2312"/>
          <w:sz w:val="24"/>
          <w:szCs w:val="24"/>
        </w:rPr>
        <w:t>甲方的权利和义务（适用于专项法律服务合同）</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双方的权利和义务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除本合同约定的双方的权利义务外，甲乙双方在本合同项下的其他权利和义务见【附件】的约定。</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第四条 </w:t>
      </w:r>
      <w:r>
        <w:rPr>
          <w:rFonts w:hint="eastAsia" w:ascii="仿宋_GB2312" w:hAnsi="仿宋_GB2312" w:eastAsia="仿宋_GB2312" w:cs="仿宋_GB2312"/>
          <w:b/>
          <w:sz w:val="24"/>
          <w:szCs w:val="24"/>
        </w:rPr>
        <w:t>制作与收货</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制作</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（1）本合同委托制作的宣传品所需材料全部由甲方提供。</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（2）乙方应按照甲方要求进行设计、制作样本，并送甲方评审，直至甲方签字确认为止。设计、制作样本费用由乙方承担。</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（3）委托制作的宣传品质量标准以甲方签字确认的样本为准，并以该样本作为收货标准。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收货</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应在制作完成后按甲方要求的方式将宣传品送至甲方指定地点，运费由乙方负担。甲方应在收到乙方制作的宣传品后10个工作日内安排收货，收货合格后视为交付。但收货当时和合理期限内不能发现的质量隐患或者质量瑕疵，乙方不因交付而免责，甲方有权根据情况选择按照保修条款或者违约条款执行。</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（2）上述宣传品的所有权及毁损、灭失的风险责任均自交付后转移至甲方。</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第五条 </w:t>
      </w:r>
      <w:r>
        <w:rPr>
          <w:rFonts w:hint="eastAsia" w:ascii="仿宋_GB2312" w:hAnsi="仿宋_GB2312" w:eastAsia="仿宋_GB2312" w:cs="仿宋_GB2312"/>
          <w:sz w:val="24"/>
          <w:szCs w:val="24"/>
        </w:rPr>
        <w:t>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通用部分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第六条 </w:t>
      </w:r>
      <w:r>
        <w:rPr>
          <w:rFonts w:hint="eastAsia" w:ascii="仿宋_GB2312" w:hAnsi="仿宋_GB2312" w:eastAsia="仿宋_GB2312" w:cs="仿宋_GB2312"/>
          <w:b/>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甲方的权利和义务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（1）甲方有权要求乙方对其提供的设计方案进行修改；所有方案均应得到甲方的书面同意后方可实施。经甲方书面确认的方案视为乙方执行的依据，乙方不得擅自修改；</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（2）甲方应向乙方提供乙方合理要求的设计制作本合同项下宣传品必需的文件、资料与信息。乙方所需相关文件、资料、信息等应以书面形式向甲方提出；</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（3）甲方应按照本合同约定及时向乙方支付费用；</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（4）甲方享有其它双方约定的权利、承担其它双方约定的义务。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二</w:t>
      </w:r>
      <w:r>
        <w:rPr>
          <w:rFonts w:hint="eastAsia" w:ascii="仿宋_GB2312" w:hAnsi="仿宋_GB2312" w:eastAsia="仿宋_GB2312" w:cs="仿宋_GB2312"/>
          <w:sz w:val="24"/>
          <w:szCs w:val="24"/>
        </w:rPr>
        <w:t>） 乙方的权利和义务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（1）乙方应按照本合同的规定完成本合同项下的宣传品制作并及时向甲方交付；</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（2）乙方应妥善保管甲方提供的各种文件资料、物品等，并于制作完成后10日内归还甲方。在乙方保管期间相关资料、物品等毁损、灭失，由乙方承担赔偿责任；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（3）乙方应及时向甲方提供发票，否则，甲方有权拒绝支付应付款项并无需承担逾期付款的违约责任；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4）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（5）乙方作为甲方的供应商，同意遵守甲方制定的环境方针。乙方承诺在履行本合同过程中，遵守国家在排污、环保等方面的相关法律法规；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（6）乙方保证其向甲方作出的陈述、保证和承诺及提供的资料、信息等均真实、准确、合法、有效，不侵害或不包含可能侵害第三方合法权益之内容；</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（7）乙方对于该宣传品负有保修义务，保修期为自制作的宣传品交付之日起的</w:t>
      </w:r>
      <w:r>
        <w:rPr>
          <w:rFonts w:hint="eastAsia" w:ascii="仿宋_GB2312" w:hAnsi="仿宋_GB2312" w:eastAsia="仿宋_GB2312" w:cs="仿宋_GB2312"/>
          <w:sz w:val="24"/>
          <w:szCs w:val="24"/>
          <w:lang w:val="en-US" w:eastAsia="zh-CN"/>
        </w:rPr>
        <w:t>30日内</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（8）如在保修期内发现质量问题，乙方免费在5个工作日内指派专业技术人员负责修理、重做、更换、上门服务或赔偿损失；</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（9）乙方享有其它双方约定的权利、承担其它双方约定的义务。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第七条 </w:t>
      </w:r>
      <w:r>
        <w:rPr>
          <w:rFonts w:hint="eastAsia" w:ascii="仿宋_GB2312" w:hAnsi="仿宋_GB2312" w:eastAsia="仿宋_GB2312" w:cs="仿宋_GB2312"/>
          <w:sz w:val="24"/>
          <w:szCs w:val="24"/>
        </w:rPr>
        <w:t>禁止转让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禁止转让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第八条 </w:t>
      </w:r>
      <w:r>
        <w:rPr>
          <w:rFonts w:hint="eastAsia" w:ascii="仿宋_GB2312" w:hAnsi="仿宋_GB2312" w:eastAsia="仿宋_GB2312" w:cs="仿宋_GB2312"/>
          <w:b/>
          <w:sz w:val="24"/>
          <w:szCs w:val="24"/>
        </w:rPr>
        <w:t>知识产权保障及权利保证</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乙方接受甲方委托履行本合同过程中形成的包括但不限于所有制作物、资料、素材、数据等的完整所有权（包括但不限于外观设计、著作权等知识产权）归甲方所有。未经甲方书面允许，不得擅自使用或者授权他人使用。</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第三方权利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（1）如乙方根据本合同完成的制作成果使用的任何资料涉及到第三方权利(如商标权、著作权、专利权、肖像权等)，乙方应代甲方取得第三方的书面授权许可并向甲方提供有关证明材料。</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（2）乙方承诺其向甲方作出的陈述、保证和承诺及提供的资料、信息等均真实、准确、合法、有效，不侵害或不包含可能侵害第三方合法权益之内容。</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第九条 </w:t>
      </w:r>
      <w:r>
        <w:rPr>
          <w:rFonts w:hint="eastAsia" w:ascii="仿宋_GB2312" w:hAnsi="仿宋_GB2312" w:eastAsia="仿宋_GB2312" w:cs="仿宋_GB2312"/>
          <w:b/>
          <w:sz w:val="24"/>
          <w:szCs w:val="24"/>
        </w:rPr>
        <w:t>违约责任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 若乙方未能按确定方案完成制作或者完成制作存在瑕疵，甲方有权要求乙方尽快采取补救措施、继续履行。因此造成逾期的，每逾期1日，乙方应按本合同总金额的_</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向甲方支付违约金。若采取补救措施已无必要、或者乙方逾期10日未采取补救措施、或者采取一次补救措施后，仍未能按照合同及合同附件约定完成，甲方有权选择单方解除合同，乙方应当在收到甲方解除合同的通知后10日内退还已经收取的款项，并向甲方支付相当于本合同总价款</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_%的违约金，若违约金不足以弥补甲方损失(含甲方向甲方客户承担的法律责任而产生的损失)的，乙方应负责补足该差额部分。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如因乙方交付的制作成品存在质量隐患造成使用者或者第三方人身财产安全事故的，乙方应按《产品质量法》、《消费者权益保护法》等承担全部责任。由此引起纠纷或者争议的，由乙方负责解决并承担全部责任，并赔偿甲方(含甲方向甲方客户承担的法律责任而产生的损失)及受损害的第三方所遭受的一切损失。</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如果乙方违反本合同约定的保密义务，乙方应向甲方支付相当于本合同总价款_</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 除本合同的约定外，因乙方的违约行为给甲方造成损失的，乙方应向甲方支付相当于本合同总价款</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第十条 </w:t>
      </w:r>
      <w:r>
        <w:rPr>
          <w:rFonts w:hint="eastAsia" w:ascii="仿宋_GB2312" w:hAnsi="仿宋_GB2312" w:eastAsia="仿宋_GB2312" w:cs="仿宋_GB2312"/>
          <w:b/>
          <w:sz w:val="24"/>
          <w:szCs w:val="24"/>
        </w:rPr>
        <w:t>保密义务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第十一条 </w:t>
      </w:r>
      <w:r>
        <w:rPr>
          <w:rFonts w:hint="eastAsia" w:ascii="仿宋_GB2312" w:hAnsi="仿宋_GB2312" w:eastAsia="仿宋_GB2312" w:cs="仿宋_GB2312"/>
          <w:b/>
          <w:sz w:val="24"/>
          <w:szCs w:val="24"/>
        </w:rPr>
        <w:t>不可抗力</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第十二条 </w:t>
      </w:r>
      <w:r>
        <w:rPr>
          <w:rFonts w:hint="eastAsia" w:ascii="仿宋_GB2312" w:hAnsi="仿宋_GB2312" w:eastAsia="仿宋_GB2312" w:cs="仿宋_GB2312"/>
          <w:sz w:val="24"/>
          <w:szCs w:val="24"/>
        </w:rPr>
        <w:t>合同变更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合同变更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第十三条 </w:t>
      </w:r>
      <w:r>
        <w:rPr>
          <w:rFonts w:hint="eastAsia" w:ascii="仿宋_GB2312" w:hAnsi="仿宋_GB2312" w:eastAsia="仿宋_GB2312" w:cs="仿宋_GB2312"/>
          <w:b/>
          <w:sz w:val="24"/>
          <w:szCs w:val="24"/>
        </w:rPr>
        <w:t>合同特别终止</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甲乙双方同意在乙方出现下列情形时，甲方可以书面形式通知乙方（或者乙方的破产清算组或相关管理人）提出终止合同而不向其提供任何补偿：</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（1）乙方破产、解散（包括但不限于乙方股东会决议解散、乙方被吊销营业执照、被责令关闭、被撤销、被司法机关裁决解散等情形）；</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第十四条 </w:t>
      </w:r>
      <w:r>
        <w:rPr>
          <w:rFonts w:hint="eastAsia" w:ascii="仿宋_GB2312" w:hAnsi="仿宋_GB2312" w:eastAsia="仿宋_GB2312" w:cs="仿宋_GB2312"/>
          <w:b/>
          <w:sz w:val="24"/>
          <w:szCs w:val="24"/>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凡因本合同引起的或与本合同有关的任何争议，双方首先应友好协商解决。协商不成的，任何一方均有权将争议提交甲方所在地有管辖权的人民法院诉讼解决。</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第十五条 </w:t>
      </w:r>
      <w:r>
        <w:rPr>
          <w:rFonts w:hint="eastAsia" w:ascii="仿宋_GB2312" w:hAnsi="仿宋_GB2312" w:eastAsia="仿宋_GB2312" w:cs="仿宋_GB2312"/>
          <w:b/>
          <w:sz w:val="24"/>
          <w:szCs w:val="24"/>
        </w:rPr>
        <w:t>合同生效及其他</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本合同经甲乙双方法定代表人或授权代表签字并加盖公章后生效。</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本合同一式</w:t>
      </w:r>
      <w:r>
        <w:rPr>
          <w:rFonts w:hint="eastAsia" w:ascii="仿宋_GB2312" w:hAnsi="仿宋_GB2312" w:eastAsia="仿宋_GB2312" w:cs="仿宋_GB2312"/>
          <w:sz w:val="24"/>
          <w:szCs w:val="24"/>
          <w:lang w:val="en-US" w:eastAsia="zh-CN"/>
        </w:rPr>
        <w:t>两</w:t>
      </w:r>
      <w:r>
        <w:rPr>
          <w:rFonts w:hint="eastAsia" w:ascii="仿宋_GB2312" w:hAnsi="仿宋_GB2312" w:eastAsia="仿宋_GB2312" w:cs="仿宋_GB2312"/>
          <w:sz w:val="24"/>
          <w:szCs w:val="24"/>
        </w:rPr>
        <w:t>份，其中正本</w:t>
      </w:r>
      <w:r>
        <w:rPr>
          <w:rFonts w:hint="eastAsia" w:ascii="仿宋_GB2312" w:hAnsi="仿宋_GB2312" w:eastAsia="仿宋_GB2312" w:cs="仿宋_GB2312"/>
          <w:sz w:val="24"/>
          <w:szCs w:val="24"/>
          <w:lang w:val="en-US" w:eastAsia="zh-CN"/>
        </w:rPr>
        <w:t>两</w:t>
      </w:r>
      <w:r>
        <w:rPr>
          <w:rFonts w:hint="eastAsia" w:ascii="仿宋_GB2312" w:hAnsi="仿宋_GB2312" w:eastAsia="仿宋_GB2312" w:cs="仿宋_GB2312"/>
          <w:sz w:val="24"/>
          <w:szCs w:val="24"/>
        </w:rPr>
        <w:t>份，副本</w:t>
      </w:r>
      <w:r>
        <w:rPr>
          <w:rFonts w:hint="eastAsia" w:ascii="仿宋_GB2312" w:hAnsi="仿宋_GB2312" w:eastAsia="仿宋_GB2312" w:cs="仿宋_GB2312"/>
          <w:sz w:val="24"/>
          <w:szCs w:val="24"/>
          <w:lang w:val="en-US" w:eastAsia="zh-CN"/>
        </w:rPr>
        <w:t>零</w:t>
      </w:r>
      <w:r>
        <w:rPr>
          <w:rFonts w:hint="eastAsia" w:ascii="仿宋_GB2312" w:hAnsi="仿宋_GB2312" w:eastAsia="仿宋_GB2312" w:cs="仿宋_GB2312"/>
          <w:sz w:val="24"/>
          <w:szCs w:val="24"/>
        </w:rPr>
        <w:t>份。甲方执</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份正本，</w:t>
      </w:r>
      <w:r>
        <w:rPr>
          <w:rFonts w:hint="eastAsia" w:ascii="仿宋_GB2312" w:hAnsi="仿宋_GB2312" w:eastAsia="仿宋_GB2312" w:cs="仿宋_GB2312"/>
          <w:sz w:val="24"/>
          <w:szCs w:val="24"/>
          <w:lang w:val="en-US" w:eastAsia="zh-CN"/>
        </w:rPr>
        <w:t>零</w:t>
      </w:r>
      <w:r>
        <w:rPr>
          <w:rFonts w:hint="eastAsia" w:ascii="仿宋_GB2312" w:hAnsi="仿宋_GB2312" w:eastAsia="仿宋_GB2312" w:cs="仿宋_GB2312"/>
          <w:sz w:val="24"/>
          <w:szCs w:val="24"/>
        </w:rPr>
        <w:t>份副本；乙方执</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份正本，</w:t>
      </w:r>
      <w:r>
        <w:rPr>
          <w:rFonts w:hint="eastAsia" w:ascii="仿宋_GB2312" w:hAnsi="仿宋_GB2312" w:eastAsia="仿宋_GB2312" w:cs="仿宋_GB2312"/>
          <w:sz w:val="24"/>
          <w:szCs w:val="24"/>
          <w:lang w:val="en-US" w:eastAsia="zh-CN"/>
        </w:rPr>
        <w:t>零</w:t>
      </w:r>
      <w:r>
        <w:rPr>
          <w:rFonts w:hint="eastAsia" w:ascii="仿宋_GB2312" w:hAnsi="仿宋_GB2312" w:eastAsia="仿宋_GB2312" w:cs="仿宋_GB2312"/>
          <w:sz w:val="24"/>
          <w:szCs w:val="24"/>
        </w:rPr>
        <w:t>份副本。</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第十六条 </w:t>
      </w:r>
      <w:r>
        <w:rPr>
          <w:rFonts w:hint="eastAsia" w:ascii="仿宋_GB2312" w:hAnsi="仿宋_GB2312" w:eastAsia="仿宋_GB2312" w:cs="仿宋_GB2312"/>
          <w:b/>
          <w:sz w:val="24"/>
          <w:szCs w:val="24"/>
        </w:rPr>
        <w:t>合同效力</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pacing w:before="100" w:beforeAutospacing="1" w:after="100" w:afterAutospacing="1" w:line="400" w:lineRule="exact"/>
        <w:ind w:left="0" w:right="0" w:firstLine="525"/>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附件</w:t>
      </w:r>
    </w:p>
    <w:p>
      <w:pPr>
        <w:pageBreakBefore w:val="0"/>
        <w:kinsoku/>
        <w:wordWrap/>
        <w:overflowPunct/>
        <w:topLinePunct w:val="0"/>
        <w:autoSpaceDE/>
        <w:autoSpaceDN/>
        <w:bidi w:val="0"/>
        <w:adjustRightInd/>
        <w:spacing w:line="400" w:lineRule="exact"/>
        <w:jc w:val="center"/>
        <w:textAlignment w:val="auto"/>
        <w:rPr>
          <w:rFonts w:ascii="楷体" w:hAnsi="楷体" w:eastAsia="楷体"/>
          <w:b/>
          <w:sz w:val="24"/>
        </w:rPr>
      </w:pPr>
      <w:r>
        <w:rPr>
          <w:rFonts w:hint="eastAsia" w:ascii="楷体" w:hAnsi="楷体" w:eastAsia="楷体"/>
          <w:b/>
          <w:sz w:val="24"/>
        </w:rPr>
        <w:t>项目内容和要求</w:t>
      </w:r>
    </w:p>
    <w:p>
      <w:pPr>
        <w:pageBreakBefore w:val="0"/>
        <w:kinsoku/>
        <w:wordWrap/>
        <w:overflowPunct/>
        <w:topLinePunct w:val="0"/>
        <w:autoSpaceDE/>
        <w:autoSpaceDN/>
        <w:bidi w:val="0"/>
        <w:adjustRightInd/>
        <w:spacing w:line="400" w:lineRule="exact"/>
        <w:textAlignment w:val="auto"/>
        <w:rPr>
          <w:rFonts w:ascii="楷体" w:hAnsi="楷体" w:eastAsia="楷体"/>
          <w:b/>
          <w:sz w:val="24"/>
        </w:rPr>
      </w:pPr>
    </w:p>
    <w:p>
      <w:pPr>
        <w:pageBreakBefore w:val="0"/>
        <w:tabs>
          <w:tab w:val="left" w:pos="1080"/>
        </w:tabs>
        <w:kinsoku/>
        <w:wordWrap/>
        <w:overflowPunct/>
        <w:topLinePunct w:val="0"/>
        <w:autoSpaceDE/>
        <w:autoSpaceDN/>
        <w:bidi w:val="0"/>
        <w:adjustRightInd/>
        <w:snapToGrid w:val="0"/>
        <w:spacing w:line="400" w:lineRule="exact"/>
        <w:ind w:firstLine="480" w:firstLineChars="200"/>
        <w:textAlignment w:val="auto"/>
        <w:rPr>
          <w:rFonts w:ascii="楷体" w:hAnsi="楷体" w:eastAsia="楷体"/>
          <w:sz w:val="24"/>
        </w:rPr>
      </w:pPr>
      <w:r>
        <w:rPr>
          <w:rFonts w:hint="eastAsia" w:ascii="楷体" w:hAnsi="楷体" w:eastAsia="楷体"/>
          <w:sz w:val="24"/>
        </w:rPr>
        <w:t>1.名称、规格与数量、单价与总价</w:t>
      </w:r>
    </w:p>
    <w:tbl>
      <w:tblPr>
        <w:tblStyle w:val="29"/>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3"/>
        <w:gridCol w:w="1329"/>
        <w:gridCol w:w="1057"/>
        <w:gridCol w:w="515"/>
        <w:gridCol w:w="999"/>
        <w:gridCol w:w="665"/>
        <w:gridCol w:w="849"/>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3213" w:type="dxa"/>
            <w:noWrap w:val="0"/>
            <w:vAlign w:val="top"/>
          </w:tcPr>
          <w:p>
            <w:pPr>
              <w:pageBreakBefore w:val="0"/>
              <w:tabs>
                <w:tab w:val="left" w:pos="1080"/>
              </w:tabs>
              <w:kinsoku/>
              <w:wordWrap/>
              <w:overflowPunct/>
              <w:topLinePunct w:val="0"/>
              <w:autoSpaceDE/>
              <w:autoSpaceDN/>
              <w:bidi w:val="0"/>
              <w:adjustRightInd/>
              <w:spacing w:line="400" w:lineRule="exact"/>
              <w:ind w:firstLine="259" w:firstLineChars="108"/>
              <w:jc w:val="center"/>
              <w:textAlignment w:val="auto"/>
              <w:rPr>
                <w:rFonts w:ascii="楷体" w:hAnsi="楷体" w:eastAsia="楷体"/>
                <w:sz w:val="24"/>
              </w:rPr>
            </w:pPr>
            <w:r>
              <w:rPr>
                <w:rFonts w:hint="eastAsia" w:ascii="楷体" w:hAnsi="楷体" w:eastAsia="楷体"/>
                <w:sz w:val="24"/>
              </w:rPr>
              <w:t>宣传品名称</w:t>
            </w:r>
          </w:p>
        </w:tc>
        <w:tc>
          <w:tcPr>
            <w:tcW w:w="1329" w:type="dxa"/>
            <w:noWrap w:val="0"/>
            <w:vAlign w:val="top"/>
          </w:tcPr>
          <w:p>
            <w:pPr>
              <w:pageBreakBefore w:val="0"/>
              <w:tabs>
                <w:tab w:val="left" w:pos="1080"/>
              </w:tabs>
              <w:kinsoku/>
              <w:wordWrap/>
              <w:overflowPunct/>
              <w:topLinePunct w:val="0"/>
              <w:autoSpaceDE/>
              <w:autoSpaceDN/>
              <w:bidi w:val="0"/>
              <w:adjustRightInd/>
              <w:spacing w:line="400" w:lineRule="exact"/>
              <w:ind w:firstLine="120" w:firstLineChars="50"/>
              <w:jc w:val="center"/>
              <w:textAlignment w:val="auto"/>
              <w:rPr>
                <w:rFonts w:hint="eastAsia" w:ascii="楷体" w:hAnsi="楷体" w:eastAsia="楷体"/>
                <w:sz w:val="24"/>
              </w:rPr>
            </w:pPr>
            <w:r>
              <w:rPr>
                <w:rFonts w:hint="eastAsia" w:ascii="楷体" w:hAnsi="楷体" w:eastAsia="楷体"/>
                <w:sz w:val="24"/>
              </w:rPr>
              <w:t>数量</w:t>
            </w:r>
          </w:p>
          <w:p>
            <w:pPr>
              <w:pageBreakBefore w:val="0"/>
              <w:tabs>
                <w:tab w:val="left" w:pos="1080"/>
              </w:tabs>
              <w:kinsoku/>
              <w:wordWrap/>
              <w:overflowPunct/>
              <w:topLinePunct w:val="0"/>
              <w:autoSpaceDE/>
              <w:autoSpaceDN/>
              <w:bidi w:val="0"/>
              <w:adjustRightInd/>
              <w:spacing w:line="400" w:lineRule="exact"/>
              <w:ind w:firstLine="120" w:firstLineChars="50"/>
              <w:jc w:val="center"/>
              <w:textAlignment w:val="auto"/>
              <w:rPr>
                <w:rFonts w:hint="eastAsia" w:ascii="楷体" w:hAnsi="楷体" w:eastAsia="楷体"/>
                <w:sz w:val="24"/>
                <w:lang w:eastAsia="zh-CN"/>
              </w:rPr>
            </w:pPr>
            <w:r>
              <w:rPr>
                <w:rFonts w:hint="eastAsia" w:ascii="楷体" w:hAnsi="楷体" w:eastAsia="楷体"/>
                <w:sz w:val="24"/>
                <w:lang w:eastAsia="zh-CN"/>
              </w:rPr>
              <w:t>（</w:t>
            </w:r>
            <w:r>
              <w:rPr>
                <w:rFonts w:hint="eastAsia" w:ascii="楷体" w:hAnsi="楷体" w:eastAsia="楷体"/>
                <w:sz w:val="24"/>
                <w:lang w:val="en-US" w:eastAsia="zh-CN"/>
              </w:rPr>
              <w:t>副</w:t>
            </w:r>
            <w:r>
              <w:rPr>
                <w:rFonts w:hint="eastAsia" w:ascii="楷体" w:hAnsi="楷体" w:eastAsia="楷体"/>
                <w:sz w:val="24"/>
                <w:lang w:eastAsia="zh-CN"/>
              </w:rPr>
              <w:t>）</w:t>
            </w:r>
          </w:p>
        </w:tc>
        <w:tc>
          <w:tcPr>
            <w:tcW w:w="1057" w:type="dxa"/>
            <w:noWrap w:val="0"/>
            <w:vAlign w:val="top"/>
          </w:tcPr>
          <w:p>
            <w:pPr>
              <w:pageBreakBefore w:val="0"/>
              <w:tabs>
                <w:tab w:val="left" w:pos="1080"/>
              </w:tabs>
              <w:kinsoku/>
              <w:wordWrap/>
              <w:overflowPunct/>
              <w:topLinePunct w:val="0"/>
              <w:autoSpaceDE/>
              <w:autoSpaceDN/>
              <w:bidi w:val="0"/>
              <w:adjustRightInd/>
              <w:spacing w:line="400" w:lineRule="exact"/>
              <w:jc w:val="center"/>
              <w:textAlignment w:val="auto"/>
              <w:rPr>
                <w:rFonts w:hint="default" w:ascii="楷体" w:hAnsi="楷体" w:eastAsia="楷体"/>
                <w:sz w:val="24"/>
                <w:lang w:val="en-US" w:eastAsia="zh-CN"/>
              </w:rPr>
            </w:pPr>
            <w:r>
              <w:rPr>
                <w:rFonts w:hint="eastAsia" w:ascii="楷体" w:hAnsi="楷体" w:eastAsia="楷体"/>
                <w:sz w:val="24"/>
                <w:lang w:val="en-US" w:eastAsia="zh-CN"/>
              </w:rPr>
              <w:t>时长（月）</w:t>
            </w:r>
          </w:p>
        </w:tc>
        <w:tc>
          <w:tcPr>
            <w:tcW w:w="1514" w:type="dxa"/>
            <w:gridSpan w:val="2"/>
            <w:noWrap w:val="0"/>
            <w:vAlign w:val="top"/>
          </w:tcPr>
          <w:p>
            <w:pPr>
              <w:pageBreakBefore w:val="0"/>
              <w:tabs>
                <w:tab w:val="left" w:pos="1080"/>
              </w:tabs>
              <w:kinsoku/>
              <w:wordWrap/>
              <w:overflowPunct/>
              <w:topLinePunct w:val="0"/>
              <w:autoSpaceDE/>
              <w:autoSpaceDN/>
              <w:bidi w:val="0"/>
              <w:adjustRightInd/>
              <w:spacing w:line="400" w:lineRule="exact"/>
              <w:jc w:val="center"/>
              <w:textAlignment w:val="auto"/>
              <w:rPr>
                <w:rFonts w:hint="eastAsia" w:ascii="楷体" w:hAnsi="楷体" w:eastAsia="楷体"/>
                <w:sz w:val="24"/>
              </w:rPr>
            </w:pPr>
            <w:r>
              <w:rPr>
                <w:rFonts w:hint="eastAsia" w:ascii="楷体" w:hAnsi="楷体" w:eastAsia="楷体"/>
                <w:sz w:val="24"/>
              </w:rPr>
              <w:t>单价</w:t>
            </w:r>
            <w:r>
              <w:rPr>
                <w:rFonts w:hint="eastAsia" w:ascii="楷体" w:hAnsi="楷体" w:eastAsia="楷体"/>
                <w:sz w:val="24"/>
                <w:lang w:eastAsia="zh-CN"/>
              </w:rPr>
              <w:t>（</w:t>
            </w:r>
            <w:r>
              <w:rPr>
                <w:rFonts w:hint="eastAsia" w:ascii="楷体" w:hAnsi="楷体" w:eastAsia="楷体"/>
                <w:sz w:val="24"/>
                <w:lang w:val="en-US" w:eastAsia="zh-CN"/>
              </w:rPr>
              <w:t>元</w:t>
            </w:r>
            <w:r>
              <w:rPr>
                <w:rFonts w:hint="eastAsia" w:ascii="楷体" w:hAnsi="楷体" w:eastAsia="楷体"/>
                <w:sz w:val="24"/>
                <w:lang w:eastAsia="zh-CN"/>
              </w:rPr>
              <w:t>）</w:t>
            </w:r>
          </w:p>
        </w:tc>
        <w:tc>
          <w:tcPr>
            <w:tcW w:w="1514" w:type="dxa"/>
            <w:gridSpan w:val="2"/>
            <w:noWrap w:val="0"/>
            <w:vAlign w:val="top"/>
          </w:tcPr>
          <w:p>
            <w:pPr>
              <w:pageBreakBefore w:val="0"/>
              <w:tabs>
                <w:tab w:val="left" w:pos="1080"/>
              </w:tabs>
              <w:kinsoku/>
              <w:wordWrap/>
              <w:overflowPunct/>
              <w:topLinePunct w:val="0"/>
              <w:autoSpaceDE/>
              <w:autoSpaceDN/>
              <w:bidi w:val="0"/>
              <w:adjustRightInd/>
              <w:spacing w:line="400" w:lineRule="exact"/>
              <w:ind w:firstLine="120" w:firstLineChars="50"/>
              <w:jc w:val="center"/>
              <w:textAlignment w:val="auto"/>
              <w:rPr>
                <w:rFonts w:ascii="楷体" w:hAnsi="楷体" w:eastAsia="楷体"/>
                <w:sz w:val="24"/>
              </w:rPr>
            </w:pPr>
            <w:r>
              <w:rPr>
                <w:rFonts w:hint="eastAsia" w:ascii="楷体" w:hAnsi="楷体" w:eastAsia="楷体"/>
                <w:sz w:val="24"/>
              </w:rPr>
              <w:t>金额（元）</w:t>
            </w:r>
          </w:p>
        </w:tc>
        <w:tc>
          <w:tcPr>
            <w:tcW w:w="926" w:type="dxa"/>
            <w:noWrap w:val="0"/>
            <w:vAlign w:val="top"/>
          </w:tcPr>
          <w:p>
            <w:pPr>
              <w:pageBreakBefore w:val="0"/>
              <w:tabs>
                <w:tab w:val="left" w:pos="1080"/>
              </w:tabs>
              <w:kinsoku/>
              <w:wordWrap/>
              <w:overflowPunct/>
              <w:topLinePunct w:val="0"/>
              <w:autoSpaceDE/>
              <w:autoSpaceDN/>
              <w:bidi w:val="0"/>
              <w:adjustRightInd/>
              <w:spacing w:line="400" w:lineRule="exact"/>
              <w:jc w:val="center"/>
              <w:textAlignment w:val="auto"/>
              <w:rPr>
                <w:rFonts w:ascii="楷体" w:hAnsi="楷体" w:eastAsia="楷体"/>
                <w:sz w:val="24"/>
              </w:rPr>
            </w:pPr>
            <w:r>
              <w:rPr>
                <w:rFonts w:hint="eastAsia" w:ascii="楷体" w:hAnsi="楷体" w:eastAsia="楷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3213" w:type="dxa"/>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default" w:ascii="楷体" w:hAnsi="楷体" w:eastAsia="楷体"/>
                <w:sz w:val="24"/>
                <w:lang w:val="en-US" w:eastAsia="zh-CN"/>
              </w:rPr>
            </w:pPr>
            <w:r>
              <w:rPr>
                <w:rFonts w:hint="eastAsia" w:ascii="楷体" w:hAnsi="楷体" w:eastAsia="楷体"/>
                <w:sz w:val="24"/>
                <w:lang w:val="en-US" w:eastAsia="zh-CN"/>
              </w:rPr>
              <w:t>电梯轿厢宣传</w:t>
            </w:r>
          </w:p>
        </w:tc>
        <w:tc>
          <w:tcPr>
            <w:tcW w:w="1329" w:type="dxa"/>
            <w:noWrap w:val="0"/>
            <w:vAlign w:val="center"/>
          </w:tcPr>
          <w:p>
            <w:pPr>
              <w:pageBreakBefore w:val="0"/>
              <w:tabs>
                <w:tab w:val="left" w:pos="1080"/>
              </w:tabs>
              <w:kinsoku/>
              <w:wordWrap/>
              <w:overflowPunct/>
              <w:topLinePunct w:val="0"/>
              <w:autoSpaceDE/>
              <w:autoSpaceDN/>
              <w:bidi w:val="0"/>
              <w:adjustRightInd/>
              <w:spacing w:line="400" w:lineRule="exact"/>
              <w:ind w:firstLine="360" w:firstLineChars="150"/>
              <w:textAlignment w:val="auto"/>
              <w:rPr>
                <w:rFonts w:hint="default" w:ascii="楷体" w:hAnsi="楷体" w:eastAsia="楷体"/>
                <w:sz w:val="24"/>
                <w:lang w:val="en-US" w:eastAsia="zh-CN"/>
              </w:rPr>
            </w:pPr>
            <w:r>
              <w:rPr>
                <w:rFonts w:hint="eastAsia" w:ascii="楷体" w:hAnsi="楷体" w:eastAsia="楷体"/>
                <w:sz w:val="24"/>
                <w:lang w:val="en-US" w:eastAsia="zh-CN"/>
              </w:rPr>
              <w:t>159</w:t>
            </w:r>
          </w:p>
        </w:tc>
        <w:tc>
          <w:tcPr>
            <w:tcW w:w="1057" w:type="dxa"/>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default" w:ascii="楷体" w:hAnsi="楷体" w:eastAsia="楷体"/>
                <w:sz w:val="24"/>
                <w:lang w:val="en-US" w:eastAsia="zh-CN"/>
              </w:rPr>
            </w:pPr>
            <w:r>
              <w:rPr>
                <w:rFonts w:hint="eastAsia" w:ascii="楷体" w:hAnsi="楷体" w:eastAsia="楷体"/>
                <w:sz w:val="24"/>
                <w:lang w:val="en-US" w:eastAsia="zh-CN"/>
              </w:rPr>
              <w:t>6</w:t>
            </w:r>
          </w:p>
        </w:tc>
        <w:tc>
          <w:tcPr>
            <w:tcW w:w="1514" w:type="dxa"/>
            <w:gridSpan w:val="2"/>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eastAsia" w:ascii="楷体" w:hAnsi="楷体" w:eastAsia="楷体"/>
                <w:sz w:val="24"/>
                <w:lang w:val="en-US" w:eastAsia="zh-CN"/>
              </w:rPr>
            </w:pPr>
          </w:p>
        </w:tc>
        <w:tc>
          <w:tcPr>
            <w:tcW w:w="1514" w:type="dxa"/>
            <w:gridSpan w:val="2"/>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default" w:ascii="楷体" w:hAnsi="楷体" w:eastAsia="楷体"/>
                <w:sz w:val="24"/>
                <w:lang w:val="en-US" w:eastAsia="zh-CN"/>
              </w:rPr>
            </w:pPr>
          </w:p>
        </w:tc>
        <w:tc>
          <w:tcPr>
            <w:tcW w:w="926" w:type="dxa"/>
            <w:noWrap w:val="0"/>
            <w:vAlign w:val="center"/>
          </w:tcPr>
          <w:p>
            <w:pPr>
              <w:pageBreakBefore w:val="0"/>
              <w:tabs>
                <w:tab w:val="left" w:pos="1080"/>
              </w:tabs>
              <w:kinsoku/>
              <w:wordWrap/>
              <w:overflowPunct/>
              <w:topLinePunct w:val="0"/>
              <w:autoSpaceDE/>
              <w:autoSpaceDN/>
              <w:bidi w:val="0"/>
              <w:adjustRightInd/>
              <w:spacing w:line="400" w:lineRule="exact"/>
              <w:ind w:firstLine="480" w:firstLineChars="200"/>
              <w:textAlignment w:val="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3213" w:type="dxa"/>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eastAsia" w:ascii="楷体" w:hAnsi="楷体" w:eastAsia="楷体"/>
                <w:sz w:val="24"/>
                <w:lang w:val="en-US" w:eastAsia="zh-CN"/>
              </w:rPr>
            </w:pPr>
            <w:r>
              <w:rPr>
                <w:rFonts w:hint="eastAsia" w:ascii="楷体" w:hAnsi="楷体" w:eastAsia="楷体"/>
                <w:sz w:val="24"/>
                <w:lang w:val="en-US" w:eastAsia="zh-CN"/>
              </w:rPr>
              <w:t>电梯轿厢宣传</w:t>
            </w:r>
          </w:p>
        </w:tc>
        <w:tc>
          <w:tcPr>
            <w:tcW w:w="1329" w:type="dxa"/>
            <w:noWrap w:val="0"/>
            <w:vAlign w:val="center"/>
          </w:tcPr>
          <w:p>
            <w:pPr>
              <w:pageBreakBefore w:val="0"/>
              <w:tabs>
                <w:tab w:val="left" w:pos="1080"/>
              </w:tabs>
              <w:kinsoku/>
              <w:wordWrap/>
              <w:overflowPunct/>
              <w:topLinePunct w:val="0"/>
              <w:autoSpaceDE/>
              <w:autoSpaceDN/>
              <w:bidi w:val="0"/>
              <w:adjustRightInd/>
              <w:spacing w:line="400" w:lineRule="exact"/>
              <w:ind w:firstLine="360" w:firstLineChars="150"/>
              <w:textAlignment w:val="auto"/>
              <w:rPr>
                <w:rFonts w:hint="default" w:ascii="楷体" w:hAnsi="楷体" w:eastAsia="楷体"/>
                <w:sz w:val="24"/>
                <w:lang w:val="en-US" w:eastAsia="zh-CN"/>
              </w:rPr>
            </w:pPr>
            <w:r>
              <w:rPr>
                <w:rFonts w:hint="eastAsia" w:ascii="楷体" w:hAnsi="楷体" w:eastAsia="楷体"/>
                <w:sz w:val="24"/>
                <w:lang w:val="en-US" w:eastAsia="zh-CN"/>
              </w:rPr>
              <w:t>200</w:t>
            </w:r>
          </w:p>
        </w:tc>
        <w:tc>
          <w:tcPr>
            <w:tcW w:w="1057" w:type="dxa"/>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default" w:ascii="楷体" w:hAnsi="楷体" w:eastAsia="楷体"/>
                <w:sz w:val="24"/>
                <w:lang w:val="en-US" w:eastAsia="zh-CN"/>
              </w:rPr>
            </w:pPr>
            <w:r>
              <w:rPr>
                <w:rFonts w:hint="eastAsia" w:ascii="楷体" w:hAnsi="楷体" w:eastAsia="楷体"/>
                <w:sz w:val="24"/>
                <w:lang w:val="en-US" w:eastAsia="zh-CN"/>
              </w:rPr>
              <w:t>8</w:t>
            </w:r>
          </w:p>
        </w:tc>
        <w:tc>
          <w:tcPr>
            <w:tcW w:w="1514" w:type="dxa"/>
            <w:gridSpan w:val="2"/>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eastAsia" w:ascii="楷体" w:hAnsi="楷体" w:eastAsia="楷体"/>
                <w:sz w:val="24"/>
                <w:lang w:val="en-US" w:eastAsia="zh-CN"/>
              </w:rPr>
            </w:pPr>
          </w:p>
        </w:tc>
        <w:tc>
          <w:tcPr>
            <w:tcW w:w="1514" w:type="dxa"/>
            <w:gridSpan w:val="2"/>
            <w:noWrap w:val="0"/>
            <w:vAlign w:val="center"/>
          </w:tcPr>
          <w:p>
            <w:pPr>
              <w:pageBreakBefore w:val="0"/>
              <w:tabs>
                <w:tab w:val="left" w:pos="1080"/>
              </w:tabs>
              <w:kinsoku/>
              <w:wordWrap/>
              <w:overflowPunct/>
              <w:topLinePunct w:val="0"/>
              <w:autoSpaceDE/>
              <w:autoSpaceDN/>
              <w:bidi w:val="0"/>
              <w:adjustRightInd/>
              <w:spacing w:line="400" w:lineRule="exact"/>
              <w:textAlignment w:val="auto"/>
              <w:rPr>
                <w:rFonts w:hint="default" w:ascii="楷体" w:hAnsi="楷体" w:eastAsia="楷体"/>
                <w:sz w:val="24"/>
                <w:lang w:val="en-US" w:eastAsia="zh-CN"/>
              </w:rPr>
            </w:pPr>
          </w:p>
        </w:tc>
        <w:tc>
          <w:tcPr>
            <w:tcW w:w="926" w:type="dxa"/>
            <w:noWrap w:val="0"/>
            <w:vAlign w:val="center"/>
          </w:tcPr>
          <w:p>
            <w:pPr>
              <w:pageBreakBefore w:val="0"/>
              <w:tabs>
                <w:tab w:val="left" w:pos="1080"/>
              </w:tabs>
              <w:kinsoku/>
              <w:wordWrap/>
              <w:overflowPunct/>
              <w:topLinePunct w:val="0"/>
              <w:autoSpaceDE/>
              <w:autoSpaceDN/>
              <w:bidi w:val="0"/>
              <w:adjustRightInd/>
              <w:spacing w:line="400" w:lineRule="exact"/>
              <w:ind w:firstLine="480" w:firstLineChars="200"/>
              <w:textAlignment w:val="auto"/>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13" w:type="dxa"/>
            <w:noWrap w:val="0"/>
            <w:vAlign w:val="top"/>
          </w:tcPr>
          <w:p>
            <w:pPr>
              <w:pageBreakBefore w:val="0"/>
              <w:tabs>
                <w:tab w:val="left" w:pos="1080"/>
              </w:tabs>
              <w:kinsoku/>
              <w:wordWrap/>
              <w:overflowPunct/>
              <w:topLinePunct w:val="0"/>
              <w:autoSpaceDE/>
              <w:autoSpaceDN/>
              <w:bidi w:val="0"/>
              <w:adjustRightInd/>
              <w:spacing w:line="400" w:lineRule="exact"/>
              <w:textAlignment w:val="auto"/>
              <w:rPr>
                <w:rFonts w:ascii="楷体" w:hAnsi="楷体" w:eastAsia="楷体"/>
                <w:sz w:val="24"/>
              </w:rPr>
            </w:pPr>
            <w:r>
              <w:rPr>
                <w:rFonts w:hint="eastAsia" w:ascii="楷体" w:hAnsi="楷体" w:eastAsia="楷体"/>
                <w:sz w:val="24"/>
              </w:rPr>
              <w:t>合同价格总计</w:t>
            </w:r>
          </w:p>
        </w:tc>
        <w:tc>
          <w:tcPr>
            <w:tcW w:w="1329" w:type="dxa"/>
            <w:noWrap w:val="0"/>
            <w:vAlign w:val="top"/>
          </w:tcPr>
          <w:p>
            <w:pPr>
              <w:pageBreakBefore w:val="0"/>
              <w:tabs>
                <w:tab w:val="left" w:pos="1080"/>
              </w:tabs>
              <w:kinsoku/>
              <w:wordWrap/>
              <w:overflowPunct/>
              <w:topLinePunct w:val="0"/>
              <w:autoSpaceDE/>
              <w:autoSpaceDN/>
              <w:bidi w:val="0"/>
              <w:adjustRightInd/>
              <w:spacing w:line="400" w:lineRule="exact"/>
              <w:textAlignment w:val="auto"/>
              <w:rPr>
                <w:rFonts w:hint="eastAsia" w:ascii="楷体" w:hAnsi="楷体" w:eastAsia="楷体"/>
                <w:sz w:val="24"/>
              </w:rPr>
            </w:pPr>
          </w:p>
        </w:tc>
        <w:tc>
          <w:tcPr>
            <w:tcW w:w="1572" w:type="dxa"/>
            <w:gridSpan w:val="2"/>
            <w:noWrap w:val="0"/>
            <w:vAlign w:val="top"/>
          </w:tcPr>
          <w:p>
            <w:pPr>
              <w:pageBreakBefore w:val="0"/>
              <w:tabs>
                <w:tab w:val="left" w:pos="1080"/>
              </w:tabs>
              <w:kinsoku/>
              <w:wordWrap/>
              <w:overflowPunct/>
              <w:topLinePunct w:val="0"/>
              <w:autoSpaceDE/>
              <w:autoSpaceDN/>
              <w:bidi w:val="0"/>
              <w:adjustRightInd/>
              <w:spacing w:line="400" w:lineRule="exact"/>
              <w:textAlignment w:val="auto"/>
              <w:rPr>
                <w:rFonts w:hint="default" w:ascii="楷体" w:hAnsi="楷体" w:eastAsia="楷体"/>
                <w:sz w:val="24"/>
                <w:lang w:val="en-US"/>
              </w:rPr>
            </w:pPr>
            <w:r>
              <w:rPr>
                <w:rFonts w:hint="eastAsia" w:ascii="楷体" w:hAnsi="楷体" w:eastAsia="楷体"/>
                <w:sz w:val="24"/>
              </w:rPr>
              <w:t>大</w:t>
            </w:r>
            <w:r>
              <w:rPr>
                <w:rFonts w:hint="eastAsia" w:ascii="楷体" w:hAnsi="楷体" w:eastAsia="楷体"/>
                <w:sz w:val="24"/>
                <w:lang w:val="en-US" w:eastAsia="zh-CN"/>
              </w:rPr>
              <w:t>写：</w:t>
            </w:r>
          </w:p>
        </w:tc>
        <w:tc>
          <w:tcPr>
            <w:tcW w:w="1664" w:type="dxa"/>
            <w:gridSpan w:val="2"/>
            <w:noWrap w:val="0"/>
            <w:vAlign w:val="top"/>
          </w:tcPr>
          <w:p>
            <w:pPr>
              <w:pageBreakBefore w:val="0"/>
              <w:tabs>
                <w:tab w:val="left" w:pos="1080"/>
              </w:tabs>
              <w:kinsoku/>
              <w:wordWrap/>
              <w:overflowPunct/>
              <w:topLinePunct w:val="0"/>
              <w:autoSpaceDE/>
              <w:autoSpaceDN/>
              <w:bidi w:val="0"/>
              <w:adjustRightInd/>
              <w:spacing w:line="400" w:lineRule="exact"/>
              <w:textAlignment w:val="auto"/>
              <w:rPr>
                <w:rFonts w:ascii="楷体" w:hAnsi="楷体" w:eastAsia="楷体"/>
                <w:sz w:val="24"/>
              </w:rPr>
            </w:pPr>
            <w:r>
              <w:rPr>
                <w:rFonts w:hint="eastAsia" w:ascii="楷体" w:hAnsi="楷体" w:eastAsia="楷体"/>
                <w:sz w:val="24"/>
              </w:rPr>
              <w:t>小写：</w:t>
            </w:r>
          </w:p>
        </w:tc>
        <w:tc>
          <w:tcPr>
            <w:tcW w:w="1775" w:type="dxa"/>
            <w:gridSpan w:val="2"/>
            <w:noWrap w:val="0"/>
            <w:vAlign w:val="top"/>
          </w:tcPr>
          <w:p>
            <w:pPr>
              <w:pageBreakBefore w:val="0"/>
              <w:tabs>
                <w:tab w:val="left" w:pos="1080"/>
              </w:tabs>
              <w:kinsoku/>
              <w:wordWrap/>
              <w:overflowPunct/>
              <w:topLinePunct w:val="0"/>
              <w:autoSpaceDE/>
              <w:autoSpaceDN/>
              <w:bidi w:val="0"/>
              <w:adjustRightInd/>
              <w:spacing w:line="400" w:lineRule="exact"/>
              <w:textAlignment w:val="auto"/>
              <w:rPr>
                <w:rFonts w:hint="eastAsia" w:ascii="楷体" w:hAnsi="楷体" w:eastAsia="楷体"/>
                <w:sz w:val="24"/>
              </w:rPr>
            </w:pPr>
          </w:p>
        </w:tc>
      </w:tr>
    </w:tbl>
    <w:p>
      <w:pPr>
        <w:pageBreakBefore w:val="0"/>
        <w:kinsoku/>
        <w:wordWrap/>
        <w:overflowPunct/>
        <w:topLinePunct w:val="0"/>
        <w:autoSpaceDE/>
        <w:autoSpaceDN/>
        <w:bidi w:val="0"/>
        <w:adjustRightInd/>
        <w:spacing w:line="400" w:lineRule="exact"/>
        <w:ind w:left="2280" w:leftChars="200" w:hanging="1800" w:hangingChars="750"/>
        <w:textAlignment w:val="auto"/>
        <w:rPr>
          <w:rFonts w:ascii="楷体" w:hAnsi="楷体" w:eastAsia="楷体"/>
          <w:sz w:val="24"/>
        </w:rPr>
      </w:pPr>
      <w:r>
        <w:rPr>
          <w:rFonts w:hint="eastAsia" w:ascii="楷体" w:hAnsi="楷体" w:eastAsia="楷体"/>
          <w:sz w:val="24"/>
        </w:rPr>
        <w:t>2. 包装规格、要求：</w:t>
      </w:r>
      <w:r>
        <w:rPr>
          <w:rFonts w:hint="eastAsia" w:ascii="楷体" w:hAnsi="楷体" w:eastAsia="楷体"/>
          <w:sz w:val="24"/>
          <w:lang w:val="en-US" w:eastAsia="zh-CN"/>
        </w:rPr>
        <w:t>印刷品符合国家质量要求</w:t>
      </w:r>
      <w:r>
        <w:rPr>
          <w:rFonts w:hint="eastAsia" w:ascii="楷体" w:hAnsi="楷体" w:eastAsia="楷体"/>
          <w:sz w:val="24"/>
        </w:rPr>
        <w:t xml:space="preserve">                                                                  　　　　　　　　　　　　　　　　　　　　　　　　　　　　　　　 </w:t>
      </w:r>
    </w:p>
    <w:p>
      <w:pPr>
        <w:pageBreakBefore w:val="0"/>
        <w:kinsoku/>
        <w:wordWrap/>
        <w:overflowPunct/>
        <w:topLinePunct w:val="0"/>
        <w:autoSpaceDE/>
        <w:autoSpaceDN/>
        <w:bidi w:val="0"/>
        <w:adjustRightInd/>
        <w:spacing w:line="400" w:lineRule="exact"/>
        <w:ind w:left="2280" w:leftChars="200" w:hanging="1800" w:hangingChars="750"/>
        <w:textAlignment w:val="auto"/>
        <w:rPr>
          <w:rFonts w:ascii="楷体" w:hAnsi="楷体" w:eastAsia="楷体"/>
          <w:sz w:val="24"/>
        </w:rPr>
      </w:pPr>
      <w:r>
        <w:rPr>
          <w:rFonts w:hint="eastAsia" w:ascii="楷体" w:hAnsi="楷体" w:eastAsia="楷体"/>
          <w:sz w:val="24"/>
        </w:rPr>
        <w:t>3．交货时间：</w:t>
      </w:r>
      <w:r>
        <w:rPr>
          <w:rFonts w:hint="eastAsia" w:ascii="楷体" w:hAnsi="楷体" w:eastAsia="楷体"/>
          <w:sz w:val="24"/>
          <w:u w:val="single"/>
          <w:lang w:val="en-US" w:eastAsia="zh-CN"/>
        </w:rPr>
        <w:t>签订合同七个工作日内</w:t>
      </w:r>
      <w:r>
        <w:rPr>
          <w:rFonts w:hint="eastAsia" w:ascii="楷体" w:hAnsi="楷体" w:eastAsia="楷体"/>
          <w:sz w:val="24"/>
          <w:u w:val="single"/>
        </w:rPr>
        <w:t>　　</w:t>
      </w:r>
      <w:r>
        <w:rPr>
          <w:rFonts w:hint="eastAsia" w:ascii="楷体" w:hAnsi="楷体" w:eastAsia="楷体"/>
          <w:sz w:val="24"/>
        </w:rPr>
        <w:t>　　　　　　　　　　　　　　　</w:t>
      </w:r>
    </w:p>
    <w:p>
      <w:pPr>
        <w:pageBreakBefore w:val="0"/>
        <w:kinsoku/>
        <w:wordWrap/>
        <w:overflowPunct/>
        <w:topLinePunct w:val="0"/>
        <w:autoSpaceDE/>
        <w:autoSpaceDN/>
        <w:bidi w:val="0"/>
        <w:adjustRightInd/>
        <w:spacing w:line="400" w:lineRule="exact"/>
        <w:ind w:left="2280" w:leftChars="200" w:hanging="1800" w:hangingChars="750"/>
        <w:textAlignment w:val="auto"/>
        <w:rPr>
          <w:rFonts w:hint="default" w:ascii="楷体" w:hAnsi="楷体" w:eastAsia="楷体"/>
          <w:sz w:val="24"/>
          <w:lang w:val="en-US" w:eastAsia="zh-CN"/>
        </w:rPr>
      </w:pPr>
      <w:r>
        <w:rPr>
          <w:rFonts w:hint="eastAsia" w:ascii="楷体" w:hAnsi="楷体" w:eastAsia="楷体"/>
          <w:sz w:val="24"/>
        </w:rPr>
        <w:t>4. 交货地点：</w:t>
      </w:r>
      <w:r>
        <w:rPr>
          <w:rFonts w:hint="eastAsia" w:ascii="楷体" w:hAnsi="楷体" w:eastAsia="楷体"/>
          <w:sz w:val="24"/>
          <w:lang w:eastAsia="zh-CN"/>
        </w:rPr>
        <w:t>开江</w:t>
      </w:r>
      <w:r>
        <w:rPr>
          <w:rFonts w:hint="eastAsia" w:ascii="楷体" w:hAnsi="楷体" w:eastAsia="楷体"/>
          <w:sz w:val="24"/>
          <w:lang w:val="en-US" w:eastAsia="zh-CN"/>
        </w:rPr>
        <w:t>县新安路10号人保财险开江支公司；渠县渠江镇营渠路2-1号人保财险渠县支公司</w:t>
      </w:r>
    </w:p>
    <w:p>
      <w:pPr>
        <w:pageBreakBefore w:val="0"/>
        <w:kinsoku/>
        <w:wordWrap/>
        <w:overflowPunct/>
        <w:topLinePunct w:val="0"/>
        <w:autoSpaceDE/>
        <w:autoSpaceDN/>
        <w:bidi w:val="0"/>
        <w:adjustRightInd/>
        <w:spacing w:line="400" w:lineRule="exact"/>
        <w:ind w:left="2280" w:leftChars="200" w:hanging="1800" w:hangingChars="750"/>
        <w:textAlignment w:val="auto"/>
        <w:rPr>
          <w:rFonts w:ascii="楷体" w:hAnsi="楷体" w:eastAsia="楷体"/>
          <w:sz w:val="24"/>
        </w:rPr>
      </w:pPr>
      <w:r>
        <w:rPr>
          <w:rFonts w:hint="eastAsia" w:ascii="楷体" w:hAnsi="楷体" w:eastAsia="楷体"/>
          <w:sz w:val="24"/>
        </w:rPr>
        <w:t xml:space="preserve">5. 交货方式：免费送货                                               </w:t>
      </w:r>
    </w:p>
    <w:p>
      <w:pPr>
        <w:pageBreakBefore w:val="0"/>
        <w:kinsoku/>
        <w:wordWrap/>
        <w:overflowPunct/>
        <w:topLinePunct w:val="0"/>
        <w:autoSpaceDE/>
        <w:autoSpaceDN/>
        <w:bidi w:val="0"/>
        <w:adjustRightInd/>
        <w:spacing w:line="400" w:lineRule="exact"/>
        <w:textAlignment w:val="auto"/>
        <w:rPr>
          <w:rFonts w:ascii="楷体" w:hAnsi="楷体" w:eastAsia="楷体"/>
          <w:b/>
          <w:sz w:val="24"/>
        </w:rPr>
      </w:pPr>
    </w:p>
    <w:p>
      <w:pPr>
        <w:pageBreakBefore w:val="0"/>
        <w:kinsoku/>
        <w:wordWrap/>
        <w:overflowPunct/>
        <w:topLinePunct w:val="0"/>
        <w:autoSpaceDE/>
        <w:autoSpaceDN/>
        <w:bidi w:val="0"/>
        <w:adjustRightInd/>
        <w:spacing w:line="400" w:lineRule="exact"/>
        <w:jc w:val="center"/>
        <w:textAlignment w:val="auto"/>
        <w:rPr>
          <w:rFonts w:ascii="楷体" w:hAnsi="楷体" w:eastAsia="楷体"/>
          <w:b/>
          <w:sz w:val="24"/>
        </w:rPr>
      </w:pPr>
      <w:r>
        <w:rPr>
          <w:rFonts w:hint="eastAsia" w:ascii="楷体" w:hAnsi="楷体" w:eastAsia="楷体"/>
          <w:b/>
          <w:sz w:val="24"/>
        </w:rPr>
        <w:t>付款</w:t>
      </w:r>
    </w:p>
    <w:p>
      <w:pPr>
        <w:pageBreakBefore w:val="0"/>
        <w:kinsoku/>
        <w:wordWrap/>
        <w:overflowPunct/>
        <w:topLinePunct w:val="0"/>
        <w:autoSpaceDE/>
        <w:autoSpaceDN/>
        <w:bidi w:val="0"/>
        <w:adjustRightInd/>
        <w:spacing w:line="400" w:lineRule="exact"/>
        <w:textAlignment w:val="auto"/>
        <w:rPr>
          <w:rFonts w:ascii="楷体" w:hAnsi="楷体" w:eastAsia="楷体"/>
          <w:b/>
          <w:sz w:val="24"/>
        </w:rPr>
      </w:pPr>
    </w:p>
    <w:p>
      <w:pPr>
        <w:pageBreakBefore w:val="0"/>
        <w:kinsoku/>
        <w:wordWrap/>
        <w:overflowPunct/>
        <w:topLinePunct w:val="0"/>
        <w:autoSpaceDE/>
        <w:autoSpaceDN/>
        <w:bidi w:val="0"/>
        <w:adjustRightInd/>
        <w:spacing w:line="400" w:lineRule="exact"/>
        <w:ind w:left="2220" w:hanging="1800"/>
        <w:textAlignment w:val="auto"/>
        <w:rPr>
          <w:rFonts w:ascii="楷体" w:hAnsi="楷体" w:eastAsia="楷体"/>
          <w:sz w:val="24"/>
        </w:rPr>
      </w:pPr>
      <w:r>
        <w:rPr>
          <w:rFonts w:hint="eastAsia" w:ascii="楷体" w:hAnsi="楷体" w:eastAsia="楷体"/>
          <w:sz w:val="24"/>
        </w:rPr>
        <w:t>1. 本合同使用货币种类为人民币。</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ascii="楷体" w:hAnsi="楷体" w:eastAsia="楷体"/>
          <w:sz w:val="24"/>
        </w:rPr>
      </w:pPr>
      <w:r>
        <w:rPr>
          <w:rFonts w:hint="eastAsia" w:ascii="楷体" w:hAnsi="楷体" w:eastAsia="楷体"/>
          <w:sz w:val="24"/>
        </w:rPr>
        <w:t>2. 付款方式：转账。</w:t>
      </w:r>
      <w:r>
        <w:rPr>
          <w:rFonts w:ascii="楷体" w:hAnsi="楷体" w:eastAsia="楷体"/>
          <w:sz w:val="24"/>
        </w:rPr>
        <w:t>双方采用转账方式付款</w:t>
      </w:r>
      <w:r>
        <w:rPr>
          <w:rFonts w:hint="eastAsia" w:ascii="楷体" w:hAnsi="楷体" w:eastAsia="楷体"/>
          <w:sz w:val="24"/>
        </w:rPr>
        <w:t>的，甲方应向乙方以下账户进行付费：</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hint="eastAsia" w:ascii="楷体" w:hAnsi="楷体" w:eastAsia="楷体"/>
          <w:sz w:val="24"/>
        </w:rPr>
      </w:pPr>
      <w:r>
        <w:rPr>
          <w:rFonts w:hint="eastAsia" w:ascii="楷体" w:hAnsi="楷体" w:eastAsia="楷体"/>
          <w:sz w:val="24"/>
        </w:rPr>
        <w:t>乙方：</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hint="eastAsia" w:ascii="楷体" w:hAnsi="楷体" w:eastAsia="楷体"/>
          <w:sz w:val="24"/>
          <w:lang w:val="en-US" w:eastAsia="zh-CN"/>
        </w:rPr>
      </w:pPr>
      <w:r>
        <w:rPr>
          <w:rFonts w:hint="eastAsia" w:ascii="楷体" w:hAnsi="楷体" w:eastAsia="楷体"/>
          <w:sz w:val="24"/>
        </w:rPr>
        <w:t>开户行：</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hint="default" w:ascii="楷体" w:hAnsi="楷体" w:eastAsia="楷体"/>
          <w:sz w:val="24"/>
          <w:u w:val="single"/>
          <w:lang w:val="en-US" w:eastAsia="zh-CN"/>
        </w:rPr>
      </w:pPr>
      <w:r>
        <w:rPr>
          <w:rFonts w:hint="eastAsia" w:ascii="楷体" w:hAnsi="楷体" w:eastAsia="楷体"/>
          <w:sz w:val="24"/>
        </w:rPr>
        <w:t>账号：</w:t>
      </w:r>
    </w:p>
    <w:p>
      <w:pPr>
        <w:pageBreakBefore w:val="0"/>
        <w:widowControl/>
        <w:kinsoku/>
        <w:wordWrap/>
        <w:overflowPunct/>
        <w:topLinePunct w:val="0"/>
        <w:autoSpaceDE/>
        <w:autoSpaceDN/>
        <w:bidi w:val="0"/>
        <w:adjustRightInd/>
        <w:spacing w:line="400" w:lineRule="exact"/>
        <w:ind w:firstLine="480" w:firstLineChars="200"/>
        <w:jc w:val="left"/>
        <w:textAlignment w:val="auto"/>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pageBreakBefore w:val="0"/>
        <w:kinsoku/>
        <w:wordWrap/>
        <w:overflowPunct/>
        <w:topLinePunct w:val="0"/>
        <w:autoSpaceDE/>
        <w:autoSpaceDN/>
        <w:bidi w:val="0"/>
        <w:adjustRightInd/>
        <w:spacing w:line="400" w:lineRule="exact"/>
        <w:ind w:left="2220" w:hanging="1800"/>
        <w:textAlignment w:val="auto"/>
        <w:rPr>
          <w:rFonts w:ascii="楷体" w:hAnsi="楷体" w:eastAsia="楷体"/>
          <w:sz w:val="24"/>
        </w:rPr>
      </w:pPr>
      <w:r>
        <w:rPr>
          <w:rFonts w:hint="eastAsia" w:ascii="楷体" w:hAnsi="楷体" w:eastAsia="楷体"/>
          <w:sz w:val="24"/>
        </w:rPr>
        <w:t>3. 付款方式</w:t>
      </w:r>
    </w:p>
    <w:p>
      <w:pPr>
        <w:pageBreakBefore w:val="0"/>
        <w:kinsoku/>
        <w:wordWrap/>
        <w:overflowPunct/>
        <w:topLinePunct w:val="0"/>
        <w:autoSpaceDE/>
        <w:autoSpaceDN/>
        <w:bidi w:val="0"/>
        <w:adjustRightInd/>
        <w:spacing w:line="400" w:lineRule="exact"/>
        <w:textAlignment w:val="auto"/>
        <w:rPr>
          <w:rFonts w:hint="eastAsia" w:ascii="楷体" w:hAnsi="楷体" w:eastAsia="楷体"/>
          <w:sz w:val="24"/>
          <w:lang w:val="en-US" w:eastAsia="zh-CN"/>
        </w:rPr>
      </w:pPr>
      <w:r>
        <w:rPr>
          <w:rFonts w:hint="eastAsia" w:ascii="楷体" w:hAnsi="楷体" w:eastAsia="楷体"/>
          <w:sz w:val="24"/>
        </w:rPr>
        <w:t>乙方应在按照合同的规定完成交货并经甲方书面确认验收后，开具足额有效的正式增值税</w:t>
      </w:r>
      <w:r>
        <w:rPr>
          <w:rFonts w:hint="eastAsia" w:ascii="楷体" w:hAnsi="楷体" w:eastAsia="楷体"/>
          <w:sz w:val="24"/>
          <w:lang w:val="en-US" w:eastAsia="zh-CN"/>
        </w:rPr>
        <w:t>普通</w:t>
      </w:r>
      <w:r>
        <w:rPr>
          <w:rFonts w:hint="eastAsia" w:ascii="楷体" w:hAnsi="楷体" w:eastAsia="楷体"/>
          <w:sz w:val="24"/>
        </w:rPr>
        <w:t>发票给甲方，甲方收到发票后10个工作日内向乙方一次性</w:t>
      </w:r>
      <w:r>
        <w:rPr>
          <w:rFonts w:hint="eastAsia" w:ascii="楷体" w:hAnsi="楷体" w:eastAsia="楷体"/>
          <w:sz w:val="24"/>
          <w:lang w:val="en-US" w:eastAsia="zh-CN"/>
        </w:rPr>
        <w:t>付款。</w:t>
      </w:r>
    </w:p>
    <w:p>
      <w:pPr>
        <w:pStyle w:val="3"/>
        <w:pageBreakBefore w:val="0"/>
        <w:kinsoku/>
        <w:wordWrap/>
        <w:overflowPunct/>
        <w:topLinePunct w:val="0"/>
        <w:autoSpaceDE/>
        <w:autoSpaceDN/>
        <w:bidi w:val="0"/>
        <w:adjustRightInd/>
        <w:spacing w:line="400" w:lineRule="exact"/>
        <w:ind w:left="4477" w:leftChars="532" w:hanging="3200" w:hangingChars="1000"/>
        <w:jc w:val="both"/>
        <w:textAlignment w:val="auto"/>
        <w:rPr>
          <w:rFonts w:hint="default" w:ascii="仿宋_GB2312" w:hAnsi="仿宋_GB2312" w:eastAsia="仿宋_GB2312" w:cs="仿宋_GB2312"/>
          <w:lang w:val="en-US"/>
        </w:rPr>
      </w:pPr>
      <w:r>
        <w:rPr>
          <w:rFonts w:hint="eastAsia" w:ascii="仿宋_GB2312" w:hAnsi="仿宋_GB2312" w:eastAsia="仿宋_GB2312" w:cs="仿宋_GB2312"/>
          <w:b w:val="0"/>
          <w:bCs w:val="0"/>
          <w:kern w:val="2"/>
          <w:szCs w:val="24"/>
          <w:lang w:val="en-US" w:eastAsia="zh-CN"/>
        </w:rPr>
        <w:t xml:space="preserve">                                                                                                  </w:t>
      </w:r>
      <w:r>
        <w:rPr>
          <w:rFonts w:hint="eastAsia" w:ascii="楷体" w:hAnsi="楷体" w:eastAsia="楷体" w:cs="Times New Roman"/>
          <w:b/>
          <w:bCs w:val="0"/>
          <w:kern w:val="2"/>
          <w:sz w:val="24"/>
          <w:szCs w:val="22"/>
          <w:lang w:val="en-US" w:eastAsia="zh-CN" w:bidi="ar-SA"/>
        </w:rPr>
        <w:t xml:space="preserve"> </w:t>
      </w:r>
      <w:r>
        <w:rPr>
          <w:rFonts w:hint="eastAsia" w:ascii="楷体" w:hAnsi="楷体" w:eastAsia="楷体" w:cs="宋体"/>
          <w:b/>
          <w:color w:val="auto"/>
          <w:kern w:val="0"/>
          <w:sz w:val="24"/>
          <w:szCs w:val="24"/>
          <w:lang w:val="en-US" w:eastAsia="zh-CN" w:bidi="ar"/>
        </w:rPr>
        <w:t>权利与义务</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 xml:space="preserve">1 </w:t>
      </w:r>
      <w:r>
        <w:rPr>
          <w:rFonts w:hint="eastAsia" w:ascii="楷体" w:hAnsi="楷体" w:eastAsia="楷体" w:cs="楷体"/>
          <w:sz w:val="24"/>
          <w:lang w:val="en-US" w:eastAsia="zh-CN"/>
        </w:rPr>
        <w:t>.</w:t>
      </w:r>
      <w:r>
        <w:rPr>
          <w:rFonts w:hint="eastAsia" w:ascii="楷体" w:hAnsi="楷体" w:eastAsia="楷体" w:cs="楷体"/>
          <w:sz w:val="24"/>
        </w:rPr>
        <w:t>甲方权利与义务：</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1.1 甲方应向乙方提供制作所必需的、与承制</w:t>
      </w:r>
      <w:r>
        <w:rPr>
          <w:rFonts w:hint="eastAsia" w:ascii="楷体" w:hAnsi="楷体" w:eastAsia="楷体" w:cs="楷体"/>
          <w:sz w:val="24"/>
          <w:lang w:val="en-US" w:eastAsia="zh-CN"/>
        </w:rPr>
        <w:t>宣传</w:t>
      </w:r>
      <w:r>
        <w:rPr>
          <w:rFonts w:hint="eastAsia" w:ascii="楷体" w:hAnsi="楷体" w:eastAsia="楷体" w:cs="楷体"/>
          <w:sz w:val="24"/>
        </w:rPr>
        <w:t>相关证明文件资料，并保证资料的真实性和合法性。</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 xml:space="preserve">1.2 </w:t>
      </w:r>
      <w:r>
        <w:rPr>
          <w:rFonts w:hint="eastAsia" w:ascii="楷体" w:hAnsi="楷体" w:eastAsia="楷体" w:cs="楷体"/>
          <w:sz w:val="24"/>
          <w:lang w:val="en-US" w:eastAsia="zh-CN"/>
        </w:rPr>
        <w:t>审核</w:t>
      </w:r>
      <w:r>
        <w:rPr>
          <w:rFonts w:hint="eastAsia" w:ascii="楷体" w:hAnsi="楷体" w:eastAsia="楷体" w:cs="楷体"/>
          <w:sz w:val="24"/>
        </w:rPr>
        <w:t>期间，在不脱离脚本的情况下，甲方有权要求乙方进行修改。</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1.3 对符合法律法规规定的</w:t>
      </w:r>
      <w:r>
        <w:rPr>
          <w:rFonts w:hint="eastAsia" w:ascii="楷体" w:hAnsi="楷体" w:eastAsia="楷体" w:cs="楷体"/>
          <w:sz w:val="24"/>
          <w:lang w:val="en-US" w:eastAsia="zh-CN"/>
        </w:rPr>
        <w:t>宣传</w:t>
      </w:r>
      <w:r>
        <w:rPr>
          <w:rFonts w:hint="eastAsia" w:ascii="楷体" w:hAnsi="楷体" w:eastAsia="楷体" w:cs="楷体"/>
          <w:sz w:val="24"/>
        </w:rPr>
        <w:t>内容、表现形式并达到甲方委托制作要求的，甲方应按本合同约定向乙方支付相应价款。</w:t>
      </w:r>
    </w:p>
    <w:p>
      <w:pPr>
        <w:pageBreakBefore w:val="0"/>
        <w:kinsoku/>
        <w:wordWrap/>
        <w:overflowPunct/>
        <w:topLinePunct w:val="0"/>
        <w:autoSpaceDE/>
        <w:autoSpaceDN/>
        <w:bidi w:val="0"/>
        <w:adjustRightInd/>
        <w:spacing w:line="400" w:lineRule="exact"/>
        <w:ind w:left="420" w:firstLine="120" w:firstLineChars="50"/>
        <w:textAlignment w:val="auto"/>
        <w:rPr>
          <w:rFonts w:hint="eastAsia" w:ascii="楷体" w:hAnsi="楷体" w:eastAsia="楷体" w:cs="楷体"/>
          <w:sz w:val="24"/>
        </w:rPr>
      </w:pPr>
      <w:r>
        <w:rPr>
          <w:rFonts w:hint="eastAsia" w:ascii="楷体" w:hAnsi="楷体" w:eastAsia="楷体" w:cs="楷体"/>
          <w:sz w:val="24"/>
        </w:rPr>
        <w:t>2 乙方权利与义务：</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2.1 乙方履行完成的制作物内容应符合中华人民共和国相关法律法规规定，且不包含任何损害国家和社会公共利益、损害甲方和甲方客户合法权益、侵犯任何第三方合法权益之内容。因乙方提交违反法律法规或不符合同约定的制作物造成甲方损失的，应承担赔偿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2.2 乙方必须严格按照双方最终确认的脚本及</w:t>
      </w:r>
      <w:r>
        <w:rPr>
          <w:rFonts w:hint="eastAsia" w:ascii="楷体" w:hAnsi="楷体" w:eastAsia="楷体" w:cs="楷体"/>
          <w:sz w:val="24"/>
          <w:lang w:val="en-US" w:eastAsia="zh-CN"/>
        </w:rPr>
        <w:t>宣传单</w:t>
      </w:r>
      <w:r>
        <w:rPr>
          <w:rFonts w:hint="eastAsia" w:ascii="楷体" w:hAnsi="楷体" w:eastAsia="楷体" w:cs="楷体"/>
          <w:sz w:val="24"/>
        </w:rPr>
        <w:t>主旨要求进行制作，如出现质量或其他问题，乙方应采取相应补救措施并承担全部责任。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2.3 乙方需对</w:t>
      </w:r>
      <w:r>
        <w:rPr>
          <w:rFonts w:hint="eastAsia" w:ascii="楷体" w:hAnsi="楷体" w:eastAsia="楷体" w:cs="楷体"/>
          <w:sz w:val="24"/>
          <w:lang w:val="en-US" w:eastAsia="zh-CN"/>
        </w:rPr>
        <w:t>张贴</w:t>
      </w:r>
      <w:r>
        <w:rPr>
          <w:rFonts w:hint="eastAsia" w:ascii="楷体" w:hAnsi="楷体" w:eastAsia="楷体" w:cs="楷体"/>
          <w:sz w:val="24"/>
        </w:rPr>
        <w:t>现场进行组织、安排、明确具体拍摄要求，如因未按约定或脚本效果致影响时间、效果，均由乙方承担责任。乙方应自行为</w:t>
      </w:r>
      <w:r>
        <w:rPr>
          <w:rFonts w:hint="eastAsia" w:ascii="楷体" w:hAnsi="楷体" w:eastAsia="楷体" w:cs="楷体"/>
          <w:sz w:val="24"/>
          <w:lang w:val="en-US" w:eastAsia="zh-CN"/>
        </w:rPr>
        <w:t>张贴</w:t>
      </w:r>
      <w:r>
        <w:rPr>
          <w:rFonts w:hint="eastAsia" w:ascii="楷体" w:hAnsi="楷体" w:eastAsia="楷体" w:cs="楷体"/>
          <w:sz w:val="24"/>
        </w:rPr>
        <w:t>人员投保意外保险，发生的人身损害、财产损失应乙方承担责任；若造成甲方损失的，乙方应向甲方承担赔偿责任。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sz w:val="24"/>
        </w:rPr>
        <w:t>2.4 乙方有义务妥善保管甲方</w:t>
      </w:r>
      <w:r>
        <w:rPr>
          <w:rFonts w:hint="eastAsia" w:ascii="楷体" w:hAnsi="楷体" w:eastAsia="楷体" w:cs="楷体"/>
          <w:b w:val="0"/>
          <w:bCs w:val="0"/>
          <w:kern w:val="2"/>
          <w:sz w:val="24"/>
          <w:szCs w:val="24"/>
          <w:lang w:val="en-US" w:eastAsia="zh-CN" w:bidi="ar-SA"/>
        </w:rPr>
        <w:t>及甲方客户提供的物品，造成损毁、灭失的应由乙方承担责任。</w:t>
      </w:r>
    </w:p>
    <w:p>
      <w:pPr>
        <w:pageBreakBefore w:val="0"/>
        <w:kinsoku/>
        <w:wordWrap/>
        <w:overflowPunct/>
        <w:topLinePunct w:val="0"/>
        <w:autoSpaceDE/>
        <w:autoSpaceDN/>
        <w:bidi w:val="0"/>
        <w:adjustRightInd/>
        <w:spacing w:line="400" w:lineRule="exact"/>
        <w:jc w:val="center"/>
        <w:textAlignment w:val="auto"/>
        <w:rPr>
          <w:rFonts w:hint="eastAsia" w:ascii="楷体" w:hAnsi="楷体" w:eastAsia="楷体" w:cs="Times New Roman"/>
          <w:b/>
          <w:bCs w:val="0"/>
          <w:kern w:val="2"/>
          <w:sz w:val="24"/>
          <w:szCs w:val="22"/>
          <w:lang w:val="en-US" w:eastAsia="zh-CN" w:bidi="ar-SA"/>
        </w:rPr>
      </w:pPr>
      <w:r>
        <w:rPr>
          <w:rFonts w:hint="eastAsia" w:ascii="楷体" w:hAnsi="楷体" w:eastAsia="楷体" w:cs="Times New Roman"/>
          <w:b/>
          <w:bCs w:val="0"/>
          <w:kern w:val="2"/>
          <w:sz w:val="24"/>
          <w:szCs w:val="22"/>
          <w:lang w:val="en-US" w:eastAsia="zh-CN" w:bidi="ar-SA"/>
        </w:rPr>
        <w:t>违约责任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1.</w:t>
      </w:r>
      <w:r>
        <w:rPr>
          <w:rFonts w:hint="eastAsia" w:ascii="楷体" w:hAnsi="楷体" w:eastAsia="楷体" w:cs="楷体"/>
          <w:sz w:val="24"/>
        </w:rPr>
        <w:t>乙方未按甲方要求实施各阶段的</w:t>
      </w:r>
      <w:r>
        <w:rPr>
          <w:rFonts w:hint="eastAsia" w:ascii="楷体" w:hAnsi="楷体" w:eastAsia="楷体" w:cs="楷体"/>
          <w:sz w:val="24"/>
          <w:lang w:val="en-US" w:eastAsia="zh-CN"/>
        </w:rPr>
        <w:t>宣传</w:t>
      </w:r>
      <w:r>
        <w:rPr>
          <w:rFonts w:hint="eastAsia" w:ascii="楷体" w:hAnsi="楷体" w:eastAsia="楷体" w:cs="楷体"/>
          <w:sz w:val="24"/>
        </w:rPr>
        <w:t>或质量不符合约定的，乙方构成违约。在甲方指定的期限内乙方重做或修改后仍不符合或甲方认为已无修改必要的，甲方有权通知乙方解除合同，乙方除应当于解除通知送达之日起5日内退还已收取的甲方合同价款外，还应当向甲方支付本合同总价款</w:t>
      </w:r>
      <w:r>
        <w:rPr>
          <w:rFonts w:hint="eastAsia" w:ascii="楷体" w:hAnsi="楷体" w:eastAsia="楷体" w:cs="楷体"/>
          <w:sz w:val="24"/>
          <w:u w:val="single"/>
        </w:rPr>
        <w:t>50</w:t>
      </w:r>
      <w:r>
        <w:rPr>
          <w:rFonts w:hint="eastAsia" w:ascii="楷体" w:hAnsi="楷体" w:eastAsia="楷体" w:cs="楷体"/>
          <w:sz w:val="24"/>
        </w:rPr>
        <w:t>%的违约金。违约金不足以弥补甲方损失的，乙方应当足额赔偿甲方全部损失。</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2.</w:t>
      </w:r>
      <w:r>
        <w:rPr>
          <w:rFonts w:hint="eastAsia" w:ascii="楷体" w:hAnsi="楷体" w:eastAsia="楷体" w:cs="楷体"/>
          <w:sz w:val="24"/>
        </w:rPr>
        <w:t xml:space="preserve"> 乙方因履行本合同，致甲方或甲方客户与第三人发生纠纷或法律责任，应由乙方自行负责解决，相关费用及后果由乙方承担，甲方不承担法律责任。甲方或甲方客户因第三方追索而遭受损失的，有权向乙方追偿。</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3.</w:t>
      </w:r>
      <w:r>
        <w:rPr>
          <w:rFonts w:hint="eastAsia" w:ascii="楷体" w:hAnsi="楷体" w:eastAsia="楷体" w:cs="楷体"/>
          <w:sz w:val="24"/>
        </w:rPr>
        <w:t>甲方未按本合同约定向乙方按期付款的，按中国人民银行规定的同期同类银行存款利率支付乙方违约金。</w:t>
      </w:r>
    </w:p>
    <w:p>
      <w:pPr>
        <w:pageBreakBefore w:val="0"/>
        <w:kinsoku/>
        <w:wordWrap/>
        <w:overflowPunct/>
        <w:topLinePunct w:val="0"/>
        <w:autoSpaceDE/>
        <w:autoSpaceDN/>
        <w:bidi w:val="0"/>
        <w:adjustRightInd/>
        <w:spacing w:line="400" w:lineRule="exact"/>
        <w:jc w:val="center"/>
        <w:textAlignment w:val="auto"/>
        <w:rPr>
          <w:rFonts w:hint="eastAsia" w:ascii="楷体" w:hAnsi="楷体" w:eastAsia="楷体" w:cs="Times New Roman"/>
          <w:b/>
          <w:bCs w:val="0"/>
          <w:kern w:val="2"/>
          <w:sz w:val="24"/>
          <w:szCs w:val="22"/>
          <w:lang w:val="en-US" w:eastAsia="zh-CN" w:bidi="ar-SA"/>
        </w:rPr>
      </w:pPr>
      <w:r>
        <w:rPr>
          <w:rFonts w:hint="eastAsia" w:ascii="楷体" w:hAnsi="楷体" w:eastAsia="楷体" w:cs="Times New Roman"/>
          <w:b/>
          <w:bCs w:val="0"/>
          <w:kern w:val="2"/>
          <w:sz w:val="24"/>
          <w:szCs w:val="22"/>
          <w:lang w:val="en-US" w:eastAsia="zh-CN" w:bidi="ar-SA"/>
        </w:rPr>
        <w:t>消费者权益保护条款</w:t>
      </w:r>
    </w:p>
    <w:p>
      <w:pPr>
        <w:pageBreakBefore w:val="0"/>
        <w:kinsoku/>
        <w:wordWrap/>
        <w:overflowPunct/>
        <w:topLinePunct w:val="0"/>
        <w:autoSpaceDE/>
        <w:autoSpaceDN/>
        <w:bidi w:val="0"/>
        <w:adjustRightInd/>
        <w:spacing w:line="400" w:lineRule="exact"/>
        <w:ind w:left="3557" w:leftChars="1482" w:firstLine="241" w:firstLineChars="100"/>
        <w:textAlignment w:val="auto"/>
        <w:rPr>
          <w:rFonts w:hint="eastAsia" w:ascii="楷体" w:hAnsi="楷体" w:eastAsia="楷体" w:cs="Times New Roman"/>
          <w:b/>
          <w:bCs w:val="0"/>
          <w:kern w:val="2"/>
          <w:sz w:val="24"/>
          <w:szCs w:val="22"/>
          <w:lang w:val="en-US" w:eastAsia="zh-CN" w:bidi="ar-SA"/>
        </w:rPr>
      </w:pP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乙方应确保本协议项下，各类业务严格遵守国家法律法规及监管规定中消费者权益保护相关要求，依法保护保险消费者合法权益。</w:t>
      </w:r>
      <w:r>
        <w:rPr>
          <w:rFonts w:hint="eastAsia" w:ascii="楷体" w:hAnsi="楷体" w:eastAsia="楷体" w:cs="楷体"/>
          <w:sz w:val="24"/>
          <w:lang w:val="en-US" w:eastAsia="zh-CN"/>
        </w:rPr>
        <w:t>本条所指的</w:t>
      </w:r>
      <w:r>
        <w:rPr>
          <w:rFonts w:hint="eastAsia" w:ascii="楷体" w:hAnsi="楷体" w:eastAsia="楷体" w:cs="楷体"/>
          <w:sz w:val="24"/>
        </w:rPr>
        <w:t>法律法规及监管规定包括但不限于《中华人民共和国保险法》</w:t>
      </w:r>
      <w:r>
        <w:rPr>
          <w:rFonts w:hint="eastAsia" w:ascii="楷体" w:hAnsi="楷体" w:eastAsia="楷体" w:cs="楷体"/>
          <w:sz w:val="24"/>
          <w:lang w:eastAsia="zh-CN"/>
        </w:rPr>
        <w:t>、</w:t>
      </w:r>
      <w:r>
        <w:rPr>
          <w:rFonts w:hint="eastAsia" w:ascii="楷体" w:hAnsi="楷体" w:eastAsia="楷体" w:cs="楷体"/>
          <w:sz w:val="24"/>
        </w:rPr>
        <w:t>《中华人民共和国消费者权益保护法》、《银行保险机构消费者权益保护管理办法》（</w:t>
      </w:r>
      <w:r>
        <w:rPr>
          <w:rFonts w:hint="eastAsia" w:ascii="楷体" w:hAnsi="楷体" w:eastAsia="楷体" w:cs="楷体"/>
          <w:sz w:val="24"/>
          <w:lang w:val="en-US" w:eastAsia="zh-CN"/>
        </w:rPr>
        <w:t>银保监会令2022年</w:t>
      </w:r>
      <w:r>
        <w:rPr>
          <w:rFonts w:hint="eastAsia" w:ascii="楷体" w:hAnsi="楷体" w:eastAsia="楷体" w:cs="楷体"/>
          <w:sz w:val="24"/>
        </w:rPr>
        <w:t>第9号）</w:t>
      </w:r>
      <w:r>
        <w:rPr>
          <w:rFonts w:hint="eastAsia" w:ascii="楷体" w:hAnsi="楷体" w:eastAsia="楷体" w:cs="楷体"/>
          <w:sz w:val="24"/>
          <w:lang w:val="en-US" w:eastAsia="zh-CN"/>
        </w:rPr>
        <w:t>等</w:t>
      </w:r>
      <w:r>
        <w:rPr>
          <w:rFonts w:hint="eastAsia" w:ascii="楷体" w:hAnsi="楷体" w:eastAsia="楷体" w:cs="楷体"/>
          <w:sz w:val="24"/>
        </w:rPr>
        <w:t>。具体如下：</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1.甲乙双方应重视消费者权益保护工作，依法合规建立合作机构准入和退出机制。乙方近两年内不得存在侵害消费者权益的行为</w:t>
      </w:r>
      <w:r>
        <w:rPr>
          <w:rFonts w:hint="eastAsia" w:ascii="楷体" w:hAnsi="楷体" w:eastAsia="楷体" w:cs="楷体"/>
          <w:sz w:val="24"/>
          <w:lang w:val="en-US" w:eastAsia="zh-CN"/>
        </w:rPr>
        <w:t>或</w:t>
      </w:r>
      <w:r>
        <w:rPr>
          <w:rFonts w:hint="eastAsia" w:ascii="楷体" w:hAnsi="楷体" w:eastAsia="楷体" w:cs="楷体"/>
          <w:sz w:val="24"/>
        </w:rPr>
        <w:t>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w:t>
      </w:r>
      <w:r>
        <w:rPr>
          <w:rFonts w:hint="eastAsia" w:ascii="楷体" w:hAnsi="楷体" w:eastAsia="楷体" w:cs="楷体"/>
          <w:sz w:val="24"/>
          <w:lang w:eastAsia="zh-CN"/>
        </w:rPr>
        <w:t>，</w:t>
      </w:r>
      <w:r>
        <w:rPr>
          <w:rFonts w:hint="eastAsia" w:ascii="楷体" w:hAnsi="楷体" w:eastAsia="楷体" w:cs="楷体"/>
          <w:sz w:val="24"/>
          <w:lang w:val="en-US" w:eastAsia="zh-CN"/>
        </w:rPr>
        <w:t>包括但不限于解除合同等方式，并将其列入公司</w:t>
      </w:r>
      <w:r>
        <w:rPr>
          <w:rFonts w:hint="eastAsia" w:ascii="楷体" w:hAnsi="楷体" w:eastAsia="楷体" w:cs="楷体"/>
          <w:sz w:val="24"/>
          <w:lang w:eastAsia="zh-CN"/>
        </w:rPr>
        <w:t>合作机构</w:t>
      </w:r>
      <w:r>
        <w:rPr>
          <w:rFonts w:hint="eastAsia" w:ascii="楷体" w:hAnsi="楷体" w:eastAsia="楷体" w:cs="楷体"/>
          <w:sz w:val="24"/>
          <w:lang w:val="en-US" w:eastAsia="zh-CN"/>
        </w:rPr>
        <w:t>管理负面清单</w:t>
      </w:r>
      <w:r>
        <w:rPr>
          <w:rFonts w:hint="eastAsia" w:ascii="楷体" w:hAnsi="楷体" w:eastAsia="楷体" w:cs="楷体"/>
          <w:sz w:val="24"/>
        </w:rPr>
        <w:t>。</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2.</w:t>
      </w:r>
      <w:r>
        <w:rPr>
          <w:rFonts w:hint="eastAsia" w:ascii="楷体" w:hAnsi="楷体" w:eastAsia="楷体" w:cs="楷体"/>
          <w:sz w:val="24"/>
        </w:rPr>
        <w:t>双方应严格按照相关法律法规要求履行合规及风险管理、信息安全管控、服务价格管理、服务连续性、信息披露、纠纷解决机制、违约责任承担和应急处置等方面的责任。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3.甲乙双方应按照《保险销售行为管理办法》规范保险销售行为，确保从事保险销售的过程中不存在损害消费者利益的行为，包括但不限于乙方</w:t>
      </w:r>
      <w:r>
        <w:rPr>
          <w:rFonts w:hint="eastAsia" w:ascii="楷体" w:hAnsi="楷体" w:eastAsia="楷体" w:cs="楷体"/>
          <w:sz w:val="24"/>
        </w:rPr>
        <w:t>不得在营业网点或者自营网络平台以</w:t>
      </w:r>
      <w:r>
        <w:rPr>
          <w:rFonts w:hint="eastAsia" w:ascii="楷体" w:hAnsi="楷体" w:eastAsia="楷体" w:cs="楷体"/>
          <w:sz w:val="24"/>
          <w:lang w:val="en-US" w:eastAsia="zh-CN"/>
        </w:rPr>
        <w:t>甲</w:t>
      </w:r>
      <w:r>
        <w:rPr>
          <w:rFonts w:hint="eastAsia" w:ascii="楷体" w:hAnsi="楷体" w:eastAsia="楷体" w:cs="楷体"/>
          <w:sz w:val="24"/>
        </w:rPr>
        <w:t>方名义向消费者推介或者销售产品和服务</w:t>
      </w:r>
      <w:r>
        <w:rPr>
          <w:rFonts w:hint="eastAsia" w:ascii="楷体" w:hAnsi="楷体" w:eastAsia="楷体" w:cs="楷体"/>
          <w:sz w:val="24"/>
          <w:lang w:eastAsia="zh-CN"/>
        </w:rPr>
        <w:t>，</w:t>
      </w:r>
      <w:r>
        <w:rPr>
          <w:rFonts w:hint="eastAsia" w:ascii="楷体" w:hAnsi="楷体" w:eastAsia="楷体" w:cs="楷体"/>
          <w:sz w:val="24"/>
        </w:rPr>
        <w:t>不得非法或超范围开展保险营销宣传活动，不得以欺诈或引人误解的方式对保险产品或保险服务进行营销宣传</w:t>
      </w:r>
      <w:r>
        <w:rPr>
          <w:rFonts w:hint="eastAsia" w:ascii="楷体" w:hAnsi="楷体" w:eastAsia="楷体" w:cs="楷体"/>
          <w:sz w:val="24"/>
          <w:lang w:val="en-US" w:eastAsia="zh-CN"/>
        </w:rPr>
        <w:t>等</w:t>
      </w:r>
      <w:r>
        <w:rPr>
          <w:rFonts w:hint="eastAsia" w:ascii="楷体" w:hAnsi="楷体" w:eastAsia="楷体" w:cs="楷体"/>
          <w:sz w:val="24"/>
        </w:rPr>
        <w:t>。乙方应积极配合甲方对业务活动开展</w:t>
      </w:r>
      <w:r>
        <w:rPr>
          <w:rFonts w:hint="eastAsia" w:ascii="楷体" w:hAnsi="楷体" w:eastAsia="楷体" w:cs="楷体"/>
          <w:sz w:val="24"/>
          <w:lang w:val="en-US" w:eastAsia="zh-CN"/>
        </w:rPr>
        <w:t>的</w:t>
      </w:r>
      <w:r>
        <w:rPr>
          <w:rFonts w:hint="eastAsia" w:ascii="楷体" w:hAnsi="楷体" w:eastAsia="楷体" w:cs="楷体"/>
          <w:sz w:val="24"/>
        </w:rPr>
        <w:t>监督检查，</w:t>
      </w:r>
      <w:r>
        <w:rPr>
          <w:rFonts w:hint="eastAsia" w:ascii="楷体" w:hAnsi="楷体" w:eastAsia="楷体" w:cs="楷体"/>
          <w:sz w:val="24"/>
          <w:lang w:val="en-US" w:eastAsia="zh-CN"/>
        </w:rPr>
        <w:t>如发现问题</w:t>
      </w:r>
      <w:r>
        <w:rPr>
          <w:rFonts w:hint="eastAsia" w:ascii="楷体" w:hAnsi="楷体" w:eastAsia="楷体" w:cs="楷体"/>
          <w:sz w:val="24"/>
        </w:rPr>
        <w:t>应</w:t>
      </w:r>
      <w:r>
        <w:rPr>
          <w:rFonts w:hint="eastAsia" w:ascii="楷体" w:hAnsi="楷体" w:eastAsia="楷体" w:cs="楷体"/>
          <w:sz w:val="24"/>
          <w:lang w:val="en-US" w:eastAsia="zh-CN"/>
        </w:rPr>
        <w:t>按照</w:t>
      </w:r>
      <w:r>
        <w:rPr>
          <w:rFonts w:hint="eastAsia" w:ascii="楷体" w:hAnsi="楷体" w:eastAsia="楷体" w:cs="楷体"/>
          <w:sz w:val="24"/>
        </w:rPr>
        <w:t>甲方要求及时整改</w:t>
      </w:r>
      <w:r>
        <w:rPr>
          <w:rFonts w:hint="eastAsia" w:ascii="楷体" w:hAnsi="楷体" w:eastAsia="楷体" w:cs="楷体"/>
          <w:sz w:val="24"/>
          <w:lang w:eastAsia="zh-CN"/>
        </w:rPr>
        <w:t>。</w:t>
      </w:r>
      <w:r>
        <w:rPr>
          <w:rFonts w:hint="eastAsia" w:ascii="楷体" w:hAnsi="楷体" w:eastAsia="楷体" w:cs="楷体"/>
          <w:sz w:val="24"/>
          <w:lang w:val="en-US" w:eastAsia="zh-CN"/>
        </w:rPr>
        <w:t>甲方有权对乙方在保险销售的过程中存在违反</w:t>
      </w:r>
      <w:r>
        <w:rPr>
          <w:rFonts w:hint="eastAsia" w:ascii="楷体" w:hAnsi="楷体" w:eastAsia="楷体" w:cs="楷体"/>
          <w:sz w:val="24"/>
        </w:rPr>
        <w:t>法律法规及合作协议要求情形时采取措施予以制止和督促纠正，并依法追究</w:t>
      </w:r>
      <w:r>
        <w:rPr>
          <w:rFonts w:hint="eastAsia" w:ascii="楷体" w:hAnsi="楷体" w:eastAsia="楷体" w:cs="楷体"/>
          <w:sz w:val="24"/>
          <w:lang w:val="en-US" w:eastAsia="zh-CN"/>
        </w:rPr>
        <w:t>乙方</w:t>
      </w:r>
      <w:r>
        <w:rPr>
          <w:rFonts w:hint="eastAsia" w:ascii="楷体" w:hAnsi="楷体" w:eastAsia="楷体" w:cs="楷体"/>
          <w:sz w:val="24"/>
        </w:rPr>
        <w:t>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4.</w:t>
      </w:r>
      <w:r>
        <w:rPr>
          <w:rFonts w:hint="eastAsia" w:ascii="楷体" w:hAnsi="楷体" w:eastAsia="楷体" w:cs="楷体"/>
          <w:sz w:val="24"/>
        </w:rPr>
        <w:t>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lang w:eastAsia="zh-CN"/>
        </w:rPr>
      </w:pPr>
      <w:r>
        <w:rPr>
          <w:rFonts w:hint="eastAsia" w:ascii="楷体" w:hAnsi="楷体" w:eastAsia="楷体" w:cs="楷体"/>
          <w:sz w:val="24"/>
          <w:lang w:val="en-US" w:eastAsia="zh-CN"/>
        </w:rPr>
        <w:t>5.</w:t>
      </w:r>
      <w:r>
        <w:rPr>
          <w:rFonts w:hint="eastAsia" w:ascii="楷体" w:hAnsi="楷体" w:eastAsia="楷体" w:cs="楷体"/>
          <w:sz w:val="24"/>
        </w:rPr>
        <w:t>甲乙双方应根据消费者投诉反映出的问题积极进行溯源改进，查找服务薄弱环节和风险隐患，从源头上减少消费投诉的发生，提高服务水平，加强保险消费者权益保护</w:t>
      </w:r>
      <w:r>
        <w:rPr>
          <w:rFonts w:hint="eastAsia" w:ascii="楷体" w:hAnsi="楷体" w:eastAsia="楷体" w:cs="楷体"/>
          <w:sz w:val="24"/>
          <w:lang w:eastAsia="zh-CN"/>
        </w:rPr>
        <w:t>。</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6.</w:t>
      </w:r>
      <w:r>
        <w:rPr>
          <w:rFonts w:hint="eastAsia" w:ascii="楷体" w:hAnsi="楷体" w:eastAsia="楷体" w:cs="楷体"/>
          <w:sz w:val="24"/>
        </w:rPr>
        <w:t>对于客户投诉较多、设计上存在缺陷的保险产品或服务，乙方及时通知甲方，并</w:t>
      </w:r>
      <w:r>
        <w:rPr>
          <w:rFonts w:hint="eastAsia" w:ascii="楷体" w:hAnsi="楷体" w:eastAsia="楷体" w:cs="楷体"/>
          <w:sz w:val="24"/>
          <w:lang w:val="en-US" w:eastAsia="zh-CN"/>
        </w:rPr>
        <w:t>按照甲方要求</w:t>
      </w:r>
      <w:r>
        <w:rPr>
          <w:rFonts w:hint="eastAsia" w:ascii="楷体" w:hAnsi="楷体" w:eastAsia="楷体" w:cs="楷体"/>
          <w:sz w:val="24"/>
        </w:rPr>
        <w:t>妥善处理相关事宜</w:t>
      </w:r>
      <w:r>
        <w:rPr>
          <w:rFonts w:hint="eastAsia" w:ascii="楷体" w:hAnsi="楷体" w:eastAsia="楷体" w:cs="楷体"/>
          <w:sz w:val="24"/>
          <w:lang w:eastAsia="zh-CN"/>
        </w:rPr>
        <w:t>，</w:t>
      </w:r>
      <w:r>
        <w:rPr>
          <w:rFonts w:hint="eastAsia" w:ascii="楷体" w:hAnsi="楷体" w:eastAsia="楷体" w:cs="楷体"/>
          <w:sz w:val="24"/>
          <w:lang w:val="en-US" w:eastAsia="zh-CN"/>
        </w:rPr>
        <w:t>包括</w:t>
      </w:r>
      <w:r>
        <w:rPr>
          <w:rFonts w:hint="eastAsia" w:ascii="楷体" w:hAnsi="楷体" w:eastAsia="楷体" w:cs="楷体"/>
          <w:sz w:val="24"/>
        </w:rPr>
        <w:t>停止销售或提供服务</w:t>
      </w:r>
      <w:r>
        <w:rPr>
          <w:rFonts w:hint="eastAsia" w:ascii="楷体" w:hAnsi="楷体" w:eastAsia="楷体" w:cs="楷体"/>
          <w:sz w:val="24"/>
          <w:lang w:val="en-US" w:eastAsia="zh-CN"/>
        </w:rPr>
        <w:t>等</w:t>
      </w:r>
      <w:r>
        <w:rPr>
          <w:rFonts w:hint="eastAsia" w:ascii="楷体" w:hAnsi="楷体" w:eastAsia="楷体" w:cs="楷体"/>
          <w:sz w:val="24"/>
        </w:rPr>
        <w:t>。</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lang w:val="en-US" w:eastAsia="zh-CN"/>
        </w:rPr>
      </w:pPr>
      <w:r>
        <w:rPr>
          <w:rFonts w:hint="eastAsia" w:ascii="楷体" w:hAnsi="楷体" w:eastAsia="楷体" w:cs="楷体"/>
          <w:sz w:val="24"/>
          <w:lang w:val="en-US" w:eastAsia="zh-CN"/>
        </w:rPr>
        <w:t>7.</w:t>
      </w:r>
      <w:r>
        <w:rPr>
          <w:rFonts w:hint="eastAsia" w:ascii="楷体" w:hAnsi="楷体" w:eastAsia="楷体" w:cs="楷体"/>
          <w:sz w:val="24"/>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pageBreakBefore w:val="0"/>
        <w:kinsoku/>
        <w:wordWrap/>
        <w:overflowPunct/>
        <w:topLinePunct w:val="0"/>
        <w:autoSpaceDE/>
        <w:autoSpaceDN/>
        <w:bidi w:val="0"/>
        <w:adjustRightInd/>
        <w:spacing w:line="400" w:lineRule="exact"/>
        <w:jc w:val="left"/>
        <w:textAlignment w:val="auto"/>
        <w:rPr>
          <w:rFonts w:hint="eastAsia" w:ascii="楷体" w:hAnsi="楷体" w:eastAsia="楷体" w:cs="Times New Roman"/>
          <w:b/>
          <w:bCs w:val="0"/>
          <w:kern w:val="2"/>
          <w:sz w:val="24"/>
          <w:szCs w:val="22"/>
          <w:lang w:val="en-US" w:eastAsia="zh-CN" w:bidi="ar-SA"/>
        </w:rPr>
      </w:pPr>
      <w:r>
        <w:rPr>
          <w:rFonts w:hint="eastAsia" w:ascii="楷体" w:hAnsi="楷体" w:eastAsia="楷体" w:cs="Times New Roman"/>
          <w:b/>
          <w:bCs w:val="0"/>
          <w:kern w:val="2"/>
          <w:sz w:val="24"/>
          <w:szCs w:val="22"/>
          <w:lang w:val="en-US" w:eastAsia="zh-CN" w:bidi="ar-SA"/>
        </w:rPr>
        <w:t>廉洁诚信协议</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autoSpaceDE/>
        <w:autoSpaceDN/>
        <w:bidi w:val="0"/>
        <w:adjustRightInd/>
        <w:snapToGrid/>
        <w:spacing w:before="312" w:beforeLines="100" w:beforeAutospacing="0" w:after="312" w:afterLines="100" w:afterAutospacing="0" w:line="24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autoSpaceDE/>
        <w:autoSpaceDN/>
        <w:bidi w:val="0"/>
        <w:adjustRightInd/>
        <w:snapToGrid/>
        <w:spacing w:before="312" w:beforeLines="100" w:beforeAutospacing="0" w:after="312" w:afterLines="100" w:afterAutospacing="0" w:line="24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autoSpaceDE/>
        <w:autoSpaceDN/>
        <w:bidi w:val="0"/>
        <w:adjustRightInd/>
        <w:snapToGrid/>
        <w:spacing w:before="312" w:beforeLines="100" w:beforeAutospacing="0" w:after="312" w:afterLines="100" w:afterAutospacing="0" w:line="24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Pr>
        <w:pStyle w:val="2"/>
        <w:kinsoku/>
        <w:wordWrap/>
        <w:overflowPunct/>
        <w:topLinePunct w:val="0"/>
        <w:autoSpaceDE/>
        <w:autoSpaceDN/>
        <w:bidi w:val="0"/>
        <w:adjustRightInd/>
        <w:snapToGrid/>
        <w:spacing w:line="240" w:lineRule="auto"/>
        <w:textAlignment w:val="auto"/>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kinsoku/>
        <w:wordWrap/>
        <w:overflowPunct/>
        <w:topLinePunct w:val="0"/>
        <w:autoSpaceDE/>
        <w:autoSpaceDN/>
        <w:bidi w:val="0"/>
        <w:adjustRightInd/>
        <w:snapToGrid/>
        <w:spacing w:line="240" w:lineRule="auto"/>
        <w:ind w:left="0" w:firstLine="3064" w:firstLineChars="1090"/>
        <w:jc w:val="left"/>
        <w:textAlignment w:val="auto"/>
        <w:rPr>
          <w:rFonts w:ascii="仿宋_GB2312" w:hAnsi="宋体" w:eastAsia="仿宋_GB2312"/>
          <w:color w:val="auto"/>
          <w:sz w:val="28"/>
          <w:szCs w:val="28"/>
        </w:rPr>
      </w:pPr>
      <w:bookmarkStart w:id="122" w:name="_Toc4181"/>
      <w:bookmarkStart w:id="123" w:name="_Toc186737811"/>
      <w:r>
        <w:rPr>
          <w:rFonts w:hint="eastAsia" w:ascii="仿宋_GB2312" w:hAnsi="宋体" w:eastAsia="仿宋_GB2312"/>
          <w:color w:val="auto"/>
          <w:sz w:val="28"/>
          <w:szCs w:val="28"/>
        </w:rPr>
        <w:t>第五章 采购</w:t>
      </w:r>
      <w:bookmarkEnd w:id="122"/>
      <w:r>
        <w:rPr>
          <w:rFonts w:hint="eastAsia" w:ascii="仿宋_GB2312" w:hAnsi="宋体" w:eastAsia="仿宋_GB2312"/>
          <w:color w:val="auto"/>
          <w:sz w:val="28"/>
          <w:szCs w:val="28"/>
        </w:rPr>
        <w:t>需求</w:t>
      </w:r>
      <w:bookmarkEnd w:id="123"/>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Arial" w:hAnsi="Arial" w:cs="Arial"/>
          <w:b/>
          <w:bCs/>
          <w:lang w:val="en-US" w:eastAsia="zh-CN"/>
        </w:rPr>
      </w:pPr>
      <w:r>
        <w:rPr>
          <w:rFonts w:hint="eastAsia" w:ascii="Arial" w:hAnsi="Arial" w:cs="Arial"/>
          <w:b/>
          <w:bCs/>
          <w:lang w:val="en-US" w:eastAsia="zh-CN"/>
        </w:rPr>
        <w:t>一、采购项目背景</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lang w:val="en-US" w:eastAsia="zh-CN"/>
        </w:rPr>
        <w:t>现今电梯已成为居民日常出行的必经场景，其封闭空间与高频使用特性，是精准触达目标人群的优质宣传载体，依托电梯轿厢广告的强制收视、高频曝光，将车险宣传深入各小区居民，稳步提升县域市场消费者对我司保险产品的认知，深化品牌在县域核心消费群体中的渗透。</w:t>
      </w:r>
    </w:p>
    <w:p>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82" w:firstLineChars="200"/>
        <w:textAlignment w:val="auto"/>
        <w:rPr>
          <w:rFonts w:hint="eastAsia" w:ascii="Arial" w:hAnsi="Arial" w:cs="Arial"/>
          <w:b/>
          <w:bCs/>
          <w:lang w:val="en-US" w:eastAsia="zh-CN"/>
        </w:rPr>
      </w:pPr>
      <w:r>
        <w:rPr>
          <w:rFonts w:hint="eastAsia" w:ascii="Arial" w:hAnsi="Arial" w:cs="Arial"/>
          <w:b/>
          <w:bCs/>
          <w:lang w:val="en-US" w:eastAsia="zh-CN"/>
        </w:rPr>
        <w:t>采购内容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lang w:val="en-US" w:eastAsia="zh-CN"/>
        </w:rPr>
      </w:pPr>
      <w:r>
        <w:rPr>
          <w:rFonts w:hint="eastAsia" w:ascii="仿宋" w:hAnsi="仿宋" w:eastAsia="仿宋" w:cs="仿宋"/>
          <w:lang w:val="en-US" w:eastAsia="zh-CN"/>
        </w:rPr>
        <w:t>为了更好展示公司产品及专业形象，让更多的客户知晓我公司品牌文化及车险产品。拟采购两家供应商，在开江县辖域内有配置电梯的小区（包含：金源山水城、侨兴时代中央城、康力国际东区、康力国际西、区、橄榄新城A区、橄榄新城B区、嘉阳天宇、嘉阳天宇2期等）开展宣传，宣传数量为159副，宣传时间为6个月；渠县县辖域内有配置电梯的小区（包含：月季苑、科华首座、地旺广场、铁投、南城印象等）开展宣传，宣传数量为200副，宣传时间为8个月，预算总金额55.85万。</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3119"/>
        <w:gridCol w:w="3029"/>
        <w:gridCol w:w="1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序号</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小区</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地址</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数量（幅）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金源山水城</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开江县峨城大道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2</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橄榄新城A区</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开江县峨城大道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3</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橄榄新城B区</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开江县环城西路</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4</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侨兴时代中央城</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开江县峨城大道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5</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康力国际东区</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开江县金山大道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6</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康力国际西区</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开江县金山大道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7</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嘉阳天宇</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开江县宝石路</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8</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嘉阳天宇2期</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开江县宝石路</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9</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月季苑</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渠县老营渠路</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10</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科华首座</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渠县渠江街道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11</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地旺广场</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渠县167县道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12</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铁投</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渠县怡康路</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13</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南城印象</w:t>
            </w: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渠县渠南街道</w:t>
            </w: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133"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总计</w:t>
            </w:r>
          </w:p>
        </w:tc>
        <w:tc>
          <w:tcPr>
            <w:tcW w:w="3119" w:type="dxa"/>
            <w:noWrap w:val="0"/>
            <w:vAlign w:val="top"/>
          </w:tcPr>
          <w:p>
            <w:pPr>
              <w:keepNext w:val="0"/>
              <w:keepLines w:val="0"/>
              <w:pageBreakBefore w:val="0"/>
              <w:widowControl/>
              <w:kinsoku/>
              <w:wordWrap/>
              <w:overflowPunct/>
              <w:topLinePunct w:val="0"/>
              <w:autoSpaceDE/>
              <w:autoSpaceDN/>
              <w:bidi w:val="0"/>
              <w:adjustRightInd/>
              <w:snapToGrid/>
              <w:spacing w:line="360" w:lineRule="auto"/>
              <w:ind w:firstLine="360" w:firstLineChars="200"/>
              <w:jc w:val="center"/>
              <w:textAlignment w:val="auto"/>
              <w:rPr>
                <w:rFonts w:hint="eastAsia" w:ascii="仿宋" w:hAnsi="仿宋" w:eastAsia="仿宋" w:cs="仿宋"/>
                <w:sz w:val="18"/>
                <w:szCs w:val="18"/>
                <w:lang w:val="en-US" w:eastAsia="zh-CN"/>
              </w:rPr>
            </w:pPr>
          </w:p>
        </w:tc>
        <w:tc>
          <w:tcPr>
            <w:tcW w:w="3029" w:type="dxa"/>
            <w:noWrap w:val="0"/>
            <w:vAlign w:val="top"/>
          </w:tcPr>
          <w:p>
            <w:pPr>
              <w:keepNext w:val="0"/>
              <w:keepLines w:val="0"/>
              <w:pageBreakBefore w:val="0"/>
              <w:widowControl/>
              <w:kinsoku/>
              <w:wordWrap/>
              <w:overflowPunct/>
              <w:topLinePunct w:val="0"/>
              <w:autoSpaceDE/>
              <w:autoSpaceDN/>
              <w:bidi w:val="0"/>
              <w:adjustRightInd/>
              <w:snapToGrid/>
              <w:spacing w:line="360" w:lineRule="auto"/>
              <w:ind w:firstLine="360" w:firstLineChars="200"/>
              <w:jc w:val="center"/>
              <w:textAlignment w:val="auto"/>
              <w:rPr>
                <w:rFonts w:hint="eastAsia" w:ascii="仿宋" w:hAnsi="仿宋" w:eastAsia="仿宋" w:cs="仿宋"/>
                <w:sz w:val="18"/>
                <w:szCs w:val="18"/>
                <w:lang w:val="en-US" w:eastAsia="zh-CN"/>
              </w:rPr>
            </w:pPr>
          </w:p>
        </w:tc>
        <w:tc>
          <w:tcPr>
            <w:tcW w:w="1657" w:type="dxa"/>
            <w:noWrap w:val="0"/>
            <w:vAlign w:val="top"/>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359</w:t>
            </w: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Arial" w:hAnsi="Arial" w:cs="Arial"/>
          <w:b/>
          <w:bCs/>
          <w:lang w:val="en-US" w:eastAsia="zh-CN"/>
        </w:rPr>
      </w:pPr>
      <w:r>
        <w:rPr>
          <w:rFonts w:hint="eastAsia" w:ascii="Arial" w:hAnsi="Arial" w:cs="Arial"/>
          <w:b/>
          <w:bCs/>
          <w:lang w:val="en-US" w:eastAsia="zh-CN"/>
        </w:rPr>
        <w:t>三、采购数量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lang w:val="en-US" w:eastAsia="zh-CN"/>
        </w:rPr>
      </w:pPr>
      <w:r>
        <w:rPr>
          <w:rFonts w:hint="eastAsia" w:ascii="仿宋" w:hAnsi="仿宋" w:eastAsia="仿宋" w:cs="仿宋"/>
          <w:lang w:val="en-US" w:eastAsia="zh-CN"/>
        </w:rPr>
        <w:t>359幅。</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Arial" w:hAnsi="Arial" w:cs="Arial"/>
          <w:b/>
          <w:bCs/>
          <w:lang w:val="en-US" w:eastAsia="zh-CN"/>
        </w:rPr>
      </w:pPr>
      <w:r>
        <w:rPr>
          <w:rFonts w:hint="eastAsia" w:ascii="Arial" w:hAnsi="Arial" w:cs="Arial"/>
          <w:b/>
          <w:bCs/>
          <w:lang w:val="en-US" w:eastAsia="zh-CN"/>
        </w:rPr>
        <w:t>四、付款方式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Chars="177"/>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与合同中要求相符。</w:t>
      </w:r>
    </w:p>
    <w:p>
      <w:pPr>
        <w:pStyle w:val="2"/>
      </w:pPr>
      <w:r>
        <w:t xml:space="preserve"> </w:t>
      </w:r>
    </w:p>
    <w:p>
      <w:pPr>
        <w:pStyle w:val="2"/>
      </w:pPr>
    </w:p>
    <w:p>
      <w:pPr>
        <w:pStyle w:val="3"/>
        <w:spacing w:before="0" w:after="0"/>
        <w:jc w:val="left"/>
        <w:rPr>
          <w:rFonts w:ascii="仿宋" w:hAnsi="仿宋" w:eastAsia="仿宋" w:cs="仿宋"/>
          <w:sz w:val="28"/>
          <w:szCs w:val="28"/>
        </w:rPr>
      </w:pPr>
      <w:bookmarkStart w:id="124" w:name="_Toc186737812"/>
      <w:bookmarkStart w:id="125" w:name="_Toc3675"/>
      <w:bookmarkStart w:id="126" w:name="_Toc9891"/>
      <w:r>
        <w:rPr>
          <w:rFonts w:hint="eastAsia" w:ascii="仿宋" w:hAnsi="仿宋" w:eastAsia="仿宋" w:cs="仿宋"/>
          <w:sz w:val="28"/>
          <w:szCs w:val="28"/>
        </w:rPr>
        <w:t>第六章 响应文件格式</w:t>
      </w:r>
      <w:bookmarkEnd w:id="124"/>
      <w:bookmarkEnd w:id="125"/>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谈判响应文件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pStyle w:val="4"/>
        <w:jc w:val="both"/>
        <w:rPr>
          <w:rFonts w:ascii="仿宋" w:hAnsi="仿宋" w:eastAsia="仿宋" w:cs="仿宋"/>
          <w:color w:val="000000"/>
          <w:sz w:val="24"/>
          <w:szCs w:val="24"/>
        </w:rPr>
      </w:pPr>
      <w:bookmarkStart w:id="127" w:name="_Toc3936"/>
      <w:bookmarkStart w:id="128" w:name="_Toc17191"/>
      <w:bookmarkStart w:id="129" w:name="_Toc186737813"/>
      <w:bookmarkStart w:id="130" w:name="_Toc444891353"/>
      <w:bookmarkStart w:id="131" w:name="_Toc19783362"/>
      <w:bookmarkStart w:id="132" w:name="_Toc517281836"/>
      <w:bookmarkStart w:id="133" w:name="_Toc19910"/>
      <w:bookmarkStart w:id="134" w:name="_Toc287600131"/>
      <w:bookmarkStart w:id="135" w:name="_Toc21280"/>
      <w:bookmarkStart w:id="136" w:name="_Toc25957"/>
      <w:bookmarkStart w:id="137" w:name="_Toc11783"/>
      <w:bookmarkStart w:id="138" w:name="_Toc287600129"/>
      <w:bookmarkStart w:id="139" w:name="_Toc19783360"/>
      <w:r>
        <w:rPr>
          <w:rFonts w:hint="eastAsia" w:ascii="仿宋" w:hAnsi="仿宋" w:eastAsia="仿宋" w:cs="仿宋"/>
          <w:color w:val="000000"/>
          <w:sz w:val="24"/>
          <w:szCs w:val="24"/>
        </w:rPr>
        <w:t>一、商务文件</w:t>
      </w:r>
      <w:bookmarkEnd w:id="127"/>
      <w:bookmarkEnd w:id="128"/>
      <w:bookmarkEnd w:id="129"/>
    </w:p>
    <w:p>
      <w:pPr>
        <w:jc w:val="center"/>
      </w:pPr>
      <w:bookmarkStart w:id="140" w:name="_Toc26744"/>
      <w:r>
        <w:rPr>
          <w:rFonts w:hint="eastAsia" w:ascii="仿宋" w:hAnsi="仿宋" w:eastAsia="仿宋" w:cs="仿宋"/>
          <w:b/>
          <w:bCs/>
        </w:rPr>
        <w:t>初步评审索引表</w:t>
      </w:r>
      <w:bookmarkEnd w:id="140"/>
    </w:p>
    <w:tbl>
      <w:tblPr>
        <w:tblStyle w:val="29"/>
        <w:tblW w:w="509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1704"/>
        <w:gridCol w:w="3302"/>
        <w:gridCol w:w="421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76" w:hRule="atLeast"/>
          <w:jc w:val="center"/>
        </w:trPr>
        <w:tc>
          <w:tcPr>
            <w:tcW w:w="813"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4"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2"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9"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2"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9"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9"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9"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9"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营业执照</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商业信誉及财务制度</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设备及专业技术</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税收及社保资金</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无违法违规记录</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未被列入黑名单</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控股及管理关系</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非联合体</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4" w:type="dxa"/>
            <w:vMerge w:val="restart"/>
            <w:vAlign w:val="center"/>
          </w:tcPr>
          <w:p>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响应性评审</w:t>
            </w:r>
          </w:p>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标准</w:t>
            </w:r>
          </w:p>
        </w:tc>
        <w:tc>
          <w:tcPr>
            <w:tcW w:w="3302"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9"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ascii="仿宋" w:hAnsi="仿宋" w:eastAsia="仿宋" w:cs="Cambria Math"/>
                <w:color w:val="000000"/>
                <w:sz w:val="24"/>
                <w:szCs w:val="21"/>
                <w:lang w:val="en-US" w:eastAsia="zh-CN" w:bidi="ar-SA"/>
              </w:rPr>
            </w:pPr>
            <w:r>
              <w:rPr>
                <w:rFonts w:hint="eastAsia" w:ascii="仿宋" w:hAnsi="仿宋" w:eastAsia="仿宋" w:cs="宋体"/>
                <w:color w:val="000000"/>
                <w:szCs w:val="21"/>
              </w:rPr>
              <w:t>供应商行为准则承诺书</w:t>
            </w:r>
          </w:p>
        </w:tc>
        <w:tc>
          <w:tcPr>
            <w:tcW w:w="4219" w:type="dxa"/>
            <w:vAlign w:val="center"/>
          </w:tcPr>
          <w:p>
            <w:pPr>
              <w:spacing w:before="24" w:after="24" w:line="276" w:lineRule="auto"/>
              <w:rPr>
                <w:rFonts w:ascii="仿宋" w:hAnsi="仿宋" w:eastAsia="仿宋" w:cs="仿宋"/>
                <w:color w:val="000000"/>
                <w:sz w:val="24"/>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64"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ascii="仿宋" w:hAnsi="仿宋" w:eastAsia="仿宋" w:cs="Cambria Math"/>
                <w:color w:val="000000"/>
                <w:sz w:val="24"/>
                <w:szCs w:val="21"/>
                <w:lang w:val="en-US" w:eastAsia="zh-CN" w:bidi="ar-SA"/>
              </w:rPr>
            </w:pPr>
            <w:r>
              <w:rPr>
                <w:rFonts w:hint="eastAsia" w:ascii="仿宋" w:hAnsi="仿宋" w:eastAsia="仿宋" w:cs="宋体"/>
                <w:color w:val="000000"/>
                <w:szCs w:val="21"/>
              </w:rPr>
              <w:t>供应商廉洁诚信承诺书</w:t>
            </w:r>
          </w:p>
        </w:tc>
        <w:tc>
          <w:tcPr>
            <w:tcW w:w="4219" w:type="dxa"/>
            <w:vAlign w:val="center"/>
          </w:tcPr>
          <w:p>
            <w:pPr>
              <w:spacing w:before="24" w:after="24" w:line="276" w:lineRule="auto"/>
              <w:rPr>
                <w:rFonts w:ascii="仿宋" w:hAnsi="仿宋" w:eastAsia="仿宋" w:cs="仿宋"/>
                <w:color w:val="000000"/>
                <w:sz w:val="24"/>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81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302" w:type="dxa"/>
            <w:vAlign w:val="center"/>
          </w:tcPr>
          <w:p>
            <w:pPr>
              <w:spacing w:before="24" w:after="24" w:line="276" w:lineRule="auto"/>
              <w:jc w:val="center"/>
              <w:rPr>
                <w:rFonts w:ascii="仿宋" w:hAnsi="仿宋" w:eastAsia="仿宋" w:cs="仿宋"/>
                <w:color w:val="000000"/>
                <w:sz w:val="24"/>
                <w:szCs w:val="21"/>
                <w:lang w:val="en-US" w:eastAsia="zh-CN" w:bidi="ar-SA"/>
              </w:rPr>
            </w:pPr>
            <w:r>
              <w:rPr>
                <w:rFonts w:hint="eastAsia" w:ascii="仿宋" w:hAnsi="仿宋" w:eastAsia="仿宋" w:cs="Cambria Math"/>
                <w:color w:val="000000" w:themeColor="text1"/>
                <w:szCs w:val="21"/>
                <w14:textFill>
                  <w14:solidFill>
                    <w14:schemeClr w14:val="tx1"/>
                  </w14:solidFill>
                </w14:textFill>
              </w:rPr>
              <w:t>供应商偏离应答</w:t>
            </w:r>
          </w:p>
        </w:tc>
        <w:tc>
          <w:tcPr>
            <w:tcW w:w="4219" w:type="dxa"/>
            <w:vAlign w:val="center"/>
          </w:tcPr>
          <w:p>
            <w:pPr>
              <w:spacing w:before="24" w:after="24" w:line="276" w:lineRule="auto"/>
              <w:rPr>
                <w:rFonts w:ascii="仿宋" w:hAnsi="仿宋" w:eastAsia="仿宋" w:cs="仿宋"/>
                <w:color w:val="000000"/>
                <w:sz w:val="24"/>
                <w:szCs w:val="21"/>
                <w:lang w:val="en-US" w:eastAsia="zh-CN" w:bidi="ar-SA"/>
              </w:rPr>
            </w:pPr>
          </w:p>
        </w:tc>
      </w:tr>
    </w:tbl>
    <w:p>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000000"/>
          <w:sz w:val="24"/>
          <w:szCs w:val="24"/>
        </w:rPr>
      </w:pPr>
      <w:bookmarkStart w:id="141" w:name="_Toc27958"/>
      <w:bookmarkStart w:id="142" w:name="_Toc186737814"/>
      <w:bookmarkStart w:id="143" w:name="_Toc444891354"/>
      <w:bookmarkStart w:id="144" w:name="_Toc27799"/>
      <w:bookmarkStart w:id="145" w:name="_Toc25121"/>
      <w:bookmarkStart w:id="146" w:name="_Toc517281837"/>
      <w:bookmarkStart w:id="147" w:name="_Toc7202"/>
      <w:bookmarkStart w:id="148" w:name="_Toc12140"/>
      <w:r>
        <w:rPr>
          <w:rFonts w:hint="eastAsia" w:ascii="仿宋" w:hAnsi="仿宋" w:eastAsia="仿宋" w:cs="仿宋"/>
          <w:color w:val="000000"/>
          <w:sz w:val="24"/>
          <w:szCs w:val="24"/>
        </w:rPr>
        <w:t>（一）响应函</w:t>
      </w:r>
      <w:bookmarkEnd w:id="141"/>
      <w:bookmarkEnd w:id="142"/>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致：</w:t>
      </w:r>
      <w:r>
        <w:rPr>
          <w:rFonts w:hint="eastAsia" w:ascii="仿宋" w:hAnsi="仿宋" w:eastAsia="仿宋" w:cs="Cambria Math"/>
          <w:color w:val="000000"/>
          <w:sz w:val="24"/>
          <w:szCs w:val="24"/>
          <w:u w:val="single"/>
          <w:lang w:eastAsia="zh-CN"/>
        </w:rPr>
        <w:t>中国人民财产保险股份有限公司达州市分公司</w:t>
      </w:r>
      <w:r>
        <w:rPr>
          <w:rFonts w:hint="eastAsia" w:ascii="仿宋" w:hAnsi="仿宋" w:eastAsia="仿宋" w:cs="Cambria Math"/>
          <w:color w:val="000000"/>
          <w:sz w:val="24"/>
          <w:szCs w:val="24"/>
          <w:u w:val="single"/>
        </w:rPr>
        <w:t xml:space="preserve">  </w:t>
      </w:r>
    </w:p>
    <w:p>
      <w:pPr>
        <w:spacing w:line="440" w:lineRule="exact"/>
        <w:ind w:firstLine="420"/>
        <w:rPr>
          <w:rFonts w:hint="eastAsia" w:ascii="仿宋" w:hAnsi="仿宋" w:eastAsia="仿宋" w:cs="Cambria Math"/>
          <w:color w:val="000000"/>
          <w:u w:val="single"/>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人保财险四川省达州市分公司</w:t>
      </w:r>
    </w:p>
    <w:p>
      <w:pPr>
        <w:spacing w:line="440" w:lineRule="exact"/>
        <w:rPr>
          <w:rFonts w:ascii="仿宋" w:hAnsi="仿宋" w:eastAsia="仿宋" w:cs="Cambria Math"/>
          <w:color w:val="000000"/>
        </w:rPr>
      </w:pPr>
      <w:r>
        <w:rPr>
          <w:rFonts w:hint="eastAsia" w:ascii="仿宋" w:hAnsi="仿宋" w:eastAsia="仿宋" w:cs="Cambria Math"/>
          <w:color w:val="000000"/>
          <w:u w:val="single"/>
        </w:rPr>
        <w:t>2026年度车险电梯轿厢宣传采购项目</w:t>
      </w:r>
      <w:r>
        <w:rPr>
          <w:rFonts w:hint="eastAsia" w:ascii="仿宋" w:hAnsi="仿宋" w:eastAsia="仿宋" w:cs="Cambria Math"/>
          <w:color w:val="000000"/>
        </w:rPr>
        <w:t>竞争性谈判文件的全部内容，包括澄清或者修改文件以及有关附件，我方将严格按照竞争性谈判文件要求递交符合要求的全部谈判响应文件。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本响应函及谈判响应文件自谈判响应文件提交截止日起有效期为</w:t>
      </w:r>
      <w:r>
        <w:rPr>
          <w:rFonts w:hint="eastAsia" w:ascii="仿宋" w:hAnsi="仿宋" w:eastAsia="仿宋" w:cs="Cambria Math"/>
          <w:color w:val="FF0000"/>
          <w:u w:val="single"/>
          <w:lang w:val="en-US" w:eastAsia="zh-CN"/>
        </w:rPr>
        <w:t>5</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，我方承诺在响应有效期内不修改、撤销谈判响应文件。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我方承诺提供谈判过程中可能要求的澄清、说明、补正或者算术性错误修正确认，并同意我方提供的以上材料构成我方响应文件的组成部分。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（2）我方承诺按照竞争性谈判文件规定递交履约保证金。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（3）我方承诺按照竞争性谈判文件的规定及合同约定履行相关责任和义务。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3"/>
      <w:bookmarkEnd w:id="144"/>
      <w:bookmarkEnd w:id="145"/>
      <w:bookmarkEnd w:id="146"/>
      <w:bookmarkEnd w:id="147"/>
      <w:bookmarkEnd w:id="148"/>
      <w:bookmarkStart w:id="149" w:name="_Toc186737815"/>
      <w:bookmarkStart w:id="150" w:name="_Toc13983"/>
      <w:r>
        <w:rPr>
          <w:rFonts w:hint="eastAsia" w:ascii="仿宋" w:hAnsi="仿宋" w:eastAsia="仿宋" w:cs="仿宋"/>
          <w:color w:val="000000"/>
          <w:sz w:val="24"/>
          <w:szCs w:val="24"/>
        </w:rPr>
        <w:t>（二）法定代表人（负责人）身份证明书</w:t>
      </w:r>
      <w:bookmarkEnd w:id="149"/>
      <w:bookmarkEnd w:id="150"/>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1" w:name="_Toc24788"/>
      <w:bookmarkStart w:id="152" w:name="_Toc19783361"/>
      <w:bookmarkStart w:id="153" w:name="_Toc287600130"/>
      <w:bookmarkStart w:id="154" w:name="_Toc4426"/>
      <w:bookmarkStart w:id="155" w:name="_Toc517281838"/>
      <w:bookmarkStart w:id="156" w:name="_Toc444891355"/>
      <w:bookmarkStart w:id="157" w:name="_Toc20707"/>
      <w:bookmarkStart w:id="158" w:name="_Toc26267"/>
      <w:bookmarkStart w:id="159" w:name="_Toc5582"/>
      <w:bookmarkStart w:id="160" w:name="_Toc186737816"/>
      <w:r>
        <w:rPr>
          <w:rFonts w:hint="eastAsia" w:ascii="仿宋" w:hAnsi="仿宋" w:eastAsia="仿宋" w:cs="仿宋"/>
          <w:color w:val="000000"/>
          <w:sz w:val="24"/>
          <w:szCs w:val="24"/>
        </w:rPr>
        <w:t>（三）法定代表人（负责人）授权委托书</w:t>
      </w:r>
      <w:bookmarkEnd w:id="151"/>
      <w:bookmarkEnd w:id="152"/>
      <w:bookmarkEnd w:id="153"/>
      <w:bookmarkEnd w:id="154"/>
      <w:bookmarkEnd w:id="155"/>
      <w:bookmarkEnd w:id="156"/>
      <w:bookmarkEnd w:id="157"/>
      <w:bookmarkEnd w:id="158"/>
      <w:bookmarkEnd w:id="159"/>
      <w:bookmarkEnd w:id="160"/>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jc w:val="left"/>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lang w:eastAsia="zh-CN"/>
        </w:rPr>
        <w:t>人保财险四川省达州市分公司</w:t>
      </w:r>
      <w:r>
        <w:rPr>
          <w:rFonts w:hint="eastAsia" w:ascii="仿宋" w:hAnsi="仿宋" w:eastAsia="仿宋" w:cs="Cambria Math"/>
          <w:color w:val="000000"/>
          <w:sz w:val="24"/>
          <w:szCs w:val="24"/>
          <w:u w:val="single"/>
          <w:lang w:val="en-US" w:eastAsia="zh-CN"/>
        </w:rPr>
        <w:t>2026年度</w:t>
      </w:r>
      <w:r>
        <w:rPr>
          <w:rFonts w:hint="eastAsia" w:ascii="仿宋" w:hAnsi="仿宋" w:eastAsia="仿宋" w:cs="Cambria Math"/>
          <w:color w:val="000000"/>
          <w:sz w:val="24"/>
          <w:szCs w:val="24"/>
          <w:u w:val="single"/>
          <w:lang w:eastAsia="zh-CN"/>
        </w:rPr>
        <w:t>车险电梯轿厢宣传采购项目</w:t>
      </w:r>
      <w:r>
        <w:rPr>
          <w:rFonts w:hint="eastAsia" w:ascii="仿宋" w:hAnsi="仿宋" w:eastAsia="仿宋" w:cs="Cambria Math"/>
          <w:color w:val="000000"/>
          <w:sz w:val="24"/>
          <w:szCs w:val="24"/>
        </w:rPr>
        <w:t>谈判响应文件、签订合同和处理有关事宜，其法律后果由我方承担。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之日起至谈判响应有效期到期之日为止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1" w:name="_Toc30551"/>
      <w:bookmarkStart w:id="162" w:name="_Toc186737817"/>
      <w:bookmarkStart w:id="163" w:name="_Toc517281841"/>
      <w:r>
        <w:rPr>
          <w:rFonts w:hint="eastAsia" w:ascii="仿宋" w:hAnsi="仿宋" w:eastAsia="仿宋" w:cs="仿宋"/>
          <w:color w:val="000000"/>
          <w:sz w:val="24"/>
          <w:szCs w:val="24"/>
        </w:rPr>
        <w:t>（四）资格证明文件</w:t>
      </w:r>
      <w:bookmarkEnd w:id="161"/>
      <w:bookmarkEnd w:id="162"/>
    </w:p>
    <w:p>
      <w:pPr>
        <w:pStyle w:val="61"/>
        <w:jc w:val="left"/>
        <w:rPr>
          <w:rFonts w:ascii="仿宋" w:hAnsi="仿宋" w:eastAsia="仿宋" w:cs="仿宋"/>
          <w:b/>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b/>
          <w:color w:val="000000"/>
          <w:sz w:val="24"/>
          <w:szCs w:val="24"/>
        </w:rPr>
        <w:t>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商业信誉及财务制度</w:t>
      </w:r>
    </w:p>
    <w:p>
      <w:pPr>
        <w:pStyle w:val="2"/>
        <w:spacing w:before="240"/>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《具有良好的</w:t>
      </w:r>
      <w:r>
        <w:rPr>
          <w:rFonts w:hint="eastAsia" w:ascii="仿宋" w:hAnsi="仿宋" w:eastAsia="仿宋" w:cs="Cambria Math"/>
          <w:b w:val="0"/>
          <w:bCs w:val="0"/>
          <w:color w:val="000000" w:themeColor="text1"/>
          <w:lang w:val="en-US" w:eastAsia="zh-CN"/>
          <w14:textFill>
            <w14:solidFill>
              <w14:schemeClr w14:val="tx1"/>
            </w14:solidFill>
          </w14:textFill>
        </w:rPr>
        <w:t>商业信誉及财务制度</w:t>
      </w:r>
      <w:r>
        <w:rPr>
          <w:rFonts w:hint="eastAsia" w:ascii="仿宋" w:hAnsi="仿宋" w:eastAsia="仿宋" w:cs="Cambria Math"/>
          <w:b w:val="0"/>
          <w:bCs w:val="0"/>
          <w:color w:val="000000" w:themeColor="text1"/>
          <w14:textFill>
            <w14:solidFill>
              <w14:schemeClr w14:val="tx1"/>
            </w14:solidFill>
          </w14:textFill>
        </w:rPr>
        <w:t>承诺书》</w:t>
      </w:r>
    </w:p>
    <w:p>
      <w:pPr>
        <w:pStyle w:val="2"/>
        <w:spacing w:before="240"/>
        <w:jc w:val="center"/>
        <w:rPr>
          <w:rFonts w:hint="eastAsia" w:ascii="仿宋" w:hAnsi="仿宋" w:eastAsia="仿宋" w:cs="Cambria Math"/>
          <w:b w:val="0"/>
          <w:bCs w:val="0"/>
          <w:color w:val="000000" w:themeColor="text1"/>
          <w14:textFill>
            <w14:solidFill>
              <w14:schemeClr w14:val="tx1"/>
            </w14:solidFill>
          </w14:textFill>
        </w:rPr>
      </w:pPr>
    </w:p>
    <w:p>
      <w:pPr>
        <w:adjustRightInd w:val="0"/>
        <w:snapToGrid w:val="0"/>
        <w:spacing w:before="240" w:line="360" w:lineRule="auto"/>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致：</w:t>
      </w:r>
      <w:r>
        <w:rPr>
          <w:rFonts w:hint="eastAsia" w:ascii="仿宋" w:hAnsi="仿宋" w:eastAsia="仿宋" w:cs="仿宋"/>
          <w:b w:val="0"/>
          <w:bCs w:val="0"/>
          <w:color w:val="000000" w:themeColor="text1"/>
          <w:u w:val="single"/>
          <w:lang w:eastAsia="zh-CN"/>
          <w14:textFill>
            <w14:solidFill>
              <w14:schemeClr w14:val="tx1"/>
            </w14:solidFill>
          </w14:textFill>
        </w:rPr>
        <w:t>中国人民财产保险股份有限公司达州市分公司</w:t>
      </w:r>
    </w:p>
    <w:p>
      <w:pPr>
        <w:adjustRightInd w:val="0"/>
        <w:snapToGrid w:val="0"/>
        <w:spacing w:before="240" w:line="360" w:lineRule="auto"/>
        <w:ind w:firstLine="480" w:firstLineChars="200"/>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我方</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（供应商名称）</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承诺符合</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color w:val="000000"/>
          <w:sz w:val="24"/>
          <w:szCs w:val="24"/>
          <w:u w:val="single"/>
          <w:lang w:eastAsia="zh-CN"/>
        </w:rPr>
        <w:t>人保财险四川省达州市分公司</w:t>
      </w:r>
      <w:r>
        <w:rPr>
          <w:rFonts w:hint="eastAsia" w:ascii="仿宋" w:hAnsi="仿宋" w:eastAsia="仿宋" w:cs="Cambria Math"/>
          <w:color w:val="000000"/>
          <w:sz w:val="24"/>
          <w:szCs w:val="24"/>
          <w:u w:val="single"/>
          <w:lang w:val="en-US" w:eastAsia="zh-CN"/>
        </w:rPr>
        <w:t>2026年度</w:t>
      </w:r>
      <w:r>
        <w:rPr>
          <w:rFonts w:hint="eastAsia" w:ascii="仿宋" w:hAnsi="仿宋" w:eastAsia="仿宋" w:cs="Cambria Math"/>
          <w:color w:val="000000"/>
          <w:sz w:val="24"/>
          <w:szCs w:val="24"/>
          <w:u w:val="single"/>
          <w:lang w:eastAsia="zh-CN"/>
        </w:rPr>
        <w:t>车险电梯轿厢宣传采购项目</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资格条件中要求的具有良好的商业信誉和健全的财务会计制度，并对上述承诺真实性负责。</w:t>
      </w:r>
      <w:r>
        <w:rPr>
          <w:rFonts w:ascii="仿宋" w:hAnsi="仿宋" w:eastAsia="仿宋" w:cs="Cambria Math"/>
          <w:b w:val="0"/>
          <w:bCs w:val="0"/>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特此承诺。</w:t>
      </w:r>
    </w:p>
    <w:p>
      <w:pPr>
        <w:spacing w:line="360" w:lineRule="auto"/>
        <w:ind w:firstLine="4080" w:firstLineChars="1700"/>
        <w:jc w:val="right"/>
        <w:rPr>
          <w:rFonts w:hint="eastAsia" w:ascii="仿宋" w:hAnsi="仿宋" w:eastAsia="仿宋" w:cs="Cambria Math"/>
          <w:b w:val="0"/>
          <w:bCs w:val="0"/>
          <w:color w:val="000000"/>
        </w:rPr>
      </w:pPr>
    </w:p>
    <w:p>
      <w:pPr>
        <w:spacing w:line="360" w:lineRule="auto"/>
        <w:ind w:firstLine="4080" w:firstLineChars="1700"/>
        <w:jc w:val="right"/>
        <w:rPr>
          <w:rFonts w:hint="eastAsia" w:ascii="仿宋" w:hAnsi="仿宋" w:eastAsia="仿宋" w:cs="Cambria Math"/>
          <w:b w:val="0"/>
          <w:bCs w:val="0"/>
          <w:color w:val="000000"/>
        </w:rPr>
      </w:pPr>
    </w:p>
    <w:p>
      <w:pPr>
        <w:spacing w:line="360" w:lineRule="auto"/>
        <w:ind w:firstLine="4080" w:firstLineChars="1700"/>
        <w:jc w:val="right"/>
        <w:rPr>
          <w:rFonts w:ascii="仿宋" w:hAnsi="仿宋" w:eastAsia="仿宋" w:cs="Cambria Math"/>
          <w:b w:val="0"/>
          <w:bCs w:val="0"/>
          <w:color w:val="000000"/>
        </w:rPr>
      </w:pPr>
      <w:r>
        <w:rPr>
          <w:rFonts w:hint="eastAsia" w:ascii="仿宋" w:hAnsi="仿宋" w:eastAsia="仿宋" w:cs="Cambria Math"/>
          <w:b w:val="0"/>
          <w:bCs w:val="0"/>
          <w:color w:val="000000"/>
        </w:rPr>
        <w:t>供应商名称：</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（盖章）</w:t>
      </w:r>
    </w:p>
    <w:p>
      <w:pPr>
        <w:spacing w:line="360" w:lineRule="auto"/>
        <w:jc w:val="right"/>
        <w:rPr>
          <w:rFonts w:ascii="仿宋" w:hAnsi="仿宋" w:eastAsia="仿宋" w:cs="Cambria Math"/>
          <w:b w:val="0"/>
          <w:bCs w:val="0"/>
          <w:color w:val="000000"/>
        </w:rPr>
      </w:pPr>
      <w:r>
        <w:rPr>
          <w:rFonts w:hint="eastAsia" w:ascii="仿宋" w:hAnsi="仿宋" w:eastAsia="仿宋" w:cs="Cambria Math"/>
          <w:b w:val="0"/>
          <w:bCs w:val="0"/>
          <w:color w:val="000000"/>
        </w:rPr>
        <w:t>日期：</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年</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月</w:t>
      </w:r>
      <w:r>
        <w:rPr>
          <w:rFonts w:hint="eastAsia" w:ascii="仿宋" w:hAnsi="仿宋" w:eastAsia="仿宋" w:cs="Cambria Math"/>
          <w:b w:val="0"/>
          <w:bCs w:val="0"/>
          <w:color w:val="000000"/>
          <w:u w:val="single"/>
        </w:rPr>
        <w:t xml:space="preserve">   </w:t>
      </w:r>
      <w:r>
        <w:rPr>
          <w:rFonts w:hint="eastAsia" w:ascii="仿宋" w:hAnsi="仿宋" w:eastAsia="仿宋" w:cs="Cambria Math"/>
          <w:b w:val="0"/>
          <w:bCs w:val="0"/>
          <w:color w:val="000000"/>
        </w:rPr>
        <w:t>日</w:t>
      </w:r>
    </w:p>
    <w:p>
      <w:pPr>
        <w:pStyle w:val="2"/>
        <w:ind w:firstLine="480" w:firstLineChars="200"/>
        <w:jc w:val="both"/>
        <w:rPr>
          <w:rFonts w:hint="eastAsia" w:ascii="仿宋" w:hAnsi="仿宋" w:eastAsia="仿宋" w:cs="Cambria Math"/>
          <w:color w:val="000000"/>
        </w:rPr>
      </w:pP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en-US" w:eastAsia="zh-CN"/>
        </w:rPr>
        <w:t>设备及专业技术</w:t>
      </w:r>
    </w:p>
    <w:p>
      <w:pPr>
        <w:pStyle w:val="2"/>
        <w:spacing w:before="240"/>
        <w:jc w:val="center"/>
        <w:rPr>
          <w:rFonts w:hint="eastAsia" w:ascii="仿宋" w:hAnsi="仿宋" w:eastAsia="仿宋" w:cs="宋体"/>
          <w:b w:val="0"/>
          <w:bCs w:val="0"/>
          <w:color w:val="000000" w:themeColor="text1"/>
          <w:lang w:val="en-US" w:eastAsia="zh-CN"/>
          <w14:textFill>
            <w14:solidFill>
              <w14:schemeClr w14:val="tx1"/>
            </w14:solidFill>
          </w14:textFill>
        </w:rPr>
      </w:pPr>
      <w:r>
        <w:rPr>
          <w:rFonts w:hint="eastAsia" w:ascii="仿宋" w:hAnsi="仿宋" w:eastAsia="仿宋" w:cs="Cambria Math"/>
          <w:b w:val="0"/>
          <w:bCs w:val="0"/>
          <w:color w:val="000000" w:themeColor="text1"/>
          <w:lang w:eastAsia="zh-CN"/>
          <w14:textFill>
            <w14:solidFill>
              <w14:schemeClr w14:val="tx1"/>
            </w14:solidFill>
          </w14:textFill>
        </w:rPr>
        <w:t>《</w:t>
      </w:r>
      <w:r>
        <w:rPr>
          <w:rFonts w:hint="eastAsia" w:ascii="仿宋" w:hAnsi="仿宋" w:eastAsia="仿宋" w:cs="宋体"/>
          <w:b w:val="0"/>
          <w:bCs w:val="0"/>
          <w:color w:val="000000" w:themeColor="text1"/>
          <w14:textFill>
            <w14:solidFill>
              <w14:schemeClr w14:val="tx1"/>
            </w14:solidFill>
          </w14:textFill>
        </w:rPr>
        <w:t>具有履行合同所必需的设备和专业技术能力</w:t>
      </w:r>
      <w:r>
        <w:rPr>
          <w:rFonts w:hint="eastAsia" w:ascii="仿宋" w:hAnsi="仿宋" w:eastAsia="仿宋" w:cs="宋体"/>
          <w:b w:val="0"/>
          <w:bCs w:val="0"/>
          <w:color w:val="000000" w:themeColor="text1"/>
          <w:lang w:val="en-US" w:eastAsia="zh-CN"/>
          <w14:textFill>
            <w14:solidFill>
              <w14:schemeClr w14:val="tx1"/>
            </w14:solidFill>
          </w14:textFill>
        </w:rPr>
        <w:t>承诺书》</w:t>
      </w:r>
    </w:p>
    <w:p>
      <w:pPr>
        <w:pStyle w:val="2"/>
        <w:spacing w:before="240"/>
        <w:jc w:val="center"/>
        <w:rPr>
          <w:rFonts w:hint="eastAsia" w:ascii="仿宋" w:hAnsi="仿宋" w:eastAsia="仿宋" w:cs="宋体"/>
          <w:b w:val="0"/>
          <w:bCs w:val="0"/>
          <w:color w:val="000000" w:themeColor="text1"/>
          <w:lang w:val="en-US" w:eastAsia="zh-CN"/>
          <w14:textFill>
            <w14:solidFill>
              <w14:schemeClr w14:val="tx1"/>
            </w14:solidFill>
          </w14:textFill>
        </w:rPr>
      </w:pPr>
    </w:p>
    <w:p>
      <w:pPr>
        <w:adjustRightInd w:val="0"/>
        <w:snapToGrid w:val="0"/>
        <w:spacing w:before="240" w:line="360" w:lineRule="auto"/>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致：</w:t>
      </w:r>
      <w:r>
        <w:rPr>
          <w:rFonts w:hint="eastAsia" w:ascii="仿宋" w:hAnsi="仿宋" w:eastAsia="仿宋" w:cs="仿宋"/>
          <w:b w:val="0"/>
          <w:bCs w:val="0"/>
          <w:color w:val="000000" w:themeColor="text1"/>
          <w:u w:val="single"/>
          <w:lang w:eastAsia="zh-CN"/>
          <w14:textFill>
            <w14:solidFill>
              <w14:schemeClr w14:val="tx1"/>
            </w14:solidFill>
          </w14:textFill>
        </w:rPr>
        <w:t>中国人民财产保险股份有限公司达州市分公司</w:t>
      </w:r>
    </w:p>
    <w:p>
      <w:pPr>
        <w:adjustRightInd w:val="0"/>
        <w:snapToGrid w:val="0"/>
        <w:spacing w:before="240" w:line="360" w:lineRule="auto"/>
        <w:ind w:firstLine="480" w:firstLineChars="200"/>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我方</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（供应商名称）</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承诺</w:t>
      </w:r>
      <w:r>
        <w:rPr>
          <w:rFonts w:hint="eastAsia" w:ascii="仿宋" w:hAnsi="仿宋" w:eastAsia="仿宋" w:cs="Cambria Math"/>
          <w:b w:val="0"/>
          <w:bCs w:val="0"/>
          <w:color w:val="000000" w:themeColor="text1"/>
          <w:lang w:val="en-US" w:eastAsia="zh-CN"/>
          <w14:textFill>
            <w14:solidFill>
              <w14:schemeClr w14:val="tx1"/>
            </w14:solidFill>
          </w14:textFill>
        </w:rPr>
        <w:t>具备</w:t>
      </w:r>
      <w:r>
        <w:rPr>
          <w:rFonts w:hint="eastAsia" w:ascii="仿宋" w:hAnsi="仿宋" w:eastAsia="仿宋" w:cs="Cambria Math"/>
          <w:color w:val="000000"/>
          <w:sz w:val="24"/>
          <w:szCs w:val="24"/>
          <w:u w:val="single"/>
          <w:lang w:eastAsia="zh-CN"/>
        </w:rPr>
        <w:t>人保财险四川省达州市分公司</w:t>
      </w:r>
      <w:r>
        <w:rPr>
          <w:rFonts w:hint="eastAsia" w:ascii="仿宋" w:hAnsi="仿宋" w:eastAsia="仿宋" w:cs="Cambria Math"/>
          <w:color w:val="000000"/>
          <w:sz w:val="24"/>
          <w:szCs w:val="24"/>
          <w:u w:val="single"/>
          <w:lang w:val="en-US" w:eastAsia="zh-CN"/>
        </w:rPr>
        <w:t>2026年度</w:t>
      </w:r>
      <w:r>
        <w:rPr>
          <w:rFonts w:hint="eastAsia" w:ascii="仿宋" w:hAnsi="仿宋" w:eastAsia="仿宋" w:cs="Cambria Math"/>
          <w:color w:val="000000"/>
          <w:sz w:val="24"/>
          <w:szCs w:val="24"/>
          <w:u w:val="single"/>
          <w:lang w:eastAsia="zh-CN"/>
        </w:rPr>
        <w:t>车险电梯轿厢宣传采购项目</w:t>
      </w:r>
      <w:r>
        <w:rPr>
          <w:rFonts w:hint="eastAsia" w:ascii="仿宋" w:hAnsi="仿宋" w:eastAsia="仿宋" w:cs="Cambria Math"/>
          <w:b w:val="0"/>
          <w:bCs w:val="0"/>
          <w:color w:val="000000" w:themeColor="text1"/>
          <w14:textFill>
            <w14:solidFill>
              <w14:schemeClr w14:val="tx1"/>
            </w14:solidFill>
          </w14:textFill>
        </w:rPr>
        <w:t>资格条件中要求的</w:t>
      </w:r>
      <w:r>
        <w:rPr>
          <w:rFonts w:hint="eastAsia" w:ascii="仿宋" w:hAnsi="仿宋" w:eastAsia="仿宋" w:cs="宋体"/>
          <w:b w:val="0"/>
          <w:bCs w:val="0"/>
          <w:color w:val="000000" w:themeColor="text1"/>
          <w14:textFill>
            <w14:solidFill>
              <w14:schemeClr w14:val="tx1"/>
            </w14:solidFill>
          </w14:textFill>
        </w:rPr>
        <w:t>履行合同所必需的设备和专业技术能力</w:t>
      </w:r>
      <w:r>
        <w:rPr>
          <w:rFonts w:hint="eastAsia" w:ascii="仿宋" w:hAnsi="仿宋" w:eastAsia="仿宋" w:cs="Cambria Math"/>
          <w:b w:val="0"/>
          <w:bCs w:val="0"/>
          <w:color w:val="000000" w:themeColor="text1"/>
          <w14:textFill>
            <w14:solidFill>
              <w14:schemeClr w14:val="tx1"/>
            </w14:solidFill>
          </w14:textFill>
        </w:rPr>
        <w:t>，并对上述承诺真实性负责。</w:t>
      </w:r>
    </w:p>
    <w:p>
      <w:pPr>
        <w:pStyle w:val="2"/>
        <w:ind w:firstLine="480" w:firstLineChars="200"/>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特此承诺。</w:t>
      </w:r>
    </w:p>
    <w:p>
      <w:pPr>
        <w:spacing w:line="360" w:lineRule="auto"/>
        <w:textAlignment w:val="baseline"/>
        <w:rPr>
          <w:rFonts w:ascii="仿宋" w:hAnsi="仿宋" w:eastAsia="仿宋"/>
          <w:b/>
          <w:color w:val="000000"/>
        </w:rPr>
      </w:pP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w:t>
      </w:r>
      <w:r>
        <w:rPr>
          <w:rFonts w:hint="eastAsia" w:ascii="仿宋" w:hAnsi="仿宋" w:eastAsia="仿宋" w:cs="仿宋"/>
          <w:color w:val="000000"/>
          <w:sz w:val="24"/>
          <w:szCs w:val="24"/>
          <w:lang w:val="en-US" w:eastAsia="zh-CN"/>
        </w:rPr>
        <w:t>及</w:t>
      </w:r>
      <w:r>
        <w:rPr>
          <w:rFonts w:hint="eastAsia" w:ascii="仿宋" w:hAnsi="仿宋" w:eastAsia="仿宋" w:cs="仿宋"/>
          <w:color w:val="000000"/>
          <w:sz w:val="24"/>
          <w:szCs w:val="24"/>
        </w:rPr>
        <w:t>社保</w:t>
      </w:r>
      <w:r>
        <w:rPr>
          <w:rFonts w:hint="eastAsia" w:ascii="仿宋" w:hAnsi="仿宋" w:eastAsia="仿宋" w:cs="仿宋"/>
          <w:color w:val="000000"/>
          <w:sz w:val="24"/>
          <w:szCs w:val="24"/>
          <w:lang w:val="en-US" w:eastAsia="zh-CN"/>
        </w:rPr>
        <w:t>资金</w:t>
      </w:r>
    </w:p>
    <w:p>
      <w:pPr>
        <w:pStyle w:val="2"/>
        <w:spacing w:before="240"/>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《企业税收和社会保障资金缴纳承诺书》</w:t>
      </w:r>
    </w:p>
    <w:p>
      <w:pPr>
        <w:pStyle w:val="2"/>
        <w:spacing w:before="240"/>
        <w:jc w:val="center"/>
        <w:rPr>
          <w:rFonts w:hint="eastAsia" w:ascii="仿宋" w:hAnsi="仿宋" w:eastAsia="仿宋" w:cs="Cambria Math"/>
          <w:b w:val="0"/>
          <w:bCs w:val="0"/>
          <w:color w:val="000000" w:themeColor="text1"/>
          <w14:textFill>
            <w14:solidFill>
              <w14:schemeClr w14:val="tx1"/>
            </w14:solidFill>
          </w14:textFill>
        </w:rPr>
      </w:pPr>
    </w:p>
    <w:p>
      <w:pPr>
        <w:adjustRightInd w:val="0"/>
        <w:snapToGrid w:val="0"/>
        <w:spacing w:before="240" w:line="360" w:lineRule="auto"/>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致：</w:t>
      </w:r>
      <w:r>
        <w:rPr>
          <w:rFonts w:hint="eastAsia" w:ascii="仿宋" w:hAnsi="仿宋" w:eastAsia="仿宋" w:cs="仿宋"/>
          <w:b w:val="0"/>
          <w:bCs w:val="0"/>
          <w:color w:val="000000" w:themeColor="text1"/>
          <w:u w:val="single"/>
          <w:lang w:eastAsia="zh-CN"/>
          <w14:textFill>
            <w14:solidFill>
              <w14:schemeClr w14:val="tx1"/>
            </w14:solidFill>
          </w14:textFill>
        </w:rPr>
        <w:t>中国人民财产保险股份有限公司达州市分公司</w:t>
      </w:r>
    </w:p>
    <w:p>
      <w:pPr>
        <w:adjustRightInd w:val="0"/>
        <w:snapToGrid w:val="0"/>
        <w:spacing w:before="240" w:line="360" w:lineRule="auto"/>
        <w:ind w:firstLine="480" w:firstLineChars="200"/>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我方</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（供应商名称）</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承诺符合</w:t>
      </w:r>
      <w:r>
        <w:rPr>
          <w:rFonts w:hint="eastAsia" w:ascii="仿宋" w:hAnsi="仿宋" w:eastAsia="仿宋" w:cs="Cambria Math"/>
          <w:color w:val="000000"/>
          <w:sz w:val="24"/>
          <w:szCs w:val="24"/>
          <w:u w:val="single"/>
          <w:lang w:eastAsia="zh-CN"/>
        </w:rPr>
        <w:t>人保财险四川省达州市分公司</w:t>
      </w:r>
      <w:r>
        <w:rPr>
          <w:rFonts w:hint="eastAsia" w:ascii="仿宋" w:hAnsi="仿宋" w:eastAsia="仿宋" w:cs="Cambria Math"/>
          <w:color w:val="000000"/>
          <w:sz w:val="24"/>
          <w:szCs w:val="24"/>
          <w:u w:val="single"/>
          <w:lang w:val="en-US" w:eastAsia="zh-CN"/>
        </w:rPr>
        <w:t>2026年度</w:t>
      </w:r>
      <w:r>
        <w:rPr>
          <w:rFonts w:hint="eastAsia" w:ascii="仿宋" w:hAnsi="仿宋" w:eastAsia="仿宋" w:cs="Cambria Math"/>
          <w:color w:val="000000"/>
          <w:sz w:val="24"/>
          <w:szCs w:val="24"/>
          <w:u w:val="single"/>
          <w:lang w:eastAsia="zh-CN"/>
        </w:rPr>
        <w:t>车险电梯轿厢宣传采购项目</w:t>
      </w:r>
      <w:r>
        <w:rPr>
          <w:rFonts w:hint="eastAsia" w:ascii="仿宋" w:hAnsi="仿宋" w:eastAsia="仿宋" w:cs="Cambria Math"/>
          <w:b w:val="0"/>
          <w:bCs w:val="0"/>
          <w:color w:val="000000" w:themeColor="text1"/>
          <w14:textFill>
            <w14:solidFill>
              <w14:schemeClr w14:val="tx1"/>
            </w14:solidFill>
          </w14:textFill>
        </w:rPr>
        <w:t>资格条件中要求的具有依法缴纳税收和社会保障资金的良好记录，并对上述承诺真实性负责。</w:t>
      </w:r>
      <w:r>
        <w:rPr>
          <w:rFonts w:ascii="仿宋" w:hAnsi="仿宋" w:eastAsia="仿宋" w:cs="Cambria Math"/>
          <w:b w:val="0"/>
          <w:bCs w:val="0"/>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特此承诺。</w:t>
      </w:r>
    </w:p>
    <w:p>
      <w:pPr>
        <w:spacing w:line="360" w:lineRule="auto"/>
        <w:ind w:firstLine="480" w:firstLineChars="200"/>
        <w:jc w:val="both"/>
        <w:rPr>
          <w:rFonts w:hint="eastAsia" w:ascii="仿宋" w:hAnsi="仿宋" w:eastAsia="仿宋" w:cs="Cambria Math"/>
          <w:b w:val="0"/>
          <w:bCs w:val="0"/>
          <w:color w:val="000000" w:themeColor="text1"/>
          <w:lang w:val="en-US" w:eastAsia="zh-CN"/>
          <w14:textFill>
            <w14:solidFill>
              <w14:schemeClr w14:val="tx1"/>
            </w14:solidFill>
          </w14:textFill>
        </w:rPr>
      </w:pPr>
    </w:p>
    <w:p>
      <w:pPr>
        <w:spacing w:line="360" w:lineRule="auto"/>
        <w:ind w:firstLine="480" w:firstLineChars="200"/>
        <w:jc w:val="both"/>
        <w:rPr>
          <w:rFonts w:hint="eastAsia" w:ascii="仿宋" w:hAnsi="仿宋" w:eastAsia="仿宋" w:cs="Cambria Math"/>
          <w:b w:val="0"/>
          <w:bCs w:val="0"/>
          <w:color w:val="000000" w:themeColor="text1"/>
          <w:lang w:val="en-US" w:eastAsia="zh-CN"/>
          <w14:textFill>
            <w14:solidFill>
              <w14:schemeClr w14:val="tx1"/>
            </w14:solidFill>
          </w14:textFill>
        </w:rPr>
      </w:pPr>
    </w:p>
    <w:p>
      <w:pPr>
        <w:spacing w:line="360" w:lineRule="auto"/>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lang w:val="en-US" w:eastAsia="zh-CN"/>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供应商名称：</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（盖章）</w:t>
      </w:r>
    </w:p>
    <w:p>
      <w:pPr>
        <w:spacing w:line="360" w:lineRule="auto"/>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lang w:val="en-US" w:eastAsia="zh-CN"/>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日期：</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年</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月</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日</w:t>
      </w: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pStyle w:val="6"/>
        <w:spacing w:before="0" w:after="0" w:line="360" w:lineRule="auto"/>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2"/>
        <w:rPr>
          <w:rFonts w:hint="eastAsia" w:ascii="仿宋" w:hAnsi="仿宋" w:eastAsia="仿宋" w:cs="仿宋"/>
          <w:color w:val="000000"/>
          <w:sz w:val="24"/>
          <w:szCs w:val="24"/>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hint="eastAsia" w:ascii="仿宋" w:hAnsi="仿宋" w:eastAsia="仿宋" w:cs="Cambria Math"/>
        </w:rPr>
      </w:pPr>
    </w:p>
    <w:p>
      <w:pPr>
        <w:ind w:firstLine="240" w:firstLineChars="100"/>
        <w:rPr>
          <w:rFonts w:hint="eastAsia" w:ascii="仿宋" w:hAnsi="仿宋" w:eastAsia="仿宋" w:cs="Cambria Math"/>
        </w:rPr>
      </w:pP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b w:val="0"/>
          <w:bCs w:val="0"/>
          <w:color w:val="000000" w:themeColor="text1"/>
          <w:sz w:val="24"/>
          <w:szCs w:val="24"/>
          <w:u w:val="single"/>
          <w:lang w:val="en-US" w:eastAsia="zh-CN" w:bidi="ar-SA"/>
          <w14:textFill>
            <w14:solidFill>
              <w14:schemeClr w14:val="tx1"/>
            </w14:solidFill>
          </w14:textFill>
        </w:rPr>
        <w:t>中国人民财产保险股份有限公司达州市分公司</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4"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w:t>
      </w:r>
      <w:r>
        <w:rPr>
          <w:rFonts w:hint="eastAsia" w:ascii="仿宋" w:hAnsi="仿宋" w:eastAsia="仿宋" w:cs="Cambria Math"/>
          <w:b w:val="0"/>
          <w:bCs w:val="0"/>
          <w:color w:val="000000" w:themeColor="text1"/>
          <w:sz w:val="24"/>
          <w:szCs w:val="24"/>
          <w:u w:val="single"/>
          <w:lang w:val="en-US" w:eastAsia="zh-CN" w:bidi="ar-SA"/>
          <w14:textFill>
            <w14:solidFill>
              <w14:schemeClr w14:val="tx1"/>
            </w14:solidFill>
          </w14:textFill>
        </w:rPr>
        <w:t>中国人民财产保险股份有限公司达州市分公司</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Cambria Math"/>
          <w:color w:val="000000"/>
          <w:sz w:val="24"/>
          <w:szCs w:val="24"/>
          <w:u w:val="single"/>
          <w:lang w:eastAsia="zh-CN"/>
        </w:rPr>
        <w:t>人保财险四川省达州市分公司</w:t>
      </w:r>
      <w:r>
        <w:rPr>
          <w:rFonts w:hint="eastAsia" w:ascii="仿宋" w:hAnsi="仿宋" w:eastAsia="仿宋" w:cs="Cambria Math"/>
          <w:color w:val="000000"/>
          <w:sz w:val="24"/>
          <w:szCs w:val="24"/>
          <w:u w:val="single"/>
          <w:lang w:val="en-US" w:eastAsia="zh-CN"/>
        </w:rPr>
        <w:t>2026年度</w:t>
      </w:r>
      <w:r>
        <w:rPr>
          <w:rFonts w:hint="eastAsia" w:ascii="仿宋" w:hAnsi="仿宋" w:eastAsia="仿宋" w:cs="Cambria Math"/>
          <w:color w:val="000000"/>
          <w:sz w:val="24"/>
          <w:szCs w:val="24"/>
          <w:u w:val="single"/>
          <w:lang w:eastAsia="zh-CN"/>
        </w:rPr>
        <w:t>车险电梯轿厢宣传采购项目</w:t>
      </w:r>
      <w:r>
        <w:rPr>
          <w:rFonts w:hint="eastAsia" w:ascii="仿宋" w:hAnsi="仿宋" w:eastAsia="仿宋" w:cs="宋体"/>
          <w:color w:val="000000"/>
        </w:rPr>
        <w:t>的谈判，根据法律法规维护投标公正性的相关规定，我方与采购人之间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w:t>
      </w:r>
    </w:p>
    <w:bookmarkEnd w:id="163"/>
    <w:bookmarkEnd w:id="164"/>
    <w:p>
      <w:pPr>
        <w:pStyle w:val="6"/>
        <w:numPr>
          <w:ilvl w:val="0"/>
          <w:numId w:val="0"/>
        </w:numPr>
        <w:spacing w:before="0" w:after="0" w:line="360" w:lineRule="auto"/>
        <w:jc w:val="center"/>
        <w:rPr>
          <w:rFonts w:hint="eastAsia" w:ascii="仿宋" w:hAnsi="仿宋" w:eastAsia="仿宋" w:cs="Cambria Math"/>
          <w:b w:val="0"/>
          <w:bCs w:val="0"/>
          <w:color w:val="000000"/>
          <w:sz w:val="24"/>
          <w:szCs w:val="24"/>
          <w:lang w:val="en-US" w:eastAsia="zh-CN" w:bidi="ar-SA"/>
        </w:rPr>
      </w:pPr>
      <w:bookmarkStart w:id="165" w:name="_Toc71192048"/>
      <w:r>
        <w:rPr>
          <w:rFonts w:hint="eastAsia" w:ascii="仿宋" w:hAnsi="仿宋" w:eastAsia="仿宋" w:cs="Cambria Math"/>
          <w:b w:val="0"/>
          <w:bCs w:val="0"/>
          <w:color w:val="000000"/>
          <w:sz w:val="24"/>
          <w:szCs w:val="24"/>
          <w:lang w:val="en-US" w:eastAsia="zh-CN" w:bidi="ar-SA"/>
        </w:rPr>
        <w:t>《非联合体承诺书》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b w:val="0"/>
          <w:bCs w:val="0"/>
          <w:color w:val="000000"/>
          <w:u w:val="single"/>
          <w:lang w:eastAsia="zh-CN"/>
        </w:rPr>
        <w:t>中国人民财产保险股份有限公司达州市分公司</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sz w:val="24"/>
          <w:szCs w:val="24"/>
          <w:u w:val="single"/>
          <w:lang w:eastAsia="zh-CN"/>
        </w:rPr>
        <w:t>人保财险四川省达州市分公司</w:t>
      </w:r>
      <w:r>
        <w:rPr>
          <w:rFonts w:hint="eastAsia" w:ascii="仿宋" w:hAnsi="仿宋" w:eastAsia="仿宋" w:cs="Cambria Math"/>
          <w:color w:val="000000"/>
          <w:sz w:val="24"/>
          <w:szCs w:val="24"/>
          <w:u w:val="single"/>
          <w:lang w:val="en-US" w:eastAsia="zh-CN"/>
        </w:rPr>
        <w:t>2026年度</w:t>
      </w:r>
      <w:r>
        <w:rPr>
          <w:rFonts w:hint="eastAsia" w:ascii="仿宋" w:hAnsi="仿宋" w:eastAsia="仿宋" w:cs="Cambria Math"/>
          <w:color w:val="000000"/>
          <w:sz w:val="24"/>
          <w:szCs w:val="24"/>
          <w:u w:val="single"/>
          <w:lang w:eastAsia="zh-CN"/>
        </w:rPr>
        <w:t>车险电梯轿厢宣传采购项目</w:t>
      </w:r>
      <w:r>
        <w:rPr>
          <w:rFonts w:hint="eastAsia" w:ascii="仿宋" w:hAnsi="仿宋" w:eastAsia="仿宋" w:cs="Cambria Math"/>
          <w:color w:val="000000"/>
        </w:rPr>
        <w:t>谈判响应，非联合体参与谈判响应。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6" w:name="_Toc144139212"/>
      <w:bookmarkStart w:id="167" w:name="_Toc18208"/>
      <w:bookmarkStart w:id="168" w:name="_Toc186737818"/>
      <w:bookmarkStart w:id="169" w:name="_Toc15130"/>
      <w:bookmarkStart w:id="170" w:name="_Toc112068411"/>
      <w:bookmarkStart w:id="171"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6"/>
      <w:bookmarkEnd w:id="167"/>
      <w:bookmarkEnd w:id="168"/>
      <w:bookmarkEnd w:id="169"/>
      <w:bookmarkEnd w:id="170"/>
      <w:bookmarkEnd w:id="171"/>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注：所有偏离须在本表中列出，未在本偏离表中列出偏离，将视为供应商已完全接受谈判文件要求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注：所有偏离必须在本表中列出，未在本偏离表中列出偏离，将视为供应商已完全接受竞争性谈判文件要求；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2" w:name="_Toc186737819"/>
      <w:bookmarkStart w:id="173" w:name="_Toc17890"/>
      <w:r>
        <w:rPr>
          <w:rFonts w:hint="eastAsia" w:ascii="仿宋" w:hAnsi="仿宋" w:eastAsia="仿宋" w:cs="仿宋"/>
          <w:color w:val="000000"/>
          <w:sz w:val="24"/>
          <w:szCs w:val="24"/>
        </w:rPr>
        <w:t>（七）供应商行为准则承诺书</w:t>
      </w:r>
      <w:bookmarkEnd w:id="172"/>
      <w:bookmarkEnd w:id="173"/>
    </w:p>
    <w:p>
      <w:pPr>
        <w:jc w:val="center"/>
        <w:rPr>
          <w:rFonts w:ascii="仿宋" w:hAnsi="仿宋" w:eastAsia="仿宋" w:cs="宋体"/>
          <w:b/>
          <w:bCs/>
          <w:color w:val="000000"/>
          <w:sz w:val="28"/>
          <w:szCs w:val="28"/>
        </w:rPr>
      </w:pPr>
      <w:bookmarkStart w:id="174"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5" w:name="_Toc186737820"/>
      <w:bookmarkStart w:id="176" w:name="_Toc8068"/>
      <w:r>
        <w:rPr>
          <w:rFonts w:hint="eastAsia" w:ascii="仿宋" w:hAnsi="仿宋" w:eastAsia="仿宋" w:cs="宋体"/>
          <w:bCs w:val="0"/>
          <w:color w:val="000000"/>
          <w:sz w:val="24"/>
          <w:szCs w:val="24"/>
        </w:rPr>
        <w:t>（八）供应商廉洁诚信承诺书</w:t>
      </w:r>
      <w:bookmarkEnd w:id="174"/>
      <w:bookmarkEnd w:id="175"/>
      <w:bookmarkEnd w:id="176"/>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Style w:val="58"/>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bookmarkStart w:id="200" w:name="_GoBack"/>
      <w:bookmarkEnd w:id="200"/>
    </w:p>
    <w:bookmarkEnd w:id="165"/>
    <w:p>
      <w:pPr>
        <w:pStyle w:val="4"/>
        <w:jc w:val="both"/>
        <w:rPr>
          <w:rFonts w:ascii="仿宋" w:hAnsi="仿宋" w:eastAsia="仿宋" w:cs="仿宋"/>
          <w:color w:val="000000"/>
          <w:sz w:val="24"/>
          <w:szCs w:val="24"/>
        </w:rPr>
      </w:pPr>
      <w:bookmarkStart w:id="177" w:name="_Toc28698"/>
      <w:bookmarkStart w:id="178" w:name="_Toc186737823"/>
      <w:r>
        <w:rPr>
          <w:rFonts w:hint="eastAsia" w:ascii="仿宋" w:hAnsi="仿宋" w:eastAsia="仿宋" w:cs="仿宋"/>
          <w:color w:val="000000"/>
          <w:sz w:val="24"/>
          <w:szCs w:val="24"/>
        </w:rPr>
        <w:t>二、技术文件</w:t>
      </w:r>
      <w:bookmarkEnd w:id="177"/>
      <w:bookmarkEnd w:id="178"/>
    </w:p>
    <w:p>
      <w:pPr>
        <w:pStyle w:val="5"/>
        <w:spacing w:before="0" w:after="0" w:line="360" w:lineRule="auto"/>
        <w:rPr>
          <w:rFonts w:ascii="仿宋" w:hAnsi="仿宋" w:eastAsia="仿宋" w:cs="仿宋"/>
          <w:color w:val="000000"/>
          <w:sz w:val="24"/>
          <w:szCs w:val="24"/>
        </w:rPr>
      </w:pPr>
      <w:bookmarkStart w:id="179" w:name="_Toc23108"/>
      <w:bookmarkStart w:id="180" w:name="_Toc186737824"/>
      <w:bookmarkStart w:id="181" w:name="_Toc17302"/>
      <w:r>
        <w:rPr>
          <w:rFonts w:hint="eastAsia" w:ascii="仿宋" w:hAnsi="仿宋" w:eastAsia="仿宋" w:cs="仿宋"/>
          <w:color w:val="000000"/>
          <w:sz w:val="24"/>
          <w:szCs w:val="24"/>
        </w:rPr>
        <w:t>（一）采购需求应答偏离表</w:t>
      </w:r>
      <w:bookmarkEnd w:id="179"/>
      <w:bookmarkEnd w:id="180"/>
      <w:bookmarkEnd w:id="181"/>
    </w:p>
    <w:p>
      <w:pPr>
        <w:spacing w:line="360" w:lineRule="auto"/>
        <w:jc w:val="center"/>
        <w:rPr>
          <w:rFonts w:ascii="仿宋" w:hAnsi="仿宋" w:eastAsia="仿宋" w:cs="仿宋"/>
          <w:b/>
          <w:bCs/>
          <w:color w:val="000000"/>
        </w:rPr>
      </w:pPr>
      <w:bookmarkStart w:id="182" w:name="_Toc293297544"/>
      <w:bookmarkStart w:id="183" w:name="_Toc125771198"/>
      <w:bookmarkStart w:id="184" w:name="_Toc125561188"/>
      <w:r>
        <w:rPr>
          <w:rFonts w:hint="eastAsia" w:ascii="仿宋" w:hAnsi="仿宋" w:eastAsia="仿宋" w:cs="仿宋"/>
          <w:b/>
          <w:bCs/>
          <w:color w:val="000000"/>
        </w:rPr>
        <w:t>采购需求应答偏离表</w:t>
      </w:r>
      <w:bookmarkEnd w:id="182"/>
      <w:bookmarkEnd w:id="183"/>
      <w:bookmarkEnd w:id="184"/>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对于未列出的偏离内容视同供应商已完全接受竞争性谈判文件的要求，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br w:type="page"/>
      </w:r>
      <w:bookmarkStart w:id="185" w:name="_Toc444891358"/>
      <w:bookmarkStart w:id="186" w:name="_Toc517281860"/>
    </w:p>
    <w:p>
      <w:pPr>
        <w:rPr>
          <w:rFonts w:ascii="仿宋" w:hAnsi="仿宋" w:eastAsia="仿宋" w:cs="仿宋"/>
          <w:color w:val="000000"/>
        </w:rPr>
      </w:pPr>
    </w:p>
    <w:bookmarkEnd w:id="185"/>
    <w:bookmarkEnd w:id="186"/>
    <w:p>
      <w:pPr>
        <w:pStyle w:val="4"/>
        <w:jc w:val="both"/>
        <w:rPr>
          <w:rFonts w:ascii="仿宋" w:hAnsi="仿宋" w:eastAsia="仿宋" w:cs="仿宋"/>
          <w:color w:val="000000"/>
          <w:sz w:val="24"/>
          <w:szCs w:val="24"/>
        </w:rPr>
      </w:pPr>
      <w:bookmarkStart w:id="187" w:name="_Toc20443"/>
      <w:bookmarkStart w:id="188" w:name="_Toc186737827"/>
      <w:r>
        <w:rPr>
          <w:rFonts w:hint="eastAsia" w:ascii="仿宋" w:hAnsi="仿宋" w:eastAsia="仿宋" w:cs="仿宋"/>
          <w:color w:val="000000"/>
          <w:sz w:val="24"/>
          <w:szCs w:val="24"/>
        </w:rPr>
        <w:t>三、报价文件</w:t>
      </w:r>
      <w:bookmarkEnd w:id="187"/>
      <w:bookmarkEnd w:id="188"/>
    </w:p>
    <w:p>
      <w:pPr>
        <w:pStyle w:val="5"/>
        <w:spacing w:before="0" w:after="0" w:line="360" w:lineRule="auto"/>
        <w:ind w:firstLine="482"/>
        <w:rPr>
          <w:rFonts w:ascii="仿宋" w:hAnsi="仿宋" w:eastAsia="仿宋" w:cs="仿宋"/>
          <w:color w:val="000000"/>
          <w:sz w:val="24"/>
          <w:szCs w:val="24"/>
        </w:rPr>
      </w:pPr>
      <w:bookmarkStart w:id="189" w:name="_Toc511726864"/>
      <w:bookmarkStart w:id="190" w:name="_Toc18942"/>
      <w:bookmarkStart w:id="191" w:name="_Toc186737828"/>
      <w:r>
        <w:rPr>
          <w:rFonts w:hint="eastAsia" w:ascii="仿宋" w:hAnsi="仿宋" w:eastAsia="仿宋" w:cs="仿宋"/>
          <w:color w:val="000000"/>
          <w:sz w:val="24"/>
          <w:szCs w:val="24"/>
        </w:rPr>
        <w:t>（一）报价</w:t>
      </w:r>
      <w:bookmarkEnd w:id="189"/>
      <w:r>
        <w:rPr>
          <w:rFonts w:hint="eastAsia" w:ascii="仿宋" w:hAnsi="仿宋" w:eastAsia="仿宋" w:cs="仿宋"/>
          <w:color w:val="000000"/>
          <w:sz w:val="24"/>
          <w:szCs w:val="24"/>
        </w:rPr>
        <w:t>一览表</w:t>
      </w:r>
      <w:bookmarkEnd w:id="190"/>
      <w:bookmarkEnd w:id="191"/>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人保财险四川省达州市分公司2026年度车险电梯轿厢宣传采购项目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2" w:name="_Toc2267055"/>
      <w:bookmarkStart w:id="193" w:name="_Toc482180015"/>
      <w:bookmarkStart w:id="194" w:name="_Toc517281864"/>
      <w:bookmarkStart w:id="195" w:name="_Toc530319762"/>
      <w:bookmarkStart w:id="196" w:name="_Toc16591840"/>
      <w:bookmarkStart w:id="197"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numPr>
          <w:ilvl w:val="5"/>
          <w:numId w:val="0"/>
        </w:numPr>
        <w:spacing w:line="360" w:lineRule="auto"/>
        <w:jc w:val="cente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仿宋" w:hAnsi="仿宋" w:eastAsia="仿宋" w:cs="仿宋"/>
          <w:color w:val="000000"/>
          <w:sz w:val="24"/>
          <w:szCs w:val="24"/>
        </w:rPr>
        <w:br w:type="page"/>
      </w:r>
      <w:bookmarkEnd w:id="192"/>
      <w:bookmarkEnd w:id="193"/>
      <w:bookmarkEnd w:id="194"/>
      <w:bookmarkEnd w:id="195"/>
      <w:bookmarkEnd w:id="196"/>
      <w:bookmarkEnd w:id="197"/>
      <w:bookmarkStart w:id="198" w:name="_Toc186737829"/>
      <w:bookmarkStart w:id="199" w:name="_Toc15457"/>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（二）分项报价表</w:t>
      </w:r>
      <w:bookmarkEnd w:id="198"/>
      <w:bookmarkEnd w:id="199"/>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 xml:space="preserve">供应商名称： </w:t>
      </w:r>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项目名称：</w:t>
      </w:r>
      <w:r>
        <w:rPr>
          <w:rFonts w:hint="eastAsia" w:ascii="仿宋" w:hAnsi="仿宋" w:eastAsia="仿宋" w:cs="仿宋"/>
          <w:color w:val="000000"/>
          <w:sz w:val="24"/>
          <w:szCs w:val="24"/>
          <w:u w:val="single"/>
          <w:lang w:val="en-US" w:eastAsia="zh-CN"/>
        </w:rPr>
        <w:t>人保财险四川省达州市分公司2026年度车险电梯轿厢宣传采购项目</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tc>
      </w:tr>
    </w:tbl>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注：</w:t>
      </w:r>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1.涉及需分项报价的，供应商每次报价均需提供本表。</w:t>
      </w:r>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2.如果按单价计算的结果与总价不一致，以单价为准修正总价。</w:t>
      </w:r>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r>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t>3.供应商可根据实际情况自行扩展表格细项。</w:t>
      </w:r>
    </w:p>
    <w:p>
      <w:pPr>
        <w:adjustRightInd w:val="0"/>
        <w:snapToGrid w:val="0"/>
        <w:spacing w:line="360" w:lineRule="auto"/>
        <w:rPr>
          <w:rFonts w:hint="eastAsia" w:ascii="楷体" w:hAnsi="楷体" w:eastAsia="楷体" w:cs="仿宋_GB2312"/>
          <w:b w:val="0"/>
          <w:bCs w:val="0"/>
          <w:i w:val="0"/>
          <w:iCs/>
          <w:color w:val="000000" w:themeColor="text1"/>
          <w:sz w:val="24"/>
          <w:szCs w:val="32"/>
          <w:lang w:val="en-US" w:eastAsia="zh-CN" w:bidi="ar-SA"/>
          <w14:textFill>
            <w14:solidFill>
              <w14:schemeClr w14:val="tx1"/>
            </w14:solidFill>
          </w14:textFill>
        </w:rPr>
      </w:pPr>
    </w:p>
    <w:p>
      <w:pPr>
        <w:adjustRightInd w:val="0"/>
        <w:snapToGrid w:val="0"/>
        <w:spacing w:line="360" w:lineRule="auto"/>
        <w:rPr>
          <w:rFonts w:ascii="宋体" w:hAnsi="宋体" w:cs="宋体"/>
          <w:color w:val="FF0000"/>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right"/>
        <w:textAlignment w:val="auto"/>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right"/>
        <w:textAlignment w:val="auto"/>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pStyle w:val="2"/>
        <w:keepNext w:val="0"/>
        <w:keepLines w:val="0"/>
        <w:pageBreakBefore w:val="0"/>
        <w:kinsoku/>
        <w:wordWrap/>
        <w:overflowPunct/>
        <w:topLinePunct w:val="0"/>
        <w:autoSpaceDE/>
        <w:autoSpaceDN/>
        <w:bidi w:val="0"/>
        <w:adjustRightInd/>
        <w:snapToGrid/>
        <w:spacing w:line="360" w:lineRule="auto"/>
        <w:ind w:firstLine="5040" w:firstLineChars="2100"/>
        <w:textAlignment w:val="auto"/>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6"/>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p>
      <w:pPr>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w:t>
      </w:r>
      <w:r>
        <w:rPr>
          <w:rFonts w:hint="eastAsia" w:ascii="仿宋" w:hAnsi="仿宋" w:eastAsia="仿宋" w:cs="仿宋"/>
          <w:color w:val="000000"/>
          <w:sz w:val="24"/>
          <w:szCs w:val="24"/>
          <w:lang w:val="en-US" w:eastAsia="zh-CN"/>
        </w:rPr>
        <w:t>三</w:t>
      </w:r>
      <w:r>
        <w:rPr>
          <w:rFonts w:hint="eastAsia" w:ascii="仿宋" w:hAnsi="仿宋" w:eastAsia="仿宋" w:cs="仿宋"/>
          <w:color w:val="000000"/>
          <w:sz w:val="24"/>
          <w:szCs w:val="24"/>
          <w:lang w:val="zh-CN"/>
        </w:rPr>
        <w:t>）最终报价确认函</w:t>
      </w:r>
    </w:p>
    <w:p>
      <w:pPr>
        <w:spacing w:line="360" w:lineRule="auto"/>
        <w:rPr>
          <w:rFonts w:hint="eastAsia" w:ascii="仿宋" w:hAnsi="仿宋" w:eastAsia="仿宋"/>
          <w:bCs/>
        </w:rPr>
      </w:pPr>
    </w:p>
    <w:p>
      <w:pPr>
        <w:spacing w:line="360" w:lineRule="auto"/>
        <w:rPr>
          <w:rFonts w:hint="eastAsia" w:ascii="仿宋" w:hAnsi="仿宋" w:eastAsia="仿宋"/>
          <w:bCs/>
          <w:lang w:val="en-US" w:eastAsia="zh-CN"/>
        </w:rPr>
      </w:pPr>
      <w:r>
        <w:rPr>
          <w:rFonts w:hint="eastAsia" w:ascii="仿宋" w:hAnsi="仿宋" w:eastAsia="仿宋"/>
          <w:bCs/>
          <w:lang w:val="en-US" w:eastAsia="zh-CN"/>
        </w:rPr>
        <w:t>致： 中国人民财产保险股份有限公司达州市分公司</w:t>
      </w:r>
    </w:p>
    <w:p>
      <w:pPr>
        <w:spacing w:line="360" w:lineRule="auto"/>
        <w:rPr>
          <w:rFonts w:hint="eastAsia" w:ascii="仿宋" w:hAnsi="仿宋" w:eastAsia="仿宋"/>
          <w:bCs/>
          <w:lang w:val="en-US" w:eastAsia="zh-CN"/>
        </w:rPr>
      </w:pPr>
      <w:r>
        <w:rPr>
          <w:rFonts w:hint="eastAsia" w:ascii="仿宋" w:hAnsi="仿宋" w:eastAsia="仿宋"/>
          <w:bCs/>
          <w:lang w:val="en-US" w:eastAsia="zh-CN"/>
        </w:rPr>
        <w:t>一、报价</w:t>
      </w:r>
    </w:p>
    <w:p>
      <w:pPr>
        <w:spacing w:line="360" w:lineRule="auto"/>
        <w:ind w:firstLine="480" w:firstLineChars="200"/>
        <w:rPr>
          <w:rFonts w:hint="eastAsia" w:ascii="仿宋" w:hAnsi="仿宋" w:eastAsia="仿宋"/>
          <w:bCs/>
          <w:lang w:val="en-US" w:eastAsia="zh-CN"/>
        </w:rPr>
      </w:pPr>
      <w:r>
        <w:rPr>
          <w:rFonts w:hint="eastAsia" w:ascii="仿宋" w:hAnsi="仿宋" w:eastAsia="仿宋"/>
          <w:bCs/>
          <w:lang w:val="en-US" w:eastAsia="zh-CN"/>
        </w:rPr>
        <w:t>根据谈判结果，我公司就人保财险XX分公司XX采购项目最终含税报价为¥__________元(大写:人民币_____________________)，不含税报价为¥___________元(大写: 人民币_____________________)，其中增值税税率___%,我公司可开具____________(增值税专用发票/增值税普通发票）。</w:t>
      </w:r>
    </w:p>
    <w:p>
      <w:pPr>
        <w:spacing w:line="360" w:lineRule="auto"/>
        <w:ind w:firstLine="480" w:firstLineChars="200"/>
        <w:rPr>
          <w:rFonts w:hint="eastAsia" w:ascii="仿宋" w:hAnsi="仿宋" w:eastAsia="仿宋"/>
          <w:bCs/>
          <w:lang w:val="en-US" w:eastAsia="zh-CN"/>
        </w:rPr>
      </w:pPr>
      <w:r>
        <w:rPr>
          <w:rFonts w:hint="eastAsia" w:ascii="仿宋" w:hAnsi="仿宋" w:eastAsia="仿宋"/>
          <w:bCs/>
          <w:lang w:val="en-US" w:eastAsia="zh-CN"/>
        </w:rPr>
        <w:t>该报价包括但不限于完成甲方提供的《人保财险XX分公司XX采购项目》对应的货物及服务，甲方不再就上述货物及服务向乙方另行支付额外费用。</w:t>
      </w:r>
    </w:p>
    <w:p>
      <w:pPr>
        <w:spacing w:line="360" w:lineRule="auto"/>
        <w:rPr>
          <w:rFonts w:hint="eastAsia" w:ascii="仿宋" w:hAnsi="仿宋" w:eastAsia="仿宋"/>
          <w:bCs/>
          <w:lang w:val="en-US" w:eastAsia="zh-CN"/>
        </w:rPr>
      </w:pPr>
      <w:r>
        <w:rPr>
          <w:rFonts w:hint="eastAsia" w:ascii="仿宋" w:hAnsi="仿宋" w:eastAsia="仿宋"/>
          <w:bCs/>
          <w:lang w:val="en-US" w:eastAsia="zh-CN"/>
        </w:rPr>
        <w:t xml:space="preserve">二、其他事项_________________________________________________________________________________________________________________________________________________________________________________                   </w:t>
      </w:r>
    </w:p>
    <w:p>
      <w:pPr>
        <w:spacing w:line="360" w:lineRule="auto"/>
        <w:ind w:firstLine="5760" w:firstLineChars="2400"/>
        <w:rPr>
          <w:rFonts w:hint="eastAsia" w:ascii="仿宋" w:hAnsi="仿宋" w:eastAsia="仿宋"/>
          <w:bCs/>
          <w:lang w:val="en-US" w:eastAsia="zh-CN"/>
        </w:rPr>
      </w:pPr>
    </w:p>
    <w:p>
      <w:pPr>
        <w:spacing w:line="360" w:lineRule="auto"/>
        <w:ind w:firstLine="5760" w:firstLineChars="2400"/>
        <w:rPr>
          <w:rFonts w:hint="eastAsia" w:ascii="仿宋" w:hAnsi="仿宋" w:eastAsia="仿宋"/>
          <w:bCs/>
          <w:lang w:val="en-US" w:eastAsia="zh-CN"/>
        </w:rPr>
      </w:pPr>
      <w:r>
        <w:rPr>
          <w:rFonts w:hint="eastAsia" w:ascii="仿宋" w:hAnsi="仿宋" w:eastAsia="仿宋"/>
          <w:bCs/>
          <w:lang w:val="en-US" w:eastAsia="zh-CN"/>
        </w:rPr>
        <w:t xml:space="preserve">单位名称：  </w:t>
      </w:r>
    </w:p>
    <w:p>
      <w:pPr>
        <w:spacing w:line="360" w:lineRule="auto"/>
        <w:rPr>
          <w:rFonts w:hint="eastAsia" w:ascii="仿宋" w:hAnsi="仿宋" w:eastAsia="仿宋"/>
          <w:bCs/>
          <w:lang w:val="en-US" w:eastAsia="zh-CN"/>
        </w:rPr>
      </w:pPr>
      <w:r>
        <w:rPr>
          <w:rFonts w:hint="eastAsia" w:ascii="仿宋" w:hAnsi="仿宋" w:eastAsia="仿宋"/>
          <w:bCs/>
          <w:lang w:val="en-US" w:eastAsia="zh-CN"/>
        </w:rPr>
        <w:t xml:space="preserve">                                                签字：</w:t>
      </w:r>
    </w:p>
    <w:p>
      <w:pPr>
        <w:spacing w:line="360" w:lineRule="auto"/>
        <w:rPr>
          <w:rFonts w:hint="eastAsia" w:ascii="仿宋" w:hAnsi="仿宋" w:eastAsia="仿宋"/>
          <w:bCs/>
          <w:lang w:val="en-US" w:eastAsia="zh-CN"/>
        </w:rPr>
      </w:pPr>
      <w:r>
        <w:rPr>
          <w:rFonts w:hint="eastAsia" w:ascii="仿宋" w:hAnsi="仿宋" w:eastAsia="仿宋"/>
          <w:bCs/>
          <w:lang w:val="en-US" w:eastAsia="zh-CN"/>
        </w:rPr>
        <w:t xml:space="preserve">                                                日期： </w:t>
      </w:r>
    </w:p>
    <w:p>
      <w:pPr>
        <w:spacing w:line="360" w:lineRule="auto"/>
        <w:rPr>
          <w:rFonts w:hint="eastAsia" w:ascii="仿宋" w:hAnsi="仿宋" w:eastAsia="仿宋"/>
          <w:bCs/>
          <w:lang w:val="en-US" w:eastAsia="zh-CN"/>
        </w:rPr>
      </w:pPr>
      <w:r>
        <w:rPr>
          <w:rFonts w:hint="eastAsia" w:ascii="仿宋" w:hAnsi="仿宋" w:eastAsia="仿宋"/>
          <w:bCs/>
          <w:lang w:val="en-US" w:eastAsia="zh-CN"/>
        </w:rPr>
        <w:t xml:space="preserve">   </w:t>
      </w:r>
    </w:p>
    <w:p>
      <w:pPr>
        <w:spacing w:line="360" w:lineRule="auto"/>
        <w:rPr>
          <w:rFonts w:hint="eastAsia" w:ascii="仿宋" w:hAnsi="仿宋" w:eastAsia="仿宋"/>
          <w:bCs/>
          <w:lang w:val="en-US" w:eastAsia="zh-CN"/>
        </w:rPr>
      </w:pPr>
      <w:r>
        <w:rPr>
          <w:rFonts w:hint="eastAsia" w:ascii="仿宋" w:hAnsi="仿宋" w:eastAsia="仿宋"/>
          <w:bCs/>
          <w:lang w:val="en-US" w:eastAsia="zh-CN"/>
        </w:rPr>
        <w:t>注：1.签字人员必须为响应单位法定代表人或经响应单位法定代表人授权的委派代理人，该人员在投标、合同签订过程中所签署的一切文件和处理与之有关的一切事务对响应单位具有法律效应。</w:t>
      </w:r>
    </w:p>
    <w:p>
      <w:pPr>
        <w:spacing w:line="360" w:lineRule="auto"/>
        <w:rPr>
          <w:rFonts w:hint="eastAsia" w:ascii="仿宋" w:hAnsi="仿宋" w:eastAsia="仿宋"/>
          <w:bCs/>
          <w:lang w:val="en-US" w:eastAsia="zh-CN"/>
        </w:rPr>
      </w:pPr>
      <w:r>
        <w:rPr>
          <w:rFonts w:hint="eastAsia" w:ascii="仿宋" w:hAnsi="仿宋" w:eastAsia="仿宋"/>
          <w:bCs/>
          <w:lang w:val="en-US" w:eastAsia="zh-CN"/>
        </w:rPr>
        <w:t xml:space="preserve">    2. 本确认函确定内容与乙方XX年XX月XX日提交的比价文件约定不一致的，以本确认函确认内容为准。</w:t>
      </w:r>
    </w:p>
    <w:p>
      <w:pPr>
        <w:spacing w:line="360" w:lineRule="auto"/>
        <w:rPr>
          <w:rFonts w:hint="eastAsia" w:ascii="仿宋" w:hAnsi="仿宋" w:eastAsia="仿宋"/>
          <w:bCs/>
          <w:lang w:val="en-US" w:eastAsia="zh-CN"/>
        </w:rPr>
      </w:pPr>
    </w:p>
    <w:p>
      <w:pPr>
        <w:pStyle w:val="2"/>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17</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17</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953457"/>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B4D250"/>
    <w:multiLevelType w:val="singleLevel"/>
    <w:tmpl w:val="E9B4D250"/>
    <w:lvl w:ilvl="0" w:tentative="0">
      <w:start w:val="2"/>
      <w:numFmt w:val="chineseCounting"/>
      <w:suff w:val="space"/>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0AB0"/>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32FD4"/>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A760D"/>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7A9"/>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0A0C"/>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28D"/>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204"/>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422B"/>
    <w:rsid w:val="00606007"/>
    <w:rsid w:val="006167C0"/>
    <w:rsid w:val="00622835"/>
    <w:rsid w:val="006329BA"/>
    <w:rsid w:val="00637AD1"/>
    <w:rsid w:val="0064613E"/>
    <w:rsid w:val="0064654C"/>
    <w:rsid w:val="00646E2F"/>
    <w:rsid w:val="00651120"/>
    <w:rsid w:val="00653288"/>
    <w:rsid w:val="00653868"/>
    <w:rsid w:val="00661FE8"/>
    <w:rsid w:val="006623B0"/>
    <w:rsid w:val="006631C8"/>
    <w:rsid w:val="006636A5"/>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45B"/>
    <w:rsid w:val="007C6BB6"/>
    <w:rsid w:val="007C7334"/>
    <w:rsid w:val="007C7982"/>
    <w:rsid w:val="007C7A75"/>
    <w:rsid w:val="007D1CA7"/>
    <w:rsid w:val="007D3011"/>
    <w:rsid w:val="007D3306"/>
    <w:rsid w:val="007D3D79"/>
    <w:rsid w:val="007D7271"/>
    <w:rsid w:val="007D759D"/>
    <w:rsid w:val="007D7611"/>
    <w:rsid w:val="007E225D"/>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4177"/>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73BB"/>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567B8"/>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1645"/>
    <w:rsid w:val="00EC507E"/>
    <w:rsid w:val="00EC61CE"/>
    <w:rsid w:val="00ED2FC1"/>
    <w:rsid w:val="00ED459E"/>
    <w:rsid w:val="00EE1639"/>
    <w:rsid w:val="00EE5E67"/>
    <w:rsid w:val="00EF2F6A"/>
    <w:rsid w:val="00F00AE7"/>
    <w:rsid w:val="00F03827"/>
    <w:rsid w:val="00F060C2"/>
    <w:rsid w:val="00F121B6"/>
    <w:rsid w:val="00F13C90"/>
    <w:rsid w:val="00F16B93"/>
    <w:rsid w:val="00F16E49"/>
    <w:rsid w:val="00F20F76"/>
    <w:rsid w:val="00F21082"/>
    <w:rsid w:val="00F27064"/>
    <w:rsid w:val="00F30314"/>
    <w:rsid w:val="00F31667"/>
    <w:rsid w:val="00F3255E"/>
    <w:rsid w:val="00F336D9"/>
    <w:rsid w:val="00F340E1"/>
    <w:rsid w:val="00F35DC6"/>
    <w:rsid w:val="00F437F5"/>
    <w:rsid w:val="00F4733D"/>
    <w:rsid w:val="00F53E3D"/>
    <w:rsid w:val="00F54346"/>
    <w:rsid w:val="00F569A6"/>
    <w:rsid w:val="00F56E90"/>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E6801"/>
    <w:rsid w:val="00FF0618"/>
    <w:rsid w:val="00FF2378"/>
    <w:rsid w:val="00FF4004"/>
    <w:rsid w:val="00FF6580"/>
    <w:rsid w:val="03CA6EF6"/>
    <w:rsid w:val="0569312B"/>
    <w:rsid w:val="0991333B"/>
    <w:rsid w:val="0A141145"/>
    <w:rsid w:val="0A365CE4"/>
    <w:rsid w:val="0ACB4877"/>
    <w:rsid w:val="0C4E2EF4"/>
    <w:rsid w:val="0D645A21"/>
    <w:rsid w:val="0F3E118F"/>
    <w:rsid w:val="10883491"/>
    <w:rsid w:val="10CB1C5B"/>
    <w:rsid w:val="130C2ADA"/>
    <w:rsid w:val="13B40768"/>
    <w:rsid w:val="13F8556F"/>
    <w:rsid w:val="14E75EDB"/>
    <w:rsid w:val="17334565"/>
    <w:rsid w:val="178772D7"/>
    <w:rsid w:val="180052F6"/>
    <w:rsid w:val="18146217"/>
    <w:rsid w:val="18215304"/>
    <w:rsid w:val="19332BB1"/>
    <w:rsid w:val="1A1E085A"/>
    <w:rsid w:val="1CD008B9"/>
    <w:rsid w:val="1D237383"/>
    <w:rsid w:val="1F5171F9"/>
    <w:rsid w:val="23175132"/>
    <w:rsid w:val="232457F5"/>
    <w:rsid w:val="24CF4FC0"/>
    <w:rsid w:val="2749750B"/>
    <w:rsid w:val="276B1878"/>
    <w:rsid w:val="292532D4"/>
    <w:rsid w:val="2C133391"/>
    <w:rsid w:val="2DF81ACA"/>
    <w:rsid w:val="2E3461D7"/>
    <w:rsid w:val="32495BA3"/>
    <w:rsid w:val="33237877"/>
    <w:rsid w:val="34425E22"/>
    <w:rsid w:val="35EA03A9"/>
    <w:rsid w:val="362C1207"/>
    <w:rsid w:val="37915A99"/>
    <w:rsid w:val="38894449"/>
    <w:rsid w:val="394D6312"/>
    <w:rsid w:val="397D76E1"/>
    <w:rsid w:val="3AFF460E"/>
    <w:rsid w:val="45617E3D"/>
    <w:rsid w:val="497405A2"/>
    <w:rsid w:val="4AB20AFC"/>
    <w:rsid w:val="516E691D"/>
    <w:rsid w:val="52495F8C"/>
    <w:rsid w:val="55FE463F"/>
    <w:rsid w:val="56257777"/>
    <w:rsid w:val="57564E35"/>
    <w:rsid w:val="59DD5A83"/>
    <w:rsid w:val="5AE1183E"/>
    <w:rsid w:val="5B7D6727"/>
    <w:rsid w:val="5B9A01BB"/>
    <w:rsid w:val="5C5D0552"/>
    <w:rsid w:val="62A85441"/>
    <w:rsid w:val="63936F88"/>
    <w:rsid w:val="67490988"/>
    <w:rsid w:val="67BE512F"/>
    <w:rsid w:val="68B422EA"/>
    <w:rsid w:val="6936651F"/>
    <w:rsid w:val="69D65D0E"/>
    <w:rsid w:val="6C2F3373"/>
    <w:rsid w:val="6D535020"/>
    <w:rsid w:val="6FA1126F"/>
    <w:rsid w:val="7058471B"/>
    <w:rsid w:val="71D36AA8"/>
    <w:rsid w:val="746305B1"/>
    <w:rsid w:val="74862811"/>
    <w:rsid w:val="74F165C8"/>
    <w:rsid w:val="762C0D71"/>
    <w:rsid w:val="772B54F6"/>
    <w:rsid w:val="7913570D"/>
    <w:rsid w:val="792B4ED6"/>
    <w:rsid w:val="7BFF77C2"/>
    <w:rsid w:val="7E921F11"/>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E0C27-1B73-42D5-AFB5-EE7EE731F95E}">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3752</Words>
  <Characters>21391</Characters>
  <Lines>178</Lines>
  <Paragraphs>50</Paragraphs>
  <TotalTime>2</TotalTime>
  <ScaleCrop>false</ScaleCrop>
  <LinksUpToDate>false</LinksUpToDate>
  <CharactersWithSpaces>25093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向曦</cp:lastModifiedBy>
  <cp:lastPrinted>2019-12-03T09:03:00Z</cp:lastPrinted>
  <dcterms:modified xsi:type="dcterms:W3CDTF">2026-05-12T07:31:26Z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9176DB8E6EF7402DA07FD3D14A42DC60_12</vt:lpwstr>
  </property>
</Properties>
</file>