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hint="eastAsia" w:ascii="仿宋" w:hAnsi="仿宋" w:eastAsia="仿宋" w:cs="仿宋"/>
          <w:b/>
          <w:sz w:val="44"/>
          <w:szCs w:val="44"/>
          <w:lang w:val="en-US" w:eastAsia="zh-CN"/>
        </w:rPr>
      </w:pPr>
      <w:r>
        <w:rPr>
          <w:rFonts w:hint="eastAsia" w:ascii="仿宋_GB2312" w:hAnsi="宋体" w:eastAsia="仿宋_GB2312"/>
          <w:b/>
          <w:sz w:val="44"/>
          <w:szCs w:val="44"/>
          <w:lang w:eastAsia="zh-CN"/>
        </w:rPr>
        <w:t>人保财险</w:t>
      </w:r>
      <w:r>
        <w:rPr>
          <w:rFonts w:hint="eastAsia" w:ascii="仿宋" w:hAnsi="仿宋" w:eastAsia="仿宋" w:cs="仿宋"/>
          <w:b/>
          <w:sz w:val="44"/>
          <w:szCs w:val="44"/>
          <w:lang w:val="en-US" w:eastAsia="zh-CN"/>
        </w:rPr>
        <w:t>四川省</w:t>
      </w:r>
      <w:r>
        <w:rPr>
          <w:rFonts w:hint="eastAsia" w:ascii="仿宋" w:hAnsi="仿宋" w:eastAsia="仿宋" w:cs="仿宋"/>
          <w:b/>
          <w:sz w:val="44"/>
          <w:szCs w:val="44"/>
        </w:rPr>
        <w:t>泸州市分公司</w:t>
      </w:r>
      <w:r>
        <w:rPr>
          <w:rFonts w:hint="eastAsia" w:ascii="仿宋" w:hAnsi="仿宋" w:eastAsia="仿宋" w:cs="仿宋"/>
          <w:b/>
          <w:sz w:val="44"/>
          <w:szCs w:val="44"/>
          <w:lang w:val="en-US" w:eastAsia="zh-CN"/>
        </w:rPr>
        <w:t>泸惠保</w:t>
      </w:r>
    </w:p>
    <w:p>
      <w:pPr>
        <w:jc w:val="center"/>
        <w:rPr>
          <w:rFonts w:hint="eastAsia" w:ascii="仿宋" w:hAnsi="仿宋" w:eastAsia="仿宋" w:cs="仿宋"/>
          <w:b/>
          <w:sz w:val="44"/>
          <w:szCs w:val="44"/>
        </w:rPr>
      </w:pPr>
      <w:r>
        <w:rPr>
          <w:rFonts w:hint="eastAsia" w:ascii="仿宋" w:hAnsi="仿宋" w:eastAsia="仿宋" w:cs="仿宋"/>
          <w:b/>
          <w:sz w:val="44"/>
          <w:szCs w:val="44"/>
        </w:rPr>
        <w:t>宣传推广服务采购项目</w:t>
      </w:r>
    </w:p>
    <w:p>
      <w:pPr>
        <w:pStyle w:val="2"/>
        <w:rPr>
          <w:rFonts w:hint="eastAsia" w:ascii="仿宋" w:hAnsi="仿宋" w:eastAsia="仿宋" w:cs="仿宋"/>
          <w:b/>
          <w:sz w:val="44"/>
          <w:szCs w:val="44"/>
        </w:rPr>
      </w:pPr>
    </w:p>
    <w:p>
      <w:pPr>
        <w:pStyle w:val="2"/>
        <w:rPr>
          <w:rFonts w:hint="eastAsia" w:ascii="仿宋" w:hAnsi="仿宋" w:eastAsia="仿宋" w:cs="仿宋"/>
          <w:b/>
          <w:sz w:val="44"/>
          <w:szCs w:val="44"/>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5</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_Toc13787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_Toc13787 \h </w:instrText>
      </w:r>
      <w:r>
        <w:fldChar w:fldCharType="separate"/>
      </w:r>
      <w:r>
        <w:t>1</w:t>
      </w:r>
      <w:r>
        <w:fldChar w:fldCharType="end"/>
      </w:r>
      <w:r>
        <w:rPr>
          <w:rFonts w:hint="eastAsia" w:ascii="仿宋_GB2312" w:hAnsi="宋体" w:eastAsia="仿宋_GB2312"/>
          <w:bCs w:val="0"/>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_Toc19988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_Toc19988 \h </w:instrText>
      </w:r>
      <w:r>
        <w:fldChar w:fldCharType="separate"/>
      </w:r>
      <w:r>
        <w:t>1</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_Toc22090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_Toc22090 \h </w:instrText>
      </w:r>
      <w:r>
        <w:fldChar w:fldCharType="separate"/>
      </w:r>
      <w:r>
        <w:t>1</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_Toc13179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_Toc13179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_Toc16673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_Toc16673 \h </w:instrText>
      </w:r>
      <w:r>
        <w:fldChar w:fldCharType="separate"/>
      </w:r>
      <w:r>
        <w:t>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_Toc21615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_Toc21615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_Toc8691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_Toc8691 \h </w:instrText>
      </w:r>
      <w:r>
        <w:fldChar w:fldCharType="separate"/>
      </w:r>
      <w:r>
        <w:t>3</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_Toc11922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_Toc11922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_Toc18145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_Toc18145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_Toc10845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_Toc10845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_Toc1502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_Toc1502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_Toc32748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_Toc32748 \h </w:instrText>
      </w:r>
      <w:r>
        <w:fldChar w:fldCharType="separate"/>
      </w:r>
      <w:r>
        <w:t>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_Toc20671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_Toc20671 \h </w:instrText>
      </w:r>
      <w:r>
        <w:fldChar w:fldCharType="separate"/>
      </w:r>
      <w:r>
        <w:t>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_Toc13124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_Toc13124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_Toc5870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_Toc5870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_Toc27569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_Toc27569 \h </w:instrText>
      </w:r>
      <w:r>
        <w:fldChar w:fldCharType="separate"/>
      </w:r>
      <w:r>
        <w:t>13</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_Toc18896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_Toc18896 \h </w:instrText>
      </w:r>
      <w:r>
        <w:fldChar w:fldCharType="separate"/>
      </w:r>
      <w:r>
        <w:t>14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_Toc18224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_Toc18224 \h </w:instrText>
      </w:r>
      <w:r>
        <w:fldChar w:fldCharType="separate"/>
      </w:r>
      <w:r>
        <w:t>14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_Toc16650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_Toc16650 \h </w:instrText>
      </w:r>
      <w:r>
        <w:fldChar w:fldCharType="separate"/>
      </w:r>
      <w:r>
        <w:t>15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_Toc4605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_Toc4605 \h </w:instrText>
      </w:r>
      <w:r>
        <w:fldChar w:fldCharType="separate"/>
      </w:r>
      <w:r>
        <w:t>16</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_Toc26193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_Toc26193 \h </w:instrText>
      </w:r>
      <w:r>
        <w:fldChar w:fldCharType="separate"/>
      </w:r>
      <w:r>
        <w:t>17</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_Toc19389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_Toc19389 \h </w:instrText>
      </w:r>
      <w:r>
        <w:fldChar w:fldCharType="separate"/>
      </w:r>
      <w:r>
        <w:t>32</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_Toc3184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_Toc3184 \h </w:instrText>
      </w:r>
      <w:r>
        <w:fldChar w:fldCharType="separate"/>
      </w:r>
      <w:r>
        <w:t>33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_Toc28387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_Toc28387 \h </w:instrText>
      </w:r>
      <w:r>
        <w:fldChar w:fldCharType="separate"/>
      </w:r>
      <w:r>
        <w:t>35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_Toc13209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_Toc13209 \h </w:instrText>
      </w:r>
      <w:r>
        <w:fldChar w:fldCharType="separate"/>
      </w:r>
      <w:r>
        <w:t>36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_Toc21560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_Toc21560 \h </w:instrText>
      </w:r>
      <w:r>
        <w:fldChar w:fldCharType="separate"/>
      </w:r>
      <w:r>
        <w:t>37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_Toc19787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_Toc19787 \h </w:instrText>
      </w:r>
      <w:r>
        <w:fldChar w:fldCharType="separate"/>
      </w:r>
      <w:r>
        <w:t>38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_Toc7090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_Toc7090 \h </w:instrText>
      </w:r>
      <w:r>
        <w:fldChar w:fldCharType="separate"/>
      </w:r>
      <w:r>
        <w:t>39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_Toc25676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_Toc25676 \h </w:instrText>
      </w:r>
      <w:r>
        <w:fldChar w:fldCharType="separate"/>
      </w:r>
      <w:r>
        <w:t>46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_Toc3329 </w:instrText>
      </w:r>
      <w:r>
        <w:rPr>
          <w:rFonts w:hint="eastAsia" w:ascii="仿宋_GB2312" w:hAnsi="宋体" w:eastAsia="仿宋_GB2312"/>
          <w:bCs w:val="0"/>
        </w:rPr>
        <w:fldChar w:fldCharType="separate"/>
      </w:r>
      <w:r>
        <w:rPr>
          <w:rFonts w:hint="eastAsia" w:ascii="仿宋" w:hAnsi="仿宋" w:eastAsia="仿宋" w:cs="仿宋"/>
          <w:szCs w:val="24"/>
        </w:rPr>
        <w:t>（六）合同条款应答偏离表</w:t>
      </w:r>
      <w:r>
        <w:tab/>
      </w:r>
      <w:r>
        <w:fldChar w:fldCharType="begin"/>
      </w:r>
      <w:r>
        <w:instrText xml:space="preserve"> PAGEREF _Toc3329 \h </w:instrText>
      </w:r>
      <w:r>
        <w:fldChar w:fldCharType="separate"/>
      </w:r>
      <w:r>
        <w:t>47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_Toc29063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eastAsia="zh-CN"/>
        </w:rPr>
        <w:t>七</w:t>
      </w:r>
      <w:r>
        <w:rPr>
          <w:rFonts w:hint="eastAsia" w:ascii="仿宋" w:hAnsi="仿宋" w:eastAsia="仿宋" w:cs="仿宋"/>
          <w:szCs w:val="24"/>
        </w:rPr>
        <w:t>）供应商行为准则承诺书</w:t>
      </w:r>
      <w:r>
        <w:tab/>
      </w:r>
      <w:r>
        <w:fldChar w:fldCharType="begin"/>
      </w:r>
      <w:r>
        <w:instrText xml:space="preserve"> PAGEREF _Toc29063 \h </w:instrText>
      </w:r>
      <w:r>
        <w:fldChar w:fldCharType="separate"/>
      </w:r>
      <w:r>
        <w:t>48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_Toc13686 </w:instrText>
      </w:r>
      <w:r>
        <w:rPr>
          <w:rFonts w:hint="eastAsia" w:ascii="仿宋_GB2312" w:hAnsi="宋体" w:eastAsia="仿宋_GB2312"/>
          <w:bCs w:val="0"/>
        </w:rPr>
        <w:fldChar w:fldCharType="separate"/>
      </w:r>
      <w:r>
        <w:rPr>
          <w:rFonts w:hint="eastAsia" w:ascii="仿宋" w:hAnsi="仿宋" w:eastAsia="仿宋" w:cs="宋体"/>
          <w:bCs w:val="0"/>
          <w:szCs w:val="24"/>
        </w:rPr>
        <w:t>（</w:t>
      </w:r>
      <w:r>
        <w:rPr>
          <w:rFonts w:hint="eastAsia" w:ascii="仿宋" w:hAnsi="仿宋" w:eastAsia="仿宋" w:cs="宋体"/>
          <w:bCs w:val="0"/>
          <w:szCs w:val="24"/>
          <w:lang w:eastAsia="zh-CN"/>
        </w:rPr>
        <w:t>八</w:t>
      </w:r>
      <w:r>
        <w:rPr>
          <w:rFonts w:hint="eastAsia" w:ascii="仿宋" w:hAnsi="仿宋" w:eastAsia="仿宋" w:cs="宋体"/>
          <w:bCs w:val="0"/>
          <w:szCs w:val="24"/>
        </w:rPr>
        <w:t>）供应商廉洁诚信承诺书</w:t>
      </w:r>
      <w:r>
        <w:tab/>
      </w:r>
      <w:r>
        <w:fldChar w:fldCharType="begin"/>
      </w:r>
      <w:r>
        <w:instrText xml:space="preserve"> PAGEREF _Toc13686 \h </w:instrText>
      </w:r>
      <w:r>
        <w:fldChar w:fldCharType="separate"/>
      </w:r>
      <w:r>
        <w:t>50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_Toc11474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eastAsia="zh-CN"/>
        </w:rPr>
        <w:t>九</w:t>
      </w:r>
      <w:r>
        <w:rPr>
          <w:rFonts w:hint="eastAsia" w:ascii="仿宋" w:hAnsi="仿宋" w:eastAsia="仿宋" w:cs="宋体"/>
        </w:rPr>
        <w:t>）其他材料</w:t>
      </w:r>
      <w:r>
        <w:tab/>
      </w:r>
      <w:r>
        <w:fldChar w:fldCharType="begin"/>
      </w:r>
      <w:r>
        <w:instrText xml:space="preserve"> PAGEREF _Toc11474 \h </w:instrText>
      </w:r>
      <w:r>
        <w:fldChar w:fldCharType="separate"/>
      </w:r>
      <w:r>
        <w:t>53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_Toc30259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_Toc30259 \h </w:instrText>
      </w:r>
      <w:r>
        <w:fldChar w:fldCharType="separate"/>
      </w:r>
      <w:r>
        <w:t>54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_Toc24804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eastAsia="zh-CN"/>
        </w:rPr>
        <w:t>一</w:t>
      </w:r>
      <w:r>
        <w:rPr>
          <w:rFonts w:hint="eastAsia" w:ascii="仿宋" w:hAnsi="仿宋" w:eastAsia="仿宋" w:cs="仿宋"/>
          <w:szCs w:val="24"/>
        </w:rPr>
        <w:t>）技术方案</w:t>
      </w:r>
      <w:r>
        <w:tab/>
      </w:r>
      <w:r>
        <w:fldChar w:fldCharType="begin"/>
      </w:r>
      <w:r>
        <w:instrText xml:space="preserve"> PAGEREF _Toc24804 \h </w:instrText>
      </w:r>
      <w:r>
        <w:fldChar w:fldCharType="separate"/>
      </w:r>
      <w:r>
        <w:t>54</w:t>
      </w:r>
      <w:r>
        <w:fldChar w:fldCharType="end"/>
      </w:r>
      <w:r>
        <w:rPr>
          <w:rFonts w:hint="eastAsia" w:ascii="仿宋_GB2312" w:hAnsi="宋体" w:eastAsia="仿宋_GB2312"/>
          <w:bCs w:val="0"/>
          <w:color w:val="auto"/>
        </w:rPr>
        <w:fldChar w:fldCharType="end"/>
      </w:r>
    </w:p>
    <w:p>
      <w:pPr>
        <w:pStyle w:val="14"/>
        <w:tabs>
          <w:tab w:val="right" w:leader="dot" w:pos="9638"/>
        </w:tabs>
        <w:rPr>
          <w:rFonts w:hint="eastAsia" w:ascii="仿宋_GB2312" w:hAnsi="宋体" w:eastAsia="仿宋_GB2312"/>
          <w:bCs w:val="0"/>
          <w:color w:val="auto"/>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_Toc3266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eastAsia="zh-CN"/>
        </w:rPr>
        <w:t>二</w:t>
      </w:r>
      <w:r>
        <w:rPr>
          <w:rFonts w:hint="eastAsia" w:ascii="仿宋" w:hAnsi="仿宋" w:eastAsia="仿宋" w:cs="仿宋"/>
          <w:szCs w:val="24"/>
        </w:rPr>
        <w:t>）其他材料</w:t>
      </w:r>
      <w:r>
        <w:tab/>
      </w:r>
      <w:r>
        <w:fldChar w:fldCharType="begin"/>
      </w:r>
      <w:r>
        <w:instrText xml:space="preserve"> PAGEREF _Toc3266 \h </w:instrText>
      </w:r>
      <w:r>
        <w:fldChar w:fldCharType="separate"/>
      </w:r>
      <w:r>
        <w:t>55</w:t>
      </w:r>
      <w:r>
        <w:fldChar w:fldCharType="end"/>
      </w:r>
      <w:r>
        <w:rPr>
          <w:rFonts w:hint="eastAsia" w:ascii="仿宋_GB2312" w:hAnsi="宋体" w:eastAsia="仿宋_GB2312"/>
          <w:bCs w:val="0"/>
          <w:color w:val="auto"/>
        </w:rPr>
        <w:fldChar w:fldCharType="end"/>
      </w:r>
    </w:p>
    <w:p>
      <w:pPr>
        <w:pStyle w:val="14"/>
        <w:tabs>
          <w:tab w:val="right" w:leader="dot" w:pos="9638"/>
        </w:tabs>
        <w:ind w:left="0" w:leftChars="0" w:firstLine="480" w:firstLineChars="200"/>
      </w:pPr>
      <w:r>
        <w:rPr>
          <w:rFonts w:hint="eastAsia" w:ascii="仿宋_GB2312" w:hAnsi="宋体" w:eastAsia="仿宋_GB2312"/>
          <w:bCs w:val="0"/>
          <w:color w:val="auto"/>
          <w:lang w:val="en-US" w:eastAsia="zh-CN"/>
        </w:rPr>
        <w:t>三、报价文件</w:t>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_Toc17415 </w:instrText>
      </w:r>
      <w:r>
        <w:rPr>
          <w:rFonts w:hint="eastAsia" w:ascii="仿宋_GB2312" w:hAnsi="宋体" w:eastAsia="仿宋_GB2312"/>
          <w:bCs w:val="0"/>
        </w:rPr>
        <w:fldChar w:fldCharType="separate"/>
      </w:r>
      <w:r>
        <w:tab/>
      </w:r>
      <w:r>
        <w:fldChar w:fldCharType="begin"/>
      </w:r>
      <w:r>
        <w:instrText xml:space="preserve"> PAGEREF _Toc17415 \h </w:instrText>
      </w:r>
      <w:r>
        <w:fldChar w:fldCharType="separate"/>
      </w:r>
      <w:r>
        <w:t>56</w:t>
      </w:r>
      <w:r>
        <w:fldChar w:fldCharType="end"/>
      </w:r>
      <w:r>
        <w:rPr>
          <w:rFonts w:hint="eastAsia" w:ascii="仿宋_GB2312" w:hAnsi="宋体" w:eastAsia="仿宋_GB2312"/>
          <w:bCs w:val="0"/>
          <w:color w:val="auto"/>
        </w:rPr>
        <w:fldChar w:fldCharType="end"/>
      </w:r>
    </w:p>
    <w:p>
      <w:pPr>
        <w:pStyle w:val="2"/>
        <w:rPr>
          <w:rFonts w:hint="default" w:eastAsia="仿宋_GB2312"/>
          <w:lang w:val="en-US" w:eastAsia="zh-CN"/>
        </w:rPr>
      </w:pP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_Toc17415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_Toc17415 \h </w:instrText>
      </w:r>
      <w:r>
        <w:fldChar w:fldCharType="separate"/>
      </w:r>
      <w:r>
        <w:t>56</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3787"/>
      <w:r>
        <w:rPr>
          <w:rFonts w:hint="eastAsia" w:ascii="仿宋_GB2312" w:hAnsi="宋体" w:eastAsia="仿宋_GB2312"/>
          <w:color w:val="auto"/>
          <w:sz w:val="28"/>
          <w:szCs w:val="28"/>
        </w:rPr>
        <w:t>第一章 比选邀请</w:t>
      </w:r>
      <w:bookmarkEnd w:id="0"/>
      <w:bookmarkEnd w:id="1"/>
      <w:bookmarkStart w:id="199" w:name="_GoBack"/>
      <w:bookmarkEnd w:id="199"/>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rPr>
        <w:t xml:space="preserve"> </w:t>
      </w: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w:t>
      </w:r>
      <w:r>
        <w:rPr>
          <w:rFonts w:hint="eastAsia" w:ascii="仿宋" w:hAnsi="仿宋" w:eastAsia="仿宋" w:cs="仿宋"/>
          <w:sz w:val="24"/>
          <w:szCs w:val="24"/>
          <w:u w:val="single"/>
          <w:lang w:val="en-US" w:eastAsia="zh-CN"/>
        </w:rPr>
        <w:t>泸州市</w:t>
      </w:r>
      <w:r>
        <w:rPr>
          <w:rFonts w:hint="eastAsia" w:ascii="仿宋" w:hAnsi="仿宋" w:eastAsia="仿宋" w:cs="仿宋"/>
          <w:sz w:val="24"/>
          <w:szCs w:val="24"/>
          <w:u w:val="single"/>
        </w:rPr>
        <w:t>分公司</w:t>
      </w:r>
      <w:r>
        <w:rPr>
          <w:rFonts w:hint="eastAsia" w:ascii="仿宋" w:hAnsi="仿宋" w:eastAsia="仿宋" w:cs="仿宋"/>
          <w:sz w:val="24"/>
          <w:szCs w:val="24"/>
          <w:u w:val="single"/>
          <w:lang w:val="en-US" w:eastAsia="zh-CN"/>
        </w:rPr>
        <w:t>泸惠保</w:t>
      </w:r>
      <w:r>
        <w:rPr>
          <w:rFonts w:hint="eastAsia" w:ascii="仿宋" w:hAnsi="仿宋" w:eastAsia="仿宋" w:cs="仿宋"/>
          <w:color w:val="auto"/>
          <w:u w:val="single"/>
          <w:lang w:eastAsia="zh-CN"/>
        </w:rPr>
        <w:t>宣传</w:t>
      </w:r>
      <w:r>
        <w:rPr>
          <w:rFonts w:hint="eastAsia" w:ascii="仿宋" w:hAnsi="仿宋" w:eastAsia="仿宋" w:cs="仿宋"/>
          <w:color w:val="auto"/>
          <w:u w:val="single"/>
          <w:lang w:val="en-US" w:eastAsia="zh-CN"/>
        </w:rPr>
        <w:t>推广</w:t>
      </w:r>
      <w:r>
        <w:rPr>
          <w:rFonts w:hint="eastAsia" w:ascii="仿宋" w:hAnsi="仿宋" w:eastAsia="仿宋" w:cs="仿宋"/>
          <w:color w:val="auto"/>
          <w:u w:val="single"/>
          <w:lang w:eastAsia="zh-CN"/>
        </w:rPr>
        <w:t>服务采购项目</w:t>
      </w:r>
      <w:r>
        <w:rPr>
          <w:rFonts w:hint="eastAsia" w:ascii="仿宋" w:hAnsi="仿宋" w:eastAsia="仿宋" w:cs="仿宋"/>
          <w:color w:val="auto"/>
        </w:rPr>
        <w:t>（采购项目编号：</w:t>
      </w:r>
      <w:r>
        <w:rPr>
          <w:rFonts w:ascii="Segoe UI" w:hAnsi="Segoe UI" w:eastAsia="Segoe UI" w:cs="Segoe UI"/>
          <w:i w:val="0"/>
          <w:iCs w:val="0"/>
          <w:caps w:val="0"/>
          <w:color w:val="606266"/>
          <w:spacing w:val="0"/>
          <w:sz w:val="21"/>
          <w:szCs w:val="21"/>
          <w:shd w:val="clear" w:fill="F4F5F7"/>
        </w:rPr>
        <w:t>XM26FSPC001432</w:t>
      </w:r>
      <w:r>
        <w:rPr>
          <w:rFonts w:hint="eastAsia" w:ascii="仿宋" w:hAnsi="仿宋" w:eastAsia="仿宋" w:cs="仿宋"/>
          <w:color w:val="auto"/>
        </w:rPr>
        <w:t xml:space="preserve"> ）由</w:t>
      </w:r>
      <w:r>
        <w:rPr>
          <w:rFonts w:hint="eastAsia" w:ascii="仿宋" w:hAnsi="仿宋" w:eastAsia="仿宋" w:cs="仿宋"/>
          <w:color w:val="auto"/>
          <w:u w:val="single"/>
          <w:lang w:eastAsia="zh-CN"/>
        </w:rPr>
        <w:t>中国人民财产保险股份有限公司泸州市</w:t>
      </w:r>
      <w:r>
        <w:rPr>
          <w:rFonts w:hint="eastAsia" w:ascii="仿宋" w:hAnsi="仿宋" w:eastAsia="仿宋" w:cs="仿宋"/>
          <w:color w:val="auto"/>
          <w:u w:val="single"/>
          <w:lang w:val="en-US" w:eastAsia="zh-CN"/>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eastAsia="zh-CN"/>
        </w:rPr>
        <w:t>泸州市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eastAsia="zh-CN"/>
        </w:rPr>
        <w:t>泸州市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000000"/>
          <w:sz w:val="24"/>
          <w:szCs w:val="24"/>
        </w:rPr>
      </w:pPr>
      <w:bookmarkStart w:id="2" w:name="_Toc21237"/>
      <w:bookmarkStart w:id="3" w:name="_Toc19988"/>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000000"/>
        </w:rPr>
        <w:t>1.1 项目名称</w:t>
      </w:r>
      <w:r>
        <w:rPr>
          <w:rFonts w:hint="eastAsia" w:ascii="仿宋" w:hAnsi="仿宋" w:eastAsia="仿宋" w:cs="仿宋"/>
          <w:color w:val="auto"/>
        </w:rPr>
        <w:t>：</w:t>
      </w:r>
      <w:r>
        <w:rPr>
          <w:rFonts w:hint="eastAsia" w:ascii="仿宋" w:hAnsi="仿宋" w:eastAsia="仿宋" w:cs="仿宋"/>
          <w:color w:val="auto"/>
          <w:u w:val="single"/>
          <w:lang w:eastAsia="zh-CN"/>
        </w:rPr>
        <w:t>人保财险四川省</w:t>
      </w:r>
      <w:r>
        <w:rPr>
          <w:rFonts w:hint="eastAsia" w:ascii="仿宋" w:hAnsi="仿宋" w:eastAsia="仿宋" w:cs="仿宋"/>
          <w:sz w:val="24"/>
          <w:szCs w:val="24"/>
          <w:u w:val="single"/>
          <w:lang w:val="en-US" w:eastAsia="zh-CN"/>
        </w:rPr>
        <w:t>泸州市</w:t>
      </w:r>
      <w:r>
        <w:rPr>
          <w:rFonts w:hint="eastAsia" w:ascii="仿宋" w:hAnsi="仿宋" w:eastAsia="仿宋" w:cs="仿宋"/>
          <w:sz w:val="24"/>
          <w:szCs w:val="24"/>
          <w:u w:val="single"/>
        </w:rPr>
        <w:t>分公司</w:t>
      </w:r>
      <w:r>
        <w:rPr>
          <w:rFonts w:hint="eastAsia" w:ascii="仿宋" w:hAnsi="仿宋" w:eastAsia="仿宋" w:cs="仿宋"/>
          <w:sz w:val="24"/>
          <w:szCs w:val="24"/>
          <w:u w:val="single"/>
          <w:lang w:val="en-US" w:eastAsia="zh-CN"/>
        </w:rPr>
        <w:t>泸惠保</w:t>
      </w:r>
      <w:r>
        <w:rPr>
          <w:rFonts w:hint="eastAsia" w:ascii="仿宋" w:hAnsi="仿宋" w:eastAsia="仿宋" w:cs="仿宋"/>
          <w:color w:val="auto"/>
          <w:u w:val="single"/>
          <w:lang w:eastAsia="zh-CN"/>
        </w:rPr>
        <w:t>宣传</w:t>
      </w:r>
      <w:r>
        <w:rPr>
          <w:rFonts w:hint="eastAsia" w:ascii="仿宋" w:hAnsi="仿宋" w:eastAsia="仿宋" w:cs="仿宋"/>
          <w:color w:val="auto"/>
          <w:u w:val="single"/>
          <w:lang w:val="en-US" w:eastAsia="zh-CN"/>
        </w:rPr>
        <w:t>推广</w:t>
      </w:r>
      <w:r>
        <w:rPr>
          <w:rFonts w:hint="eastAsia" w:ascii="仿宋" w:hAnsi="仿宋" w:eastAsia="仿宋" w:cs="仿宋"/>
          <w:color w:val="auto"/>
          <w:u w:val="single"/>
          <w:lang w:eastAsia="zh-CN"/>
        </w:rPr>
        <w:t>服务采购项目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采购范围：本项目拟采购一家供应商为我公司提供</w:t>
      </w:r>
      <w:r>
        <w:rPr>
          <w:rFonts w:hint="eastAsia" w:ascii="仿宋" w:hAnsi="仿宋" w:eastAsia="仿宋" w:cs="仿宋"/>
          <w:color w:val="auto"/>
          <w:lang w:val="en-US" w:eastAsia="zh-CN"/>
        </w:rPr>
        <w:t>泸惠保</w:t>
      </w:r>
      <w:r>
        <w:rPr>
          <w:rFonts w:hint="eastAsia" w:ascii="仿宋" w:hAnsi="仿宋" w:eastAsia="仿宋" w:cs="仿宋"/>
          <w:color w:val="auto"/>
        </w:rPr>
        <w:t>宣传推广服</w:t>
      </w:r>
      <w:r>
        <w:rPr>
          <w:rFonts w:hint="eastAsia" w:ascii="仿宋" w:hAnsi="仿宋" w:eastAsia="仿宋" w:cs="仿宋"/>
          <w:color w:val="auto"/>
          <w:highlight w:val="none"/>
        </w:rPr>
        <w:t>务</w:t>
      </w:r>
      <w:r>
        <w:rPr>
          <w:rFonts w:hint="eastAsia" w:ascii="仿宋" w:hAnsi="仿宋" w:eastAsia="仿宋" w:cs="仿宋"/>
          <w:color w:val="auto"/>
        </w:rPr>
        <w:t>，具体技术要求详见第五章采购需求。</w:t>
      </w:r>
    </w:p>
    <w:p>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一个月内</w:t>
      </w:r>
      <w:r>
        <w:rPr>
          <w:rFonts w:hint="eastAsia" w:ascii="仿宋" w:hAnsi="仿宋" w:eastAsia="仿宋" w:cs="宋体"/>
          <w:color w:val="auto"/>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w:t>
      </w:r>
      <w:r>
        <w:rPr>
          <w:rFonts w:hint="eastAsia" w:ascii="仿宋" w:hAnsi="仿宋" w:eastAsia="仿宋" w:cs="宋体"/>
          <w:color w:val="auto"/>
          <w:lang w:val="en-US" w:eastAsia="zh-CN"/>
        </w:rPr>
        <w:t>泸州/线上+线下宣传推广</w:t>
      </w:r>
      <w:r>
        <w:rPr>
          <w:rFonts w:hint="eastAsia" w:ascii="仿宋" w:hAnsi="仿宋" w:eastAsia="仿宋" w:cs="宋体"/>
          <w:color w:val="auto"/>
        </w:rPr>
        <w:t>。</w:t>
      </w:r>
    </w:p>
    <w:p>
      <w:pPr>
        <w:pStyle w:val="2"/>
        <w:rPr>
          <w:rFonts w:hint="default" w:eastAsia="仿宋"/>
          <w:color w:val="auto"/>
          <w:lang w:val="en-US" w:eastAsia="zh-CN"/>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即供应商报价不得高于</w:t>
      </w:r>
      <w:r>
        <w:rPr>
          <w:rFonts w:hint="eastAsia" w:ascii="仿宋" w:hAnsi="仿宋" w:eastAsia="仿宋" w:cs="仿宋"/>
          <w:color w:val="auto"/>
          <w:lang w:val="en-US" w:eastAsia="zh-CN"/>
        </w:rPr>
        <w:t>48.9万元。</w:t>
      </w:r>
    </w:p>
    <w:p>
      <w:pPr>
        <w:pStyle w:val="4"/>
        <w:jc w:val="left"/>
        <w:rPr>
          <w:rFonts w:ascii="仿宋" w:hAnsi="仿宋" w:eastAsia="仿宋" w:cs="仿宋"/>
          <w:color w:val="000000"/>
          <w:sz w:val="24"/>
          <w:szCs w:val="24"/>
        </w:rPr>
      </w:pPr>
      <w:bookmarkStart w:id="4" w:name="_Toc17569"/>
      <w:bookmarkStart w:id="5" w:name="_Toc22090"/>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w:t>
      </w:r>
      <w:r>
        <w:rPr>
          <w:rFonts w:hint="eastAsia" w:ascii="仿宋" w:hAnsi="仿宋" w:eastAsia="仿宋" w:cs="宋体"/>
          <w:color w:val="auto"/>
        </w:rPr>
        <w:t>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auto"/>
        </w:rPr>
        <w:t xml:space="preserve">2.2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w:t>
      </w:r>
      <w:r>
        <w:rPr>
          <w:rFonts w:hint="eastAsia" w:ascii="仿宋" w:hAnsi="仿宋" w:eastAsia="仿宋" w:cs="宋体"/>
          <w:color w:val="auto"/>
          <w:lang w:eastAsia="zh-CN"/>
        </w:rPr>
        <w:t>近</w:t>
      </w:r>
      <w:r>
        <w:rPr>
          <w:rFonts w:hint="eastAsia" w:ascii="仿宋" w:hAnsi="仿宋" w:eastAsia="仿宋" w:cs="宋体"/>
          <w:color w:val="auto"/>
          <w:lang w:val="en-US" w:eastAsia="zh-CN"/>
        </w:rPr>
        <w:t>三</w:t>
      </w:r>
      <w:r>
        <w:rPr>
          <w:rFonts w:hint="eastAsia" w:ascii="仿宋" w:hAnsi="仿宋" w:eastAsia="仿宋" w:cs="宋体"/>
          <w:color w:val="auto"/>
          <w:lang w:eastAsia="zh-CN"/>
        </w:rPr>
        <w:t>年</w:t>
      </w:r>
      <w:r>
        <w:rPr>
          <w:rFonts w:hint="eastAsia" w:ascii="仿宋" w:hAnsi="仿宋" w:eastAsia="仿宋" w:cs="宋体"/>
          <w:color w:val="auto"/>
        </w:rPr>
        <w:t>（</w:t>
      </w:r>
      <w:r>
        <w:rPr>
          <w:rFonts w:hint="eastAsia" w:ascii="仿宋" w:hAnsi="仿宋" w:eastAsia="仿宋" w:cs="宋体"/>
          <w:color w:val="auto"/>
          <w:lang w:eastAsia="zh-CN"/>
        </w:rPr>
        <w:t>202</w:t>
      </w:r>
      <w:r>
        <w:rPr>
          <w:rFonts w:hint="eastAsia" w:ascii="仿宋" w:hAnsi="仿宋" w:eastAsia="仿宋" w:cs="宋体"/>
          <w:color w:val="auto"/>
          <w:lang w:val="en-US" w:eastAsia="zh-CN"/>
        </w:rPr>
        <w:t>3</w:t>
      </w:r>
      <w:r>
        <w:rPr>
          <w:rFonts w:hint="eastAsia" w:ascii="仿宋" w:hAnsi="仿宋" w:eastAsia="仿宋" w:cs="宋体"/>
          <w:color w:val="auto"/>
          <w:lang w:eastAsia="zh-CN"/>
        </w:rPr>
        <w:t>年1月1日</w:t>
      </w:r>
      <w:r>
        <w:rPr>
          <w:rFonts w:hint="eastAsia" w:ascii="仿宋" w:hAnsi="仿宋" w:eastAsia="仿宋" w:cs="宋体"/>
          <w:color w:val="auto"/>
        </w:rPr>
        <w:t>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40</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w:t>
      </w:r>
      <w:r>
        <w:rPr>
          <w:rFonts w:hint="eastAsia" w:ascii="仿宋" w:hAnsi="仿宋" w:eastAsia="仿宋" w:cs="宋体"/>
          <w:color w:val="000000"/>
        </w:rPr>
        <w:t>、签署日期页及盖章页等。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000000"/>
        </w:rPr>
        <w:t>2.</w:t>
      </w:r>
      <w:r>
        <w:rPr>
          <w:rFonts w:hint="eastAsia" w:ascii="仿宋" w:hAnsi="仿宋" w:eastAsia="仿宋" w:cs="宋体"/>
          <w:color w:val="000000"/>
          <w:lang w:val="en-US" w:eastAsia="zh-CN"/>
        </w:rPr>
        <w:t>3</w:t>
      </w:r>
      <w:r>
        <w:rPr>
          <w:rFonts w:hint="eastAsia" w:ascii="仿宋" w:hAnsi="仿宋" w:eastAsia="仿宋" w:cs="宋体"/>
          <w:b/>
          <w:bCs/>
          <w:color w:val="000000"/>
        </w:rPr>
        <w:t>供应商应经营状况良好，且</w:t>
      </w:r>
      <w:r>
        <w:rPr>
          <w:rFonts w:hint="eastAsia" w:ascii="仿宋" w:hAnsi="仿宋" w:eastAsia="仿宋" w:cs="宋体"/>
          <w:b/>
          <w:bCs/>
          <w:color w:val="000000"/>
          <w:lang w:eastAsia="zh-CN"/>
        </w:rPr>
        <w:t>近</w:t>
      </w:r>
      <w:r>
        <w:rPr>
          <w:rFonts w:hint="eastAsia" w:ascii="仿宋" w:hAnsi="仿宋" w:eastAsia="仿宋" w:cs="宋体"/>
          <w:b/>
          <w:bCs/>
          <w:color w:val="000000"/>
          <w:lang w:val="en-US" w:eastAsia="zh-CN"/>
        </w:rPr>
        <w:t>三</w:t>
      </w:r>
      <w:r>
        <w:rPr>
          <w:rFonts w:hint="eastAsia" w:ascii="仿宋" w:hAnsi="仿宋" w:eastAsia="仿宋" w:cs="宋体"/>
          <w:b/>
          <w:bCs/>
          <w:color w:val="auto"/>
          <w:lang w:eastAsia="zh-CN"/>
        </w:rPr>
        <w:t>年</w:t>
      </w:r>
      <w:r>
        <w:rPr>
          <w:rFonts w:hint="eastAsia" w:ascii="仿宋" w:hAnsi="仿宋" w:eastAsia="仿宋" w:cs="宋体"/>
          <w:b/>
          <w:bCs/>
          <w:color w:val="auto"/>
        </w:rPr>
        <w:t>内（</w:t>
      </w:r>
      <w:r>
        <w:rPr>
          <w:rFonts w:hint="eastAsia" w:ascii="仿宋" w:hAnsi="仿宋" w:eastAsia="仿宋" w:cs="宋体"/>
          <w:b/>
          <w:bCs/>
          <w:color w:val="auto"/>
          <w:lang w:eastAsia="zh-CN"/>
        </w:rPr>
        <w:t>202</w:t>
      </w:r>
      <w:r>
        <w:rPr>
          <w:rFonts w:hint="eastAsia" w:ascii="仿宋" w:hAnsi="仿宋" w:eastAsia="仿宋" w:cs="宋体"/>
          <w:b/>
          <w:bCs/>
          <w:color w:val="auto"/>
          <w:lang w:val="en-US" w:eastAsia="zh-CN"/>
        </w:rPr>
        <w:t>3</w:t>
      </w:r>
      <w:r>
        <w:rPr>
          <w:rFonts w:hint="eastAsia" w:ascii="仿宋" w:hAnsi="仿宋" w:eastAsia="仿宋" w:cs="宋体"/>
          <w:b/>
          <w:bCs/>
          <w:color w:val="auto"/>
          <w:lang w:eastAsia="zh-CN"/>
        </w:rPr>
        <w:t>年1月1日</w:t>
      </w:r>
      <w:r>
        <w:rPr>
          <w:rFonts w:hint="eastAsia" w:ascii="仿宋" w:hAnsi="仿宋" w:eastAsia="仿宋" w:cs="宋体"/>
          <w:b/>
          <w:bCs/>
          <w:color w:val="auto"/>
        </w:rPr>
        <w:t>至今）无违</w:t>
      </w:r>
      <w:r>
        <w:rPr>
          <w:rFonts w:hint="eastAsia" w:ascii="仿宋" w:hAnsi="仿宋" w:eastAsia="仿宋" w:cs="宋体"/>
          <w:b/>
          <w:bCs/>
          <w:color w:val="000000"/>
        </w:rPr>
        <w:t>法违规记录。</w:t>
      </w:r>
      <w:r>
        <w:rPr>
          <w:rFonts w:hint="eastAsia" w:ascii="仿宋" w:hAnsi="仿宋" w:eastAsia="仿宋" w:cs="宋体"/>
          <w:color w:val="000000"/>
        </w:rPr>
        <w:t>违法违规记录是指被“信用中国”列入失信被执行人、重大税收违法失信主体、政府采购严重违法失信行为记录名单。供应</w:t>
      </w:r>
      <w:r>
        <w:rPr>
          <w:rFonts w:hint="eastAsia" w:ascii="仿宋" w:hAnsi="仿宋" w:eastAsia="仿宋" w:cs="宋体"/>
          <w:color w:val="auto"/>
        </w:rPr>
        <w:t>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color w:val="auto"/>
        </w:rPr>
        <w:t xml:space="preserve">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本项目不接受联合体比选响应。提供承诺函，格式详见</w:t>
      </w:r>
      <w:r>
        <w:rPr>
          <w:rFonts w:hint="eastAsia" w:ascii="仿宋" w:hAnsi="仿宋" w:eastAsia="仿宋" w:cs="宋体"/>
          <w:color w:val="000000"/>
        </w:rPr>
        <w:t>第六章响应文件格式。</w:t>
      </w:r>
    </w:p>
    <w:p>
      <w:pPr>
        <w:pStyle w:val="4"/>
        <w:spacing w:after="240"/>
        <w:jc w:val="left"/>
        <w:rPr>
          <w:rFonts w:ascii="仿宋" w:hAnsi="仿宋" w:eastAsia="仿宋" w:cs="仿宋"/>
          <w:color w:val="000000"/>
          <w:sz w:val="24"/>
          <w:szCs w:val="24"/>
        </w:rPr>
      </w:pPr>
      <w:bookmarkStart w:id="6" w:name="_Toc2019"/>
      <w:bookmarkStart w:id="7" w:name="_Toc13179"/>
      <w:r>
        <w:rPr>
          <w:rFonts w:hint="eastAsia" w:ascii="仿宋" w:hAnsi="仿宋" w:eastAsia="仿宋" w:cs="仿宋"/>
          <w:color w:val="000000"/>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16</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18</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8:00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12:00</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12:00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18:00</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w:t>
      </w:r>
      <w:r>
        <w:rPr>
          <w:rFonts w:hint="eastAsia" w:ascii="仿宋" w:hAnsi="仿宋" w:eastAsia="仿宋" w:cs="宋体"/>
          <w:color w:val="auto"/>
          <w:sz w:val="24"/>
          <w:lang w:eastAsia="zh-CN"/>
        </w:rPr>
        <w:t>“人保e采”“金采网”</w:t>
      </w:r>
      <w:r>
        <w:rPr>
          <w:rFonts w:hint="eastAsia" w:ascii="仿宋" w:hAnsi="仿宋" w:eastAsia="仿宋" w:cs="宋体"/>
          <w:color w:val="auto"/>
          <w:sz w:val="24"/>
        </w:rPr>
        <w:t>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8" w:name="_Toc16673"/>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5</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22</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09</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30</w:t>
      </w:r>
      <w:r>
        <w:rPr>
          <w:rFonts w:hint="eastAsia" w:ascii="仿宋" w:hAnsi="仿宋" w:eastAsia="仿宋" w:cs="宋体"/>
          <w:color w:val="auto"/>
          <w:u w:val="single"/>
        </w:rPr>
        <w:t>分</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秒</w:t>
      </w:r>
      <w:r>
        <w:rPr>
          <w:rFonts w:hint="eastAsia" w:ascii="仿宋" w:hAnsi="仿宋" w:eastAsia="仿宋" w:cs="宋体"/>
          <w:color w:val="auto"/>
        </w:rPr>
        <w:t>。</w:t>
      </w:r>
    </w:p>
    <w:p>
      <w:pPr>
        <w:spacing w:line="360" w:lineRule="auto"/>
        <w:ind w:firstLine="480" w:firstLineChars="200"/>
        <w:textAlignment w:val="baseline"/>
      </w:pPr>
      <w:r>
        <w:rPr>
          <w:rFonts w:ascii="仿宋" w:hAnsi="仿宋" w:eastAsia="仿宋" w:cs="宋体"/>
          <w:color w:val="auto"/>
        </w:rPr>
        <w:t>4</w:t>
      </w:r>
      <w:r>
        <w:rPr>
          <w:rFonts w:hint="eastAsia" w:ascii="仿宋" w:hAnsi="仿宋" w:eastAsia="仿宋" w:cs="宋体"/>
          <w:color w:val="auto"/>
        </w:rPr>
        <w:t>.2响应文件的递交：须现场递交（或邮寄至</w:t>
      </w:r>
      <w:r>
        <w:rPr>
          <w:rFonts w:hint="eastAsia" w:ascii="仿宋" w:hAnsi="仿宋" w:eastAsia="仿宋" w:cs="宋体"/>
          <w:color w:val="auto"/>
          <w:u w:val="single"/>
          <w:lang w:val="en-US" w:eastAsia="zh-CN"/>
        </w:rPr>
        <w:t>泸州</w:t>
      </w:r>
      <w:r>
        <w:rPr>
          <w:rFonts w:hint="eastAsia" w:ascii="仿宋" w:hAnsi="仿宋" w:eastAsia="仿宋" w:cs="宋体"/>
          <w:color w:val="auto"/>
          <w:u w:val="single"/>
        </w:rPr>
        <w:t>市</w:t>
      </w:r>
      <w:r>
        <w:rPr>
          <w:rFonts w:hint="eastAsia" w:ascii="仿宋" w:hAnsi="仿宋" w:eastAsia="仿宋" w:cs="宋体"/>
          <w:color w:val="auto"/>
          <w:u w:val="single"/>
          <w:lang w:val="en-US" w:eastAsia="zh-CN"/>
        </w:rPr>
        <w:t>江阳</w:t>
      </w:r>
      <w:r>
        <w:rPr>
          <w:rFonts w:hint="eastAsia" w:ascii="仿宋" w:hAnsi="仿宋" w:eastAsia="仿宋" w:cs="宋体"/>
          <w:color w:val="auto"/>
          <w:u w:val="single"/>
        </w:rPr>
        <w:t>区</w:t>
      </w:r>
      <w:r>
        <w:rPr>
          <w:rFonts w:hint="eastAsia" w:ascii="仿宋" w:hAnsi="仿宋" w:eastAsia="仿宋" w:cs="宋体"/>
          <w:color w:val="auto"/>
          <w:u w:val="single"/>
          <w:lang w:val="en-US" w:eastAsia="zh-CN"/>
        </w:rPr>
        <w:t>江阳西路163号保险大厦907室</w:t>
      </w:r>
      <w:r>
        <w:rPr>
          <w:rFonts w:hint="eastAsia" w:ascii="仿宋" w:hAnsi="仿宋" w:eastAsia="仿宋" w:cs="宋体"/>
          <w:color w:val="auto"/>
          <w:u w:val="single"/>
        </w:rPr>
        <w:t>）</w:t>
      </w:r>
      <w:r>
        <w:rPr>
          <w:rFonts w:hint="eastAsia" w:ascii="仿宋" w:hAnsi="仿宋" w:eastAsia="仿宋" w:cs="宋体"/>
          <w:color w:val="auto"/>
        </w:rPr>
        <w:t>，</w:t>
      </w:r>
      <w:r>
        <w:rPr>
          <w:rFonts w:hint="eastAsia" w:ascii="仿宋" w:hAnsi="仿宋" w:eastAsia="仿宋" w:cs="宋体"/>
          <w:b/>
          <w:bCs/>
          <w:color w:val="000000"/>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jc w:val="left"/>
        <w:rPr>
          <w:rFonts w:ascii="仿宋" w:hAnsi="仿宋" w:eastAsia="仿宋" w:cs="仿宋"/>
          <w:color w:val="000000"/>
          <w:sz w:val="24"/>
          <w:szCs w:val="24"/>
        </w:rPr>
      </w:pPr>
      <w:bookmarkStart w:id="10" w:name="_Toc21615"/>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w:t>
      </w:r>
      <w:r>
        <w:rPr>
          <w:rFonts w:hint="eastAsia" w:ascii="仿宋" w:hAnsi="仿宋" w:eastAsia="仿宋" w:cs="仿宋"/>
          <w:color w:val="auto"/>
        </w:rPr>
        <w:t>时在</w:t>
      </w:r>
      <w:r>
        <w:rPr>
          <w:rFonts w:hint="eastAsia" w:ascii="仿宋" w:hAnsi="仿宋" w:eastAsia="仿宋" w:cs="宋体"/>
          <w:color w:val="auto"/>
          <w:u w:val="single"/>
          <w:lang w:eastAsia="zh-CN"/>
        </w:rPr>
        <w:t>“人保e采”</w:t>
      </w:r>
      <w:r>
        <w:rPr>
          <w:rFonts w:hint="eastAsia" w:ascii="仿宋" w:hAnsi="仿宋" w:eastAsia="仿宋" w:cs="宋体"/>
          <w:color w:val="auto"/>
          <w:u w:val="single"/>
        </w:rPr>
        <w:t>外网门户（https://ec.picc.com/）、金采网www.cfcpn.com</w:t>
      </w:r>
      <w:r>
        <w:rPr>
          <w:rFonts w:hint="eastAsia" w:ascii="仿宋" w:hAnsi="仿宋" w:eastAsia="仿宋" w:cs="仿宋"/>
          <w:color w:val="auto"/>
        </w:rPr>
        <w:t>上发布</w:t>
      </w:r>
      <w:r>
        <w:rPr>
          <w:rFonts w:hint="eastAsia" w:ascii="仿宋" w:hAnsi="仿宋" w:eastAsia="仿宋" w:cs="仿宋"/>
          <w:color w:val="000000"/>
        </w:rPr>
        <w:t>，</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30596"/>
      <w:bookmarkStart w:id="13" w:name="_Toc8691"/>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auto"/>
          <w:lang w:eastAsia="zh-CN"/>
        </w:rPr>
      </w:pPr>
      <w:r>
        <w:rPr>
          <w:rFonts w:hint="eastAsia" w:ascii="仿宋" w:hAnsi="仿宋" w:eastAsia="仿宋" w:cs="仿宋"/>
          <w:b/>
          <w:bCs/>
          <w:color w:val="auto"/>
        </w:rPr>
        <w:t>采购人：</w:t>
      </w:r>
      <w:r>
        <w:rPr>
          <w:rFonts w:hint="eastAsia" w:ascii="仿宋" w:hAnsi="仿宋" w:eastAsia="仿宋" w:cs="仿宋"/>
          <w:b/>
          <w:bCs/>
          <w:color w:val="auto"/>
          <w:lang w:eastAsia="zh-CN"/>
        </w:rPr>
        <w:t>中国人民财产保险股份有限公司泸州市</w:t>
      </w:r>
      <w:r>
        <w:rPr>
          <w:rFonts w:hint="eastAsia" w:ascii="仿宋" w:hAnsi="仿宋" w:eastAsia="仿宋" w:cs="仿宋"/>
          <w:b/>
          <w:bCs/>
          <w:color w:val="auto"/>
          <w:lang w:val="en-US" w:eastAsia="zh-CN"/>
        </w:rPr>
        <w:t>分</w:t>
      </w:r>
      <w:r>
        <w:rPr>
          <w:rFonts w:hint="eastAsia" w:ascii="仿宋" w:hAnsi="仿宋" w:eastAsia="仿宋" w:cs="仿宋"/>
          <w:b/>
          <w:bCs/>
          <w:color w:val="auto"/>
          <w:lang w:eastAsia="zh-CN"/>
        </w:rPr>
        <w:t>公司</w:t>
      </w:r>
    </w:p>
    <w:p>
      <w:pPr>
        <w:spacing w:line="360" w:lineRule="auto"/>
        <w:ind w:firstLine="420" w:firstLineChars="175"/>
        <w:rPr>
          <w:rFonts w:hint="eastAsia" w:ascii="仿宋" w:hAnsi="仿宋" w:eastAsia="仿宋" w:cs="仿宋"/>
          <w:color w:val="auto"/>
          <w:lang w:val="en-US" w:eastAsia="zh-CN"/>
        </w:rPr>
      </w:pPr>
      <w:r>
        <w:rPr>
          <w:rFonts w:hint="eastAsia" w:ascii="仿宋" w:hAnsi="仿宋" w:eastAsia="仿宋" w:cs="宋体"/>
          <w:color w:val="auto"/>
        </w:rPr>
        <w:t>地址：</w:t>
      </w:r>
      <w:r>
        <w:rPr>
          <w:rFonts w:hint="eastAsia" w:ascii="仿宋" w:hAnsi="仿宋" w:eastAsia="仿宋" w:cs="仿宋"/>
          <w:color w:val="auto"/>
          <w:lang w:val="en-US" w:eastAsia="zh-CN"/>
        </w:rPr>
        <w:t>四川省泸州市江阳区江阳西路段163号1栋保险大厦</w:t>
      </w:r>
    </w:p>
    <w:p>
      <w:pPr>
        <w:spacing w:line="360" w:lineRule="auto"/>
        <w:ind w:firstLine="480" w:firstLineChars="200"/>
        <w:jc w:val="left"/>
        <w:textAlignment w:val="baseline"/>
        <w:rPr>
          <w:rFonts w:hint="eastAsia" w:ascii="仿宋" w:hAnsi="仿宋" w:eastAsia="仿宋" w:cs="宋体"/>
          <w:color w:val="auto"/>
        </w:rPr>
      </w:pPr>
      <w:r>
        <w:rPr>
          <w:rFonts w:hint="eastAsia" w:ascii="仿宋" w:hAnsi="仿宋" w:eastAsia="仿宋" w:cs="宋体"/>
          <w:color w:val="auto"/>
        </w:rPr>
        <w:t>联系人：</w:t>
      </w:r>
      <w:r>
        <w:rPr>
          <w:rFonts w:hint="eastAsia" w:ascii="仿宋" w:hAnsi="仿宋" w:eastAsia="仿宋" w:cs="仿宋"/>
          <w:color w:val="auto"/>
          <w:lang w:val="en-US" w:eastAsia="zh-CN"/>
        </w:rPr>
        <w:t>付澄曦</w:t>
      </w:r>
    </w:p>
    <w:p>
      <w:pPr>
        <w:spacing w:line="360" w:lineRule="auto"/>
        <w:ind w:firstLine="480" w:firstLineChars="200"/>
        <w:jc w:val="left"/>
        <w:textAlignment w:val="baseline"/>
        <w:rPr>
          <w:rFonts w:hint="default" w:ascii="仿宋" w:hAnsi="仿宋" w:eastAsia="仿宋" w:cs="宋体"/>
          <w:color w:val="auto"/>
          <w:lang w:val="en-US" w:eastAsia="zh-CN"/>
        </w:rPr>
      </w:pPr>
      <w:r>
        <w:rPr>
          <w:rFonts w:hint="eastAsia" w:ascii="仿宋" w:hAnsi="仿宋" w:eastAsia="仿宋" w:cs="宋体"/>
          <w:color w:val="auto"/>
        </w:rPr>
        <w:t>电话：0</w:t>
      </w:r>
      <w:r>
        <w:rPr>
          <w:rFonts w:hint="eastAsia" w:ascii="仿宋" w:hAnsi="仿宋" w:eastAsia="仿宋" w:cs="宋体"/>
          <w:color w:val="auto"/>
          <w:lang w:val="en-US" w:eastAsia="zh-CN"/>
        </w:rPr>
        <w:t>830-3104404</w:t>
      </w:r>
    </w:p>
    <w:p>
      <w:pPr>
        <w:spacing w:line="360" w:lineRule="auto"/>
        <w:ind w:firstLine="480" w:firstLineChars="200"/>
        <w:jc w:val="left"/>
        <w:textAlignment w:val="baseline"/>
        <w:rPr>
          <w:rFonts w:hint="eastAsia" w:ascii="仿宋" w:hAnsi="仿宋" w:eastAsia="仿宋" w:cs="宋体"/>
          <w:color w:val="auto"/>
        </w:rPr>
      </w:pPr>
      <w:r>
        <w:rPr>
          <w:rFonts w:hint="eastAsia" w:ascii="仿宋" w:hAnsi="仿宋" w:eastAsia="仿宋" w:cs="宋体"/>
          <w:color w:val="auto"/>
        </w:rPr>
        <w:t>电子邮件：</w:t>
      </w:r>
      <w:r>
        <w:rPr>
          <w:rFonts w:ascii="宋体" w:hAnsi="宋体" w:eastAsia="宋体" w:cs="宋体"/>
          <w:sz w:val="24"/>
          <w:szCs w:val="24"/>
        </w:rPr>
        <w:t>fuchengxi01@sic.picc.com.cn</w:t>
      </w:r>
    </w:p>
    <w:p>
      <w:pPr>
        <w:pStyle w:val="2"/>
        <w:rPr>
          <w:color w:val="auto"/>
        </w:rPr>
      </w:pPr>
    </w:p>
    <w:p>
      <w:pPr>
        <w:spacing w:line="360" w:lineRule="auto"/>
        <w:ind w:firstLine="480" w:firstLineChars="200"/>
        <w:jc w:val="right"/>
        <w:textAlignment w:val="baseline"/>
        <w:rPr>
          <w:rFonts w:hint="eastAsia" w:ascii="仿宋" w:hAnsi="仿宋" w:eastAsia="仿宋" w:cs="宋体"/>
          <w:color w:val="auto"/>
          <w:lang w:eastAsia="zh-CN"/>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泸州市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5</w:t>
      </w:r>
      <w:r>
        <w:rPr>
          <w:rFonts w:hint="eastAsia" w:ascii="仿宋" w:hAnsi="仿宋" w:eastAsia="仿宋" w:cs="宋体"/>
          <w:color w:val="auto"/>
        </w:rPr>
        <w:t>月</w:t>
      </w:r>
      <w:r>
        <w:rPr>
          <w:rFonts w:hint="eastAsia" w:ascii="仿宋" w:hAnsi="仿宋" w:eastAsia="仿宋" w:cs="宋体"/>
          <w:color w:val="auto"/>
          <w:lang w:val="en-US" w:eastAsia="zh-CN"/>
        </w:rPr>
        <w:t>13</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1922"/>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8145"/>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w:t>
            </w:r>
            <w:r>
              <w:rPr>
                <w:rFonts w:hint="eastAsia" w:ascii="仿宋" w:hAnsi="仿宋" w:eastAsia="仿宋" w:cs="仿宋"/>
                <w:sz w:val="21"/>
                <w:szCs w:val="21"/>
              </w:rPr>
              <w:t>（U盘，注：电子文档内容应包括投标文件所有内容，签字盖章后的PDF扫描版文件）</w:t>
            </w: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w:t>
            </w:r>
            <w:r>
              <w:rPr>
                <w:rFonts w:hint="eastAsia" w:ascii="仿宋" w:hAnsi="仿宋" w:eastAsia="仿宋" w:cs="仿宋"/>
                <w:color w:val="auto"/>
                <w:sz w:val="22"/>
              </w:rPr>
              <w:t>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000000"/>
                <w:sz w:val="22"/>
                <w:szCs w:val="22"/>
                <w:u w:val="single"/>
              </w:rPr>
              <w:t>响应文件递交顺序</w:t>
            </w:r>
            <w:r>
              <w:rPr>
                <w:rFonts w:hint="eastAsia" w:ascii="仿宋" w:hAnsi="仿宋" w:eastAsia="仿宋" w:cs="仿宋"/>
                <w:color w:val="000000"/>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w:t>
            </w:r>
            <w:r>
              <w:rPr>
                <w:rFonts w:hint="eastAsia" w:ascii="仿宋" w:hAnsi="仿宋" w:eastAsia="仿宋" w:cs="仿宋"/>
                <w:color w:val="auto"/>
                <w:sz w:val="22"/>
                <w:u w:val="single"/>
              </w:rPr>
              <w:t>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w:t>
            </w:r>
            <w:r>
              <w:rPr>
                <w:rFonts w:hint="eastAsia" w:ascii="仿宋" w:hAnsi="仿宋" w:eastAsia="仿宋" w:cs="仿宋"/>
                <w:color w:val="auto"/>
                <w:sz w:val="22"/>
              </w:rPr>
              <w:t>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000000"/>
                <w:sz w:val="22"/>
                <w:u w:val="single"/>
              </w:rPr>
              <w:t>综合得分</w:t>
            </w:r>
            <w:r>
              <w:rPr>
                <w:rFonts w:hint="eastAsia" w:ascii="仿宋" w:hAnsi="仿宋" w:eastAsia="仿宋" w:cs="宋体"/>
                <w:color w:val="000000"/>
                <w:sz w:val="22"/>
                <w:u w:val="single"/>
                <w:lang w:val="en-US" w:eastAsia="zh-CN"/>
              </w:rPr>
              <w:t>第1名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w:t>
            </w:r>
            <w:r>
              <w:rPr>
                <w:rFonts w:hint="eastAsia" w:ascii="仿宋" w:hAnsi="仿宋" w:eastAsia="仿宋" w:cs="仿宋"/>
                <w:color w:val="auto"/>
                <w:sz w:val="22"/>
                <w:u w:val="single"/>
              </w:rPr>
              <w:t>价格</w:t>
            </w:r>
            <w:r>
              <w:rPr>
                <w:rFonts w:hint="eastAsia" w:ascii="仿宋" w:hAnsi="仿宋" w:eastAsia="仿宋" w:cs="仿宋"/>
                <w:color w:val="auto"/>
                <w:sz w:val="22"/>
              </w:rPr>
              <w:t>得分高者排名</w:t>
            </w:r>
            <w:r>
              <w:rPr>
                <w:rFonts w:hint="eastAsia" w:ascii="仿宋" w:hAnsi="仿宋" w:eastAsia="仿宋" w:cs="仿宋"/>
                <w:color w:val="auto"/>
              </w:rPr>
              <w:t>优先；价格得分也相同时</w:t>
            </w:r>
            <w:r>
              <w:rPr>
                <w:rFonts w:hint="eastAsia" w:ascii="仿宋" w:hAnsi="仿宋" w:eastAsia="仿宋" w:cs="仿宋"/>
                <w:color w:val="000000"/>
              </w:rPr>
              <w:t>，</w:t>
            </w:r>
            <w:r>
              <w:rPr>
                <w:rFonts w:hint="eastAsia" w:ascii="仿宋" w:hAnsi="仿宋" w:eastAsia="仿宋" w:cs="仿宋"/>
                <w:color w:val="000000"/>
                <w:u w:val="single"/>
              </w:rPr>
              <w:t>技术</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000000"/>
                <w:sz w:val="22"/>
                <w:szCs w:val="22"/>
              </w:rPr>
              <w:t>成交人</w:t>
            </w:r>
            <w:r>
              <w:rPr>
                <w:rFonts w:hint="eastAsia" w:ascii="仿宋" w:hAnsi="仿宋" w:eastAsia="仿宋" w:cs="仿宋"/>
                <w:color w:val="auto"/>
                <w:sz w:val="22"/>
                <w:szCs w:val="22"/>
              </w:rPr>
              <w:t>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w:t>
            </w:r>
            <w:r>
              <w:rPr>
                <w:rFonts w:hint="eastAsia" w:ascii="仿宋" w:hAnsi="仿宋" w:eastAsia="仿宋" w:cs="宋体"/>
                <w:color w:val="000000"/>
                <w:sz w:val="22"/>
                <w:szCs w:val="22"/>
              </w:rPr>
              <w:t>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000000"/>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w:t>
            </w:r>
            <w:r>
              <w:rPr>
                <w:rFonts w:hint="eastAsia" w:ascii="仿宋" w:hAnsi="仿宋" w:eastAsia="仿宋" w:cs="仿宋"/>
                <w:sz w:val="22"/>
                <w:lang w:val="en-US" w:eastAsia="zh-CN"/>
              </w:rPr>
              <w:t>和</w:t>
            </w:r>
            <w:r>
              <w:rPr>
                <w:rFonts w:ascii="仿宋" w:hAnsi="仿宋" w:eastAsia="仿宋" w:cs="仿宋"/>
                <w:sz w:val="22"/>
              </w:rPr>
              <w:t>实际合同签署人</w:t>
            </w:r>
            <w:r>
              <w:rPr>
                <w:rFonts w:hint="eastAsia" w:ascii="仿宋" w:hAnsi="仿宋" w:eastAsia="仿宋" w:cs="仿宋"/>
                <w:sz w:val="22"/>
                <w:lang w:val="en-US" w:eastAsia="zh-CN"/>
              </w:rPr>
              <w:t>均</w:t>
            </w:r>
            <w:r>
              <w:rPr>
                <w:rFonts w:ascii="仿宋" w:hAnsi="仿宋" w:eastAsia="仿宋" w:cs="仿宋"/>
                <w:sz w:val="22"/>
              </w:rPr>
              <w:t>为</w:t>
            </w:r>
            <w:r>
              <w:rPr>
                <w:rFonts w:hint="eastAsia" w:ascii="仿宋" w:hAnsi="仿宋" w:eastAsia="仿宋" w:cs="仿宋"/>
                <w:sz w:val="22"/>
                <w:lang w:eastAsia="zh-CN"/>
              </w:rPr>
              <w:t>中国人民财产保险股份有限公司泸州市</w:t>
            </w:r>
            <w:r>
              <w:rPr>
                <w:rFonts w:ascii="仿宋" w:hAnsi="仿宋" w:eastAsia="仿宋" w:cs="仿宋"/>
                <w:sz w:val="22"/>
              </w:rPr>
              <w:t>分公司</w:t>
            </w:r>
            <w:r>
              <w:rPr>
                <w:rFonts w:hint="eastAsia" w:ascii="仿宋" w:hAnsi="仿宋" w:eastAsia="仿宋" w:cs="仿宋"/>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517281816"/>
      <w:bookmarkStart w:id="18" w:name="_Toc20514"/>
      <w:bookmarkStart w:id="19" w:name="_Toc6047"/>
      <w:bookmarkStart w:id="20" w:name="_Toc19783313"/>
      <w:bookmarkStart w:id="21" w:name="_Toc444891336"/>
      <w:bookmarkStart w:id="22" w:name="_Toc287600118"/>
      <w:bookmarkStart w:id="23" w:name="_Toc27232"/>
      <w:bookmarkStart w:id="24" w:name="_Toc11071"/>
      <w:bookmarkStart w:id="25" w:name="_Toc10845"/>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1502"/>
      <w:bookmarkStart w:id="28" w:name="_Toc444891337"/>
      <w:bookmarkStart w:id="29" w:name="_Toc6681"/>
      <w:bookmarkStart w:id="30" w:name="_Toc287600119"/>
      <w:bookmarkStart w:id="31" w:name="_Toc431"/>
      <w:bookmarkStart w:id="32" w:name="_Toc19783314"/>
      <w:bookmarkStart w:id="33" w:name="_Toc22969"/>
      <w:bookmarkStart w:id="34" w:name="_Toc3678"/>
      <w:bookmarkStart w:id="35" w:name="_Toc517281817"/>
      <w:bookmarkStart w:id="36" w:name="_Toc11851"/>
      <w:bookmarkStart w:id="37" w:name="_Toc1644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5255"/>
      <w:bookmarkStart w:id="39" w:name="_Toc10975"/>
      <w:bookmarkStart w:id="40" w:name="_Toc25513"/>
      <w:bookmarkStart w:id="41" w:name="_Toc287600120"/>
      <w:bookmarkStart w:id="42" w:name="_Toc517281818"/>
      <w:bookmarkStart w:id="43" w:name="_Toc3016"/>
      <w:bookmarkStart w:id="44" w:name="_Toc444891338"/>
      <w:bookmarkStart w:id="45" w:name="_Toc32748"/>
      <w:bookmarkStart w:id="46" w:name="_Toc24246"/>
      <w:bookmarkStart w:id="47" w:name="_Toc14164"/>
      <w:bookmarkStart w:id="48" w:name="_Toc19783315"/>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49" w:name="_Toc27563"/>
      <w:bookmarkStart w:id="50" w:name="_Toc31141"/>
      <w:bookmarkStart w:id="51" w:name="_Toc444891339"/>
      <w:bookmarkStart w:id="52" w:name="_Toc20671"/>
      <w:bookmarkStart w:id="53" w:name="_Toc14308"/>
      <w:bookmarkStart w:id="54" w:name="_Toc27642"/>
      <w:bookmarkStart w:id="55" w:name="_Toc517281819"/>
      <w:bookmarkStart w:id="56" w:name="_Toc287600121"/>
      <w:bookmarkStart w:id="57" w:name="_Toc19783316"/>
      <w:bookmarkStart w:id="58" w:name="_Toc13691"/>
      <w:bookmarkStart w:id="59" w:name="_Toc16985"/>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1" w:name="_Toc18673"/>
      <w:bookmarkStart w:id="62" w:name="_Toc287600122"/>
      <w:bookmarkStart w:id="63" w:name="_Toc14726"/>
      <w:bookmarkStart w:id="64" w:name="_Toc21600"/>
      <w:bookmarkStart w:id="65" w:name="_Toc4155"/>
      <w:bookmarkStart w:id="66" w:name="_Toc517281820"/>
      <w:bookmarkStart w:id="67" w:name="_Toc19783317"/>
      <w:bookmarkStart w:id="68" w:name="_Toc7129"/>
      <w:bookmarkStart w:id="69" w:name="_Toc444891340"/>
      <w:bookmarkStart w:id="70" w:name="_Toc13124"/>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144974526"/>
      <w:bookmarkStart w:id="73" w:name="_Toc179632576"/>
      <w:bookmarkStart w:id="74" w:name="_Toc334766948"/>
      <w:bookmarkStart w:id="75" w:name="_Toc152045558"/>
      <w:bookmarkStart w:id="76" w:name="_Toc332188194"/>
      <w:bookmarkStart w:id="77" w:name="_Toc326223561"/>
      <w:bookmarkStart w:id="78" w:name="_Toc247085716"/>
      <w:bookmarkStart w:id="79" w:name="_Toc152042334"/>
      <w:bookmarkStart w:id="80" w:name="_Toc246996202"/>
      <w:bookmarkStart w:id="81" w:name="_Toc246996945"/>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287600123"/>
      <w:bookmarkStart w:id="83" w:name="_Toc12797"/>
      <w:bookmarkStart w:id="84" w:name="_Toc20741"/>
      <w:bookmarkStart w:id="85" w:name="_Toc517281821"/>
      <w:bookmarkStart w:id="86" w:name="_Toc2636"/>
      <w:bookmarkStart w:id="87" w:name="_Toc5870"/>
      <w:bookmarkStart w:id="88" w:name="_Toc444891341"/>
      <w:bookmarkStart w:id="89" w:name="_Toc2055"/>
      <w:bookmarkStart w:id="90" w:name="_Toc30466"/>
      <w:bookmarkStart w:id="91" w:name="_Toc11361"/>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287600124"/>
      <w:bookmarkStart w:id="96" w:name="_Toc27569"/>
      <w:bookmarkStart w:id="97" w:name="_Toc28031"/>
      <w:bookmarkStart w:id="98" w:name="_Toc234223231"/>
      <w:bookmarkStart w:id="99" w:name="_Toc16781"/>
      <w:bookmarkStart w:id="100" w:name="_Toc13936"/>
      <w:bookmarkStart w:id="101" w:name="_Toc444891342"/>
      <w:bookmarkStart w:id="102" w:name="_Toc2322"/>
      <w:bookmarkStart w:id="103" w:name="_Toc517281822"/>
      <w:bookmarkStart w:id="104" w:name="_Toc19451"/>
      <w:bookmarkStart w:id="105" w:name="_Toc991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3"/>
        <w:spacing w:before="0" w:after="0"/>
        <w:ind w:left="0" w:leftChars="0" w:firstLine="0" w:firstLineChars="0"/>
        <w:jc w:val="center"/>
        <w:rPr>
          <w:rFonts w:ascii="仿宋" w:hAnsi="仿宋" w:eastAsia="仿宋" w:cs="仿宋"/>
          <w:sz w:val="28"/>
          <w:szCs w:val="28"/>
        </w:rPr>
      </w:pPr>
      <w:bookmarkStart w:id="107" w:name="_Toc18896"/>
      <w:bookmarkStart w:id="108" w:name="_Toc10670"/>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517281825"/>
      <w:bookmarkStart w:id="111" w:name="_Toc444891344"/>
      <w:bookmarkStart w:id="112" w:name="_Toc7201"/>
      <w:bookmarkStart w:id="113" w:name="_Toc18224"/>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16650"/>
      <w:bookmarkStart w:id="119" w:name="_Toc32019"/>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18"/>
        <w:gridCol w:w="1261"/>
        <w:gridCol w:w="2267"/>
        <w:gridCol w:w="638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非联合体投标</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lang w:eastAsia="zh-CN"/>
              </w:rPr>
              <w:t>近</w:t>
            </w:r>
            <w:r>
              <w:rPr>
                <w:rFonts w:hint="eastAsia" w:ascii="仿宋" w:hAnsi="仿宋" w:eastAsia="仿宋" w:cs="Cambria Math"/>
                <w:color w:val="000000"/>
                <w:sz w:val="22"/>
                <w:szCs w:val="21"/>
                <w:lang w:val="en-US" w:eastAsia="zh-CN"/>
              </w:rPr>
              <w:t>三</w:t>
            </w:r>
            <w:r>
              <w:rPr>
                <w:rFonts w:hint="eastAsia" w:ascii="仿宋" w:hAnsi="仿宋" w:eastAsia="仿宋" w:cs="Cambria Math"/>
                <w:color w:val="000000"/>
                <w:sz w:val="22"/>
                <w:szCs w:val="21"/>
                <w:lang w:eastAsia="zh-CN"/>
              </w:rPr>
              <w:t>年</w:t>
            </w:r>
            <w:r>
              <w:rPr>
                <w:rFonts w:hint="eastAsia" w:ascii="仿宋" w:hAnsi="仿宋" w:eastAsia="仿宋" w:cs="Cambria Math"/>
                <w:color w:val="000000"/>
                <w:sz w:val="22"/>
                <w:szCs w:val="21"/>
              </w:rPr>
              <w:t>内无违法违规记录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供应商应具有履行合同所必需的设备和专业技术能力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20" w:name="_Toc25550"/>
      <w:bookmarkStart w:id="121" w:name="_Toc4605"/>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采购评审标准由项目最终报价、</w:t>
      </w:r>
      <w:r>
        <w:rPr>
          <w:rFonts w:hint="eastAsia" w:ascii="仿宋_GB2312" w:eastAsia="仿宋_GB2312"/>
          <w:lang w:eastAsia="zh-CN"/>
        </w:rPr>
        <w:t>服务</w:t>
      </w:r>
      <w:r>
        <w:rPr>
          <w:rFonts w:hint="eastAsia" w:ascii="仿宋_GB2312" w:eastAsia="仿宋_GB2312"/>
        </w:rPr>
        <w:t>质量和</w:t>
      </w:r>
      <w:r>
        <w:rPr>
          <w:rFonts w:hint="eastAsia" w:ascii="仿宋_GB2312" w:eastAsia="仿宋_GB2312"/>
          <w:lang w:eastAsia="zh-CN"/>
        </w:rPr>
        <w:t>商务</w:t>
      </w:r>
      <w:r>
        <w:rPr>
          <w:rFonts w:hint="eastAsia" w:ascii="仿宋_GB2312" w:eastAsia="仿宋_GB2312"/>
        </w:rPr>
        <w:t>水平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ascii="楷体" w:hAnsi="楷体" w:eastAsia="楷体" w:cs="仿宋_GB2312"/>
                <w:i w:val="0"/>
                <w:iCs/>
                <w:color w:val="auto"/>
                <w:sz w:val="22"/>
                <w:szCs w:val="28"/>
              </w:rPr>
            </w:pPr>
            <w:r>
              <w:rPr>
                <w:rFonts w:ascii="楷体" w:hAnsi="楷体" w:eastAsia="楷体" w:cs="仿宋_GB2312"/>
                <w:i w:val="0"/>
                <w:iCs/>
                <w:color w:val="auto"/>
                <w:sz w:val="22"/>
                <w:szCs w:val="28"/>
              </w:rPr>
              <w:t>项 目</w:t>
            </w:r>
          </w:p>
        </w:tc>
        <w:tc>
          <w:tcPr>
            <w:tcW w:w="6537" w:type="dxa"/>
            <w:vAlign w:val="center"/>
          </w:tcPr>
          <w:p>
            <w:pPr>
              <w:spacing w:line="320" w:lineRule="exact"/>
              <w:jc w:val="center"/>
              <w:rPr>
                <w:rFonts w:ascii="楷体" w:hAnsi="楷体" w:eastAsia="楷体" w:cs="仿宋_GB2312"/>
                <w:i w:val="0"/>
                <w:iCs/>
                <w:color w:val="auto"/>
                <w:sz w:val="22"/>
                <w:szCs w:val="28"/>
              </w:rPr>
            </w:pPr>
            <w:r>
              <w:rPr>
                <w:rFonts w:ascii="楷体" w:hAnsi="楷体" w:eastAsia="楷体" w:cs="仿宋_GB2312"/>
                <w:i w:val="0"/>
                <w:iCs/>
                <w:color w:val="auto"/>
                <w:sz w:val="22"/>
                <w:szCs w:val="28"/>
              </w:rPr>
              <w:t>评分内容</w:t>
            </w:r>
          </w:p>
        </w:tc>
        <w:tc>
          <w:tcPr>
            <w:tcW w:w="1005" w:type="dxa"/>
            <w:vAlign w:val="center"/>
          </w:tcPr>
          <w:p>
            <w:pPr>
              <w:spacing w:line="320" w:lineRule="exact"/>
              <w:jc w:val="center"/>
              <w:rPr>
                <w:rFonts w:ascii="楷体" w:hAnsi="楷体" w:eastAsia="楷体" w:cs="仿宋_GB2312"/>
                <w:i w:val="0"/>
                <w:iCs/>
                <w:color w:val="auto"/>
                <w:sz w:val="22"/>
                <w:szCs w:val="28"/>
              </w:rPr>
            </w:pPr>
            <w:r>
              <w:rPr>
                <w:rFonts w:ascii="楷体" w:hAnsi="楷体" w:eastAsia="楷体" w:cs="仿宋_GB2312"/>
                <w:i w:val="0"/>
                <w:iCs/>
                <w:color w:val="auto"/>
                <w:sz w:val="22"/>
                <w:szCs w:val="28"/>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ascii="楷体" w:hAnsi="楷体" w:eastAsia="楷体" w:cs="仿宋_GB2312"/>
                <w:i w:val="0"/>
                <w:iCs/>
                <w:color w:val="auto"/>
                <w:sz w:val="22"/>
                <w:szCs w:val="28"/>
              </w:rPr>
            </w:pPr>
            <w:r>
              <w:rPr>
                <w:rFonts w:ascii="楷体" w:hAnsi="楷体" w:eastAsia="楷体" w:cs="仿宋_GB2312"/>
                <w:i w:val="0"/>
                <w:iCs/>
                <w:color w:val="auto"/>
                <w:sz w:val="22"/>
                <w:szCs w:val="28"/>
              </w:rPr>
              <w:t>价格得分</w:t>
            </w:r>
            <w:r>
              <w:rPr>
                <w:rFonts w:hint="eastAsia" w:ascii="楷体" w:hAnsi="楷体" w:eastAsia="楷体" w:cs="仿宋_GB2312"/>
                <w:i w:val="0"/>
                <w:iCs/>
                <w:color w:val="auto"/>
                <w:sz w:val="22"/>
                <w:szCs w:val="28"/>
              </w:rPr>
              <w:t>（</w:t>
            </w:r>
            <w:r>
              <w:rPr>
                <w:rFonts w:hint="eastAsia" w:ascii="楷体" w:hAnsi="楷体" w:eastAsia="楷体" w:cs="仿宋_GB2312"/>
                <w:i w:val="0"/>
                <w:iCs/>
                <w:color w:val="auto"/>
                <w:sz w:val="22"/>
                <w:szCs w:val="28"/>
                <w:lang w:val="en-US" w:eastAsia="zh-CN"/>
              </w:rPr>
              <w:t>6</w:t>
            </w:r>
            <w:r>
              <w:rPr>
                <w:rFonts w:hint="eastAsia" w:ascii="楷体" w:hAnsi="楷体" w:eastAsia="楷体" w:cs="仿宋_GB2312"/>
                <w:i w:val="0"/>
                <w:iCs/>
                <w:color w:val="auto"/>
                <w:sz w:val="22"/>
                <w:szCs w:val="28"/>
              </w:rPr>
              <w:t>0</w:t>
            </w:r>
            <w:r>
              <w:rPr>
                <w:rFonts w:ascii="楷体" w:hAnsi="楷体" w:eastAsia="楷体" w:cs="仿宋_GB2312"/>
                <w:i w:val="0"/>
                <w:iCs/>
                <w:color w:val="auto"/>
                <w:sz w:val="22"/>
                <w:szCs w:val="28"/>
              </w:rPr>
              <w:t>）</w:t>
            </w:r>
          </w:p>
        </w:tc>
        <w:tc>
          <w:tcPr>
            <w:tcW w:w="6537" w:type="dxa"/>
            <w:vAlign w:val="center"/>
          </w:tcPr>
          <w:p>
            <w:pPr>
              <w:spacing w:line="320" w:lineRule="exact"/>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rPr>
              <w:t>评分法中的价格分采用低价优先法计算，即满足招标文件要求且最低的评审价格为评标基准价，等于评标基准价得</w:t>
            </w:r>
            <w:r>
              <w:rPr>
                <w:rFonts w:hint="eastAsia" w:ascii="楷体" w:hAnsi="楷体" w:eastAsia="楷体" w:cs="仿宋_GB2312"/>
                <w:i w:val="0"/>
                <w:iCs/>
                <w:color w:val="auto"/>
                <w:sz w:val="22"/>
                <w:szCs w:val="28"/>
                <w:lang w:val="en-US" w:eastAsia="zh-CN"/>
              </w:rPr>
              <w:t>60</w:t>
            </w:r>
            <w:r>
              <w:rPr>
                <w:rFonts w:hint="eastAsia" w:ascii="楷体" w:hAnsi="楷体" w:eastAsia="楷体" w:cs="仿宋_GB2312"/>
                <w:i w:val="0"/>
                <w:iCs/>
                <w:color w:val="auto"/>
                <w:sz w:val="22"/>
                <w:szCs w:val="28"/>
              </w:rPr>
              <w:t>分。其他供应商的价格分统一按照下列公式计算，精确到小数点后两位：</w:t>
            </w:r>
          </w:p>
          <w:p>
            <w:pPr>
              <w:spacing w:line="320" w:lineRule="exact"/>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rPr>
              <w:t>供应商报价得分＝（评标基准价/评审价格）×</w:t>
            </w:r>
            <w:r>
              <w:rPr>
                <w:rFonts w:hint="eastAsia" w:ascii="楷体" w:hAnsi="楷体" w:eastAsia="楷体" w:cs="仿宋_GB2312"/>
                <w:i w:val="0"/>
                <w:iCs/>
                <w:color w:val="auto"/>
                <w:sz w:val="22"/>
                <w:szCs w:val="28"/>
                <w:lang w:val="en-US" w:eastAsia="zh-CN"/>
              </w:rPr>
              <w:t>60</w:t>
            </w:r>
            <w:r>
              <w:rPr>
                <w:rFonts w:hint="eastAsia" w:ascii="楷体" w:hAnsi="楷体" w:eastAsia="楷体" w:cs="仿宋_GB2312"/>
                <w:i w:val="0"/>
                <w:iCs/>
                <w:color w:val="auto"/>
                <w:sz w:val="22"/>
                <w:szCs w:val="28"/>
              </w:rPr>
              <w:t>；</w:t>
            </w:r>
          </w:p>
        </w:tc>
        <w:tc>
          <w:tcPr>
            <w:tcW w:w="1005" w:type="dxa"/>
            <w:vAlign w:val="center"/>
          </w:tcPr>
          <w:p>
            <w:pPr>
              <w:spacing w:line="320" w:lineRule="exact"/>
              <w:jc w:val="center"/>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lang w:val="en-US" w:eastAsia="zh-CN"/>
              </w:rPr>
              <w:t>6</w:t>
            </w:r>
            <w:r>
              <w:rPr>
                <w:rFonts w:ascii="楷体" w:hAnsi="楷体" w:eastAsia="楷体" w:cs="仿宋_GB2312"/>
                <w:i w:val="0"/>
                <w:iCs/>
                <w:color w:val="auto"/>
                <w:sz w:val="22"/>
                <w:szCs w:val="2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rPr>
              <w:t>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320" w:lineRule="exact"/>
              <w:jc w:val="center"/>
              <w:textAlignment w:val="auto"/>
              <w:rPr>
                <w:rFonts w:hint="eastAsia" w:ascii="楷体" w:hAnsi="楷体" w:eastAsia="楷体" w:cs="仿宋_GB2312"/>
                <w:i w:val="0"/>
                <w:iCs/>
                <w:color w:val="auto"/>
                <w:sz w:val="22"/>
                <w:szCs w:val="28"/>
              </w:rPr>
            </w:pPr>
            <w:r>
              <w:rPr>
                <w:rFonts w:hint="eastAsia" w:ascii="楷体" w:hAnsi="楷体" w:eastAsia="楷体" w:cs="仿宋_GB2312"/>
                <w:i w:val="0"/>
                <w:iCs/>
                <w:color w:val="auto"/>
                <w:sz w:val="22"/>
                <w:szCs w:val="28"/>
                <w:lang w:eastAsia="zh-CN"/>
              </w:rPr>
              <w:t>售后</w:t>
            </w:r>
            <w:r>
              <w:rPr>
                <w:rFonts w:hint="eastAsia" w:ascii="楷体" w:hAnsi="楷体" w:eastAsia="楷体" w:cs="仿宋_GB2312"/>
                <w:i w:val="0"/>
                <w:iCs/>
                <w:color w:val="auto"/>
                <w:sz w:val="22"/>
                <w:szCs w:val="28"/>
              </w:rPr>
              <w:t>服务</w:t>
            </w:r>
          </w:p>
          <w:p>
            <w:pPr>
              <w:keepNext w:val="0"/>
              <w:keepLines w:val="0"/>
              <w:pageBreakBefore w:val="0"/>
              <w:widowControl/>
              <w:kinsoku/>
              <w:wordWrap/>
              <w:overflowPunct/>
              <w:topLinePunct w:val="0"/>
              <w:autoSpaceDE/>
              <w:autoSpaceDN/>
              <w:bidi w:val="0"/>
              <w:adjustRightInd/>
              <w:snapToGrid w:val="0"/>
              <w:spacing w:line="320" w:lineRule="exact"/>
              <w:jc w:val="center"/>
              <w:textAlignment w:val="auto"/>
              <w:rPr>
                <w:sz w:val="22"/>
                <w:szCs w:val="22"/>
              </w:rPr>
            </w:pPr>
            <w:r>
              <w:rPr>
                <w:rFonts w:hint="eastAsia" w:ascii="楷体" w:hAnsi="楷体" w:eastAsia="楷体" w:cs="仿宋_GB2312"/>
                <w:i w:val="0"/>
                <w:iCs/>
                <w:color w:val="auto"/>
                <w:sz w:val="22"/>
                <w:szCs w:val="28"/>
              </w:rPr>
              <w:t>（</w:t>
            </w:r>
            <w:r>
              <w:rPr>
                <w:rFonts w:hint="eastAsia" w:ascii="楷体" w:hAnsi="楷体" w:eastAsia="楷体" w:cs="仿宋_GB2312"/>
                <w:i w:val="0"/>
                <w:iCs/>
                <w:color w:val="auto"/>
                <w:sz w:val="22"/>
                <w:szCs w:val="28"/>
                <w:lang w:val="en-US" w:eastAsia="zh-CN"/>
              </w:rPr>
              <w:t>12</w:t>
            </w:r>
            <w:r>
              <w:rPr>
                <w:rFonts w:hint="eastAsia" w:ascii="楷体" w:hAnsi="楷体" w:eastAsia="楷体" w:cs="仿宋_GB2312"/>
                <w:i w:val="0"/>
                <w:iCs/>
                <w:color w:val="auto"/>
                <w:sz w:val="22"/>
                <w:szCs w:val="28"/>
              </w:rPr>
              <w:t>）</w:t>
            </w:r>
          </w:p>
        </w:tc>
        <w:tc>
          <w:tcPr>
            <w:tcW w:w="6537" w:type="dxa"/>
            <w:vAlign w:val="center"/>
          </w:tcPr>
          <w:p>
            <w:pPr>
              <w:keepNext w:val="0"/>
              <w:keepLines w:val="0"/>
              <w:widowControl/>
              <w:suppressLineNumbers w:val="0"/>
              <w:jc w:val="left"/>
              <w:textAlignment w:val="center"/>
              <w:rPr>
                <w:rFonts w:hint="eastAsia" w:ascii="楷体" w:hAnsi="楷体" w:eastAsia="楷体" w:cs="楷体"/>
                <w:i w:val="0"/>
                <w:iCs w:val="0"/>
                <w:color w:val="000000"/>
                <w:kern w:val="0"/>
                <w:sz w:val="22"/>
                <w:szCs w:val="22"/>
                <w:u w:val="none"/>
                <w:lang w:val="en-US" w:eastAsia="zh-CN" w:bidi="ar"/>
              </w:rPr>
            </w:pPr>
            <w:r>
              <w:rPr>
                <w:rFonts w:hint="eastAsia" w:ascii="楷体" w:hAnsi="楷体" w:eastAsia="楷体" w:cs="楷体"/>
                <w:sz w:val="22"/>
                <w:szCs w:val="22"/>
                <w:lang w:val="en-US" w:eastAsia="zh-CN"/>
              </w:rPr>
              <w:t>宣传推广实施方案创新性：</w:t>
            </w:r>
          </w:p>
          <w:p>
            <w:pPr>
              <w:keepNext w:val="0"/>
              <w:keepLines w:val="0"/>
              <w:widowControl/>
              <w:suppressLineNumbers w:val="0"/>
              <w:jc w:val="left"/>
              <w:textAlignment w:val="center"/>
              <w:rPr>
                <w:rFonts w:hint="eastAsia" w:ascii="楷体" w:hAnsi="楷体" w:eastAsia="楷体" w:cs="楷体"/>
                <w:i w:val="0"/>
                <w:iCs w:val="0"/>
                <w:color w:val="000000"/>
                <w:kern w:val="0"/>
                <w:sz w:val="22"/>
                <w:szCs w:val="22"/>
                <w:u w:val="none"/>
                <w:lang w:val="en-US" w:eastAsia="zh-CN" w:bidi="ar"/>
              </w:rPr>
            </w:pPr>
            <w:r>
              <w:rPr>
                <w:rFonts w:hint="eastAsia" w:ascii="楷体" w:hAnsi="楷体" w:eastAsia="楷体" w:cs="楷体"/>
                <w:i w:val="0"/>
                <w:iCs w:val="0"/>
                <w:color w:val="000000"/>
                <w:kern w:val="0"/>
                <w:sz w:val="22"/>
                <w:szCs w:val="22"/>
                <w:u w:val="none"/>
                <w:lang w:val="en-US" w:eastAsia="zh-CN" w:bidi="ar"/>
              </w:rPr>
              <w:t>（1）线上/线下宣传推广方案内容全面，有完善的流程管理措施，优秀的得8（不含））-12（含）分。</w:t>
            </w:r>
          </w:p>
          <w:p>
            <w:pPr>
              <w:keepNext w:val="0"/>
              <w:keepLines w:val="0"/>
              <w:widowControl/>
              <w:suppressLineNumbers w:val="0"/>
              <w:jc w:val="left"/>
              <w:textAlignment w:val="center"/>
              <w:rPr>
                <w:rFonts w:hint="eastAsia" w:ascii="楷体" w:hAnsi="楷体" w:eastAsia="楷体" w:cs="楷体"/>
                <w:i w:val="0"/>
                <w:iCs w:val="0"/>
                <w:color w:val="000000"/>
                <w:kern w:val="0"/>
                <w:sz w:val="22"/>
                <w:szCs w:val="22"/>
                <w:u w:val="none"/>
                <w:lang w:val="en-US" w:eastAsia="zh-CN" w:bidi="ar"/>
              </w:rPr>
            </w:pPr>
            <w:r>
              <w:rPr>
                <w:rFonts w:hint="eastAsia" w:ascii="楷体" w:hAnsi="楷体" w:eastAsia="楷体" w:cs="楷体"/>
                <w:i w:val="0"/>
                <w:iCs w:val="0"/>
                <w:color w:val="000000"/>
                <w:kern w:val="0"/>
                <w:sz w:val="22"/>
                <w:szCs w:val="22"/>
                <w:u w:val="none"/>
                <w:lang w:val="en-US" w:eastAsia="zh-CN" w:bidi="ar"/>
              </w:rPr>
              <w:t>（2）线上/线下宣传推广方案内容一般，流程管理措施基本满足</w:t>
            </w:r>
            <w:r>
              <w:rPr>
                <w:rFonts w:hint="eastAsia" w:ascii="楷体" w:hAnsi="楷体" w:eastAsia="楷体" w:cs="楷体"/>
                <w:sz w:val="22"/>
                <w:szCs w:val="22"/>
                <w:lang w:val="en-US" w:eastAsia="zh-CN"/>
              </w:rPr>
              <w:t>，</w:t>
            </w:r>
            <w:r>
              <w:rPr>
                <w:rFonts w:hint="eastAsia" w:ascii="楷体" w:hAnsi="楷体" w:eastAsia="楷体" w:cs="楷体"/>
                <w:i w:val="0"/>
                <w:iCs w:val="0"/>
                <w:color w:val="000000"/>
                <w:kern w:val="0"/>
                <w:sz w:val="22"/>
                <w:szCs w:val="22"/>
                <w:u w:val="none"/>
                <w:lang w:val="en-US" w:eastAsia="zh-CN" w:bidi="ar"/>
              </w:rPr>
              <w:t>评价良的得4（不含）-8（含）分。</w:t>
            </w:r>
          </w:p>
          <w:p>
            <w:pPr>
              <w:numPr>
                <w:ilvl w:val="0"/>
                <w:numId w:val="0"/>
              </w:numPr>
              <w:spacing w:line="320" w:lineRule="exact"/>
              <w:rPr>
                <w:rFonts w:hint="eastAsia" w:ascii="楷体" w:hAnsi="楷体" w:eastAsia="楷体" w:cs="仿宋_GB2312"/>
                <w:i w:val="0"/>
                <w:iCs/>
                <w:color w:val="auto"/>
                <w:sz w:val="22"/>
                <w:szCs w:val="28"/>
              </w:rPr>
            </w:pPr>
            <w:r>
              <w:rPr>
                <w:rFonts w:hint="eastAsia" w:ascii="楷体" w:hAnsi="楷体" w:eastAsia="楷体" w:cs="楷体"/>
                <w:i w:val="0"/>
                <w:iCs w:val="0"/>
                <w:color w:val="000000"/>
                <w:kern w:val="0"/>
                <w:sz w:val="22"/>
                <w:szCs w:val="22"/>
                <w:u w:val="none"/>
                <w:lang w:val="en-US" w:eastAsia="zh-CN" w:bidi="ar"/>
              </w:rPr>
              <w:t>（3）线上/线下宣传推广方案内容无创意，流程管理措施一般</w:t>
            </w:r>
            <w:r>
              <w:rPr>
                <w:rFonts w:hint="eastAsia" w:ascii="楷体" w:hAnsi="楷体" w:eastAsia="楷体" w:cs="楷体"/>
                <w:sz w:val="22"/>
                <w:szCs w:val="22"/>
                <w:lang w:val="en-US" w:eastAsia="zh-CN"/>
              </w:rPr>
              <w:t>，</w:t>
            </w:r>
            <w:r>
              <w:rPr>
                <w:rFonts w:hint="eastAsia" w:ascii="楷体" w:hAnsi="楷体" w:eastAsia="楷体" w:cs="楷体"/>
                <w:i w:val="0"/>
                <w:iCs w:val="0"/>
                <w:color w:val="000000"/>
                <w:kern w:val="0"/>
                <w:sz w:val="22"/>
                <w:szCs w:val="22"/>
                <w:u w:val="none"/>
                <w:lang w:val="en-US" w:eastAsia="zh-CN" w:bidi="ar"/>
              </w:rPr>
              <w:t>评价一般的得0（不含）-4(含）分，不提供不得分</w:t>
            </w:r>
            <w:r>
              <w:rPr>
                <w:rFonts w:hint="eastAsia" w:ascii="仿宋" w:hAnsi="仿宋" w:eastAsia="仿宋" w:cs="仿宋"/>
                <w:i w:val="0"/>
                <w:iCs w:val="0"/>
                <w:color w:val="000000"/>
                <w:kern w:val="0"/>
                <w:sz w:val="24"/>
                <w:szCs w:val="24"/>
                <w:u w:val="none"/>
                <w:lang w:val="en-US" w:eastAsia="zh-CN" w:bidi="ar"/>
              </w:rPr>
              <w:t>。</w:t>
            </w:r>
          </w:p>
        </w:tc>
        <w:tc>
          <w:tcPr>
            <w:tcW w:w="1005" w:type="dxa"/>
            <w:vAlign w:val="center"/>
          </w:tcPr>
          <w:p>
            <w:pPr>
              <w:snapToGrid w:val="0"/>
              <w:spacing w:line="320" w:lineRule="exact"/>
              <w:jc w:val="center"/>
              <w:rPr>
                <w:rFonts w:hint="default"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320" w:lineRule="exact"/>
              <w:jc w:val="center"/>
              <w:textAlignment w:val="auto"/>
              <w:rPr>
                <w:rFonts w:hint="eastAsia"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val="en-US" w:eastAsia="zh-CN"/>
              </w:rPr>
              <w:t>服务保障</w:t>
            </w:r>
          </w:p>
          <w:p>
            <w:pPr>
              <w:keepNext w:val="0"/>
              <w:keepLines w:val="0"/>
              <w:pageBreakBefore w:val="0"/>
              <w:widowControl/>
              <w:kinsoku/>
              <w:wordWrap/>
              <w:overflowPunct/>
              <w:topLinePunct w:val="0"/>
              <w:autoSpaceDE/>
              <w:autoSpaceDN/>
              <w:bidi w:val="0"/>
              <w:adjustRightInd/>
              <w:snapToGrid w:val="0"/>
              <w:spacing w:line="320" w:lineRule="exact"/>
              <w:jc w:val="center"/>
              <w:textAlignment w:val="auto"/>
              <w:rPr>
                <w:rFonts w:hint="eastAsia" w:ascii="楷体" w:hAnsi="楷体" w:eastAsia="楷体" w:cs="仿宋_GB2312"/>
                <w:i w:val="0"/>
                <w:iCs/>
                <w:color w:val="auto"/>
                <w:sz w:val="22"/>
                <w:szCs w:val="28"/>
              </w:rPr>
            </w:pPr>
            <w:r>
              <w:rPr>
                <w:rFonts w:hint="eastAsia" w:ascii="楷体" w:hAnsi="楷体" w:eastAsia="楷体" w:cs="仿宋_GB2312"/>
                <w:i w:val="0"/>
                <w:iCs/>
                <w:color w:val="auto"/>
                <w:sz w:val="22"/>
                <w:szCs w:val="28"/>
              </w:rPr>
              <w:t>（</w:t>
            </w:r>
            <w:r>
              <w:rPr>
                <w:rFonts w:hint="eastAsia" w:ascii="楷体" w:hAnsi="楷体" w:eastAsia="楷体" w:cs="仿宋_GB2312"/>
                <w:i w:val="0"/>
                <w:iCs/>
                <w:color w:val="auto"/>
                <w:sz w:val="22"/>
                <w:szCs w:val="28"/>
                <w:lang w:val="en-US" w:eastAsia="zh-CN"/>
              </w:rPr>
              <w:t>12</w:t>
            </w:r>
            <w:r>
              <w:rPr>
                <w:rFonts w:hint="eastAsia" w:ascii="楷体" w:hAnsi="楷体" w:eastAsia="楷体" w:cs="仿宋_GB2312"/>
                <w:i w:val="0"/>
                <w:iCs/>
                <w:color w:val="auto"/>
                <w:sz w:val="22"/>
                <w:szCs w:val="28"/>
              </w:rPr>
              <w:t>）</w:t>
            </w:r>
          </w:p>
        </w:tc>
        <w:tc>
          <w:tcPr>
            <w:tcW w:w="6537" w:type="dxa"/>
            <w:vAlign w:val="center"/>
          </w:tcPr>
          <w:p>
            <w:pPr>
              <w:spacing w:line="320" w:lineRule="exact"/>
              <w:rPr>
                <w:rFonts w:hint="eastAsia" w:ascii="楷体" w:hAnsi="楷体" w:eastAsia="楷体" w:cs="仿宋_GB2312"/>
                <w:i w:val="0"/>
                <w:iCs/>
                <w:color w:val="auto"/>
                <w:sz w:val="22"/>
                <w:szCs w:val="28"/>
                <w:lang w:eastAsia="zh-CN"/>
              </w:rPr>
            </w:pPr>
            <w:r>
              <w:rPr>
                <w:rFonts w:hint="eastAsia" w:ascii="楷体" w:hAnsi="楷体" w:eastAsia="楷体" w:cs="仿宋_GB2312"/>
                <w:i w:val="0"/>
                <w:iCs/>
                <w:color w:val="auto"/>
                <w:sz w:val="22"/>
                <w:szCs w:val="28"/>
                <w:lang w:eastAsia="zh-CN"/>
              </w:rPr>
              <w:t>对服务质量、</w:t>
            </w:r>
            <w:r>
              <w:rPr>
                <w:rFonts w:hint="eastAsia" w:ascii="楷体" w:hAnsi="楷体" w:eastAsia="楷体" w:cs="仿宋_GB2312"/>
                <w:i w:val="0"/>
                <w:iCs/>
                <w:color w:val="auto"/>
                <w:sz w:val="22"/>
                <w:szCs w:val="28"/>
                <w:lang w:val="en-US" w:eastAsia="zh-CN"/>
              </w:rPr>
              <w:t>安全保障</w:t>
            </w:r>
            <w:r>
              <w:rPr>
                <w:rFonts w:hint="eastAsia" w:ascii="楷体" w:hAnsi="楷体" w:eastAsia="楷体" w:cs="仿宋_GB2312"/>
                <w:i w:val="0"/>
                <w:iCs/>
                <w:color w:val="auto"/>
                <w:sz w:val="22"/>
                <w:szCs w:val="28"/>
                <w:lang w:eastAsia="zh-CN"/>
              </w:rPr>
              <w:t>进行评分：</w:t>
            </w:r>
          </w:p>
          <w:p>
            <w:pPr>
              <w:spacing w:line="320" w:lineRule="exact"/>
              <w:rPr>
                <w:rFonts w:hint="eastAsia" w:ascii="楷体" w:hAnsi="楷体" w:eastAsia="楷体" w:cs="仿宋_GB2312"/>
                <w:i w:val="0"/>
                <w:iCs/>
                <w:color w:val="auto"/>
                <w:sz w:val="22"/>
                <w:szCs w:val="28"/>
                <w:lang w:eastAsia="zh-CN"/>
              </w:rPr>
            </w:pPr>
            <w:r>
              <w:rPr>
                <w:rFonts w:hint="eastAsia" w:ascii="楷体" w:hAnsi="楷体" w:eastAsia="楷体" w:cs="仿宋_GB2312"/>
                <w:i w:val="0"/>
                <w:iCs/>
                <w:color w:val="auto"/>
                <w:sz w:val="22"/>
                <w:szCs w:val="28"/>
                <w:lang w:eastAsia="zh-CN"/>
              </w:rPr>
              <w:t>1.保障措施全面且有效，优秀</w:t>
            </w:r>
            <w:r>
              <w:rPr>
                <w:rFonts w:hint="eastAsia" w:ascii="楷体" w:hAnsi="楷体" w:eastAsia="楷体" w:cs="仿宋_GB2312"/>
                <w:i w:val="0"/>
                <w:iCs/>
                <w:color w:val="auto"/>
                <w:sz w:val="22"/>
                <w:szCs w:val="28"/>
                <w:lang w:val="en-US" w:eastAsia="zh-CN"/>
              </w:rPr>
              <w:t>得8（不含）-12分（含）</w:t>
            </w:r>
            <w:r>
              <w:rPr>
                <w:rFonts w:hint="eastAsia" w:ascii="楷体" w:hAnsi="楷体" w:eastAsia="楷体" w:cs="仿宋_GB2312"/>
                <w:i w:val="0"/>
                <w:iCs/>
                <w:color w:val="auto"/>
                <w:sz w:val="22"/>
                <w:szCs w:val="28"/>
                <w:lang w:eastAsia="zh-CN"/>
              </w:rPr>
              <w:t>：</w:t>
            </w:r>
          </w:p>
          <w:p>
            <w:pPr>
              <w:spacing w:line="320" w:lineRule="exact"/>
              <w:rPr>
                <w:rFonts w:hint="eastAsia" w:ascii="楷体" w:hAnsi="楷体" w:eastAsia="楷体" w:cs="仿宋_GB2312"/>
                <w:i w:val="0"/>
                <w:iCs/>
                <w:color w:val="auto"/>
                <w:sz w:val="22"/>
                <w:szCs w:val="28"/>
                <w:lang w:eastAsia="zh-CN"/>
              </w:rPr>
            </w:pPr>
            <w:r>
              <w:rPr>
                <w:rFonts w:hint="eastAsia" w:ascii="楷体" w:hAnsi="楷体" w:eastAsia="楷体" w:cs="仿宋_GB2312"/>
                <w:i w:val="0"/>
                <w:iCs/>
                <w:color w:val="auto"/>
                <w:sz w:val="22"/>
                <w:szCs w:val="28"/>
                <w:lang w:eastAsia="zh-CN"/>
              </w:rPr>
              <w:t>2.保障措施较全面、较有效，良好</w:t>
            </w:r>
            <w:r>
              <w:rPr>
                <w:rFonts w:hint="eastAsia" w:ascii="楷体" w:hAnsi="楷体" w:eastAsia="楷体" w:cs="仿宋_GB2312"/>
                <w:i w:val="0"/>
                <w:iCs/>
                <w:color w:val="auto"/>
                <w:sz w:val="22"/>
                <w:szCs w:val="28"/>
                <w:lang w:val="en-US" w:eastAsia="zh-CN"/>
              </w:rPr>
              <w:t>得4（不含）-8分（含）</w:t>
            </w:r>
            <w:r>
              <w:rPr>
                <w:rFonts w:hint="eastAsia" w:ascii="楷体" w:hAnsi="楷体" w:eastAsia="楷体" w:cs="仿宋_GB2312"/>
                <w:i w:val="0"/>
                <w:iCs/>
                <w:color w:val="auto"/>
                <w:sz w:val="22"/>
                <w:szCs w:val="28"/>
                <w:lang w:eastAsia="zh-CN"/>
              </w:rPr>
              <w:t>：</w:t>
            </w:r>
          </w:p>
          <w:p>
            <w:pPr>
              <w:spacing w:line="320" w:lineRule="exact"/>
              <w:rPr>
                <w:rFonts w:hint="default"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eastAsia="zh-CN"/>
              </w:rPr>
              <w:t>3.保障措施全面性、有效性一般，一般</w:t>
            </w:r>
            <w:r>
              <w:rPr>
                <w:rFonts w:hint="eastAsia" w:ascii="楷体" w:hAnsi="楷体" w:eastAsia="楷体" w:cs="仿宋_GB2312"/>
                <w:i w:val="0"/>
                <w:iCs/>
                <w:color w:val="auto"/>
                <w:sz w:val="22"/>
                <w:szCs w:val="28"/>
                <w:lang w:val="en-US" w:eastAsia="zh-CN"/>
              </w:rPr>
              <w:t>得</w:t>
            </w:r>
            <w:r>
              <w:rPr>
                <w:rFonts w:hint="eastAsia" w:ascii="楷体" w:hAnsi="楷体" w:eastAsia="楷体" w:cs="楷体"/>
                <w:i w:val="0"/>
                <w:iCs w:val="0"/>
                <w:color w:val="000000"/>
                <w:kern w:val="0"/>
                <w:sz w:val="22"/>
                <w:szCs w:val="22"/>
                <w:u w:val="none"/>
                <w:lang w:val="en-US" w:eastAsia="zh-CN" w:bidi="ar"/>
              </w:rPr>
              <w:t>0（不含）-4(含）分，不提供不得分</w:t>
            </w:r>
            <w:r>
              <w:rPr>
                <w:rFonts w:hint="eastAsia" w:ascii="楷体" w:hAnsi="楷体" w:eastAsia="楷体" w:cs="仿宋_GB2312"/>
                <w:i w:val="0"/>
                <w:iCs/>
                <w:color w:val="auto"/>
                <w:sz w:val="22"/>
                <w:szCs w:val="28"/>
                <w:lang w:eastAsia="zh-CN"/>
              </w:rPr>
              <w:t>：</w:t>
            </w:r>
          </w:p>
        </w:tc>
        <w:tc>
          <w:tcPr>
            <w:tcW w:w="1005" w:type="dxa"/>
            <w:vAlign w:val="center"/>
          </w:tcPr>
          <w:p>
            <w:pPr>
              <w:snapToGrid w:val="0"/>
              <w:spacing w:line="320" w:lineRule="exact"/>
              <w:jc w:val="center"/>
              <w:rPr>
                <w:rFonts w:hint="default"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320" w:lineRule="exact"/>
              <w:jc w:val="center"/>
              <w:textAlignment w:val="auto"/>
              <w:rPr>
                <w:rFonts w:hint="eastAsia"/>
                <w:sz w:val="22"/>
                <w:szCs w:val="22"/>
                <w:lang w:eastAsia="zh-CN"/>
              </w:rPr>
            </w:pPr>
            <w:r>
              <w:rPr>
                <w:rFonts w:hint="eastAsia" w:ascii="楷体" w:hAnsi="楷体" w:eastAsia="楷体" w:cs="仿宋_GB2312"/>
                <w:i w:val="0"/>
                <w:iCs/>
                <w:color w:val="auto"/>
                <w:sz w:val="22"/>
                <w:szCs w:val="28"/>
                <w:lang w:eastAsia="zh-CN"/>
              </w:rPr>
              <w:t>服务优化（</w:t>
            </w:r>
            <w:r>
              <w:rPr>
                <w:rFonts w:hint="eastAsia" w:ascii="楷体" w:hAnsi="楷体" w:eastAsia="楷体" w:cs="仿宋_GB2312"/>
                <w:i w:val="0"/>
                <w:iCs/>
                <w:color w:val="auto"/>
                <w:sz w:val="22"/>
                <w:szCs w:val="28"/>
                <w:lang w:val="en-US" w:eastAsia="zh-CN"/>
              </w:rPr>
              <w:t>6</w:t>
            </w:r>
            <w:r>
              <w:rPr>
                <w:rFonts w:hint="eastAsia" w:ascii="楷体" w:hAnsi="楷体" w:eastAsia="楷体" w:cs="仿宋_GB2312"/>
                <w:i w:val="0"/>
                <w:iCs/>
                <w:color w:val="auto"/>
                <w:sz w:val="22"/>
                <w:szCs w:val="28"/>
                <w:lang w:eastAsia="zh-CN"/>
              </w:rPr>
              <w:t>）</w:t>
            </w:r>
          </w:p>
        </w:tc>
        <w:tc>
          <w:tcPr>
            <w:tcW w:w="6537" w:type="dxa"/>
            <w:vAlign w:val="center"/>
          </w:tcPr>
          <w:p>
            <w:pPr>
              <w:spacing w:line="320" w:lineRule="exact"/>
              <w:rPr>
                <w:rFonts w:hint="eastAsia" w:ascii="楷体" w:hAnsi="楷体" w:eastAsia="楷体" w:cs="仿宋_GB2312"/>
                <w:i w:val="0"/>
                <w:iCs/>
                <w:color w:val="auto"/>
                <w:sz w:val="22"/>
                <w:szCs w:val="28"/>
                <w:lang w:eastAsia="zh-CN"/>
              </w:rPr>
            </w:pPr>
            <w:r>
              <w:rPr>
                <w:rFonts w:hint="eastAsia" w:ascii="楷体" w:hAnsi="楷体" w:eastAsia="楷体" w:cs="楷体"/>
                <w:i w:val="0"/>
                <w:iCs/>
                <w:color w:val="auto"/>
                <w:sz w:val="22"/>
                <w:szCs w:val="22"/>
                <w:lang w:eastAsia="zh-CN"/>
              </w:rPr>
              <w:t>针对本项目实际情况的</w:t>
            </w:r>
            <w:r>
              <w:rPr>
                <w:rFonts w:hint="eastAsia" w:ascii="楷体" w:hAnsi="楷体" w:eastAsia="楷体" w:cs="楷体"/>
                <w:i w:val="0"/>
                <w:iCs/>
                <w:color w:val="auto"/>
                <w:sz w:val="22"/>
                <w:szCs w:val="22"/>
                <w:lang w:val="en-US" w:eastAsia="zh-CN"/>
              </w:rPr>
              <w:t>服务</w:t>
            </w:r>
            <w:r>
              <w:rPr>
                <w:rFonts w:hint="eastAsia" w:ascii="楷体" w:hAnsi="楷体" w:eastAsia="楷体" w:cs="楷体"/>
                <w:i w:val="0"/>
                <w:iCs/>
                <w:color w:val="auto"/>
                <w:sz w:val="22"/>
                <w:szCs w:val="22"/>
                <w:lang w:eastAsia="zh-CN"/>
              </w:rPr>
              <w:t>建议具有合理性和可行性，每提供一项合理并</w:t>
            </w:r>
            <w:r>
              <w:rPr>
                <w:rFonts w:hint="eastAsia" w:ascii="楷体" w:hAnsi="楷体" w:eastAsia="楷体" w:cs="楷体"/>
                <w:i w:val="0"/>
                <w:iCs/>
                <w:color w:val="auto"/>
                <w:sz w:val="22"/>
                <w:szCs w:val="22"/>
              </w:rPr>
              <w:t>可执行的单项内容得2分，累计最高得</w:t>
            </w:r>
            <w:r>
              <w:rPr>
                <w:rFonts w:hint="eastAsia" w:ascii="楷体" w:hAnsi="楷体" w:eastAsia="楷体" w:cs="楷体"/>
                <w:i w:val="0"/>
                <w:iCs/>
                <w:color w:val="auto"/>
                <w:sz w:val="22"/>
                <w:szCs w:val="22"/>
                <w:lang w:val="en-US" w:eastAsia="zh-CN"/>
              </w:rPr>
              <w:t>6</w:t>
            </w:r>
            <w:r>
              <w:rPr>
                <w:rFonts w:hint="eastAsia" w:ascii="楷体" w:hAnsi="楷体" w:eastAsia="楷体" w:cs="楷体"/>
                <w:i w:val="0"/>
                <w:iCs/>
                <w:color w:val="auto"/>
                <w:sz w:val="22"/>
                <w:szCs w:val="22"/>
              </w:rPr>
              <w:t>分</w:t>
            </w:r>
            <w:r>
              <w:rPr>
                <w:rFonts w:hint="eastAsia" w:ascii="仿宋" w:hAnsi="仿宋" w:eastAsia="仿宋" w:cs="仿宋"/>
                <w:i w:val="0"/>
                <w:iCs/>
                <w:color w:val="auto"/>
                <w:szCs w:val="32"/>
                <w:lang w:eastAsia="zh-CN"/>
              </w:rPr>
              <w:t>。</w:t>
            </w:r>
          </w:p>
        </w:tc>
        <w:tc>
          <w:tcPr>
            <w:tcW w:w="1005" w:type="dxa"/>
            <w:vAlign w:val="center"/>
          </w:tcPr>
          <w:p>
            <w:pPr>
              <w:snapToGrid w:val="0"/>
              <w:spacing w:line="320" w:lineRule="exact"/>
              <w:jc w:val="center"/>
              <w:rPr>
                <w:rFonts w:hint="default"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shd w:val="clear" w:color="auto" w:fill="auto"/>
            <w:vAlign w:val="center"/>
          </w:tcPr>
          <w:p>
            <w:pPr>
              <w:snapToGrid w:val="0"/>
              <w:spacing w:line="320" w:lineRule="exact"/>
              <w:jc w:val="left"/>
              <w:rPr>
                <w:rFonts w:hint="eastAsia"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eastAsia="zh-CN"/>
              </w:rPr>
              <w:t>三</w:t>
            </w:r>
            <w:r>
              <w:rPr>
                <w:rFonts w:hint="eastAsia" w:ascii="楷体" w:hAnsi="楷体" w:eastAsia="楷体" w:cs="仿宋_GB2312"/>
                <w:i w:val="0"/>
                <w:iCs/>
                <w:color w:val="auto"/>
                <w:sz w:val="22"/>
                <w:szCs w:val="28"/>
              </w:rPr>
              <w:t>、</w:t>
            </w:r>
            <w:r>
              <w:rPr>
                <w:rFonts w:hint="eastAsia" w:ascii="楷体" w:hAnsi="楷体" w:eastAsia="楷体" w:cs="仿宋_GB2312"/>
                <w:i w:val="0"/>
                <w:iCs/>
                <w:color w:val="auto"/>
                <w:sz w:val="22"/>
                <w:szCs w:val="28"/>
                <w:lang w:val="en-US" w:eastAsia="zh-CN"/>
              </w:rPr>
              <w:t>商务评分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340" w:type="dxa"/>
            <w:shd w:val="clear" w:color="auto" w:fill="auto"/>
            <w:vAlign w:val="center"/>
          </w:tcPr>
          <w:p>
            <w:pPr>
              <w:snapToGrid w:val="0"/>
              <w:spacing w:line="320" w:lineRule="exact"/>
              <w:jc w:val="center"/>
              <w:rPr>
                <w:rFonts w:hint="eastAsia"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val="en-US" w:eastAsia="zh-CN"/>
              </w:rPr>
              <w:t>商务评分</w:t>
            </w:r>
          </w:p>
          <w:p>
            <w:pPr>
              <w:snapToGrid w:val="0"/>
              <w:spacing w:line="320" w:lineRule="exact"/>
              <w:jc w:val="center"/>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lang w:val="en-US" w:eastAsia="zh-CN"/>
              </w:rPr>
              <w:t>（10分）</w:t>
            </w:r>
          </w:p>
        </w:tc>
        <w:tc>
          <w:tcPr>
            <w:tcW w:w="6537" w:type="dxa"/>
            <w:vAlign w:val="center"/>
          </w:tcPr>
          <w:p>
            <w:pPr>
              <w:spacing w:line="320" w:lineRule="exact"/>
              <w:rPr>
                <w:rFonts w:hint="eastAsia" w:ascii="楷体" w:hAnsi="楷体" w:eastAsia="楷体" w:cs="仿宋_GB2312"/>
                <w:i w:val="0"/>
                <w:iCs/>
                <w:color w:val="auto"/>
                <w:sz w:val="22"/>
                <w:szCs w:val="28"/>
                <w:highlight w:val="none"/>
                <w:lang w:eastAsia="zh-CN"/>
              </w:rPr>
            </w:pPr>
            <w:r>
              <w:rPr>
                <w:rFonts w:hint="eastAsia" w:ascii="楷体" w:hAnsi="楷体" w:eastAsia="楷体" w:cs="仿宋_GB2312"/>
                <w:i w:val="0"/>
                <w:iCs/>
                <w:color w:val="auto"/>
                <w:sz w:val="22"/>
                <w:szCs w:val="28"/>
                <w:highlight w:val="none"/>
              </w:rPr>
              <w:t>根据供应商提供的近</w:t>
            </w:r>
            <w:r>
              <w:rPr>
                <w:rFonts w:hint="eastAsia" w:ascii="楷体" w:hAnsi="楷体" w:eastAsia="楷体" w:cs="仿宋_GB2312"/>
                <w:i w:val="0"/>
                <w:iCs/>
                <w:color w:val="auto"/>
                <w:sz w:val="22"/>
                <w:szCs w:val="28"/>
                <w:highlight w:val="none"/>
                <w:lang w:val="en-US" w:eastAsia="zh-CN"/>
              </w:rPr>
              <w:t>三</w:t>
            </w:r>
            <w:r>
              <w:rPr>
                <w:rFonts w:hint="eastAsia" w:ascii="楷体" w:hAnsi="楷体" w:eastAsia="楷体" w:cs="仿宋_GB2312"/>
                <w:i w:val="0"/>
                <w:iCs/>
                <w:color w:val="auto"/>
                <w:sz w:val="22"/>
                <w:szCs w:val="28"/>
                <w:highlight w:val="none"/>
              </w:rPr>
              <w:t>年(</w:t>
            </w:r>
            <w:r>
              <w:rPr>
                <w:rFonts w:hint="eastAsia" w:ascii="楷体" w:hAnsi="楷体" w:eastAsia="楷体" w:cs="仿宋_GB2312"/>
                <w:i w:val="0"/>
                <w:iCs/>
                <w:color w:val="auto"/>
                <w:sz w:val="22"/>
                <w:szCs w:val="28"/>
                <w:highlight w:val="none"/>
                <w:lang w:eastAsia="zh-CN"/>
              </w:rPr>
              <w:t>202</w:t>
            </w:r>
            <w:r>
              <w:rPr>
                <w:rFonts w:hint="eastAsia" w:ascii="楷体" w:hAnsi="楷体" w:eastAsia="楷体" w:cs="仿宋_GB2312"/>
                <w:i w:val="0"/>
                <w:iCs/>
                <w:color w:val="auto"/>
                <w:sz w:val="22"/>
                <w:szCs w:val="28"/>
                <w:highlight w:val="none"/>
                <w:lang w:val="en-US" w:eastAsia="zh-CN"/>
              </w:rPr>
              <w:t>3</w:t>
            </w:r>
            <w:r>
              <w:rPr>
                <w:rFonts w:hint="eastAsia" w:ascii="楷体" w:hAnsi="楷体" w:eastAsia="楷体" w:cs="仿宋_GB2312"/>
                <w:i w:val="0"/>
                <w:iCs/>
                <w:color w:val="auto"/>
                <w:sz w:val="22"/>
                <w:szCs w:val="28"/>
                <w:highlight w:val="none"/>
                <w:lang w:eastAsia="zh-CN"/>
              </w:rPr>
              <w:t>年1月1日</w:t>
            </w:r>
            <w:r>
              <w:rPr>
                <w:rFonts w:hint="eastAsia" w:ascii="楷体" w:hAnsi="楷体" w:eastAsia="楷体" w:cs="仿宋_GB2312"/>
                <w:i w:val="0"/>
                <w:iCs/>
                <w:color w:val="auto"/>
                <w:sz w:val="22"/>
                <w:szCs w:val="28"/>
                <w:highlight w:val="none"/>
              </w:rPr>
              <w:t>至开标日)有成功实施</w:t>
            </w:r>
            <w:r>
              <w:rPr>
                <w:rFonts w:hint="eastAsia" w:ascii="楷体" w:hAnsi="楷体" w:eastAsia="楷体" w:cs="仿宋_GB2312"/>
                <w:i w:val="0"/>
                <w:iCs/>
                <w:color w:val="auto"/>
                <w:sz w:val="22"/>
                <w:szCs w:val="28"/>
                <w:highlight w:val="none"/>
                <w:lang w:val="en-US" w:eastAsia="zh-CN"/>
              </w:rPr>
              <w:t>同类项目案例</w:t>
            </w:r>
            <w:r>
              <w:rPr>
                <w:rFonts w:hint="eastAsia" w:ascii="楷体" w:hAnsi="楷体" w:eastAsia="楷体" w:cs="仿宋_GB2312"/>
                <w:i w:val="0"/>
                <w:iCs/>
                <w:color w:val="auto"/>
                <w:sz w:val="22"/>
                <w:szCs w:val="28"/>
                <w:highlight w:val="none"/>
              </w:rPr>
              <w:t>的业绩情况进行评分：案例须提供合同复印件（包括合同首页、体现项目内容页、签署日期页及盖章页）或中标通知书复印件作为有效证明文件，在满足资格条件要求的</w:t>
            </w:r>
            <w:r>
              <w:rPr>
                <w:rFonts w:hint="eastAsia" w:ascii="楷体" w:hAnsi="楷体" w:eastAsia="楷体" w:cs="仿宋_GB2312"/>
                <w:i w:val="0"/>
                <w:iCs/>
                <w:color w:val="auto"/>
                <w:sz w:val="22"/>
                <w:szCs w:val="28"/>
                <w:highlight w:val="none"/>
                <w:lang w:val="en-US" w:eastAsia="zh-CN"/>
              </w:rPr>
              <w:t>1</w:t>
            </w:r>
            <w:r>
              <w:rPr>
                <w:rFonts w:hint="eastAsia" w:ascii="楷体" w:hAnsi="楷体" w:eastAsia="楷体" w:cs="仿宋_GB2312"/>
                <w:i w:val="0"/>
                <w:iCs/>
                <w:color w:val="auto"/>
                <w:sz w:val="22"/>
                <w:szCs w:val="28"/>
                <w:highlight w:val="none"/>
              </w:rPr>
              <w:t>个案例基础上，每增加1个，得</w:t>
            </w:r>
            <w:r>
              <w:rPr>
                <w:rFonts w:hint="eastAsia" w:ascii="楷体" w:hAnsi="楷体" w:eastAsia="楷体" w:cs="仿宋_GB2312"/>
                <w:i w:val="0"/>
                <w:iCs/>
                <w:color w:val="auto"/>
                <w:sz w:val="22"/>
                <w:szCs w:val="28"/>
                <w:highlight w:val="none"/>
                <w:lang w:val="en-US" w:eastAsia="zh-CN"/>
              </w:rPr>
              <w:t>2</w:t>
            </w:r>
            <w:r>
              <w:rPr>
                <w:rFonts w:hint="eastAsia" w:ascii="楷体" w:hAnsi="楷体" w:eastAsia="楷体" w:cs="仿宋_GB2312"/>
                <w:i w:val="0"/>
                <w:iCs/>
                <w:color w:val="auto"/>
                <w:sz w:val="22"/>
                <w:szCs w:val="28"/>
                <w:highlight w:val="none"/>
              </w:rPr>
              <w:t>分</w:t>
            </w:r>
            <w:r>
              <w:rPr>
                <w:rFonts w:hint="eastAsia" w:ascii="楷体" w:hAnsi="楷体" w:eastAsia="楷体" w:cs="仿宋_GB2312"/>
                <w:i w:val="0"/>
                <w:iCs/>
                <w:color w:val="auto"/>
                <w:sz w:val="22"/>
                <w:szCs w:val="28"/>
                <w:highlight w:val="none"/>
                <w:lang w:eastAsia="zh-CN"/>
              </w:rPr>
              <w:t>，</w:t>
            </w:r>
            <w:r>
              <w:rPr>
                <w:rFonts w:ascii="楷体" w:hAnsi="楷体" w:eastAsia="楷体" w:cs="仿宋_GB2312"/>
                <w:i w:val="0"/>
                <w:iCs/>
                <w:color w:val="auto"/>
                <w:sz w:val="22"/>
                <w:szCs w:val="28"/>
                <w:highlight w:val="none"/>
              </w:rPr>
              <w:t>最多得</w:t>
            </w:r>
            <w:r>
              <w:rPr>
                <w:rFonts w:hint="eastAsia" w:ascii="楷体" w:hAnsi="楷体" w:eastAsia="楷体" w:cs="仿宋_GB2312"/>
                <w:i w:val="0"/>
                <w:iCs/>
                <w:color w:val="auto"/>
                <w:sz w:val="22"/>
                <w:szCs w:val="28"/>
                <w:highlight w:val="none"/>
                <w:lang w:val="en-US" w:eastAsia="zh-CN"/>
              </w:rPr>
              <w:t>10</w:t>
            </w:r>
            <w:r>
              <w:rPr>
                <w:rFonts w:ascii="楷体" w:hAnsi="楷体" w:eastAsia="楷体" w:cs="仿宋_GB2312"/>
                <w:i w:val="0"/>
                <w:iCs/>
                <w:color w:val="auto"/>
                <w:sz w:val="22"/>
                <w:szCs w:val="28"/>
                <w:highlight w:val="none"/>
              </w:rPr>
              <w:t>分</w:t>
            </w:r>
            <w:r>
              <w:rPr>
                <w:rFonts w:hint="eastAsia" w:ascii="楷体" w:hAnsi="楷体" w:eastAsia="楷体" w:cs="仿宋_GB2312"/>
                <w:i w:val="0"/>
                <w:iCs/>
                <w:color w:val="auto"/>
                <w:sz w:val="22"/>
                <w:szCs w:val="28"/>
                <w:highlight w:val="none"/>
              </w:rPr>
              <w:t>。</w:t>
            </w:r>
          </w:p>
        </w:tc>
        <w:tc>
          <w:tcPr>
            <w:tcW w:w="1005" w:type="dxa"/>
            <w:vAlign w:val="center"/>
          </w:tcPr>
          <w:p>
            <w:pPr>
              <w:snapToGrid w:val="0"/>
              <w:spacing w:line="320" w:lineRule="exact"/>
              <w:jc w:val="center"/>
              <w:rPr>
                <w:rFonts w:hint="default" w:ascii="楷体" w:hAnsi="楷体" w:eastAsia="楷体" w:cs="仿宋_GB2312"/>
                <w:i w:val="0"/>
                <w:iCs/>
                <w:color w:val="auto"/>
                <w:sz w:val="22"/>
                <w:szCs w:val="28"/>
                <w:lang w:val="en-US" w:eastAsia="zh-CN"/>
              </w:rPr>
            </w:pPr>
            <w:r>
              <w:rPr>
                <w:rFonts w:hint="eastAsia" w:ascii="楷体" w:hAnsi="楷体" w:eastAsia="楷体" w:cs="仿宋_GB2312"/>
                <w:i w:val="0"/>
                <w:iCs/>
                <w:color w:val="auto"/>
                <w:sz w:val="22"/>
                <w:szCs w:val="2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pPr>
              <w:spacing w:line="320" w:lineRule="exact"/>
              <w:jc w:val="center"/>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rPr>
              <w:t>合计</w:t>
            </w:r>
          </w:p>
        </w:tc>
        <w:tc>
          <w:tcPr>
            <w:tcW w:w="1005" w:type="dxa"/>
            <w:vAlign w:val="center"/>
          </w:tcPr>
          <w:p>
            <w:pPr>
              <w:snapToGrid w:val="0"/>
              <w:spacing w:line="320" w:lineRule="exact"/>
              <w:jc w:val="center"/>
              <w:rPr>
                <w:rFonts w:ascii="楷体" w:hAnsi="楷体" w:eastAsia="楷体" w:cs="仿宋_GB2312"/>
                <w:i w:val="0"/>
                <w:iCs/>
                <w:color w:val="auto"/>
                <w:sz w:val="22"/>
                <w:szCs w:val="28"/>
              </w:rPr>
            </w:pPr>
            <w:r>
              <w:rPr>
                <w:rFonts w:hint="eastAsia" w:ascii="楷体" w:hAnsi="楷体" w:eastAsia="楷体" w:cs="仿宋_GB2312"/>
                <w:i w:val="0"/>
                <w:iCs/>
                <w:color w:val="auto"/>
                <w:sz w:val="22"/>
                <w:szCs w:val="28"/>
              </w:rPr>
              <w:t>100</w:t>
            </w:r>
          </w:p>
        </w:tc>
      </w:tr>
    </w:tbl>
    <w:p/>
    <w:p>
      <w:pPr>
        <w:pStyle w:val="2"/>
      </w:pPr>
    </w:p>
    <w:bookmarkEnd w:id="109"/>
    <w:p>
      <w:pPr>
        <w:pStyle w:val="3"/>
        <w:numPr>
          <w:ilvl w:val="0"/>
          <w:numId w:val="3"/>
        </w:numPr>
        <w:spacing w:before="0" w:after="0"/>
        <w:jc w:val="left"/>
        <w:rPr>
          <w:rFonts w:hint="eastAsia" w:ascii="仿宋" w:hAnsi="仿宋" w:eastAsia="仿宋" w:cs="仿宋"/>
          <w:color w:val="auto"/>
          <w:sz w:val="28"/>
          <w:szCs w:val="28"/>
        </w:rPr>
      </w:pPr>
      <w:bookmarkStart w:id="122" w:name="_Toc15254"/>
      <w:bookmarkStart w:id="123" w:name="_Toc26193"/>
      <w:r>
        <w:rPr>
          <w:rFonts w:hint="eastAsia" w:ascii="仿宋" w:hAnsi="仿宋" w:eastAsia="仿宋" w:cs="仿宋"/>
          <w:color w:val="auto"/>
          <w:sz w:val="28"/>
          <w:szCs w:val="28"/>
        </w:rPr>
        <w:t>合同条</w:t>
      </w:r>
      <w:bookmarkEnd w:id="122"/>
      <w:r>
        <w:rPr>
          <w:rFonts w:hint="eastAsia" w:ascii="仿宋" w:hAnsi="仿宋" w:eastAsia="仿宋" w:cs="仿宋"/>
          <w:color w:val="auto"/>
          <w:sz w:val="28"/>
          <w:szCs w:val="28"/>
        </w:rPr>
        <w:t>款</w:t>
      </w:r>
      <w:bookmarkEnd w:id="123"/>
    </w:p>
    <w:p>
      <w:pPr>
        <w:numPr>
          <w:ilvl w:val="0"/>
          <w:numId w:val="0"/>
        </w:numPr>
      </w:pP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eastAsia="zh-CN"/>
        </w:rPr>
      </w:pPr>
      <w:r>
        <w:rPr>
          <w:rFonts w:hint="default" w:ascii="仿宋" w:hAnsi="仿宋" w:eastAsia="仿宋" w:cs="仿宋"/>
          <w:sz w:val="24"/>
          <w:szCs w:val="24"/>
          <w:lang w:eastAsia="zh-CN"/>
        </w:rPr>
        <w:t>甲方：中国人民财产保险股份有限公司泸州市分公司</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仿宋" w:hAnsi="仿宋" w:eastAsia="仿宋" w:cs="仿宋"/>
          <w:sz w:val="24"/>
          <w:szCs w:val="24"/>
          <w:lang w:eastAsia="zh-CN"/>
        </w:rPr>
      </w:pPr>
      <w:r>
        <w:rPr>
          <w:rFonts w:hint="default" w:ascii="仿宋" w:hAnsi="仿宋" w:eastAsia="仿宋" w:cs="仿宋"/>
          <w:sz w:val="24"/>
          <w:szCs w:val="24"/>
          <w:lang w:eastAsia="zh-CN"/>
        </w:rPr>
        <w:t>地址：四川省泸州市江阳西路段163号1栋</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eastAsia="zh-CN"/>
        </w:rPr>
      </w:pP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仿宋" w:hAnsi="仿宋" w:eastAsia="仿宋" w:cs="仿宋"/>
          <w:sz w:val="24"/>
          <w:szCs w:val="24"/>
          <w:lang w:eastAsia="zh-CN"/>
        </w:rPr>
      </w:pPr>
      <w:r>
        <w:rPr>
          <w:rFonts w:hint="default" w:ascii="仿宋" w:hAnsi="仿宋" w:eastAsia="仿宋" w:cs="仿宋"/>
          <w:sz w:val="24"/>
          <w:szCs w:val="24"/>
          <w:lang w:eastAsia="zh-CN"/>
        </w:rPr>
        <w:t>乙方：</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eastAsia="zh-CN"/>
        </w:rPr>
      </w:pPr>
      <w:r>
        <w:rPr>
          <w:rFonts w:hint="default" w:ascii="仿宋" w:hAnsi="仿宋" w:eastAsia="仿宋" w:cs="仿宋"/>
          <w:sz w:val="24"/>
          <w:szCs w:val="24"/>
          <w:lang w:eastAsia="zh-CN"/>
        </w:rPr>
        <w:t>地址：</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仿宋" w:hAnsi="仿宋" w:eastAsia="仿宋" w:cs="仿宋"/>
          <w:sz w:val="24"/>
          <w:szCs w:val="24"/>
          <w:lang w:eastAsia="zh-CN"/>
        </w:rPr>
      </w:pPr>
      <w:r>
        <w:rPr>
          <w:rFonts w:hint="eastAsia" w:ascii="仿宋" w:hAnsi="仿宋" w:eastAsia="仿宋" w:cs="仿宋"/>
          <w:sz w:val="24"/>
          <w:szCs w:val="24"/>
          <w:lang w:eastAsia="zh-CN"/>
        </w:rPr>
        <w:br w:type="textWrapping"/>
      </w:r>
      <w:r>
        <w:rPr>
          <w:rFonts w:hint="default" w:ascii="仿宋" w:hAnsi="仿宋" w:eastAsia="仿宋" w:cs="仿宋"/>
          <w:sz w:val="24"/>
          <w:szCs w:val="24"/>
          <w:lang w:eastAsia="zh-CN"/>
        </w:rPr>
        <w:t>鉴于：</w:t>
      </w:r>
      <w:r>
        <w:rPr>
          <w:rFonts w:hint="default" w:ascii="仿宋" w:hAnsi="仿宋" w:eastAsia="仿宋" w:cs="仿宋"/>
          <w:sz w:val="24"/>
          <w:szCs w:val="24"/>
          <w:lang w:eastAsia="zh-CN"/>
        </w:rPr>
        <w:br w:type="textWrapping"/>
      </w:r>
      <w:r>
        <w:rPr>
          <w:rFonts w:hint="default" w:ascii="仿宋" w:hAnsi="仿宋" w:eastAsia="仿宋" w:cs="仿宋"/>
          <w:sz w:val="24"/>
          <w:szCs w:val="24"/>
          <w:lang w:eastAsia="zh-CN"/>
        </w:rPr>
        <w:t>    本合同双方当事人（1）均为依照中华人民共和国法律成立并有效存续的民事主体，（2）并且已经获得签署本合同的相应授权，（3）具备履行本合同所必须的资质和条件。 为保障双方的合法权益，根据《中华人民共和国民法典》及相关法律法规的规定, 甲、乙双方在平等互利、协商一致的基础上，达成协议如下，以资共同遵照执行。</w:t>
      </w:r>
    </w:p>
    <w:p>
      <w:pPr>
        <w:keepNext w:val="0"/>
        <w:keepLines w:val="0"/>
        <w:pageBreakBefore w:val="0"/>
        <w:widowControl/>
        <w:kinsoku/>
        <w:wordWrap/>
        <w:overflowPunct/>
        <w:topLinePunct w:val="0"/>
        <w:autoSpaceDE/>
        <w:autoSpaceDN/>
        <w:bidi w:val="0"/>
        <w:adjustRightInd/>
        <w:snapToGrid/>
        <w:spacing w:line="240" w:lineRule="auto"/>
        <w:jc w:val="left"/>
        <w:textAlignment w:val="auto"/>
      </w:pPr>
      <w:r>
        <w:rPr>
          <w:rFonts w:hint="default" w:ascii="仿宋_GB2312" w:hAnsi="宋体" w:eastAsia="仿宋_GB2312" w:cs="仿宋_GB2312"/>
          <w:sz w:val="32"/>
          <w:szCs w:val="32"/>
          <w:lang w:eastAsia="zh-CN"/>
        </w:rPr>
        <w:br w:type="textWrapping"/>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b/>
          <w:bCs/>
          <w:sz w:val="24"/>
          <w:szCs w:val="24"/>
          <w:lang w:eastAsia="zh-CN"/>
        </w:rPr>
        <w:t>商务部分</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第一条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项目内容及要求</w:t>
      </w:r>
      <w:r>
        <w:rPr>
          <w:rFonts w:hint="eastAsia" w:ascii="仿宋" w:hAnsi="仿宋" w:eastAsia="仿宋" w:cs="仿宋"/>
          <w:sz w:val="24"/>
          <w:szCs w:val="24"/>
          <w:lang w:eastAsia="zh-CN"/>
        </w:rPr>
        <w:t xml:space="preserve"> </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本合同项下甲乙双方约定的项目内容及要求见本合同【附件】。</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第二条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合同价格</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 本合同付款安排见【附件】。</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rPr>
      </w:pPr>
      <w:r>
        <w:rPr>
          <w:rFonts w:hint="eastAsia" w:ascii="仿宋" w:hAnsi="仿宋" w:eastAsia="仿宋" w:cs="仿宋"/>
          <w:b/>
          <w:bCs/>
          <w:sz w:val="24"/>
          <w:szCs w:val="24"/>
          <w:lang w:eastAsia="zh-CN"/>
        </w:rPr>
        <w:t>通用部分</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第三条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双方的权利和义务</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（一） 甲方的权利和义务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 xml:space="preserve">（1）甲方有权获得本合同项下乙方应提供的全部合格的服务； </w:t>
      </w:r>
      <w:r>
        <w:rPr>
          <w:rFonts w:hint="eastAsia" w:ascii="仿宋" w:hAnsi="仿宋" w:eastAsia="仿宋" w:cs="仿宋"/>
          <w:sz w:val="24"/>
          <w:szCs w:val="24"/>
          <w:lang w:eastAsia="zh-CN"/>
        </w:rPr>
        <w:br w:type="textWrapping"/>
      </w:r>
      <w:r>
        <w:rPr>
          <w:rFonts w:hint="default" w:ascii="仿宋" w:hAnsi="仿宋" w:eastAsia="仿宋" w:cs="仿宋"/>
          <w:sz w:val="24"/>
          <w:szCs w:val="24"/>
          <w:lang w:val="en-US" w:eastAsia="zh-CN"/>
        </w:rPr>
        <w:t>       </w:t>
      </w:r>
      <w:r>
        <w:rPr>
          <w:rFonts w:hint="eastAsia" w:ascii="仿宋" w:hAnsi="仿宋" w:eastAsia="仿宋" w:cs="仿宋"/>
          <w:sz w:val="24"/>
          <w:szCs w:val="24"/>
          <w:lang w:val="en-US" w:eastAsia="zh-CN"/>
        </w:rPr>
        <w:t> </w:t>
      </w:r>
      <w:r>
        <w:rPr>
          <w:rFonts w:hint="eastAsia" w:ascii="仿宋" w:hAnsi="仿宋" w:eastAsia="仿宋" w:cs="仿宋"/>
          <w:sz w:val="24"/>
          <w:szCs w:val="24"/>
          <w:lang w:eastAsia="zh-CN"/>
        </w:rPr>
        <w:t xml:space="preserve">（2）甲方有权在合同期内对乙方的产品及服务进行监督； </w:t>
      </w:r>
      <w:r>
        <w:rPr>
          <w:rFonts w:hint="eastAsia" w:ascii="仿宋" w:hAnsi="仿宋" w:eastAsia="仿宋" w:cs="仿宋"/>
          <w:sz w:val="24"/>
          <w:szCs w:val="24"/>
          <w:lang w:eastAsia="zh-CN"/>
        </w:rPr>
        <w:br w:type="textWrapping"/>
      </w:r>
      <w:r>
        <w:rPr>
          <w:rFonts w:hint="eastAsia" w:ascii="仿宋" w:hAnsi="仿宋" w:eastAsia="仿宋" w:cs="仿宋"/>
          <w:sz w:val="24"/>
          <w:szCs w:val="24"/>
          <w:lang w:val="en-US" w:eastAsia="zh-CN"/>
        </w:rPr>
        <w:t>        </w:t>
      </w:r>
      <w:r>
        <w:rPr>
          <w:rFonts w:hint="eastAsia" w:ascii="仿宋" w:hAnsi="仿宋" w:eastAsia="仿宋" w:cs="仿宋"/>
          <w:sz w:val="24"/>
          <w:szCs w:val="24"/>
          <w:lang w:eastAsia="zh-CN"/>
        </w:rPr>
        <w:t>（3）乙方未按照合同约定履行义务的，甲方有权采取相应的措施</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 xml:space="preserve">（4）甲方应按照合同约定向乙方支付合同价款；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（二） 乙方的权利和义务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 xml:space="preserve">（1）乙方有权获得甲方支付的合同价款；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 xml:space="preserve">（2）乙方应按照合同约定向甲方提供全部合格的服务；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 xml:space="preserve">（3）乙方应当按照合同约定的期限及要求完成项目内容；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（三） 使用第三方物权过程中发生的法律纠纷和经济责任由乙方负责。</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第四条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禁止转让</w:t>
      </w:r>
      <w:r>
        <w:rPr>
          <w:rFonts w:hint="eastAsia" w:ascii="仿宋" w:hAnsi="仿宋" w:eastAsia="仿宋" w:cs="仿宋"/>
          <w:sz w:val="24"/>
          <w:szCs w:val="24"/>
          <w:lang w:eastAsia="zh-CN"/>
        </w:rPr>
        <w:t xml:space="preserve"> </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未经甲方事先书面同意，乙方不得将其本合同项下之全部义务或其中一部分义务转让给第三方执行。</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第五条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权利保证</w:t>
      </w:r>
      <w:r>
        <w:rPr>
          <w:rFonts w:hint="eastAsia" w:ascii="仿宋" w:hAnsi="仿宋" w:eastAsia="仿宋" w:cs="仿宋"/>
          <w:sz w:val="24"/>
          <w:szCs w:val="24"/>
          <w:lang w:eastAsia="zh-CN"/>
        </w:rPr>
        <w:t xml:space="preserve"> </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第六条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违约责任</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（一） 由于甲方原因不能按合同约定时间付款的，每延迟10个工作日，甲方按合同应付金额的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%向乙方支付违约金。</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（二） 乙方延迟交付的违约责任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（1）由于乙方原因造成项目延迟的，每延迟10个工作日，乙方向甲方支付违约金为合同服务费用总额的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（2）由于乙方原因造成项目迟延，经甲方催促后乙方继续延误的，甲方有权单方面解除合同，乙方应按照合同服务费用总额的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（三） 验收不合格并且乙方在甲方指定期限内无法完成整改、提交合格的工作成果的，乙方应向甲方支付合同服务费用总额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%的违约金，并赔偿由此引起的甲方全部损失。</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（四） 如果乙方违反本合同约定的保密义务，乙方应向甲方支付相当于合同服务费用总额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（五） 除本合同的约定外，因乙方的违约行为给甲方造成损失的，乙方应向甲方支付相当于合同服务费用总额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第七条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保密义务</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第八条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不可抗力</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第九条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合同变更</w:t>
      </w:r>
      <w:r>
        <w:rPr>
          <w:rFonts w:hint="eastAsia" w:ascii="仿宋" w:hAnsi="仿宋" w:eastAsia="仿宋" w:cs="仿宋"/>
          <w:sz w:val="24"/>
          <w:szCs w:val="24"/>
          <w:lang w:eastAsia="zh-CN"/>
        </w:rPr>
        <w:t xml:space="preserve"> </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第十条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合同特别终止</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（一） 甲乙双方同意在乙方出现下列情形时，甲方可以书面形式通知乙方（或者乙方的破产清算组或相关管理人）提出终止合同而不向其提供任何补偿：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 xml:space="preserve">（1）乙方破产、解散（包括但不限于乙方股东会决议解散、乙方被吊销营业执照、被责令关闭、被撤销、被司法机关裁决解散等情形）； </w:t>
      </w:r>
      <w:r>
        <w:rPr>
          <w:rFonts w:hint="eastAsia" w:ascii="仿宋" w:hAnsi="仿宋" w:eastAsia="仿宋" w:cs="仿宋"/>
          <w:sz w:val="24"/>
          <w:szCs w:val="24"/>
          <w:lang w:eastAsia="zh-CN"/>
        </w:rPr>
        <w:br w:type="textWrapping"/>
      </w:r>
      <w:r>
        <w:rPr>
          <w:rFonts w:hint="eastAsia" w:ascii="仿宋" w:hAnsi="仿宋" w:eastAsia="仿宋" w:cs="仿宋"/>
          <w:color w:val="3A3A3A"/>
          <w:sz w:val="24"/>
          <w:szCs w:val="24"/>
          <w:lang w:val="en-US"/>
        </w:rPr>
        <w:t>        </w:t>
      </w:r>
      <w:r>
        <w:rPr>
          <w:rFonts w:hint="eastAsia" w:ascii="仿宋" w:hAnsi="仿宋" w:eastAsia="仿宋" w:cs="仿宋"/>
          <w:sz w:val="24"/>
          <w:szCs w:val="24"/>
          <w:lang w:eastAsia="zh-CN"/>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第十一条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法律适用与争议解决</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（二） 凡因本合同引起的或与本合同有关的任何争议，双方首先应友好协商解决。协商不成的，任何一方均有权将争议提交甲方所在地有管辖权的人民法院诉讼解决。</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rPr>
      </w:pPr>
      <w:r>
        <w:rPr>
          <w:rFonts w:hint="eastAsia" w:ascii="仿宋" w:hAnsi="仿宋" w:eastAsia="仿宋" w:cs="仿宋"/>
          <w:b/>
          <w:bCs w:val="0"/>
          <w:sz w:val="24"/>
          <w:szCs w:val="24"/>
          <w:lang w:eastAsia="zh-CN"/>
        </w:rPr>
        <w:t>        第十二条</w:t>
      </w:r>
      <w:r>
        <w:rPr>
          <w:rFonts w:hint="eastAsia" w:ascii="仿宋" w:hAnsi="仿宋" w:eastAsia="仿宋" w:cs="仿宋"/>
          <w:sz w:val="24"/>
          <w:szCs w:val="24"/>
          <w:lang w:eastAsia="zh-CN"/>
        </w:rPr>
        <w:t xml:space="preserve"> </w:t>
      </w:r>
      <w:r>
        <w:rPr>
          <w:rFonts w:hint="eastAsia" w:ascii="仿宋" w:hAnsi="仿宋" w:eastAsia="仿宋" w:cs="仿宋"/>
          <w:b/>
          <w:bCs/>
          <w:sz w:val="24"/>
          <w:szCs w:val="24"/>
          <w:lang w:eastAsia="zh-CN"/>
        </w:rPr>
        <w:t>合同生效及其他</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（一） 本合同经甲乙双方法定代表人或授权代表签字并加盖公章后生效。</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（二） 合同期限自</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日始，至</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日止。</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（三） 本合同一式两份，其中正本两份，副本零份。甲方执一份正本，零份副本；乙方执一份正本，零份副本。</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rPr>
      </w:pPr>
      <w:r>
        <w:rPr>
          <w:rFonts w:hint="eastAsia" w:ascii="仿宋" w:hAnsi="仿宋" w:eastAsia="仿宋" w:cs="仿宋"/>
          <w:sz w:val="24"/>
          <w:szCs w:val="24"/>
          <w:lang w:eastAsia="zh-CN"/>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（六） 由于法律和法规、政策而导致本合同任何条款无效或无法执行，则该条款无效，但不影响剩余其他条款的效力。</w:t>
      </w:r>
    </w:p>
    <w:p>
      <w:pPr>
        <w:pStyle w:val="2"/>
        <w:rPr>
          <w:rFonts w:hint="eastAsia"/>
          <w:lang w:val="en-US"/>
        </w:rPr>
      </w:pPr>
      <w:r>
        <w:rPr>
          <w:rFonts w:hint="eastAsia" w:ascii="仿宋" w:hAnsi="仿宋" w:eastAsia="仿宋" w:cs="仿宋"/>
          <w:sz w:val="24"/>
          <w:szCs w:val="24"/>
          <w:lang w:val="en-US" w:eastAsia="zh-CN" w:bidi="ar-SA"/>
        </w:rPr>
        <w:t xml:space="preserve">   （七）如果甲乙双方本次合作顺利，乙方认真及保质保量履约，取得甲方满意的宣传效果，合同到期后，甲方如需继续开展宣传活动，本合同可以顺延。</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eastAsia="zh-CN"/>
        </w:rPr>
      </w:pPr>
      <w:r>
        <w:rPr>
          <w:rFonts w:hint="eastAsia" w:ascii="仿宋" w:hAnsi="仿宋" w:eastAsia="仿宋" w:cs="仿宋"/>
          <w:b/>
          <w:bCs w:val="0"/>
          <w:sz w:val="24"/>
          <w:szCs w:val="24"/>
          <w:lang w:eastAsia="zh-CN"/>
        </w:rPr>
        <w:t>        第十三条</w:t>
      </w:r>
      <w:r>
        <w:rPr>
          <w:rFonts w:hint="eastAsia" w:ascii="仿宋" w:hAnsi="仿宋" w:eastAsia="仿宋" w:cs="仿宋"/>
          <w:sz w:val="24"/>
          <w:szCs w:val="24"/>
          <w:lang w:eastAsia="zh-CN"/>
        </w:rPr>
        <w:t xml:space="preserve"> 附件的组成</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附件一、服务内容及要求</w:t>
      </w:r>
    </w:p>
    <w:p>
      <w:pPr>
        <w:keepNext w:val="0"/>
        <w:keepLines w:val="0"/>
        <w:pageBreakBefore w:val="0"/>
        <w:widowControl/>
        <w:kinsoku/>
        <w:wordWrap/>
        <w:overflowPunct/>
        <w:topLinePunct w:val="0"/>
        <w:autoSpaceDE/>
        <w:autoSpaceDN/>
        <w:bidi w:val="0"/>
        <w:adjustRightInd/>
        <w:snapToGrid/>
        <w:spacing w:line="240" w:lineRule="auto"/>
        <w:ind w:firstLine="720" w:firstLineChars="3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附件二、服务方案及费用结算</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附件</w:t>
      </w:r>
      <w:r>
        <w:rPr>
          <w:rFonts w:hint="eastAsia" w:ascii="仿宋" w:hAnsi="仿宋" w:eastAsia="仿宋" w:cs="仿宋"/>
          <w:sz w:val="24"/>
          <w:szCs w:val="24"/>
          <w:lang w:val="en-US" w:eastAsia="zh-CN"/>
        </w:rPr>
        <w:t>三</w:t>
      </w:r>
      <w:r>
        <w:rPr>
          <w:rFonts w:hint="eastAsia" w:ascii="仿宋" w:hAnsi="仿宋" w:eastAsia="仿宋" w:cs="仿宋"/>
          <w:sz w:val="24"/>
          <w:szCs w:val="24"/>
          <w:lang w:eastAsia="zh-CN"/>
        </w:rPr>
        <w:t>、付款</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附件</w:t>
      </w:r>
      <w:r>
        <w:rPr>
          <w:rFonts w:hint="eastAsia" w:ascii="仿宋" w:hAnsi="仿宋" w:eastAsia="仿宋" w:cs="仿宋"/>
          <w:sz w:val="24"/>
          <w:szCs w:val="24"/>
          <w:lang w:val="en-US" w:eastAsia="zh-CN"/>
        </w:rPr>
        <w:t>四</w:t>
      </w:r>
      <w:r>
        <w:rPr>
          <w:rFonts w:hint="eastAsia" w:ascii="仿宋" w:hAnsi="仿宋" w:eastAsia="仿宋" w:cs="仿宋"/>
          <w:sz w:val="24"/>
          <w:szCs w:val="24"/>
          <w:lang w:eastAsia="zh-CN"/>
        </w:rPr>
        <w:t>、廉洁诚信协议</w:t>
      </w:r>
    </w:p>
    <w:p>
      <w:pPr>
        <w:keepNext w:val="0"/>
        <w:keepLines w:val="0"/>
        <w:pageBreakBefore w:val="0"/>
        <w:widowControl/>
        <w:suppressLineNumbers w:val="0"/>
        <w:kinsoku/>
        <w:wordWrap/>
        <w:overflowPunct/>
        <w:topLinePunct w:val="0"/>
        <w:autoSpaceDE/>
        <w:autoSpaceDN/>
        <w:bidi w:val="0"/>
        <w:adjustRightInd/>
        <w:snapToGrid/>
        <w:spacing w:after="240" w:afterAutospacing="0" w:line="240" w:lineRule="auto"/>
        <w:jc w:val="left"/>
        <w:textAlignment w:val="auto"/>
        <w:rPr>
          <w:rFonts w:hint="eastAsia" w:ascii="仿宋" w:hAnsi="仿宋" w:eastAsia="仿宋" w:cs="仿宋"/>
          <w:sz w:val="24"/>
          <w:szCs w:val="24"/>
          <w:lang w:eastAsia="zh-CN"/>
        </w:rPr>
        <w:sectPr>
          <w:footerReference r:id="rId7" w:type="default"/>
          <w:pgSz w:w="11906" w:h="16838"/>
          <w:pgMar w:top="1361" w:right="1418" w:bottom="1361" w:left="1418" w:header="851" w:footer="992" w:gutter="0"/>
          <w:pgNumType w:fmt="decimal" w:start="1"/>
          <w:cols w:space="720" w:num="1"/>
          <w:docGrid w:type="lines" w:linePitch="312" w:charSpace="0"/>
        </w:sectPr>
      </w:pPr>
      <w:r>
        <w:rPr>
          <w:rFonts w:hint="eastAsia" w:ascii="仿宋" w:hAnsi="仿宋" w:eastAsia="仿宋" w:cs="仿宋"/>
          <w:sz w:val="24"/>
          <w:szCs w:val="24"/>
          <w:lang w:eastAsia="zh-CN"/>
        </w:rPr>
        <w:br w:type="page"/>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兹证明，各方于</w:t>
      </w:r>
      <w:r>
        <w:rPr>
          <w:rFonts w:hint="eastAsia" w:ascii="仿宋" w:hAnsi="仿宋" w:eastAsia="仿宋" w:cs="仿宋"/>
          <w:sz w:val="24"/>
          <w:szCs w:val="24"/>
          <w:u w:val="single"/>
          <w:lang w:eastAsia="zh-CN"/>
        </w:rPr>
        <w:t>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 xml:space="preserve">年 </w:t>
      </w:r>
      <w:r>
        <w:rPr>
          <w:rFonts w:hint="eastAsia" w:ascii="仿宋" w:hAnsi="仿宋" w:eastAsia="仿宋" w:cs="仿宋"/>
          <w:sz w:val="24"/>
          <w:szCs w:val="24"/>
          <w:u w:val="single"/>
          <w:lang w:eastAsia="zh-CN"/>
        </w:rPr>
        <w:t>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 xml:space="preserve">月 </w:t>
      </w:r>
      <w:r>
        <w:rPr>
          <w:rFonts w:hint="eastAsia" w:ascii="仿宋" w:hAnsi="仿宋" w:eastAsia="仿宋" w:cs="仿宋"/>
          <w:sz w:val="24"/>
          <w:szCs w:val="24"/>
          <w:u w:val="single"/>
          <w:lang w:eastAsia="zh-CN"/>
        </w:rPr>
        <w:t>      </w:t>
      </w:r>
      <w:r>
        <w:rPr>
          <w:rFonts w:hint="eastAsia" w:ascii="仿宋" w:hAnsi="仿宋" w:eastAsia="仿宋" w:cs="仿宋"/>
          <w:sz w:val="24"/>
          <w:szCs w:val="24"/>
          <w:lang w:eastAsia="zh-CN"/>
        </w:rPr>
        <w:t xml:space="preserve">日签订本合同 </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甲方（盖章）：中国人民财产保险股份有限公司泸州市分公司</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xml:space="preserve">法定代表人/授权代表（签字）： </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乙方（盖章）：</w:t>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br w:type="textWrapping"/>
      </w:r>
      <w:r>
        <w:rPr>
          <w:rFonts w:hint="eastAsia" w:ascii="仿宋" w:hAnsi="仿宋" w:eastAsia="仿宋" w:cs="仿宋"/>
          <w:sz w:val="24"/>
          <w:szCs w:val="24"/>
          <w:lang w:eastAsia="zh-CN"/>
        </w:rPr>
        <w:t xml:space="preserve">法定代表人/授权代表（签字）： </w:t>
      </w:r>
    </w:p>
    <w:p>
      <w:pPr>
        <w:bidi w:val="0"/>
        <w:rPr>
          <w:rFonts w:hint="eastAsia" w:ascii="仿宋" w:hAnsi="仿宋" w:eastAsia="仿宋" w:cs="仿宋"/>
          <w:b/>
          <w:bCs/>
          <w:sz w:val="24"/>
          <w:szCs w:val="24"/>
        </w:rPr>
      </w:pPr>
    </w:p>
    <w:p>
      <w:pPr>
        <w:bidi w:val="0"/>
        <w:rPr>
          <w:rFonts w:hint="eastAsia" w:ascii="仿宋" w:hAnsi="仿宋" w:eastAsia="仿宋" w:cs="仿宋"/>
          <w:b/>
          <w:bCs/>
          <w:sz w:val="24"/>
          <w:szCs w:val="24"/>
        </w:rPr>
      </w:pPr>
      <w:r>
        <w:rPr>
          <w:rFonts w:hint="eastAsia" w:ascii="仿宋" w:hAnsi="仿宋" w:eastAsia="仿宋" w:cs="仿宋"/>
          <w:b/>
          <w:bCs/>
          <w:sz w:val="24"/>
          <w:szCs w:val="24"/>
        </w:rPr>
        <w:t>附件</w:t>
      </w:r>
      <w:r>
        <w:rPr>
          <w:rFonts w:hint="eastAsia" w:ascii="仿宋" w:hAnsi="仿宋" w:eastAsia="仿宋" w:cs="仿宋"/>
          <w:b/>
          <w:bCs/>
          <w:sz w:val="24"/>
          <w:szCs w:val="24"/>
          <w:lang w:eastAsia="zh-CN"/>
        </w:rPr>
        <w:t>一</w:t>
      </w:r>
      <w:r>
        <w:rPr>
          <w:rFonts w:hint="eastAsia" w:ascii="仿宋" w:hAnsi="仿宋" w:eastAsia="仿宋" w:cs="仿宋"/>
          <w:b/>
          <w:bCs/>
          <w:sz w:val="24"/>
          <w:szCs w:val="24"/>
        </w:rPr>
        <w:tab/>
      </w:r>
    </w:p>
    <w:p>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服务内容及要求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1.项目名称</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 xml:space="preserve">  项目名称：人保财险四川省泸州市分公司泸惠保宣传推广服务采购项目</w:t>
      </w:r>
    </w:p>
    <w:p>
      <w:pPr>
        <w:pStyle w:val="51"/>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 xml:space="preserve">    2.项目内容及要求</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（1）乙方根据甲方提出的需求负责甲方专场宣传推广活动，包含线上宣传推广、线下宣传活动执行，线上、线下按单场形式同时开展；</w:t>
      </w:r>
    </w:p>
    <w:p>
      <w:pPr>
        <w:keepNext w:val="0"/>
        <w:keepLines w:val="0"/>
        <w:pageBreakBefore w:val="0"/>
        <w:widowControl/>
        <w:kinsoku/>
        <w:wordWrap/>
        <w:overflowPunct/>
        <w:topLinePunct w:val="0"/>
        <w:autoSpaceDE/>
        <w:autoSpaceDN/>
        <w:bidi w:val="0"/>
        <w:adjustRightInd/>
        <w:snapToGrid w:val="0"/>
        <w:spacing w:line="360" w:lineRule="auto"/>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（2）线上宣传服务，单独设立推广页面，每场活动在媒体信息流网站投放精准宣传；线上单场在6家网站进行宣传推广，宣传周期为5天，每家网站点击量不低于2500；</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（3）线下宣传活动服务，包括但不限于活动策划与执行、宣传用品制作、摆放与搭建、活动场地的对接与使用安全、现场活动管理等；</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（4）乙方应全权负责整个宣传活动流程；</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（5）费用单价以单场价格为准，场次以实际发生为准，</w:t>
      </w:r>
      <w:r>
        <w:rPr>
          <w:rFonts w:hint="default" w:ascii="仿宋" w:hAnsi="仿宋" w:eastAsia="仿宋" w:cs="仿宋"/>
          <w:kern w:val="0"/>
          <w:sz w:val="24"/>
          <w:szCs w:val="24"/>
          <w:lang w:val="en-US" w:eastAsia="zh-CN" w:bidi="ar-SA"/>
        </w:rPr>
        <w:t>合同服务费用总额</w:t>
      </w:r>
      <w:r>
        <w:rPr>
          <w:rFonts w:hint="eastAsia" w:ascii="仿宋" w:hAnsi="仿宋" w:eastAsia="仿宋" w:cs="仿宋"/>
          <w:kern w:val="0"/>
          <w:sz w:val="24"/>
          <w:szCs w:val="24"/>
          <w:lang w:val="en-US" w:eastAsia="zh-CN" w:bidi="ar-SA"/>
        </w:rPr>
        <w:t>不超</w:t>
      </w:r>
      <w:r>
        <w:rPr>
          <w:rFonts w:hint="eastAsia" w:ascii="仿宋" w:hAnsi="仿宋" w:eastAsia="仿宋" w:cs="仿宋"/>
          <w:color w:val="auto"/>
          <w:sz w:val="24"/>
          <w:szCs w:val="24"/>
          <w:lang w:val="en-US" w:eastAsia="zh-CN"/>
        </w:rPr>
        <w:t>48.9万</w:t>
      </w:r>
      <w:r>
        <w:rPr>
          <w:rFonts w:hint="eastAsia" w:ascii="仿宋" w:hAnsi="仿宋" w:eastAsia="仿宋" w:cs="仿宋"/>
          <w:sz w:val="24"/>
          <w:szCs w:val="24"/>
          <w:lang w:val="en-US" w:eastAsia="zh-CN"/>
        </w:rPr>
        <w:t>元；</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（6）专场</w:t>
      </w:r>
      <w:r>
        <w:rPr>
          <w:rFonts w:hint="eastAsia" w:ascii="仿宋" w:hAnsi="仿宋" w:eastAsia="仿宋" w:cs="仿宋"/>
          <w:sz w:val="24"/>
          <w:szCs w:val="24"/>
        </w:rPr>
        <w:t>宣传推广活动结束后，乙方需向甲方提供线上、线下的宣传推广照片，</w:t>
      </w:r>
      <w:r>
        <w:rPr>
          <w:rFonts w:hint="eastAsia" w:ascii="仿宋" w:hAnsi="仿宋" w:eastAsia="仿宋" w:cs="仿宋"/>
          <w:sz w:val="24"/>
          <w:szCs w:val="24"/>
          <w:lang w:val="en-US" w:eastAsia="zh-CN"/>
        </w:rPr>
        <w:t>结算单等</w:t>
      </w:r>
      <w:r>
        <w:rPr>
          <w:rFonts w:hint="eastAsia" w:ascii="仿宋" w:hAnsi="仿宋" w:eastAsia="仿宋" w:cs="仿宋"/>
          <w:sz w:val="24"/>
          <w:szCs w:val="24"/>
        </w:rPr>
        <w:t>作为结算依据。</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3.告知</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甲乙双方同意涉及本合同的一切事宜均以书面形式提交，双方应及时响应。</w:t>
      </w:r>
    </w:p>
    <w:p>
      <w:pPr>
        <w:keepNext w:val="0"/>
        <w:keepLines w:val="0"/>
        <w:pageBreakBefore w:val="0"/>
        <w:widowControl w:val="0"/>
        <w:tabs>
          <w:tab w:val="left" w:pos="315"/>
        </w:tabs>
        <w:kinsoku/>
        <w:wordWrap/>
        <w:overflowPunct/>
        <w:topLinePunct w:val="0"/>
        <w:autoSpaceDE w:val="0"/>
        <w:autoSpaceDN w:val="0"/>
        <w:bidi w:val="0"/>
        <w:adjustRightInd/>
        <w:snapToGrid/>
        <w:spacing w:line="460" w:lineRule="exact"/>
        <w:ind w:firstLine="468" w:firstLineChars="195"/>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4.问题项目处理</w:t>
      </w:r>
    </w:p>
    <w:p>
      <w:pPr>
        <w:keepNext w:val="0"/>
        <w:keepLines w:val="0"/>
        <w:pageBreakBefore w:val="0"/>
        <w:widowControl w:val="0"/>
        <w:kinsoku/>
        <w:wordWrap/>
        <w:overflowPunct/>
        <w:topLinePunct w:val="0"/>
        <w:bidi w:val="0"/>
        <w:adjustRightInd/>
        <w:snapToGrid/>
        <w:spacing w:line="460" w:lineRule="exact"/>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 xml:space="preserve">    问题项目的处理应按照甲方项目管理规范的要求进行。在项目实施过程中，如因乙方原因造成项目出现异常且在3天内乙方未改变问题项目现状，则甲方有权终止该项目，并拒绝支付全部款项，甲方有权要求乙方退回已收取的合同费用，并保留向乙方追偿损失的权利。</w:t>
      </w:r>
    </w:p>
    <w:p>
      <w:pPr>
        <w:pageBreakBefore w:val="0"/>
        <w:kinsoku/>
        <w:wordWrap/>
        <w:overflowPunct/>
        <w:topLinePunct w:val="0"/>
        <w:bidi w:val="0"/>
        <w:adjustRightInd/>
        <w:snapToGrid/>
        <w:spacing w:line="460" w:lineRule="exact"/>
        <w:textAlignment w:val="auto"/>
        <w:rPr>
          <w:rFonts w:hint="eastAsia" w:ascii="仿宋" w:hAnsi="仿宋" w:eastAsia="仿宋" w:cs="仿宋"/>
          <w:sz w:val="24"/>
          <w:szCs w:val="24"/>
        </w:rPr>
      </w:pPr>
    </w:p>
    <w:p>
      <w:pPr>
        <w:keepNext w:val="0"/>
        <w:keepLines w:val="0"/>
        <w:pageBreakBefore w:val="0"/>
        <w:widowControl/>
        <w:suppressLineNumbers w:val="0"/>
        <w:kinsoku/>
        <w:wordWrap/>
        <w:overflowPunct/>
        <w:topLinePunct w:val="0"/>
        <w:bidi w:val="0"/>
        <w:adjustRightInd/>
        <w:snapToGrid/>
        <w:spacing w:after="240" w:afterAutospacing="0" w:line="460" w:lineRule="exact"/>
        <w:jc w:val="left"/>
        <w:textAlignment w:val="auto"/>
        <w:rPr>
          <w:rFonts w:hint="eastAsia" w:ascii="仿宋" w:hAnsi="仿宋" w:eastAsia="仿宋" w:cs="仿宋"/>
          <w:sz w:val="24"/>
          <w:szCs w:val="24"/>
          <w:lang w:eastAsia="zh-CN"/>
        </w:rPr>
        <w:sectPr>
          <w:pgSz w:w="11906" w:h="16838"/>
          <w:pgMar w:top="1361" w:right="1418" w:bottom="1361" w:left="1418" w:header="851" w:footer="992" w:gutter="0"/>
          <w:pgNumType w:fmt="decimal"/>
          <w:cols w:space="720" w:num="1"/>
          <w:docGrid w:type="lines" w:linePitch="312" w:charSpace="0"/>
        </w:sectPr>
      </w:pPr>
    </w:p>
    <w:p>
      <w:pPr>
        <w:bidi w:val="0"/>
        <w:rPr>
          <w:rFonts w:hint="eastAsia" w:ascii="仿宋" w:hAnsi="仿宋" w:eastAsia="仿宋" w:cs="仿宋"/>
          <w:b/>
          <w:bCs/>
        </w:rPr>
      </w:pPr>
    </w:p>
    <w:p>
      <w:pPr>
        <w:rPr>
          <w:rFonts w:hint="eastAsia" w:ascii="仿宋" w:hAnsi="仿宋" w:eastAsia="仿宋" w:cs="仿宋"/>
          <w:b/>
          <w:bCs/>
          <w:sz w:val="28"/>
          <w:szCs w:val="36"/>
        </w:rPr>
      </w:pPr>
      <w:r>
        <w:rPr>
          <w:rFonts w:hint="eastAsia" w:ascii="仿宋" w:hAnsi="仿宋" w:eastAsia="仿宋" w:cs="仿宋"/>
          <w:b/>
          <w:bCs/>
          <w:sz w:val="28"/>
          <w:szCs w:val="36"/>
        </w:rPr>
        <w:t>附件二</w:t>
      </w:r>
    </w:p>
    <w:p>
      <w:pPr>
        <w:snapToGrid w:val="0"/>
        <w:spacing w:line="360" w:lineRule="auto"/>
        <w:jc w:val="center"/>
        <w:rPr>
          <w:rFonts w:hint="eastAsia" w:ascii="仿宋" w:hAnsi="仿宋" w:eastAsia="仿宋" w:cs="仿宋"/>
          <w:b/>
          <w:sz w:val="28"/>
          <w:szCs w:val="36"/>
        </w:rPr>
      </w:pPr>
      <w:r>
        <w:rPr>
          <w:rFonts w:hint="eastAsia" w:ascii="仿宋" w:hAnsi="仿宋" w:eastAsia="仿宋" w:cs="仿宋"/>
          <w:b/>
          <w:sz w:val="28"/>
          <w:szCs w:val="36"/>
        </w:rPr>
        <w:t>服务方案及费用结算</w:t>
      </w:r>
    </w:p>
    <w:p>
      <w:pPr>
        <w:pStyle w:val="85"/>
        <w:keepNext w:val="0"/>
        <w:keepLines w:val="0"/>
        <w:pageBreakBefore w:val="0"/>
        <w:widowControl w:val="0"/>
        <w:kinsoku/>
        <w:wordWrap/>
        <w:overflowPunct/>
        <w:topLinePunct w:val="0"/>
        <w:autoSpaceDE/>
        <w:autoSpaceDN/>
        <w:bidi w:val="0"/>
        <w:adjustRightInd w:val="0"/>
        <w:snapToGrid/>
        <w:spacing w:line="240" w:lineRule="auto"/>
        <w:ind w:firstLine="480"/>
        <w:jc w:val="both"/>
        <w:textAlignment w:val="baseline"/>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双方依据本协议附件注明的价格进行费用结算。本协议中涉及的各项结算金额均指含税金额。</w:t>
      </w:r>
    </w:p>
    <w:p>
      <w:pPr>
        <w:pStyle w:val="85"/>
        <w:keepNext w:val="0"/>
        <w:keepLines w:val="0"/>
        <w:pageBreakBefore w:val="0"/>
        <w:widowControl w:val="0"/>
        <w:kinsoku/>
        <w:wordWrap/>
        <w:overflowPunct/>
        <w:topLinePunct w:val="0"/>
        <w:autoSpaceDE/>
        <w:autoSpaceDN/>
        <w:bidi w:val="0"/>
        <w:adjustRightInd w:val="0"/>
        <w:snapToGrid/>
        <w:spacing w:line="240" w:lineRule="auto"/>
        <w:ind w:firstLine="480"/>
        <w:jc w:val="both"/>
        <w:textAlignment w:val="baseline"/>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本合同结算标准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单场</w:t>
      </w:r>
      <w:r>
        <w:rPr>
          <w:rFonts w:hint="eastAsia" w:ascii="仿宋" w:hAnsi="仿宋" w:eastAsia="仿宋" w:cs="仿宋"/>
          <w:sz w:val="24"/>
          <w:szCs w:val="24"/>
          <w:lang w:eastAsia="zh-CN"/>
        </w:rPr>
        <w:t>）</w:t>
      </w:r>
      <w:r>
        <w:rPr>
          <w:rFonts w:hint="eastAsia" w:ascii="仿宋" w:hAnsi="仿宋" w:eastAsia="仿宋" w:cs="仿宋"/>
          <w:sz w:val="24"/>
          <w:szCs w:val="24"/>
        </w:rPr>
        <w:t>：</w:t>
      </w:r>
    </w:p>
    <w:tbl>
      <w:tblPr>
        <w:tblStyle w:val="29"/>
        <w:tblW w:w="8395" w:type="dxa"/>
        <w:jc w:val="center"/>
        <w:tblLayout w:type="fixed"/>
        <w:tblCellMar>
          <w:top w:w="0" w:type="dxa"/>
          <w:left w:w="108" w:type="dxa"/>
          <w:bottom w:w="0" w:type="dxa"/>
          <w:right w:w="108" w:type="dxa"/>
        </w:tblCellMar>
      </w:tblPr>
      <w:tblGrid>
        <w:gridCol w:w="907"/>
        <w:gridCol w:w="4535"/>
        <w:gridCol w:w="1134"/>
        <w:gridCol w:w="1819"/>
      </w:tblGrid>
      <w:tr>
        <w:tblPrEx>
          <w:tblCellMar>
            <w:top w:w="0" w:type="dxa"/>
            <w:left w:w="108" w:type="dxa"/>
            <w:bottom w:w="0" w:type="dxa"/>
            <w:right w:w="108" w:type="dxa"/>
          </w:tblCellMar>
        </w:tblPrEx>
        <w:trPr>
          <w:trHeight w:val="454" w:hRule="atLeast"/>
          <w:jc w:val="center"/>
        </w:trPr>
        <w:tc>
          <w:tcPr>
            <w:tcW w:w="8395"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专场宣传推广服务</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结算明细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rPr>
              <w:t>序号</w:t>
            </w:r>
          </w:p>
        </w:tc>
        <w:tc>
          <w:tcPr>
            <w:tcW w:w="453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rPr>
              <w:t>项目明细</w:t>
            </w:r>
          </w:p>
        </w:tc>
        <w:tc>
          <w:tcPr>
            <w:tcW w:w="113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rPr>
              <w:t>数量</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lang w:val="en-US" w:eastAsia="zh-CN"/>
              </w:rPr>
              <w:t>含税</w:t>
            </w:r>
            <w:r>
              <w:rPr>
                <w:rFonts w:hint="eastAsia" w:ascii="仿宋" w:hAnsi="仿宋" w:eastAsia="仿宋" w:cs="仿宋"/>
                <w:b/>
                <w:bCs/>
                <w:kern w:val="0"/>
                <w:sz w:val="21"/>
                <w:szCs w:val="21"/>
                <w:highlight w:val="none"/>
              </w:rPr>
              <w:t>单价（元/场）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1</w:t>
            </w:r>
          </w:p>
        </w:tc>
        <w:tc>
          <w:tcPr>
            <w:tcW w:w="4535"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lang w:eastAsia="zh-CN"/>
              </w:rPr>
              <w:t>线下场地、策划、宣传</w:t>
            </w:r>
            <w:r>
              <w:rPr>
                <w:rFonts w:hint="eastAsia" w:ascii="仿宋" w:hAnsi="仿宋" w:eastAsia="仿宋" w:cs="仿宋"/>
                <w:kern w:val="0"/>
                <w:sz w:val="20"/>
                <w:szCs w:val="20"/>
                <w:highlight w:val="none"/>
              </w:rPr>
              <w:t>物料及搭建</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kern w:val="0"/>
                <w:sz w:val="20"/>
                <w:szCs w:val="2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2</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kern w:val="0"/>
                <w:sz w:val="20"/>
                <w:szCs w:val="2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3</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4</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5</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6</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7</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1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6576"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kern w:val="0"/>
                <w:sz w:val="20"/>
                <w:szCs w:val="20"/>
                <w:highlight w:val="none"/>
                <w:lang w:val="en-US" w:eastAsia="zh-CN"/>
              </w:rPr>
            </w:pPr>
            <w:r>
              <w:rPr>
                <w:rFonts w:hint="eastAsia" w:ascii="仿宋" w:hAnsi="仿宋" w:eastAsia="仿宋" w:cs="仿宋"/>
                <w:kern w:val="0"/>
                <w:sz w:val="20"/>
                <w:szCs w:val="20"/>
                <w:highlight w:val="none"/>
              </w:rPr>
              <w:t>合计</w:t>
            </w:r>
            <w:r>
              <w:rPr>
                <w:rFonts w:hint="eastAsia" w:ascii="仿宋" w:hAnsi="仿宋" w:eastAsia="仿宋" w:cs="仿宋"/>
                <w:kern w:val="0"/>
                <w:sz w:val="20"/>
                <w:szCs w:val="20"/>
                <w:highlight w:val="none"/>
                <w:lang w:val="en-US" w:eastAsia="zh-CN"/>
              </w:rPr>
              <w:t>价格</w:t>
            </w:r>
          </w:p>
        </w:tc>
        <w:tc>
          <w:tcPr>
            <w:tcW w:w="181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default" w:ascii="仿宋" w:hAnsi="仿宋" w:eastAsia="仿宋" w:cs="仿宋"/>
                <w:kern w:val="0"/>
                <w:sz w:val="20"/>
                <w:szCs w:val="20"/>
                <w:highlight w:val="none"/>
                <w:lang w:val="en-US" w:eastAsia="zh-CN"/>
              </w:rPr>
            </w:pPr>
          </w:p>
        </w:tc>
      </w:tr>
    </w:tbl>
    <w:p>
      <w:pPr>
        <w:pStyle w:val="85"/>
        <w:keepNext w:val="0"/>
        <w:keepLines w:val="0"/>
        <w:pageBreakBefore w:val="0"/>
        <w:widowControl w:val="0"/>
        <w:kinsoku/>
        <w:wordWrap/>
        <w:overflowPunct/>
        <w:topLinePunct w:val="0"/>
        <w:autoSpaceDE/>
        <w:autoSpaceDN/>
        <w:bidi w:val="0"/>
        <w:adjustRightInd w:val="0"/>
        <w:snapToGrid/>
        <w:spacing w:line="240" w:lineRule="atLeast"/>
        <w:ind w:left="0" w:leftChars="0" w:firstLine="480" w:firstLineChars="200"/>
        <w:jc w:val="left"/>
        <w:textAlignment w:val="baseline"/>
        <w:outlineLvl w:val="9"/>
        <w:rPr>
          <w:rFonts w:hint="eastAsia" w:ascii="仿宋" w:hAnsi="仿宋" w:eastAsia="仿宋" w:cs="仿宋"/>
          <w:lang w:val="en-US" w:eastAsia="zh-CN"/>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ind w:leftChars="200"/>
        <w:jc w:val="left"/>
        <w:textAlignment w:val="baseline"/>
        <w:outlineLvl w:val="9"/>
        <w:rPr>
          <w:rFonts w:hint="eastAsia" w:ascii="仿宋" w:hAnsi="仿宋" w:eastAsia="仿宋" w:cs="仿宋"/>
        </w:rPr>
      </w:pPr>
      <w:r>
        <w:rPr>
          <w:rFonts w:hint="eastAsia" w:ascii="仿宋" w:hAnsi="仿宋" w:eastAsia="仿宋" w:cs="仿宋"/>
          <w:lang w:val="en-US" w:eastAsia="zh-CN"/>
        </w:rPr>
        <w:t>3.</w:t>
      </w:r>
      <w:r>
        <w:rPr>
          <w:rFonts w:hint="eastAsia" w:ascii="仿宋" w:hAnsi="仿宋" w:eastAsia="仿宋" w:cs="仿宋"/>
        </w:rPr>
        <w:t>甲方应向乙方支付的服务费用=</w:t>
      </w:r>
      <w:r>
        <w:rPr>
          <w:rFonts w:hint="eastAsia" w:ascii="仿宋" w:hAnsi="仿宋" w:eastAsia="仿宋" w:cs="仿宋"/>
          <w:lang w:val="en-US" w:eastAsia="zh-CN"/>
        </w:rPr>
        <w:t>单场价格</w:t>
      </w:r>
      <w:r>
        <w:rPr>
          <w:rFonts w:hint="eastAsia" w:ascii="仿宋" w:hAnsi="仿宋" w:eastAsia="仿宋" w:cs="仿宋"/>
        </w:rPr>
        <w:t>*数量。</w:t>
      </w: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 xml:space="preserve">           </w:t>
      </w: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val="0"/>
          <w:bCs w:val="0"/>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bCs/>
          <w:kern w:val="0"/>
          <w:sz w:val="24"/>
          <w:szCs w:val="24"/>
          <w:lang w:val="en-US" w:eastAsia="zh-CN" w:bidi="ar"/>
        </w:rPr>
      </w:pP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jc w:val="left"/>
        <w:textAlignment w:val="baseline"/>
        <w:outlineLvl w:val="9"/>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附件三</w:t>
      </w:r>
    </w:p>
    <w:p>
      <w:pPr>
        <w:pStyle w:val="85"/>
        <w:keepNext w:val="0"/>
        <w:keepLines w:val="0"/>
        <w:pageBreakBefore w:val="0"/>
        <w:widowControl w:val="0"/>
        <w:numPr>
          <w:ilvl w:val="0"/>
          <w:numId w:val="0"/>
        </w:numPr>
        <w:kinsoku/>
        <w:wordWrap/>
        <w:overflowPunct/>
        <w:topLinePunct w:val="0"/>
        <w:autoSpaceDE/>
        <w:autoSpaceDN/>
        <w:bidi w:val="0"/>
        <w:adjustRightInd w:val="0"/>
        <w:snapToGrid/>
        <w:spacing w:line="240" w:lineRule="atLeast"/>
        <w:ind w:firstLine="3840" w:firstLineChars="1600"/>
        <w:jc w:val="left"/>
        <w:textAlignment w:val="baseline"/>
        <w:outlineLvl w:val="9"/>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付款</w:t>
      </w:r>
    </w:p>
    <w:p>
      <w:pPr>
        <w:pStyle w:val="2"/>
        <w:pageBreakBefore w:val="0"/>
        <w:kinsoku/>
        <w:wordWrap/>
        <w:overflowPunct/>
        <w:topLinePunct w:val="0"/>
        <w:bidi w:val="0"/>
        <w:adjustRightInd/>
        <w:snapToGrid/>
        <w:spacing w:line="460" w:lineRule="exact"/>
        <w:textAlignment w:val="auto"/>
        <w:rPr>
          <w:rFonts w:hint="eastAsia" w:ascii="仿宋" w:hAnsi="仿宋" w:eastAsia="仿宋" w:cs="仿宋"/>
          <w:sz w:val="24"/>
          <w:szCs w:val="24"/>
          <w:lang w:val="en-US" w:eastAsia="zh-CN"/>
        </w:rPr>
      </w:pP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1.本合同使用货币种类为人民币。</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2.付款方式：双方采用转账方式付款，甲方应向乙方以下账户进行支付：</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ab/>
      </w:r>
      <w:r>
        <w:rPr>
          <w:rFonts w:hint="eastAsia" w:ascii="仿宋" w:hAnsi="仿宋" w:eastAsia="仿宋" w:cs="仿宋"/>
          <w:b w:val="0"/>
          <w:bCs w:val="0"/>
          <w:kern w:val="0"/>
          <w:sz w:val="24"/>
          <w:szCs w:val="24"/>
          <w:lang w:val="en-US" w:eastAsia="zh-CN" w:bidi="ar"/>
        </w:rPr>
        <w:t>乙方：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ab/>
      </w:r>
      <w:r>
        <w:rPr>
          <w:rFonts w:hint="eastAsia" w:ascii="仿宋" w:hAnsi="仿宋" w:eastAsia="仿宋" w:cs="仿宋"/>
          <w:b w:val="0"/>
          <w:bCs w:val="0"/>
          <w:kern w:val="0"/>
          <w:sz w:val="24"/>
          <w:szCs w:val="24"/>
          <w:lang w:val="en-US" w:eastAsia="zh-CN" w:bidi="ar"/>
        </w:rPr>
        <w:t>开户行：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ab/>
      </w:r>
      <w:r>
        <w:rPr>
          <w:rFonts w:hint="eastAsia" w:ascii="仿宋" w:hAnsi="仿宋" w:eastAsia="仿宋" w:cs="仿宋"/>
          <w:b w:val="0"/>
          <w:bCs w:val="0"/>
          <w:kern w:val="0"/>
          <w:sz w:val="24"/>
          <w:szCs w:val="24"/>
          <w:lang w:val="en-US" w:eastAsia="zh-CN" w:bidi="ar"/>
        </w:rPr>
        <w:t>账户名称：</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ab/>
      </w:r>
      <w:r>
        <w:rPr>
          <w:rFonts w:hint="eastAsia" w:ascii="仿宋" w:hAnsi="仿宋" w:eastAsia="仿宋" w:cs="仿宋"/>
          <w:b w:val="0"/>
          <w:bCs w:val="0"/>
          <w:kern w:val="0"/>
          <w:sz w:val="24"/>
          <w:szCs w:val="24"/>
          <w:lang w:val="en-US" w:eastAsia="zh-CN" w:bidi="ar"/>
        </w:rPr>
        <w:t>账号：</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乙方如需改变上述账户，应提前10日以书面通知甲方。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3.付款安排</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i w:val="0"/>
          <w:iCs/>
          <w:color w:val="auto"/>
          <w:sz w:val="24"/>
          <w:szCs w:val="24"/>
          <w:lang w:val="en-US" w:eastAsia="zh-CN" w:bidi="ar-SA"/>
        </w:rPr>
        <w:t>甲乙双方根据单场宣传推广服务进行结算，乙方需提供包括但不限于相关线上宣传推广截图、线下宣传推广照片及费用明细清单等给甲方进行验收，并向甲方出具足额有效的增值税普通发票，甲方收到对应发票并验收后15个工作日内向乙方支付合同费用</w:t>
      </w:r>
      <w:r>
        <w:rPr>
          <w:rFonts w:hint="eastAsia" w:ascii="仿宋" w:hAnsi="仿宋" w:eastAsia="仿宋" w:cs="仿宋"/>
          <w:b w:val="0"/>
          <w:bCs w:val="0"/>
          <w:kern w:val="0"/>
          <w:sz w:val="24"/>
          <w:szCs w:val="24"/>
          <w:lang w:val="en-US" w:eastAsia="zh-CN" w:bidi="ar"/>
        </w:rPr>
        <w:t>。</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4.增值税发票的相关约定</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 xml:space="preserve">（1）乙方应向甲方开具增值税普通发票，甲方开票信息如下：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公司名称：中国人民财产保险股份有限公司泸州市分公司</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纳税识别号：915105009047030323</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银行账号：2304342109023100136</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开户银行：中国工商银行泸州市大山坪支行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开票地址：四川省泸州市江阳区江阳西路段163号1栋</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开票电话： 0830-3198644</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（2）乙方同时向甲方公司及其分支机构提供产品及服务的，双方应在合同中约定甲方的分支机构和对应的价款。乙方应分别对清单中的费用承担方开具相应金额的增值税发票；</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 xml:space="preserve">（3）多次分批的增值税发票的开具、提交以及双方收付款，乙方开具并提交甲方的增值税发票的价税合计金额应与甲方已经支付的价税合计款项保持一致；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（4）乙方必须严格遵照相关税收法规和文件，开具合法的增值税发票。因乙方开具的增值税发票不符合税收法规与税务机关相关规定而给甲方造成经济损失的，乙方负责赔偿。</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b w:val="0"/>
          <w:bCs w:val="0"/>
          <w:kern w:val="0"/>
          <w:sz w:val="24"/>
          <w:szCs w:val="24"/>
          <w:lang w:val="en-US" w:eastAsia="zh-CN" w:bidi="ar"/>
        </w:rPr>
        <w:t xml:space="preserve">   （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rPr>
          <w:rFonts w:hint="eastAsia"/>
          <w:sz w:val="24"/>
          <w:szCs w:val="24"/>
          <w:lang w:eastAsia="zh-CN"/>
        </w:rPr>
      </w:pPr>
    </w:p>
    <w:p>
      <w:pPr>
        <w:tabs>
          <w:tab w:val="left" w:pos="5582"/>
        </w:tabs>
        <w:bidi w:val="0"/>
        <w:jc w:val="left"/>
        <w:rPr>
          <w:rFonts w:hint="eastAsia" w:eastAsiaTheme="minorEastAsia"/>
          <w:sz w:val="24"/>
          <w:szCs w:val="24"/>
          <w:lang w:eastAsia="zh-CN"/>
        </w:rPr>
      </w:pPr>
    </w:p>
    <w:p>
      <w:pPr>
        <w:bidi w:val="0"/>
        <w:rPr>
          <w:rFonts w:hint="eastAsia" w:asciiTheme="minorHAnsi" w:hAnsiTheme="minorHAnsi" w:eastAsiaTheme="minorEastAsia" w:cstheme="minorBidi"/>
          <w:sz w:val="24"/>
          <w:szCs w:val="24"/>
          <w:lang w:val="en-US" w:eastAsia="zh-CN" w:bidi="ar-SA"/>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bidi w:val="0"/>
        <w:rPr>
          <w:rFonts w:hint="eastAsia"/>
          <w:sz w:val="24"/>
          <w:szCs w:val="24"/>
          <w:lang w:val="en-US" w:eastAsia="zh-CN"/>
        </w:rPr>
      </w:pPr>
    </w:p>
    <w:p>
      <w:pPr>
        <w:tabs>
          <w:tab w:val="left" w:pos="1192"/>
        </w:tabs>
        <w:bidi w:val="0"/>
        <w:jc w:val="left"/>
        <w:rPr>
          <w:rFonts w:hint="eastAsia"/>
          <w:sz w:val="24"/>
          <w:szCs w:val="24"/>
          <w:lang w:val="en-US" w:eastAsia="zh-CN"/>
        </w:rPr>
        <w:sectPr>
          <w:footerReference r:id="rId9" w:type="first"/>
          <w:footerReference r:id="rId8" w:type="default"/>
          <w:pgSz w:w="11906" w:h="16838"/>
          <w:pgMar w:top="1417" w:right="1134" w:bottom="1134" w:left="1134" w:header="851" w:footer="992" w:gutter="0"/>
          <w:pgNumType w:fmt="decimal"/>
          <w:cols w:space="720" w:num="1"/>
          <w:docGrid w:type="lines" w:linePitch="312" w:charSpace="0"/>
        </w:sectPr>
      </w:pPr>
      <w:r>
        <w:rPr>
          <w:rFonts w:hint="eastAsia"/>
          <w:sz w:val="24"/>
          <w:szCs w:val="24"/>
          <w:lang w:val="en-US" w:eastAsia="zh-CN"/>
        </w:rPr>
        <w:tab/>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eastAsia" w:eastAsia="楷体"/>
          <w:sz w:val="24"/>
          <w:szCs w:val="24"/>
          <w:lang w:val="en-US" w:eastAsia="zh-CN"/>
        </w:rPr>
      </w:pPr>
      <w:r>
        <w:rPr>
          <w:rFonts w:hint="eastAsia" w:ascii="楷体" w:hAnsi="楷体" w:eastAsia="楷体" w:cs="楷体"/>
          <w:b/>
          <w:bCs/>
          <w:kern w:val="2"/>
          <w:sz w:val="24"/>
          <w:szCs w:val="24"/>
          <w:lang w:val="en-US" w:eastAsia="zh-CN" w:bidi="ar"/>
        </w:rPr>
        <w:t xml:space="preserve">   附件四</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4"/>
          <w:szCs w:val="24"/>
          <w:lang w:val="en-US"/>
        </w:rPr>
      </w:pPr>
      <w:r>
        <w:rPr>
          <w:rFonts w:hint="eastAsia" w:ascii="楷体" w:hAnsi="楷体" w:eastAsia="楷体" w:cs="楷体"/>
          <w:b/>
          <w:bCs/>
          <w:spacing w:val="20"/>
          <w:kern w:val="2"/>
          <w:sz w:val="24"/>
          <w:szCs w:val="24"/>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0" w:beforeAutospacing="0" w:after="312" w:afterLines="100" w:afterAutospacing="0"/>
        <w:ind w:left="0" w:right="0" w:firstLine="482" w:firstLineChars="200"/>
        <w:jc w:val="both"/>
        <w:rPr>
          <w:rFonts w:hint="eastAsia" w:ascii="楷体" w:hAnsi="楷体" w:eastAsia="楷体" w:cs="楷体"/>
          <w:b/>
          <w:bCs/>
          <w:kern w:val="2"/>
          <w:sz w:val="24"/>
          <w:szCs w:val="24"/>
          <w:lang w:val="en-US" w:eastAsia="zh-CN" w:bidi="ar"/>
        </w:rPr>
      </w:pPr>
    </w:p>
    <w:p>
      <w:pPr>
        <w:keepNext w:val="0"/>
        <w:keepLines w:val="0"/>
        <w:widowControl w:val="0"/>
        <w:suppressLineNumbers w:val="0"/>
        <w:spacing w:before="0" w:beforeAutospacing="0" w:after="312" w:afterLines="100" w:afterAutospacing="0"/>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2"/>
          <w:sz w:val="24"/>
          <w:szCs w:val="24"/>
          <w:lang w:val="en-US" w:eastAsia="zh-CN" w:bidi="ar"/>
        </w:rPr>
      </w:pP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p>
    <w:p>
      <w:pPr>
        <w:rPr>
          <w:rFonts w:hint="eastAsia"/>
          <w:sz w:val="24"/>
          <w:szCs w:val="24"/>
          <w:lang w:val="en-US" w:eastAsia="zh-CN"/>
        </w:rPr>
        <w:sectPr>
          <w:footerReference r:id="rId11" w:type="first"/>
          <w:footerReference r:id="rId10" w:type="default"/>
          <w:pgSz w:w="11906" w:h="16838"/>
          <w:pgMar w:top="1417" w:right="1134" w:bottom="1134" w:left="1134" w:header="851" w:footer="992" w:gutter="0"/>
          <w:pgNumType w:fmt="decimal"/>
          <w:cols w:space="720" w:num="1"/>
          <w:titlePg/>
          <w:docGrid w:type="lines" w:linePitch="312" w:charSpace="0"/>
        </w:sectPr>
      </w:pPr>
    </w:p>
    <w:p>
      <w:pPr>
        <w:pStyle w:val="3"/>
        <w:pageBreakBefore/>
        <w:ind w:left="0" w:firstLine="3064" w:firstLineChars="1090"/>
        <w:jc w:val="left"/>
        <w:rPr>
          <w:rFonts w:ascii="仿宋_GB2312" w:hAnsi="宋体" w:eastAsia="仿宋_GB2312"/>
          <w:color w:val="auto"/>
          <w:sz w:val="28"/>
          <w:szCs w:val="28"/>
        </w:rPr>
      </w:pPr>
      <w:bookmarkStart w:id="124" w:name="_Toc4181"/>
      <w:bookmarkStart w:id="125" w:name="_Toc19389"/>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snapToGrid w:val="0"/>
        <w:spacing w:line="360" w:lineRule="auto"/>
        <w:ind w:firstLine="566" w:firstLineChars="236"/>
        <w:rPr>
          <w:rFonts w:hint="eastAsia" w:ascii="仿宋_GB2312" w:eastAsia="仿宋_GB2312"/>
        </w:rPr>
      </w:pPr>
      <w:r>
        <w:rPr>
          <w:rFonts w:hint="eastAsia" w:ascii="仿宋_GB2312" w:eastAsia="仿宋_GB2312"/>
          <w:lang w:eastAsia="zh-CN"/>
        </w:rPr>
        <w:t>一、</w:t>
      </w:r>
      <w:r>
        <w:rPr>
          <w:rFonts w:hint="eastAsia" w:ascii="仿宋_GB2312" w:eastAsia="仿宋_GB2312"/>
        </w:rPr>
        <w:t>采购项目背景</w:t>
      </w:r>
    </w:p>
    <w:p>
      <w:pPr>
        <w:snapToGrid w:val="0"/>
        <w:spacing w:line="360" w:lineRule="auto"/>
        <w:ind w:firstLine="566" w:firstLineChars="236"/>
        <w:rPr>
          <w:rFonts w:hint="eastAsia" w:ascii="仿宋_GB2312" w:eastAsia="仿宋_GB2312"/>
          <w:lang w:eastAsia="zh-CN"/>
        </w:rPr>
      </w:pPr>
      <w:r>
        <w:rPr>
          <w:rFonts w:hint="eastAsia" w:ascii="仿宋" w:hAnsi="仿宋" w:eastAsia="仿宋" w:cs="仿宋"/>
          <w:sz w:val="24"/>
          <w:szCs w:val="24"/>
          <w:lang w:val="en-US" w:eastAsia="zh-CN"/>
        </w:rPr>
        <w:t>为更好地宣传“泸惠保”产品，让广大群众充分了解“泸惠保”的惠民特色,增强群众的健康保险意识和购买意愿，从而提高参保率。拟开展泸惠保线上+线下宣传推广服务项目</w:t>
      </w:r>
      <w:r>
        <w:rPr>
          <w:rFonts w:hint="eastAsia" w:ascii="仿宋_GB2312" w:eastAsia="仿宋_GB2312"/>
          <w:lang w:eastAsia="zh-CN"/>
        </w:rPr>
        <w:t>。</w:t>
      </w:r>
    </w:p>
    <w:p>
      <w:pPr>
        <w:snapToGrid w:val="0"/>
        <w:spacing w:line="360" w:lineRule="auto"/>
        <w:ind w:firstLine="566" w:firstLineChars="236"/>
        <w:rPr>
          <w:rFonts w:hint="eastAsia" w:ascii="仿宋_GB2312" w:eastAsia="仿宋_GB2312"/>
        </w:rPr>
      </w:pPr>
      <w:r>
        <w:rPr>
          <w:rFonts w:hint="eastAsia" w:ascii="仿宋_GB2312" w:eastAsia="仿宋_GB2312"/>
          <w:lang w:eastAsia="zh-CN"/>
        </w:rPr>
        <w:t>二、</w:t>
      </w:r>
      <w:r>
        <w:rPr>
          <w:rFonts w:hint="eastAsia" w:ascii="仿宋_GB2312" w:eastAsia="仿宋_GB2312"/>
        </w:rPr>
        <w:t>采购内容</w:t>
      </w:r>
    </w:p>
    <w:p>
      <w:pPr>
        <w:pStyle w:val="60"/>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i w:val="0"/>
          <w:iCs/>
          <w:color w:val="auto"/>
          <w:sz w:val="24"/>
          <w:szCs w:val="24"/>
        </w:rPr>
      </w:pPr>
      <w:r>
        <w:rPr>
          <w:rFonts w:hint="eastAsia" w:ascii="仿宋_GB2312" w:eastAsia="仿宋_GB2312"/>
        </w:rPr>
        <w:t xml:space="preserve"> </w:t>
      </w:r>
      <w:r>
        <w:rPr>
          <w:rFonts w:hint="eastAsia" w:ascii="仿宋" w:hAnsi="仿宋" w:eastAsia="仿宋" w:cs="仿宋"/>
          <w:i w:val="0"/>
          <w:iCs/>
          <w:color w:val="auto"/>
          <w:sz w:val="24"/>
          <w:szCs w:val="24"/>
        </w:rPr>
        <w:t>本项目</w:t>
      </w:r>
      <w:r>
        <w:rPr>
          <w:rFonts w:hint="eastAsia" w:ascii="仿宋" w:hAnsi="仿宋" w:eastAsia="仿宋" w:cs="仿宋"/>
          <w:i w:val="0"/>
          <w:iCs/>
          <w:color w:val="auto"/>
          <w:sz w:val="24"/>
          <w:szCs w:val="24"/>
          <w:lang w:val="en-US" w:eastAsia="zh-CN"/>
        </w:rPr>
        <w:t>拟采购一家供应商，</w:t>
      </w:r>
      <w:r>
        <w:rPr>
          <w:rFonts w:hint="eastAsia" w:ascii="仿宋" w:hAnsi="仿宋" w:eastAsia="仿宋" w:cs="仿宋"/>
          <w:i w:val="0"/>
          <w:iCs/>
          <w:color w:val="auto"/>
          <w:sz w:val="24"/>
          <w:szCs w:val="24"/>
        </w:rPr>
        <w:t>以线上+线下形式</w:t>
      </w:r>
      <w:r>
        <w:rPr>
          <w:rFonts w:hint="eastAsia" w:ascii="仿宋" w:hAnsi="仿宋" w:eastAsia="仿宋" w:cs="仿宋"/>
          <w:i w:val="0"/>
          <w:iCs/>
          <w:color w:val="auto"/>
          <w:sz w:val="24"/>
          <w:szCs w:val="24"/>
          <w:lang w:val="en-US" w:eastAsia="zh-CN"/>
        </w:rPr>
        <w:t>开展</w:t>
      </w:r>
      <w:r>
        <w:rPr>
          <w:rFonts w:hint="eastAsia" w:ascii="仿宋" w:hAnsi="仿宋" w:eastAsia="仿宋" w:cs="仿宋"/>
          <w:i w:val="0"/>
          <w:iCs/>
          <w:color w:val="auto"/>
          <w:sz w:val="24"/>
          <w:szCs w:val="24"/>
        </w:rPr>
        <w:t>宣传推广服务，具体服务要求如下：</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i w:val="0"/>
          <w:iCs/>
          <w:color w:val="auto"/>
          <w:sz w:val="24"/>
          <w:szCs w:val="24"/>
        </w:rPr>
        <w:t>预计采购</w:t>
      </w:r>
      <w:r>
        <w:rPr>
          <w:rFonts w:hint="eastAsia" w:ascii="仿宋" w:hAnsi="仿宋" w:eastAsia="仿宋" w:cs="仿宋"/>
          <w:i w:val="0"/>
          <w:iCs/>
          <w:color w:val="auto"/>
          <w:sz w:val="24"/>
          <w:szCs w:val="24"/>
          <w:lang w:val="en-US" w:eastAsia="zh-CN"/>
        </w:rPr>
        <w:t>15</w:t>
      </w:r>
      <w:r>
        <w:rPr>
          <w:rFonts w:hint="eastAsia" w:ascii="仿宋" w:hAnsi="仿宋" w:eastAsia="仿宋" w:cs="仿宋"/>
          <w:i w:val="0"/>
          <w:iCs/>
          <w:color w:val="auto"/>
          <w:sz w:val="24"/>
          <w:szCs w:val="24"/>
        </w:rPr>
        <w:t>场</w:t>
      </w:r>
      <w:r>
        <w:rPr>
          <w:rFonts w:hint="eastAsia" w:ascii="仿宋" w:hAnsi="仿宋" w:eastAsia="仿宋" w:cs="仿宋"/>
          <w:i w:val="0"/>
          <w:iCs/>
          <w:color w:val="auto"/>
          <w:sz w:val="24"/>
          <w:szCs w:val="24"/>
          <w:lang w:val="en-US" w:eastAsia="zh-CN"/>
        </w:rPr>
        <w:t>泸惠保</w:t>
      </w:r>
      <w:r>
        <w:rPr>
          <w:rFonts w:hint="eastAsia" w:ascii="仿宋" w:hAnsi="仿宋" w:eastAsia="仿宋" w:cs="仿宋"/>
          <w:sz w:val="24"/>
          <w:szCs w:val="24"/>
          <w:lang w:val="en-US" w:eastAsia="zh-CN"/>
        </w:rPr>
        <w:t>专场宣传推广活动，包含线上宣传推广、线下宣传活动执行，线上、线下按单场形式同时开展；</w:t>
      </w:r>
    </w:p>
    <w:p>
      <w:pPr>
        <w:keepNext w:val="0"/>
        <w:keepLines w:val="0"/>
        <w:pageBreakBefore w:val="0"/>
        <w:widowControl/>
        <w:kinsoku/>
        <w:wordWrap/>
        <w:overflowPunct/>
        <w:topLinePunct w:val="0"/>
        <w:autoSpaceDE/>
        <w:autoSpaceDN/>
        <w:bidi w:val="0"/>
        <w:adjustRightInd/>
        <w:snapToGrid w:val="0"/>
        <w:spacing w:line="360" w:lineRule="auto"/>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2.线上宣传服务，单独设立推广页面，每场活动在媒体信息流网站投放精准宣传；线上单场在6家网站进行宣传推广，宣传周期为5天，每家网站点击量不低于2500；</w:t>
      </w:r>
    </w:p>
    <w:p>
      <w:pPr>
        <w:pStyle w:val="60"/>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3.线下宣传活动服务，包括但不限于活动策划与执行、宣传用品制作、摆放与搭建、活动场地的对接与使用安全、现场活动管理等，相关要求如下：</w:t>
      </w:r>
    </w:p>
    <w:tbl>
      <w:tblPr>
        <w:tblStyle w:val="29"/>
        <w:tblW w:w="92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060"/>
        <w:gridCol w:w="61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3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物料名称</w:t>
            </w:r>
          </w:p>
        </w:tc>
        <w:tc>
          <w:tcPr>
            <w:tcW w:w="6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规格/材质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场地租借费</w:t>
            </w:r>
          </w:p>
        </w:tc>
        <w:tc>
          <w:tcPr>
            <w:tcW w:w="6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折叠篷</w:t>
            </w:r>
          </w:p>
        </w:tc>
        <w:tc>
          <w:tcPr>
            <w:tcW w:w="61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规格：300*300cm  材质：抗老化牛津布自动架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长条桌含桌布</w:t>
            </w:r>
          </w:p>
        </w:tc>
        <w:tc>
          <w:tcPr>
            <w:tcW w:w="61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规格：120*80cm  材质：可升降折叠  立绒绒布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塑料凳</w:t>
            </w:r>
          </w:p>
        </w:tc>
        <w:tc>
          <w:tcPr>
            <w:tcW w:w="6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特厚塑胶凳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3M横幅</w:t>
            </w:r>
          </w:p>
        </w:tc>
        <w:tc>
          <w:tcPr>
            <w:tcW w:w="617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规格：300*60cm  材质：旗帜布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展架（含画面）</w:t>
            </w:r>
          </w:p>
        </w:tc>
        <w:tc>
          <w:tcPr>
            <w:tcW w:w="617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规格：180*80cm  材质：高柔韧性加厚铝合金展架（PP海报画面）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DM宣传单</w:t>
            </w:r>
          </w:p>
        </w:tc>
        <w:tc>
          <w:tcPr>
            <w:tcW w:w="61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A4铜板纸双面彩印200g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金属网格展架美陈</w:t>
            </w:r>
          </w:p>
        </w:tc>
        <w:tc>
          <w:tcPr>
            <w:tcW w:w="617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 xml:space="preserve">金属展架美陈装置，镀锌钢材，静电喷涂，超清写真，0.5CM厚雪弗板装饰物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异形美陈</w:t>
            </w:r>
          </w:p>
        </w:tc>
        <w:tc>
          <w:tcPr>
            <w:tcW w:w="61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 xml:space="preserve">超清写真，0.5CM厚雪弗板装饰物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宣传活动策划及定制设计</w:t>
            </w:r>
          </w:p>
        </w:tc>
        <w:tc>
          <w:tcPr>
            <w:tcW w:w="61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活动运输、搭建搬运</w:t>
            </w:r>
          </w:p>
        </w:tc>
        <w:tc>
          <w:tcPr>
            <w:tcW w:w="6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宣传执行人员</w:t>
            </w:r>
          </w:p>
        </w:tc>
        <w:tc>
          <w:tcPr>
            <w:tcW w:w="6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4.</w:t>
      </w:r>
      <w:r>
        <w:rPr>
          <w:rFonts w:hint="eastAsia" w:ascii="仿宋" w:hAnsi="仿宋" w:eastAsia="仿宋" w:cs="仿宋"/>
          <w:i w:val="0"/>
          <w:iCs/>
          <w:color w:val="auto"/>
          <w:sz w:val="24"/>
          <w:szCs w:val="24"/>
        </w:rPr>
        <w:t>服务商应全权负责整个宣传活动流程；</w:t>
      </w:r>
    </w:p>
    <w:p>
      <w:pPr>
        <w:pStyle w:val="60"/>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5.</w:t>
      </w:r>
      <w:r>
        <w:rPr>
          <w:rFonts w:hint="eastAsia" w:ascii="仿宋" w:hAnsi="仿宋" w:eastAsia="仿宋" w:cs="仿宋"/>
          <w:i w:val="0"/>
          <w:iCs/>
          <w:color w:val="auto"/>
          <w:sz w:val="24"/>
          <w:szCs w:val="24"/>
        </w:rPr>
        <w:t>费用单价以单场总价为准，场次以实际发生为准。</w:t>
      </w:r>
    </w:p>
    <w:p>
      <w:pPr>
        <w:pStyle w:val="60"/>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三．采购数量</w:t>
      </w:r>
    </w:p>
    <w:p>
      <w:pPr>
        <w:pStyle w:val="60"/>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bidi="ar-SA"/>
        </w:rPr>
        <w:t>采购宣传推广服务15场，</w:t>
      </w:r>
      <w:r>
        <w:rPr>
          <w:rFonts w:hint="default" w:ascii="仿宋" w:hAnsi="仿宋" w:eastAsia="仿宋" w:cs="仿宋"/>
          <w:i w:val="0"/>
          <w:iCs/>
          <w:color w:val="auto"/>
          <w:sz w:val="24"/>
          <w:szCs w:val="24"/>
          <w:lang w:val="en-US" w:eastAsia="zh-CN"/>
        </w:rPr>
        <w:t>合同按照据实结算服务费用，合同期内总结算费用不超项目总预算。</w:t>
      </w:r>
    </w:p>
    <w:p>
      <w:pPr>
        <w:snapToGrid w:val="0"/>
        <w:spacing w:line="360" w:lineRule="auto"/>
        <w:ind w:firstLine="480" w:firstLineChars="200"/>
        <w:rPr>
          <w:rFonts w:hint="eastAsia" w:ascii="仿宋_GB2312" w:eastAsia="仿宋_GB2312"/>
          <w:lang w:val="en-US" w:eastAsia="zh-CN"/>
        </w:rPr>
      </w:pPr>
      <w:r>
        <w:rPr>
          <w:rFonts w:hint="eastAsia" w:ascii="仿宋_GB2312" w:eastAsia="仿宋_GB2312"/>
          <w:lang w:val="en-US" w:eastAsia="zh-CN"/>
        </w:rPr>
        <w:t>四、付款方式</w:t>
      </w:r>
    </w:p>
    <w:p>
      <w:pPr>
        <w:snapToGrid w:val="0"/>
        <w:spacing w:line="360" w:lineRule="auto"/>
        <w:ind w:firstLine="566" w:firstLineChars="236"/>
        <w:rPr>
          <w:rFonts w:hint="eastAsia" w:ascii="仿宋_GB2312" w:eastAsia="仿宋_GB2312"/>
          <w:lang w:val="en-US" w:eastAsia="zh-CN"/>
        </w:rPr>
      </w:pPr>
      <w:r>
        <w:rPr>
          <w:rFonts w:hint="eastAsia" w:ascii="仿宋" w:hAnsi="仿宋" w:eastAsia="仿宋" w:cs="仿宋"/>
          <w:i w:val="0"/>
          <w:iCs/>
          <w:color w:val="auto"/>
          <w:sz w:val="24"/>
          <w:szCs w:val="24"/>
          <w:lang w:val="en-US" w:eastAsia="zh-CN" w:bidi="ar-SA"/>
        </w:rPr>
        <w:t>甲乙双方根据单场宣传推广服务进行结算，乙方需提供包括但不限于相关线上宣传推广截图、线下宣传推广照片及费用明细清单等给甲方进行验收，并向甲方出具足额有效的增值税普通发票，甲方收到对应发票并验收后15个工作日内向乙方支付合同费用</w:t>
      </w:r>
      <w:r>
        <w:rPr>
          <w:rFonts w:hint="eastAsia" w:ascii="仿宋_GB2312" w:eastAsia="仿宋_GB2312"/>
          <w:lang w:val="en-US" w:eastAsia="zh-CN"/>
        </w:rPr>
        <w:t>。</w:t>
      </w:r>
    </w:p>
    <w:p>
      <w:pPr>
        <w:snapToGrid w:val="0"/>
        <w:spacing w:line="360" w:lineRule="auto"/>
        <w:ind w:firstLine="566" w:firstLineChars="236"/>
        <w:rPr>
          <w:rFonts w:hint="eastAsia" w:ascii="仿宋_GB2312" w:eastAsia="仿宋_GB2312"/>
          <w:lang w:val="en-US" w:eastAsia="zh-CN"/>
        </w:rPr>
      </w:pPr>
      <w:r>
        <w:rPr>
          <w:rFonts w:hint="eastAsia" w:ascii="仿宋_GB2312" w:eastAsia="仿宋_GB2312"/>
          <w:lang w:val="en-US" w:eastAsia="zh-CN"/>
        </w:rPr>
        <w:t xml:space="preserve">五、服务要求 </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乙方向甲方提供的服务的内容：</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乙方根据甲方提出的需求负责甲方宣传推广活动；</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乙方开展的线上、线下宣传推广活动具体内容根据甲方需求而定；</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乙方应全权负责整个宣传推广活动流程；</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乙方应按行业通用标准，保证所提供服务的质量和效率；</w:t>
      </w:r>
    </w:p>
    <w:p>
      <w:pPr>
        <w:pStyle w:val="2"/>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宣传推广活动结束后，乙方需向甲方提供线上、线下的宣传推广照片，</w:t>
      </w:r>
      <w:r>
        <w:rPr>
          <w:rFonts w:hint="eastAsia" w:ascii="仿宋" w:hAnsi="仿宋" w:eastAsia="仿宋" w:cs="仿宋"/>
          <w:sz w:val="24"/>
          <w:szCs w:val="24"/>
          <w:lang w:val="en-US" w:eastAsia="zh-CN"/>
        </w:rPr>
        <w:t>结算单等</w:t>
      </w:r>
      <w:r>
        <w:rPr>
          <w:rFonts w:hint="eastAsia" w:ascii="仿宋" w:hAnsi="仿宋" w:eastAsia="仿宋" w:cs="仿宋"/>
          <w:sz w:val="24"/>
          <w:szCs w:val="24"/>
        </w:rPr>
        <w:t>作为结算依据</w:t>
      </w:r>
      <w:r>
        <w:rPr>
          <w:rFonts w:hint="eastAsia" w:ascii="仿宋" w:hAnsi="仿宋" w:eastAsia="仿宋" w:cs="仿宋"/>
          <w:sz w:val="24"/>
          <w:szCs w:val="24"/>
          <w:lang w:eastAsia="zh-CN"/>
        </w:rPr>
        <w:t>。</w:t>
      </w:r>
    </w:p>
    <w:p>
      <w:pPr>
        <w:pStyle w:val="2"/>
        <w:ind w:firstLine="480" w:firstLineChars="200"/>
        <w:rPr>
          <w:rFonts w:hint="default"/>
          <w:lang w:val="en-US"/>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其他要求：甲方向乙方采购服务前，将具体时间、数量等</w:t>
      </w:r>
      <w:r>
        <w:rPr>
          <w:rFonts w:hint="eastAsia" w:ascii="仿宋" w:hAnsi="仿宋" w:eastAsia="仿宋" w:cs="仿宋"/>
          <w:sz w:val="24"/>
          <w:szCs w:val="24"/>
          <w:lang w:val="en-US" w:eastAsia="zh-CN"/>
        </w:rPr>
        <w:t>内容</w:t>
      </w:r>
      <w:r>
        <w:rPr>
          <w:rFonts w:hint="eastAsia" w:ascii="仿宋" w:hAnsi="仿宋" w:eastAsia="仿宋" w:cs="仿宋"/>
          <w:sz w:val="24"/>
          <w:szCs w:val="24"/>
          <w:lang w:eastAsia="zh-CN"/>
        </w:rPr>
        <w:t>报乙方确认，具体总价按甲方采购数量结算。</w:t>
      </w:r>
    </w:p>
    <w:p>
      <w:pPr>
        <w:pStyle w:val="2"/>
      </w:pPr>
    </w:p>
    <w:p>
      <w:pPr>
        <w:pStyle w:val="2"/>
      </w:pPr>
    </w:p>
    <w:p>
      <w:pPr>
        <w:pStyle w:val="2"/>
      </w:pPr>
    </w:p>
    <w:p>
      <w:pPr>
        <w:pStyle w:val="2"/>
      </w:pPr>
    </w:p>
    <w:p>
      <w:pPr>
        <w:pStyle w:val="2"/>
      </w:pPr>
    </w:p>
    <w:p>
      <w:pPr>
        <w:pStyle w:val="3"/>
        <w:keepNext/>
        <w:keepLines/>
        <w:pageBreakBefore w:val="0"/>
        <w:widowControl/>
        <w:kinsoku/>
        <w:wordWrap/>
        <w:overflowPunct/>
        <w:topLinePunct w:val="0"/>
        <w:autoSpaceDE/>
        <w:autoSpaceDN/>
        <w:bidi w:val="0"/>
        <w:adjustRightInd/>
        <w:snapToGrid/>
        <w:spacing w:before="0" w:after="0"/>
        <w:ind w:left="0" w:leftChars="0" w:firstLine="0" w:firstLineChars="0"/>
        <w:jc w:val="both"/>
        <w:textAlignment w:val="auto"/>
        <w:rPr>
          <w:rFonts w:hint="eastAsia" w:ascii="仿宋" w:hAnsi="仿宋" w:eastAsia="仿宋" w:cs="仿宋"/>
          <w:sz w:val="28"/>
          <w:szCs w:val="28"/>
        </w:rPr>
      </w:pPr>
      <w:bookmarkStart w:id="126" w:name="_Toc3184"/>
      <w:bookmarkStart w:id="127" w:name="_Toc3675"/>
      <w:bookmarkStart w:id="128" w:name="_Toc9891"/>
    </w:p>
    <w:p>
      <w:pPr>
        <w:pStyle w:val="3"/>
        <w:keepNext/>
        <w:keepLines/>
        <w:pageBreakBefore w:val="0"/>
        <w:widowControl/>
        <w:kinsoku/>
        <w:wordWrap/>
        <w:overflowPunct/>
        <w:topLinePunct w:val="0"/>
        <w:autoSpaceDE/>
        <w:autoSpaceDN/>
        <w:bidi w:val="0"/>
        <w:adjustRightInd/>
        <w:snapToGrid/>
        <w:spacing w:before="0" w:after="0"/>
        <w:ind w:left="0" w:leftChars="0" w:firstLine="0" w:firstLineChars="0"/>
        <w:jc w:val="both"/>
        <w:textAlignment w:val="auto"/>
        <w:rPr>
          <w:rFonts w:hint="eastAsia" w:ascii="仿宋" w:hAnsi="仿宋" w:eastAsia="仿宋" w:cs="仿宋"/>
          <w:sz w:val="28"/>
          <w:szCs w:val="28"/>
        </w:rPr>
      </w:pPr>
    </w:p>
    <w:bookmarkEnd w:id="126"/>
    <w:bookmarkEnd w:id="127"/>
    <w:p>
      <w:pPr>
        <w:spacing w:line="360" w:lineRule="auto"/>
        <w:rPr>
          <w:rFonts w:hint="eastAsia" w:ascii="仿宋" w:hAnsi="仿宋" w:eastAsia="仿宋" w:cs="宋体"/>
          <w:b/>
          <w:color w:val="000000"/>
        </w:rPr>
      </w:pPr>
    </w:p>
    <w:p>
      <w:pPr>
        <w:spacing w:line="360" w:lineRule="auto"/>
        <w:rPr>
          <w:rFonts w:hint="eastAsia" w:ascii="仿宋" w:hAnsi="仿宋" w:eastAsia="仿宋" w:cs="宋体"/>
          <w:b/>
          <w:color w:val="000000"/>
        </w:rPr>
      </w:pPr>
    </w:p>
    <w:p>
      <w:pPr>
        <w:pStyle w:val="3"/>
        <w:keepNext/>
        <w:keepLines/>
        <w:pageBreakBefore w:val="0"/>
        <w:widowControl/>
        <w:kinsoku/>
        <w:wordWrap/>
        <w:overflowPunct/>
        <w:topLinePunct w:val="0"/>
        <w:autoSpaceDE/>
        <w:autoSpaceDN/>
        <w:bidi w:val="0"/>
        <w:adjustRightInd/>
        <w:snapToGrid/>
        <w:spacing w:before="0" w:after="0"/>
        <w:ind w:left="0" w:leftChars="0" w:firstLine="3092" w:firstLineChars="1100"/>
        <w:jc w:val="both"/>
        <w:textAlignment w:val="auto"/>
        <w:rPr>
          <w:rFonts w:hint="eastAsia" w:ascii="仿宋" w:hAnsi="仿宋" w:eastAsia="仿宋" w:cs="仿宋"/>
          <w:sz w:val="28"/>
          <w:szCs w:val="28"/>
        </w:rPr>
      </w:pPr>
    </w:p>
    <w:p>
      <w:pPr>
        <w:pStyle w:val="3"/>
        <w:keepNext/>
        <w:keepLines/>
        <w:pageBreakBefore w:val="0"/>
        <w:widowControl/>
        <w:kinsoku/>
        <w:wordWrap/>
        <w:overflowPunct/>
        <w:topLinePunct w:val="0"/>
        <w:autoSpaceDE/>
        <w:autoSpaceDN/>
        <w:bidi w:val="0"/>
        <w:adjustRightInd/>
        <w:snapToGrid/>
        <w:spacing w:before="0" w:after="0"/>
        <w:ind w:left="0" w:leftChars="0" w:firstLine="3092" w:firstLineChars="1100"/>
        <w:jc w:val="both"/>
        <w:textAlignment w:val="auto"/>
        <w:rPr>
          <w:rFonts w:hint="eastAsia" w:ascii="仿宋" w:hAnsi="仿宋" w:eastAsia="仿宋" w:cs="仿宋"/>
          <w:sz w:val="28"/>
          <w:szCs w:val="28"/>
        </w:rPr>
      </w:pPr>
    </w:p>
    <w:p>
      <w:pPr>
        <w:pStyle w:val="3"/>
        <w:keepNext/>
        <w:keepLines/>
        <w:pageBreakBefore w:val="0"/>
        <w:widowControl/>
        <w:kinsoku/>
        <w:wordWrap/>
        <w:overflowPunct/>
        <w:topLinePunct w:val="0"/>
        <w:autoSpaceDE/>
        <w:autoSpaceDN/>
        <w:bidi w:val="0"/>
        <w:adjustRightInd/>
        <w:snapToGrid/>
        <w:spacing w:before="0" w:after="0"/>
        <w:ind w:left="0" w:leftChars="0" w:firstLine="0" w:firstLineChars="0"/>
        <w:jc w:val="both"/>
        <w:textAlignment w:val="auto"/>
        <w:rPr>
          <w:rFonts w:hint="eastAsia" w:ascii="仿宋" w:hAnsi="仿宋" w:eastAsia="仿宋" w:cs="仿宋"/>
          <w:sz w:val="28"/>
          <w:szCs w:val="28"/>
        </w:rPr>
      </w:pPr>
    </w:p>
    <w:p>
      <w:pPr>
        <w:pStyle w:val="3"/>
        <w:keepNext/>
        <w:keepLines/>
        <w:pageBreakBefore w:val="0"/>
        <w:widowControl/>
        <w:kinsoku/>
        <w:wordWrap/>
        <w:overflowPunct/>
        <w:topLinePunct w:val="0"/>
        <w:autoSpaceDE/>
        <w:autoSpaceDN/>
        <w:bidi w:val="0"/>
        <w:adjustRightInd/>
        <w:snapToGrid/>
        <w:spacing w:before="0" w:after="0"/>
        <w:ind w:left="0" w:leftChars="0" w:firstLine="0" w:firstLineChars="0"/>
        <w:jc w:val="both"/>
        <w:textAlignment w:val="auto"/>
        <w:rPr>
          <w:rFonts w:hint="eastAsia" w:ascii="仿宋" w:hAnsi="仿宋" w:eastAsia="仿宋" w:cs="仿宋"/>
          <w:sz w:val="28"/>
          <w:szCs w:val="28"/>
        </w:rPr>
      </w:pPr>
    </w:p>
    <w:p>
      <w:pPr>
        <w:pStyle w:val="3"/>
        <w:keepNext/>
        <w:keepLines/>
        <w:pageBreakBefore w:val="0"/>
        <w:widowControl/>
        <w:kinsoku/>
        <w:wordWrap/>
        <w:overflowPunct/>
        <w:topLinePunct w:val="0"/>
        <w:autoSpaceDE/>
        <w:autoSpaceDN/>
        <w:bidi w:val="0"/>
        <w:adjustRightInd/>
        <w:snapToGrid/>
        <w:spacing w:before="0" w:after="0"/>
        <w:jc w:val="both"/>
        <w:textAlignment w:val="auto"/>
        <w:rPr>
          <w:rFonts w:hint="eastAsia" w:ascii="仿宋" w:hAnsi="仿宋" w:eastAsia="仿宋" w:cs="仿宋"/>
          <w:sz w:val="28"/>
          <w:szCs w:val="28"/>
        </w:rPr>
      </w:pPr>
    </w:p>
    <w:p>
      <w:pPr>
        <w:spacing w:line="360" w:lineRule="auto"/>
        <w:rPr>
          <w:rFonts w:hint="eastAsia" w:ascii="仿宋" w:hAnsi="仿宋" w:eastAsia="仿宋" w:cs="宋体"/>
          <w:b/>
          <w:color w:val="000000"/>
        </w:rPr>
      </w:pPr>
    </w:p>
    <w:p>
      <w:pPr>
        <w:spacing w:line="360" w:lineRule="auto"/>
        <w:rPr>
          <w:rFonts w:hint="eastAsia" w:ascii="仿宋" w:hAnsi="仿宋" w:eastAsia="仿宋" w:cs="宋体"/>
          <w:b/>
          <w:color w:val="000000"/>
        </w:rPr>
      </w:pPr>
    </w:p>
    <w:p>
      <w:pPr>
        <w:pStyle w:val="3"/>
        <w:keepNext/>
        <w:keepLines/>
        <w:pageBreakBefore w:val="0"/>
        <w:widowControl/>
        <w:kinsoku/>
        <w:wordWrap/>
        <w:overflowPunct/>
        <w:topLinePunct w:val="0"/>
        <w:autoSpaceDE/>
        <w:autoSpaceDN/>
        <w:bidi w:val="0"/>
        <w:adjustRightInd/>
        <w:snapToGrid/>
        <w:spacing w:before="0" w:after="0"/>
        <w:ind w:left="0" w:leftChars="0" w:firstLine="3092" w:firstLineChars="1100"/>
        <w:jc w:val="both"/>
        <w:textAlignment w:val="auto"/>
        <w:rPr>
          <w:rFonts w:ascii="仿宋" w:hAnsi="仿宋" w:eastAsia="仿宋" w:cs="仿宋"/>
          <w:sz w:val="28"/>
          <w:szCs w:val="28"/>
        </w:rPr>
      </w:pPr>
      <w:r>
        <w:rPr>
          <w:rFonts w:hint="eastAsia" w:ascii="仿宋" w:hAnsi="仿宋" w:eastAsia="仿宋" w:cs="仿宋"/>
          <w:sz w:val="28"/>
          <w:szCs w:val="28"/>
        </w:rPr>
        <w:t>第六章 响应文件格式</w:t>
      </w:r>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33" w:type="pct"/>
        <w:jc w:val="center"/>
        <w:tblLayout w:type="autofit"/>
        <w:tblCellMar>
          <w:top w:w="0" w:type="dxa"/>
          <w:left w:w="108" w:type="dxa"/>
          <w:bottom w:w="0" w:type="dxa"/>
          <w:right w:w="108" w:type="dxa"/>
        </w:tblCellMar>
      </w:tblPr>
      <w:tblGrid>
        <w:gridCol w:w="9919"/>
      </w:tblGrid>
      <w:tr>
        <w:trPr>
          <w:trHeight w:val="1084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ind w:right="-284"/>
              <w:jc w:val="center"/>
              <w:rPr>
                <w:rFonts w:hint="eastAsia" w:ascii="仿宋" w:hAnsi="仿宋" w:eastAsia="仿宋" w:cs="仿宋"/>
                <w:color w:val="000000"/>
                <w:sz w:val="28"/>
                <w:u w:val="single"/>
                <w:lang w:eastAsia="zh-CN"/>
              </w:rPr>
            </w:pPr>
            <w:r>
              <w:rPr>
                <w:rFonts w:hint="eastAsia" w:ascii="仿宋" w:hAnsi="仿宋" w:eastAsia="仿宋" w:cs="仿宋"/>
                <w:color w:val="000000"/>
                <w:sz w:val="32"/>
                <w:lang w:eastAsia="zh-CN"/>
              </w:rPr>
              <w:t>人保财险四川省泸州市</w:t>
            </w:r>
            <w:r>
              <w:rPr>
                <w:rFonts w:hint="eastAsia" w:ascii="仿宋" w:hAnsi="仿宋" w:eastAsia="仿宋" w:cs="仿宋"/>
                <w:color w:val="000000"/>
                <w:sz w:val="32"/>
                <w:lang w:val="en-US" w:eastAsia="zh-CN"/>
              </w:rPr>
              <w:t>分公司泸惠保</w:t>
            </w:r>
            <w:r>
              <w:rPr>
                <w:rFonts w:hint="eastAsia" w:ascii="仿宋" w:hAnsi="仿宋" w:eastAsia="仿宋" w:cs="仿宋"/>
                <w:color w:val="000000"/>
                <w:sz w:val="32"/>
                <w:lang w:eastAsia="zh-CN"/>
              </w:rPr>
              <w:t>宣传</w:t>
            </w:r>
            <w:r>
              <w:rPr>
                <w:rFonts w:hint="eastAsia" w:ascii="仿宋" w:hAnsi="仿宋" w:eastAsia="仿宋" w:cs="仿宋"/>
                <w:color w:val="000000"/>
                <w:sz w:val="32"/>
                <w:lang w:val="en-US" w:eastAsia="zh-CN"/>
              </w:rPr>
              <w:t>推广</w:t>
            </w:r>
            <w:r>
              <w:rPr>
                <w:rFonts w:hint="eastAsia" w:ascii="仿宋" w:hAnsi="仿宋" w:eastAsia="仿宋" w:cs="仿宋"/>
                <w:color w:val="000000"/>
                <w:sz w:val="32"/>
                <w:lang w:eastAsia="zh-CN"/>
              </w:rPr>
              <w:t>服务采购项目</w:t>
            </w: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rPr>
          <w:rFonts w:ascii="仿宋" w:hAnsi="仿宋" w:eastAsia="仿宋" w:cs="仿宋"/>
          <w:color w:val="000000"/>
          <w:sz w:val="24"/>
          <w:szCs w:val="24"/>
        </w:rPr>
      </w:pPr>
      <w:bookmarkStart w:id="129" w:name="_Toc17191"/>
      <w:bookmarkStart w:id="130" w:name="_Toc3936"/>
      <w:bookmarkStart w:id="131" w:name="_Toc28387"/>
      <w:bookmarkStart w:id="132" w:name="_Toc444891353"/>
      <w:bookmarkStart w:id="133" w:name="_Toc19910"/>
      <w:bookmarkStart w:id="134" w:name="_Toc517281836"/>
      <w:bookmarkStart w:id="135" w:name="_Toc19783362"/>
      <w:bookmarkStart w:id="136" w:name="_Toc21280"/>
      <w:bookmarkStart w:id="137" w:name="_Toc25957"/>
      <w:bookmarkStart w:id="138" w:name="_Toc287600131"/>
      <w:bookmarkStart w:id="139" w:name="_Toc11783"/>
      <w:bookmarkStart w:id="140" w:name="_Toc287600129"/>
      <w:bookmarkStart w:id="141" w:name="_Toc19783360"/>
      <w:r>
        <w:rPr>
          <w:rFonts w:hint="eastAsia" w:ascii="仿宋" w:hAnsi="仿宋" w:eastAsia="仿宋" w:cs="仿宋"/>
          <w:color w:val="000000"/>
          <w:sz w:val="24"/>
          <w:szCs w:val="24"/>
        </w:rPr>
        <w:t>一、商务文件</w:t>
      </w:r>
      <w:bookmarkEnd w:id="129"/>
      <w:bookmarkEnd w:id="130"/>
      <w:bookmarkEnd w:id="131"/>
    </w:p>
    <w:p>
      <w:pPr>
        <w:jc w:val="center"/>
      </w:pPr>
      <w:bookmarkStart w:id="142" w:name="_Toc26744"/>
      <w:r>
        <w:rPr>
          <w:rFonts w:hint="eastAsia" w:ascii="仿宋" w:hAnsi="仿宋" w:eastAsia="仿宋" w:cs="仿宋"/>
          <w:b/>
          <w:bCs/>
        </w:rPr>
        <w:t>初步评审索引表</w:t>
      </w:r>
      <w:bookmarkEnd w:id="142"/>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0"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7"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7"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非联合体投标</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lang w:eastAsia="zh-CN"/>
              </w:rPr>
              <w:t>近</w:t>
            </w:r>
            <w:r>
              <w:rPr>
                <w:rFonts w:hint="eastAsia" w:ascii="仿宋" w:hAnsi="仿宋" w:eastAsia="仿宋" w:cs="Cambria Math"/>
                <w:color w:val="000000"/>
                <w:sz w:val="22"/>
                <w:szCs w:val="21"/>
                <w:lang w:val="en-US" w:eastAsia="zh-CN"/>
              </w:rPr>
              <w:t>三</w:t>
            </w:r>
            <w:r>
              <w:rPr>
                <w:rFonts w:hint="eastAsia" w:ascii="仿宋" w:hAnsi="仿宋" w:eastAsia="仿宋" w:cs="Cambria Math"/>
                <w:color w:val="000000"/>
                <w:sz w:val="22"/>
                <w:szCs w:val="21"/>
                <w:lang w:eastAsia="zh-CN"/>
              </w:rPr>
              <w:t>年</w:t>
            </w:r>
            <w:r>
              <w:rPr>
                <w:rFonts w:hint="eastAsia" w:ascii="仿宋" w:hAnsi="仿宋" w:eastAsia="仿宋" w:cs="Cambria Math"/>
                <w:color w:val="000000"/>
                <w:sz w:val="22"/>
                <w:szCs w:val="21"/>
              </w:rPr>
              <w:t>内无违法违规记录</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7"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12" w:type="default"/>
          <w:pgSz w:w="11906" w:h="16838"/>
          <w:pgMar w:top="1417" w:right="1134" w:bottom="1134" w:left="1134" w:header="964" w:footer="964" w:gutter="0"/>
          <w:pgNumType w:fmt="decimal"/>
          <w:cols w:space="720" w:num="1"/>
          <w:docGrid w:linePitch="312" w:charSpace="0"/>
        </w:sectPr>
      </w:pPr>
    </w:p>
    <w:bookmarkEnd w:id="132"/>
    <w:bookmarkEnd w:id="133"/>
    <w:bookmarkEnd w:id="134"/>
    <w:bookmarkEnd w:id="135"/>
    <w:bookmarkEnd w:id="136"/>
    <w:bookmarkEnd w:id="137"/>
    <w:bookmarkEnd w:id="138"/>
    <w:bookmarkEnd w:id="139"/>
    <w:p>
      <w:pPr>
        <w:pStyle w:val="5"/>
        <w:spacing w:before="0" w:line="440" w:lineRule="exact"/>
        <w:rPr>
          <w:rFonts w:ascii="仿宋" w:hAnsi="仿宋" w:eastAsia="仿宋" w:cs="仿宋"/>
          <w:color w:val="000000"/>
          <w:sz w:val="24"/>
          <w:szCs w:val="24"/>
        </w:rPr>
      </w:pPr>
      <w:bookmarkStart w:id="143" w:name="_Toc27958"/>
      <w:bookmarkStart w:id="144" w:name="_Toc13209"/>
      <w:bookmarkStart w:id="145" w:name="_Toc7202"/>
      <w:bookmarkStart w:id="146" w:name="_Toc444891354"/>
      <w:bookmarkStart w:id="147" w:name="_Toc12140"/>
      <w:bookmarkStart w:id="148" w:name="_Toc27799"/>
      <w:bookmarkStart w:id="149" w:name="_Toc25121"/>
      <w:bookmarkStart w:id="150" w:name="_Toc517281837"/>
      <w:r>
        <w:rPr>
          <w:rFonts w:hint="eastAsia" w:ascii="仿宋" w:hAnsi="仿宋" w:eastAsia="仿宋" w:cs="仿宋"/>
          <w:color w:val="000000"/>
          <w:sz w:val="24"/>
          <w:szCs w:val="24"/>
        </w:rPr>
        <w:t>（一）响应函</w:t>
      </w:r>
      <w:bookmarkEnd w:id="143"/>
      <w:bookmarkEnd w:id="144"/>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致：</w:t>
      </w:r>
      <w:r>
        <w:rPr>
          <w:rFonts w:hint="eastAsia" w:ascii="仿宋" w:hAnsi="仿宋" w:eastAsia="仿宋" w:cs="Cambria Math"/>
          <w:color w:val="000000"/>
          <w:sz w:val="24"/>
          <w:szCs w:val="24"/>
          <w:u w:val="single"/>
          <w:lang w:eastAsia="zh-CN"/>
        </w:rPr>
        <w:t>中国人民财产保险股份有限公司泸州</w:t>
      </w:r>
      <w:r>
        <w:rPr>
          <w:rFonts w:hint="eastAsia" w:ascii="仿宋" w:hAnsi="仿宋" w:eastAsia="仿宋" w:cs="Cambria Math"/>
          <w:color w:val="000000"/>
          <w:sz w:val="24"/>
          <w:szCs w:val="24"/>
          <w:u w:val="single"/>
          <w:lang w:val="en-US" w:eastAsia="zh-CN"/>
        </w:rPr>
        <w:t>市分公司</w:t>
      </w:r>
      <w:r>
        <w:rPr>
          <w:rFonts w:hint="eastAsia" w:ascii="仿宋" w:hAnsi="仿宋" w:eastAsia="仿宋" w:cs="Cambria Math"/>
          <w:color w:val="000000"/>
          <w:sz w:val="24"/>
          <w:szCs w:val="24"/>
          <w:u w:val="single"/>
        </w:rPr>
        <w:t xml:space="preserve"> </w:t>
      </w:r>
    </w:p>
    <w:p>
      <w:pPr>
        <w:spacing w:line="440" w:lineRule="exact"/>
        <w:ind w:firstLine="480" w:firstLineChars="200"/>
        <w:rPr>
          <w:rFonts w:ascii="仿宋" w:hAnsi="仿宋" w:eastAsia="仿宋" w:cs="Cambria Math"/>
          <w:color w:val="000000"/>
        </w:rPr>
      </w:pPr>
      <w:r>
        <w:rPr>
          <w:rFonts w:hint="eastAsia" w:ascii="仿宋" w:hAnsi="仿宋" w:eastAsia="仿宋" w:cs="Cambria Math"/>
          <w:color w:val="000000"/>
          <w:u w:val="single"/>
        </w:rPr>
        <w:t xml:space="preserve">（供应商名称）  </w:t>
      </w:r>
      <w:r>
        <w:rPr>
          <w:rFonts w:hint="eastAsia" w:ascii="仿宋" w:hAnsi="仿宋" w:eastAsia="仿宋" w:cs="Cambria Math"/>
          <w:color w:val="000000"/>
          <w:u w:val="single"/>
          <w:lang w:val="en-US" w:eastAsia="zh-CN"/>
        </w:rPr>
        <w:t xml:space="preserve">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仿宋"/>
          <w:color w:val="auto"/>
          <w:u w:val="single"/>
          <w:lang w:eastAsia="zh-CN"/>
        </w:rPr>
        <w:t>人保财险四川省</w:t>
      </w:r>
      <w:r>
        <w:rPr>
          <w:rFonts w:hint="eastAsia" w:ascii="仿宋" w:hAnsi="仿宋" w:eastAsia="仿宋" w:cs="仿宋"/>
          <w:sz w:val="24"/>
          <w:szCs w:val="24"/>
          <w:u w:val="single"/>
          <w:lang w:val="en-US" w:eastAsia="zh-CN"/>
        </w:rPr>
        <w:t>泸州市</w:t>
      </w:r>
      <w:r>
        <w:rPr>
          <w:rFonts w:hint="eastAsia" w:ascii="仿宋" w:hAnsi="仿宋" w:eastAsia="仿宋" w:cs="仿宋"/>
          <w:sz w:val="24"/>
          <w:szCs w:val="24"/>
          <w:u w:val="single"/>
        </w:rPr>
        <w:t>分公司</w:t>
      </w:r>
      <w:r>
        <w:rPr>
          <w:rFonts w:hint="eastAsia" w:ascii="仿宋" w:hAnsi="仿宋" w:eastAsia="仿宋" w:cs="仿宋"/>
          <w:sz w:val="24"/>
          <w:szCs w:val="24"/>
          <w:u w:val="single"/>
          <w:lang w:val="en-US" w:eastAsia="zh-CN"/>
        </w:rPr>
        <w:t>泸惠保</w:t>
      </w:r>
      <w:r>
        <w:rPr>
          <w:rFonts w:hint="eastAsia" w:ascii="仿宋" w:hAnsi="仿宋" w:eastAsia="仿宋" w:cs="仿宋"/>
          <w:color w:val="auto"/>
          <w:u w:val="single"/>
          <w:lang w:eastAsia="zh-CN"/>
        </w:rPr>
        <w:t>宣传</w:t>
      </w:r>
      <w:r>
        <w:rPr>
          <w:rFonts w:hint="eastAsia" w:ascii="仿宋" w:hAnsi="仿宋" w:eastAsia="仿宋" w:cs="仿宋"/>
          <w:color w:val="auto"/>
          <w:u w:val="single"/>
          <w:lang w:val="en-US" w:eastAsia="zh-CN"/>
        </w:rPr>
        <w:t>推广</w:t>
      </w:r>
      <w:r>
        <w:rPr>
          <w:rFonts w:hint="eastAsia" w:ascii="仿宋" w:hAnsi="仿宋" w:eastAsia="仿宋" w:cs="仿宋"/>
          <w:color w:val="auto"/>
          <w:u w:val="single"/>
          <w:lang w:eastAsia="zh-CN"/>
        </w:rPr>
        <w:t>服务采购项目</w:t>
      </w:r>
      <w:r>
        <w:rPr>
          <w:rFonts w:hint="eastAsia" w:ascii="仿宋" w:hAnsi="仿宋" w:eastAsia="仿宋" w:cs="Cambria Math"/>
          <w:color w:val="000000"/>
          <w:u w:val="single"/>
        </w:rPr>
        <w:t xml:space="preserve">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w:t>
      </w:r>
      <w:r>
        <w:rPr>
          <w:rFonts w:hint="eastAsia" w:ascii="仿宋" w:hAnsi="仿宋" w:eastAsia="仿宋" w:cs="Cambria Math"/>
          <w:color w:val="auto"/>
        </w:rPr>
        <w:t>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40"/>
      <w:bookmarkEnd w:id="141"/>
      <w:bookmarkEnd w:id="145"/>
      <w:bookmarkEnd w:id="146"/>
      <w:bookmarkEnd w:id="147"/>
      <w:bookmarkEnd w:id="148"/>
      <w:bookmarkEnd w:id="149"/>
      <w:bookmarkEnd w:id="150"/>
      <w:bookmarkStart w:id="151" w:name="_Toc21560"/>
      <w:bookmarkStart w:id="152" w:name="_Toc13983"/>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517281838"/>
      <w:bookmarkStart w:id="154" w:name="_Toc5582"/>
      <w:bookmarkStart w:id="155" w:name="_Toc444891355"/>
      <w:bookmarkStart w:id="156" w:name="_Toc4426"/>
      <w:bookmarkStart w:id="157" w:name="_Toc24788"/>
      <w:bookmarkStart w:id="158" w:name="_Toc26267"/>
      <w:bookmarkStart w:id="159" w:name="_Toc20707"/>
      <w:bookmarkStart w:id="160" w:name="_Toc19787"/>
      <w:bookmarkStart w:id="161" w:name="_Toc287600130"/>
      <w:bookmarkStart w:id="162" w:name="_Toc19783361"/>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仿宋"/>
          <w:color w:val="auto"/>
          <w:sz w:val="24"/>
          <w:szCs w:val="24"/>
          <w:u w:val="single"/>
          <w:lang w:eastAsia="zh-CN"/>
        </w:rPr>
        <w:t>人保财险四川省</w:t>
      </w:r>
      <w:r>
        <w:rPr>
          <w:rFonts w:hint="eastAsia" w:ascii="仿宋" w:hAnsi="仿宋" w:eastAsia="仿宋" w:cs="仿宋"/>
          <w:sz w:val="24"/>
          <w:szCs w:val="24"/>
          <w:u w:val="single"/>
          <w:lang w:val="en-US" w:eastAsia="zh-CN"/>
        </w:rPr>
        <w:t>泸州市</w:t>
      </w:r>
      <w:r>
        <w:rPr>
          <w:rFonts w:hint="eastAsia" w:ascii="仿宋" w:hAnsi="仿宋" w:eastAsia="仿宋" w:cs="仿宋"/>
          <w:sz w:val="24"/>
          <w:szCs w:val="24"/>
          <w:u w:val="single"/>
        </w:rPr>
        <w:t>分公司</w:t>
      </w:r>
      <w:r>
        <w:rPr>
          <w:rFonts w:hint="eastAsia" w:ascii="仿宋" w:hAnsi="仿宋" w:eastAsia="仿宋" w:cs="仿宋"/>
          <w:sz w:val="24"/>
          <w:szCs w:val="24"/>
          <w:u w:val="single"/>
          <w:lang w:val="en-US" w:eastAsia="zh-CN"/>
        </w:rPr>
        <w:t>泸惠保</w:t>
      </w:r>
      <w:r>
        <w:rPr>
          <w:rFonts w:hint="eastAsia" w:ascii="仿宋" w:hAnsi="仿宋" w:eastAsia="仿宋" w:cs="仿宋"/>
          <w:color w:val="auto"/>
          <w:sz w:val="24"/>
          <w:szCs w:val="24"/>
          <w:u w:val="single"/>
          <w:lang w:eastAsia="zh-CN"/>
        </w:rPr>
        <w:t>宣传</w:t>
      </w:r>
      <w:r>
        <w:rPr>
          <w:rFonts w:hint="eastAsia" w:ascii="仿宋" w:hAnsi="仿宋" w:eastAsia="仿宋" w:cs="仿宋"/>
          <w:color w:val="auto"/>
          <w:sz w:val="24"/>
          <w:szCs w:val="24"/>
          <w:u w:val="single"/>
          <w:lang w:val="en-US" w:eastAsia="zh-CN"/>
        </w:rPr>
        <w:t>推广</w:t>
      </w:r>
      <w:r>
        <w:rPr>
          <w:rFonts w:hint="eastAsia" w:ascii="仿宋" w:hAnsi="仿宋" w:eastAsia="仿宋" w:cs="仿宋"/>
          <w:color w:val="auto"/>
          <w:sz w:val="24"/>
          <w:szCs w:val="24"/>
          <w:u w:val="single"/>
          <w:lang w:eastAsia="zh-CN"/>
        </w:rPr>
        <w:t>服务采购项目</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pStyle w:val="2"/>
        <w:rPr>
          <w:rFonts w:ascii="宋体" w:hAnsi="宋体"/>
          <w:szCs w:val="21"/>
        </w:rPr>
      </w:pP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3" w:name="_Toc30551"/>
      <w:bookmarkStart w:id="164" w:name="_Toc7090"/>
      <w:bookmarkStart w:id="165" w:name="_Toc517281841"/>
      <w:r>
        <w:rPr>
          <w:rFonts w:hint="eastAsia" w:ascii="仿宋" w:hAnsi="仿宋" w:eastAsia="仿宋" w:cs="仿宋"/>
          <w:color w:val="000000"/>
          <w:sz w:val="24"/>
          <w:szCs w:val="24"/>
        </w:rPr>
        <w:t>（四）资格证明文件</w:t>
      </w:r>
      <w:bookmarkEnd w:id="163"/>
      <w:bookmarkEnd w:id="164"/>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spacing w:line="360" w:lineRule="auto"/>
        <w:ind w:firstLine="480" w:firstLineChars="200"/>
        <w:textAlignment w:val="baseline"/>
        <w:rPr>
          <w:rFonts w:ascii="仿宋" w:hAnsi="仿宋" w:eastAsia="仿宋" w:cs="仿宋"/>
          <w:color w:val="000000"/>
        </w:rPr>
      </w:pPr>
      <w:r>
        <w:rPr>
          <w:rFonts w:hint="eastAsia" w:ascii="仿宋" w:hAnsi="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b/>
          <w:bCs/>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hint="eastAsia" w:ascii="仿宋" w:hAnsi="仿宋" w:eastAsia="仿宋" w:cs="仿宋"/>
          <w:b/>
          <w:bCs/>
          <w:color w:val="000000"/>
          <w:lang w:val="en-US" w:eastAsia="zh-CN"/>
        </w:rPr>
        <w:t>4</w:t>
      </w:r>
      <w:r>
        <w:rPr>
          <w:rFonts w:hint="eastAsia" w:ascii="仿宋" w:hAnsi="仿宋" w:eastAsia="仿宋" w:cs="仿宋"/>
          <w:b/>
          <w:bCs/>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lang w:eastAsia="zh-CN"/>
        </w:rPr>
        <w:t>中国人民财产保险股份有限公司泸州</w:t>
      </w:r>
      <w:r>
        <w:rPr>
          <w:rFonts w:hint="eastAsia" w:ascii="仿宋" w:hAnsi="仿宋" w:eastAsia="仿宋" w:cs="Cambria Math"/>
          <w:color w:val="000000"/>
          <w:u w:val="single"/>
          <w:lang w:val="en-US" w:eastAsia="zh-CN"/>
        </w:rPr>
        <w:t>市分</w:t>
      </w:r>
      <w:r>
        <w:rPr>
          <w:rFonts w:hint="eastAsia" w:ascii="仿宋" w:hAnsi="仿宋" w:eastAsia="仿宋" w:cs="Cambria Math"/>
          <w:color w:val="000000"/>
          <w:u w:val="single"/>
          <w:lang w:eastAsia="zh-CN"/>
        </w:rPr>
        <w:t>公司</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6" w:name="_Hlk69983040"/>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w:t>
      </w:r>
      <w:r>
        <w:rPr>
          <w:rFonts w:hint="eastAsia" w:ascii="仿宋" w:hAnsi="仿宋" w:eastAsia="仿宋" w:cs="宋体"/>
          <w:color w:val="000000"/>
          <w:u w:val="single"/>
          <w:lang w:eastAsia="zh-CN"/>
        </w:rPr>
        <w:t>中国人民财产保险股份有限公司泸州市</w:t>
      </w:r>
      <w:r>
        <w:rPr>
          <w:rFonts w:hint="eastAsia" w:ascii="仿宋" w:hAnsi="仿宋" w:eastAsia="仿宋" w:cs="宋体"/>
          <w:color w:val="000000"/>
          <w:u w:val="single"/>
          <w:lang w:val="en-US" w:eastAsia="zh-CN"/>
        </w:rPr>
        <w:t>分公司</w:t>
      </w:r>
      <w:r>
        <w:rPr>
          <w:rFonts w:hint="eastAsia" w:ascii="仿宋" w:hAnsi="仿宋" w:eastAsia="仿宋" w:cs="宋体"/>
          <w:color w:val="000000"/>
          <w:u w:val="single"/>
        </w:rPr>
        <w:t xml:space="preserve">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仿宋"/>
          <w:color w:val="auto"/>
          <w:u w:val="single"/>
          <w:lang w:eastAsia="zh-CN"/>
        </w:rPr>
        <w:t>人保财险四川省</w:t>
      </w:r>
      <w:r>
        <w:rPr>
          <w:rFonts w:hint="eastAsia" w:ascii="仿宋" w:hAnsi="仿宋" w:eastAsia="仿宋" w:cs="仿宋"/>
          <w:sz w:val="24"/>
          <w:szCs w:val="24"/>
          <w:u w:val="single"/>
          <w:lang w:val="en-US" w:eastAsia="zh-CN"/>
        </w:rPr>
        <w:t>泸州市</w:t>
      </w:r>
      <w:r>
        <w:rPr>
          <w:rFonts w:hint="eastAsia" w:ascii="仿宋" w:hAnsi="仿宋" w:eastAsia="仿宋" w:cs="仿宋"/>
          <w:sz w:val="24"/>
          <w:szCs w:val="24"/>
          <w:u w:val="single"/>
        </w:rPr>
        <w:t>分公司</w:t>
      </w:r>
      <w:r>
        <w:rPr>
          <w:rFonts w:hint="eastAsia" w:ascii="仿宋" w:hAnsi="仿宋" w:eastAsia="仿宋" w:cs="仿宋"/>
          <w:sz w:val="24"/>
          <w:szCs w:val="24"/>
          <w:u w:val="single"/>
          <w:lang w:val="en-US" w:eastAsia="zh-CN"/>
        </w:rPr>
        <w:t>泸惠保</w:t>
      </w:r>
      <w:r>
        <w:rPr>
          <w:rFonts w:hint="eastAsia" w:ascii="仿宋" w:hAnsi="仿宋" w:eastAsia="仿宋" w:cs="仿宋"/>
          <w:color w:val="auto"/>
          <w:u w:val="single"/>
          <w:lang w:eastAsia="zh-CN"/>
        </w:rPr>
        <w:t>宣传</w:t>
      </w:r>
      <w:r>
        <w:rPr>
          <w:rFonts w:hint="eastAsia" w:ascii="仿宋" w:hAnsi="仿宋" w:eastAsia="仿宋" w:cs="仿宋"/>
          <w:color w:val="auto"/>
          <w:u w:val="single"/>
          <w:lang w:val="en-US" w:eastAsia="zh-CN"/>
        </w:rPr>
        <w:t>推广</w:t>
      </w:r>
      <w:r>
        <w:rPr>
          <w:rFonts w:hint="eastAsia" w:ascii="仿宋" w:hAnsi="仿宋" w:eastAsia="仿宋" w:cs="仿宋"/>
          <w:color w:val="auto"/>
          <w:u w:val="single"/>
          <w:lang w:eastAsia="zh-CN"/>
        </w:rPr>
        <w:t>服务采购项目</w:t>
      </w:r>
      <w:r>
        <w:rPr>
          <w:rFonts w:hint="eastAsia" w:ascii="仿宋" w:hAnsi="仿宋" w:eastAsia="仿宋" w:cs="宋体"/>
          <w:color w:val="000000"/>
        </w:rPr>
        <w:t>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宋体"/>
          <w:color w:val="000000"/>
        </w:rPr>
      </w:pPr>
      <w:r>
        <w:rPr>
          <w:rFonts w:hint="eastAsia" w:ascii="仿宋" w:hAnsi="仿宋" w:eastAsia="仿宋" w:cs="宋体"/>
          <w:color w:val="000000"/>
        </w:rPr>
        <w:t>3.如未有相关情况，请在相应栏填写“无”。</w:t>
      </w:r>
    </w:p>
    <w:p>
      <w:pPr>
        <w:pStyle w:val="2"/>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hint="eastAsia"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p>
    <w:p>
      <w:pPr>
        <w:spacing w:line="360" w:lineRule="auto"/>
        <w:jc w:val="left"/>
        <w:rPr>
          <w:rFonts w:ascii="仿宋" w:hAnsi="仿宋" w:eastAsia="仿宋" w:cs="仿宋"/>
          <w:b/>
          <w:bCs/>
          <w:color w:val="000000"/>
        </w:rPr>
      </w:pPr>
      <w:r>
        <w:rPr>
          <w:rFonts w:hint="eastAsia" w:ascii="仿宋" w:hAnsi="仿宋" w:eastAsia="仿宋" w:cs="仿宋"/>
          <w:b/>
          <w:bCs/>
          <w:color w:val="000000"/>
          <w:lang w:val="en-US" w:eastAsia="zh-CN"/>
        </w:rPr>
        <w:t>6</w:t>
      </w:r>
      <w:r>
        <w:rPr>
          <w:rFonts w:hint="eastAsia" w:ascii="仿宋" w:hAnsi="仿宋" w:eastAsia="仿宋" w:cs="仿宋"/>
          <w:b/>
          <w:bCs/>
          <w:color w:val="000000"/>
        </w:rPr>
        <w:t>、非联合体比选响应声明</w:t>
      </w:r>
    </w:p>
    <w:bookmarkEnd w:id="165"/>
    <w:bookmarkEnd w:id="166"/>
    <w:p>
      <w:pPr>
        <w:pStyle w:val="2"/>
        <w:spacing w:before="240"/>
        <w:jc w:val="center"/>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w:t>
      </w:r>
      <w:r>
        <w:rPr>
          <w:rFonts w:hint="eastAsia" w:ascii="仿宋" w:hAnsi="仿宋" w:eastAsia="仿宋" w:cs="仿宋"/>
          <w:color w:val="auto"/>
          <w:u w:val="single"/>
          <w:lang w:eastAsia="zh-CN"/>
        </w:rPr>
        <w:t>人保财险四川省</w:t>
      </w:r>
      <w:r>
        <w:rPr>
          <w:rFonts w:hint="eastAsia" w:ascii="仿宋" w:hAnsi="仿宋" w:eastAsia="仿宋" w:cs="仿宋"/>
          <w:sz w:val="24"/>
          <w:szCs w:val="24"/>
          <w:u w:val="single"/>
          <w:lang w:val="en-US" w:eastAsia="zh-CN"/>
        </w:rPr>
        <w:t>泸州市</w:t>
      </w:r>
      <w:r>
        <w:rPr>
          <w:rFonts w:hint="eastAsia" w:ascii="仿宋" w:hAnsi="仿宋" w:eastAsia="仿宋" w:cs="仿宋"/>
          <w:sz w:val="24"/>
          <w:szCs w:val="24"/>
          <w:u w:val="single"/>
        </w:rPr>
        <w:t>分公司</w:t>
      </w:r>
      <w:r>
        <w:rPr>
          <w:rFonts w:hint="eastAsia" w:ascii="仿宋" w:hAnsi="仿宋" w:eastAsia="仿宋" w:cs="仿宋"/>
          <w:sz w:val="24"/>
          <w:szCs w:val="24"/>
          <w:u w:val="single"/>
          <w:lang w:val="en-US" w:eastAsia="zh-CN"/>
        </w:rPr>
        <w:t>泸惠保</w:t>
      </w:r>
      <w:r>
        <w:rPr>
          <w:rFonts w:hint="eastAsia" w:ascii="仿宋" w:hAnsi="仿宋" w:eastAsia="仿宋" w:cs="仿宋"/>
          <w:color w:val="auto"/>
          <w:u w:val="single"/>
          <w:lang w:eastAsia="zh-CN"/>
        </w:rPr>
        <w:t>宣传</w:t>
      </w:r>
      <w:r>
        <w:rPr>
          <w:rFonts w:hint="eastAsia" w:ascii="仿宋" w:hAnsi="仿宋" w:eastAsia="仿宋" w:cs="仿宋"/>
          <w:color w:val="auto"/>
          <w:u w:val="single"/>
          <w:lang w:val="en-US" w:eastAsia="zh-CN"/>
        </w:rPr>
        <w:t>推广</w:t>
      </w:r>
      <w:r>
        <w:rPr>
          <w:rFonts w:hint="eastAsia" w:ascii="仿宋" w:hAnsi="仿宋" w:eastAsia="仿宋" w:cs="仿宋"/>
          <w:color w:val="auto"/>
          <w:u w:val="single"/>
          <w:lang w:eastAsia="zh-CN"/>
        </w:rPr>
        <w:t>服务采购项目</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8" w:name="_Toc25676"/>
      <w:bookmarkStart w:id="169" w:name="_Toc15130"/>
      <w:bookmarkStart w:id="170" w:name="_Toc112068411"/>
      <w:bookmarkStart w:id="171" w:name="_Toc65683009"/>
      <w:bookmarkStart w:id="172" w:name="_Toc18208"/>
      <w:bookmarkStart w:id="173" w:name="_Toc144139212"/>
      <w:bookmarkStart w:id="174" w:name="_Toc17890"/>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keepNext/>
        <w:keepLines/>
        <w:pageBreakBefore w:val="0"/>
        <w:widowControl/>
        <w:kinsoku/>
        <w:wordWrap/>
        <w:overflowPunct/>
        <w:topLinePunct w:val="0"/>
        <w:autoSpaceDE/>
        <w:autoSpaceDN/>
        <w:bidi w:val="0"/>
        <w:adjustRightInd/>
        <w:snapToGrid/>
        <w:spacing w:before="0" w:after="0" w:line="416" w:lineRule="auto"/>
        <w:textAlignment w:val="auto"/>
        <w:rPr>
          <w:rFonts w:hint="eastAsia" w:ascii="仿宋" w:hAnsi="仿宋" w:eastAsia="仿宋" w:cs="仿宋"/>
          <w:sz w:val="24"/>
          <w:szCs w:val="24"/>
        </w:rPr>
      </w:pPr>
      <w:bookmarkStart w:id="175" w:name="_Toc3329"/>
      <w:r>
        <w:rPr>
          <w:rFonts w:hint="eastAsia" w:ascii="仿宋" w:hAnsi="仿宋" w:eastAsia="仿宋" w:cs="仿宋"/>
          <w:sz w:val="24"/>
          <w:szCs w:val="24"/>
        </w:rPr>
        <w:t>（六）合同条款应答偏离表</w:t>
      </w:r>
      <w:bookmarkEnd w:id="175"/>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6" w:name="_Toc29063"/>
      <w:r>
        <w:rPr>
          <w:rFonts w:hint="eastAsia" w:ascii="仿宋" w:hAnsi="仿宋" w:eastAsia="仿宋" w:cs="仿宋"/>
          <w:color w:val="000000"/>
          <w:sz w:val="24"/>
          <w:szCs w:val="24"/>
        </w:rPr>
        <w:t>（</w:t>
      </w:r>
      <w:r>
        <w:rPr>
          <w:rFonts w:hint="eastAsia" w:ascii="仿宋" w:hAnsi="仿宋" w:eastAsia="仿宋" w:cs="仿宋"/>
          <w:color w:val="000000"/>
          <w:sz w:val="24"/>
          <w:szCs w:val="24"/>
          <w:lang w:eastAsia="zh-CN"/>
        </w:rPr>
        <w:t>七</w:t>
      </w:r>
      <w:r>
        <w:rPr>
          <w:rFonts w:hint="eastAsia" w:ascii="仿宋" w:hAnsi="仿宋" w:eastAsia="仿宋" w:cs="仿宋"/>
          <w:color w:val="000000"/>
          <w:sz w:val="24"/>
          <w:szCs w:val="24"/>
        </w:rPr>
        <w:t>）供应商行为准则承诺书</w:t>
      </w:r>
      <w:bookmarkEnd w:id="174"/>
      <w:bookmarkEnd w:id="176"/>
    </w:p>
    <w:p>
      <w:pPr>
        <w:jc w:val="center"/>
        <w:rPr>
          <w:rFonts w:ascii="仿宋" w:hAnsi="仿宋" w:eastAsia="仿宋" w:cs="宋体"/>
          <w:b/>
          <w:bCs/>
          <w:color w:val="000000"/>
          <w:sz w:val="28"/>
          <w:szCs w:val="28"/>
        </w:rPr>
      </w:pPr>
      <w:bookmarkStart w:id="177"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8" w:name="_Toc13686"/>
      <w:bookmarkStart w:id="179" w:name="_Toc8068"/>
      <w:r>
        <w:rPr>
          <w:rFonts w:hint="eastAsia" w:ascii="仿宋" w:hAnsi="仿宋" w:eastAsia="仿宋" w:cs="宋体"/>
          <w:bCs w:val="0"/>
          <w:color w:val="000000"/>
          <w:sz w:val="24"/>
          <w:szCs w:val="24"/>
        </w:rPr>
        <w:t>（</w:t>
      </w:r>
      <w:r>
        <w:rPr>
          <w:rFonts w:hint="eastAsia" w:ascii="仿宋" w:hAnsi="仿宋" w:eastAsia="仿宋" w:cs="宋体"/>
          <w:bCs w:val="0"/>
          <w:color w:val="000000"/>
          <w:sz w:val="24"/>
          <w:szCs w:val="24"/>
          <w:lang w:eastAsia="zh-CN"/>
        </w:rPr>
        <w:t>八</w:t>
      </w:r>
      <w:r>
        <w:rPr>
          <w:rFonts w:hint="eastAsia" w:ascii="仿宋" w:hAnsi="仿宋" w:eastAsia="仿宋" w:cs="宋体"/>
          <w:bCs w:val="0"/>
          <w:color w:val="000000"/>
          <w:sz w:val="24"/>
          <w:szCs w:val="24"/>
        </w:rPr>
        <w:t>）供应商廉洁诚信承诺书</w:t>
      </w:r>
      <w:bookmarkEnd w:id="177"/>
      <w:bookmarkEnd w:id="178"/>
      <w:bookmarkEnd w:id="179"/>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80" w:name="_Toc11474"/>
      <w:r>
        <w:rPr>
          <w:rFonts w:hint="eastAsia" w:ascii="仿宋" w:hAnsi="仿宋" w:eastAsia="仿宋" w:cs="宋体"/>
          <w:color w:val="000000"/>
          <w:sz w:val="24"/>
        </w:rPr>
        <w:t>（</w:t>
      </w:r>
      <w:r>
        <w:rPr>
          <w:rFonts w:hint="eastAsia" w:ascii="仿宋" w:hAnsi="仿宋" w:eastAsia="仿宋" w:cs="宋体"/>
          <w:color w:val="000000"/>
          <w:sz w:val="24"/>
          <w:lang w:eastAsia="zh-CN"/>
        </w:rPr>
        <w:t>九</w:t>
      </w:r>
      <w:r>
        <w:rPr>
          <w:rFonts w:hint="eastAsia" w:ascii="仿宋" w:hAnsi="仿宋" w:eastAsia="仿宋" w:cs="宋体"/>
          <w:color w:val="000000"/>
          <w:sz w:val="24"/>
        </w:rPr>
        <w:t>）其他材料</w:t>
      </w:r>
      <w:bookmarkEnd w:id="180"/>
    </w:p>
    <w:p>
      <w:pPr>
        <w:spacing w:line="360" w:lineRule="auto"/>
        <w:rPr>
          <w:rFonts w:ascii="宋体" w:hAnsi="宋体"/>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7"/>
    <w:p>
      <w:pPr>
        <w:pStyle w:val="4"/>
        <w:jc w:val="both"/>
        <w:rPr>
          <w:rFonts w:ascii="仿宋" w:hAnsi="仿宋" w:eastAsia="仿宋" w:cs="仿宋"/>
          <w:color w:val="000000"/>
          <w:sz w:val="24"/>
          <w:szCs w:val="24"/>
        </w:rPr>
      </w:pPr>
      <w:bookmarkStart w:id="181" w:name="_Toc28698"/>
      <w:bookmarkStart w:id="182" w:name="_Toc30259"/>
      <w:r>
        <w:rPr>
          <w:rFonts w:hint="eastAsia" w:ascii="仿宋" w:hAnsi="仿宋" w:eastAsia="仿宋" w:cs="仿宋"/>
          <w:color w:val="000000"/>
          <w:sz w:val="24"/>
          <w:szCs w:val="24"/>
        </w:rPr>
        <w:t>二、技术文件</w:t>
      </w:r>
      <w:bookmarkEnd w:id="181"/>
      <w:bookmarkEnd w:id="182"/>
    </w:p>
    <w:p>
      <w:pPr>
        <w:pStyle w:val="5"/>
        <w:spacing w:before="0" w:after="0" w:line="360" w:lineRule="auto"/>
        <w:rPr>
          <w:rFonts w:ascii="仿宋" w:hAnsi="仿宋" w:eastAsia="仿宋" w:cs="仿宋"/>
          <w:color w:val="000000"/>
          <w:sz w:val="24"/>
          <w:szCs w:val="24"/>
        </w:rPr>
      </w:pPr>
      <w:bookmarkStart w:id="183" w:name="_Toc24804"/>
      <w:bookmarkStart w:id="184" w:name="_Toc8284"/>
      <w:r>
        <w:rPr>
          <w:rFonts w:hint="eastAsia" w:ascii="仿宋" w:hAnsi="仿宋" w:eastAsia="仿宋" w:cs="仿宋"/>
          <w:color w:val="000000"/>
          <w:sz w:val="24"/>
          <w:szCs w:val="24"/>
        </w:rPr>
        <w:t>（</w:t>
      </w:r>
      <w:r>
        <w:rPr>
          <w:rFonts w:hint="eastAsia" w:ascii="仿宋" w:hAnsi="仿宋" w:eastAsia="仿宋" w:cs="仿宋"/>
          <w:color w:val="000000"/>
          <w:sz w:val="24"/>
          <w:szCs w:val="24"/>
          <w:lang w:eastAsia="zh-CN"/>
        </w:rPr>
        <w:t>一</w:t>
      </w:r>
      <w:r>
        <w:rPr>
          <w:rFonts w:hint="eastAsia" w:ascii="仿宋" w:hAnsi="仿宋" w:eastAsia="仿宋" w:cs="仿宋"/>
          <w:color w:val="000000"/>
          <w:sz w:val="24"/>
          <w:szCs w:val="24"/>
        </w:rPr>
        <w:t>）技术方案</w:t>
      </w:r>
      <w:bookmarkEnd w:id="183"/>
      <w:bookmarkEnd w:id="184"/>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85" w:name="_Toc444891358"/>
      <w:bookmarkStart w:id="186" w:name="_Toc517281860"/>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87" w:name="_Toc20365"/>
      <w:bookmarkStart w:id="188" w:name="_Toc3266"/>
      <w:r>
        <w:rPr>
          <w:rFonts w:hint="eastAsia" w:ascii="仿宋" w:hAnsi="仿宋" w:eastAsia="仿宋" w:cs="仿宋"/>
          <w:color w:val="000000"/>
          <w:sz w:val="24"/>
          <w:szCs w:val="24"/>
        </w:rPr>
        <w:t>（</w:t>
      </w:r>
      <w:r>
        <w:rPr>
          <w:rFonts w:hint="eastAsia" w:ascii="仿宋" w:hAnsi="仿宋" w:eastAsia="仿宋" w:cs="仿宋"/>
          <w:color w:val="000000"/>
          <w:sz w:val="24"/>
          <w:szCs w:val="24"/>
          <w:lang w:eastAsia="zh-CN"/>
        </w:rPr>
        <w:t>二</w:t>
      </w:r>
      <w:r>
        <w:rPr>
          <w:rFonts w:hint="eastAsia" w:ascii="仿宋" w:hAnsi="仿宋" w:eastAsia="仿宋" w:cs="仿宋"/>
          <w:color w:val="000000"/>
          <w:sz w:val="24"/>
          <w:szCs w:val="24"/>
        </w:rPr>
        <w:t>）</w:t>
      </w:r>
      <w:bookmarkEnd w:id="185"/>
      <w:bookmarkEnd w:id="186"/>
      <w:r>
        <w:rPr>
          <w:rFonts w:hint="eastAsia" w:ascii="仿宋" w:hAnsi="仿宋" w:eastAsia="仿宋" w:cs="仿宋"/>
          <w:color w:val="000000"/>
          <w:sz w:val="24"/>
          <w:szCs w:val="24"/>
        </w:rPr>
        <w:t>其他材料</w:t>
      </w:r>
      <w:bookmarkEnd w:id="187"/>
      <w:bookmarkEnd w:id="188"/>
    </w:p>
    <w:p>
      <w:pPr>
        <w:spacing w:line="360" w:lineRule="auto"/>
        <w:rPr>
          <w:rFonts w:hint="eastAsia" w:ascii="仿宋" w:hAnsi="仿宋" w:eastAsia="仿宋" w:cs="仿宋"/>
          <w:b/>
          <w:bCs/>
          <w:iCs/>
          <w:color w:val="000000"/>
          <w:sz w:val="24"/>
          <w:szCs w:val="24"/>
          <w:lang w:val="en-US" w:eastAsia="zh-CN" w:bidi="ar-SA"/>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bookmarkStart w:id="189" w:name="_Toc20443"/>
      <w:r>
        <w:rPr>
          <w:rStyle w:val="84"/>
          <w:rFonts w:hint="eastAsia" w:ascii="仿宋" w:hAnsi="仿宋" w:eastAsia="仿宋" w:cs="仿宋"/>
          <w:sz w:val="24"/>
          <w:szCs w:val="24"/>
          <w:lang w:val="en-US" w:eastAsia="zh-CN"/>
        </w:rPr>
        <w:t>三、报价文件</w:t>
      </w:r>
      <w:bookmarkEnd w:id="189"/>
    </w:p>
    <w:p>
      <w:pPr>
        <w:pStyle w:val="5"/>
        <w:spacing w:before="0" w:after="0" w:line="360" w:lineRule="auto"/>
        <w:ind w:firstLine="482"/>
        <w:rPr>
          <w:rFonts w:ascii="仿宋" w:hAnsi="仿宋" w:eastAsia="仿宋" w:cs="仿宋"/>
          <w:color w:val="000000"/>
          <w:sz w:val="24"/>
          <w:szCs w:val="24"/>
        </w:rPr>
      </w:pPr>
      <w:bookmarkStart w:id="190" w:name="_Toc511726864"/>
      <w:bookmarkStart w:id="191" w:name="_Toc17415"/>
      <w:bookmarkStart w:id="192" w:name="_Toc18942"/>
      <w:r>
        <w:rPr>
          <w:rFonts w:hint="eastAsia" w:ascii="仿宋" w:hAnsi="仿宋" w:eastAsia="仿宋" w:cs="仿宋"/>
          <w:color w:val="000000"/>
          <w:sz w:val="24"/>
          <w:szCs w:val="24"/>
        </w:rPr>
        <w:t>（一）报价</w:t>
      </w:r>
      <w:bookmarkEnd w:id="190"/>
      <w:r>
        <w:rPr>
          <w:rFonts w:hint="eastAsia" w:ascii="仿宋" w:hAnsi="仿宋" w:eastAsia="仿宋" w:cs="仿宋"/>
          <w:color w:val="000000"/>
          <w:sz w:val="24"/>
          <w:szCs w:val="24"/>
        </w:rPr>
        <w:t>一览表</w:t>
      </w:r>
      <w:bookmarkEnd w:id="191"/>
      <w:bookmarkEnd w:id="192"/>
    </w:p>
    <w:p>
      <w:pPr>
        <w:pStyle w:val="11"/>
        <w:spacing w:line="360" w:lineRule="auto"/>
        <w:ind w:hanging="142"/>
        <w:jc w:val="left"/>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lang w:eastAsia="zh-CN"/>
        </w:rPr>
        <w:t>人保财险四川省泸州市</w:t>
      </w:r>
      <w:r>
        <w:rPr>
          <w:rFonts w:hint="eastAsia" w:ascii="仿宋" w:hAnsi="仿宋" w:eastAsia="仿宋" w:cs="仿宋"/>
          <w:color w:val="000000"/>
          <w:sz w:val="24"/>
          <w:szCs w:val="24"/>
          <w:u w:val="single"/>
          <w:lang w:val="en-US" w:eastAsia="zh-CN"/>
        </w:rPr>
        <w:t>分公司泸惠保</w:t>
      </w:r>
      <w:r>
        <w:rPr>
          <w:rFonts w:hint="eastAsia" w:ascii="仿宋" w:hAnsi="仿宋" w:eastAsia="仿宋" w:cs="仿宋"/>
          <w:color w:val="000000"/>
          <w:sz w:val="24"/>
          <w:szCs w:val="24"/>
          <w:u w:val="single"/>
          <w:lang w:eastAsia="zh-CN"/>
        </w:rPr>
        <w:t>宣传</w:t>
      </w:r>
      <w:r>
        <w:rPr>
          <w:rFonts w:hint="eastAsia" w:ascii="仿宋" w:hAnsi="仿宋" w:eastAsia="仿宋" w:cs="仿宋"/>
          <w:color w:val="000000"/>
          <w:sz w:val="24"/>
          <w:szCs w:val="24"/>
          <w:u w:val="single"/>
          <w:lang w:val="en-US" w:eastAsia="zh-CN"/>
        </w:rPr>
        <w:t>推广</w:t>
      </w:r>
      <w:r>
        <w:rPr>
          <w:rFonts w:hint="eastAsia" w:ascii="仿宋" w:hAnsi="仿宋" w:eastAsia="仿宋" w:cs="仿宋"/>
          <w:color w:val="000000"/>
          <w:sz w:val="24"/>
          <w:szCs w:val="24"/>
          <w:u w:val="single"/>
          <w:lang w:eastAsia="zh-CN"/>
        </w:rPr>
        <w:t>服务采购项目</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3938" w:type="pct"/>
        <w:jc w:val="center"/>
        <w:tblLayout w:type="autofit"/>
        <w:tblCellMar>
          <w:top w:w="0" w:type="dxa"/>
          <w:left w:w="108" w:type="dxa"/>
          <w:bottom w:w="0" w:type="dxa"/>
          <w:right w:w="108" w:type="dxa"/>
        </w:tblCellMar>
      </w:tblPr>
      <w:tblGrid>
        <w:gridCol w:w="666"/>
        <w:gridCol w:w="1841"/>
        <w:gridCol w:w="1844"/>
        <w:gridCol w:w="1658"/>
        <w:gridCol w:w="1108"/>
      </w:tblGrid>
      <w:tr>
        <w:tblPrEx>
          <w:tblCellMar>
            <w:top w:w="0" w:type="dxa"/>
            <w:left w:w="108" w:type="dxa"/>
            <w:bottom w:w="0" w:type="dxa"/>
            <w:right w:w="108" w:type="dxa"/>
          </w:tblCellMar>
        </w:tblPrEx>
        <w:trPr>
          <w:trHeight w:val="793"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序号</w:t>
            </w:r>
          </w:p>
        </w:tc>
        <w:tc>
          <w:tcPr>
            <w:tcW w:w="1293"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报价内容</w:t>
            </w:r>
          </w:p>
        </w:tc>
        <w:tc>
          <w:tcPr>
            <w:tcW w:w="1295"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含税价</w:t>
            </w:r>
          </w:p>
          <w:p>
            <w:pPr>
              <w:jc w:val="center"/>
              <w:rPr>
                <w:rFonts w:hint="eastAsia" w:ascii="仿宋" w:hAnsi="仿宋" w:eastAsia="仿宋" w:cs="仿宋"/>
                <w:b/>
                <w:bCs/>
                <w:color w:val="000000"/>
                <w:szCs w:val="21"/>
              </w:rPr>
            </w:pPr>
          </w:p>
        </w:tc>
        <w:tc>
          <w:tcPr>
            <w:tcW w:w="116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增值</w:t>
            </w:r>
            <w:r>
              <w:rPr>
                <w:rFonts w:hint="eastAsia" w:ascii="仿宋" w:hAnsi="仿宋" w:eastAsia="仿宋" w:cs="仿宋"/>
                <w:b/>
                <w:bCs/>
                <w:color w:val="000000"/>
                <w:szCs w:val="21"/>
                <w:lang w:val="en-US" w:eastAsia="zh-CN"/>
              </w:rPr>
              <w:t>税</w:t>
            </w:r>
            <w:r>
              <w:rPr>
                <w:rFonts w:hint="eastAsia" w:ascii="仿宋" w:hAnsi="仿宋" w:eastAsia="仿宋" w:cs="仿宋"/>
                <w:b/>
                <w:bCs/>
                <w:color w:val="000000"/>
                <w:szCs w:val="21"/>
              </w:rPr>
              <w:t>发票类型</w:t>
            </w:r>
          </w:p>
        </w:tc>
        <w:tc>
          <w:tcPr>
            <w:tcW w:w="77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备注</w:t>
            </w:r>
          </w:p>
        </w:tc>
      </w:tr>
      <w:tr>
        <w:tblPrEx>
          <w:tblCellMar>
            <w:top w:w="0" w:type="dxa"/>
            <w:left w:w="108" w:type="dxa"/>
            <w:bottom w:w="0" w:type="dxa"/>
            <w:right w:w="108" w:type="dxa"/>
          </w:tblCellMar>
        </w:tblPrEx>
        <w:trPr>
          <w:trHeight w:val="1264" w:hRule="atLeast"/>
          <w:jc w:val="center"/>
        </w:trPr>
        <w:tc>
          <w:tcPr>
            <w:tcW w:w="468" w:type="pct"/>
            <w:tcBorders>
              <w:top w:val="nil"/>
              <w:left w:val="single" w:color="auto" w:sz="4" w:space="0"/>
              <w:bottom w:val="single" w:color="auto" w:sz="4" w:space="0"/>
              <w:right w:val="single" w:color="auto" w:sz="4" w:space="0"/>
            </w:tcBorders>
            <w:vAlign w:val="center"/>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1</w:t>
            </w:r>
          </w:p>
        </w:tc>
        <w:tc>
          <w:tcPr>
            <w:tcW w:w="1293" w:type="pct"/>
            <w:tcBorders>
              <w:top w:val="nil"/>
              <w:left w:val="nil"/>
              <w:bottom w:val="single" w:color="auto" w:sz="4" w:space="0"/>
              <w:right w:val="single" w:color="auto" w:sz="4" w:space="0"/>
            </w:tcBorders>
            <w:vAlign w:val="center"/>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总活动价格</w:t>
            </w:r>
          </w:p>
          <w:p>
            <w:pPr>
              <w:pStyle w:val="2"/>
              <w:rPr>
                <w:rFonts w:hint="default"/>
                <w:sz w:val="24"/>
                <w:szCs w:val="24"/>
                <w:lang w:val="en-US" w:eastAsia="zh-CN"/>
              </w:rPr>
            </w:pPr>
            <w:r>
              <w:rPr>
                <w:rFonts w:hint="eastAsia" w:ascii="仿宋" w:hAnsi="仿宋" w:eastAsia="仿宋" w:cs="仿宋"/>
                <w:bCs/>
                <w:color w:val="000000"/>
                <w:sz w:val="24"/>
                <w:szCs w:val="24"/>
                <w:lang w:val="en-US" w:eastAsia="zh-CN"/>
              </w:rPr>
              <w:t>（线上+线下）</w:t>
            </w:r>
          </w:p>
        </w:tc>
        <w:tc>
          <w:tcPr>
            <w:tcW w:w="1295" w:type="pct"/>
            <w:tcBorders>
              <w:top w:val="nil"/>
              <w:left w:val="nil"/>
              <w:bottom w:val="single" w:color="auto" w:sz="4" w:space="0"/>
              <w:right w:val="single" w:color="auto" w:sz="4" w:space="0"/>
            </w:tcBorders>
            <w:vAlign w:val="center"/>
          </w:tcPr>
          <w:p>
            <w:pPr>
              <w:jc w:val="center"/>
              <w:rPr>
                <w:rFonts w:hint="eastAsia" w:ascii="仿宋" w:hAnsi="仿宋" w:eastAsia="仿宋" w:cs="仿宋"/>
                <w:color w:val="000000"/>
                <w:sz w:val="24"/>
                <w:szCs w:val="24"/>
              </w:rPr>
            </w:pPr>
          </w:p>
        </w:tc>
        <w:tc>
          <w:tcPr>
            <w:tcW w:w="1164" w:type="pct"/>
            <w:tcBorders>
              <w:top w:val="single" w:color="auto" w:sz="4" w:space="0"/>
              <w:left w:val="single" w:color="auto" w:sz="4" w:space="0"/>
              <w:bottom w:val="single" w:color="auto" w:sz="4" w:space="0"/>
              <w:right w:val="single" w:color="auto" w:sz="4" w:space="0"/>
            </w:tcBorders>
          </w:tcPr>
          <w:p>
            <w:pPr>
              <w:jc w:val="center"/>
              <w:rPr>
                <w:rFonts w:hint="eastAsia" w:ascii="仿宋" w:hAnsi="仿宋" w:eastAsia="仿宋" w:cs="仿宋"/>
                <w:color w:val="000000"/>
                <w:sz w:val="24"/>
                <w:szCs w:val="24"/>
              </w:rPr>
            </w:pPr>
          </w:p>
        </w:tc>
        <w:tc>
          <w:tcPr>
            <w:tcW w:w="77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000000"/>
                <w:sz w:val="24"/>
                <w:szCs w:val="24"/>
              </w:rPr>
            </w:pPr>
          </w:p>
        </w:tc>
      </w:tr>
    </w:tbl>
    <w:p>
      <w:pPr>
        <w:spacing w:line="360" w:lineRule="auto"/>
        <w:rPr>
          <w:rFonts w:ascii="仿宋" w:hAnsi="仿宋" w:eastAsia="仿宋" w:cs="仿宋"/>
          <w:bCs/>
          <w:color w:val="000000"/>
        </w:rPr>
      </w:pPr>
    </w:p>
    <w:p>
      <w:pPr>
        <w:spacing w:line="360" w:lineRule="auto"/>
        <w:rPr>
          <w:rFonts w:ascii="仿宋" w:hAnsi="仿宋" w:eastAsia="仿宋"/>
          <w:bCs/>
        </w:rPr>
      </w:pPr>
      <w:r>
        <w:rPr>
          <w:rFonts w:hint="eastAsia" w:ascii="仿宋" w:hAnsi="仿宋" w:eastAsia="仿宋" w:cs="仿宋"/>
          <w:bCs/>
          <w:color w:val="000000"/>
        </w:rPr>
        <w:t>备注：</w:t>
      </w:r>
      <w:r>
        <w:rPr>
          <w:rFonts w:hint="eastAsia" w:ascii="仿宋" w:hAnsi="仿宋" w:eastAsia="仿宋"/>
          <w:bCs/>
        </w:rPr>
        <w:t>本次报价精确到小数点后两位（四舍五入）。</w:t>
      </w:r>
    </w:p>
    <w:p>
      <w:pPr>
        <w:pStyle w:val="51"/>
        <w:spacing w:line="360" w:lineRule="auto"/>
        <w:ind w:firstLine="0" w:firstLineChars="0"/>
        <w:rPr>
          <w:rFonts w:ascii="仿宋" w:hAnsi="仿宋" w:eastAsia="仿宋" w:cs="宋体"/>
          <w:bCs/>
          <w:color w:val="000000"/>
        </w:rPr>
      </w:pP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3" w:name="_Toc517281864"/>
      <w:bookmarkStart w:id="194" w:name="_Toc16591840"/>
      <w:bookmarkStart w:id="195" w:name="_Toc530319762"/>
      <w:bookmarkStart w:id="196" w:name="_Toc2267055"/>
      <w:bookmarkStart w:id="197" w:name="_Toc518302646"/>
      <w:bookmarkStart w:id="198" w:name="_Toc482180015"/>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8"/>
    <w:bookmarkEnd w:id="193"/>
    <w:bookmarkEnd w:id="194"/>
    <w:bookmarkEnd w:id="195"/>
    <w:bookmarkEnd w:id="196"/>
    <w:bookmarkEnd w:id="197"/>
    <w:bookmarkEnd w:id="198"/>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rPr>
      </w:pPr>
    </w:p>
    <w:p>
      <w:pPr>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5"/>
        <w:numPr>
          <w:ilvl w:val="5"/>
          <w:numId w:val="0"/>
        </w:numPr>
        <w:spacing w:line="360" w:lineRule="auto"/>
        <w:ind w:firstLine="482" w:firstLineChars="200"/>
        <w:jc w:val="both"/>
        <w:rPr>
          <w:rFonts w:hint="eastAsia" w:ascii="仿宋" w:hAnsi="仿宋" w:eastAsia="仿宋" w:cs="仿宋"/>
          <w:color w:val="000000"/>
          <w:sz w:val="24"/>
          <w:szCs w:val="24"/>
        </w:rPr>
      </w:pPr>
    </w:p>
    <w:p>
      <w:pPr>
        <w:pStyle w:val="5"/>
        <w:numPr>
          <w:ilvl w:val="5"/>
          <w:numId w:val="0"/>
        </w:numPr>
        <w:spacing w:line="360" w:lineRule="auto"/>
        <w:ind w:firstLine="482" w:firstLineChars="200"/>
        <w:jc w:val="both"/>
        <w:rPr>
          <w:rFonts w:hint="eastAsia" w:ascii="仿宋" w:hAnsi="仿宋" w:eastAsia="仿宋" w:cs="仿宋"/>
          <w:color w:val="000000"/>
          <w:sz w:val="24"/>
          <w:szCs w:val="24"/>
        </w:rPr>
      </w:pPr>
    </w:p>
    <w:p>
      <w:pPr>
        <w:adjustRightInd w:val="0"/>
        <w:snapToGrid w:val="0"/>
        <w:spacing w:line="360" w:lineRule="auto"/>
        <w:rPr>
          <w:rFonts w:hint="eastAsia" w:ascii="仿宋" w:hAnsi="仿宋" w:eastAsia="仿宋" w:cs="仿宋"/>
          <w:color w:val="000000" w:themeColor="text1"/>
          <w:u w:val="none"/>
          <w14:textFill>
            <w14:solidFill>
              <w14:schemeClr w14:val="tx1"/>
            </w14:solidFill>
          </w14:textFill>
        </w:rPr>
      </w:pPr>
    </w:p>
    <w:p>
      <w:pPr>
        <w:adjustRightInd w:val="0"/>
        <w:snapToGrid w:val="0"/>
        <w:spacing w:line="360" w:lineRule="auto"/>
        <w:rPr>
          <w:rFonts w:hint="eastAsia" w:ascii="仿宋" w:hAnsi="仿宋" w:eastAsia="仿宋" w:cs="仿宋"/>
          <w:color w:val="000000" w:themeColor="text1"/>
          <w:u w:val="none"/>
          <w14:textFill>
            <w14:solidFill>
              <w14:schemeClr w14:val="tx1"/>
            </w14:solidFill>
          </w14:textFill>
        </w:rPr>
      </w:pPr>
    </w:p>
    <w:p>
      <w:pPr>
        <w:pStyle w:val="5"/>
        <w:numPr>
          <w:ilvl w:val="5"/>
          <w:numId w:val="0"/>
        </w:numPr>
        <w:spacing w:line="360" w:lineRule="auto"/>
        <w:ind w:firstLine="482" w:firstLineChars="200"/>
        <w:jc w:val="both"/>
        <w:rPr>
          <w:rFonts w:hint="eastAsia" w:ascii="仿宋" w:hAnsi="仿宋" w:eastAsia="仿宋" w:cs="仿宋"/>
          <w:color w:val="FF0000"/>
        </w:rPr>
      </w:pPr>
      <w:r>
        <w:rPr>
          <w:rFonts w:hint="eastAsia" w:ascii="仿宋" w:hAnsi="仿宋" w:eastAsia="仿宋" w:cs="仿宋"/>
          <w:color w:val="000000"/>
          <w:sz w:val="24"/>
          <w:szCs w:val="24"/>
        </w:rPr>
        <w:t>（二）分项报价表</w:t>
      </w:r>
    </w:p>
    <w:p>
      <w:pPr>
        <w:adjustRightInd w:val="0"/>
        <w:snapToGrid w:val="0"/>
        <w:spacing w:line="360" w:lineRule="auto"/>
        <w:rPr>
          <w:rFonts w:hint="eastAsia" w:ascii="仿宋" w:hAnsi="仿宋" w:eastAsia="仿宋" w:cs="仿宋"/>
          <w:color w:val="000000" w:themeColor="text1"/>
          <w:u w:val="single"/>
          <w:lang w:val="en-US" w:eastAsia="zh-CN"/>
          <w14:textFill>
            <w14:solidFill>
              <w14:schemeClr w14:val="tx1"/>
            </w14:solidFill>
          </w14:textFill>
        </w:rPr>
      </w:pPr>
      <w:r>
        <w:rPr>
          <w:rFonts w:hint="eastAsia" w:ascii="仿宋" w:hAnsi="仿宋" w:eastAsia="仿宋" w:cs="仿宋"/>
          <w:color w:val="000000" w:themeColor="text1"/>
          <w:u w:val="none"/>
          <w14:textFill>
            <w14:solidFill>
              <w14:schemeClr w14:val="tx1"/>
            </w14:solidFill>
          </w14:textFill>
        </w:rPr>
        <w:t>供应商名称：</w:t>
      </w:r>
      <w:r>
        <w:rPr>
          <w:rFonts w:hint="eastAsia" w:ascii="仿宋" w:hAnsi="仿宋" w:eastAsia="仿宋" w:cs="仿宋"/>
          <w:color w:val="000000" w:themeColor="text1"/>
          <w:u w:val="single"/>
          <w:lang w:val="en-US" w:eastAsia="zh-CN"/>
          <w14:textFill>
            <w14:solidFill>
              <w14:schemeClr w14:val="tx1"/>
            </w14:solidFill>
          </w14:textFill>
        </w:rPr>
        <w:t xml:space="preserve">                       </w:t>
      </w:r>
    </w:p>
    <w:p>
      <w:pPr>
        <w:adjustRightInd w:val="0"/>
        <w:snapToGrid w:val="0"/>
        <w:spacing w:line="360" w:lineRule="auto"/>
        <w:rPr>
          <w:rFonts w:hint="eastAsia"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u w:val="none"/>
          <w14:textFill>
            <w14:solidFill>
              <w14:schemeClr w14:val="tx1"/>
            </w14:solidFill>
          </w14:textFill>
        </w:rPr>
        <w:t>项目名称：</w:t>
      </w:r>
      <w:r>
        <w:rPr>
          <w:rFonts w:hint="eastAsia" w:ascii="仿宋" w:hAnsi="仿宋" w:eastAsia="仿宋" w:cs="仿宋"/>
          <w:color w:val="000000" w:themeColor="text1"/>
          <w:u w:val="single"/>
          <w14:textFill>
            <w14:solidFill>
              <w14:schemeClr w14:val="tx1"/>
            </w14:solidFill>
          </w14:textFill>
        </w:rPr>
        <w:t>人保财险四川省泸州市分公司泸惠保宣传推广服务采购项目</w:t>
      </w:r>
    </w:p>
    <w:tbl>
      <w:tblPr>
        <w:tblStyle w:val="29"/>
        <w:tblW w:w="3927" w:type="pct"/>
        <w:jc w:val="center"/>
        <w:tblLayout w:type="autofit"/>
        <w:tblCellMar>
          <w:top w:w="0" w:type="dxa"/>
          <w:left w:w="108" w:type="dxa"/>
          <w:bottom w:w="0" w:type="dxa"/>
          <w:right w:w="108" w:type="dxa"/>
        </w:tblCellMar>
      </w:tblPr>
      <w:tblGrid>
        <w:gridCol w:w="665"/>
        <w:gridCol w:w="1836"/>
        <w:gridCol w:w="1839"/>
        <w:gridCol w:w="1524"/>
        <w:gridCol w:w="1233"/>
      </w:tblGrid>
      <w:tr>
        <w:tblPrEx>
          <w:tblCellMar>
            <w:top w:w="0" w:type="dxa"/>
            <w:left w:w="108" w:type="dxa"/>
            <w:bottom w:w="0" w:type="dxa"/>
            <w:right w:w="108" w:type="dxa"/>
          </w:tblCellMar>
        </w:tblPrEx>
        <w:trPr>
          <w:trHeight w:val="914"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序号</w:t>
            </w:r>
          </w:p>
        </w:tc>
        <w:tc>
          <w:tcPr>
            <w:tcW w:w="1293"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报价内容</w:t>
            </w:r>
          </w:p>
        </w:tc>
        <w:tc>
          <w:tcPr>
            <w:tcW w:w="1295"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含税价</w:t>
            </w:r>
          </w:p>
          <w:p>
            <w:pPr>
              <w:jc w:val="center"/>
              <w:rPr>
                <w:rFonts w:hint="eastAsia" w:ascii="仿宋" w:hAnsi="仿宋" w:eastAsia="仿宋" w:cs="仿宋"/>
                <w:b/>
                <w:bCs/>
                <w:color w:val="000000"/>
                <w:szCs w:val="21"/>
              </w:rPr>
            </w:pPr>
            <w:r>
              <w:rPr>
                <w:rFonts w:hint="eastAsia" w:ascii="仿宋" w:hAnsi="仿宋" w:eastAsia="仿宋" w:cs="仿宋"/>
                <w:b/>
                <w:color w:val="000000"/>
                <w:szCs w:val="21"/>
              </w:rPr>
              <w:t>（元</w:t>
            </w:r>
            <w:r>
              <w:rPr>
                <w:rFonts w:hint="eastAsia" w:ascii="仿宋" w:hAnsi="仿宋" w:eastAsia="仿宋" w:cs="仿宋"/>
                <w:b/>
                <w:color w:val="000000"/>
                <w:szCs w:val="21"/>
                <w:lang w:val="en-US" w:eastAsia="zh-CN"/>
              </w:rPr>
              <w:t>/场</w:t>
            </w:r>
            <w:r>
              <w:rPr>
                <w:rFonts w:hint="eastAsia" w:ascii="仿宋" w:hAnsi="仿宋" w:eastAsia="仿宋" w:cs="仿宋"/>
                <w:b/>
                <w:color w:val="000000"/>
                <w:szCs w:val="21"/>
              </w:rPr>
              <w:t>）</w:t>
            </w:r>
          </w:p>
        </w:tc>
        <w:tc>
          <w:tcPr>
            <w:tcW w:w="107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增值</w:t>
            </w:r>
            <w:r>
              <w:rPr>
                <w:rFonts w:hint="eastAsia" w:ascii="仿宋" w:hAnsi="仿宋" w:eastAsia="仿宋" w:cs="仿宋"/>
                <w:b/>
                <w:bCs/>
                <w:color w:val="000000"/>
                <w:szCs w:val="21"/>
                <w:lang w:val="en-US" w:eastAsia="zh-CN"/>
              </w:rPr>
              <w:t>税</w:t>
            </w:r>
            <w:r>
              <w:rPr>
                <w:rFonts w:hint="eastAsia" w:ascii="仿宋" w:hAnsi="仿宋" w:eastAsia="仿宋" w:cs="仿宋"/>
                <w:b/>
                <w:bCs/>
                <w:color w:val="000000"/>
                <w:szCs w:val="21"/>
              </w:rPr>
              <w:t>发票类型</w:t>
            </w:r>
          </w:p>
        </w:tc>
        <w:tc>
          <w:tcPr>
            <w:tcW w:w="8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备注</w:t>
            </w:r>
          </w:p>
        </w:tc>
      </w:tr>
      <w:tr>
        <w:tblPrEx>
          <w:tblCellMar>
            <w:top w:w="0" w:type="dxa"/>
            <w:left w:w="108" w:type="dxa"/>
            <w:bottom w:w="0" w:type="dxa"/>
            <w:right w:w="108" w:type="dxa"/>
          </w:tblCellMar>
        </w:tblPrEx>
        <w:trPr>
          <w:trHeight w:val="1458" w:hRule="atLeast"/>
          <w:jc w:val="center"/>
        </w:trPr>
        <w:tc>
          <w:tcPr>
            <w:tcW w:w="468" w:type="pct"/>
            <w:tcBorders>
              <w:top w:val="nil"/>
              <w:left w:val="single" w:color="auto" w:sz="4" w:space="0"/>
              <w:bottom w:val="single" w:color="auto" w:sz="4" w:space="0"/>
              <w:right w:val="single" w:color="auto" w:sz="4" w:space="0"/>
            </w:tcBorders>
            <w:vAlign w:val="center"/>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1</w:t>
            </w:r>
          </w:p>
        </w:tc>
        <w:tc>
          <w:tcPr>
            <w:tcW w:w="1293" w:type="pct"/>
            <w:tcBorders>
              <w:top w:val="nil"/>
              <w:left w:val="nil"/>
              <w:bottom w:val="single" w:color="auto" w:sz="4" w:space="0"/>
              <w:right w:val="single" w:color="auto" w:sz="4" w:space="0"/>
            </w:tcBorders>
            <w:vAlign w:val="center"/>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单场动价格</w:t>
            </w:r>
          </w:p>
          <w:p>
            <w:pPr>
              <w:pStyle w:val="2"/>
              <w:rPr>
                <w:rFonts w:hint="default"/>
                <w:sz w:val="24"/>
                <w:szCs w:val="24"/>
                <w:lang w:val="en-US" w:eastAsia="zh-CN"/>
              </w:rPr>
            </w:pPr>
            <w:r>
              <w:rPr>
                <w:rFonts w:hint="eastAsia" w:ascii="仿宋" w:hAnsi="仿宋" w:eastAsia="仿宋" w:cs="仿宋"/>
                <w:bCs/>
                <w:color w:val="000000"/>
                <w:sz w:val="24"/>
                <w:szCs w:val="24"/>
                <w:lang w:val="en-US" w:eastAsia="zh-CN"/>
              </w:rPr>
              <w:t>（线上+线下）</w:t>
            </w:r>
          </w:p>
        </w:tc>
        <w:tc>
          <w:tcPr>
            <w:tcW w:w="1295" w:type="pct"/>
            <w:tcBorders>
              <w:top w:val="nil"/>
              <w:left w:val="nil"/>
              <w:bottom w:val="single" w:color="auto" w:sz="4" w:space="0"/>
              <w:right w:val="single" w:color="auto" w:sz="4" w:space="0"/>
            </w:tcBorders>
            <w:vAlign w:val="center"/>
          </w:tcPr>
          <w:p>
            <w:pPr>
              <w:jc w:val="center"/>
              <w:rPr>
                <w:rFonts w:hint="eastAsia" w:ascii="仿宋" w:hAnsi="仿宋" w:eastAsia="仿宋" w:cs="仿宋"/>
                <w:color w:val="000000"/>
                <w:sz w:val="24"/>
                <w:szCs w:val="24"/>
              </w:rPr>
            </w:pPr>
          </w:p>
        </w:tc>
        <w:tc>
          <w:tcPr>
            <w:tcW w:w="1073" w:type="pct"/>
            <w:tcBorders>
              <w:top w:val="single" w:color="auto" w:sz="4" w:space="0"/>
              <w:left w:val="single" w:color="auto" w:sz="4" w:space="0"/>
              <w:bottom w:val="single" w:color="auto" w:sz="4" w:space="0"/>
              <w:right w:val="single" w:color="auto" w:sz="4" w:space="0"/>
            </w:tcBorders>
          </w:tcPr>
          <w:p>
            <w:pPr>
              <w:jc w:val="center"/>
              <w:rPr>
                <w:rFonts w:hint="eastAsia" w:ascii="仿宋" w:hAnsi="仿宋" w:eastAsia="仿宋" w:cs="仿宋"/>
                <w:color w:val="000000"/>
                <w:sz w:val="24"/>
                <w:szCs w:val="24"/>
              </w:rPr>
            </w:pPr>
          </w:p>
        </w:tc>
        <w:tc>
          <w:tcPr>
            <w:tcW w:w="8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000000"/>
                <w:sz w:val="24"/>
                <w:szCs w:val="24"/>
              </w:rPr>
            </w:pPr>
          </w:p>
        </w:tc>
      </w:tr>
    </w:tbl>
    <w:p>
      <w:pPr>
        <w:pStyle w:val="2"/>
        <w:rPr>
          <w:rFonts w:hint="eastAsia"/>
        </w:rPr>
      </w:pPr>
    </w:p>
    <w:tbl>
      <w:tblPr>
        <w:tblStyle w:val="29"/>
        <w:tblW w:w="8427" w:type="dxa"/>
        <w:jc w:val="center"/>
        <w:tblLayout w:type="fixed"/>
        <w:tblCellMar>
          <w:top w:w="0" w:type="dxa"/>
          <w:left w:w="108" w:type="dxa"/>
          <w:bottom w:w="0" w:type="dxa"/>
          <w:right w:w="108" w:type="dxa"/>
        </w:tblCellMar>
      </w:tblPr>
      <w:tblGrid>
        <w:gridCol w:w="907"/>
        <w:gridCol w:w="4535"/>
        <w:gridCol w:w="1134"/>
        <w:gridCol w:w="1851"/>
      </w:tblGrid>
      <w:tr>
        <w:tblPrEx>
          <w:tblCellMar>
            <w:top w:w="0" w:type="dxa"/>
            <w:left w:w="108" w:type="dxa"/>
            <w:bottom w:w="0" w:type="dxa"/>
            <w:right w:w="108" w:type="dxa"/>
          </w:tblCellMar>
        </w:tblPrEx>
        <w:trPr>
          <w:trHeight w:val="454" w:hRule="atLeast"/>
          <w:jc w:val="center"/>
        </w:trPr>
        <w:tc>
          <w:tcPr>
            <w:tcW w:w="8427"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default" w:ascii="仿宋" w:hAnsi="仿宋" w:eastAsia="仿宋" w:cs="仿宋"/>
                <w:b/>
                <w:bCs/>
                <w:color w:val="auto"/>
                <w:kern w:val="0"/>
                <w:sz w:val="20"/>
                <w:szCs w:val="20"/>
                <w:highlight w:val="none"/>
                <w:lang w:val="en-US" w:eastAsia="zh-CN"/>
              </w:rPr>
            </w:pP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单</w:t>
            </w: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场宣传推广服务</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明细报价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rPr>
              <w:t>序号</w:t>
            </w:r>
          </w:p>
        </w:tc>
        <w:tc>
          <w:tcPr>
            <w:tcW w:w="453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rPr>
              <w:t>项目明细</w:t>
            </w:r>
          </w:p>
        </w:tc>
        <w:tc>
          <w:tcPr>
            <w:tcW w:w="113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rPr>
              <w:t>数量</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b/>
                <w:bCs/>
                <w:kern w:val="0"/>
                <w:sz w:val="21"/>
                <w:szCs w:val="21"/>
                <w:highlight w:val="none"/>
              </w:rPr>
            </w:pPr>
            <w:r>
              <w:rPr>
                <w:rFonts w:hint="eastAsia" w:ascii="仿宋" w:hAnsi="仿宋" w:eastAsia="仿宋" w:cs="仿宋"/>
                <w:b/>
                <w:bCs/>
                <w:kern w:val="0"/>
                <w:sz w:val="21"/>
                <w:szCs w:val="21"/>
                <w:highlight w:val="none"/>
                <w:lang w:val="en-US" w:eastAsia="zh-CN"/>
              </w:rPr>
              <w:t>含税</w:t>
            </w:r>
            <w:r>
              <w:rPr>
                <w:rFonts w:hint="eastAsia" w:ascii="仿宋" w:hAnsi="仿宋" w:eastAsia="仿宋" w:cs="仿宋"/>
                <w:b/>
                <w:bCs/>
                <w:kern w:val="0"/>
                <w:sz w:val="21"/>
                <w:szCs w:val="21"/>
                <w:highlight w:val="none"/>
              </w:rPr>
              <w:t>单价（元/场）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1</w:t>
            </w:r>
          </w:p>
        </w:tc>
        <w:tc>
          <w:tcPr>
            <w:tcW w:w="4535"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lang w:eastAsia="zh-CN"/>
              </w:rPr>
              <w:t>线下场地、策划、宣传</w:t>
            </w:r>
            <w:r>
              <w:rPr>
                <w:rFonts w:hint="eastAsia" w:ascii="仿宋" w:hAnsi="仿宋" w:eastAsia="仿宋" w:cs="仿宋"/>
                <w:kern w:val="0"/>
                <w:sz w:val="20"/>
                <w:szCs w:val="20"/>
                <w:highlight w:val="none"/>
              </w:rPr>
              <w:t>物料及搭建</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kern w:val="0"/>
                <w:sz w:val="20"/>
                <w:szCs w:val="2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2</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kern w:val="0"/>
                <w:sz w:val="20"/>
                <w:szCs w:val="2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3</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4</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5</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6</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907"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highlight w:val="none"/>
                <w:lang w:val="en-US" w:eastAsia="zh-CN"/>
              </w:rPr>
              <w:t>7</w:t>
            </w:r>
          </w:p>
        </w:tc>
        <w:tc>
          <w:tcPr>
            <w:tcW w:w="4535" w:type="dxa"/>
            <w:tcBorders>
              <w:top w:val="nil"/>
              <w:left w:val="nil"/>
              <w:bottom w:val="single" w:color="auto" w:sz="4" w:space="0"/>
              <w:right w:val="single" w:color="auto" w:sz="4" w:space="0"/>
            </w:tcBorders>
            <w:shd w:val="clear" w:color="auto" w:fill="FFFFFF"/>
            <w:noWrap/>
            <w:vAlign w:val="center"/>
          </w:tcPr>
          <w:p>
            <w:pPr>
              <w:ind w:left="0" w:leftChars="0" w:right="0" w:rightChars="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kern w:val="0"/>
                <w:sz w:val="20"/>
                <w:szCs w:val="20"/>
                <w:highlight w:val="none"/>
              </w:rPr>
              <w:t>活动前提供</w:t>
            </w:r>
            <w:r>
              <w:rPr>
                <w:rFonts w:hint="eastAsia" w:ascii="仿宋" w:hAnsi="仿宋" w:eastAsia="仿宋" w:cs="仿宋"/>
                <w:color w:val="auto"/>
                <w:kern w:val="0"/>
                <w:sz w:val="20"/>
                <w:szCs w:val="20"/>
                <w:highlight w:val="none"/>
                <w:u w:val="single"/>
                <w:lang w:val="en-US" w:eastAsia="zh-CN"/>
              </w:rPr>
              <w:t xml:space="preserve">           </w:t>
            </w:r>
            <w:r>
              <w:rPr>
                <w:rFonts w:hint="eastAsia" w:ascii="仿宋" w:hAnsi="仿宋" w:eastAsia="仿宋" w:cs="仿宋"/>
                <w:color w:val="auto"/>
                <w:kern w:val="0"/>
                <w:sz w:val="20"/>
                <w:szCs w:val="20"/>
                <w:highlight w:val="none"/>
              </w:rPr>
              <w:t>主流媒体文章宣传</w:t>
            </w:r>
          </w:p>
        </w:tc>
        <w:tc>
          <w:tcPr>
            <w:tcW w:w="1134" w:type="dxa"/>
            <w:tcBorders>
              <w:top w:val="nil"/>
              <w:left w:val="nil"/>
              <w:bottom w:val="single" w:color="auto" w:sz="4" w:space="0"/>
              <w:right w:val="single" w:color="auto" w:sz="4" w:space="0"/>
            </w:tcBorders>
            <w:shd w:val="clear" w:color="auto" w:fill="auto"/>
            <w:noWrap/>
            <w:vAlign w:val="center"/>
          </w:tcPr>
          <w:p>
            <w:pPr>
              <w:jc w:val="center"/>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1场</w:t>
            </w:r>
          </w:p>
        </w:tc>
        <w:tc>
          <w:tcPr>
            <w:tcW w:w="185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6576"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仿宋" w:hAnsi="仿宋" w:eastAsia="仿宋" w:cs="仿宋"/>
                <w:kern w:val="0"/>
                <w:sz w:val="20"/>
                <w:szCs w:val="20"/>
                <w:highlight w:val="none"/>
                <w:lang w:val="en-US" w:eastAsia="zh-CN"/>
              </w:rPr>
            </w:pPr>
            <w:r>
              <w:rPr>
                <w:rFonts w:hint="eastAsia" w:ascii="仿宋" w:hAnsi="仿宋" w:eastAsia="仿宋" w:cs="仿宋"/>
                <w:kern w:val="0"/>
                <w:sz w:val="20"/>
                <w:szCs w:val="20"/>
                <w:highlight w:val="none"/>
              </w:rPr>
              <w:t>合计</w:t>
            </w:r>
            <w:r>
              <w:rPr>
                <w:rFonts w:hint="eastAsia" w:ascii="仿宋" w:hAnsi="仿宋" w:eastAsia="仿宋" w:cs="仿宋"/>
                <w:kern w:val="0"/>
                <w:sz w:val="20"/>
                <w:szCs w:val="20"/>
                <w:highlight w:val="none"/>
                <w:lang w:val="en-US" w:eastAsia="zh-CN"/>
              </w:rPr>
              <w:t>价格</w:t>
            </w:r>
          </w:p>
        </w:tc>
        <w:tc>
          <w:tcPr>
            <w:tcW w:w="1851"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default" w:ascii="仿宋" w:hAnsi="仿宋" w:eastAsia="仿宋" w:cs="仿宋"/>
                <w:kern w:val="0"/>
                <w:sz w:val="20"/>
                <w:szCs w:val="20"/>
                <w:highlight w:val="none"/>
                <w:lang w:val="en-US" w:eastAsia="zh-CN"/>
              </w:rPr>
            </w:pPr>
          </w:p>
        </w:tc>
      </w:tr>
    </w:tbl>
    <w:p>
      <w:pPr>
        <w:pStyle w:val="2"/>
        <w:rPr>
          <w:rFonts w:hint="eastAsia"/>
        </w:rPr>
      </w:pPr>
    </w:p>
    <w:p>
      <w:pPr>
        <w:adjustRightInd w:val="0"/>
        <w:snapToGrid w:val="0"/>
        <w:spacing w:line="360" w:lineRule="auto"/>
        <w:rPr>
          <w:rFonts w:hint="eastAsia" w:ascii="仿宋" w:hAnsi="仿宋" w:eastAsia="仿宋" w:cs="仿宋"/>
          <w:color w:val="auto"/>
          <w:u w:val="none"/>
        </w:rPr>
      </w:pPr>
      <w:r>
        <w:rPr>
          <w:rFonts w:hint="eastAsia" w:ascii="仿宋" w:hAnsi="仿宋" w:eastAsia="仿宋" w:cs="仿宋"/>
          <w:color w:val="auto"/>
          <w:u w:val="none"/>
        </w:rPr>
        <w:t>注：</w:t>
      </w:r>
    </w:p>
    <w:p>
      <w:pPr>
        <w:adjustRightInd w:val="0"/>
        <w:snapToGrid w:val="0"/>
        <w:spacing w:line="360" w:lineRule="auto"/>
        <w:rPr>
          <w:rFonts w:hint="eastAsia" w:ascii="仿宋" w:hAnsi="仿宋" w:eastAsia="仿宋" w:cs="仿宋"/>
          <w:color w:val="auto"/>
          <w:u w:val="none"/>
        </w:rPr>
      </w:pPr>
      <w:r>
        <w:rPr>
          <w:rFonts w:hint="eastAsia" w:ascii="仿宋" w:hAnsi="仿宋" w:eastAsia="仿宋" w:cs="仿宋"/>
          <w:color w:val="auto"/>
          <w:u w:val="none"/>
        </w:rPr>
        <w:t>1.涉及需分项报价的，供应商每次报价均需提供本表。</w:t>
      </w:r>
    </w:p>
    <w:p>
      <w:pPr>
        <w:adjustRightInd w:val="0"/>
        <w:snapToGrid w:val="0"/>
        <w:spacing w:line="360" w:lineRule="auto"/>
        <w:rPr>
          <w:rFonts w:hint="eastAsia" w:ascii="仿宋" w:hAnsi="仿宋" w:eastAsia="仿宋" w:cs="仿宋"/>
          <w:color w:val="auto"/>
          <w:u w:val="none"/>
        </w:rPr>
      </w:pPr>
      <w:r>
        <w:rPr>
          <w:rFonts w:hint="eastAsia" w:ascii="仿宋" w:hAnsi="仿宋" w:eastAsia="仿宋" w:cs="仿宋"/>
          <w:color w:val="auto"/>
          <w:u w:val="none"/>
        </w:rPr>
        <w:t>2.如果按单价计算的结果与总价不一致，以单价为准修正总价。</w:t>
      </w:r>
    </w:p>
    <w:p>
      <w:pPr>
        <w:pStyle w:val="2"/>
        <w:rPr>
          <w:rFonts w:hint="eastAsia" w:ascii="仿宋" w:hAnsi="仿宋" w:eastAsia="仿宋" w:cs="仿宋"/>
          <w:color w:val="auto"/>
          <w:u w:val="none"/>
          <w:lang w:eastAsia="zh-CN"/>
        </w:rPr>
      </w:pPr>
      <w:r>
        <w:rPr>
          <w:rFonts w:hint="eastAsia" w:ascii="仿宋" w:hAnsi="仿宋" w:eastAsia="仿宋" w:cs="仿宋"/>
          <w:color w:val="auto"/>
          <w:u w:val="none"/>
        </w:rPr>
        <w:t>3.供应商可根据实际情况自行扩展表格细</w:t>
      </w:r>
      <w:r>
        <w:rPr>
          <w:rFonts w:hint="eastAsia" w:ascii="仿宋" w:hAnsi="仿宋" w:eastAsia="仿宋" w:cs="仿宋"/>
          <w:color w:val="auto"/>
          <w:u w:val="none"/>
          <w:lang w:eastAsia="zh-CN"/>
        </w:rPr>
        <w:t>。</w:t>
      </w:r>
    </w:p>
    <w:p>
      <w:pPr>
        <w:pStyle w:val="2"/>
        <w:rPr>
          <w:rFonts w:hint="eastAsia" w:ascii="仿宋" w:hAnsi="仿宋" w:eastAsia="仿宋" w:cs="仿宋"/>
          <w:color w:val="auto"/>
          <w:u w:val="none"/>
          <w:lang w:eastAsia="zh-CN"/>
        </w:rPr>
      </w:pPr>
    </w:p>
    <w:p>
      <w:pPr>
        <w:widowControl w:val="0"/>
        <w:numPr>
          <w:ilvl w:val="0"/>
          <w:numId w:val="1"/>
        </w:numPr>
        <w:spacing w:line="440" w:lineRule="exact"/>
        <w:jc w:val="right"/>
        <w:rPr>
          <w:rFonts w:ascii="仿宋" w:hAnsi="仿宋" w:eastAsia="仿宋" w:cs="宋体"/>
          <w:color w:val="000000"/>
        </w:rPr>
      </w:pP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rPr>
      </w:pPr>
    </w:p>
    <w:p>
      <w:pPr>
        <w:pStyle w:val="2"/>
        <w:rPr>
          <w:rFonts w:hint="eastAsia" w:ascii="仿宋" w:hAnsi="仿宋" w:eastAsia="仿宋" w:cs="仿宋"/>
          <w:color w:val="auto"/>
          <w:u w:val="none"/>
          <w:lang w:eastAsia="zh-CN"/>
        </w:rPr>
      </w:pPr>
    </w:p>
    <w:sectPr>
      <w:headerReference r:id="rId13" w:type="default"/>
      <w:footerReference r:id="rId14"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4K9gsIBAACNAwAADgAAAGRycy9lMm9Eb2MueG1srVPNjtMwEL4j8Q6W&#10;79TZHpYq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68pcdziwM8/f5x//Tn//k7e&#10;Zn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eCvYLCAQAAjQ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 PAGE  \* MERGEFORMAT </w:instrText>
                    </w:r>
                    <w:r>
                      <w:fldChar w:fldCharType="separate"/>
                    </w:r>
                    <w:r>
                      <w:t>2</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12</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5yGMjsEBAACOAwAADgAAAAAAAAABACAAAAAeAQAAZHJzL2Uyb0RvYy54bWxQSwUG&#10;AAAAAAYABgBZAQAAUQU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12</w:t>
                    </w:r>
                    <w:r>
                      <w:fldChar w:fldCharType="end"/>
                    </w:r>
                  </w:p>
                </w:txbxContent>
              </v:textbox>
            </v:shape>
          </w:pict>
        </mc:Fallback>
      </mc:AlternateContent>
    </w:r>
  </w:p>
  <w:p>
    <w:pPr>
      <w:pStyle w:val="1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p>
                              </w:sdtContent>
                            </w:sdt>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p>
                        </w:sdtContent>
                      </w:sdt>
                    </w:sdtContent>
                  </w:sdt>
                  <w:p>
                    <w:pPr>
                      <w:pStyle w:val="2"/>
                    </w:pPr>
                  </w:p>
                </w:txbxContent>
              </v:textbox>
            </v:shape>
          </w:pict>
        </mc:Fallback>
      </mc:AlternateContent>
    </w:r>
  </w:p>
  <w:p>
    <w:pPr>
      <w:pStyle w:val="1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4875F752"/>
    <w:multiLevelType w:val="singleLevel"/>
    <w:tmpl w:val="4875F752"/>
    <w:lvl w:ilvl="0" w:tentative="0">
      <w:start w:val="4"/>
      <w:numFmt w:val="chineseCounting"/>
      <w:suff w:val="space"/>
      <w:lvlText w:val="第%1章"/>
      <w:lvlJc w:val="left"/>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2969"/>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108E"/>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2C785A"/>
    <w:rsid w:val="03CA6EF6"/>
    <w:rsid w:val="056736ED"/>
    <w:rsid w:val="0569312B"/>
    <w:rsid w:val="06361872"/>
    <w:rsid w:val="06CA0B99"/>
    <w:rsid w:val="0756505C"/>
    <w:rsid w:val="078139DC"/>
    <w:rsid w:val="07DC0503"/>
    <w:rsid w:val="0A141145"/>
    <w:rsid w:val="0ACB4877"/>
    <w:rsid w:val="0AF61D8A"/>
    <w:rsid w:val="0B0D7EE8"/>
    <w:rsid w:val="0DB17A04"/>
    <w:rsid w:val="0E0A06FC"/>
    <w:rsid w:val="0E6D7B36"/>
    <w:rsid w:val="11237ECD"/>
    <w:rsid w:val="116763A6"/>
    <w:rsid w:val="11F51D18"/>
    <w:rsid w:val="12033948"/>
    <w:rsid w:val="12F06199"/>
    <w:rsid w:val="13B40768"/>
    <w:rsid w:val="13BB37EC"/>
    <w:rsid w:val="152E4616"/>
    <w:rsid w:val="15DA37E6"/>
    <w:rsid w:val="17334565"/>
    <w:rsid w:val="178772D7"/>
    <w:rsid w:val="18146217"/>
    <w:rsid w:val="18215304"/>
    <w:rsid w:val="18EA696C"/>
    <w:rsid w:val="1910051C"/>
    <w:rsid w:val="19332BB1"/>
    <w:rsid w:val="1D237383"/>
    <w:rsid w:val="1DDF068E"/>
    <w:rsid w:val="1F5171F9"/>
    <w:rsid w:val="1F565C09"/>
    <w:rsid w:val="1FE37E5F"/>
    <w:rsid w:val="211230DD"/>
    <w:rsid w:val="21AE03CF"/>
    <w:rsid w:val="21DD569B"/>
    <w:rsid w:val="22BF03EF"/>
    <w:rsid w:val="232457F5"/>
    <w:rsid w:val="23293302"/>
    <w:rsid w:val="24CF4FC0"/>
    <w:rsid w:val="253E1AA2"/>
    <w:rsid w:val="263F23CC"/>
    <w:rsid w:val="26A25406"/>
    <w:rsid w:val="26E63E5F"/>
    <w:rsid w:val="286D200E"/>
    <w:rsid w:val="292532D4"/>
    <w:rsid w:val="293D1575"/>
    <w:rsid w:val="2B40002E"/>
    <w:rsid w:val="2BD40774"/>
    <w:rsid w:val="2D0D4475"/>
    <w:rsid w:val="2D7B36E1"/>
    <w:rsid w:val="2DF81ACA"/>
    <w:rsid w:val="2E3461D7"/>
    <w:rsid w:val="2FBA07D5"/>
    <w:rsid w:val="2FF81D95"/>
    <w:rsid w:val="308519B5"/>
    <w:rsid w:val="32720653"/>
    <w:rsid w:val="32BF1AED"/>
    <w:rsid w:val="336226A6"/>
    <w:rsid w:val="33E62733"/>
    <w:rsid w:val="33ED7B40"/>
    <w:rsid w:val="34425E22"/>
    <w:rsid w:val="362C1207"/>
    <w:rsid w:val="36AB3D26"/>
    <w:rsid w:val="37915A99"/>
    <w:rsid w:val="388F2857"/>
    <w:rsid w:val="38A1655D"/>
    <w:rsid w:val="38DB59F8"/>
    <w:rsid w:val="397D76E1"/>
    <w:rsid w:val="3A210041"/>
    <w:rsid w:val="3E4052D3"/>
    <w:rsid w:val="3FDA2F9E"/>
    <w:rsid w:val="4203015A"/>
    <w:rsid w:val="429F385C"/>
    <w:rsid w:val="43D33E7C"/>
    <w:rsid w:val="44E80FE1"/>
    <w:rsid w:val="4AEB27A6"/>
    <w:rsid w:val="4AF53AD6"/>
    <w:rsid w:val="4B46399E"/>
    <w:rsid w:val="4C1F59F2"/>
    <w:rsid w:val="4CCE57B4"/>
    <w:rsid w:val="4E846ED3"/>
    <w:rsid w:val="4F41399A"/>
    <w:rsid w:val="504F69F4"/>
    <w:rsid w:val="545455E7"/>
    <w:rsid w:val="5492639D"/>
    <w:rsid w:val="55364D9D"/>
    <w:rsid w:val="55FE463F"/>
    <w:rsid w:val="56257777"/>
    <w:rsid w:val="56EB5105"/>
    <w:rsid w:val="5A3A5A03"/>
    <w:rsid w:val="5AE1183E"/>
    <w:rsid w:val="5B7D6727"/>
    <w:rsid w:val="5B873E52"/>
    <w:rsid w:val="5B9A01BB"/>
    <w:rsid w:val="5C5D0552"/>
    <w:rsid w:val="5D3E4A7C"/>
    <w:rsid w:val="5EF11892"/>
    <w:rsid w:val="60B168B0"/>
    <w:rsid w:val="61680F42"/>
    <w:rsid w:val="61B81661"/>
    <w:rsid w:val="61DE61F4"/>
    <w:rsid w:val="6314609A"/>
    <w:rsid w:val="63936F88"/>
    <w:rsid w:val="63CC78E7"/>
    <w:rsid w:val="643B583A"/>
    <w:rsid w:val="64490695"/>
    <w:rsid w:val="65177DE9"/>
    <w:rsid w:val="6538251C"/>
    <w:rsid w:val="65827499"/>
    <w:rsid w:val="66E21DD1"/>
    <w:rsid w:val="68B0184E"/>
    <w:rsid w:val="6936651F"/>
    <w:rsid w:val="69432CCB"/>
    <w:rsid w:val="69F271F9"/>
    <w:rsid w:val="6A5D0610"/>
    <w:rsid w:val="6ABE192F"/>
    <w:rsid w:val="6B67498D"/>
    <w:rsid w:val="6BE242BC"/>
    <w:rsid w:val="6D535020"/>
    <w:rsid w:val="6DD638DC"/>
    <w:rsid w:val="6DF95579"/>
    <w:rsid w:val="70115924"/>
    <w:rsid w:val="70736A05"/>
    <w:rsid w:val="71290C33"/>
    <w:rsid w:val="719C758B"/>
    <w:rsid w:val="71D92FD5"/>
    <w:rsid w:val="72B96696"/>
    <w:rsid w:val="746305B1"/>
    <w:rsid w:val="746408C9"/>
    <w:rsid w:val="74862811"/>
    <w:rsid w:val="76CA40F3"/>
    <w:rsid w:val="772B54F6"/>
    <w:rsid w:val="7913570D"/>
    <w:rsid w:val="79291653"/>
    <w:rsid w:val="793144E1"/>
    <w:rsid w:val="7A026DB8"/>
    <w:rsid w:val="7B8A593A"/>
    <w:rsid w:val="7CB755E2"/>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link w:val="84"/>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标题 2 Char"/>
    <w:link w:val="4"/>
    <w:qFormat/>
    <w:uiPriority w:val="0"/>
    <w:rPr>
      <w:rFonts w:ascii="宋体" w:hAnsi="宋体" w:cs="Arial"/>
      <w:b/>
      <w:bCs/>
      <w:iCs/>
      <w:sz w:val="28"/>
      <w:szCs w:val="28"/>
    </w:rPr>
  </w:style>
  <w:style w:type="paragraph" w:customStyle="1" w:styleId="85">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header" Target="header2.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3996</Words>
  <Characters>22778</Characters>
  <Lines>189</Lines>
  <Paragraphs>53</Paragraphs>
  <TotalTime>33</TotalTime>
  <ScaleCrop>false</ScaleCrop>
  <LinksUpToDate>false</LinksUpToDate>
  <CharactersWithSpaces>26721</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李科</cp:lastModifiedBy>
  <cp:lastPrinted>2019-12-03T09:03:00Z</cp:lastPrinted>
  <dcterms:modified xsi:type="dcterms:W3CDTF">2026-05-15T08:28:33Z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0D4499ECD1124423B0E2461187ABC77F</vt:lpwstr>
  </property>
</Properties>
</file>