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rPr>
        <w:t>人保财险湖北省分公司沉浸式警示教育服务项目采购</w:t>
      </w:r>
    </w:p>
    <w:p>
      <w:pPr>
        <w:pStyle w:val="52"/>
        <w:adjustRightInd w:val="0"/>
        <w:snapToGrid w:val="0"/>
        <w:spacing w:line="360" w:lineRule="auto"/>
        <w:jc w:val="center"/>
        <w:rPr>
          <w:sz w:val="28"/>
          <w:szCs w:val="28"/>
        </w:rPr>
      </w:pPr>
      <w:r>
        <w:rPr>
          <w:rFonts w:hint="eastAsia" w:ascii="黑体" w:hAnsi="黑体" w:eastAsia="黑体"/>
          <w:sz w:val="32"/>
          <w:szCs w:val="32"/>
          <w:lang w:val="en-US" w:eastAsia="zh-CN"/>
        </w:rPr>
        <w:t>比选</w:t>
      </w:r>
      <w:r>
        <w:rPr>
          <w:rFonts w:hint="eastAsia" w:ascii="黑体" w:hAnsi="黑体" w:eastAsia="黑体"/>
          <w:sz w:val="32"/>
          <w:szCs w:val="32"/>
        </w:rPr>
        <w:t>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比选方式</w:t>
      </w:r>
      <w:r>
        <w:rPr>
          <w:rFonts w:hint="eastAsia"/>
          <w:sz w:val="28"/>
          <w:szCs w:val="28"/>
        </w:rPr>
        <w:t>选择</w:t>
      </w:r>
      <w:r>
        <w:rPr>
          <w:rFonts w:hint="eastAsia" w:ascii="黑体" w:hAnsi="黑体" w:eastAsia="黑体"/>
          <w:color w:val="auto"/>
          <w:sz w:val="28"/>
          <w:szCs w:val="28"/>
        </w:rPr>
        <w:t>人保财险湖北省分公司沉浸式警示教育服务采购项目</w:t>
      </w:r>
      <w:r>
        <w:rPr>
          <w:rFonts w:hint="eastAsia"/>
          <w:sz w:val="28"/>
          <w:szCs w:val="28"/>
        </w:rPr>
        <w:t>供应商，特邀请贵公司参加本次磋商。</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湖北省分公司</w:t>
      </w:r>
    </w:p>
    <w:p>
      <w:pPr>
        <w:pStyle w:val="52"/>
        <w:adjustRightInd w:val="0"/>
        <w:snapToGrid w:val="0"/>
        <w:spacing w:line="360" w:lineRule="auto"/>
        <w:ind w:firstLine="420"/>
        <w:rPr>
          <w:rFonts w:hint="default"/>
          <w:sz w:val="28"/>
          <w:szCs w:val="28"/>
          <w:lang w:val="en-US" w:eastAsia="zh-CN"/>
        </w:rPr>
      </w:pPr>
      <w:r>
        <w:rPr>
          <w:rFonts w:hint="eastAsia"/>
          <w:sz w:val="28"/>
          <w:szCs w:val="28"/>
        </w:rPr>
        <w:t>地址：</w:t>
      </w:r>
      <w:r>
        <w:rPr>
          <w:rFonts w:hint="eastAsia"/>
          <w:sz w:val="28"/>
          <w:szCs w:val="28"/>
          <w:lang w:val="en-US" w:eastAsia="zh-CN"/>
        </w:rPr>
        <w:t>湖北省武汉市江汉区建设大道426号</w:t>
      </w:r>
    </w:p>
    <w:p>
      <w:pPr>
        <w:pStyle w:val="52"/>
        <w:adjustRightInd w:val="0"/>
        <w:snapToGrid w:val="0"/>
        <w:spacing w:line="360" w:lineRule="auto"/>
        <w:ind w:firstLine="420"/>
        <w:rPr>
          <w:rFonts w:hint="default" w:eastAsia="宋体"/>
          <w:color w:val="auto"/>
          <w:sz w:val="28"/>
          <w:szCs w:val="28"/>
          <w:lang w:val="en-US" w:eastAsia="zh-CN"/>
        </w:rPr>
      </w:pPr>
      <w:r>
        <w:rPr>
          <w:rFonts w:hint="eastAsia"/>
          <w:sz w:val="28"/>
          <w:szCs w:val="28"/>
        </w:rPr>
        <w:t>电话：</w:t>
      </w:r>
      <w:r>
        <w:rPr>
          <w:rFonts w:hint="eastAsia"/>
          <w:color w:val="auto"/>
          <w:sz w:val="28"/>
          <w:szCs w:val="28"/>
          <w:lang w:val="en-US" w:eastAsia="zh-CN"/>
        </w:rPr>
        <w:t>027-83636125</w:t>
      </w:r>
      <w:bookmarkStart w:id="18" w:name="_GoBack"/>
      <w:bookmarkEnd w:id="18"/>
    </w:p>
    <w:p>
      <w:pPr>
        <w:pStyle w:val="52"/>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val="en-US" w:eastAsia="zh-CN"/>
        </w:rPr>
        <w:t>李老师</w:t>
      </w:r>
    </w:p>
    <w:p>
      <w:pPr>
        <w:pStyle w:val="52"/>
        <w:adjustRightInd w:val="0"/>
        <w:snapToGrid w:val="0"/>
        <w:spacing w:line="360" w:lineRule="auto"/>
        <w:rPr>
          <w:sz w:val="28"/>
          <w:szCs w:val="28"/>
        </w:rPr>
      </w:pPr>
      <w:r>
        <w:rPr>
          <w:rFonts w:hint="eastAsia"/>
          <w:sz w:val="28"/>
          <w:szCs w:val="28"/>
        </w:rPr>
        <w:t xml:space="preserve">   附件：一、磋商事项说明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default"/>
          <w:color w:val="auto"/>
          <w:sz w:val="28"/>
          <w:szCs w:val="28"/>
          <w:lang w:val="en-US" w:eastAsia="zh-CN"/>
        </w:rPr>
      </w:pPr>
      <w:r>
        <w:rPr>
          <w:rFonts w:hint="eastAsia"/>
          <w:color w:val="auto"/>
          <w:sz w:val="28"/>
          <w:szCs w:val="28"/>
        </w:rPr>
        <w:t>中国人民财产保险股份有限公司</w:t>
      </w:r>
      <w:r>
        <w:rPr>
          <w:rFonts w:hint="eastAsia"/>
          <w:color w:val="auto"/>
          <w:sz w:val="28"/>
          <w:szCs w:val="28"/>
          <w:lang w:val="en-US" w:eastAsia="zh-CN"/>
        </w:rPr>
        <w:t>湖北省分公司</w:t>
      </w:r>
    </w:p>
    <w:p>
      <w:pPr>
        <w:pStyle w:val="52"/>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5</w:t>
      </w:r>
      <w:r>
        <w:rPr>
          <w:rFonts w:hint="eastAsia"/>
          <w:color w:val="auto"/>
          <w:sz w:val="28"/>
          <w:szCs w:val="28"/>
        </w:rPr>
        <w:t>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磋商事项说明……………………………………………………………………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四、磋商时间和地点……………………………………………………………………</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w:t>
      </w:r>
      <w:r>
        <w:rPr>
          <w:rStyle w:val="34"/>
          <w:rFonts w:hint="eastAsia"/>
          <w:color w:val="000000"/>
          <w:u w:val="none"/>
          <w:lang w:val="en-US" w:eastAsia="zh-CN"/>
        </w:rPr>
        <w:t>比价</w:t>
      </w:r>
      <w:r>
        <w:rPr>
          <w:rStyle w:val="34"/>
          <w:rFonts w:hint="eastAsia"/>
          <w:color w:val="000000"/>
          <w:u w:val="none"/>
        </w:rPr>
        <w:t>流程…………………………………………………………………………</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color w:val="000000"/>
          <w:u w:val="none"/>
        </w:rPr>
        <w:t>7</w:t>
      </w:r>
    </w:p>
    <w:p>
      <w:pPr>
        <w:pStyle w:val="52"/>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t>9</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………………………………………………………21</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2"/>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2"/>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2"/>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2"/>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2"/>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pPr>
        <w:widowControl/>
        <w:adjustRightInd w:val="0"/>
        <w:snapToGrid w:val="0"/>
        <w:spacing w:line="360" w:lineRule="auto"/>
        <w:ind w:firstLine="480"/>
        <w:rPr>
          <w:rFonts w:hint="default" w:ascii="宋体" w:hAnsi="宋体" w:eastAsia="宋体" w:cs="宋体"/>
          <w:color w:val="000000" w:themeColor="text1"/>
          <w:kern w:val="0"/>
          <w:sz w:val="24"/>
          <w:szCs w:val="24"/>
          <w:highlight w:val="green"/>
          <w:lang w:val="en-US" w:eastAsia="zh-CN"/>
          <w14:textFill>
            <w14:solidFill>
              <w14:schemeClr w14:val="tx1"/>
            </w14:solidFill>
          </w14:textFill>
        </w:rPr>
      </w:pPr>
      <w:r>
        <w:rPr>
          <w:rFonts w:hint="eastAsia" w:ascii="宋体" w:hAnsi="宋体" w:cs="宋体"/>
          <w:color w:val="FF0000"/>
          <w:kern w:val="0"/>
          <w:sz w:val="24"/>
          <w:szCs w:val="24"/>
          <w:highlight w:val="green"/>
          <w:lang w:val="en-US" w:eastAsia="zh-CN"/>
        </w:rPr>
        <w:t>（本评审标准为示例，具体项目根据实际情况设置评审标准。）</w:t>
      </w:r>
    </w:p>
    <w:tbl>
      <w:tblPr>
        <w:tblStyle w:val="29"/>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6454"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价格得分</w:t>
            </w: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hint="eastAsia" w:asciiTheme="minorEastAsia" w:hAnsiTheme="minorEastAsia" w:eastAsiaTheme="minorEastAsia"/>
                <w:snapToGrid w:val="0"/>
                <w:color w:val="auto"/>
                <w:sz w:val="24"/>
                <w:lang w:val="en-US" w:eastAsia="zh-CN"/>
              </w:rPr>
              <w:t>40</w:t>
            </w:r>
            <w:r>
              <w:rPr>
                <w:rFonts w:hint="eastAsia" w:asciiTheme="minorEastAsia" w:hAnsiTheme="minorEastAsia" w:eastAsiaTheme="minorEastAsia"/>
                <w:snapToGrid w:val="0"/>
                <w:color w:val="auto"/>
                <w:sz w:val="24"/>
              </w:rPr>
              <w:t>；</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pPr>
              <w:widowControl/>
              <w:spacing w:line="320" w:lineRule="exact"/>
              <w:jc w:val="center"/>
              <w:rPr>
                <w:rFonts w:hint="default" w:asciiTheme="minorEastAsia" w:hAnsiTheme="minorEastAsia" w:eastAsiaTheme="minorEastAsia"/>
                <w:color w:val="auto"/>
                <w:kern w:val="0"/>
                <w:sz w:val="24"/>
                <w:lang w:val="en-US" w:eastAsia="zh-CN"/>
              </w:rPr>
            </w:pPr>
            <w:r>
              <w:rPr>
                <w:rFonts w:hint="eastAsia" w:asciiTheme="minorEastAsia" w:hAnsiTheme="minorEastAsia" w:eastAsiaTheme="minorEastAsia"/>
                <w:color w:val="auto"/>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rPr>
              <w:t>（45</w:t>
            </w:r>
            <w:r>
              <w:rPr>
                <w:rFonts w:asciiTheme="minorEastAsia" w:hAnsiTheme="minorEastAsia" w:eastAsiaTheme="minorEastAsia"/>
                <w:color w:val="auto"/>
                <w:kern w:val="0"/>
                <w:sz w:val="24"/>
              </w:rPr>
              <w:t>）</w:t>
            </w:r>
          </w:p>
        </w:tc>
        <w:tc>
          <w:tcPr>
            <w:tcW w:w="6454" w:type="dxa"/>
            <w:vAlign w:val="center"/>
          </w:tcPr>
          <w:p>
            <w:pPr>
              <w:spacing w:line="320" w:lineRule="exact"/>
              <w:rPr>
                <w:rFonts w:hint="eastAsia"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方案完全满足项目需求书要求，对项目目标、功能模块（剧情、H5互动机制、警示教育内容融合</w:t>
            </w:r>
            <w:r>
              <w:rPr>
                <w:rFonts w:hint="eastAsia" w:cs="Arial" w:asciiTheme="minorEastAsia" w:hAnsiTheme="minorEastAsia" w:eastAsiaTheme="minorEastAsia"/>
                <w:color w:val="auto"/>
                <w:sz w:val="24"/>
                <w:highlight w:val="none"/>
                <w:lang w:val="en-US" w:eastAsia="zh-CN"/>
              </w:rPr>
              <w:t>等</w:t>
            </w:r>
            <w:r>
              <w:rPr>
                <w:rFonts w:hint="eastAsia" w:cs="Arial" w:asciiTheme="minorEastAsia" w:hAnsiTheme="minorEastAsia" w:eastAsiaTheme="minorEastAsia"/>
                <w:color w:val="auto"/>
                <w:sz w:val="24"/>
                <w:highlight w:val="none"/>
              </w:rPr>
              <w:t>）理解透彻，内容完整合理，系统架构清晰，可快速适对接需求，兼顾合规性与互动性，</w:t>
            </w:r>
            <w:r>
              <w:rPr>
                <w:rFonts w:hint="eastAsia" w:cs="Arial" w:asciiTheme="minorEastAsia" w:hAnsiTheme="minorEastAsia" w:eastAsiaTheme="minorEastAsia"/>
                <w:color w:val="auto"/>
                <w:sz w:val="24"/>
                <w:highlight w:val="none"/>
                <w:lang w:val="en-US" w:eastAsia="zh-CN"/>
              </w:rPr>
              <w:t>可同时支持手机端和网页端，</w:t>
            </w:r>
            <w:r>
              <w:rPr>
                <w:rFonts w:hint="eastAsia" w:cs="Arial" w:asciiTheme="minorEastAsia" w:hAnsiTheme="minorEastAsia" w:eastAsiaTheme="minorEastAsia"/>
                <w:color w:val="auto"/>
                <w:sz w:val="24"/>
                <w:highlight w:val="none"/>
              </w:rPr>
              <w:t>得</w:t>
            </w:r>
            <w:r>
              <w:rPr>
                <w:rFonts w:cs="Arial" w:asciiTheme="minorEastAsia" w:hAnsiTheme="minorEastAsia" w:eastAsiaTheme="minorEastAsia"/>
                <w:color w:val="auto"/>
                <w:sz w:val="24"/>
              </w:rPr>
              <w:t>18</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25</w:t>
            </w:r>
            <w:r>
              <w:rPr>
                <w:rFonts w:hint="eastAsia" w:cs="Arial" w:asciiTheme="minorEastAsia" w:hAnsiTheme="minorEastAsia" w:eastAsiaTheme="minorEastAsia"/>
                <w:color w:val="auto"/>
                <w:sz w:val="24"/>
                <w:highlight w:val="none"/>
              </w:rPr>
              <w:t>分；</w:t>
            </w:r>
          </w:p>
          <w:p>
            <w:pPr>
              <w:spacing w:line="320" w:lineRule="exact"/>
              <w:rPr>
                <w:rFonts w:hint="eastAsia"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方案基本满足需求，理解较全面，架构合理，可实现核心功能，得</w:t>
            </w:r>
            <w:r>
              <w:rPr>
                <w:rFonts w:cs="Arial" w:asciiTheme="minorEastAsia" w:hAnsiTheme="minorEastAsia" w:eastAsiaTheme="minorEastAsia"/>
                <w:color w:val="auto"/>
                <w:sz w:val="24"/>
              </w:rPr>
              <w:t>9</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17</w:t>
            </w:r>
            <w:r>
              <w:rPr>
                <w:rFonts w:hint="eastAsia" w:cs="Arial" w:asciiTheme="minorEastAsia" w:hAnsiTheme="minorEastAsia" w:eastAsiaTheme="minorEastAsia"/>
                <w:color w:val="auto"/>
                <w:sz w:val="24"/>
                <w:highlight w:val="none"/>
              </w:rPr>
              <w:t>分；</w:t>
            </w:r>
          </w:p>
          <w:p>
            <w:pPr>
              <w:spacing w:line="320" w:lineRule="exact"/>
              <w:rPr>
                <w:rFonts w:hint="eastAsia" w:cs="Arial" w:asciiTheme="minorEastAsia" w:hAnsiTheme="minorEastAsia" w:eastAsiaTheme="minorEastAsia"/>
                <w:color w:val="auto"/>
                <w:sz w:val="24"/>
              </w:rPr>
            </w:pPr>
            <w:r>
              <w:rPr>
                <w:rFonts w:hint="eastAsia" w:cs="Arial" w:asciiTheme="minorEastAsia" w:hAnsiTheme="minorEastAsia" w:eastAsiaTheme="minorEastAsia"/>
                <w:color w:val="auto"/>
                <w:sz w:val="24"/>
                <w:highlight w:val="none"/>
              </w:rPr>
              <w:t>方案存在明显缺陷，无法匹配核心需求，得</w:t>
            </w:r>
            <w:r>
              <w:rPr>
                <w:rFonts w:hint="eastAsia" w:cs="Arial" w:asciiTheme="minorEastAsia" w:hAnsiTheme="minorEastAsia" w:eastAsiaTheme="minorEastAsia"/>
                <w:color w:val="auto"/>
                <w:sz w:val="24"/>
              </w:rPr>
              <w:t>0-</w:t>
            </w:r>
            <w:r>
              <w:rPr>
                <w:rFonts w:cs="Arial" w:asciiTheme="minorEastAsia" w:hAnsiTheme="minorEastAsia" w:eastAsiaTheme="minorEastAsia"/>
                <w:color w:val="auto"/>
                <w:sz w:val="24"/>
              </w:rPr>
              <w:t>8</w:t>
            </w:r>
            <w:r>
              <w:rPr>
                <w:rFonts w:hint="eastAsia" w:cs="Arial" w:asciiTheme="minorEastAsia" w:hAnsiTheme="minorEastAsia" w:eastAsiaTheme="minorEastAsia"/>
                <w:color w:val="auto"/>
                <w:sz w:val="24"/>
                <w:highlight w:val="none"/>
              </w:rPr>
              <w:t>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cs="Arial" w:asciiTheme="minorEastAsia" w:hAnsiTheme="minorEastAsia" w:eastAsiaTheme="minorEastAsia"/>
                <w:color w:val="auto"/>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auto"/>
                <w:kern w:val="0"/>
                <w:sz w:val="24"/>
              </w:rPr>
            </w:pPr>
          </w:p>
        </w:tc>
        <w:tc>
          <w:tcPr>
            <w:tcW w:w="6454" w:type="dxa"/>
            <w:vAlign w:val="center"/>
          </w:tcPr>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团队配置完整，配备项目负责人、技术开发、剧本内容设计、UI/UX设计、测试运维人员，人员分工明确，具备H5开发、互动内容设计或党建/纪检类信息化项目相关经验</w:t>
            </w:r>
            <w:r>
              <w:rPr>
                <w:rFonts w:hint="eastAsia" w:asciiTheme="minorEastAsia" w:hAnsiTheme="minorEastAsia" w:eastAsiaTheme="minorEastAsia"/>
                <w:snapToGrid w:val="0"/>
                <w:color w:val="auto"/>
                <w:sz w:val="24"/>
                <w:lang w:eastAsia="zh-CN"/>
              </w:rPr>
              <w:t>，</w:t>
            </w:r>
            <w:r>
              <w:rPr>
                <w:rFonts w:hint="eastAsia" w:asciiTheme="minorEastAsia" w:hAnsiTheme="minorEastAsia" w:eastAsiaTheme="minorEastAsia"/>
                <w:snapToGrid w:val="0"/>
                <w:color w:val="auto"/>
                <w:sz w:val="24"/>
                <w:lang w:val="en-US" w:eastAsia="zh-CN"/>
              </w:rPr>
              <w:t>团队人员拥有PMP证书，得</w:t>
            </w:r>
            <w:r>
              <w:rPr>
                <w:rFonts w:hint="eastAsia" w:asciiTheme="minorEastAsia" w:hAnsiTheme="minorEastAsia" w:eastAsiaTheme="minorEastAsia"/>
                <w:snapToGrid w:val="0"/>
                <w:color w:val="auto"/>
                <w:sz w:val="24"/>
              </w:rPr>
              <w:t>10-15分；</w:t>
            </w:r>
            <w:r>
              <w:rPr>
                <w:rFonts w:hint="eastAsia" w:asciiTheme="minorEastAsia" w:hAnsiTheme="minorEastAsia" w:eastAsiaTheme="minorEastAsia"/>
                <w:snapToGrid w:val="0"/>
                <w:color w:val="auto"/>
                <w:sz w:val="24"/>
                <w:lang w:eastAsia="zh-CN"/>
              </w:rPr>
              <w:t>（</w:t>
            </w:r>
            <w:r>
              <w:rPr>
                <w:rFonts w:hint="eastAsia" w:asciiTheme="minorEastAsia" w:hAnsiTheme="minorEastAsia" w:eastAsiaTheme="minorEastAsia"/>
                <w:snapToGrid w:val="0"/>
                <w:color w:val="auto"/>
                <w:sz w:val="24"/>
                <w:lang w:val="en-US" w:eastAsia="zh-CN"/>
              </w:rPr>
              <w:t>其他证明材料齐全，无PMP证书，最高得12分；其他证明材料齐全，团队人员有PMP证书，最高得15分</w:t>
            </w:r>
            <w:r>
              <w:rPr>
                <w:rFonts w:hint="eastAsia" w:asciiTheme="minorEastAsia" w:hAnsiTheme="minorEastAsia" w:eastAsiaTheme="minorEastAsia"/>
                <w:snapToGrid w:val="0"/>
                <w:color w:val="auto"/>
                <w:sz w:val="24"/>
                <w:lang w:eastAsia="zh-CN"/>
              </w:rPr>
              <w:t>）</w:t>
            </w:r>
          </w:p>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团队配置较完整，核心岗位齐全，具备基础相关经验，得5-9分；</w:t>
            </w:r>
          </w:p>
          <w:p>
            <w:pPr>
              <w:spacing w:line="320" w:lineRule="exact"/>
              <w:rPr>
                <w:rFonts w:hint="eastAsia"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团队配置不完善，关键岗位缺失，得0-4分。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auto"/>
                <w:kern w:val="0"/>
                <w:sz w:val="24"/>
                <w:u w:color="FF0000"/>
              </w:rPr>
            </w:pPr>
          </w:p>
        </w:tc>
        <w:tc>
          <w:tcPr>
            <w:tcW w:w="6454" w:type="dxa"/>
            <w:vAlign w:val="center"/>
          </w:tcPr>
          <w:p>
            <w:pPr>
              <w:spacing w:line="320" w:lineRule="exac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供应商近3年（2023年1月1日起）有成功实施的</w:t>
            </w:r>
            <w:r>
              <w:rPr>
                <w:rFonts w:hint="eastAsia" w:asciiTheme="minorEastAsia" w:hAnsiTheme="minorEastAsia" w:eastAsiaTheme="minorEastAsia"/>
                <w:color w:val="auto"/>
                <w:sz w:val="24"/>
                <w:lang w:val="en-US" w:eastAsia="zh-CN"/>
              </w:rPr>
              <w:t>类似业绩</w:t>
            </w:r>
            <w:r>
              <w:rPr>
                <w:rFonts w:hint="eastAsia" w:asciiTheme="minorEastAsia" w:hAnsiTheme="minorEastAsia" w:eastAsiaTheme="minorEastAsia"/>
                <w:color w:val="auto"/>
                <w:sz w:val="24"/>
                <w:lang w:eastAsia="zh-CN"/>
              </w:rPr>
              <w:t>案例，案例须提供合同复印件（包括合同首页、体现项目内容页、签署日期页及盖章页）或中标通知书复印件作为有效证明文件。最少有1个得0分，每增加一个得1分，最多得5分。</w:t>
            </w:r>
          </w:p>
        </w:tc>
        <w:tc>
          <w:tcPr>
            <w:tcW w:w="992" w:type="dxa"/>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pPr>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15</w:t>
            </w:r>
            <w:r>
              <w:rPr>
                <w:rFonts w:asciiTheme="minorEastAsia" w:hAnsiTheme="minorEastAsia" w:eastAsiaTheme="minorEastAsia"/>
                <w:color w:val="auto"/>
                <w:kern w:val="0"/>
                <w:sz w:val="24"/>
                <w:u w:color="FF0000"/>
              </w:rPr>
              <w:t>）</w:t>
            </w: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1.</w:t>
            </w:r>
            <w:r>
              <w:rPr>
                <w:rFonts w:hint="eastAsia" w:cs="Arial" w:asciiTheme="minorEastAsia" w:hAnsiTheme="minorEastAsia" w:eastAsiaTheme="minorEastAsia"/>
                <w:color w:val="auto"/>
                <w:kern w:val="0"/>
                <w:sz w:val="24"/>
              </w:rPr>
              <w:t>实施与运维服务方案</w:t>
            </w:r>
            <w:r>
              <w:rPr>
                <w:rFonts w:hint="eastAsia" w:cs="Arial" w:asciiTheme="minorEastAsia" w:hAnsiTheme="minorEastAsia" w:eastAsiaTheme="minorEastAsia"/>
                <w:color w:val="auto"/>
                <w:kern w:val="0"/>
                <w:sz w:val="24"/>
                <w:lang w:eastAsia="zh-CN"/>
              </w:rPr>
              <w:t>（</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提供完整的项目实施计划（含需求调研、开发、测试、上线、培训全流程）、运维保障方案（含响应时效、故障处理机制、数据安全保障）及验收标准，内容详实可落地，得</w:t>
            </w:r>
            <w:r>
              <w:rPr>
                <w:rFonts w:hint="eastAsia" w:cs="Arial" w:asciiTheme="minorEastAsia" w:hAnsiTheme="minorEastAsia" w:eastAsiaTheme="minorEastAsia"/>
                <w:color w:val="auto"/>
                <w:kern w:val="0"/>
                <w:sz w:val="24"/>
                <w:lang w:val="en-US" w:eastAsia="zh-CN"/>
              </w:rPr>
              <w:t>3-5</w:t>
            </w:r>
            <w:r>
              <w:rPr>
                <w:rFonts w:hint="eastAsia" w:cs="Arial" w:asciiTheme="minorEastAsia" w:hAnsiTheme="minorEastAsia" w:eastAsiaTheme="minorEastAsia"/>
                <w:color w:val="auto"/>
                <w:kern w:val="0"/>
                <w:sz w:val="24"/>
                <w:lang w:eastAsia="zh-CN"/>
              </w:rPr>
              <w:t>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方案基本完整，关键环节有说明，得1-2分；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方案内容简略，关键环节缺失，得0分。</w:t>
            </w:r>
          </w:p>
        </w:tc>
        <w:tc>
          <w:tcPr>
            <w:tcW w:w="992" w:type="dxa"/>
            <w:vMerge w:val="restart"/>
            <w:vAlign w:val="center"/>
          </w:tcPr>
          <w:p>
            <w:pPr>
              <w:widowControl/>
              <w:snapToGrid w:val="0"/>
              <w:spacing w:line="320" w:lineRule="exact"/>
              <w:jc w:val="center"/>
              <w:rPr>
                <w:rFonts w:asciiTheme="minorEastAsia" w:hAnsiTheme="minorEastAsia" w:eastAsiaTheme="minorEastAsia"/>
                <w:color w:val="auto"/>
                <w:kern w:val="0"/>
                <w:sz w:val="24"/>
                <w:u w:color="FF0000"/>
              </w:rPr>
            </w:pPr>
            <w:r>
              <w:rPr>
                <w:rFonts w:hint="eastAsia" w:asciiTheme="minorEastAsia" w:hAnsiTheme="minorEastAsia" w:eastAsiaTheme="minorEastAsia"/>
                <w:color w:val="auto"/>
                <w:kern w:val="0"/>
                <w:sz w:val="24"/>
                <w:u w:color="FF0000"/>
                <w:lang w:val="en-US" w:eastAsia="zh-CN"/>
              </w:rPr>
              <w:t>1</w:t>
            </w:r>
            <w:r>
              <w:rPr>
                <w:rFonts w:asciiTheme="minorEastAsia" w:hAnsiTheme="minorEastAsia" w:eastAsiaTheme="minorEastAsia"/>
                <w:color w:val="auto"/>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auto"/>
                <w:kern w:val="0"/>
                <w:sz w:val="24"/>
                <w:u w:color="FF0000"/>
              </w:rPr>
            </w:pP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2.</w:t>
            </w:r>
            <w:r>
              <w:rPr>
                <w:rFonts w:hint="eastAsia" w:cs="Arial" w:asciiTheme="minorEastAsia" w:hAnsiTheme="minorEastAsia" w:eastAsiaTheme="minorEastAsia"/>
                <w:color w:val="auto"/>
                <w:kern w:val="0"/>
                <w:sz w:val="24"/>
                <w:lang w:eastAsia="zh-CN"/>
              </w:rPr>
              <w:t>人员服务稳定性（</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服务团队人员固定，项目周期内核心成员不随意更换，承诺专人对接，得3-5分；</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服务团队人员较稳定，有基础对接机制，得1-2分；</w:t>
            </w:r>
          </w:p>
          <w:p>
            <w:pPr>
              <w:spacing w:line="320" w:lineRule="exact"/>
              <w:rPr>
                <w:rFonts w:ascii="宋体" w:hAnsi="宋体" w:eastAsia="宋体" w:cs="宋体"/>
                <w:color w:val="auto"/>
                <w:sz w:val="24"/>
                <w:szCs w:val="24"/>
              </w:rPr>
            </w:pPr>
            <w:r>
              <w:rPr>
                <w:rFonts w:hint="eastAsia" w:cs="Arial" w:asciiTheme="minorEastAsia" w:hAnsiTheme="minorEastAsia" w:eastAsiaTheme="minorEastAsia"/>
                <w:color w:val="auto"/>
                <w:kern w:val="0"/>
                <w:sz w:val="24"/>
                <w:lang w:eastAsia="zh-CN"/>
              </w:rPr>
              <w:t>无明确人员服务保障说明，得0分。</w:t>
            </w:r>
          </w:p>
        </w:tc>
        <w:tc>
          <w:tcPr>
            <w:tcW w:w="992" w:type="dxa"/>
            <w:vMerge w:val="continue"/>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2"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color w:val="auto"/>
                <w:kern w:val="0"/>
                <w:sz w:val="24"/>
                <w:u w:color="FF0000"/>
              </w:rPr>
            </w:pPr>
          </w:p>
        </w:tc>
        <w:tc>
          <w:tcPr>
            <w:tcW w:w="6454" w:type="dxa"/>
            <w:vAlign w:val="center"/>
          </w:tcPr>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val="en-US" w:eastAsia="zh-CN"/>
              </w:rPr>
              <w:t>3.</w:t>
            </w:r>
            <w:r>
              <w:rPr>
                <w:rFonts w:hint="eastAsia" w:cs="Arial" w:asciiTheme="minorEastAsia" w:hAnsiTheme="minorEastAsia" w:eastAsiaTheme="minorEastAsia"/>
                <w:color w:val="auto"/>
                <w:kern w:val="0"/>
                <w:sz w:val="24"/>
                <w:lang w:eastAsia="zh-CN"/>
              </w:rPr>
              <w:t>增值服务（</w:t>
            </w:r>
            <w:r>
              <w:rPr>
                <w:rFonts w:hint="eastAsia" w:cs="Arial" w:asciiTheme="minorEastAsia" w:hAnsiTheme="minorEastAsia" w:eastAsiaTheme="minorEastAsia"/>
                <w:color w:val="auto"/>
                <w:kern w:val="0"/>
                <w:sz w:val="24"/>
                <w:lang w:val="en-US" w:eastAsia="zh-CN"/>
              </w:rPr>
              <w:t>0-5</w:t>
            </w:r>
            <w:r>
              <w:rPr>
                <w:rFonts w:hint="eastAsia" w:cs="Arial" w:asciiTheme="minorEastAsia" w:hAnsiTheme="minorEastAsia" w:eastAsiaTheme="minorEastAsia"/>
                <w:color w:val="auto"/>
                <w:kern w:val="0"/>
                <w:sz w:val="24"/>
                <w:lang w:eastAsia="zh-CN"/>
              </w:rPr>
              <w:t>）</w:t>
            </w:r>
          </w:p>
          <w:p>
            <w:pPr>
              <w:spacing w:line="320" w:lineRule="exact"/>
              <w:rPr>
                <w:rFonts w:hint="eastAsia" w:cs="Arial" w:asciiTheme="minorEastAsia" w:hAnsiTheme="minorEastAsia" w:eastAsiaTheme="minorEastAsia"/>
                <w:color w:val="auto"/>
                <w:kern w:val="0"/>
                <w:sz w:val="24"/>
                <w:lang w:eastAsia="zh-CN"/>
              </w:rPr>
            </w:pPr>
            <w:r>
              <w:rPr>
                <w:rFonts w:hint="eastAsia" w:cs="Arial" w:asciiTheme="minorEastAsia" w:hAnsiTheme="minorEastAsia" w:eastAsiaTheme="minorEastAsia"/>
                <w:color w:val="auto"/>
                <w:kern w:val="0"/>
                <w:sz w:val="24"/>
                <w:lang w:eastAsia="zh-CN"/>
              </w:rPr>
              <w:t>提供全流程上线部署对接服务，保障游戏H5在手机端、公司内部网络环境均可顺畅推送、稳定访问；同时承诺项目上线后1年免费维护运营+免费小幅功能迭代优化，服务内容完整、落地性强，得3-5分；</w:t>
            </w:r>
          </w:p>
          <w:p>
            <w:pPr>
              <w:spacing w:line="320" w:lineRule="exact"/>
              <w:rPr>
                <w:rFonts w:hint="eastAsia" w:cs="Arial" w:asciiTheme="minorEastAsia" w:hAnsiTheme="minorEastAsia" w:eastAsiaTheme="minorEastAsia"/>
                <w:color w:val="auto"/>
                <w:kern w:val="0"/>
                <w:sz w:val="24"/>
                <w:lang w:eastAsia="zh-CN"/>
              </w:rPr>
            </w:pPr>
            <w:r>
              <w:rPr>
                <w:rFonts w:ascii="宋体" w:hAnsi="宋体" w:eastAsia="宋体" w:cs="宋体"/>
                <w:color w:val="auto"/>
                <w:sz w:val="24"/>
                <w:szCs w:val="24"/>
              </w:rPr>
              <w:t>能提供基础上线部署、仅承诺1年免费故障运维，不包含主动功能优化迭代；或仅提供多终端适配、无完整内网部署保障，服务内容有缺失，得1-2分</w:t>
            </w:r>
            <w:r>
              <w:rPr>
                <w:rFonts w:hint="eastAsia" w:cs="Arial" w:asciiTheme="minorEastAsia" w:hAnsiTheme="minorEastAsia" w:eastAsiaTheme="minorEastAsia"/>
                <w:color w:val="auto"/>
                <w:kern w:val="0"/>
                <w:sz w:val="24"/>
                <w:lang w:eastAsia="zh-CN"/>
              </w:rPr>
              <w:t>；</w:t>
            </w:r>
          </w:p>
          <w:p>
            <w:pPr>
              <w:spacing w:line="320" w:lineRule="exact"/>
              <w:rPr>
                <w:rFonts w:ascii="宋体" w:hAnsi="宋体" w:eastAsia="宋体" w:cs="宋体"/>
                <w:color w:val="auto"/>
                <w:sz w:val="24"/>
                <w:szCs w:val="24"/>
              </w:rPr>
            </w:pPr>
            <w:r>
              <w:rPr>
                <w:rFonts w:ascii="宋体" w:hAnsi="宋体" w:eastAsia="宋体" w:cs="宋体"/>
                <w:color w:val="auto"/>
                <w:sz w:val="24"/>
                <w:szCs w:val="24"/>
              </w:rPr>
              <w:t>无任何额外增值服务承诺，仅完成招标文件基础要求，无上线专项对接、无免费运维及优化承诺，得0分</w:t>
            </w:r>
          </w:p>
        </w:tc>
        <w:tc>
          <w:tcPr>
            <w:tcW w:w="992" w:type="dxa"/>
            <w:vMerge w:val="continue"/>
            <w:vAlign w:val="center"/>
          </w:tcPr>
          <w:p>
            <w:pPr>
              <w:widowControl/>
              <w:snapToGrid w:val="0"/>
              <w:spacing w:line="320" w:lineRule="exact"/>
              <w:jc w:val="center"/>
              <w:rPr>
                <w:rFonts w:hint="eastAsia" w:asciiTheme="minorEastAsia" w:hAnsiTheme="minorEastAsia" w:eastAsiaTheme="minorEastAsia"/>
                <w:color w:val="auto"/>
                <w:kern w:val="0"/>
                <w:sz w:val="24"/>
                <w:u w:color="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auto"/>
                <w:sz w:val="24"/>
              </w:rPr>
            </w:pPr>
            <w:r>
              <w:rPr>
                <w:rFonts w:hint="eastAsia" w:asciiTheme="minorEastAsia" w:hAnsiTheme="minorEastAsia" w:eastAsiaTheme="minorEastAsia"/>
                <w:b/>
                <w:snapToGrid w:val="0"/>
                <w:color w:val="auto"/>
                <w:sz w:val="24"/>
              </w:rPr>
              <w:t>合计</w:t>
            </w:r>
          </w:p>
        </w:tc>
        <w:tc>
          <w:tcPr>
            <w:tcW w:w="992" w:type="dxa"/>
            <w:vAlign w:val="center"/>
          </w:tcPr>
          <w:p>
            <w:pPr>
              <w:widowControl/>
              <w:snapToGrid w:val="0"/>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u w:color="FF0000"/>
              </w:rPr>
              <w:t>100</w:t>
            </w:r>
          </w:p>
        </w:tc>
      </w:tr>
    </w:tbl>
    <w:tbl>
      <w:tblPr>
        <w:tblStyle w:val="30"/>
        <w:tblpPr w:leftFromText="180" w:rightFromText="180" w:vertAnchor="text" w:tblpX="10217" w:tblpY="-20573"/>
        <w:tblOverlap w:val="never"/>
        <w:tblW w:w="4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373" w:type="dxa"/>
          </w:tcPr>
          <w:p>
            <w:pPr>
              <w:rPr>
                <w:rFonts w:hint="eastAsia" w:eastAsia="宋体"/>
                <w:vertAlign w:val="baseline"/>
                <w:lang w:val="en-US" w:eastAsia="zh-CN"/>
              </w:rPr>
            </w:pPr>
            <w:r>
              <w:rPr>
                <w:rFonts w:hint="eastAsia"/>
                <w:vertAlign w:val="baseline"/>
                <w:lang w:val="en-US" w:eastAsia="zh-CN"/>
              </w:rPr>
              <w:t xml:space="preserve"> </w:t>
            </w: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3"/>
      <w:bookmarkEnd w:id="0"/>
      <w:bookmarkStart w:id="1" w:name="OLE_LINK4"/>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ascii="宋体" w:hAnsi="宋体" w:cs="宋体"/>
          <w:color w:val="FF0000"/>
          <w:kern w:val="0"/>
          <w:sz w:val="24"/>
          <w:szCs w:val="24"/>
        </w:rPr>
        <w:t>5</w:t>
      </w:r>
      <w:r>
        <w:rPr>
          <w:rFonts w:hint="eastAsia" w:ascii="宋体" w:hAnsi="宋体" w:cs="宋体"/>
          <w:color w:val="FF0000"/>
          <w:kern w:val="0"/>
          <w:sz w:val="24"/>
          <w:szCs w:val="24"/>
        </w:rPr>
        <w:t>月XX日</w:t>
      </w:r>
      <w:r>
        <w:rPr>
          <w:rFonts w:hint="eastAsia" w:ascii="宋体" w:hAnsi="宋体" w:cs="宋体"/>
          <w:color w:val="FF0000"/>
          <w:kern w:val="0"/>
          <w:sz w:val="24"/>
          <w:szCs w:val="24"/>
          <w:lang w:val="en-US" w:eastAsia="zh-CN"/>
        </w:rPr>
        <w:t>下</w:t>
      </w:r>
      <w:r>
        <w:rPr>
          <w:rFonts w:hint="eastAsia" w:ascii="宋体" w:hAnsi="宋体" w:cs="宋体"/>
          <w:color w:val="FF0000"/>
          <w:kern w:val="0"/>
          <w:sz w:val="24"/>
          <w:szCs w:val="24"/>
        </w:rPr>
        <w:t>午</w:t>
      </w:r>
      <w:r>
        <w:rPr>
          <w:rFonts w:hint="eastAsia" w:ascii="宋体" w:hAnsi="宋体" w:cs="宋体"/>
          <w:color w:val="FF0000"/>
          <w:kern w:val="0"/>
          <w:sz w:val="24"/>
          <w:szCs w:val="24"/>
          <w:lang w:val="en-US" w:eastAsia="zh-CN"/>
        </w:rPr>
        <w:t>14</w:t>
      </w:r>
      <w:r>
        <w:rPr>
          <w:rFonts w:hint="eastAsia" w:ascii="宋体" w:hAnsi="宋体" w:cs="宋体"/>
          <w:color w:val="FF0000"/>
          <w:kern w:val="0"/>
          <w:sz w:val="24"/>
          <w:szCs w:val="24"/>
        </w:rPr>
        <w:t>:30，中国人民财产保险股份有限公司湖北省分公司</w:t>
      </w:r>
      <w:r>
        <w:rPr>
          <w:rFonts w:hint="eastAsia" w:ascii="宋体" w:hAnsi="宋体" w:cs="宋体"/>
          <w:color w:val="FF0000"/>
          <w:kern w:val="0"/>
          <w:sz w:val="24"/>
          <w:szCs w:val="24"/>
          <w:lang w:val="en-US" w:eastAsia="zh-CN"/>
        </w:rPr>
        <w:t>701</w:t>
      </w:r>
      <w:r>
        <w:rPr>
          <w:rFonts w:hint="eastAsia" w:ascii="宋体" w:hAnsi="宋体" w:cs="宋体"/>
          <w:color w:val="FF0000"/>
          <w:kern w:val="0"/>
          <w:sz w:val="24"/>
          <w:szCs w:val="24"/>
        </w:rPr>
        <w:t>会议室（时间、地点如有变化，将另行提前通知）。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需提供经会计师事务所审计的2019年度或2020年度财务审计报告复印件或磋商日前3个月内供应商银行出具的资信证明（除开具银行明确表示复印无效的，银行资信证明可以是复印件加盖本单位公章）；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rFonts w:hint="eastAsia"/>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p>
    <w:p>
      <w:pPr>
        <w:pStyle w:val="3"/>
        <w:numPr>
          <w:ilvl w:val="0"/>
          <w:numId w:val="0"/>
        </w:numPr>
        <w:spacing w:line="240" w:lineRule="auto"/>
        <w:rPr>
          <w:kern w:val="0"/>
          <w:sz w:val="24"/>
          <w:szCs w:val="24"/>
        </w:rPr>
      </w:pPr>
      <w:r>
        <w:rPr>
          <w:rFonts w:hint="eastAsia"/>
          <w:b/>
          <w:bCs/>
          <w:color w:val="FF0000"/>
          <w:sz w:val="40"/>
          <w:szCs w:val="40"/>
          <w:lang w:val="en-US" w:eastAsia="zh-CN"/>
        </w:rPr>
        <w:t>如无请删除</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11" w:name="_Toc190852156"/>
      <w:bookmarkEnd w:id="11"/>
      <w:bookmarkStart w:id="12" w:name="_Toc137965307"/>
      <w:bookmarkEnd w:id="12"/>
      <w:bookmarkStart w:id="13" w:name="_Toc125183171"/>
      <w:bookmarkEnd w:id="13"/>
      <w:r>
        <w:rPr>
          <w:rFonts w:hint="eastAsia"/>
          <w:sz w:val="30"/>
          <w:szCs w:val="30"/>
        </w:rPr>
        <w:t>及服务要求</w:t>
      </w:r>
    </w:p>
    <w:p>
      <w:pPr>
        <w:pStyle w:val="3"/>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jc w:val="left"/>
      </w:pPr>
      <w:bookmarkStart w:id="16" w:name="_Toc68615221"/>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Control 1" w:shapeid="_x0000_i1025"/>
        </w:objec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数据安全</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数据安全（接收外部数据和对外传输数据）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（十）若需开展数据测试，乙方的测试环境应与生产系统隔离，未经脱敏处理不得进入测试环境。</w:t>
      </w:r>
      <w:r>
        <w:rPr>
          <w:rFonts w:hint="eastAsia" w:ascii="宋体" w:hAnsi="宋体" w:eastAsia="宋体" w:cs="宋体"/>
          <w:sz w:val="21"/>
          <w:szCs w:val="21"/>
        </w:rPr>
        <w:br w:type="textWrapping"/>
      </w:r>
      <w:r>
        <w:rPr>
          <w:rFonts w:hint="eastAsia" w:ascii="宋体" w:hAnsi="宋体" w:eastAsia="宋体" w:cs="宋体"/>
          <w:b/>
          <w:bCs/>
          <w:sz w:val="21"/>
          <w:szCs w:val="21"/>
        </w:rPr>
        <w:t>数据安全（接收外部数据）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（四）双方数据处理活动的地域限于中国境内（为本合同履行之目的，不包含香港、澳门、台湾地区），不得将数据传输至境外。</w:t>
      </w:r>
      <w:r>
        <w:rPr>
          <w:rFonts w:hint="eastAsia" w:ascii="宋体" w:hAnsi="宋体" w:eastAsia="宋体" w:cs="宋体"/>
          <w:sz w:val="21"/>
          <w:szCs w:val="21"/>
        </w:rPr>
        <w:br w:type="textWrapping"/>
      </w:r>
      <w:r>
        <w:rPr>
          <w:rFonts w:hint="eastAsia" w:ascii="宋体" w:hAnsi="宋体" w:eastAsia="宋体" w:cs="宋体"/>
          <w:b/>
          <w:bCs/>
          <w:sz w:val="21"/>
          <w:szCs w:val="21"/>
        </w:rPr>
        <w:t>数据安全（对外传输数据）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br w:type="textWrapping"/>
      </w:r>
      <w:r>
        <w:rPr>
          <w:rFonts w:hint="eastAsia" w:ascii="宋体" w:hAnsi="宋体" w:eastAsia="宋体" w:cs="宋体"/>
          <w:sz w:val="21"/>
          <w:szCs w:val="21"/>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sz w:val="21"/>
          <w:szCs w:val="21"/>
        </w:rPr>
        <w:t>......</w:t>
      </w:r>
    </w:p>
    <w:p>
      <w:pPr>
        <w:spacing w:before="100" w:beforeAutospacing="1" w:after="100" w:afterAutospacing="1"/>
        <w:rPr>
          <w:b/>
          <w:bCs/>
          <w:kern w:val="0"/>
          <w:sz w:val="32"/>
          <w:szCs w:val="32"/>
        </w:rPr>
      </w:pPr>
      <w:r>
        <w:br w:type="page"/>
      </w:r>
    </w:p>
    <w:bookmarkEnd w:id="16"/>
    <w:p>
      <w:pPr>
        <w:spacing w:line="240" w:lineRule="auto"/>
        <w:jc w:val="center"/>
        <w:rPr>
          <w:rFonts w:ascii="仿宋" w:hAnsi="仿宋" w:eastAsia="仿宋" w:cs="宋体"/>
          <w:b/>
          <w:bCs/>
          <w:color w:val="000000"/>
          <w:sz w:val="28"/>
          <w:szCs w:val="28"/>
          <w:highlight w:val="none"/>
        </w:rPr>
      </w:pPr>
      <w:bookmarkStart w:id="1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3"/>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bookmarkEnd w:id="17"/>
    <w:p>
      <w:pPr>
        <w:pStyle w:val="4"/>
        <w:numPr>
          <w:ilvl w:val="0"/>
          <w:numId w:val="0"/>
        </w:numPr>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napToGrid w:val="0"/>
        <w:spacing w:line="360" w:lineRule="auto"/>
        <w:rPr>
          <w:rFonts w:hint="eastAsia" w:ascii="仿宋" w:hAnsi="仿宋" w:eastAsia="仿宋" w:cs="仿宋"/>
          <w:color w:val="000000"/>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p>
    <w:p>
      <w:pPr>
        <w:jc w:val="center"/>
        <w:rPr>
          <w:rFonts w:hint="eastAsia" w:ascii="仿宋_GB2312" w:eastAsia="仿宋_GB2312"/>
          <w:b/>
          <w:sz w:val="24"/>
          <w:szCs w:val="24"/>
        </w:rPr>
      </w:pPr>
      <w:r>
        <w:rPr>
          <w:rFonts w:hint="eastAsia" w:ascii="仿宋_GB2312" w:eastAsia="仿宋_GB2312"/>
          <w:b/>
          <w:sz w:val="24"/>
          <w:szCs w:val="24"/>
        </w:rPr>
        <w:t>信息安全采购要求承诺函</w:t>
      </w:r>
    </w:p>
    <w:p>
      <w:pPr>
        <w:snapToGrid w:val="0"/>
        <w:spacing w:line="360" w:lineRule="auto"/>
        <w:rPr>
          <w:rFonts w:hint="eastAsia" w:ascii="仿宋_GB2312" w:hAnsi="楷体_GB2312" w:eastAsia="仿宋_GB2312"/>
          <w:bCs/>
          <w:color w:val="000000" w:themeColor="text1"/>
          <w:sz w:val="24"/>
          <w14:textFill>
            <w14:solidFill>
              <w14:schemeClr w14:val="tx1"/>
            </w14:solidFill>
          </w14:textFill>
        </w:rPr>
      </w:pPr>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
      <w:pPr>
        <w:widowControl/>
        <w:jc w:val="left"/>
        <w:rPr>
          <w:rFonts w:ascii="Calibri Light" w:hAnsi="Calibri Light"/>
          <w:b/>
          <w:bCs/>
          <w:sz w:val="24"/>
          <w:szCs w:val="24"/>
        </w:rPr>
      </w:pPr>
      <w:r>
        <w:rPr>
          <w:sz w:val="24"/>
          <w:szCs w:val="24"/>
        </w:rPr>
        <w:br w:type="page"/>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rFonts w:hint="eastAsia"/>
          <w:sz w:val="24"/>
          <w:szCs w:val="24"/>
          <w:highlight w:val="green"/>
        </w:rPr>
      </w:pPr>
      <w:r>
        <w:rPr>
          <w:rFonts w:hint="eastAsia"/>
          <w:sz w:val="24"/>
          <w:szCs w:val="24"/>
          <w:highlight w:val="green"/>
        </w:rPr>
        <w:t>附件4.2 采购需求及技术服务要求</w:t>
      </w:r>
    </w:p>
    <w:p>
      <w:pPr>
        <w:rPr>
          <w:rFonts w:hint="eastAsia" w:ascii="宋体" w:hAnsi="宋体" w:eastAsia="宋体" w:cs="宋体"/>
          <w:b w:val="0"/>
          <w:bCs w:val="0"/>
          <w:color w:val="FF0000"/>
          <w:sz w:val="24"/>
          <w:szCs w:val="24"/>
        </w:rPr>
      </w:pP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本次采购为人保财险湖北省分公司沉浸式警示教育服务项目，属于定制化H5开发与廉政宣教内容创作服务类项目，具体需求如下：</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1.项目数量与形式</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本次采购共开发2个AI动画</w:t>
      </w:r>
      <w:r>
        <w:rPr>
          <w:rFonts w:hint="eastAsia" w:ascii="宋体" w:hAnsi="宋体" w:cs="宋体"/>
          <w:b w:val="0"/>
          <w:bCs w:val="0"/>
          <w:color w:val="auto"/>
          <w:kern w:val="2"/>
          <w:sz w:val="24"/>
          <w:szCs w:val="24"/>
          <w:lang w:val="en-US" w:eastAsia="zh-CN" w:bidi="ar-SA"/>
        </w:rPr>
        <w:t>、Mg动画</w:t>
      </w:r>
      <w:r>
        <w:rPr>
          <w:rFonts w:hint="eastAsia" w:ascii="宋体" w:hAnsi="宋体" w:eastAsia="宋体" w:cs="宋体"/>
          <w:b w:val="0"/>
          <w:bCs w:val="0"/>
          <w:color w:val="auto"/>
          <w:kern w:val="2"/>
          <w:sz w:val="24"/>
          <w:szCs w:val="24"/>
          <w:lang w:val="en-US" w:eastAsia="zh-CN" w:bidi="ar-SA"/>
        </w:rPr>
        <w:t>形式小游戏H5，主题围绕党风廉政警示教育、树立和践行正确政绩观，采用动画叙事+互动游戏的形式，打造沉浸式、体验式廉政宣教载体，适配企业微信、手机端、电脑端多渠道访问。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2.服务具体内容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购买货物、服务、工程的详细内容。包括但不限于：货物数量、规格型号、服务具体内容、服务时长期限、工程项目具体内容等。</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（1）前期脚本梳理与策划服务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①围绕项目主题，结合国企纪检工作实际，协助我公司完成2个H5游戏的完整剧情脚本、互动玩法策划、内容框架设计，融入典型案例、纪律规矩知识点、廉政警示内容，确保内容合规、主题鲜明、警示性强。</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②提供全套项目方案文档，配合完成项目开发前的需求确认与准备工作。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（2）中期项目制作开发服务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动画制作：完成2个H5游戏的角色、场景、动画素材设计与制作，整体风格庄重规范、</w:t>
      </w:r>
      <w:r>
        <w:rPr>
          <w:rFonts w:hint="eastAsia" w:ascii="宋体" w:hAnsi="宋体" w:cs="宋体"/>
          <w:b w:val="0"/>
          <w:bCs w:val="0"/>
          <w:color w:val="auto"/>
          <w:kern w:val="2"/>
          <w:sz w:val="24"/>
          <w:szCs w:val="24"/>
          <w:lang w:val="en-US" w:eastAsia="zh-CN" w:bidi="ar-SA"/>
        </w:rPr>
        <w:t>动画精美、</w:t>
      </w:r>
      <w:r>
        <w:rPr>
          <w:rFonts w:hint="default" w:ascii="宋体" w:hAnsi="宋体" w:eastAsia="宋体" w:cs="宋体"/>
          <w:b w:val="0"/>
          <w:bCs w:val="0"/>
          <w:color w:val="auto"/>
          <w:kern w:val="2"/>
          <w:sz w:val="24"/>
          <w:szCs w:val="24"/>
          <w:lang w:val="en-US" w:eastAsia="zh-CN" w:bidi="ar-SA"/>
        </w:rPr>
        <w:t>贴合廉政宣教定位，交互友好、体验流畅。</w:t>
      </w:r>
      <w:r>
        <w:rPr>
          <w:rFonts w:hint="eastAsia" w:ascii="宋体" w:hAnsi="宋体" w:cs="宋体"/>
          <w:b w:val="0"/>
          <w:bCs w:val="0"/>
          <w:color w:val="auto"/>
          <w:kern w:val="2"/>
          <w:sz w:val="24"/>
          <w:szCs w:val="24"/>
          <w:lang w:val="en-US" w:eastAsia="zh-CN" w:bidi="ar-SA"/>
        </w:rPr>
        <w:t>其中一个H5游戏需全部使用AI动画，动画时长约6分钟，操作时长约12.5分钟（包含点选、拼图、走迷宫等、实时显示玩家生命值），游戏时长20分钟以内；另一个H5游戏使用MG动画，操作部分仅有点选，动画时长约10分钟，游戏时长约12分钟。</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eastAsia" w:ascii="宋体" w:hAnsi="宋体" w:cs="宋体"/>
          <w:b w:val="0"/>
          <w:bCs w:val="0"/>
          <w:color w:val="auto"/>
          <w:kern w:val="2"/>
          <w:sz w:val="24"/>
          <w:szCs w:val="24"/>
          <w:lang w:val="en-US" w:eastAsia="zh-CN" w:bidi="ar-SA"/>
        </w:rPr>
        <w:t>人物配音与音效：根据游戏场景及角色配套背景音效及人物对话语音。</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③</w:t>
      </w:r>
      <w:r>
        <w:rPr>
          <w:rFonts w:hint="default" w:ascii="宋体" w:hAnsi="宋体" w:eastAsia="宋体" w:cs="宋体"/>
          <w:b w:val="0"/>
          <w:bCs w:val="0"/>
          <w:color w:val="auto"/>
          <w:kern w:val="2"/>
          <w:sz w:val="24"/>
          <w:szCs w:val="24"/>
          <w:lang w:val="en-US" w:eastAsia="zh-CN" w:bidi="ar-SA"/>
        </w:rPr>
        <w:t>技术开发：完成H5游戏前端页面开发、后端程序搭建、功能模块调试，实现游戏的用户登录、剧情推进、互动反馈、进度保存、结果统计等功能，适配不同型号手机、浏览器，支持公司全员同时段在线访问。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④</w:t>
      </w:r>
      <w:r>
        <w:rPr>
          <w:rFonts w:hint="default" w:ascii="宋体" w:hAnsi="宋体" w:eastAsia="宋体" w:cs="宋体"/>
          <w:b w:val="0"/>
          <w:bCs w:val="0"/>
          <w:color w:val="auto"/>
          <w:kern w:val="2"/>
          <w:sz w:val="24"/>
          <w:szCs w:val="24"/>
          <w:lang w:val="en-US" w:eastAsia="zh-CN" w:bidi="ar-SA"/>
        </w:rPr>
        <w:t>全流程测试与优化：完成游戏功能测试、兼容性测试、漏洞修复，根据采购方反馈调整优化剧情、玩法、界面、文字内容，确保项目稳定运行。</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后期售后与维护服务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提供上线部署对接服务，保障游戏在企业微信等内部渠道的顺畅推送与访问。</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default" w:ascii="宋体" w:hAnsi="宋体" w:eastAsia="宋体" w:cs="宋体"/>
          <w:b w:val="0"/>
          <w:bCs w:val="0"/>
          <w:color w:val="auto"/>
          <w:kern w:val="2"/>
          <w:sz w:val="24"/>
          <w:szCs w:val="24"/>
          <w:lang w:val="en-US" w:eastAsia="zh-CN" w:bidi="ar-SA"/>
        </w:rPr>
        <w:t>提供项目上线后1年的免费维护运营服务，具体内容见本条款“四、服务质量与售后要求”。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项目预算与交付要求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eastAsia" w:ascii="宋体" w:hAnsi="宋体" w:eastAsia="宋体" w:cs="宋体"/>
          <w:b/>
          <w:bCs/>
          <w:color w:val="auto"/>
          <w:kern w:val="2"/>
          <w:sz w:val="24"/>
          <w:szCs w:val="24"/>
          <w:lang w:val="en-US" w:eastAsia="zh-CN" w:bidi="ar-SA"/>
        </w:rPr>
        <w:t>本项目预算25万元，投标限价</w:t>
      </w:r>
      <w:r>
        <w:rPr>
          <w:rFonts w:hint="eastAsia" w:ascii="宋体" w:hAnsi="宋体" w:cs="宋体"/>
          <w:b/>
          <w:bCs/>
          <w:color w:val="auto"/>
          <w:kern w:val="2"/>
          <w:sz w:val="24"/>
          <w:szCs w:val="24"/>
          <w:lang w:val="en-US" w:eastAsia="zh-CN" w:bidi="ar-SA"/>
        </w:rPr>
        <w:t>25万</w:t>
      </w:r>
      <w:r>
        <w:rPr>
          <w:rFonts w:hint="eastAsia" w:ascii="宋体" w:hAnsi="宋体" w:eastAsia="宋体" w:cs="宋体"/>
          <w:b/>
          <w:bCs/>
          <w:color w:val="auto"/>
          <w:kern w:val="2"/>
          <w:sz w:val="24"/>
          <w:szCs w:val="24"/>
          <w:lang w:val="en-US" w:eastAsia="zh-CN" w:bidi="ar-SA"/>
        </w:rPr>
        <w:t>元</w:t>
      </w:r>
      <w:r>
        <w:rPr>
          <w:rFonts w:hint="eastAsia" w:ascii="宋体" w:hAnsi="宋体" w:cs="宋体"/>
          <w:b/>
          <w:bCs/>
          <w:color w:val="auto"/>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预计验收通过后支付项目款项的90%,质保期结束支付款项的10%。</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交付地点及方式：线上交付，成交供应商需提供完整的项目成果文件、源代码、素材源文件及相关技术文档，配合完成项目验收。</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r>
        <w:rPr>
          <w:rFonts w:hint="default" w:ascii="宋体" w:hAnsi="宋体" w:eastAsia="宋体" w:cs="宋体"/>
          <w:b w:val="0"/>
          <w:bCs w:val="0"/>
          <w:color w:val="auto"/>
          <w:kern w:val="2"/>
          <w:sz w:val="24"/>
          <w:szCs w:val="24"/>
          <w:lang w:val="en-US" w:eastAsia="zh-CN" w:bidi="ar-SA"/>
        </w:rPr>
        <w:t>项目制作周期：项目整体制作周期约50天，具体制作时长可根据双方沟通协商调整，自合同签订之日起计算，确保按期完成开发、测试、优化并交付上线。</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w:t>
      </w:r>
      <w:r>
        <w:rPr>
          <w:rFonts w:hint="default" w:ascii="宋体" w:hAnsi="宋体" w:eastAsia="宋体" w:cs="宋体"/>
          <w:b w:val="0"/>
          <w:bCs w:val="0"/>
          <w:color w:val="auto"/>
          <w:kern w:val="2"/>
          <w:sz w:val="24"/>
          <w:szCs w:val="24"/>
          <w:lang w:val="en-US" w:eastAsia="zh-CN" w:bidi="ar-SA"/>
        </w:rPr>
        <w:t>付款与质保约定</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项目质保期为1年，自项目验收合格之日起计算，质保期内供应商需按要求提供免费维护服务。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w:t>
      </w:r>
      <w:r>
        <w:rPr>
          <w:rFonts w:hint="default" w:ascii="宋体" w:hAnsi="宋体" w:eastAsia="宋体" w:cs="宋体"/>
          <w:b w:val="0"/>
          <w:bCs w:val="0"/>
          <w:color w:val="auto"/>
          <w:kern w:val="2"/>
          <w:sz w:val="24"/>
          <w:szCs w:val="24"/>
          <w:lang w:val="en-US" w:eastAsia="zh-CN" w:bidi="ar-SA"/>
        </w:rPr>
        <w:t>服务质量与售后要求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r>
        <w:rPr>
          <w:rFonts w:hint="default" w:ascii="宋体" w:hAnsi="宋体" w:eastAsia="宋体" w:cs="宋体"/>
          <w:b w:val="0"/>
          <w:bCs w:val="0"/>
          <w:color w:val="auto"/>
          <w:kern w:val="2"/>
          <w:sz w:val="24"/>
          <w:szCs w:val="24"/>
          <w:lang w:val="en-US" w:eastAsia="zh-CN" w:bidi="ar-SA"/>
        </w:rPr>
        <w:t>技术服务保障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开发调试及试运行期间，供应商需配备专属项目团队（含产品经理、前后端技术团队、设计团队、测试团队、运维技术人员），全程跟进项目实施，协调解决开发过程中的各类问题，配合采购方完成分阶段验收工作。</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default" w:ascii="宋体" w:hAnsi="宋体" w:eastAsia="宋体" w:cs="宋体"/>
          <w:b w:val="0"/>
          <w:bCs w:val="0"/>
          <w:color w:val="auto"/>
          <w:kern w:val="2"/>
          <w:sz w:val="24"/>
          <w:szCs w:val="24"/>
          <w:lang w:val="en-US" w:eastAsia="zh-CN" w:bidi="ar-SA"/>
        </w:rPr>
        <w:t>维护服务内容</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①</w:t>
      </w:r>
      <w:r>
        <w:rPr>
          <w:rFonts w:hint="default" w:ascii="宋体" w:hAnsi="宋体" w:eastAsia="宋体" w:cs="宋体"/>
          <w:b w:val="0"/>
          <w:bCs w:val="0"/>
          <w:color w:val="auto"/>
          <w:kern w:val="2"/>
          <w:sz w:val="24"/>
          <w:szCs w:val="24"/>
          <w:lang w:val="en-US" w:eastAsia="zh-CN" w:bidi="ar-SA"/>
        </w:rPr>
        <w:t>质保期内提供7×24小时bug响应服务，一般问题5小时内完成修复；对于新增功能点或修改内容，根据具体需求进行评估后提供服务。</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②</w:t>
      </w:r>
      <w:r>
        <w:rPr>
          <w:rFonts w:hint="default" w:ascii="宋体" w:hAnsi="宋体" w:eastAsia="宋体" w:cs="宋体"/>
          <w:b w:val="0"/>
          <w:bCs w:val="0"/>
          <w:color w:val="auto"/>
          <w:kern w:val="2"/>
          <w:sz w:val="24"/>
          <w:szCs w:val="24"/>
          <w:lang w:val="en-US" w:eastAsia="zh-CN" w:bidi="ar-SA"/>
        </w:rPr>
        <w:t>提供服务器系统维护、虚拟服务器维护、数据维护、服务器缓存清理、数据备份、代码备份、服务器安全维护、服务器性能监控等基础运维服务，保障项目稳定运行。</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③</w:t>
      </w:r>
      <w:r>
        <w:rPr>
          <w:rFonts w:hint="default" w:ascii="宋体" w:hAnsi="宋体" w:eastAsia="宋体" w:cs="宋体"/>
          <w:b w:val="0"/>
          <w:bCs w:val="0"/>
          <w:color w:val="auto"/>
          <w:kern w:val="2"/>
          <w:sz w:val="24"/>
          <w:szCs w:val="24"/>
          <w:lang w:val="en-US" w:eastAsia="zh-CN" w:bidi="ar-SA"/>
        </w:rPr>
        <w:t>若因不可抗力或采购方使用不当造成的功能问题，供应商可提供维护服务，超出合同确认需求的内容，可按实际人工工时收取相应费用。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w:t>
      </w:r>
      <w:r>
        <w:rPr>
          <w:rFonts w:hint="default" w:ascii="宋体" w:hAnsi="宋体" w:eastAsia="宋体" w:cs="宋体"/>
          <w:b w:val="0"/>
          <w:bCs w:val="0"/>
          <w:color w:val="auto"/>
          <w:kern w:val="2"/>
          <w:sz w:val="24"/>
          <w:szCs w:val="24"/>
          <w:lang w:val="en-US" w:eastAsia="zh-CN" w:bidi="ar-SA"/>
        </w:rPr>
        <w:t>内容合规要求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项目所有内容需严格遵守国家法律法规、纪检工作要求及公司廉政建设相关规定，不得包含违规违纪、不符合廉政宣教要求的内容，知识产权归采购方所有，供应商不得擅自使用或泄露项目资料。</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w:t>
      </w:r>
      <w:r>
        <w:rPr>
          <w:rFonts w:hint="default" w:ascii="宋体" w:hAnsi="宋体" w:eastAsia="宋体" w:cs="宋体"/>
          <w:b w:val="0"/>
          <w:bCs w:val="0"/>
          <w:color w:val="auto"/>
          <w:kern w:val="2"/>
          <w:sz w:val="24"/>
          <w:szCs w:val="24"/>
          <w:lang w:val="en-US" w:eastAsia="zh-CN" w:bidi="ar-SA"/>
        </w:rPr>
        <w:t>其他要求</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default" w:ascii="宋体" w:hAnsi="宋体" w:eastAsia="宋体" w:cs="宋体"/>
          <w:b w:val="0"/>
          <w:bCs w:val="0"/>
          <w:color w:val="auto"/>
          <w:kern w:val="2"/>
          <w:sz w:val="24"/>
          <w:szCs w:val="24"/>
          <w:lang w:val="en-US" w:eastAsia="zh-CN" w:bidi="ar-SA"/>
        </w:rPr>
        <w:t>成交供应商需具备政企廉政宣教项目开发经验，能提供同类项目案例佐证；项目交付后需配合采购方完成后续推广、培训等相关工作，确保项目落地见效。</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宋体" w:hAnsi="宋体" w:eastAsia="宋体" w:cs="宋体"/>
          <w:b w:val="0"/>
          <w:bCs w:val="0"/>
          <w:color w:val="0000FF"/>
          <w:kern w:val="2"/>
          <w:sz w:val="24"/>
          <w:szCs w:val="24"/>
          <w:lang w:val="en-US" w:eastAsia="zh-CN" w:bidi="ar-SA"/>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1044" w:firstLineChars="200"/>
        <w:rPr>
          <w:rFonts w:hint="eastAsia" w:ascii="仿宋" w:hAnsi="仿宋" w:eastAsia="仿宋" w:cs="仿宋"/>
          <w:b/>
          <w:bCs/>
          <w:i w:val="0"/>
          <w:iCs w:val="0"/>
          <w:caps w:val="0"/>
          <w:color w:val="FF0000"/>
          <w:spacing w:val="0"/>
          <w:sz w:val="52"/>
          <w:szCs w:val="52"/>
          <w:shd w:val="clear" w:color="auto" w:fill="FFFFFF"/>
          <w:lang w:val="en-US" w:eastAsia="zh-CN"/>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1044" w:firstLineChars="200"/>
        <w:rPr>
          <w:rFonts w:hint="eastAsia" w:ascii="仿宋" w:hAnsi="仿宋" w:eastAsia="仿宋" w:cs="仿宋"/>
          <w:b/>
          <w:bCs/>
          <w:i w:val="0"/>
          <w:iCs w:val="0"/>
          <w:caps w:val="0"/>
          <w:color w:val="FF0000"/>
          <w:spacing w:val="0"/>
          <w:sz w:val="52"/>
          <w:szCs w:val="52"/>
          <w:shd w:val="clear" w:color="auto" w:fill="FFFFFF"/>
          <w:lang w:val="en-US" w:eastAsia="zh-CN"/>
        </w:rPr>
      </w:pPr>
    </w:p>
    <w:p>
      <w:pPr>
        <w:pStyle w:val="2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leftChars="0" w:right="0" w:firstLine="0" w:firstLineChars="0"/>
        <w:rPr>
          <w:rFonts w:hint="eastAsia" w:ascii="仿宋" w:hAnsi="仿宋" w:eastAsia="仿宋" w:cs="仿宋"/>
          <w:b/>
          <w:bCs/>
          <w:i w:val="0"/>
          <w:iCs w:val="0"/>
          <w:caps w:val="0"/>
          <w:color w:val="FF0000"/>
          <w:spacing w:val="0"/>
          <w:sz w:val="52"/>
          <w:szCs w:val="52"/>
          <w:shd w:val="clear" w:color="auto" w:fill="FFFFFF"/>
          <w:lang w:val="en-US" w:eastAsia="zh-CN"/>
        </w:rPr>
      </w:pPr>
    </w:p>
    <w:p>
      <w:pPr>
        <w:rPr>
          <w:rFonts w:hint="eastAsia" w:ascii="宋体" w:hAnsi="宋体" w:eastAsia="宋体" w:cs="宋体"/>
          <w:b w:val="0"/>
          <w:bCs w:val="0"/>
          <w:color w:val="FF0000"/>
          <w:sz w:val="24"/>
          <w:szCs w:val="24"/>
        </w:rPr>
      </w:pPr>
    </w:p>
    <w:p>
      <w:pPr>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br w:type="page"/>
      </w: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9AE389E"/>
    <w:rsid w:val="0B2E72C7"/>
    <w:rsid w:val="0BAE24F3"/>
    <w:rsid w:val="0EEE20A6"/>
    <w:rsid w:val="135567D2"/>
    <w:rsid w:val="1BC34E9C"/>
    <w:rsid w:val="1D34206D"/>
    <w:rsid w:val="1E06658A"/>
    <w:rsid w:val="24684952"/>
    <w:rsid w:val="2CC46878"/>
    <w:rsid w:val="2F1E302B"/>
    <w:rsid w:val="2F2C54DF"/>
    <w:rsid w:val="39655067"/>
    <w:rsid w:val="41124150"/>
    <w:rsid w:val="607109A5"/>
    <w:rsid w:val="658713A2"/>
    <w:rsid w:val="66B37873"/>
    <w:rsid w:val="6710229D"/>
    <w:rsid w:val="6774606C"/>
    <w:rsid w:val="69180FCC"/>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1"/>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50"/>
    <w:qFormat/>
    <w:uiPriority w:val="0"/>
    <w:pPr>
      <w:widowControl/>
      <w:spacing w:line="360" w:lineRule="atLeast"/>
      <w:ind w:left="100" w:leftChars="2500"/>
      <w:jc w:val="left"/>
    </w:pPr>
    <w:rPr>
      <w:kern w:val="0"/>
      <w:sz w:val="24"/>
      <w:szCs w:val="24"/>
    </w:rPr>
  </w:style>
  <w:style w:type="paragraph" w:styleId="17">
    <w:name w:val="Body Text Indent 2"/>
    <w:basedOn w:val="1"/>
    <w:qFormat/>
    <w:uiPriority w:val="0"/>
    <w:pPr>
      <w:spacing w:line="400" w:lineRule="exact"/>
      <w:ind w:firstLine="560" w:firstLineChars="200"/>
    </w:pPr>
    <w:rPr>
      <w:sz w:val="28"/>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1"/>
    <w:next w:val="11"/>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0"/>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2"/>
    <w:qFormat/>
    <w:uiPriority w:val="9"/>
    <w:rPr>
      <w:rFonts w:ascii="宋体" w:hAnsi="宋体" w:eastAsia="宋体" w:cs="宋体"/>
      <w:b/>
      <w:bCs/>
      <w:kern w:val="36"/>
      <w:szCs w:val="21"/>
    </w:rPr>
  </w:style>
  <w:style w:type="character" w:customStyle="1" w:styleId="39">
    <w:name w:val="标题 2 Char"/>
    <w:basedOn w:val="31"/>
    <w:link w:val="3"/>
    <w:qFormat/>
    <w:uiPriority w:val="9"/>
    <w:rPr>
      <w:rFonts w:ascii="Calibri Light" w:hAnsi="Calibri Light" w:eastAsia="宋体" w:cs="Times New Roman"/>
      <w:b/>
      <w:bCs/>
      <w:sz w:val="32"/>
      <w:szCs w:val="32"/>
    </w:rPr>
  </w:style>
  <w:style w:type="character" w:customStyle="1" w:styleId="40">
    <w:name w:val="标题 3 Char"/>
    <w:basedOn w:val="31"/>
    <w:link w:val="4"/>
    <w:qFormat/>
    <w:uiPriority w:val="9"/>
    <w:rPr>
      <w:rFonts w:ascii="Times New Roman" w:hAnsi="Times New Roman" w:eastAsia="宋体" w:cs="Times New Roman"/>
      <w:b/>
      <w:bCs/>
      <w:kern w:val="0"/>
      <w:sz w:val="32"/>
      <w:szCs w:val="32"/>
    </w:rPr>
  </w:style>
  <w:style w:type="character" w:customStyle="1" w:styleId="41">
    <w:name w:val="标题 4 Char"/>
    <w:basedOn w:val="31"/>
    <w:link w:val="5"/>
    <w:qFormat/>
    <w:uiPriority w:val="9"/>
    <w:rPr>
      <w:rFonts w:ascii="Calibri Light" w:hAnsi="Calibri Light" w:eastAsia="宋体" w:cs="Times New Roman"/>
      <w:b/>
      <w:bCs/>
      <w:sz w:val="28"/>
      <w:szCs w:val="28"/>
    </w:rPr>
  </w:style>
  <w:style w:type="character" w:customStyle="1" w:styleId="42">
    <w:name w:val="标题 5 Char"/>
    <w:basedOn w:val="31"/>
    <w:link w:val="6"/>
    <w:qFormat/>
    <w:uiPriority w:val="9"/>
    <w:rPr>
      <w:rFonts w:ascii="Times New Roman" w:hAnsi="Times New Roman" w:eastAsia="宋体" w:cs="Times New Roman"/>
      <w:b/>
      <w:bCs/>
      <w:sz w:val="28"/>
      <w:szCs w:val="28"/>
    </w:rPr>
  </w:style>
  <w:style w:type="character" w:customStyle="1" w:styleId="43">
    <w:name w:val="标题 6 Char"/>
    <w:basedOn w:val="31"/>
    <w:link w:val="7"/>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6"/>
    <w:qFormat/>
    <w:uiPriority w:val="0"/>
    <w:rPr>
      <w:rFonts w:ascii="Times New Roman" w:hAnsi="Times New Roman" w:eastAsia="宋体" w:cs="Times New Roman"/>
      <w:kern w:val="0"/>
      <w:sz w:val="24"/>
      <w:szCs w:val="24"/>
    </w:rPr>
  </w:style>
  <w:style w:type="character" w:customStyle="1" w:styleId="51">
    <w:name w:val="纯文本 Char"/>
    <w:basedOn w:val="31"/>
    <w:link w:val="14"/>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0"/>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1"/>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1"/>
    <w:next w:val="11"/>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9"/>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0"/>
    <w:qFormat/>
    <w:uiPriority w:val="99"/>
    <w:rPr>
      <w:rFonts w:ascii="Microsoft YaHei UI" w:hAnsi="Calibri" w:eastAsia="Microsoft YaHei UI" w:cs="Times New Roman"/>
      <w:sz w:val="18"/>
      <w:szCs w:val="18"/>
    </w:rPr>
  </w:style>
  <w:style w:type="character" w:customStyle="1" w:styleId="118">
    <w:name w:val="批注文字 Char1"/>
    <w:basedOn w:val="31"/>
    <w:link w:val="11"/>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1"/>
    <w:basedOn w:val="1"/>
    <w:next w:val="17"/>
    <w:qFormat/>
    <w:uiPriority w:val="0"/>
    <w:pPr>
      <w:tabs>
        <w:tab w:val="left" w:pos="3060"/>
      </w:tabs>
      <w:spacing w:line="140" w:lineRule="atLeast"/>
      <w:ind w:firstLine="560" w:firstLineChars="200"/>
    </w:pPr>
    <w:rPr>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1</TotalTime>
  <ScaleCrop>false</ScaleCrop>
  <LinksUpToDate>false</LinksUpToDate>
  <CharactersWithSpaces>11754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陈淼</cp:lastModifiedBy>
  <dcterms:modified xsi:type="dcterms:W3CDTF">2026-05-14T09:59:02Z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57CD75A06C994E5B9FB261641B1240B6</vt:lpwstr>
  </property>
</Properties>
</file>