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w:t>
      </w:r>
      <w:r>
        <w:rPr>
          <w:rFonts w:hint="eastAsia" w:ascii="方正小标宋简体" w:hAnsi="方正小标宋简体" w:eastAsia="方正小标宋简体" w:cs="方正小标宋简体"/>
          <w:sz w:val="44"/>
          <w:szCs w:val="44"/>
          <w:lang w:val="en-US" w:eastAsia="zh-CN"/>
        </w:rPr>
        <w:t>人保财险</w:t>
      </w:r>
      <w:r>
        <w:rPr>
          <w:rFonts w:hint="eastAsia" w:ascii="方正小标宋简体" w:hAnsi="方正小标宋简体" w:eastAsia="方正小标宋简体" w:cs="方正小标宋简体"/>
          <w:sz w:val="44"/>
          <w:szCs w:val="44"/>
          <w:lang w:val="en-US" w:eastAsia="zh-CN"/>
        </w:rPr>
        <w:t>新疆疏附支公司公交车电子屏广告费</w:t>
      </w:r>
      <w:r>
        <w:rPr>
          <w:rFonts w:hint="eastAsia" w:ascii="方正小标宋简体" w:hAnsi="方正小标宋简体" w:eastAsia="方正小标宋简体" w:cs="方正小标宋简体"/>
          <w:sz w:val="44"/>
          <w:szCs w:val="44"/>
          <w:lang w:val="en-US" w:eastAsia="zh-CN"/>
        </w:rPr>
        <w:t>采购项目采用单一</w:t>
      </w:r>
      <w:r>
        <w:rPr>
          <w:rFonts w:hint="eastAsia" w:ascii="方正小标宋简体" w:hAnsi="方正小标宋简体" w:eastAsia="方正小标宋简体" w:cs="方正小标宋简体"/>
          <w:sz w:val="44"/>
          <w:szCs w:val="44"/>
          <w:lang w:val="en-US" w:eastAsia="zh-CN"/>
        </w:rPr>
        <w:t>采购</w:t>
      </w:r>
      <w:r>
        <w:rPr>
          <w:rFonts w:hint="eastAsia" w:ascii="方正小标宋简体" w:hAnsi="方正小标宋简体" w:eastAsia="方正小标宋简体" w:cs="方正小标宋简体"/>
          <w:sz w:val="44"/>
          <w:szCs w:val="44"/>
          <w:lang w:val="en-US" w:eastAsia="zh-CN"/>
        </w:rPr>
        <w:t>方式采购的公示</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根据中国人民保险集团和中国人民财产保险股份有限公司采购管理相关制度规定，现将相关单一采购内容公示如下：</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lang w:val="en-US" w:eastAsia="zh-CN"/>
        </w:rPr>
        <w:t>一、</w:t>
      </w:r>
      <w:r>
        <w:rPr>
          <w:rFonts w:hint="eastAsia" w:ascii="仿宋_GB2312" w:eastAsia="仿宋_GB2312"/>
          <w:kern w:val="0"/>
          <w:sz w:val="32"/>
          <w:szCs w:val="32"/>
        </w:rPr>
        <w:t>人保财险</w:t>
      </w:r>
      <w:r>
        <w:rPr>
          <w:rFonts w:hint="eastAsia" w:ascii="仿宋_GB2312" w:eastAsia="仿宋_GB2312"/>
          <w:kern w:val="0"/>
          <w:sz w:val="32"/>
          <w:szCs w:val="32"/>
          <w:lang w:val="en-US" w:eastAsia="zh-CN"/>
        </w:rPr>
        <w:t>新疆疏附支公司公交车电子屏广告费</w:t>
      </w:r>
      <w:r>
        <w:rPr>
          <w:rFonts w:hint="eastAsia" w:ascii="仿宋_GB2312" w:eastAsia="仿宋_GB2312"/>
          <w:kern w:val="0"/>
          <w:sz w:val="32"/>
          <w:szCs w:val="32"/>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lang w:val="en-US" w:eastAsia="zh-CN"/>
        </w:rPr>
        <w:t>二、</w:t>
      </w:r>
      <w:bookmarkStart w:id="0" w:name="_GoBack"/>
      <w:bookmarkEnd w:id="0"/>
      <w:r>
        <w:rPr>
          <w:rFonts w:hint="eastAsia" w:ascii="仿宋_GB2312" w:eastAsia="仿宋_GB2312"/>
          <w:kern w:val="0"/>
          <w:sz w:val="32"/>
          <w:szCs w:val="32"/>
          <w:lang w:val="en-US" w:eastAsia="zh-CN"/>
        </w:rPr>
        <w:t>单一采购供应商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lang w:val="en-US" w:eastAsia="zh-CN"/>
        </w:rPr>
        <w:t>资源唯一性：疏附县安泰运输有限责任公司作为当地公交运营主体，合法拥有辖区内公交车电子屏广告的所有权。公司已独家授权新疆三人行广告装潢有限公司负责公交电子屏广告资源的策划、发布、运营与市场推广工作。授权期限2026年3月1日至2027年1月1日。选择该供应商可确保广告投放渠道的稳定唯一性，符合项目采购发法定情形，按照《中国人民保险集团分散采购管理办法》第三章第十四条规定，该项目属于普通分散采购，本项目拟参照公司分散采购管理规定实施项目采购，采用单一采购方式实施采购，符合单一采购方式中“只能从唯一供应商处采购的，即因货物或服务使用不可替代的专利、专有技术，或者项目有特殊要求，导致只能从某一特定供应商处采购”的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服务必要性：公交线路覆盖城区及各乡镇，精准覆盖目标客群；车载电子屏可全天候滚动播放人保车险理念、投保优势、理赔服务，传播时效快、受众接受度高，借助公交移动宣传平台，既能提升人保车险本地知名度与市场影响力，强化百姓保险保障意识，拓宽获客宣传渠道，以及保险知识普及的多重宣传目的，是人保车险县域宣传不可替代的优质传播渠道。新疆三人行广告装潢有限公司作为疏附县安泰运输有限责任公司唯一合法权属方，其提供的服务是保障采购目的实现的必要条件。</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lang w:val="en-US" w:eastAsia="zh-CN"/>
        </w:rPr>
        <w:t>市场无竞争性：新疆三人行广告装潢有限公司是疏附县安泰运输有限公司唯一拥有公交车电子屏服务的供应商，其运营车辆的电子屏广告资源具有市场无竞争性。不存在市场化竞争格局，无法通过公开征集方式达成采购。</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lang w:val="en-US" w:eastAsia="zh-CN"/>
        </w:rPr>
      </w:pPr>
      <w:r>
        <w:rPr>
          <w:rFonts w:hint="eastAsia" w:ascii="仿宋_GB2312" w:eastAsia="仿宋_GB2312"/>
          <w:kern w:val="0"/>
          <w:sz w:val="32"/>
          <w:szCs w:val="32"/>
          <w:lang w:val="en-US" w:eastAsia="zh-CN"/>
        </w:rPr>
        <w:t>本项目唯一供应商为：新疆三人行广告装潢有限公司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lang w:val="en-US" w:eastAsia="zh-CN"/>
        </w:rPr>
        <w:t>公示日期：</w:t>
      </w:r>
      <w:r>
        <w:rPr>
          <w:rFonts w:hint="eastAsia" w:ascii="仿宋_GB2312" w:eastAsia="仿宋_GB2312"/>
          <w:kern w:val="0"/>
          <w:sz w:val="32"/>
          <w:szCs w:val="32"/>
        </w:rPr>
        <w:t>自公示发布之日起3个工作日</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任何单位或个人如对以上项目采用单一采购方式有异议，请在公示期间以书面形式进行反馈。</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联系电话：</w:t>
      </w:r>
      <w:r>
        <w:rPr>
          <w:rFonts w:hint="eastAsia" w:ascii="仿宋_GB2312" w:eastAsia="仿宋_GB2312"/>
          <w:kern w:val="0"/>
          <w:sz w:val="32"/>
          <w:szCs w:val="32"/>
          <w:lang w:val="en-US" w:eastAsia="zh-CN"/>
        </w:rPr>
        <w:t>付维鑫13779847065</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联系邮箱：</w:t>
      </w:r>
      <w:r>
        <w:rPr>
          <w:rFonts w:hint="eastAsia" w:ascii="仿宋_GB2312" w:eastAsia="仿宋_GB2312"/>
          <w:kern w:val="0"/>
          <w:sz w:val="32"/>
          <w:szCs w:val="32"/>
          <w:lang w:val="en-US" w:eastAsia="zh-CN"/>
        </w:rPr>
        <w:t>fuweixin@xinj.picc.com.cn</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5118" w:leftChars="304" w:hanging="4480" w:hangingChars="1400"/>
        <w:jc w:val="both"/>
        <w:textAlignment w:val="auto"/>
        <w:rPr>
          <w:rFonts w:hint="default" w:ascii="仿宋_GB2312" w:eastAsia="仿宋_GB2312"/>
          <w:kern w:val="0"/>
          <w:sz w:val="32"/>
          <w:szCs w:val="32"/>
          <w:lang w:val="en-US" w:eastAsia="zh-CN"/>
        </w:rPr>
      </w:pPr>
      <w:r>
        <w:rPr>
          <w:rFonts w:hint="eastAsia" w:ascii="仿宋_GB2312" w:eastAsia="仿宋_GB2312"/>
          <w:kern w:val="0"/>
          <w:sz w:val="32"/>
          <w:szCs w:val="32"/>
        </w:rPr>
        <w:t xml:space="preserve">                  中国人民财产保险股份有限公司</w:t>
      </w:r>
      <w:r>
        <w:rPr>
          <w:rFonts w:hint="eastAsia" w:ascii="仿宋_GB2312" w:eastAsia="仿宋_GB2312"/>
          <w:kern w:val="0"/>
          <w:sz w:val="32"/>
          <w:szCs w:val="32"/>
          <w:lang w:val="en-US" w:eastAsia="zh-CN"/>
        </w:rPr>
        <w:t>喀什地区分公司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0" w:firstLineChars="1500"/>
        <w:jc w:val="both"/>
        <w:textAlignment w:val="auto"/>
        <w:rPr>
          <w:rFonts w:hint="eastAsia" w:ascii="仿宋_GB2312" w:eastAsia="仿宋_GB2312"/>
          <w:kern w:val="0"/>
          <w:sz w:val="32"/>
          <w:szCs w:val="32"/>
        </w:rPr>
      </w:pPr>
      <w:r>
        <w:rPr>
          <w:rFonts w:hint="eastAsia" w:ascii="仿宋_GB2312" w:eastAsia="仿宋_GB2312"/>
          <w:kern w:val="0"/>
          <w:sz w:val="32"/>
          <w:szCs w:val="32"/>
          <w:lang w:val="en-US" w:eastAsia="zh-CN"/>
        </w:rPr>
        <w:t>2026</w:t>
      </w:r>
      <w:r>
        <w:rPr>
          <w:rFonts w:hint="eastAsia" w:ascii="仿宋_GB2312" w:eastAsia="仿宋_GB2312"/>
          <w:kern w:val="0"/>
          <w:sz w:val="32"/>
          <w:szCs w:val="32"/>
        </w:rPr>
        <w:t>年</w:t>
      </w:r>
      <w:r>
        <w:rPr>
          <w:rFonts w:hint="eastAsia" w:ascii="仿宋_GB2312" w:eastAsia="仿宋_GB2312"/>
          <w:kern w:val="0"/>
          <w:sz w:val="32"/>
          <w:szCs w:val="32"/>
          <w:lang w:val="en-US" w:eastAsia="zh-CN"/>
        </w:rPr>
        <w:t>5</w:t>
      </w:r>
      <w:r>
        <w:rPr>
          <w:rFonts w:hint="eastAsia" w:ascii="仿宋_GB2312" w:eastAsia="仿宋_GB2312"/>
          <w:kern w:val="0"/>
          <w:sz w:val="32"/>
          <w:szCs w:val="32"/>
        </w:rPr>
        <w:t>月</w:t>
      </w:r>
      <w:r>
        <w:rPr>
          <w:rFonts w:hint="eastAsia" w:ascii="仿宋_GB2312" w:eastAsia="仿宋_GB2312"/>
          <w:kern w:val="0"/>
          <w:sz w:val="32"/>
          <w:szCs w:val="32"/>
          <w:lang w:val="en-US" w:eastAsia="zh-CN"/>
        </w:rPr>
        <w:t>11</w:t>
      </w:r>
      <w:r>
        <w:rPr>
          <w:rFonts w:hint="eastAsia" w:ascii="仿宋_GB2312" w:eastAsia="仿宋_GB2312"/>
          <w:kern w:val="0"/>
          <w:sz w:val="32"/>
          <w:szCs w:val="32"/>
        </w:rPr>
        <w:t>日</w:t>
      </w:r>
    </w:p>
    <w:p>
      <w:pPr>
        <w:adjustRightInd w:val="0"/>
        <w:snapToGrid w:val="0"/>
        <w:spacing w:line="360" w:lineRule="auto"/>
        <w:ind w:firstLine="640" w:firstLineChars="200"/>
        <w:rPr>
          <w:rFonts w:hint="eastAsia" w:ascii="仿宋_GB2312" w:hAnsi="仿宋" w:eastAsia="仿宋_GB2312"/>
          <w:sz w:val="32"/>
          <w:szCs w:val="32"/>
        </w:rPr>
      </w:pPr>
    </w:p>
    <w:p>
      <w:pPr>
        <w:numPr>
          <w:ilvl w:val="0"/>
          <w:numId w:val="0"/>
        </w:numPr>
        <w:adjustRightInd w:val="0"/>
        <w:snapToGrid w:val="0"/>
        <w:spacing w:line="360" w:lineRule="auto"/>
        <w:rPr>
          <w:rFonts w:hint="default" w:ascii="宋体" w:hAnsi="宋体" w:eastAsia="宋体" w:cs="宋体"/>
          <w:sz w:val="24"/>
          <w:szCs w:val="24"/>
          <w:lang w:val="en-US" w:eastAsia="zh-CN"/>
        </w:rPr>
      </w:pPr>
    </w:p>
    <w:p>
      <w:pPr>
        <w:numPr>
          <w:ilvl w:val="0"/>
          <w:numId w:val="0"/>
        </w:numPr>
        <w:adjustRightInd w:val="0"/>
        <w:snapToGrid w:val="0"/>
        <w:spacing w:line="360" w:lineRule="auto"/>
        <w:rPr>
          <w:rFonts w:hint="eastAsia"/>
          <w:b w:val="0"/>
          <w:bCs/>
          <w:sz w:val="32"/>
          <w:szCs w:val="32"/>
          <w:lang w:val="en-US" w:eastAsia="zh-CN"/>
        </w:rPr>
      </w:pPr>
    </w:p>
    <w:p>
      <w:pPr>
        <w:numPr>
          <w:ilvl w:val="0"/>
          <w:numId w:val="0"/>
        </w:numPr>
        <w:adjustRightInd w:val="0"/>
        <w:snapToGrid w:val="0"/>
        <w:spacing w:line="360" w:lineRule="auto"/>
        <w:rPr>
          <w:rFonts w:hint="eastAsia"/>
          <w:b w:val="0"/>
          <w:bCs/>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60542"/>
    <w:rsid w:val="00DF4E08"/>
    <w:rsid w:val="040970F5"/>
    <w:rsid w:val="0897285A"/>
    <w:rsid w:val="13DE3800"/>
    <w:rsid w:val="2C592817"/>
    <w:rsid w:val="340C1B3A"/>
    <w:rsid w:val="34D6368F"/>
    <w:rsid w:val="3CED39D4"/>
    <w:rsid w:val="4AB5450F"/>
    <w:rsid w:val="4B0470F5"/>
    <w:rsid w:val="4B550458"/>
    <w:rsid w:val="50583AA8"/>
    <w:rsid w:val="506A50AB"/>
    <w:rsid w:val="510E24CD"/>
    <w:rsid w:val="5661377E"/>
    <w:rsid w:val="598E1BD0"/>
    <w:rsid w:val="6224450D"/>
    <w:rsid w:val="6E6A14A2"/>
    <w:rsid w:val="6ED33F01"/>
    <w:rsid w:val="7392751C"/>
    <w:rsid w:val="7E357B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qFormat/>
    <w:uiPriority w:val="0"/>
    <w:pPr>
      <w:spacing w:line="720" w:lineRule="exact"/>
      <w:jc w:val="center"/>
      <w:outlineLvl w:val="0"/>
    </w:pPr>
    <w:rPr>
      <w:rFonts w:hint="default" w:ascii="方正小标宋简体" w:hAnsi="方正小标宋简体" w:eastAsia="方正小标宋简体" w:cs="Times New Roman"/>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2026-05-09T10:13:00Z</dcterms:created>
  <dc:creator>PICC</dc:creator>
  <cp:lastModifiedBy>付维鑫</cp:lastModifiedBy>
  <dcterms:modified xsi:type="dcterms:W3CDTF">2026-05-11T10:59:21Z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F26CD1C7EF2D433EB74F783B375AFD6E</vt:lpwstr>
  </property>
</Properties>
</file>