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themeColor="text1"/>
          <w:sz w:val="28"/>
          <w:szCs w:val="28"/>
          <w:highlight w:val="none"/>
          <w14:textFill>
            <w14:solidFill>
              <w14:schemeClr w14:val="tx1"/>
            </w14:solidFill>
          </w14:textFill>
        </w:rPr>
      </w:pPr>
    </w:p>
    <w:p>
      <w:pPr>
        <w:adjustRightInd w:val="0"/>
        <w:snapToGrid w:val="0"/>
        <w:spacing w:line="360" w:lineRule="auto"/>
        <w:jc w:val="center"/>
        <w:rPr>
          <w:rFonts w:hint="eastAsia" w:ascii="仿宋" w:hAnsi="仿宋" w:eastAsia="仿宋" w:cs="仿宋"/>
          <w:bCs/>
          <w:color w:val="000000" w:themeColor="text1"/>
          <w:sz w:val="28"/>
          <w:szCs w:val="28"/>
          <w:highlight w:val="none"/>
          <w14:textFill>
            <w14:solidFill>
              <w14:schemeClr w14:val="tx1"/>
            </w14:solidFill>
          </w14:textFill>
        </w:rPr>
      </w:pPr>
    </w:p>
    <w:p>
      <w:pPr>
        <w:adjustRightInd w:val="0"/>
        <w:snapToGrid w:val="0"/>
        <w:spacing w:line="360" w:lineRule="auto"/>
        <w:rPr>
          <w:rFonts w:hint="eastAsia" w:ascii="仿宋" w:hAnsi="仿宋" w:eastAsia="仿宋" w:cs="仿宋"/>
          <w:b/>
          <w:color w:val="000000" w:themeColor="text1"/>
          <w:sz w:val="44"/>
          <w:szCs w:val="44"/>
          <w:highlight w:val="none"/>
          <w14:textFill>
            <w14:solidFill>
              <w14:schemeClr w14:val="tx1"/>
            </w14:solidFill>
          </w14:textFill>
        </w:rPr>
      </w:pPr>
    </w:p>
    <w:p>
      <w:pPr>
        <w:adjustRightInd w:val="0"/>
        <w:snapToGrid w:val="0"/>
        <w:spacing w:before="240" w:line="360" w:lineRule="auto"/>
        <w:jc w:val="center"/>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宋体"/>
          <w:b/>
          <w:color w:val="000000" w:themeColor="text1"/>
          <w:spacing w:val="40"/>
          <w:sz w:val="36"/>
          <w:szCs w:val="36"/>
          <w:highlight w:val="none"/>
          <w:lang w:val="en-US" w:eastAsia="zh-CN"/>
          <w14:textFill>
            <w14:solidFill>
              <w14:schemeClr w14:val="tx1"/>
            </w14:solidFill>
          </w14:textFill>
        </w:rPr>
        <w:t>人保财险新疆沙雅支公司电影院映前广告采购项目</w:t>
      </w: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pStyle w:val="2"/>
        <w:rPr>
          <w:rFonts w:hint="eastAsia"/>
          <w:color w:val="000000" w:themeColor="text1"/>
          <w:highlight w:val="none"/>
          <w14:textFill>
            <w14:solidFill>
              <w14:schemeClr w14:val="tx1"/>
            </w14:solidFill>
          </w14:textFill>
        </w:rPr>
      </w:pPr>
    </w:p>
    <w:p>
      <w:pPr>
        <w:rPr>
          <w:rFonts w:hint="eastAsia" w:ascii="仿宋" w:hAnsi="仿宋" w:eastAsia="仿宋" w:cs="仿宋"/>
          <w:color w:val="000000" w:themeColor="text1"/>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pStyle w:val="2"/>
        <w:rPr>
          <w:rFonts w:hint="eastAsia"/>
          <w:color w:val="000000" w:themeColor="text1"/>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bCs/>
          <w:color w:val="000000" w:themeColor="text1"/>
          <w:sz w:val="84"/>
          <w:szCs w:val="84"/>
          <w:highlight w:val="none"/>
          <w14:textFill>
            <w14:solidFill>
              <w14:schemeClr w14:val="tx1"/>
            </w14:solidFill>
          </w14:textFill>
        </w:rPr>
      </w:pPr>
      <w:r>
        <w:rPr>
          <w:rFonts w:hint="eastAsia" w:ascii="仿宋" w:hAnsi="仿宋" w:eastAsia="仿宋" w:cs="仿宋"/>
          <w:b/>
          <w:bCs/>
          <w:color w:val="000000" w:themeColor="text1"/>
          <w:sz w:val="84"/>
          <w:szCs w:val="84"/>
          <w:highlight w:val="none"/>
          <w:lang w:eastAsia="zh-CN"/>
          <w14:textFill>
            <w14:solidFill>
              <w14:schemeClr w14:val="tx1"/>
            </w14:solidFill>
          </w14:textFill>
        </w:rPr>
        <w:t>比选</w:t>
      </w:r>
      <w:r>
        <w:rPr>
          <w:rFonts w:hint="eastAsia" w:ascii="仿宋" w:hAnsi="仿宋" w:eastAsia="仿宋" w:cs="仿宋"/>
          <w:b/>
          <w:bCs/>
          <w:color w:val="000000" w:themeColor="text1"/>
          <w:sz w:val="84"/>
          <w:szCs w:val="84"/>
          <w:highlight w:val="none"/>
          <w14:textFill>
            <w14:solidFill>
              <w14:schemeClr w14:val="tx1"/>
            </w14:solidFill>
          </w14:textFill>
        </w:rPr>
        <w:t>文件</w:t>
      </w: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ascii="仿宋" w:hAnsi="仿宋" w:eastAsia="仿宋" w:cs="仿宋"/>
          <w:b/>
          <w:color w:val="000000" w:themeColor="text1"/>
          <w:sz w:val="36"/>
          <w:szCs w:val="36"/>
          <w:highlight w:val="none"/>
          <w14:textFill>
            <w14:solidFill>
              <w14:schemeClr w14:val="tx1"/>
            </w14:solidFill>
          </w14:textFill>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r>
        <w:rPr>
          <w:rFonts w:hint="eastAsia" w:ascii="仿宋" w:hAnsi="仿宋" w:eastAsia="仿宋" w:cs="仿宋"/>
          <w:b/>
          <w:color w:val="000000" w:themeColor="text1"/>
          <w:kern w:val="0"/>
          <w:sz w:val="28"/>
          <w:szCs w:val="28"/>
          <w:highlight w:val="none"/>
          <w14:textFill>
            <w14:solidFill>
              <w14:schemeClr w14:val="tx1"/>
            </w14:solidFill>
          </w14:textFill>
        </w:rPr>
        <w:t>采购人：中国人民财产保险股份有限公司</w:t>
      </w:r>
      <w:r>
        <w:rPr>
          <w:rFonts w:hint="eastAsia" w:ascii="仿宋" w:hAnsi="仿宋" w:eastAsia="仿宋" w:cs="仿宋"/>
          <w:b/>
          <w:color w:val="000000" w:themeColor="text1"/>
          <w:kern w:val="0"/>
          <w:sz w:val="28"/>
          <w:szCs w:val="28"/>
          <w:highlight w:val="none"/>
          <w:lang w:val="en-US" w:eastAsia="zh-CN"/>
          <w14:textFill>
            <w14:solidFill>
              <w14:schemeClr w14:val="tx1"/>
            </w14:solidFill>
          </w14:textFill>
        </w:rPr>
        <w:t>阿克苏地区分公司</w:t>
      </w:r>
    </w:p>
    <w:p>
      <w:pPr>
        <w:tabs>
          <w:tab w:val="left" w:pos="720"/>
          <w:tab w:val="left" w:pos="8295"/>
        </w:tabs>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日期：</w:t>
      </w:r>
      <w:r>
        <w:rPr>
          <w:rFonts w:hint="eastAsia" w:ascii="仿宋" w:hAnsi="仿宋" w:eastAsia="仿宋" w:cs="仿宋"/>
          <w:b/>
          <w:color w:val="000000" w:themeColor="text1"/>
          <w:sz w:val="28"/>
          <w:szCs w:val="28"/>
          <w:highlight w:val="none"/>
          <w:lang w:val="en-US" w:eastAsia="zh-CN"/>
          <w14:textFill>
            <w14:solidFill>
              <w14:schemeClr w14:val="tx1"/>
            </w14:solidFill>
          </w14:textFill>
        </w:rPr>
        <w:t>2026</w:t>
      </w:r>
      <w:r>
        <w:rPr>
          <w:rFonts w:hint="eastAsia" w:ascii="仿宋" w:hAnsi="仿宋" w:eastAsia="仿宋" w:cs="仿宋"/>
          <w:b/>
          <w:color w:val="000000" w:themeColor="text1"/>
          <w:sz w:val="28"/>
          <w:szCs w:val="28"/>
          <w:highlight w:val="none"/>
          <w14:textFill>
            <w14:solidFill>
              <w14:schemeClr w14:val="tx1"/>
            </w14:solidFill>
          </w14:textFill>
        </w:rPr>
        <w:t>年</w:t>
      </w:r>
      <w:r>
        <w:rPr>
          <w:rFonts w:hint="eastAsia" w:ascii="仿宋" w:hAnsi="仿宋" w:eastAsia="仿宋" w:cs="仿宋"/>
          <w:b/>
          <w:color w:val="000000" w:themeColor="text1"/>
          <w:sz w:val="28"/>
          <w:szCs w:val="28"/>
          <w:highlight w:val="none"/>
          <w:lang w:val="en-US" w:eastAsia="zh-CN"/>
          <w14:textFill>
            <w14:solidFill>
              <w14:schemeClr w14:val="tx1"/>
            </w14:solidFill>
          </w14:textFill>
        </w:rPr>
        <w:t>5月</w:t>
      </w:r>
    </w:p>
    <w:p>
      <w:pPr>
        <w:spacing w:line="360" w:lineRule="auto"/>
        <w:jc w:val="center"/>
        <w:rPr>
          <w:rFonts w:hint="eastAsia" w:ascii="仿宋" w:hAnsi="仿宋" w:eastAsia="仿宋" w:cs="仿宋"/>
          <w:color w:val="000000" w:themeColor="text1"/>
          <w:sz w:val="36"/>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themeColor="text1"/>
          <w:sz w:val="28"/>
          <w:szCs w:val="28"/>
          <w:highlight w:val="none"/>
          <w14:textFill>
            <w14:solidFill>
              <w14:schemeClr w14:val="tx1"/>
            </w14:solidFill>
          </w14:textFill>
        </w:rPr>
      </w:pPr>
      <w:bookmarkStart w:id="0" w:name="_Toc23584"/>
      <w:r>
        <w:rPr>
          <w:rFonts w:hint="eastAsia" w:ascii="仿宋" w:hAnsi="仿宋" w:eastAsia="仿宋" w:cs="仿宋"/>
          <w:b/>
          <w:bCs/>
          <w:color w:val="000000" w:themeColor="text1"/>
          <w:sz w:val="28"/>
          <w:szCs w:val="28"/>
          <w:highlight w:val="none"/>
          <w:lang w:val="zh-CN"/>
          <w14:textFill>
            <w14:solidFill>
              <w14:schemeClr w14:val="tx1"/>
            </w14:solidFill>
          </w14:textFill>
        </w:rPr>
        <w:t>目  录</w:t>
      </w:r>
      <w:bookmarkEnd w:id="0"/>
    </w:p>
    <w:p>
      <w:pPr>
        <w:pStyle w:val="28"/>
        <w:tabs>
          <w:tab w:val="right" w:leader="dot" w:pos="9638"/>
        </w:tabs>
      </w:pPr>
      <w:bookmarkStart w:id="1" w:name="_Toc23196"/>
      <w:bookmarkStart w:id="2" w:name="_Toc7300"/>
      <w:bookmarkStart w:id="3" w:name="_Toc11838"/>
      <w:bookmarkStart w:id="4" w:name="_Toc19709"/>
      <w:bookmarkStart w:id="5" w:name="_Toc444891333"/>
      <w:bookmarkStart w:id="6" w:name="_Toc287600115"/>
      <w:bookmarkStart w:id="7" w:name="_Toc517281813"/>
      <w:bookmarkStart w:id="8" w:name="_Toc11826"/>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_Toc23196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w:t>
      </w:r>
      <w:r>
        <w:rPr>
          <w:rFonts w:hint="eastAsia" w:ascii="仿宋" w:hAnsi="仿宋" w:eastAsia="仿宋" w:cs="仿宋"/>
          <w:bCs w:val="0"/>
          <w:szCs w:val="28"/>
          <w:highlight w:val="none"/>
        </w:rPr>
        <w:t>公告</w:t>
      </w:r>
      <w:r>
        <w:tab/>
      </w:r>
      <w:r>
        <w:fldChar w:fldCharType="begin"/>
      </w:r>
      <w:r>
        <w:instrText xml:space="preserve"> PAGEREF _Toc23196 \h </w:instrText>
      </w:r>
      <w:r>
        <w:fldChar w:fldCharType="separate"/>
      </w:r>
      <w:r>
        <w:t>2</w:t>
      </w:r>
      <w:r>
        <w:fldChar w:fldCharType="end"/>
      </w:r>
      <w:r>
        <w:rPr>
          <w:rFonts w:hint="eastAsia" w:ascii="仿宋" w:hAnsi="仿宋" w:eastAsia="仿宋" w:cs="仿宋"/>
          <w:bCs w:val="0"/>
          <w:caps w:val="0"/>
          <w:color w:val="000000"/>
          <w:szCs w:val="24"/>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_Toc21237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rPr>
          <w:rFonts w:hint="eastAsia"/>
          <w:lang w:val="en-US" w:eastAsia="zh-CN"/>
        </w:rPr>
        <w:t>.</w:t>
      </w:r>
      <w:r>
        <w:fldChar w:fldCharType="begin"/>
      </w:r>
      <w:r>
        <w:instrText xml:space="preserve"> PAGEREF _Toc21237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_Toc17569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_Toc17569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_Toc28263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文件的获取</w:t>
      </w:r>
      <w:r>
        <w:tab/>
      </w:r>
      <w:r>
        <w:fldChar w:fldCharType="begin"/>
      </w:r>
      <w:r>
        <w:instrText xml:space="preserve"> PAGEREF _Toc2019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_Toc32115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_Toc32115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_Toc874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_Toc30596 \h </w:instrText>
      </w:r>
      <w:r>
        <w:fldChar w:fldCharType="separate"/>
      </w:r>
      <w:r>
        <w:t>5</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_Toc7018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_Toc7018 \h </w:instrText>
      </w:r>
      <w:r>
        <w:fldChar w:fldCharType="separate"/>
      </w:r>
      <w:r>
        <w:t>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_Toc14477 \h </w:instrText>
      </w:r>
      <w:r>
        <w:fldChar w:fldCharType="separate"/>
      </w:r>
      <w:r>
        <w:t>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_Toc27220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_Toc27220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_Toc3678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w:t>
      </w:r>
      <w:r>
        <w:tab/>
      </w:r>
      <w:r>
        <w:fldChar w:fldCharType="begin"/>
      </w:r>
      <w:r>
        <w:instrText xml:space="preserve"> PAGEREF _Toc14164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w:t>
      </w:r>
      <w:r>
        <w:tab/>
      </w:r>
      <w:r>
        <w:fldChar w:fldCharType="begin"/>
      </w:r>
      <w:r>
        <w:instrText xml:space="preserve"> PAGEREF _Toc14164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_Toc17865 \h </w:instrText>
      </w:r>
      <w:r>
        <w:fldChar w:fldCharType="separate"/>
      </w:r>
      <w:r>
        <w:t>13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_Toc2055 \h </w:instrText>
      </w:r>
      <w:r>
        <w:fldChar w:fldCharType="separate"/>
      </w:r>
      <w:r>
        <w:t>13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_Toc28031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_Toc28031 \h </w:instrText>
      </w:r>
      <w:r>
        <w:fldChar w:fldCharType="separate"/>
      </w:r>
      <w:r>
        <w:t>15</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_Toc10670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_Toc10670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_Toc7201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_Toc7201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_Toc32019 \h </w:instrText>
      </w:r>
      <w:r>
        <w:fldChar w:fldCharType="separate"/>
      </w:r>
      <w:r>
        <w:t>17</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_Toc25550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_Toc25550 \h </w:instrText>
      </w:r>
      <w:r>
        <w:fldChar w:fldCharType="separate"/>
      </w:r>
      <w:r>
        <w:t>18</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_Toc15254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_Toc15254 \h </w:instrText>
      </w:r>
      <w:r>
        <w:fldChar w:fldCharType="separate"/>
      </w:r>
      <w:r>
        <w:t>21</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_Toc22083 \h </w:instrText>
      </w:r>
      <w:r>
        <w:fldChar w:fldCharType="separate"/>
      </w:r>
      <w:r>
        <w:t>33</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_Toc3675 \h </w:instrText>
      </w:r>
      <w:r>
        <w:fldChar w:fldCharType="separate"/>
      </w:r>
      <w:r>
        <w:t>34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_Toc17191 \h </w:instrText>
      </w:r>
      <w:r>
        <w:fldChar w:fldCharType="separate"/>
      </w:r>
      <w:r>
        <w:t>35</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_Toc27958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_Toc27958 \h </w:instrText>
      </w:r>
      <w:r>
        <w:fldChar w:fldCharType="separate"/>
      </w:r>
      <w:r>
        <w:t>37</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_Toc13983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_Toc13983 \h </w:instrText>
      </w:r>
      <w:r>
        <w:fldChar w:fldCharType="separate"/>
      </w:r>
      <w:r>
        <w:t>38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_Toc24788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t>38</w:t>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_Toc30551 \h </w:instrText>
      </w:r>
      <w:r>
        <w:fldChar w:fldCharType="separate"/>
      </w:r>
      <w:r>
        <w:t>40</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ascii="仿宋" w:hAnsi="仿宋" w:eastAsia="仿宋" w:cs="仿宋"/>
          <w:highlight w:val="none"/>
          <w14:ligatures w14:val="none"/>
        </w:rPr>
      </w:pPr>
      <w:r>
        <w:rPr>
          <w:rFonts w:ascii="仿宋" w:hAnsi="仿宋" w:eastAsia="仿宋" w:cs="仿宋"/>
          <w:highlight w:val="none"/>
        </w:rPr>
        <w:fldChar w:fldCharType="begin"/>
      </w:r>
      <w:r>
        <w:rPr>
          <w:rFonts w:ascii="仿宋" w:hAnsi="仿宋" w:eastAsia="仿宋" w:cs="仿宋"/>
          <w:highlight w:val="none"/>
        </w:rPr>
        <w:instrText xml:space="preserve"> HYPERLINK \l _Toc15130 </w:instrText>
      </w:r>
      <w:r>
        <w:rPr>
          <w:rFonts w:ascii="仿宋" w:hAnsi="仿宋" w:eastAsia="仿宋" w:cs="仿宋"/>
          <w:highlight w:val="none"/>
        </w:rPr>
        <w:fldChar w:fldCharType="separate"/>
      </w:r>
      <w:r>
        <w:rPr>
          <w:rFonts w:ascii="仿宋" w:hAnsi="仿宋" w:eastAsia="仿宋" w:cs="仿宋"/>
          <w:highlight w:val="none"/>
        </w:rPr>
        <w:t>（</w:t>
      </w:r>
      <w:r>
        <w:rPr>
          <w:rFonts w:ascii="仿宋" w:hAnsi="仿宋" w:eastAsia="仿宋" w:cs="仿宋"/>
          <w:highlight w:val="none"/>
          <w:lang w:val="en-US" w:eastAsia="zh-CN"/>
        </w:rPr>
        <w:t>五</w:t>
      </w:r>
      <w:r>
        <w:rPr>
          <w:rFonts w:ascii="仿宋" w:hAnsi="仿宋" w:eastAsia="仿宋" w:cs="仿宋"/>
          <w:highlight w:val="none"/>
        </w:rPr>
        <w:t>）供应商须知应答偏离表</w:t>
      </w:r>
      <w:r>
        <w:rPr>
          <w:rFonts w:ascii="仿宋" w:hAnsi="仿宋" w:eastAsia="仿宋" w:cs="仿宋"/>
          <w:highlight w:val="none"/>
        </w:rPr>
        <w:tab/>
      </w:r>
      <w:r>
        <w:rPr>
          <w:rFonts w:ascii="仿宋" w:hAnsi="仿宋" w:eastAsia="仿宋" w:cs="仿宋"/>
          <w:highlight w:val="none"/>
        </w:rPr>
        <w:t>4</w:t>
      </w:r>
      <w:r>
        <w:rPr>
          <w:rFonts w:ascii="仿宋" w:hAnsi="仿宋" w:eastAsia="仿宋" w:cs="仿宋"/>
          <w:highlight w:val="none"/>
        </w:rPr>
        <w:fldChar w:fldCharType="end"/>
      </w:r>
      <w:r>
        <w:rPr>
          <w:rFonts w:ascii="仿宋" w:hAnsi="仿宋" w:eastAsia="仿宋" w:cs="仿宋"/>
          <w:highlight w:val="none"/>
          <w:lang w:val="en-US" w:eastAsia="zh-CN"/>
        </w:rPr>
        <w:t>4</w:t>
      </w:r>
    </w:p>
    <w:p>
      <w:pPr>
        <w:pStyle w:val="20"/>
        <w:tabs>
          <w:tab w:val="right" w:leader="dot" w:pos="9638"/>
        </w:tabs>
        <w:rPr>
          <w:rFonts w:ascii="仿宋" w:hAnsi="仿宋" w:eastAsia="仿宋" w:cs="仿宋"/>
          <w:highlight w:val="none"/>
          <w14:ligatures w14:val="none"/>
        </w:rPr>
      </w:pPr>
      <w:r>
        <w:rPr>
          <w:rFonts w:ascii="仿宋" w:hAnsi="仿宋" w:eastAsia="仿宋" w:cs="仿宋"/>
          <w:highlight w:val="none"/>
          <w:lang w:val="en-US" w:eastAsia="zh-CN"/>
        </w:rPr>
        <w:t>（六）合同条款应答偏离表</w:t>
      </w:r>
      <w:r>
        <w:tab/>
      </w:r>
      <w:r>
        <w:rPr>
          <w:rFonts w:ascii="仿宋" w:hAnsi="仿宋" w:eastAsia="仿宋" w:cs="仿宋"/>
          <w:highlight w:val="none"/>
          <w:lang w:val="en-US" w:eastAsia="zh-CN"/>
        </w:rPr>
        <w:t>45</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t>4</w:t>
      </w:r>
      <w:r>
        <w:rPr>
          <w:rFonts w:hint="eastAsia" w:ascii="仿宋" w:hAnsi="仿宋" w:eastAsia="仿宋" w:cs="仿宋"/>
          <w:caps/>
          <w:color w:val="000000"/>
          <w:highlight w:val="none"/>
        </w:rPr>
        <w:fldChar w:fldCharType="end"/>
      </w:r>
      <w:r>
        <w:rPr>
          <w:rFonts w:hint="eastAsia" w:eastAsia="仿宋"/>
          <w:lang w:val="en-US" w:eastAsia="zh-CN"/>
        </w:rPr>
        <w:t>6</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_Toc8068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rPr>
          <w:rFonts w:hint="eastAsia" w:ascii="仿宋" w:hAnsi="仿宋" w:eastAsia="仿宋" w:cs="仿宋"/>
          <w:caps/>
          <w:color w:val="000000"/>
          <w:highlight w:val="none"/>
        </w:rPr>
        <w:t>48</w:t>
      </w:r>
      <w:r>
        <w:rPr>
          <w:rFonts w:hint="eastAsia" w:ascii="仿宋" w:hAnsi="仿宋" w:eastAsia="仿宋" w:cs="仿宋"/>
          <w:caps/>
          <w:color w:val="000000"/>
          <w:highlight w:val="none"/>
        </w:rPr>
        <w:fldChar w:fldCharType="end"/>
      </w:r>
    </w:p>
    <w:p>
      <w:pPr>
        <w:pStyle w:val="33"/>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t>5</w:t>
      </w:r>
      <w:r>
        <w:rPr>
          <w:rFonts w:hint="eastAsia" w:ascii="仿宋" w:hAnsi="仿宋" w:eastAsia="仿宋" w:cs="仿宋"/>
          <w:caps/>
          <w:color w:val="000000"/>
          <w:highlight w:val="none"/>
        </w:rPr>
        <w:fldChar w:fldCharType="end"/>
      </w:r>
      <w:r>
        <w:rPr>
          <w:rFonts w:hint="eastAsia" w:ascii="仿宋" w:hAnsi="仿宋" w:eastAsia="仿宋" w:cs="仿宋"/>
          <w:caps/>
          <w:color w:val="000000"/>
          <w:highlight w:val="none"/>
          <w:lang w:val="en-US" w:eastAsia="zh-CN"/>
        </w:rPr>
        <w:t>2</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_Toc17302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t>5</w:t>
      </w:r>
      <w:r>
        <w:rPr>
          <w:rFonts w:hint="eastAsia" w:ascii="仿宋" w:hAnsi="仿宋" w:eastAsia="仿宋" w:cs="仿宋"/>
          <w:caps/>
          <w:color w:val="000000"/>
          <w:highlight w:val="none"/>
        </w:rPr>
        <w:fldChar w:fldCharType="end"/>
      </w:r>
      <w:r>
        <w:rPr>
          <w:rFonts w:hint="eastAsia" w:ascii="仿宋" w:hAnsi="仿宋" w:eastAsia="仿宋" w:cs="仿宋"/>
          <w:caps/>
          <w:color w:val="000000"/>
          <w:highlight w:val="none"/>
          <w:lang w:val="en-US" w:eastAsia="zh-CN"/>
        </w:rPr>
        <w:t>3</w:t>
      </w:r>
    </w:p>
    <w:p>
      <w:pPr>
        <w:pStyle w:val="20"/>
        <w:tabs>
          <w:tab w:val="right" w:leader="dot" w:pos="9638"/>
        </w:tabs>
        <w:rPr>
          <w:rFonts w:hint="eastAsia" w:ascii="Calibri" w:hAnsi="Calibri" w:eastAsia="仿宋" w:cs="Calibri"/>
          <w:i/>
          <w:iCs/>
          <w:smallCaps w:val="0"/>
          <w:kern w:val="2"/>
          <w:sz w:val="20"/>
          <w:szCs w:val="20"/>
          <w:lang w:val="en-US" w:eastAsia="zh-CN" w:bidi="ar-SA"/>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_Toc8284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t>5</w:t>
      </w:r>
      <w:r>
        <w:rPr>
          <w:rFonts w:hint="eastAsia" w:ascii="仿宋" w:hAnsi="仿宋" w:eastAsia="仿宋" w:cs="仿宋"/>
          <w:caps/>
          <w:color w:val="000000"/>
          <w:highlight w:val="none"/>
        </w:rPr>
        <w:fldChar w:fldCharType="end"/>
      </w:r>
      <w:r>
        <w:rPr>
          <w:rFonts w:hint="eastAsia" w:ascii="Calibri" w:hAnsi="Calibri" w:eastAsia="仿宋" w:cs="Calibri"/>
          <w:i/>
          <w:iCs/>
          <w:smallCaps w:val="0"/>
          <w:kern w:val="2"/>
          <w:sz w:val="20"/>
          <w:szCs w:val="20"/>
          <w:lang w:val="en-US" w:eastAsia="zh-CN" w:bidi="ar-SA"/>
        </w:rPr>
        <w:t>4</w:t>
      </w:r>
    </w:p>
    <w:p>
      <w:pPr>
        <w:pStyle w:val="33"/>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_Toc20443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rPr>
          <w:rFonts w:hint="eastAsia"/>
          <w:lang w:val="en-US" w:eastAsia="zh-CN"/>
        </w:rPr>
        <w:t>5</w:t>
      </w:r>
      <w:r>
        <w:rPr>
          <w:rFonts w:hint="eastAsia" w:ascii="仿宋" w:hAnsi="仿宋" w:eastAsia="仿宋" w:cs="仿宋"/>
          <w:caps/>
          <w:color w:val="000000"/>
          <w:highlight w:val="none"/>
        </w:rPr>
        <w:fldChar w:fldCharType="end"/>
      </w:r>
      <w:r>
        <w:rPr>
          <w:rFonts w:hint="eastAsia" w:ascii="Calibri" w:hAnsi="Calibri" w:eastAsia="仿宋" w:cs="Calibri"/>
          <w:i/>
          <w:iCs/>
          <w:smallCaps w:val="0"/>
          <w:kern w:val="2"/>
          <w:sz w:val="20"/>
          <w:szCs w:val="20"/>
          <w:lang w:val="en-US" w:eastAsia="zh-CN" w:bidi="ar-SA"/>
        </w:rPr>
        <w:t>5</w:t>
      </w:r>
    </w:p>
    <w:p>
      <w:pPr>
        <w:pStyle w:val="20"/>
        <w:tabs>
          <w:tab w:val="right" w:leader="dot" w:pos="9638"/>
        </w:tabs>
        <w:rPr>
          <w:rFonts w:hint="eastAsia" w:eastAsia="仿宋"/>
          <w:lang w:val="en-US"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rPr>
          <w:rFonts w:hint="eastAsia"/>
          <w:lang w:val="en-US" w:eastAsia="zh-CN"/>
        </w:rPr>
        <w:t>5</w:t>
      </w:r>
      <w:r>
        <w:rPr>
          <w:rFonts w:hint="eastAsia" w:ascii="仿宋" w:hAnsi="仿宋" w:eastAsia="仿宋" w:cs="仿宋"/>
          <w:caps/>
          <w:color w:val="000000"/>
          <w:highlight w:val="none"/>
        </w:rPr>
        <w:fldChar w:fldCharType="end"/>
      </w:r>
      <w:r>
        <w:rPr>
          <w:rFonts w:hint="eastAsia" w:ascii="Calibri" w:hAnsi="Calibri" w:eastAsia="仿宋" w:cs="Calibri"/>
          <w:i/>
          <w:iCs/>
          <w:smallCaps w:val="0"/>
          <w:kern w:val="2"/>
          <w:sz w:val="20"/>
          <w:szCs w:val="20"/>
          <w:lang w:val="en-US" w:eastAsia="zh-CN" w:bidi="ar-SA"/>
        </w:rPr>
        <w:t>5</w:t>
      </w:r>
    </w:p>
    <w:p>
      <w:pPr>
        <w:pStyle w:val="20"/>
        <w:tabs>
          <w:tab w:val="right" w:leader="dot" w:pos="9638"/>
        </w:tabs>
        <w:ind w:left="0"/>
        <w:rPr>
          <w:rFonts w:hint="eastAsia" w:eastAsia="仿宋"/>
          <w:lang w:val="en-US" w:eastAsia="zh-CN"/>
        </w:rPr>
      </w:pPr>
    </w:p>
    <w:p>
      <w:pPr>
        <w:pStyle w:val="3"/>
        <w:spacing w:before="0" w:after="0" w:line="360" w:lineRule="auto"/>
        <w:jc w:val="center"/>
        <w:rPr>
          <w:rFonts w:hint="eastAsia" w:ascii="仿宋" w:hAnsi="仿宋" w:eastAsia="仿宋" w:cs="仿宋"/>
          <w:caps/>
          <w:color w:val="000000"/>
          <w:highlight w:val="none"/>
        </w:rPr>
      </w:pPr>
      <w:r>
        <w:rPr>
          <w:rFonts w:hint="eastAsia" w:ascii="仿宋" w:hAnsi="仿宋" w:eastAsia="仿宋" w:cs="仿宋"/>
          <w:caps/>
          <w:color w:val="000000"/>
          <w:highlight w:val="none"/>
        </w:rPr>
        <w:fldChar w:fldCharType="end"/>
      </w:r>
    </w:p>
    <w:p>
      <w:pPr>
        <w:pStyle w:val="3"/>
        <w:spacing w:before="0" w:after="0" w:line="360" w:lineRule="auto"/>
        <w:jc w:val="center"/>
        <w:rPr>
          <w:rFonts w:hint="eastAsia" w:ascii="仿宋" w:hAnsi="仿宋" w:eastAsia="仿宋" w:cs="仿宋"/>
          <w:bCs w:val="0"/>
          <w:color w:val="000000" w:themeColor="text1"/>
          <w:sz w:val="28"/>
          <w:szCs w:val="28"/>
          <w:highlight w:val="none"/>
          <w14:textFill>
            <w14:solidFill>
              <w14:schemeClr w14:val="tx1"/>
            </w14:solidFill>
          </w14:textFill>
        </w:rPr>
      </w:pPr>
    </w:p>
    <w:p>
      <w:pPr>
        <w:pStyle w:val="3"/>
        <w:spacing w:before="0" w:after="0" w:line="360" w:lineRule="auto"/>
        <w:jc w:val="center"/>
        <w:rPr>
          <w:rFonts w:hint="eastAsia" w:ascii="仿宋" w:hAnsi="仿宋" w:eastAsia="仿宋" w:cs="仿宋"/>
          <w:bCs w:val="0"/>
          <w:color w:val="000000" w:themeColor="text1"/>
          <w:sz w:val="28"/>
          <w:szCs w:val="28"/>
          <w:highlight w:val="none"/>
          <w14:textFill>
            <w14:solidFill>
              <w14:schemeClr w14:val="tx1"/>
            </w14:solidFill>
          </w14:textFill>
        </w:rPr>
      </w:pPr>
    </w:p>
    <w:p>
      <w:pPr>
        <w:pStyle w:val="3"/>
        <w:spacing w:before="0" w:after="0" w:line="360" w:lineRule="auto"/>
        <w:jc w:val="center"/>
        <w:rPr>
          <w:rFonts w:ascii="仿宋" w:hAnsi="仿宋" w:eastAsia="仿宋" w:cs="仿宋"/>
          <w:bCs w:val="0"/>
          <w:color w:val="000000" w:themeColor="text1"/>
          <w:sz w:val="28"/>
          <w:szCs w:val="28"/>
          <w:highlight w:val="none"/>
          <w14:textFill>
            <w14:solidFill>
              <w14:schemeClr w14:val="tx1"/>
            </w14:solidFill>
          </w14:textFill>
        </w:rPr>
      </w:pPr>
      <w:r>
        <w:rPr>
          <w:rFonts w:hint="eastAsia" w:ascii="仿宋" w:hAnsi="仿宋" w:eastAsia="仿宋" w:cs="仿宋"/>
          <w:bCs w:val="0"/>
          <w:color w:val="000000" w:themeColor="text1"/>
          <w:sz w:val="28"/>
          <w:szCs w:val="28"/>
          <w:highlight w:val="none"/>
          <w14:textFill>
            <w14:solidFill>
              <w14:schemeClr w14:val="tx1"/>
            </w14:solidFill>
          </w14:textFill>
        </w:rPr>
        <w:t xml:space="preserve">第一章 </w:t>
      </w:r>
      <w:r>
        <w:rPr>
          <w:rFonts w:hint="eastAsia" w:ascii="仿宋" w:hAnsi="仿宋" w:eastAsia="仿宋" w:cs="仿宋"/>
          <w:bCs w:val="0"/>
          <w:color w:val="000000" w:themeColor="text1"/>
          <w:sz w:val="28"/>
          <w:szCs w:val="28"/>
          <w:highlight w:val="none"/>
          <w:lang w:eastAsia="zh-CN"/>
          <w14:textFill>
            <w14:solidFill>
              <w14:schemeClr w14:val="tx1"/>
            </w14:solidFill>
          </w14:textFill>
        </w:rPr>
        <w:t>比选</w:t>
      </w:r>
      <w:r>
        <w:rPr>
          <w:rFonts w:hint="eastAsia" w:ascii="仿宋" w:hAnsi="仿宋" w:eastAsia="仿宋" w:cs="仿宋"/>
          <w:bCs w:val="0"/>
          <w:color w:val="000000" w:themeColor="text1"/>
          <w:sz w:val="28"/>
          <w:szCs w:val="28"/>
          <w:highlight w:val="none"/>
          <w14:textFill>
            <w14:solidFill>
              <w14:schemeClr w14:val="tx1"/>
            </w14:solidFill>
          </w14:textFill>
        </w:rPr>
        <w:t>公告</w:t>
      </w:r>
      <w:bookmarkEnd w:id="1"/>
    </w:p>
    <w:p>
      <w:pPr>
        <w:wordWrap w:val="0"/>
        <w:spacing w:line="360" w:lineRule="auto"/>
        <w:ind w:firstLine="480" w:firstLineChars="200"/>
        <w:textAlignment w:val="baseline"/>
        <w:rPr>
          <w:rFonts w:hint="eastAsia" w:ascii="仿宋" w:hAnsi="仿宋" w:eastAsia="仿宋" w:cs="Cambria Math"/>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w:t>
      </w:r>
      <w:r>
        <w:rPr>
          <w:rFonts w:hint="eastAsia" w:ascii="仿宋" w:hAnsi="仿宋" w:eastAsia="仿宋" w:cs="仿宋"/>
          <w:color w:val="000000" w:themeColor="text1"/>
          <w:sz w:val="24"/>
          <w:highlight w:val="none"/>
          <w:u w:val="single"/>
          <w:lang w:eastAsia="zh-CN"/>
          <w14:textFill>
            <w14:solidFill>
              <w14:schemeClr w14:val="tx1"/>
            </w14:solidFill>
          </w14:textFill>
        </w:rPr>
        <w:t>人保财险新疆沙雅支公司电影院映前广告采购项目</w:t>
      </w:r>
      <w:r>
        <w:rPr>
          <w:rFonts w:hint="eastAsia" w:ascii="仿宋" w:hAnsi="仿宋" w:eastAsia="仿宋" w:cs="仿宋"/>
          <w:color w:val="000000" w:themeColor="text1"/>
          <w:sz w:val="24"/>
          <w:highlight w:val="none"/>
          <w14:textFill>
            <w14:solidFill>
              <w14:schemeClr w14:val="tx1"/>
            </w14:solidFill>
          </w14:textFill>
        </w:rPr>
        <w:t>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仿宋"/>
          <w:color w:val="000000" w:themeColor="text1"/>
          <w:sz w:val="24"/>
          <w:highlight w:val="none"/>
          <w:u w:val="single"/>
          <w:lang w:val="en-US" w:eastAsia="zh-CN"/>
          <w14:textFill>
            <w14:solidFill>
              <w14:schemeClr w14:val="tx1"/>
            </w14:solidFill>
          </w14:textFill>
        </w:rPr>
        <w:t>阿克苏地区分公司</w:t>
      </w:r>
      <w:r>
        <w:rPr>
          <w:rFonts w:hint="eastAsia" w:ascii="仿宋" w:hAnsi="仿宋" w:eastAsia="仿宋" w:cs="仿宋"/>
          <w:color w:val="000000" w:themeColor="text1"/>
          <w:sz w:val="24"/>
          <w:highlight w:val="none"/>
          <w14:textFill>
            <w14:solidFill>
              <w14:schemeClr w14:val="tx1"/>
            </w14:solidFill>
          </w14:textFill>
        </w:rPr>
        <w:t>（以下简称“采购人”）</w:t>
      </w:r>
      <w:r>
        <w:rPr>
          <w:rFonts w:hint="eastAsia" w:ascii="仿宋" w:hAnsi="仿宋" w:eastAsia="仿宋" w:cs="Cambria Math"/>
          <w:color w:val="000000" w:themeColor="text1"/>
          <w:sz w:val="24"/>
          <w:highlight w:val="none"/>
          <w14:textFill>
            <w14:solidFill>
              <w14:schemeClr w14:val="tx1"/>
            </w14:solidFill>
          </w14:textFill>
        </w:rPr>
        <w:t>批准并落实资金，组织本项目的</w:t>
      </w:r>
      <w:r>
        <w:rPr>
          <w:rFonts w:hint="eastAsia" w:ascii="仿宋" w:hAnsi="仿宋" w:eastAsia="仿宋" w:cs="Cambria Math"/>
          <w:color w:val="000000" w:themeColor="text1"/>
          <w:sz w:val="24"/>
          <w:highlight w:val="none"/>
          <w:lang w:eastAsia="zh-CN"/>
          <w14:textFill>
            <w14:solidFill>
              <w14:schemeClr w14:val="tx1"/>
            </w14:solidFill>
          </w14:textFill>
        </w:rPr>
        <w:t>比选</w:t>
      </w:r>
      <w:r>
        <w:rPr>
          <w:rFonts w:hint="eastAsia" w:ascii="仿宋" w:hAnsi="仿宋" w:eastAsia="仿宋" w:cs="Cambria Math"/>
          <w:color w:val="000000" w:themeColor="text1"/>
          <w:sz w:val="24"/>
          <w:highlight w:val="none"/>
          <w14:textFill>
            <w14:solidFill>
              <w14:schemeClr w14:val="tx1"/>
            </w14:solidFill>
          </w14:textFill>
        </w:rPr>
        <w:t>工作</w:t>
      </w:r>
      <w:r>
        <w:rPr>
          <w:rFonts w:hint="eastAsia" w:ascii="仿宋" w:hAnsi="仿宋" w:eastAsia="仿宋" w:cs="仿宋"/>
          <w:color w:val="000000" w:themeColor="text1"/>
          <w:sz w:val="24"/>
          <w:highlight w:val="none"/>
          <w14:textFill>
            <w14:solidFill>
              <w14:schemeClr w14:val="tx1"/>
            </w14:solidFill>
          </w14:textFill>
        </w:rPr>
        <w:t>，采购合同由</w:t>
      </w:r>
      <w:r>
        <w:rPr>
          <w:rFonts w:hint="eastAsia" w:ascii="仿宋" w:hAnsi="仿宋" w:eastAsia="仿宋" w:cs="宋体"/>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宋体"/>
          <w:color w:val="000000" w:themeColor="text1"/>
          <w:sz w:val="24"/>
          <w:highlight w:val="none"/>
          <w:u w:val="single"/>
          <w:lang w:val="en-US" w:eastAsia="zh-CN"/>
          <w14:textFill>
            <w14:solidFill>
              <w14:schemeClr w14:val="tx1"/>
            </w14:solidFill>
          </w14:textFill>
        </w:rPr>
        <w:t>阿克苏地区分公司</w:t>
      </w:r>
      <w:r>
        <w:rPr>
          <w:rFonts w:hint="eastAsia" w:ascii="仿宋" w:hAnsi="仿宋" w:eastAsia="仿宋" w:cs="仿宋"/>
          <w:color w:val="000000" w:themeColor="text1"/>
          <w:sz w:val="24"/>
          <w:highlight w:val="none"/>
          <w14:textFill>
            <w14:solidFill>
              <w14:schemeClr w14:val="tx1"/>
            </w14:solidFill>
          </w14:textFill>
        </w:rPr>
        <w:t>根据成交结果与成交人签署。进行公开</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Cambria Math"/>
          <w:color w:val="000000" w:themeColor="text1"/>
          <w:sz w:val="24"/>
          <w:highlight w:val="none"/>
          <w14:textFill>
            <w14:solidFill>
              <w14:schemeClr w14:val="tx1"/>
            </w14:solidFill>
          </w14:textFill>
        </w:rPr>
        <w:t>有意向且具有提供标的物能力的潜在供应商（以下简称“供应商”）可前来参与</w:t>
      </w:r>
      <w:r>
        <w:rPr>
          <w:rFonts w:hint="eastAsia" w:ascii="仿宋" w:hAnsi="仿宋" w:eastAsia="仿宋" w:cs="Cambria Math"/>
          <w:color w:val="000000" w:themeColor="text1"/>
          <w:sz w:val="24"/>
          <w:highlight w:val="none"/>
          <w:lang w:eastAsia="zh-CN"/>
          <w14:textFill>
            <w14:solidFill>
              <w14:schemeClr w14:val="tx1"/>
            </w14:solidFill>
          </w14:textFill>
        </w:rPr>
        <w:t>比选</w:t>
      </w:r>
      <w:r>
        <w:rPr>
          <w:rFonts w:hint="eastAsia" w:ascii="仿宋" w:hAnsi="仿宋" w:eastAsia="仿宋" w:cs="Cambria Math"/>
          <w:color w:val="000000" w:themeColor="text1"/>
          <w:sz w:val="24"/>
          <w:highlight w:val="none"/>
          <w14:textFill>
            <w14:solidFill>
              <w14:schemeClr w14:val="tx1"/>
            </w14:solidFill>
          </w14:textFill>
        </w:rPr>
        <w:t xml:space="preserve">响应。 </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9" w:name="_Toc21237"/>
      <w:r>
        <w:rPr>
          <w:rFonts w:hint="eastAsia" w:ascii="仿宋" w:hAnsi="仿宋" w:eastAsia="仿宋" w:cs="仿宋"/>
          <w:color w:val="000000" w:themeColor="text1"/>
          <w:sz w:val="24"/>
          <w:szCs w:val="24"/>
          <w:highlight w:val="none"/>
          <w14:textFill>
            <w14:solidFill>
              <w14:schemeClr w14:val="tx1"/>
            </w14:solidFill>
          </w14:textFill>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 项目名称：</w:t>
      </w:r>
      <w:r>
        <w:rPr>
          <w:rFonts w:hint="eastAsia" w:ascii="仿宋" w:hAnsi="仿宋" w:eastAsia="仿宋" w:cs="仿宋"/>
          <w:color w:val="000000" w:themeColor="text1"/>
          <w:sz w:val="24"/>
          <w:highlight w:val="none"/>
          <w:u w:val="single"/>
          <w:lang w:val="en-US" w:eastAsia="zh-CN"/>
          <w14:textFill>
            <w14:solidFill>
              <w14:schemeClr w14:val="tx1"/>
            </w14:solidFill>
          </w14:textFill>
        </w:rPr>
        <w:t>人保财险新疆沙雅支公司电影院映前广告采购项目</w:t>
      </w:r>
      <w:r>
        <w:rPr>
          <w:rFonts w:hint="eastAsia" w:ascii="仿宋" w:hAnsi="仿宋" w:eastAsia="仿宋" w:cs="仿宋"/>
          <w:color w:val="000000" w:themeColor="text1"/>
          <w:sz w:val="24"/>
          <w:highlight w:val="none"/>
          <w14:textFill>
            <w14:solidFill>
              <w14:schemeClr w14:val="tx1"/>
            </w14:solidFill>
          </w14:textFill>
        </w:rPr>
        <w:t>。</w:t>
      </w:r>
    </w:p>
    <w:p>
      <w:pPr>
        <w:pStyle w:val="126"/>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64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 采购范围：</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本项目拟选定1家供应商，为采购方提供为期12个月的电影院映前广告服务。服务内容明确如下：覆盖4个影厅，投放采购方采购方车险广告，确保每场电影放映前按约定频次播出。</w:t>
      </w:r>
    </w:p>
    <w:p>
      <w:pPr>
        <w:adjustRightInd w:val="0"/>
        <w:snapToGrid w:val="0"/>
        <w:spacing w:line="360" w:lineRule="auto"/>
        <w:ind w:firstLine="480" w:firstLineChars="200"/>
        <w:jc w:val="left"/>
        <w:rPr>
          <w:rFonts w:hint="eastAsia" w:ascii="仿宋" w:hAnsi="仿宋" w:eastAsia="仿宋" w:cs="宋体"/>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 标包划分：</w:t>
      </w:r>
      <w:r>
        <w:rPr>
          <w:rFonts w:hint="eastAsia" w:ascii="仿宋" w:hAnsi="仿宋" w:eastAsia="仿宋" w:cs="宋体"/>
          <w:color w:val="000000" w:themeColor="text1"/>
          <w:sz w:val="24"/>
          <w:highlight w:val="none"/>
          <w14:textFill>
            <w14:solidFill>
              <w14:schemeClr w14:val="tx1"/>
            </w14:solidFill>
          </w14:textFill>
        </w:rPr>
        <w:t>本项目不划分标包</w:t>
      </w:r>
      <w:r>
        <w:rPr>
          <w:rFonts w:hint="eastAsia" w:ascii="仿宋" w:hAnsi="仿宋" w:eastAsia="仿宋" w:cs="宋体"/>
          <w:color w:val="000000" w:themeColor="text1"/>
          <w:sz w:val="24"/>
          <w:highlight w:val="none"/>
          <w:lang w:eastAsia="zh-CN"/>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1.4</w:t>
      </w:r>
      <w:r>
        <w:rPr>
          <w:rFonts w:ascii="仿宋" w:hAnsi="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项目性质：</w:t>
      </w:r>
      <w:r>
        <w:rPr>
          <w:rFonts w:hint="eastAsia" w:ascii="仿宋" w:hAnsi="仿宋" w:eastAsia="仿宋" w:cs="宋体"/>
          <w:color w:val="000000" w:themeColor="text1"/>
          <w:sz w:val="24"/>
          <w:highlight w:val="none"/>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服务期限：为期</w:t>
      </w:r>
      <w:r>
        <w:rPr>
          <w:rFonts w:hint="eastAsia" w:ascii="仿宋" w:hAnsi="仿宋" w:eastAsia="仿宋" w:cs="仿宋"/>
          <w:color w:val="000000" w:themeColor="text1"/>
          <w:sz w:val="24"/>
          <w:highlight w:val="none"/>
          <w:lang w:val="en-US" w:eastAsia="zh-CN"/>
          <w14:textFill>
            <w14:solidFill>
              <w14:schemeClr w14:val="tx1"/>
            </w14:solidFill>
          </w14:textFill>
        </w:rPr>
        <w:t>12个月</w:t>
      </w:r>
      <w:r>
        <w:rPr>
          <w:rFonts w:hint="eastAsia" w:ascii="仿宋" w:hAnsi="仿宋" w:eastAsia="仿宋" w:cs="仿宋"/>
          <w:color w:val="000000" w:themeColor="text1"/>
          <w:sz w:val="24"/>
          <w:highlight w:val="none"/>
          <w14:textFill>
            <w14:solidFill>
              <w14:schemeClr w14:val="tx1"/>
            </w14:solidFill>
          </w14:textFill>
        </w:rPr>
        <w:t>的</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电影院映前广告投放服务</w:t>
      </w:r>
      <w:r>
        <w:rPr>
          <w:rFonts w:hint="eastAsia" w:ascii="仿宋" w:hAnsi="仿宋" w:eastAsia="仿宋" w:cs="宋体"/>
          <w:color w:val="000000" w:themeColor="text1"/>
          <w:sz w:val="24"/>
          <w:highlight w:val="none"/>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6</w:t>
      </w:r>
      <w:r>
        <w:rPr>
          <w:rFonts w:hint="eastAsia" w:ascii="仿宋" w:hAnsi="仿宋" w:eastAsia="仿宋" w:cs="宋体"/>
          <w:color w:val="000000" w:themeColor="text1"/>
          <w:sz w:val="24"/>
          <w:highlight w:val="none"/>
          <w14:textFill>
            <w14:solidFill>
              <w14:schemeClr w14:val="tx1"/>
            </w14:solidFill>
          </w14:textFill>
        </w:rPr>
        <w:t>服务地点：</w:t>
      </w:r>
      <w:r>
        <w:rPr>
          <w:rFonts w:hint="eastAsia" w:ascii="仿宋" w:hAnsi="仿宋" w:eastAsia="仿宋" w:cs="宋体"/>
          <w:color w:val="000000" w:themeColor="text1"/>
          <w:sz w:val="24"/>
          <w:highlight w:val="none"/>
          <w:lang w:val="en-US" w:eastAsia="zh-CN"/>
          <w14:textFill>
            <w14:solidFill>
              <w14:schemeClr w14:val="tx1"/>
            </w14:solidFill>
          </w14:textFill>
        </w:rPr>
        <w:t>沙雅</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县佰佬汇影城</w:t>
      </w:r>
      <w:r>
        <w:rPr>
          <w:rFonts w:hint="eastAsia" w:ascii="仿宋" w:hAnsi="仿宋" w:eastAsia="仿宋" w:cs="宋体"/>
          <w:color w:val="000000" w:themeColor="text1"/>
          <w:sz w:val="24"/>
          <w:highlight w:val="none"/>
          <w14:textFill>
            <w14:solidFill>
              <w14:schemeClr w14:val="tx1"/>
            </w14:solidFill>
          </w14:textFill>
        </w:rPr>
        <w:t>。</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0" w:name="_Toc17569"/>
      <w:r>
        <w:rPr>
          <w:rFonts w:hint="eastAsia" w:ascii="仿宋" w:hAnsi="仿宋" w:eastAsia="仿宋" w:cs="仿宋"/>
          <w:color w:val="000000" w:themeColor="text1"/>
          <w:sz w:val="24"/>
          <w:szCs w:val="24"/>
          <w:highlight w:val="none"/>
          <w14:textFill>
            <w14:solidFill>
              <w14:schemeClr w14:val="tx1"/>
            </w14:solidFill>
          </w14:textFill>
        </w:rPr>
        <w:t>二、供应商资格要求</w:t>
      </w:r>
      <w:bookmarkEnd w:id="10"/>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2.1</w:t>
      </w:r>
      <w:r>
        <w:rPr>
          <w:rFonts w:hint="eastAsia" w:ascii="仿宋" w:hAnsi="仿宋" w:eastAsia="仿宋" w:cs="宋体"/>
          <w:b/>
          <w:bCs/>
          <w:color w:val="000000" w:themeColor="text1"/>
          <w:sz w:val="24"/>
          <w:highlight w:val="none"/>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sz w:val="24"/>
          <w:highlight w:val="none"/>
          <w14:textFill>
            <w14:solidFill>
              <w14:schemeClr w14:val="tx1"/>
            </w14:solidFill>
          </w14:textFill>
        </w:rPr>
        <w:t>供应商如为企业法人，须提供企业法人营业执照</w:t>
      </w:r>
      <w:r>
        <w:rPr>
          <w:rFonts w:hint="eastAsia" w:ascii="仿宋" w:hAnsi="仿宋" w:eastAsia="仿宋" w:cs="Monaco"/>
          <w:color w:val="000000" w:themeColor="text1"/>
          <w:sz w:val="24"/>
          <w14:textFill>
            <w14:solidFill>
              <w14:schemeClr w14:val="tx1"/>
            </w14:solidFill>
          </w14:textFill>
        </w:rPr>
        <w:t>（复印件）</w:t>
      </w:r>
      <w:r>
        <w:rPr>
          <w:rFonts w:hint="eastAsia" w:ascii="仿宋" w:hAnsi="仿宋" w:eastAsia="仿宋" w:cs="宋体"/>
          <w:color w:val="000000" w:themeColor="text1"/>
          <w:sz w:val="24"/>
          <w:highlight w:val="none"/>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2.2</w:t>
      </w:r>
      <w:r>
        <w:rPr>
          <w:rFonts w:hint="eastAsia" w:ascii="仿宋" w:hAnsi="仿宋" w:eastAsia="仿宋" w:cs="宋体"/>
          <w:b/>
          <w:bCs/>
          <w:color w:val="000000" w:themeColor="text1"/>
          <w:sz w:val="24"/>
          <w:highlight w:val="none"/>
          <w14:textFill>
            <w14:solidFill>
              <w14:schemeClr w14:val="tx1"/>
            </w14:solidFill>
          </w14:textFill>
        </w:rPr>
        <w:t>供应商应经营状况良好，且近三年内（20</w:t>
      </w:r>
      <w:r>
        <w:rPr>
          <w:rFonts w:hint="eastAsia" w:ascii="仿宋" w:hAnsi="仿宋" w:eastAsia="仿宋" w:cs="宋体"/>
          <w:b/>
          <w:bCs/>
          <w:color w:val="000000" w:themeColor="text1"/>
          <w:sz w:val="24"/>
          <w:highlight w:val="none"/>
          <w:lang w:val="en-US" w:eastAsia="zh-CN"/>
          <w14:textFill>
            <w14:solidFill>
              <w14:schemeClr w14:val="tx1"/>
            </w14:solidFill>
          </w14:textFill>
        </w:rPr>
        <w:t>23</w:t>
      </w:r>
      <w:r>
        <w:rPr>
          <w:rFonts w:hint="eastAsia" w:ascii="仿宋" w:hAnsi="仿宋" w:eastAsia="仿宋" w:cs="宋体"/>
          <w:b/>
          <w:bCs/>
          <w:color w:val="000000" w:themeColor="text1"/>
          <w:sz w:val="24"/>
          <w:highlight w:val="none"/>
          <w14:textFill>
            <w14:solidFill>
              <w14:schemeClr w14:val="tx1"/>
            </w14:solidFill>
          </w14:textFill>
        </w:rPr>
        <w:t>年1月1日至今）无违法违规记录。</w:t>
      </w:r>
      <w:r>
        <w:rPr>
          <w:rFonts w:hint="eastAsia" w:ascii="仿宋" w:hAnsi="仿宋" w:eastAsia="仿宋" w:cs="宋体"/>
          <w:color w:val="000000" w:themeColor="text1"/>
          <w:sz w:val="24"/>
          <w:highlight w:val="none"/>
          <w14:textFill>
            <w14:solidFill>
              <w14:schemeClr w14:val="tx1"/>
            </w14:solidFill>
          </w14:textFill>
        </w:rPr>
        <w:t>违法违规记录是指被“信用中国”列入失信被执行人、重大税收违法失信主体、政府采购严重违法失信行为记录名单。供应商需提供自</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信用中国查询网址：https://www.creditchina.gov.cn/xinyongfuwu/?navPage=5</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2.3</w:t>
      </w:r>
      <w:r>
        <w:rPr>
          <w:rFonts w:hint="eastAsia" w:ascii="仿宋" w:hAnsi="仿宋" w:eastAsia="仿宋" w:cs="宋体"/>
          <w:b/>
          <w:bCs/>
          <w:color w:val="000000" w:themeColor="text1"/>
          <w:sz w:val="24"/>
          <w:highlight w:val="none"/>
          <w14:textFill>
            <w14:solidFill>
              <w14:schemeClr w14:val="tx1"/>
            </w14:solidFill>
          </w14:textFill>
        </w:rPr>
        <w:t xml:space="preserve"> 严禁列入</w:t>
      </w:r>
      <w:r>
        <w:rPr>
          <w:rFonts w:hint="eastAsia" w:ascii="仿宋" w:hAnsi="仿宋" w:eastAsia="仿宋" w:cs="宋体"/>
          <w:b/>
          <w:bCs/>
          <w:color w:val="000000" w:themeColor="text1"/>
          <w:sz w:val="24"/>
          <w:highlight w:val="none"/>
          <w:lang w:val="en-US" w:eastAsia="zh-CN"/>
          <w14:textFill>
            <w14:solidFill>
              <w14:schemeClr w14:val="tx1"/>
            </w14:solidFill>
          </w14:textFill>
        </w:rPr>
        <w:t>采购</w:t>
      </w:r>
      <w:r>
        <w:rPr>
          <w:rFonts w:hint="eastAsia" w:ascii="仿宋" w:hAnsi="仿宋" w:eastAsia="仿宋" w:cs="宋体"/>
          <w:b/>
          <w:bCs/>
          <w:color w:val="000000" w:themeColor="text1"/>
          <w:sz w:val="24"/>
          <w:highlight w:val="none"/>
          <w14:textFill>
            <w14:solidFill>
              <w14:schemeClr w14:val="tx1"/>
            </w14:solidFill>
          </w14:textFill>
        </w:rPr>
        <w:t>人及其所隶属的中国人民保险各级机构的供应商黑名单且在禁入期内的供应商参与采购活动。</w:t>
      </w:r>
    </w:p>
    <w:p>
      <w:pPr>
        <w:pStyle w:val="4"/>
        <w:ind w:firstLine="482" w:firstLineChars="200"/>
        <w:jc w:val="left"/>
        <w:rPr>
          <w:rFonts w:hint="eastAsia" w:ascii="仿宋" w:hAnsi="仿宋" w:eastAsia="仿宋" w:cs="宋体"/>
          <w:b w:val="0"/>
          <w:bCs w:val="0"/>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2.4</w:t>
      </w:r>
      <w:bookmarkStart w:id="11" w:name="_Toc28263"/>
      <w:r>
        <w:rPr>
          <w:rFonts w:hint="eastAsia" w:ascii="仿宋" w:hAnsi="仿宋" w:eastAsia="仿宋" w:cs="宋体"/>
          <w:b w:val="0"/>
          <w:bCs w:val="0"/>
          <w:color w:val="000000" w:themeColor="text1"/>
          <w:sz w:val="24"/>
          <w:highlight w:val="none"/>
          <w14:textFill>
            <w14:solidFill>
              <w14:schemeClr w14:val="tx1"/>
            </w14:solidFill>
          </w14:textFill>
        </w:rPr>
        <w:t>单位负责人为同一人或存在控股、管理关系的不同单位，不得参加同一标段/标包</w:t>
      </w:r>
      <w:r>
        <w:rPr>
          <w:rFonts w:hint="eastAsia" w:ascii="仿宋" w:hAnsi="仿宋" w:eastAsia="仿宋" w:cs="宋体"/>
          <w:b w:val="0"/>
          <w:bCs w:val="0"/>
          <w:color w:val="000000" w:themeColor="text1"/>
          <w:sz w:val="24"/>
          <w:highlight w:val="none"/>
          <w:lang w:eastAsia="zh-CN"/>
          <w14:textFill>
            <w14:solidFill>
              <w14:schemeClr w14:val="tx1"/>
            </w14:solidFill>
          </w14:textFill>
        </w:rPr>
        <w:t>比选</w:t>
      </w:r>
      <w:r>
        <w:rPr>
          <w:rFonts w:hint="eastAsia" w:ascii="仿宋" w:hAnsi="仿宋" w:eastAsia="仿宋" w:cs="宋体"/>
          <w:b w:val="0"/>
          <w:bCs w:val="0"/>
          <w:color w:val="000000" w:themeColor="text1"/>
          <w:sz w:val="24"/>
          <w:highlight w:val="none"/>
          <w14:textFill>
            <w14:solidFill>
              <w14:schemeClr w14:val="tx1"/>
            </w14:solidFill>
          </w14:textFill>
        </w:rPr>
        <w:t>响应或未划分标段/标包的同一采购项目的</w:t>
      </w:r>
      <w:r>
        <w:rPr>
          <w:rFonts w:hint="eastAsia" w:ascii="仿宋" w:hAnsi="仿宋" w:eastAsia="仿宋" w:cs="宋体"/>
          <w:b w:val="0"/>
          <w:bCs w:val="0"/>
          <w:color w:val="000000" w:themeColor="text1"/>
          <w:sz w:val="24"/>
          <w:highlight w:val="none"/>
          <w:lang w:eastAsia="zh-CN"/>
          <w14:textFill>
            <w14:solidFill>
              <w14:schemeClr w14:val="tx1"/>
            </w14:solidFill>
          </w14:textFill>
        </w:rPr>
        <w:t>比选</w:t>
      </w:r>
      <w:r>
        <w:rPr>
          <w:rFonts w:hint="eastAsia" w:ascii="仿宋" w:hAnsi="仿宋" w:eastAsia="仿宋" w:cs="宋体"/>
          <w:b w:val="0"/>
          <w:bCs w:val="0"/>
          <w:color w:val="000000" w:themeColor="text1"/>
          <w:sz w:val="24"/>
          <w:highlight w:val="none"/>
          <w14:textFill>
            <w14:solidFill>
              <w14:schemeClr w14:val="tx1"/>
            </w14:solidFill>
          </w14:textFill>
        </w:rPr>
        <w:t>响应，需填写《供应商控股及管理关系情况申报表》。</w:t>
      </w:r>
    </w:p>
    <w:p>
      <w:pPr>
        <w:pStyle w:val="4"/>
        <w:ind w:firstLine="482" w:firstLineChars="200"/>
        <w:jc w:val="left"/>
        <w:rPr>
          <w:rFonts w:hint="eastAsia" w:eastAsia="仿宋"/>
          <w:lang w:val="en-US" w:eastAsia="zh-CN"/>
        </w:rPr>
      </w:pPr>
      <w:r>
        <w:rPr>
          <w:rFonts w:hint="eastAsia" w:ascii="仿宋" w:hAnsi="仿宋" w:eastAsia="仿宋" w:cs="宋体"/>
          <w:color w:val="000000" w:themeColor="text1"/>
          <w:sz w:val="24"/>
          <w:highlight w:val="none"/>
          <w14:textFill>
            <w14:solidFill>
              <w14:schemeClr w14:val="tx1"/>
            </w14:solidFill>
          </w14:textFill>
        </w:rPr>
        <w:t>2.</w:t>
      </w:r>
      <w:r>
        <w:rPr>
          <w:rFonts w:hint="eastAsia" w:ascii="仿宋" w:hAnsi="仿宋" w:eastAsia="仿宋" w:cs="宋体"/>
          <w:color w:val="000000" w:themeColor="text1"/>
          <w:sz w:val="24"/>
          <w:highlight w:val="none"/>
          <w:lang w:val="en-US" w:eastAsia="zh-CN"/>
          <w14:textFill>
            <w14:solidFill>
              <w14:schemeClr w14:val="tx1"/>
            </w14:solidFill>
          </w14:textFill>
        </w:rPr>
        <w:t>5</w:t>
      </w:r>
      <w:r>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t>供应商需具备在沙雅县佰佬汇影城影前广告投放授权许可权，</w:t>
      </w:r>
      <w:r>
        <w:rPr>
          <w:rFonts w:hint="eastAsia" w:ascii="仿宋" w:hAnsi="仿宋" w:eastAsia="仿宋" w:cs="宋体"/>
          <w:b w:val="0"/>
          <w:bCs w:val="0"/>
          <w:color w:val="000000" w:themeColor="text1"/>
          <w:sz w:val="24"/>
          <w:highlight w:val="none"/>
          <w14:textFill>
            <w14:solidFill>
              <w14:schemeClr w14:val="tx1"/>
            </w14:solidFill>
          </w14:textFill>
        </w:rPr>
        <w:t>需提供与目标影院签订的有效广告发布合同、授权书或能证明其拥有该影院映前广告发布权的证明材料。</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三、资格审查方法</w:t>
      </w:r>
      <w:bookmarkEnd w:id="11"/>
    </w:p>
    <w:p>
      <w:pPr>
        <w:spacing w:line="360" w:lineRule="auto"/>
        <w:ind w:firstLine="480" w:firstLineChars="200"/>
        <w:textAlignment w:val="baseline"/>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本项目将进行资格后审，资格审查方法为合格制，资格审查标准和内容见</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文件第三章评审办法。未通过资格</w:t>
      </w:r>
      <w:r>
        <w:rPr>
          <w:rFonts w:hint="eastAsia" w:ascii="仿宋" w:hAnsi="仿宋" w:eastAsia="仿宋" w:cs="仿宋"/>
          <w:color w:val="000000" w:themeColor="text1"/>
          <w:sz w:val="24"/>
          <w:highlight w:val="none"/>
          <w:lang w:val="en-US" w:eastAsia="zh-CN"/>
          <w14:textFill>
            <w14:solidFill>
              <w14:schemeClr w14:val="tx1"/>
            </w14:solidFill>
          </w14:textFill>
        </w:rPr>
        <w:t>预审</w:t>
      </w:r>
      <w:r>
        <w:rPr>
          <w:rFonts w:hint="eastAsia" w:ascii="仿宋" w:hAnsi="仿宋" w:eastAsia="仿宋" w:cs="仿宋"/>
          <w:color w:val="000000" w:themeColor="text1"/>
          <w:sz w:val="24"/>
          <w:highlight w:val="none"/>
          <w14:textFill>
            <w14:solidFill>
              <w14:schemeClr w14:val="tx1"/>
            </w14:solidFill>
          </w14:textFill>
        </w:rPr>
        <w:t>的供应商，响应文件将被否决，不进入</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、详细评审等后续环节。</w:t>
      </w:r>
    </w:p>
    <w:p>
      <w:pPr>
        <w:pStyle w:val="4"/>
        <w:spacing w:after="240"/>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2" w:name="_Toc2019"/>
      <w:r>
        <w:rPr>
          <w:rFonts w:hint="eastAsia" w:ascii="仿宋" w:hAnsi="仿宋" w:eastAsia="仿宋" w:cs="仿宋"/>
          <w:color w:val="000000" w:themeColor="text1"/>
          <w:sz w:val="24"/>
          <w:szCs w:val="24"/>
          <w:highlight w:val="none"/>
          <w14:textFill>
            <w14:solidFill>
              <w14:schemeClr w14:val="tx1"/>
            </w14:solidFill>
          </w14:textFill>
        </w:rPr>
        <w:t>四、</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文件的获取</w:t>
      </w:r>
      <w:bookmarkEnd w:id="12"/>
    </w:p>
    <w:p>
      <w:pPr>
        <w:pStyle w:val="82"/>
        <w:adjustRightInd w:val="0"/>
        <w:snapToGrid w:val="0"/>
        <w:ind w:firstLineChars="175"/>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 xml:space="preserve">5月  </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 xml:space="preserve">5月  </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上午</w:t>
      </w:r>
      <w:r>
        <w:rPr>
          <w:rFonts w:hint="eastAsia" w:ascii="仿宋" w:hAnsi="仿宋" w:eastAsia="仿宋" w:cs="宋体"/>
          <w:color w:val="000000" w:themeColor="text1"/>
          <w:sz w:val="24"/>
          <w:szCs w:val="24"/>
          <w:highlight w:val="none"/>
          <w:lang w:val="en-US" w:eastAsia="zh-CN"/>
          <w14:textFill>
            <w14:solidFill>
              <w14:schemeClr w14:val="tx1"/>
            </w14:solidFill>
          </w14:textFill>
        </w:rPr>
        <w:t>10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14</w:t>
      </w:r>
      <w:r>
        <w:rPr>
          <w:rFonts w:hint="eastAsia" w:ascii="仿宋" w:hAnsi="仿宋" w:eastAsia="仿宋" w:cs="宋体"/>
          <w:color w:val="000000" w:themeColor="text1"/>
          <w:sz w:val="24"/>
          <w:szCs w:val="24"/>
          <w:highlight w:val="none"/>
          <w14:textFill>
            <w14:solidFill>
              <w14:schemeClr w14:val="tx1"/>
            </w14:solidFill>
          </w14:textFill>
        </w:rPr>
        <w:t>时，下午</w:t>
      </w:r>
      <w:r>
        <w:rPr>
          <w:rFonts w:hint="eastAsia" w:ascii="仿宋" w:hAnsi="仿宋" w:eastAsia="仿宋" w:cs="宋体"/>
          <w:color w:val="000000" w:themeColor="text1"/>
          <w:sz w:val="24"/>
          <w:szCs w:val="24"/>
          <w:highlight w:val="none"/>
          <w:lang w:val="en-US" w:eastAsia="zh-CN"/>
          <w14:textFill>
            <w14:solidFill>
              <w14:schemeClr w14:val="tx1"/>
            </w14:solidFill>
          </w14:textFill>
        </w:rPr>
        <w:t>15：30</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19：30</w:t>
      </w:r>
      <w:r>
        <w:rPr>
          <w:rFonts w:hint="eastAsia" w:ascii="仿宋" w:hAnsi="仿宋" w:eastAsia="仿宋" w:cs="宋体"/>
          <w:color w:val="000000" w:themeColor="text1"/>
          <w:sz w:val="24"/>
          <w:szCs w:val="24"/>
          <w:highlight w:val="none"/>
          <w14:textFill>
            <w14:solidFill>
              <w14:schemeClr w14:val="tx1"/>
            </w14:solidFill>
          </w14:textFill>
        </w:rPr>
        <w:t>时（北京时间，下同）。</w:t>
      </w:r>
    </w:p>
    <w:p>
      <w:pPr>
        <w:pStyle w:val="13"/>
        <w:spacing w:line="360" w:lineRule="auto"/>
        <w:ind w:firstLine="480" w:firstLineChars="200"/>
        <w:rPr>
          <w:rFonts w:hint="eastAsia" w:ascii="仿宋" w:hAnsi="仿宋" w:eastAsia="仿宋" w:cs="仿宋_GB2312"/>
          <w:color w:val="000000" w:themeColor="text1"/>
          <w:sz w:val="24"/>
          <w:szCs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4</w:t>
      </w:r>
      <w:r>
        <w:rPr>
          <w:rFonts w:hint="eastAsia" w:ascii="仿宋" w:hAnsi="仿宋" w:eastAsia="仿宋" w:cs="宋体"/>
          <w:color w:val="000000" w:themeColor="text1"/>
          <w:sz w:val="24"/>
          <w:highlight w:val="none"/>
          <w14:textFill>
            <w14:solidFill>
              <w14:schemeClr w14:val="tx1"/>
            </w14:solidFill>
          </w14:textFill>
        </w:rPr>
        <w:t>.2拟报名参加本项目的供应商，请通过人保e采”外网门户(https://ec.picc.com)获取磋商文件。</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3" w:name="_Toc32115"/>
      <w:r>
        <w:rPr>
          <w:rFonts w:hint="eastAsia" w:ascii="仿宋" w:hAnsi="仿宋" w:eastAsia="仿宋" w:cs="仿宋"/>
          <w:color w:val="000000" w:themeColor="text1"/>
          <w:sz w:val="24"/>
          <w:szCs w:val="24"/>
          <w:highlight w:val="none"/>
          <w14:textFill>
            <w14:solidFill>
              <w14:schemeClr w14:val="tx1"/>
            </w14:solidFill>
          </w14:textFill>
        </w:rPr>
        <w:t>五、响应文件的递交</w:t>
      </w:r>
      <w:bookmarkEnd w:id="13"/>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5</w:t>
      </w:r>
      <w:r>
        <w:rPr>
          <w:rFonts w:hint="eastAsia" w:ascii="仿宋" w:hAnsi="仿宋" w:eastAsia="仿宋" w:cs="宋体"/>
          <w:color w:val="000000" w:themeColor="text1"/>
          <w:sz w:val="24"/>
          <w:highlight w:val="none"/>
          <w14:textFill>
            <w14:solidFill>
              <w14:schemeClr w14:val="tx1"/>
            </w14:solidFill>
          </w14:textFill>
        </w:rPr>
        <w:t>.1响应文件递交截止时间：</w:t>
      </w:r>
      <w:r>
        <w:rPr>
          <w:rFonts w:hint="eastAsia" w:ascii="仿宋" w:hAnsi="仿宋" w:eastAsia="仿宋" w:cs="宋体"/>
          <w:color w:val="000000" w:themeColor="text1"/>
          <w:sz w:val="24"/>
          <w:highlight w:val="none"/>
          <w:u w:val="single"/>
          <w14:textFill>
            <w14:solidFill>
              <w14:schemeClr w14:val="tx1"/>
            </w14:solidFill>
          </w14:textFill>
        </w:rPr>
        <w:t>20</w:t>
      </w:r>
      <w:r>
        <w:rPr>
          <w:rFonts w:hint="eastAsia" w:ascii="仿宋" w:hAnsi="仿宋" w:eastAsia="仿宋" w:cs="宋体"/>
          <w:color w:val="000000" w:themeColor="text1"/>
          <w:sz w:val="24"/>
          <w:highlight w:val="none"/>
          <w:u w:val="single"/>
          <w:lang w:val="en-US" w:eastAsia="zh-CN"/>
          <w14:textFill>
            <w14:solidFill>
              <w14:schemeClr w14:val="tx1"/>
            </w14:solidFill>
          </w14:textFill>
        </w:rPr>
        <w:t>26</w:t>
      </w:r>
      <w:r>
        <w:rPr>
          <w:rFonts w:hint="eastAsia" w:ascii="仿宋" w:hAnsi="仿宋" w:eastAsia="仿宋" w:cs="宋体"/>
          <w:color w:val="000000" w:themeColor="text1"/>
          <w:sz w:val="24"/>
          <w:highlight w:val="none"/>
          <w:u w:val="single"/>
          <w14:textFill>
            <w14:solidFill>
              <w14:schemeClr w14:val="tx1"/>
            </w14:solidFill>
          </w14:textFill>
        </w:rPr>
        <w:t>年</w:t>
      </w:r>
      <w:r>
        <w:rPr>
          <w:rFonts w:hint="eastAsia" w:ascii="仿宋" w:hAnsi="仿宋" w:eastAsia="仿宋" w:cs="宋体"/>
          <w:color w:val="000000" w:themeColor="text1"/>
          <w:sz w:val="24"/>
          <w:highlight w:val="none"/>
          <w:u w:val="single"/>
          <w:lang w:val="en-US" w:eastAsia="zh-CN"/>
          <w14:textFill>
            <w14:solidFill>
              <w14:schemeClr w14:val="tx1"/>
            </w14:solidFill>
          </w14:textFill>
        </w:rPr>
        <w:t>5</w:t>
      </w:r>
      <w:r>
        <w:rPr>
          <w:rFonts w:hint="eastAsia" w:ascii="仿宋" w:hAnsi="仿宋" w:eastAsia="仿宋" w:cs="宋体"/>
          <w:color w:val="000000" w:themeColor="text1"/>
          <w:sz w:val="24"/>
          <w:highlight w:val="none"/>
          <w:u w:val="single"/>
          <w14:textFill>
            <w14:solidFill>
              <w14:schemeClr w14:val="tx1"/>
            </w14:solidFill>
          </w14:textFill>
        </w:rPr>
        <w:t>月</w:t>
      </w:r>
      <w:r>
        <w:rPr>
          <w:rFonts w:hint="eastAsia" w:ascii="仿宋" w:hAnsi="仿宋" w:eastAsia="仿宋" w:cs="宋体"/>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宋体"/>
          <w:color w:val="000000" w:themeColor="text1"/>
          <w:sz w:val="24"/>
          <w:highlight w:val="none"/>
          <w:u w:val="single"/>
          <w14:textFill>
            <w14:solidFill>
              <w14:schemeClr w14:val="tx1"/>
            </w14:solidFill>
          </w14:textFill>
        </w:rPr>
        <w:t>日</w:t>
      </w:r>
      <w:r>
        <w:rPr>
          <w:rFonts w:hint="eastAsia" w:ascii="仿宋" w:hAnsi="仿宋" w:eastAsia="仿宋" w:cs="宋体"/>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宋体"/>
          <w:color w:val="000000" w:themeColor="text1"/>
          <w:sz w:val="24"/>
          <w:highlight w:val="none"/>
          <w:u w:val="single"/>
          <w14:textFill>
            <w14:solidFill>
              <w14:schemeClr w14:val="tx1"/>
            </w14:solidFill>
          </w14:textFill>
        </w:rPr>
        <w:t>时</w:t>
      </w:r>
      <w:r>
        <w:rPr>
          <w:rFonts w:hint="eastAsia" w:ascii="仿宋" w:hAnsi="仿宋" w:eastAsia="仿宋" w:cs="宋体"/>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宋体"/>
          <w:color w:val="000000" w:themeColor="text1"/>
          <w:sz w:val="24"/>
          <w:highlight w:val="none"/>
          <w:u w:val="single"/>
          <w14:textFill>
            <w14:solidFill>
              <w14:schemeClr w14:val="tx1"/>
            </w14:solidFill>
          </w14:textFill>
        </w:rPr>
        <w:t>分</w:t>
      </w:r>
      <w:r>
        <w:rPr>
          <w:rFonts w:hint="eastAsia" w:ascii="仿宋" w:hAnsi="仿宋" w:eastAsia="仿宋" w:cs="宋体"/>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宋体"/>
          <w:color w:val="000000" w:themeColor="text1"/>
          <w:sz w:val="24"/>
          <w:highlight w:val="none"/>
          <w:u w:val="single"/>
          <w14:textFill>
            <w14:solidFill>
              <w14:schemeClr w14:val="tx1"/>
            </w14:solidFill>
          </w14:textFill>
        </w:rPr>
        <w:t>秒</w:t>
      </w:r>
      <w:r>
        <w:rPr>
          <w:rFonts w:hint="eastAsia" w:ascii="仿宋" w:hAnsi="仿宋" w:eastAsia="仿宋" w:cs="宋体"/>
          <w:color w:val="000000" w:themeColor="text1"/>
          <w:sz w:val="24"/>
          <w:highlight w:val="none"/>
          <w14:textFill>
            <w14:solidFill>
              <w14:schemeClr w14:val="tx1"/>
            </w14:solidFill>
          </w14:textFill>
        </w:rPr>
        <w:t>。</w:t>
      </w:r>
    </w:p>
    <w:p>
      <w:pPr>
        <w:spacing w:line="360" w:lineRule="auto"/>
        <w:ind w:firstLine="480" w:firstLineChars="200"/>
        <w:jc w:val="left"/>
        <w:textAlignment w:val="baseline"/>
        <w:rPr>
          <w:rFonts w:hint="eastAsia"/>
          <w:color w:val="000000" w:themeColor="text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5.2响应文件的递交：须现场递交，</w:t>
      </w:r>
      <w:r>
        <w:rPr>
          <w:rFonts w:hint="eastAsia" w:ascii="仿宋" w:hAnsi="仿宋" w:eastAsia="仿宋" w:cs="宋体"/>
          <w:b/>
          <w:bCs/>
          <w:color w:val="000000" w:themeColor="text1"/>
          <w:sz w:val="24"/>
          <w:highlight w:val="none"/>
          <w14:textFill>
            <w14:solidFill>
              <w14:schemeClr w14:val="tx1"/>
            </w14:solidFill>
          </w14:textFill>
        </w:rPr>
        <w:t>逾期送达或者未送达指定地点或者未按照</w:t>
      </w:r>
      <w:r>
        <w:rPr>
          <w:rFonts w:hint="eastAsia" w:ascii="仿宋" w:hAnsi="仿宋" w:eastAsia="仿宋" w:cs="宋体"/>
          <w:b/>
          <w:bCs/>
          <w:color w:val="000000" w:themeColor="text1"/>
          <w:sz w:val="24"/>
          <w:highlight w:val="none"/>
          <w:lang w:eastAsia="zh-CN"/>
          <w14:textFill>
            <w14:solidFill>
              <w14:schemeClr w14:val="tx1"/>
            </w14:solidFill>
          </w14:textFill>
        </w:rPr>
        <w:t>比选</w:t>
      </w:r>
      <w:r>
        <w:rPr>
          <w:rFonts w:hint="eastAsia" w:ascii="仿宋" w:hAnsi="仿宋" w:eastAsia="仿宋" w:cs="宋体"/>
          <w:b/>
          <w:bCs/>
          <w:color w:val="000000" w:themeColor="text1"/>
          <w:sz w:val="24"/>
          <w:highlight w:val="none"/>
          <w14:textFill>
            <w14:solidFill>
              <w14:schemeClr w14:val="tx1"/>
            </w14:solidFill>
          </w14:textFill>
        </w:rPr>
        <w:t>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5.3</w:t>
      </w:r>
      <w:r>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t>本项目将于上述同一时间、地点进行比选，采购人/采购代理机构邀请供应商代表准时参加。</w:t>
      </w:r>
    </w:p>
    <w:p>
      <w:pPr>
        <w:spacing w:line="360" w:lineRule="auto"/>
        <w:ind w:firstLine="480" w:firstLineChars="200"/>
        <w:textAlignment w:val="baseline"/>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w:t>
      </w:r>
      <w:r>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t>出现以下情形之一时，采购人不予接收投标文件：</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5.4.1  逾期送达或者未送达指定地点的；</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5.4.2  未按照响应文件要求密封的；</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5.4.3  未按照比选公告要求获取比选文件的。</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4" w:name="_Toc874"/>
      <w:r>
        <w:rPr>
          <w:rFonts w:hint="eastAsia" w:ascii="仿宋" w:hAnsi="仿宋" w:eastAsia="仿宋" w:cs="仿宋"/>
          <w:color w:val="000000" w:themeColor="text1"/>
          <w:sz w:val="24"/>
          <w:szCs w:val="24"/>
          <w:highlight w:val="none"/>
          <w:lang w:val="en-US" w:eastAsia="zh-CN"/>
          <w14:textFill>
            <w14:solidFill>
              <w14:schemeClr w14:val="tx1"/>
            </w14:solidFill>
          </w14:textFill>
        </w:rPr>
        <w:t>六</w:t>
      </w:r>
      <w:r>
        <w:rPr>
          <w:rFonts w:hint="eastAsia" w:ascii="仿宋" w:hAnsi="仿宋" w:eastAsia="仿宋" w:cs="仿宋"/>
          <w:color w:val="000000" w:themeColor="text1"/>
          <w:sz w:val="24"/>
          <w:szCs w:val="24"/>
          <w:highlight w:val="none"/>
          <w14:textFill>
            <w14:solidFill>
              <w14:schemeClr w14:val="tx1"/>
            </w14:solidFill>
          </w14:textFill>
        </w:rPr>
        <w:t>、发布公告的媒介</w:t>
      </w:r>
      <w:bookmarkEnd w:id="14"/>
    </w:p>
    <w:p>
      <w:pPr>
        <w:spacing w:line="360" w:lineRule="auto"/>
        <w:ind w:firstLine="480" w:firstLineChars="200"/>
        <w:textAlignment w:val="baseline"/>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本项目</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公告同时在“人保e采”外网门户（https://ec.picc.com/）</w:t>
      </w:r>
      <w:bookmarkStart w:id="224" w:name="_GoBack"/>
      <w:bookmarkEnd w:id="224"/>
      <w:r>
        <w:rPr>
          <w:rFonts w:hint="eastAsia" w:ascii="仿宋" w:hAnsi="仿宋" w:eastAsia="仿宋" w:cs="宋体"/>
          <w:color w:val="000000" w:themeColor="text1"/>
          <w:sz w:val="24"/>
          <w:highlight w:val="none"/>
          <w14:textFill>
            <w14:solidFill>
              <w14:schemeClr w14:val="tx1"/>
            </w14:solidFill>
          </w14:textFill>
        </w:rPr>
        <w:t>上发布，除上述外，采购人不在其他任何网站、论坛等媒介上发布任何采购信息，其他任何媒介上转载的、以采购人为采购主体的采购信息均为非法转载，均为无效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sz w:val="24"/>
          <w:highlight w:val="none"/>
          <w14:textFill>
            <w14:solidFill>
              <w14:schemeClr w14:val="tx1"/>
            </w14:solidFill>
          </w14:textFill>
        </w:rPr>
        <w:t>。对于非法转载、篡改采购公告信息的组织或个人，采购人保留追究其法律责任的权利。</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5" w:name="_Toc30596"/>
      <w:r>
        <w:rPr>
          <w:rFonts w:hint="eastAsia" w:ascii="仿宋" w:hAnsi="仿宋" w:eastAsia="仿宋" w:cs="仿宋"/>
          <w:color w:val="000000" w:themeColor="text1"/>
          <w:sz w:val="24"/>
          <w:szCs w:val="24"/>
          <w:highlight w:val="none"/>
          <w:lang w:val="en-US" w:eastAsia="zh-CN"/>
          <w14:textFill>
            <w14:solidFill>
              <w14:schemeClr w14:val="tx1"/>
            </w14:solidFill>
          </w14:textFill>
        </w:rPr>
        <w:t>七</w:t>
      </w:r>
      <w:r>
        <w:rPr>
          <w:rFonts w:hint="eastAsia" w:ascii="仿宋" w:hAnsi="仿宋" w:eastAsia="仿宋" w:cs="仿宋"/>
          <w:color w:val="000000" w:themeColor="text1"/>
          <w:sz w:val="24"/>
          <w:szCs w:val="24"/>
          <w:highlight w:val="none"/>
          <w14:textFill>
            <w14:solidFill>
              <w14:schemeClr w14:val="tx1"/>
            </w14:solidFill>
          </w14:textFill>
        </w:rPr>
        <w:t>、联系方式</w:t>
      </w:r>
      <w:bookmarkEnd w:id="15"/>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采购人：中国人民财产保险股份有限公司</w:t>
      </w:r>
      <w:r>
        <w:rPr>
          <w:rFonts w:hint="eastAsia" w:ascii="仿宋" w:hAnsi="仿宋" w:eastAsia="仿宋" w:cs="仿宋"/>
          <w:b/>
          <w:bCs/>
          <w:color w:val="000000" w:themeColor="text1"/>
          <w:sz w:val="24"/>
          <w:highlight w:val="none"/>
          <w:lang w:val="en-US" w:eastAsia="zh-CN"/>
          <w14:textFill>
            <w14:solidFill>
              <w14:schemeClr w14:val="tx1"/>
            </w14:solidFill>
          </w14:textFill>
        </w:rPr>
        <w:t>阿克苏地区分公司</w:t>
      </w:r>
    </w:p>
    <w:p>
      <w:pPr>
        <w:spacing w:line="360" w:lineRule="auto"/>
        <w:ind w:firstLine="420" w:firstLineChars="175"/>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地址：新疆阿克苏地区阿克苏市北京路51号（原市政府综合办公楼）</w:t>
      </w:r>
    </w:p>
    <w:p>
      <w:pPr>
        <w:pStyle w:val="156"/>
        <w:spacing w:line="360" w:lineRule="auto"/>
        <w:ind w:firstLine="420"/>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电话：15599900901</w:t>
      </w:r>
    </w:p>
    <w:p>
      <w:pPr>
        <w:pStyle w:val="156"/>
        <w:spacing w:line="360" w:lineRule="auto"/>
        <w:ind w:firstLine="420"/>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联系人：阿迪力·热合曼</w:t>
      </w:r>
    </w:p>
    <w:p>
      <w:pPr>
        <w:pStyle w:val="2"/>
      </w:pPr>
    </w:p>
    <w:p>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p>
    <w:p>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采购人：中国人民财产保险股份有限公司</w:t>
      </w:r>
      <w:r>
        <w:rPr>
          <w:rFonts w:hint="eastAsia" w:ascii="仿宋" w:hAnsi="仿宋" w:eastAsia="仿宋" w:cs="宋体"/>
          <w:color w:val="000000" w:themeColor="text1"/>
          <w:sz w:val="24"/>
          <w:highlight w:val="none"/>
          <w:lang w:val="en-US" w:eastAsia="zh-CN"/>
          <w14:textFill>
            <w14:solidFill>
              <w14:schemeClr w14:val="tx1"/>
            </w14:solidFill>
          </w14:textFill>
        </w:rPr>
        <w:t>阿克苏地区分公司</w:t>
      </w:r>
    </w:p>
    <w:p>
      <w:pPr>
        <w:spacing w:line="360" w:lineRule="auto"/>
        <w:ind w:firstLine="480" w:firstLineChars="200"/>
        <w:jc w:val="right"/>
        <w:textAlignment w:val="baseline"/>
        <w:rPr>
          <w:color w:val="000000" w:themeColor="text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202</w:t>
      </w:r>
      <w:r>
        <w:rPr>
          <w:rFonts w:hint="eastAsia" w:ascii="仿宋" w:hAnsi="仿宋" w:eastAsia="仿宋" w:cs="宋体"/>
          <w:color w:val="000000" w:themeColor="text1"/>
          <w:sz w:val="24"/>
          <w:highlight w:val="none"/>
          <w:lang w:val="en-US" w:eastAsia="zh-CN"/>
          <w14:textFill>
            <w14:solidFill>
              <w14:schemeClr w14:val="tx1"/>
            </w14:solidFill>
          </w14:textFill>
        </w:rPr>
        <w:t>6</w:t>
      </w:r>
      <w:r>
        <w:rPr>
          <w:rFonts w:hint="eastAsia" w:ascii="仿宋" w:hAnsi="仿宋" w:eastAsia="仿宋" w:cs="宋体"/>
          <w:color w:val="000000" w:themeColor="text1"/>
          <w:sz w:val="24"/>
          <w:highlight w:val="none"/>
          <w14:textFill>
            <w14:solidFill>
              <w14:schemeClr w14:val="tx1"/>
            </w14:solidFill>
          </w14:textFill>
        </w:rPr>
        <w:t>年</w:t>
      </w:r>
      <w:r>
        <w:rPr>
          <w:rFonts w:hint="eastAsia" w:ascii="仿宋" w:hAnsi="仿宋" w:eastAsia="仿宋" w:cs="宋体"/>
          <w:color w:val="000000" w:themeColor="text1"/>
          <w:sz w:val="24"/>
          <w:highlight w:val="none"/>
          <w:lang w:val="en-US" w:eastAsia="zh-CN"/>
          <w14:textFill>
            <w14:solidFill>
              <w14:schemeClr w14:val="tx1"/>
            </w14:solidFill>
          </w14:textFill>
        </w:rPr>
        <w:t>5</w:t>
      </w:r>
      <w:r>
        <w:rPr>
          <w:rFonts w:hint="eastAsia" w:ascii="仿宋" w:hAnsi="仿宋" w:eastAsia="仿宋" w:cs="宋体"/>
          <w:color w:val="000000" w:themeColor="text1"/>
          <w:sz w:val="24"/>
          <w:highlight w:val="none"/>
          <w14:textFill>
            <w14:solidFill>
              <w14:schemeClr w14:val="tx1"/>
            </w14:solidFill>
          </w14:textFill>
        </w:rPr>
        <w:t>月</w:t>
      </w:r>
    </w:p>
    <w:bookmarkEnd w:id="2"/>
    <w:bookmarkEnd w:id="3"/>
    <w:bookmarkEnd w:id="4"/>
    <w:bookmarkEnd w:id="5"/>
    <w:bookmarkEnd w:id="6"/>
    <w:bookmarkEnd w:id="7"/>
    <w:bookmarkEnd w:id="8"/>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6" w:name="_Toc2797"/>
      <w:bookmarkStart w:id="17" w:name="_Toc444891334"/>
      <w:bookmarkStart w:id="18" w:name="_Toc17103"/>
      <w:bookmarkStart w:id="19" w:name="_Toc23165"/>
      <w:bookmarkStart w:id="20" w:name="_Toc1895"/>
      <w:bookmarkStart w:id="21" w:name="_Toc517281814"/>
      <w:bookmarkStart w:id="22" w:name="_Toc287600116"/>
      <w:r>
        <w:rPr>
          <w:rFonts w:ascii="仿宋" w:hAnsi="仿宋" w:eastAsia="仿宋" w:cs="仿宋"/>
          <w:color w:val="000000" w:themeColor="text1"/>
          <w:sz w:val="28"/>
          <w:szCs w:val="28"/>
          <w:highlight w:val="none"/>
          <w14:textFill>
            <w14:solidFill>
              <w14:schemeClr w14:val="tx1"/>
            </w14:solidFill>
          </w14:textFill>
        </w:rPr>
        <w:br w:type="page"/>
      </w:r>
      <w:bookmarkStart w:id="23" w:name="_Toc7018"/>
      <w:r>
        <w:rPr>
          <w:rFonts w:hint="eastAsia" w:ascii="仿宋" w:hAnsi="仿宋" w:eastAsia="仿宋" w:cs="仿宋"/>
          <w:color w:val="000000" w:themeColor="text1"/>
          <w:sz w:val="28"/>
          <w:szCs w:val="28"/>
          <w:highlight w:val="none"/>
          <w14:textFill>
            <w14:solidFill>
              <w14:schemeClr w14:val="tx1"/>
            </w14:solidFill>
          </w14:textFill>
        </w:rPr>
        <w:t>第二章 供应商须知</w:t>
      </w:r>
      <w:bookmarkEnd w:id="16"/>
      <w:bookmarkEnd w:id="17"/>
      <w:bookmarkEnd w:id="18"/>
      <w:bookmarkEnd w:id="19"/>
      <w:bookmarkEnd w:id="20"/>
      <w:bookmarkEnd w:id="21"/>
      <w:bookmarkEnd w:id="22"/>
      <w:bookmarkEnd w:id="23"/>
    </w:p>
    <w:p>
      <w:pPr>
        <w:bidi w:val="0"/>
        <w:jc w:val="center"/>
        <w:rPr>
          <w:rFonts w:hint="eastAsia"/>
          <w:color w:val="000000" w:themeColor="text1"/>
          <w14:textFill>
            <w14:solidFill>
              <w14:schemeClr w14:val="tx1"/>
            </w14:solidFill>
          </w14:textFill>
        </w:rPr>
      </w:pPr>
      <w:bookmarkStart w:id="24" w:name="_Toc517281815"/>
      <w:bookmarkStart w:id="25" w:name="_Toc17721"/>
      <w:bookmarkStart w:id="26" w:name="_Toc19783312"/>
      <w:bookmarkStart w:id="27" w:name="_Toc27353"/>
      <w:bookmarkStart w:id="28" w:name="_Toc29571"/>
      <w:bookmarkStart w:id="29" w:name="_Toc287600117"/>
      <w:bookmarkStart w:id="30" w:name="_Toc32464"/>
      <w:bookmarkStart w:id="31" w:name="_Toc444891335"/>
      <w:r>
        <w:rPr>
          <w:rFonts w:hint="eastAsia" w:ascii="仿宋" w:hAnsi="仿宋" w:eastAsia="仿宋" w:cs="Cambria Math"/>
          <w:color w:val="000000" w:themeColor="text1"/>
          <w:kern w:val="0"/>
          <w:sz w:val="24"/>
          <w:highlight w:val="none"/>
          <w14:textFill>
            <w14:solidFill>
              <w14:schemeClr w14:val="tx1"/>
            </w14:solidFill>
          </w14:textFill>
        </w:rPr>
        <w:t>（可以根据项目实际情况选择是否设置）</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32" w:name="_Toc14477"/>
      <w:r>
        <w:rPr>
          <w:rFonts w:hint="eastAsia" w:ascii="仿宋" w:hAnsi="仿宋" w:eastAsia="仿宋" w:cs="仿宋"/>
          <w:color w:val="000000" w:themeColor="text1"/>
          <w:sz w:val="24"/>
          <w:szCs w:val="24"/>
          <w:highlight w:val="none"/>
          <w14:textFill>
            <w14:solidFill>
              <w14:schemeClr w14:val="tx1"/>
            </w14:solidFill>
          </w14:textFill>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采购范围</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公告“一、项目概况与采购范围”</w:t>
            </w:r>
            <w:r>
              <w:rPr>
                <w:rFonts w:hint="eastAsia" w:ascii="仿宋" w:hAnsi="仿宋" w:eastAsia="仿宋" w:cs="仿宋"/>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资格审查方式及供应商应具备的资格条件</w:t>
            </w:r>
          </w:p>
        </w:tc>
        <w:tc>
          <w:tcPr>
            <w:tcW w:w="3588" w:type="pct"/>
            <w:noWrap w:val="0"/>
            <w:vAlign w:val="center"/>
          </w:tcPr>
          <w:p>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R</w:t>
            </w:r>
            <w:r>
              <w:rPr>
                <w:rFonts w:hint="eastAsia" w:ascii="仿宋" w:hAnsi="仿宋" w:eastAsia="仿宋" w:cs="宋体"/>
                <w:color w:val="000000" w:themeColor="text1"/>
                <w:sz w:val="21"/>
                <w:szCs w:val="21"/>
                <w:highlight w:val="none"/>
                <w14:textFill>
                  <w14:solidFill>
                    <w14:schemeClr w14:val="tx1"/>
                  </w14:solidFill>
                </w14:textFill>
              </w:rPr>
              <w:t>资格</w:t>
            </w:r>
            <w:r>
              <w:rPr>
                <w:rFonts w:hint="eastAsia" w:ascii="仿宋" w:hAnsi="仿宋" w:eastAsia="仿宋" w:cs="宋体"/>
                <w:color w:val="000000" w:themeColor="text1"/>
                <w:sz w:val="21"/>
                <w:szCs w:val="21"/>
                <w:highlight w:val="none"/>
                <w:lang w:val="en-US" w:eastAsia="zh-CN"/>
                <w14:textFill>
                  <w14:solidFill>
                    <w14:schemeClr w14:val="tx1"/>
                  </w14:solidFill>
                </w14:textFill>
              </w:rPr>
              <w:t>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文件实质性要求的标识</w:t>
            </w:r>
          </w:p>
        </w:tc>
        <w:tc>
          <w:tcPr>
            <w:tcW w:w="3588" w:type="pct"/>
            <w:noWrap w:val="0"/>
            <w:vAlign w:val="center"/>
          </w:tcPr>
          <w:p>
            <w:pPr>
              <w:pStyle w:val="139"/>
              <w:topLinePunct/>
              <w:spacing w:before="62" w:beforeLines="20" w:after="62" w:afterLines="20" w:line="360" w:lineRule="auto"/>
              <w:rPr>
                <w:rFonts w:hint="eastAsia" w:ascii="仿宋" w:hAnsi="仿宋" w:eastAsia="仿宋" w:cs="Cambria Math"/>
                <w:b/>
                <w:color w:val="000000" w:themeColor="text1"/>
                <w:sz w:val="21"/>
                <w:szCs w:val="21"/>
                <w:highlight w:val="none"/>
                <w14:textFill>
                  <w14:solidFill>
                    <w14:schemeClr w14:val="tx1"/>
                  </w14:solidFill>
                </w14:textFill>
              </w:rPr>
            </w:pPr>
            <w:r>
              <w:rPr>
                <w:rFonts w:hint="eastAsia" w:ascii="仿宋" w:hAnsi="仿宋" w:eastAsia="仿宋" w:cs="Cambria Math"/>
                <w:color w:val="000000" w:themeColor="text1"/>
                <w:sz w:val="21"/>
                <w:szCs w:val="21"/>
                <w:highlight w:val="none"/>
                <w:u w:val="single"/>
                <w:lang w:eastAsia="zh-CN"/>
                <w14:textFill>
                  <w14:solidFill>
                    <w14:schemeClr w14:val="tx1"/>
                  </w14:solidFill>
                </w14:textFill>
              </w:rPr>
              <w:t>比选</w:t>
            </w:r>
            <w:r>
              <w:rPr>
                <w:rFonts w:hint="eastAsia" w:ascii="仿宋" w:hAnsi="仿宋" w:eastAsia="仿宋" w:cs="Cambria Math"/>
                <w:color w:val="000000" w:themeColor="text1"/>
                <w:sz w:val="21"/>
                <w:szCs w:val="21"/>
                <w:highlight w:val="none"/>
                <w:u w:val="single"/>
                <w14:textFill>
                  <w14:solidFill>
                    <w14:schemeClr w14:val="tx1"/>
                  </w14:solidFill>
                </w14:textFill>
              </w:rPr>
              <w:t>文件中标识“★”条款、注明“</w:t>
            </w:r>
            <w:r>
              <w:rPr>
                <w:rFonts w:hint="eastAsia" w:ascii="仿宋" w:hAnsi="仿宋" w:eastAsia="仿宋" w:cs="Cambria Math"/>
                <w:color w:val="000000" w:themeColor="text1"/>
                <w:sz w:val="21"/>
                <w:szCs w:val="21"/>
                <w:highlight w:val="none"/>
                <w:u w:val="single"/>
                <w:lang w:eastAsia="zh-CN"/>
                <w14:textFill>
                  <w14:solidFill>
                    <w14:schemeClr w14:val="tx1"/>
                  </w14:solidFill>
                </w14:textFill>
              </w:rPr>
              <w:t>比选</w:t>
            </w:r>
            <w:r>
              <w:rPr>
                <w:rFonts w:hint="eastAsia" w:ascii="仿宋" w:hAnsi="仿宋" w:eastAsia="仿宋" w:cs="Cambria Math"/>
                <w:color w:val="000000" w:themeColor="text1"/>
                <w:sz w:val="21"/>
                <w:szCs w:val="21"/>
                <w:highlight w:val="none"/>
                <w:u w:val="single"/>
                <w14:textFill>
                  <w14:solidFill>
                    <w14:schemeClr w14:val="tx1"/>
                  </w14:solidFill>
                </w14:textFill>
              </w:rPr>
              <w:t>响应将被否决”、“对其响应做否决处理”</w:t>
            </w:r>
            <w:r>
              <w:rPr>
                <w:rFonts w:hint="eastAsia" w:ascii="仿宋" w:hAnsi="仿宋" w:eastAsia="仿宋" w:cs="宋体"/>
                <w:color w:val="000000" w:themeColor="text1"/>
                <w:sz w:val="21"/>
                <w:szCs w:val="21"/>
                <w:highlight w:val="none"/>
                <w:u w:val="single"/>
                <w14:textFill>
                  <w14:solidFill>
                    <w14:schemeClr w14:val="tx1"/>
                  </w14:solidFill>
                </w14:textFill>
              </w:rPr>
              <w:t>等</w:t>
            </w:r>
            <w:r>
              <w:rPr>
                <w:rFonts w:hint="eastAsia" w:ascii="仿宋" w:hAnsi="仿宋" w:eastAsia="仿宋" w:cs="Cambria Math"/>
                <w:color w:val="000000" w:themeColor="text1"/>
                <w:sz w:val="21"/>
                <w:szCs w:val="21"/>
                <w:highlight w:val="none"/>
                <w:u w:val="single"/>
                <w14:textFill>
                  <w14:solidFill>
                    <w14:schemeClr w14:val="tx1"/>
                  </w14:solidFill>
                </w14:textFill>
              </w:rPr>
              <w:t>的条款</w:t>
            </w:r>
            <w:r>
              <w:rPr>
                <w:rFonts w:hint="eastAsia" w:ascii="仿宋" w:hAnsi="仿宋" w:eastAsia="仿宋" w:cs="Cambria Math"/>
                <w:color w:val="000000" w:themeColor="text1"/>
                <w:sz w:val="21"/>
                <w:szCs w:val="21"/>
                <w:highlight w:val="none"/>
                <w14:textFill>
                  <w14:solidFill>
                    <w14:schemeClr w14:val="tx1"/>
                  </w14:solidFill>
                </w14:textFill>
              </w:rPr>
              <w:t>，均为实质性条款，</w:t>
            </w:r>
            <w:r>
              <w:rPr>
                <w:rFonts w:hint="eastAsia" w:ascii="仿宋" w:hAnsi="仿宋" w:eastAsia="仿宋" w:cs="宋体"/>
                <w:b/>
                <w:color w:val="000000" w:themeColor="text1"/>
                <w:sz w:val="21"/>
                <w:szCs w:val="21"/>
                <w:highlight w:val="none"/>
                <w14:textFill>
                  <w14:solidFill>
                    <w14:schemeClr w14:val="tx1"/>
                  </w14:solidFill>
                </w14:textFill>
              </w:rPr>
              <w:t>不满足任意一项</w:t>
            </w:r>
            <w:r>
              <w:rPr>
                <w:rFonts w:hint="eastAsia" w:ascii="仿宋" w:hAnsi="仿宋" w:eastAsia="仿宋" w:cs="Cambria Math"/>
                <w:b/>
                <w:color w:val="000000" w:themeColor="text1"/>
                <w:sz w:val="21"/>
                <w:szCs w:val="21"/>
                <w:highlight w:val="none"/>
                <w14:textFill>
                  <w14:solidFill>
                    <w14:schemeClr w14:val="tx1"/>
                  </w14:solidFill>
                </w14:textFill>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供应商提出澄清的截止时间和方式</w:t>
            </w:r>
          </w:p>
        </w:tc>
        <w:tc>
          <w:tcPr>
            <w:tcW w:w="3588" w:type="pct"/>
            <w:noWrap w:val="0"/>
            <w:vAlign w:val="center"/>
          </w:tcPr>
          <w:p>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b/>
                <w:color w:val="000000" w:themeColor="text1"/>
                <w:sz w:val="21"/>
                <w:szCs w:val="21"/>
                <w:highlight w:val="none"/>
                <w14:textFill>
                  <w14:solidFill>
                    <w14:schemeClr w14:val="tx1"/>
                  </w14:solidFill>
                </w14:textFill>
              </w:rPr>
              <w:t>截止时间：</w:t>
            </w:r>
            <w:r>
              <w:rPr>
                <w:rFonts w:hint="eastAsia" w:ascii="仿宋" w:hAnsi="仿宋" w:eastAsia="仿宋" w:cs="宋体"/>
                <w:b/>
                <w:color w:val="000000" w:themeColor="text1"/>
                <w:sz w:val="21"/>
                <w:szCs w:val="21"/>
                <w:highlight w:val="none"/>
                <w:u w:val="single"/>
                <w14:textFill>
                  <w14:solidFill>
                    <w14:schemeClr w14:val="tx1"/>
                  </w14:solidFill>
                </w14:textFill>
              </w:rPr>
              <w:t>202</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1"/>
                <w:szCs w:val="21"/>
                <w:highlight w:val="none"/>
                <w:u w:val="single"/>
                <w14:textFill>
                  <w14:solidFill>
                    <w14:schemeClr w14:val="tx1"/>
                  </w14:solidFill>
                </w14:textFill>
              </w:rPr>
              <w:t>年</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 xml:space="preserve">5月 </w:t>
            </w:r>
            <w:r>
              <w:rPr>
                <w:rFonts w:hint="eastAsia" w:ascii="仿宋" w:hAnsi="仿宋" w:eastAsia="仿宋" w:cs="宋体"/>
                <w:b/>
                <w:color w:val="000000" w:themeColor="text1"/>
                <w:sz w:val="21"/>
                <w:szCs w:val="21"/>
                <w:highlight w:val="none"/>
                <w:u w:val="single"/>
                <w14:textFill>
                  <w14:solidFill>
                    <w14:schemeClr w14:val="tx1"/>
                  </w14:solidFill>
                </w14:textFill>
              </w:rPr>
              <w:t>日</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宋体"/>
                <w:b/>
                <w:color w:val="000000" w:themeColor="text1"/>
                <w:sz w:val="21"/>
                <w:szCs w:val="21"/>
                <w:highlight w:val="none"/>
                <w:u w:val="single"/>
                <w14:textFill>
                  <w14:solidFill>
                    <w14:schemeClr w14:val="tx1"/>
                  </w14:solidFill>
                </w14:textFill>
              </w:rPr>
              <w:t>时</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宋体"/>
                <w:b/>
                <w:color w:val="000000" w:themeColor="text1"/>
                <w:sz w:val="21"/>
                <w:szCs w:val="21"/>
                <w:highlight w:val="none"/>
                <w:u w:val="single"/>
                <w14:textFill>
                  <w14:solidFill>
                    <w14:schemeClr w14:val="tx1"/>
                  </w14:solidFill>
                </w14:textFill>
              </w:rPr>
              <w:t>分</w:t>
            </w:r>
            <w:r>
              <w:rPr>
                <w:rFonts w:hint="eastAsia" w:ascii="仿宋" w:hAnsi="仿宋" w:eastAsia="仿宋" w:cs="宋体"/>
                <w:b/>
                <w:color w:val="000000" w:themeColor="text1"/>
                <w:sz w:val="21"/>
                <w:szCs w:val="21"/>
                <w:highlight w:val="none"/>
                <w14:textFill>
                  <w14:solidFill>
                    <w14:schemeClr w14:val="tx1"/>
                  </w14:solidFill>
                </w14:textFill>
              </w:rPr>
              <w:t>（北京时间）。</w:t>
            </w:r>
          </w:p>
          <w:p>
            <w:pPr>
              <w:pStyle w:val="149"/>
              <w:spacing w:before="62" w:beforeLines="20" w:after="62" w:afterLines="20" w:line="360" w:lineRule="auto"/>
              <w:rPr>
                <w:rFonts w:hint="eastAsia" w:ascii="仿宋" w:hAnsi="仿宋" w:eastAsia="仿宋" w:cs="宋体"/>
                <w:color w:val="000000" w:themeColor="text1"/>
                <w:sz w:val="21"/>
                <w:szCs w:val="21"/>
                <w:highlight w:val="none"/>
                <w:lang w:val="en-US" w:eastAsia="zh-CN"/>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提出澄清的方式：书面方式</w:t>
            </w:r>
            <w:r>
              <w:rPr>
                <w:rFonts w:hint="eastAsia" w:ascii="仿宋" w:hAnsi="仿宋" w:eastAsia="仿宋"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供应商确认收到澄清或修改的截止时间和方式</w:t>
            </w:r>
          </w:p>
        </w:tc>
        <w:tc>
          <w:tcPr>
            <w:tcW w:w="3588" w:type="pct"/>
            <w:noWrap w:val="0"/>
            <w:vAlign w:val="center"/>
          </w:tcPr>
          <w:p>
            <w:pPr>
              <w:spacing w:line="360" w:lineRule="auto"/>
              <w:rPr>
                <w:rFonts w:hint="eastAsia" w:ascii="仿宋" w:hAnsi="仿宋" w:eastAsia="仿宋" w:cs="宋体"/>
                <w:b w:val="0"/>
                <w:bCs/>
                <w:color w:val="000000" w:themeColor="text1"/>
                <w:szCs w:val="21"/>
                <w:highlight w:val="none"/>
                <w14:textFill>
                  <w14:solidFill>
                    <w14:schemeClr w14:val="tx1"/>
                  </w14:solidFill>
                </w14:textFill>
              </w:rPr>
            </w:pPr>
            <w:r>
              <w:rPr>
                <w:rFonts w:hint="eastAsia" w:ascii="仿宋" w:hAnsi="仿宋" w:eastAsia="仿宋" w:cs="宋体"/>
                <w:b/>
                <w:color w:val="000000" w:themeColor="text1"/>
                <w:szCs w:val="21"/>
                <w:highlight w:val="none"/>
                <w14:textFill>
                  <w14:solidFill>
                    <w14:schemeClr w14:val="tx1"/>
                  </w14:solidFill>
                </w14:textFill>
              </w:rPr>
              <w:t>确认收到澄清或修改的时间：</w:t>
            </w:r>
            <w:r>
              <w:rPr>
                <w:rFonts w:hint="eastAsia" w:ascii="仿宋" w:hAnsi="仿宋" w:eastAsia="仿宋" w:cs="宋体"/>
                <w:b w:val="0"/>
                <w:bCs/>
                <w:color w:val="000000" w:themeColor="text1"/>
                <w:szCs w:val="21"/>
                <w:highlight w:val="none"/>
                <w:u w:val="single"/>
                <w14:textFill>
                  <w14:solidFill>
                    <w14:schemeClr w14:val="tx1"/>
                  </w14:solidFill>
                </w14:textFill>
              </w:rPr>
              <w:t>收到</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比选</w:t>
            </w:r>
            <w:r>
              <w:rPr>
                <w:rFonts w:hint="eastAsia" w:ascii="仿宋" w:hAnsi="仿宋" w:eastAsia="仿宋" w:cs="宋体"/>
                <w:b w:val="0"/>
                <w:bCs/>
                <w:color w:val="000000" w:themeColor="text1"/>
                <w:szCs w:val="21"/>
                <w:highlight w:val="none"/>
                <w:u w:val="single"/>
                <w14:textFill>
                  <w14:solidFill>
                    <w14:schemeClr w14:val="tx1"/>
                  </w14:solidFill>
                </w14:textFill>
              </w:rPr>
              <w:t>文件澄清或修改通知后</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3</w:t>
            </w:r>
            <w:r>
              <w:rPr>
                <w:rFonts w:hint="eastAsia" w:ascii="仿宋" w:hAnsi="仿宋" w:eastAsia="仿宋" w:cs="宋体"/>
                <w:b w:val="0"/>
                <w:bCs/>
                <w:color w:val="000000" w:themeColor="text1"/>
                <w:szCs w:val="21"/>
                <w:highlight w:val="none"/>
                <w:u w:val="single"/>
                <w14:textFill>
                  <w14:solidFill>
                    <w14:schemeClr w14:val="tx1"/>
                  </w14:solidFill>
                </w14:textFill>
              </w:rPr>
              <w:t>个工作日内。</w:t>
            </w:r>
          </w:p>
          <w:p>
            <w:pPr>
              <w:spacing w:line="360" w:lineRule="auto"/>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确认收到澄清或修改文件的方式</w:t>
            </w:r>
            <w:r>
              <w:rPr>
                <w:rFonts w:hint="eastAsia" w:ascii="仿宋" w:hAnsi="仿宋" w:eastAsia="仿宋" w:cs="宋体"/>
                <w:color w:val="000000" w:themeColor="text1"/>
                <w:sz w:val="21"/>
                <w:szCs w:val="21"/>
                <w:highlight w:val="none"/>
                <w:lang w:val="en-US" w:eastAsia="zh-CN"/>
                <w14:textFill>
                  <w14:solidFill>
                    <w14:schemeClr w14:val="tx1"/>
                  </w14:solidFill>
                </w14:textFill>
              </w:rPr>
              <w:t>纸质文件</w:t>
            </w:r>
            <w:r>
              <w:rPr>
                <w:rFonts w:hint="eastAsia" w:ascii="仿宋" w:hAnsi="仿宋" w:eastAsia="仿宋" w:cs="宋体"/>
                <w:color w:val="000000" w:themeColor="text1"/>
                <w:sz w:val="21"/>
                <w:szCs w:val="21"/>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响应文件的组成</w:t>
            </w:r>
          </w:p>
        </w:tc>
        <w:tc>
          <w:tcPr>
            <w:tcW w:w="3588" w:type="pct"/>
            <w:noWrap w:val="0"/>
            <w:vAlign w:val="center"/>
          </w:tcPr>
          <w:p>
            <w:pPr>
              <w:pStyle w:val="149"/>
              <w:spacing w:before="62" w:beforeLines="20" w:after="62" w:afterLines="20" w:line="276" w:lineRule="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响应文件按照以下架构分成三册并顺序编制：</w:t>
            </w:r>
          </w:p>
          <w:p>
            <w:pPr>
              <w:pStyle w:val="156"/>
              <w:spacing w:before="62" w:beforeLines="20" w:after="62" w:afterLines="20" w:line="276" w:lineRule="auto"/>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一、商务文件</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初步评审索引表</w:t>
            </w:r>
          </w:p>
          <w:p>
            <w:pPr>
              <w:autoSpaceDE w:val="0"/>
              <w:autoSpaceDN w:val="0"/>
              <w:spacing w:line="276" w:lineRule="auto"/>
              <w:rPr>
                <w:color w:val="000000" w:themeColor="text1"/>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详细评审索引表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（一）响应函</w:t>
            </w:r>
          </w:p>
          <w:p>
            <w:pPr>
              <w:pStyle w:val="149"/>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（二）法定代表人（负责人）身份证明</w:t>
            </w:r>
          </w:p>
          <w:p>
            <w:pPr>
              <w:pStyle w:val="149"/>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（三）法定代表人（负责人）授权委托书</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（四）资格证明文件</w:t>
            </w:r>
          </w:p>
          <w:p>
            <w:pPr>
              <w:pStyle w:val="149"/>
              <w:spacing w:before="62" w:beforeLines="20" w:after="62" w:afterLines="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（五）供应商须知应答偏离表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（六）合同条款应答偏离表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（七）供应商行为准则承诺书</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（八）供应商廉洁诚信承诺书</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二、技术文件</w:t>
            </w:r>
          </w:p>
          <w:p>
            <w:pPr>
              <w:autoSpaceDE w:val="0"/>
              <w:autoSpaceDN w:val="0"/>
              <w:spacing w:line="276" w:lineRule="auto"/>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详细评审索引表</w:t>
            </w:r>
          </w:p>
          <w:p>
            <w:pPr>
              <w:autoSpaceDE w:val="0"/>
              <w:autoSpaceDN w:val="0"/>
              <w:spacing w:line="276" w:lineRule="auto"/>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（一）采购需求应答偏离表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（二）技术方案</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三、报价文件</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（一）报价一览表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14:textFill>
                  <w14:solidFill>
                    <w14:schemeClr w14:val="tx1"/>
                  </w14:solidFill>
                </w14:textFill>
              </w:rPr>
              <w:t>响应文件的盖章或签字要求</w:t>
            </w:r>
          </w:p>
        </w:tc>
        <w:tc>
          <w:tcPr>
            <w:tcW w:w="3588" w:type="pct"/>
            <w:noWrap w:val="0"/>
            <w:vAlign w:val="center"/>
          </w:tcPr>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highlight w:val="none"/>
                <w14:textFill>
                  <w14:solidFill>
                    <w14:schemeClr w14:val="tx1"/>
                  </w14:solidFill>
                </w14:textFill>
              </w:rPr>
              <w:t>并由</w:t>
            </w:r>
            <w:r>
              <w:rPr>
                <w:rFonts w:hint="eastAsia" w:ascii="仿宋" w:hAnsi="仿宋" w:eastAsia="仿宋" w:cs="宋体"/>
                <w:color w:val="000000" w:themeColor="text1"/>
                <w:sz w:val="21"/>
                <w:szCs w:val="21"/>
                <w:highlight w:val="none"/>
                <w14:textFill>
                  <w14:solidFill>
                    <w14:schemeClr w14:val="tx1"/>
                  </w14:solidFill>
                </w14:textFill>
              </w:rPr>
              <w:t>法定代表人（负责人）</w:t>
            </w:r>
            <w:r>
              <w:rPr>
                <w:rFonts w:hint="eastAsia" w:ascii="仿宋" w:hAnsi="仿宋" w:eastAsia="仿宋" w:cs="宋体"/>
                <w:b/>
                <w:color w:val="000000" w:themeColor="text1"/>
                <w:sz w:val="21"/>
                <w:szCs w:val="21"/>
                <w:highlight w:val="none"/>
                <w14:textFill>
                  <w14:solidFill>
                    <w14:schemeClr w14:val="tx1"/>
                  </w14:solidFill>
                </w14:textFill>
              </w:rPr>
              <w:t>和</w:t>
            </w:r>
            <w:r>
              <w:rPr>
                <w:rFonts w:hint="eastAsia" w:ascii="仿宋" w:hAnsi="仿宋" w:eastAsia="仿宋" w:cs="宋体"/>
                <w:color w:val="000000" w:themeColor="text1"/>
                <w:sz w:val="21"/>
                <w:szCs w:val="21"/>
                <w:highlight w:val="none"/>
                <w14:textFill>
                  <w14:solidFill>
                    <w14:schemeClr w14:val="tx1"/>
                  </w14:solidFill>
                </w14:textFill>
              </w:rPr>
              <w:t>其委托代理人</w:t>
            </w:r>
            <w:r>
              <w:rPr>
                <w:rFonts w:hint="eastAsia" w:ascii="仿宋" w:hAnsi="仿宋" w:eastAsia="仿宋" w:cs="宋体"/>
                <w:b/>
                <w:color w:val="000000" w:themeColor="text1"/>
                <w:sz w:val="21"/>
                <w:szCs w:val="21"/>
                <w:highlight w:val="none"/>
                <w14:textFill>
                  <w14:solidFill>
                    <w14:schemeClr w14:val="tx1"/>
                  </w14:solidFill>
                </w14:textFill>
              </w:rPr>
              <w:t>双方</w:t>
            </w:r>
            <w:r>
              <w:rPr>
                <w:rFonts w:hint="eastAsia" w:ascii="仿宋" w:hAnsi="仿宋" w:eastAsia="仿宋" w:cs="宋体"/>
                <w:color w:val="000000" w:themeColor="text1"/>
                <w:sz w:val="21"/>
                <w:szCs w:val="21"/>
                <w:highlight w:val="none"/>
                <w14:textFill>
                  <w14:solidFill>
                    <w14:schemeClr w14:val="tx1"/>
                  </w14:solidFill>
                </w14:textFill>
              </w:rPr>
              <w:t>签字。</w:t>
            </w:r>
          </w:p>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（3）响应文件格式中其他有落款的文件，</w:t>
            </w:r>
            <w:r>
              <w:rPr>
                <w:rFonts w:hint="eastAsia" w:ascii="仿宋" w:hAnsi="仿宋" w:eastAsia="仿宋" w:cs="宋体"/>
                <w:b/>
                <w:color w:val="000000" w:themeColor="text1"/>
                <w:sz w:val="21"/>
                <w:szCs w:val="21"/>
                <w:highlight w:val="none"/>
                <w14:textFill>
                  <w14:solidFill>
                    <w14:schemeClr w14:val="tx1"/>
                  </w14:solidFill>
                </w14:textFill>
              </w:rPr>
              <w:t>均需</w:t>
            </w:r>
            <w:r>
              <w:rPr>
                <w:rFonts w:hint="eastAsia" w:ascii="仿宋" w:hAnsi="仿宋" w:eastAsia="仿宋" w:cs="宋体"/>
                <w:color w:val="000000" w:themeColor="text1"/>
                <w:sz w:val="21"/>
                <w:szCs w:val="21"/>
                <w:highlight w:val="none"/>
                <w14:textFill>
                  <w14:solidFill>
                    <w14:schemeClr w14:val="tx1"/>
                  </w14:solidFill>
                </w14:textFill>
              </w:rPr>
              <w:t>加盖公章。</w:t>
            </w:r>
          </w:p>
          <w:p>
            <w:pPr>
              <w:pStyle w:val="139"/>
              <w:topLinePunct/>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highlight w:val="none"/>
                <w14:textFill>
                  <w14:solidFill>
                    <w14:schemeClr w14:val="tx1"/>
                  </w14:solidFill>
                </w14:textFill>
              </w:rPr>
              <w:t>或</w:t>
            </w:r>
            <w:r>
              <w:rPr>
                <w:rFonts w:hint="eastAsia" w:ascii="仿宋" w:hAnsi="仿宋" w:eastAsia="仿宋" w:cs="宋体"/>
                <w:color w:val="000000" w:themeColor="text1"/>
                <w:sz w:val="21"/>
                <w:szCs w:val="21"/>
                <w:highlight w:val="none"/>
                <w14:textFill>
                  <w14:solidFill>
                    <w14:schemeClr w14:val="tx1"/>
                  </w14:solidFill>
                </w14:textFill>
              </w:rPr>
              <w:t>签名章/印章</w:t>
            </w:r>
            <w:r>
              <w:rPr>
                <w:rFonts w:hint="eastAsia" w:ascii="仿宋" w:hAnsi="仿宋" w:eastAsia="仿宋" w:cs="宋体"/>
                <w:b/>
                <w:bCs/>
                <w:color w:val="000000" w:themeColor="text1"/>
                <w:sz w:val="21"/>
                <w:szCs w:val="21"/>
                <w:highlight w:val="none"/>
                <w14:textFill>
                  <w14:solidFill>
                    <w14:schemeClr w14:val="tx1"/>
                  </w14:solidFill>
                </w14:textFill>
              </w:rPr>
              <w:t>或</w:t>
            </w:r>
            <w:r>
              <w:rPr>
                <w:rFonts w:hint="eastAsia" w:ascii="仿宋" w:hAnsi="仿宋" w:eastAsia="仿宋" w:cs="宋体"/>
                <w:color w:val="000000" w:themeColor="text1"/>
                <w:sz w:val="21"/>
                <w:szCs w:val="21"/>
                <w:highlight w:val="none"/>
                <w14:textFill>
                  <w14:solidFill>
                    <w14:schemeClr w14:val="tx1"/>
                  </w14:solidFill>
                </w14:textFill>
              </w:rPr>
              <w:t>CA签名章，</w:t>
            </w:r>
            <w:r>
              <w:rPr>
                <w:rFonts w:hint="eastAsia" w:ascii="仿宋" w:hAnsi="仿宋" w:eastAsia="仿宋" w:cs="宋体"/>
                <w:b/>
                <w:color w:val="000000" w:themeColor="text1"/>
                <w:sz w:val="21"/>
                <w:szCs w:val="21"/>
                <w:highlight w:val="none"/>
                <w14:textFill>
                  <w14:solidFill>
                    <w14:schemeClr w14:val="tx1"/>
                  </w14:solidFill>
                </w14:textFill>
              </w:rPr>
              <w:t>不得</w:t>
            </w:r>
            <w:r>
              <w:rPr>
                <w:rFonts w:hint="eastAsia" w:ascii="仿宋" w:hAnsi="仿宋" w:eastAsia="仿宋" w:cs="宋体"/>
                <w:color w:val="000000" w:themeColor="text1"/>
                <w:sz w:val="21"/>
                <w:szCs w:val="21"/>
                <w:highlight w:val="none"/>
                <w14:textFill>
                  <w14:solidFill>
                    <w14:schemeClr w14:val="tx1"/>
                  </w14:solidFill>
                </w14:textFill>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响应报价</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小组将视</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情况决定是否进行多轮次报价，供应商</w:t>
            </w:r>
            <w:r>
              <w:rPr>
                <w:rFonts w:hint="eastAsia" w:ascii="仿宋" w:hAnsi="仿宋" w:eastAsia="仿宋" w:cs="仿宋"/>
                <w:color w:val="000000" w:themeColor="text1"/>
                <w:highlight w:val="none"/>
                <w:u w:val="single"/>
                <w14:textFill>
                  <w14:solidFill>
                    <w14:schemeClr w14:val="tx1"/>
                  </w14:solidFill>
                </w14:textFill>
              </w:rPr>
              <w:t>最后一轮</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提交的报价</w:t>
            </w:r>
            <w:r>
              <w:rPr>
                <w:rFonts w:hint="eastAsia" w:ascii="仿宋" w:hAnsi="仿宋" w:eastAsia="仿宋" w:cs="仿宋"/>
                <w:color w:val="000000" w:themeColor="text1"/>
                <w:highlight w:val="none"/>
                <w14:textFill>
                  <w14:solidFill>
                    <w14:schemeClr w14:val="tx1"/>
                  </w14:solidFill>
                </w14:textFill>
              </w:rPr>
              <w:t>将作为该供应商的</w:t>
            </w:r>
            <w:r>
              <w:rPr>
                <w:rFonts w:hint="eastAsia" w:ascii="仿宋" w:hAnsi="仿宋" w:eastAsia="仿宋" w:cs="仿宋"/>
                <w:b/>
                <w:bCs/>
                <w:color w:val="000000" w:themeColor="text1"/>
                <w:highlight w:val="none"/>
                <w14:textFill>
                  <w14:solidFill>
                    <w14:schemeClr w14:val="tx1"/>
                  </w14:solidFill>
                </w14:textFill>
              </w:rPr>
              <w:t>最终报价</w:t>
            </w:r>
            <w:r>
              <w:rPr>
                <w:rFonts w:hint="eastAsia" w:ascii="仿宋" w:hAnsi="仿宋" w:eastAsia="仿宋" w:cs="仿宋"/>
                <w:color w:val="000000" w:themeColor="text1"/>
                <w:highlight w:val="none"/>
                <w14:textFill>
                  <w14:solidFill>
                    <w14:schemeClr w14:val="tx1"/>
                  </w14:solidFill>
                </w14:textFill>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响应有效期</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lang w:eastAsia="zh-CN"/>
                <w14:textFill>
                  <w14:solidFill>
                    <w14:schemeClr w14:val="tx1"/>
                  </w14:solidFill>
                </w14:textFill>
              </w:rPr>
              <w:t>比选</w:t>
            </w:r>
            <w:r>
              <w:rPr>
                <w:rFonts w:hint="eastAsia" w:ascii="仿宋" w:hAnsi="仿宋" w:eastAsia="仿宋" w:cs="宋体"/>
                <w:color w:val="000000" w:themeColor="text1"/>
                <w:highlight w:val="none"/>
                <w14:textFill>
                  <w14:solidFill>
                    <w14:schemeClr w14:val="tx1"/>
                  </w14:solidFill>
                </w14:textFill>
              </w:rPr>
              <w:t>响应有效期：</w:t>
            </w:r>
            <w:r>
              <w:rPr>
                <w:rFonts w:hint="eastAsia" w:ascii="仿宋" w:hAnsi="仿宋" w:eastAsia="仿宋" w:cs="仿宋"/>
                <w:color w:val="000000" w:themeColor="text1"/>
                <w:highlight w:val="none"/>
                <w:u w:val="single"/>
                <w:lang w:val="en-US" w:eastAsia="zh-CN"/>
                <w14:textFill>
                  <w14:solidFill>
                    <w14:schemeClr w14:val="tx1"/>
                  </w14:solidFill>
                </w14:textFill>
              </w:rPr>
              <w:t>30</w:t>
            </w:r>
            <w:r>
              <w:rPr>
                <w:rFonts w:hint="eastAsia" w:ascii="仿宋" w:hAnsi="仿宋" w:eastAsia="仿宋" w:cs="仿宋"/>
                <w:color w:val="000000" w:themeColor="text1"/>
                <w:highlight w:val="none"/>
                <w:u w:val="singl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360" w:lineRule="auto"/>
              <w:jc w:val="center"/>
              <w:rPr>
                <w:rFonts w:hint="eastAsia" w:ascii="仿宋" w:hAnsi="仿宋" w:eastAsia="仿宋" w:cs="仿宋"/>
                <w:color w:val="000000" w:themeColor="text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响应文件的份数</w:t>
            </w:r>
          </w:p>
        </w:tc>
        <w:tc>
          <w:tcPr>
            <w:tcW w:w="3588" w:type="pct"/>
            <w:noWrap w:val="0"/>
            <w:vAlign w:val="center"/>
          </w:tcPr>
          <w:p>
            <w:pPr>
              <w:pStyle w:val="16"/>
              <w:rPr>
                <w:rFonts w:hint="eastAsia"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电子文件</w:t>
            </w:r>
            <w:r>
              <w:rPr>
                <w:rFonts w:hint="eastAsia" w:ascii="仿宋" w:hAnsi="仿宋" w:eastAsia="仿宋" w:cs="宋体"/>
                <w:color w:val="000000" w:themeColor="text1"/>
                <w:sz w:val="21"/>
                <w:szCs w:val="21"/>
                <w:highlight w:val="none"/>
                <w:u w:val="single"/>
                <w14:textFill>
                  <w14:solidFill>
                    <w14:schemeClr w14:val="tx1"/>
                  </w14:solidFill>
                </w14:textFill>
              </w:rPr>
              <w:t>1</w:t>
            </w:r>
            <w:r>
              <w:rPr>
                <w:rFonts w:hint="eastAsia" w:ascii="仿宋" w:hAnsi="仿宋" w:eastAsia="仿宋" w:cs="宋体"/>
                <w:color w:val="000000" w:themeColor="text1"/>
                <w:sz w:val="21"/>
                <w:szCs w:val="21"/>
                <w:highlight w:val="none"/>
                <w14:textFill>
                  <w14:solidFill>
                    <w14:schemeClr w14:val="tx1"/>
                  </w14:solidFill>
                </w14:textFill>
              </w:rPr>
              <w:t>份（</w:t>
            </w:r>
            <w:r>
              <w:rPr>
                <w:rFonts w:hint="eastAsia" w:ascii="仿宋" w:hAnsi="仿宋" w:eastAsia="仿宋" w:cs="宋体"/>
                <w:color w:val="000000" w:themeColor="text1"/>
                <w:sz w:val="21"/>
                <w:szCs w:val="21"/>
                <w:highlight w:val="none"/>
                <w:lang w:val="en-US" w:eastAsia="zh-CN"/>
                <w14:textFill>
                  <w14:solidFill>
                    <w14:schemeClr w14:val="tx1"/>
                  </w14:solidFill>
                </w14:textFill>
              </w:rPr>
              <w:t>具体格式要求</w:t>
            </w:r>
            <w:r>
              <w:rPr>
                <w:rFonts w:hint="eastAsia" w:ascii="仿宋" w:hAnsi="仿宋" w:eastAsia="仿宋" w:cs="宋体"/>
                <w:color w:val="000000" w:themeColor="text1"/>
                <w:sz w:val="21"/>
                <w:szCs w:val="21"/>
                <w:highlight w:val="none"/>
                <w14:textFill>
                  <w14:solidFill>
                    <w14:schemeClr w14:val="tx1"/>
                  </w14:solidFill>
                </w14:textFill>
              </w:rPr>
              <w:t>）；纸质文件正本</w:t>
            </w:r>
            <w:r>
              <w:rPr>
                <w:rFonts w:hint="eastAsia"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u w:val="single"/>
                <w:lang w:val="en-US" w:eastAsia="zh-CN"/>
                <w14:textFill>
                  <w14:solidFill>
                    <w14:schemeClr w14:val="tx1"/>
                  </w14:solidFill>
                </w14:textFill>
              </w:rPr>
              <w:t>3</w:t>
            </w:r>
            <w:r>
              <w:rPr>
                <w:rFonts w:hint="eastAsia"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14:textFill>
                  <w14:solidFill>
                    <w14:schemeClr w14:val="tx1"/>
                  </w14:solidFill>
                </w14:textFill>
              </w:rPr>
              <w:t>份，副本</w:t>
            </w:r>
            <w:r>
              <w:rPr>
                <w:rFonts w:hint="default"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u w:val="single"/>
                <w:lang w:val="en-US" w:eastAsia="zh-CN"/>
                <w14:textFill>
                  <w14:solidFill>
                    <w14:schemeClr w14:val="tx1"/>
                  </w14:solidFill>
                </w14:textFill>
              </w:rPr>
              <w:t>3</w:t>
            </w:r>
            <w:r>
              <w:rPr>
                <w:rFonts w:hint="default"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14:textFill>
                  <w14:solidFill>
                    <w14:schemeClr w14:val="tx1"/>
                  </w14:solidFill>
                </w14:textFill>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纸质</w:t>
            </w:r>
            <w:r>
              <w:rPr>
                <w:rFonts w:hint="eastAsia" w:ascii="仿宋" w:hAnsi="仿宋" w:eastAsia="仿宋" w:cs="仿宋"/>
                <w:color w:val="000000" w:themeColor="text1"/>
                <w:szCs w:val="21"/>
                <w:highlight w:val="none"/>
                <w14:textFill>
                  <w14:solidFill>
                    <w14:schemeClr w14:val="tx1"/>
                  </w14:solidFill>
                </w14:textFill>
              </w:rPr>
              <w:t>响应文件的装订、密封和标记</w:t>
            </w:r>
          </w:p>
        </w:tc>
        <w:tc>
          <w:tcPr>
            <w:tcW w:w="3588" w:type="pct"/>
            <w:noWrap w:val="0"/>
            <w:vAlign w:val="center"/>
          </w:tcPr>
          <w:p>
            <w:pPr>
              <w:spacing w:line="360" w:lineRule="auto"/>
              <w:rPr>
                <w:rFonts w:hint="eastAsia"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themeColor="text1"/>
                <w:szCs w:val="21"/>
                <w:highlight w:val="none"/>
                <w:lang w:eastAsia="zh-Hans"/>
                <w14:textFill>
                  <w14:solidFill>
                    <w14:schemeClr w14:val="tx1"/>
                  </w14:solidFill>
                </w14:textFill>
              </w:rPr>
              <w:t>纸质</w:t>
            </w:r>
            <w:r>
              <w:rPr>
                <w:rFonts w:hint="eastAsia" w:ascii="仿宋" w:hAnsi="仿宋" w:eastAsia="仿宋" w:cs="Cambria Math"/>
                <w:color w:val="000000" w:themeColor="text1"/>
                <w:szCs w:val="21"/>
                <w:highlight w:val="none"/>
                <w14:textFill>
                  <w14:solidFill>
                    <w14:schemeClr w14:val="tx1"/>
                  </w14:solidFill>
                </w14:textFill>
              </w:rPr>
              <w:t>响应文件不予接收。</w:t>
            </w:r>
          </w:p>
          <w:p>
            <w:pPr>
              <w:rPr>
                <w:rFonts w:ascii="仿宋" w:hAnsi="仿宋" w:eastAsia="仿宋"/>
                <w:color w:val="000000" w:themeColor="text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（2）外层包封具体样式如下：</w:t>
            </w:r>
          </w:p>
          <w:p>
            <w:pPr>
              <w:pStyle w:val="156"/>
              <w:spacing w:before="62" w:beforeLines="20" w:after="62" w:afterLines="20" w:line="360" w:lineRule="auto"/>
              <w:rPr>
                <w:rFonts w:hint="eastAsia" w:ascii="仿宋" w:hAnsi="仿宋" w:eastAsia="仿宋" w:cs="Cambria Math"/>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lang w:val="en-US" w:eastAsia="zh-CN"/>
                                    </w:rPr>
                                    <w:t>人保财险新疆沙雅支公司电影院映前广告采购项目</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阿迪力·热合曼</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lang w:val="en-US" w:eastAsia="zh-CN"/>
                              </w:rPr>
                              <w:t>人保财险新疆沙雅支公司电影院映前广告采购项目</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阿迪力·热合曼</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响应文件的递交</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公告“五、响应文件的递交”</w:t>
            </w:r>
            <w:r>
              <w:rPr>
                <w:rFonts w:hint="eastAsia" w:ascii="仿宋" w:hAnsi="仿宋" w:eastAsia="仿宋" w:cs="仿宋"/>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组建</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小组</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小组成员人数为</w:t>
            </w:r>
            <w:r>
              <w:rPr>
                <w:rFonts w:hint="eastAsia" w:ascii="仿宋" w:hAnsi="仿宋" w:eastAsia="仿宋" w:cs="仿宋"/>
                <w:color w:val="000000" w:themeColor="text1"/>
                <w:highlight w:val="none"/>
                <w:u w:val="single"/>
                <w:lang w:val="en-US" w:eastAsia="zh-CN"/>
                <w14:textFill>
                  <w14:solidFill>
                    <w14:schemeClr w14:val="tx1"/>
                  </w14:solidFill>
                </w14:textFill>
              </w:rPr>
              <w:t>5</w:t>
            </w:r>
            <w:r>
              <w:rPr>
                <w:rFonts w:hint="eastAsia" w:ascii="仿宋" w:hAnsi="仿宋" w:eastAsia="仿宋" w:cs="仿宋"/>
                <w:color w:val="000000" w:themeColor="text1"/>
                <w:highlight w:val="none"/>
                <w:u w:val="single"/>
                <w14:textFill>
                  <w14:solidFill>
                    <w14:schemeClr w14:val="tx1"/>
                  </w14:solidFill>
                </w14:textFill>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eastAsia="zh-CN"/>
                <w14:textFill>
                  <w14:solidFill>
                    <w14:schemeClr w14:val="tx1"/>
                  </w14:solidFill>
                </w14:textFill>
              </w:rPr>
              <w:t>比选</w:t>
            </w:r>
            <w:r>
              <w:rPr>
                <w:rFonts w:hint="eastAsia" w:ascii="仿宋" w:hAnsi="仿宋" w:eastAsia="仿宋" w:cs="仿宋"/>
                <w:color w:val="000000" w:themeColor="text1"/>
                <w:kern w:val="0"/>
                <w:szCs w:val="21"/>
                <w:highlight w:val="none"/>
                <w14:textFill>
                  <w14:solidFill>
                    <w14:schemeClr w14:val="tx1"/>
                  </w14:solidFill>
                </w14:textFill>
              </w:rPr>
              <w:t>程序及方式</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小组将与通过初步评审的有效供应商按照</w:t>
            </w:r>
            <w:r>
              <w:rPr>
                <w:rFonts w:hint="eastAsia" w:ascii="仿宋" w:hAnsi="仿宋" w:eastAsia="仿宋" w:cs="仿宋"/>
                <w:color w:val="000000" w:themeColor="text1"/>
                <w:highlight w:val="none"/>
                <w:u w:val="single"/>
                <w14:textFill>
                  <w14:solidFill>
                    <w14:schemeClr w14:val="tx1"/>
                  </w14:solidFill>
                </w14:textFill>
              </w:rPr>
              <w:t>响应文件递交顺序</w:t>
            </w:r>
            <w:r>
              <w:rPr>
                <w:rFonts w:hint="eastAsia" w:ascii="仿宋" w:hAnsi="仿宋" w:eastAsia="仿宋" w:cs="仿宋"/>
                <w:color w:val="000000" w:themeColor="text1"/>
                <w:highlight w:val="none"/>
                <w14:textFill>
                  <w14:solidFill>
                    <w14:schemeClr w14:val="tx1"/>
                  </w14:solidFill>
                </w14:textFill>
              </w:rPr>
              <w:t>逐一进行</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，供应商至少应派法定代表人或其授权委托人准时参会。</w:t>
            </w:r>
          </w:p>
          <w:p>
            <w:pPr>
              <w:pStyle w:val="156"/>
              <w:spacing w:before="62" w:beforeLines="20" w:after="62" w:afterLines="20" w:line="360" w:lineRule="auto"/>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小组有权要求供应商对响应文件中含义不明确、同类问题表述不一致或者有明显文字和计算错误的内容等进行澄清、说明或更正。第一轮</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结束后，供应商提交第一轮报价及</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小组要求提供的其他文件，</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小组将视具体情况决定是否进行多轮</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及报价。最后一轮</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内容</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包含但不仅限于</w:t>
            </w:r>
            <w:r>
              <w:rPr>
                <w:rFonts w:hint="eastAsia" w:ascii="仿宋" w:hAnsi="仿宋" w:eastAsia="仿宋" w:cs="仿宋"/>
                <w:color w:val="000000" w:themeColor="text1"/>
                <w:u w:val="single"/>
                <w14:textFill>
                  <w14:solidFill>
                    <w14:schemeClr w14:val="tx1"/>
                  </w14:solidFill>
                </w14:textFill>
              </w:rPr>
              <w:t>报价、对采购需求的理解、产品配置、实施方案、人员配置、服务承诺、商务条款</w:t>
            </w:r>
            <w:r>
              <w:rPr>
                <w:rFonts w:hint="eastAsia" w:ascii="仿宋" w:hAnsi="仿宋" w:eastAsia="仿宋" w:cs="仿宋"/>
                <w:color w:val="000000" w:themeColor="text1"/>
                <w14:textFill>
                  <w14:solidFill>
                    <w14:schemeClr w14:val="tx1"/>
                  </w14:solidFill>
                </w14:textFill>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成交候选人推荐原则</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小组根据有效供应商</w:t>
            </w:r>
            <w:r>
              <w:rPr>
                <w:rFonts w:hint="eastAsia" w:ascii="仿宋" w:hAnsi="仿宋" w:eastAsia="仿宋" w:cs="宋体"/>
                <w:color w:val="000000" w:themeColor="text1"/>
                <w:highlight w:val="none"/>
                <w14:textFill>
                  <w14:solidFill>
                    <w14:schemeClr w14:val="tx1"/>
                  </w14:solidFill>
                </w14:textFill>
              </w:rPr>
              <w:t>综合得分由高至低排出的名次，顺序推荐</w:t>
            </w:r>
            <w:r>
              <w:rPr>
                <w:rFonts w:hint="eastAsia" w:ascii="仿宋" w:hAnsi="仿宋" w:eastAsia="仿宋" w:cs="宋体"/>
                <w:color w:val="000000" w:themeColor="text1"/>
                <w:highlight w:val="none"/>
                <w:u w:val="single"/>
                <w14:textFill>
                  <w14:solidFill>
                    <w14:schemeClr w14:val="tx1"/>
                  </w14:solidFill>
                </w14:textFill>
              </w:rPr>
              <w:t>综合得分前</w:t>
            </w:r>
            <w:r>
              <w:rPr>
                <w:rFonts w:hint="eastAsia" w:ascii="仿宋" w:hAnsi="仿宋" w:eastAsia="仿宋" w:cs="宋体"/>
                <w:color w:val="000000" w:themeColor="text1"/>
                <w:highlight w:val="none"/>
                <w:u w:val="single"/>
                <w:lang w:val="en-US" w:eastAsia="zh-CN"/>
                <w14:textFill>
                  <w14:solidFill>
                    <w14:schemeClr w14:val="tx1"/>
                  </w14:solidFill>
                </w14:textFill>
              </w:rPr>
              <w:t>3</w:t>
            </w:r>
            <w:r>
              <w:rPr>
                <w:rFonts w:hint="eastAsia" w:ascii="仿宋" w:hAnsi="仿宋" w:eastAsia="仿宋" w:cs="宋体"/>
                <w:color w:val="000000" w:themeColor="text1"/>
                <w:highlight w:val="none"/>
                <w:u w:val="single"/>
                <w14:textFill>
                  <w14:solidFill>
                    <w14:schemeClr w14:val="tx1"/>
                  </w14:solidFill>
                </w14:textFill>
              </w:rPr>
              <w:t>名</w:t>
            </w:r>
            <w:r>
              <w:rPr>
                <w:rFonts w:hint="eastAsia" w:ascii="仿宋" w:hAnsi="仿宋" w:eastAsia="仿宋" w:cs="宋体"/>
                <w:color w:val="000000" w:themeColor="text1"/>
                <w:highlight w:val="none"/>
                <w14:textFill>
                  <w14:solidFill>
                    <w14:schemeClr w14:val="tx1"/>
                  </w14:solidFill>
                </w14:textFill>
              </w:rPr>
              <w:t>为成交候选人。</w:t>
            </w:r>
            <w:r>
              <w:rPr>
                <w:rFonts w:hint="eastAsia" w:ascii="仿宋" w:hAnsi="仿宋" w:eastAsia="仿宋" w:cs="仿宋"/>
                <w:color w:val="000000" w:themeColor="text1"/>
                <w:highlight w:val="none"/>
                <w14:textFill>
                  <w14:solidFill>
                    <w14:schemeClr w14:val="tx1"/>
                  </w14:solidFill>
                </w14:textFill>
              </w:rPr>
              <w:t>综合得分相同时，价格得分高者排名优先；价格得分也相同时，</w:t>
            </w:r>
            <w:r>
              <w:rPr>
                <w:rFonts w:hint="eastAsia" w:ascii="仿宋" w:hAnsi="仿宋" w:eastAsia="仿宋" w:cs="仿宋"/>
                <w:color w:val="000000" w:themeColor="text1"/>
                <w:highlight w:val="none"/>
                <w:u w:val="single"/>
                <w14:textFill>
                  <w14:solidFill>
                    <w14:schemeClr w14:val="tx1"/>
                  </w14:solidFill>
                </w14:textFill>
              </w:rPr>
              <w:t>技术</w:t>
            </w:r>
            <w:r>
              <w:rPr>
                <w:rFonts w:hint="eastAsia" w:ascii="仿宋" w:hAnsi="仿宋" w:eastAsia="仿宋" w:cs="仿宋"/>
                <w:color w:val="000000" w:themeColor="text1"/>
                <w:highlight w:val="none"/>
                <w14:textFill>
                  <w14:solidFill>
                    <w14:schemeClr w14:val="tx1"/>
                  </w14:solidFill>
                </w14:textFill>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成交人数量</w:t>
            </w:r>
          </w:p>
        </w:tc>
        <w:tc>
          <w:tcPr>
            <w:tcW w:w="3588" w:type="pct"/>
            <w:noWrap w:val="0"/>
            <w:vAlign w:val="center"/>
          </w:tcPr>
          <w:p>
            <w:pPr>
              <w:pStyle w:val="156"/>
              <w:spacing w:before="62" w:beforeLines="20" w:after="62" w:afterLines="20"/>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成交人数量：</w:t>
            </w:r>
            <w:r>
              <w:rPr>
                <w:rFonts w:hint="eastAsia" w:ascii="仿宋" w:hAnsi="仿宋" w:eastAsia="仿宋" w:cs="仿宋"/>
                <w:color w:val="000000" w:themeColor="text1"/>
                <w:highlight w:val="none"/>
                <w:u w:val="single"/>
                <w14:textFill>
                  <w14:solidFill>
                    <w14:schemeClr w14:val="tx1"/>
                  </w14:solidFill>
                </w14:textFill>
              </w:rPr>
              <w:t>1家</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u w:val="single"/>
                <w14:textFill>
                  <w14:solidFill>
                    <w14:schemeClr w14:val="tx1"/>
                  </w14:solidFill>
                </w14:textFill>
              </w:rPr>
              <w:t>综合排名前</w:t>
            </w:r>
            <w:r>
              <w:rPr>
                <w:rFonts w:hint="eastAsia" w:ascii="仿宋" w:hAnsi="仿宋" w:eastAsia="仿宋" w:cs="宋体"/>
                <w:color w:val="000000" w:themeColor="text1"/>
                <w:highlight w:val="none"/>
                <w:u w:val="single"/>
                <w:lang w:val="en-US" w:eastAsia="zh-CN"/>
                <w14:textFill>
                  <w14:solidFill>
                    <w14:schemeClr w14:val="tx1"/>
                  </w14:solidFill>
                </w14:textFill>
              </w:rPr>
              <w:t>3</w:t>
            </w:r>
            <w:r>
              <w:rPr>
                <w:rFonts w:hint="eastAsia" w:ascii="仿宋" w:hAnsi="仿宋" w:eastAsia="仿宋" w:cs="宋体"/>
                <w:color w:val="000000" w:themeColor="text1"/>
                <w:highlight w:val="none"/>
                <w:u w:val="single"/>
                <w14:textFill>
                  <w14:solidFill>
                    <w14:schemeClr w14:val="tx1"/>
                  </w14:solidFill>
                </w14:textFill>
              </w:rPr>
              <w:t>位中的某一</w:t>
            </w:r>
            <w:r>
              <w:rPr>
                <w:rFonts w:hint="eastAsia" w:ascii="仿宋" w:hAnsi="仿宋" w:eastAsia="仿宋" w:cs="仿宋"/>
                <w:color w:val="000000" w:themeColor="text1"/>
                <w:highlight w:val="none"/>
                <w14:textFill>
                  <w14:solidFill>
                    <w14:schemeClr w14:val="tx1"/>
                  </w14:solidFill>
                </w14:textFill>
              </w:rPr>
              <w:t>成交候选人放弃成交、因不可抗力不能履行合同、</w:t>
            </w:r>
            <w:r>
              <w:rPr>
                <w:rFonts w:hint="eastAsia" w:ascii="仿宋" w:hAnsi="仿宋" w:eastAsia="仿宋" w:cs="宋体"/>
                <w:color w:val="000000" w:themeColor="text1"/>
                <w:highlight w:val="none"/>
                <w14:textFill>
                  <w14:solidFill>
                    <w14:schemeClr w14:val="tx1"/>
                  </w14:solidFill>
                </w14:textFill>
              </w:rPr>
              <w:t>不按照</w:t>
            </w:r>
            <w:r>
              <w:rPr>
                <w:rFonts w:hint="eastAsia" w:ascii="仿宋" w:hAnsi="仿宋" w:eastAsia="仿宋" w:cs="宋体"/>
                <w:color w:val="000000" w:themeColor="text1"/>
                <w:highlight w:val="none"/>
                <w:lang w:eastAsia="zh-CN"/>
                <w14:textFill>
                  <w14:solidFill>
                    <w14:schemeClr w14:val="tx1"/>
                  </w14:solidFill>
                </w14:textFill>
              </w:rPr>
              <w:t>比选</w:t>
            </w:r>
            <w:r>
              <w:rPr>
                <w:rFonts w:hint="eastAsia" w:ascii="仿宋" w:hAnsi="仿宋" w:eastAsia="仿宋" w:cs="宋体"/>
                <w:color w:val="000000" w:themeColor="text1"/>
                <w:highlight w:val="none"/>
                <w14:textFill>
                  <w14:solidFill>
                    <w14:schemeClr w14:val="tx1"/>
                  </w14:solidFill>
                </w14:textFill>
              </w:rPr>
              <w:t>文件要求提交履约保证金</w:t>
            </w:r>
            <w:r>
              <w:rPr>
                <w:rFonts w:hint="eastAsia" w:ascii="仿宋" w:hAnsi="仿宋" w:eastAsia="仿宋" w:cs="仿宋"/>
                <w:color w:val="000000" w:themeColor="text1"/>
                <w:highlight w:val="none"/>
                <w14:textFill>
                  <w14:solidFill>
                    <w14:schemeClr w14:val="tx1"/>
                  </w14:solidFill>
                </w14:textFill>
              </w:rPr>
              <w:t>、存在重大经营或法律风险、被查实存在影响采购结果的违法行为等情形，采购人按照</w:t>
            </w:r>
            <w:r>
              <w:rPr>
                <w:rFonts w:hint="eastAsia" w:ascii="仿宋" w:hAnsi="仿宋" w:eastAsia="仿宋" w:cs="仿宋"/>
                <w:color w:val="000000" w:themeColor="text1"/>
                <w:highlight w:val="none"/>
                <w:lang w:eastAsia="zh-CN"/>
                <w14:textFill>
                  <w14:solidFill>
                    <w14:schemeClr w14:val="tx1"/>
                  </w14:solidFill>
                </w14:textFill>
              </w:rPr>
              <w:t>比选</w:t>
            </w:r>
            <w:r>
              <w:rPr>
                <w:rFonts w:hint="eastAsia" w:ascii="仿宋" w:hAnsi="仿宋" w:eastAsia="仿宋" w:cs="仿宋"/>
                <w:color w:val="000000" w:themeColor="text1"/>
                <w:highlight w:val="none"/>
                <w14:textFill>
                  <w14:solidFill>
                    <w14:schemeClr w14:val="tx1"/>
                  </w14:solidFill>
                </w14:textFill>
              </w:rPr>
              <w:t>小组提出的成交候选人名单排序依次确定其他成交候选人为成交人，或者重新采购。</w:t>
            </w:r>
          </w:p>
        </w:tc>
      </w:tr>
    </w:tbl>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bookmarkStart w:id="33" w:name="_Toc444891336"/>
      <w:bookmarkStart w:id="34" w:name="_Toc27232"/>
      <w:bookmarkStart w:id="35" w:name="_Toc517281816"/>
      <w:bookmarkStart w:id="36" w:name="_Toc287600118"/>
      <w:bookmarkStart w:id="37" w:name="_Toc20514"/>
      <w:bookmarkStart w:id="38" w:name="_Toc19783313"/>
      <w:bookmarkStart w:id="39" w:name="_Toc6047"/>
      <w:bookmarkStart w:id="40" w:name="_Toc11071"/>
      <w:bookmarkStart w:id="41" w:name="_Toc27220"/>
      <w:r>
        <w:rPr>
          <w:rFonts w:hint="eastAsia" w:ascii="仿宋" w:hAnsi="仿宋" w:eastAsia="仿宋" w:cs="仿宋"/>
          <w:color w:val="000000" w:themeColor="text1"/>
          <w:sz w:val="24"/>
          <w:szCs w:val="24"/>
          <w:highlight w:val="none"/>
          <w14:textFill>
            <w14:solidFill>
              <w14:schemeClr w14:val="tx1"/>
            </w14:solidFill>
          </w14:textFill>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themeColor="text1"/>
          <w:sz w:val="24"/>
          <w:szCs w:val="24"/>
          <w:highlight w:val="none"/>
          <w14:textFill>
            <w14:solidFill>
              <w14:schemeClr w14:val="tx1"/>
            </w14:solidFill>
          </w14:textFill>
        </w:rPr>
        <w:t>正文</w:t>
      </w:r>
      <w:bookmarkEnd w:id="41"/>
    </w:p>
    <w:p>
      <w:pPr>
        <w:pStyle w:val="5"/>
        <w:numPr>
          <w:ilvl w:val="5"/>
          <w:numId w:val="0"/>
        </w:numPr>
        <w:spacing w:before="0"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42" w:name="_Toc16441"/>
      <w:bookmarkStart w:id="43" w:name="_Toc444891337"/>
      <w:bookmarkStart w:id="44" w:name="_Toc22969"/>
      <w:bookmarkStart w:id="45" w:name="_Toc3678"/>
      <w:bookmarkStart w:id="46" w:name="_Toc11851"/>
      <w:bookmarkStart w:id="47" w:name="_Toc19783314"/>
      <w:bookmarkStart w:id="48" w:name="_Toc431"/>
      <w:bookmarkStart w:id="49" w:name="_Toc287600119"/>
      <w:bookmarkStart w:id="50" w:name="_Toc517281817"/>
      <w:bookmarkStart w:id="51" w:name="_Toc6681"/>
      <w:r>
        <w:rPr>
          <w:rFonts w:hint="eastAsia" w:ascii="仿宋" w:hAnsi="仿宋" w:eastAsia="仿宋" w:cs="仿宋"/>
          <w:color w:val="000000" w:themeColor="text1"/>
          <w:sz w:val="24"/>
          <w:szCs w:val="24"/>
          <w:highlight w:val="none"/>
          <w14:textFill>
            <w14:solidFill>
              <w14:schemeClr w14:val="tx1"/>
            </w14:solidFill>
          </w14:textFill>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1.项目说明</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本项目按照中华人民共和国有关法律、行政法规和部门规章以及采购人的采购管理制度，通过</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方式确定签约供应商。</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2.采购范围</w:t>
      </w:r>
    </w:p>
    <w:p>
      <w:pPr>
        <w:tabs>
          <w:tab w:val="left" w:pos="3150"/>
          <w:tab w:val="left" w:pos="3780"/>
        </w:tabs>
        <w:spacing w:line="360" w:lineRule="auto"/>
        <w:jc w:val="left"/>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u w:val="single"/>
          <w14:textFill>
            <w14:solidFill>
              <w14:schemeClr w14:val="tx1"/>
            </w14:solidFill>
          </w14:textFill>
        </w:rPr>
        <w:t>详见本须知前附表</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Cs/>
          <w:color w:val="000000" w:themeColor="text1"/>
          <w:sz w:val="24"/>
          <w:highlight w:val="none"/>
          <w14:textFill>
            <w14:solidFill>
              <w14:schemeClr w14:val="tx1"/>
            </w14:solidFill>
          </w14:textFill>
        </w:rPr>
        <w:t>详细内容详见第五章采购需求。</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3.资金来源</w:t>
      </w:r>
    </w:p>
    <w:p>
      <w:pPr>
        <w:tabs>
          <w:tab w:val="left" w:pos="3150"/>
          <w:tab w:val="left" w:pos="3780"/>
        </w:tabs>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资金来源于采购人或其子公司（含分支机构）自筹（比例100%），且资金已落实。</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4.资格审查</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4.1</w:t>
      </w:r>
      <w:r>
        <w:rPr>
          <w:rFonts w:hint="eastAsia" w:ascii="仿宋" w:hAnsi="仿宋" w:eastAsia="仿宋" w:cs="宋体"/>
          <w:color w:val="000000" w:themeColor="text1"/>
          <w:kern w:val="0"/>
          <w:sz w:val="24"/>
          <w:highlight w:val="none"/>
          <w14:textFill>
            <w14:solidFill>
              <w14:schemeClr w14:val="tx1"/>
            </w14:solidFill>
          </w14:textFill>
        </w:rPr>
        <w:t>资格预审：是指在递交响应文件前对潜在供应商进行的资格审查。采用资格预审方式的，资格条件已经在</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文件发出前的资格预审文件中作出规定。</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4</w:t>
      </w:r>
      <w:r>
        <w:rPr>
          <w:rFonts w:hint="eastAsia" w:ascii="仿宋" w:hAnsi="仿宋" w:eastAsia="仿宋" w:cs="宋体"/>
          <w:color w:val="000000" w:themeColor="text1"/>
          <w:kern w:val="0"/>
          <w:sz w:val="24"/>
          <w:highlight w:val="none"/>
          <w14:textFill>
            <w14:solidFill>
              <w14:schemeClr w14:val="tx1"/>
            </w14:solidFill>
          </w14:textFill>
        </w:rPr>
        <w:t>.2资格后审：是指在首次响应文件递交截止时间后由</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小组根据</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文件的规定对供应商进行的资格审查。采购人应当在</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kern w:val="0"/>
          <w:sz w:val="24"/>
          <w:highlight w:val="none"/>
          <w:u w:val="single"/>
          <w14:textFill>
            <w14:solidFill>
              <w14:schemeClr w14:val="tx1"/>
            </w14:solidFill>
          </w14:textFill>
        </w:rPr>
        <w:t>详见本须知前附表。</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响应费用</w:t>
      </w:r>
    </w:p>
    <w:p>
      <w:pPr>
        <w:spacing w:line="360" w:lineRule="auto"/>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不论结果如何，</w:t>
      </w: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自行承担所有准备和参与本次</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响应的有关费用。</w:t>
      </w:r>
    </w:p>
    <w:p>
      <w:pPr>
        <w:pStyle w:val="5"/>
        <w:spacing w:after="0" w:line="360" w:lineRule="auto"/>
        <w:ind w:firstLine="482"/>
        <w:rPr>
          <w:rFonts w:hint="eastAsia" w:ascii="仿宋" w:hAnsi="仿宋" w:eastAsia="仿宋" w:cs="仿宋"/>
          <w:color w:val="000000" w:themeColor="text1"/>
          <w:sz w:val="24"/>
          <w:szCs w:val="24"/>
          <w:highlight w:val="none"/>
          <w14:textFill>
            <w14:solidFill>
              <w14:schemeClr w14:val="tx1"/>
            </w14:solidFill>
          </w14:textFill>
        </w:rPr>
      </w:pPr>
      <w:bookmarkStart w:id="52" w:name="_Toc5255"/>
      <w:bookmarkStart w:id="53" w:name="_Toc287600120"/>
      <w:bookmarkStart w:id="54" w:name="_Toc3016"/>
      <w:bookmarkStart w:id="55" w:name="_Toc24246"/>
      <w:bookmarkStart w:id="56" w:name="_Toc14164"/>
      <w:bookmarkStart w:id="57" w:name="_Toc517281818"/>
      <w:bookmarkStart w:id="58" w:name="_Toc19783315"/>
      <w:bookmarkStart w:id="59" w:name="_Toc10975"/>
      <w:bookmarkStart w:id="60" w:name="_Toc444891338"/>
      <w:bookmarkStart w:id="61" w:name="_Toc25513"/>
      <w:r>
        <w:rPr>
          <w:rFonts w:hint="eastAsia" w:ascii="仿宋" w:hAnsi="仿宋" w:eastAsia="仿宋" w:cs="仿宋"/>
          <w:color w:val="000000" w:themeColor="text1"/>
          <w:sz w:val="24"/>
          <w:szCs w:val="24"/>
          <w:highlight w:val="none"/>
          <w14:textFill>
            <w14:solidFill>
              <w14:schemeClr w14:val="tx1"/>
            </w14:solidFill>
          </w14:textFill>
        </w:rPr>
        <w:t>（二）</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文件的组成</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6.1</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文件包括下列内容：</w:t>
      </w:r>
    </w:p>
    <w:p>
      <w:pPr>
        <w:pStyle w:val="23"/>
        <w:widowControl/>
        <w:spacing w:line="360" w:lineRule="auto"/>
        <w:ind w:left="0" w:leftChars="0"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第一章 </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公告</w:t>
      </w:r>
    </w:p>
    <w:p>
      <w:pPr>
        <w:pStyle w:val="23"/>
        <w:widowControl/>
        <w:spacing w:line="360" w:lineRule="auto"/>
        <w:ind w:left="0" w:leftChars="0"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第二章 供应商须知</w:t>
      </w:r>
    </w:p>
    <w:p>
      <w:pPr>
        <w:pStyle w:val="23"/>
        <w:widowControl/>
        <w:spacing w:line="360" w:lineRule="auto"/>
        <w:ind w:left="0" w:leftChars="0"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第三章 评审办法</w:t>
      </w:r>
    </w:p>
    <w:p>
      <w:pPr>
        <w:pStyle w:val="23"/>
        <w:widowControl/>
        <w:spacing w:line="360" w:lineRule="auto"/>
        <w:ind w:left="0" w:leftChars="0"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第五章 采购需求</w:t>
      </w:r>
    </w:p>
    <w:p>
      <w:pPr>
        <w:tabs>
          <w:tab w:val="left" w:pos="540"/>
          <w:tab w:val="left" w:pos="720"/>
        </w:tabs>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第六章 响应文件格式</w:t>
      </w:r>
    </w:p>
    <w:p>
      <w:pPr>
        <w:widowControl/>
        <w:topLinePunct/>
        <w:spacing w:line="360" w:lineRule="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6.</w:t>
      </w:r>
      <w:r>
        <w:rPr>
          <w:rFonts w:ascii="仿宋" w:hAnsi="仿宋" w:eastAsia="仿宋" w:cs="仿宋"/>
          <w:color w:val="000000" w:themeColor="text1"/>
          <w:kern w:val="0"/>
          <w:sz w:val="24"/>
          <w:highlight w:val="none"/>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采购人在</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kern w:val="0"/>
          <w:sz w:val="24"/>
          <w:highlight w:val="none"/>
          <w:u w:val="single"/>
          <w14:textFill>
            <w14:solidFill>
              <w14:schemeClr w14:val="tx1"/>
            </w14:solidFill>
          </w14:textFill>
        </w:rPr>
        <w:t>见本须知前附表</w:t>
      </w:r>
      <w:r>
        <w:rPr>
          <w:rFonts w:hint="eastAsia" w:ascii="仿宋" w:hAnsi="仿宋" w:eastAsia="仿宋" w:cs="仿宋"/>
          <w:color w:val="000000" w:themeColor="text1"/>
          <w:kern w:val="0"/>
          <w:sz w:val="24"/>
          <w:highlight w:val="none"/>
          <w14:textFill>
            <w14:solidFill>
              <w14:schemeClr w14:val="tx1"/>
            </w14:solidFill>
          </w14:textFill>
        </w:rPr>
        <w:t>。</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文件的修改</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7.1潜在</w:t>
      </w:r>
      <w:r>
        <w:rPr>
          <w:rFonts w:hint="eastAsia" w:ascii="仿宋" w:hAnsi="仿宋" w:eastAsia="仿宋" w:cs="宋体"/>
          <w:color w:val="000000" w:themeColor="text1"/>
          <w:kern w:val="0"/>
          <w:sz w:val="24"/>
          <w:highlight w:val="none"/>
          <w14:textFill>
            <w14:solidFill>
              <w14:schemeClr w14:val="tx1"/>
            </w14:solidFill>
          </w14:textFill>
        </w:rPr>
        <w:t>供应商对</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宋体"/>
          <w:color w:val="000000" w:themeColor="text1"/>
          <w:kern w:val="0"/>
          <w:sz w:val="24"/>
          <w:highlight w:val="none"/>
          <w14:textFill>
            <w14:solidFill>
              <w14:schemeClr w14:val="tx1"/>
            </w14:solidFill>
          </w14:textFill>
        </w:rPr>
        <w:t>有疑问的，应当按照</w:t>
      </w:r>
      <w:r>
        <w:rPr>
          <w:rFonts w:hint="eastAsia" w:ascii="仿宋" w:hAnsi="仿宋" w:eastAsia="仿宋" w:cs="宋体"/>
          <w:color w:val="000000" w:themeColor="text1"/>
          <w:kern w:val="0"/>
          <w:sz w:val="24"/>
          <w:highlight w:val="none"/>
          <w:u w:val="single"/>
          <w14:textFill>
            <w14:solidFill>
              <w14:schemeClr w14:val="tx1"/>
            </w14:solidFill>
          </w14:textFill>
        </w:rPr>
        <w:t>本须知前附表</w:t>
      </w:r>
      <w:r>
        <w:rPr>
          <w:rFonts w:hint="eastAsia" w:ascii="仿宋" w:hAnsi="仿宋" w:eastAsia="仿宋" w:cs="宋体"/>
          <w:color w:val="000000" w:themeColor="text1"/>
          <w:kern w:val="0"/>
          <w:sz w:val="24"/>
          <w:highlight w:val="none"/>
          <w14:textFill>
            <w14:solidFill>
              <w14:schemeClr w14:val="tx1"/>
            </w14:solidFill>
          </w14:textFill>
        </w:rPr>
        <w:t>规定的时间和方式，要求采购人对</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宋体"/>
          <w:color w:val="000000" w:themeColor="text1"/>
          <w:kern w:val="0"/>
          <w:sz w:val="24"/>
          <w:highlight w:val="none"/>
          <w14:textFill>
            <w14:solidFill>
              <w14:schemeClr w14:val="tx1"/>
            </w14:solidFill>
          </w14:textFill>
        </w:rPr>
        <w:t>进行澄清。</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7.2</w:t>
      </w:r>
      <w:r>
        <w:rPr>
          <w:rFonts w:hint="eastAsia" w:ascii="仿宋" w:hAnsi="仿宋" w:eastAsia="仿宋" w:cs="仿宋"/>
          <w:color w:val="000000" w:themeColor="text1"/>
          <w:sz w:val="24"/>
          <w:highlight w:val="none"/>
          <w14:textFill>
            <w14:solidFill>
              <w14:schemeClr w14:val="tx1"/>
            </w14:solidFill>
          </w14:textFill>
        </w:rPr>
        <w:t>采购人在响应文件递交截止时间前，可以书面形式发出的对</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文件的澄清或修改内容，</w:t>
      </w:r>
      <w:r>
        <w:rPr>
          <w:rFonts w:hint="eastAsia" w:ascii="仿宋" w:hAnsi="仿宋" w:eastAsia="仿宋" w:cs="宋体"/>
          <w:color w:val="000000" w:themeColor="text1"/>
          <w:kern w:val="0"/>
          <w:sz w:val="24"/>
          <w:highlight w:val="none"/>
          <w14:textFill>
            <w14:solidFill>
              <w14:schemeClr w14:val="tx1"/>
            </w14:solidFill>
          </w14:textFill>
        </w:rPr>
        <w:t>如澄清或修改的内容可能影响响应文件编制的，原则上应当在响应文件递交截止之日3个工作日前，以书面形式通知所有获取</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宋体"/>
          <w:color w:val="000000" w:themeColor="text1"/>
          <w:kern w:val="0"/>
          <w:sz w:val="24"/>
          <w:highlight w:val="none"/>
          <w14:textFill>
            <w14:solidFill>
              <w14:schemeClr w14:val="tx1"/>
            </w14:solidFill>
          </w14:textFill>
        </w:rPr>
        <w:t>的潜在供应商，不足3个工作日的，原则上应顺延响应文件递交截止时间。</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7.</w:t>
      </w:r>
      <w:r>
        <w:rPr>
          <w:rFonts w:ascii="仿宋" w:hAnsi="仿宋" w:eastAsia="仿宋" w:cs="宋体"/>
          <w:color w:val="000000" w:themeColor="text1"/>
          <w:kern w:val="0"/>
          <w:sz w:val="24"/>
          <w:highlight w:val="none"/>
          <w14:textFill>
            <w14:solidFill>
              <w14:schemeClr w14:val="tx1"/>
            </w14:solidFill>
          </w14:textFill>
        </w:rPr>
        <w:t>3</w:t>
      </w:r>
      <w:r>
        <w:rPr>
          <w:rFonts w:hint="eastAsia" w:ascii="仿宋" w:hAnsi="仿宋" w:eastAsia="仿宋" w:cs="宋体"/>
          <w:color w:val="000000" w:themeColor="text1"/>
          <w:kern w:val="0"/>
          <w:sz w:val="24"/>
          <w:highlight w:val="none"/>
          <w14:textFill>
            <w14:solidFill>
              <w14:schemeClr w14:val="tx1"/>
            </w14:solidFill>
          </w14:textFill>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7</w:t>
      </w:r>
      <w:r>
        <w:rPr>
          <w:rFonts w:ascii="仿宋" w:hAnsi="仿宋" w:eastAsia="仿宋" w:cs="宋体"/>
          <w:color w:val="000000" w:themeColor="text1"/>
          <w:kern w:val="0"/>
          <w:sz w:val="24"/>
          <w:highlight w:val="none"/>
          <w14:textFill>
            <w14:solidFill>
              <w14:schemeClr w14:val="tx1"/>
            </w14:solidFill>
          </w14:textFill>
        </w:rPr>
        <w:t>.</w:t>
      </w:r>
      <w:r>
        <w:rPr>
          <w:rFonts w:hint="eastAsia" w:ascii="仿宋" w:hAnsi="仿宋" w:eastAsia="仿宋" w:cs="宋体"/>
          <w:color w:val="000000" w:themeColor="text1"/>
          <w:kern w:val="0"/>
          <w:sz w:val="24"/>
          <w:highlight w:val="none"/>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宋体"/>
          <w:color w:val="000000" w:themeColor="text1"/>
          <w:kern w:val="0"/>
          <w:sz w:val="24"/>
          <w:highlight w:val="none"/>
          <w14:textFill>
            <w14:solidFill>
              <w14:schemeClr w14:val="tx1"/>
            </w14:solidFill>
          </w14:textFill>
        </w:rPr>
        <w:t>所有关于</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宋体"/>
          <w:color w:val="000000" w:themeColor="text1"/>
          <w:kern w:val="0"/>
          <w:sz w:val="24"/>
          <w:highlight w:val="none"/>
          <w14:textFill>
            <w14:solidFill>
              <w14:schemeClr w14:val="tx1"/>
            </w14:solidFill>
          </w14:textFill>
        </w:rPr>
        <w:t>的澄清和修改均作为</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宋体"/>
          <w:color w:val="000000" w:themeColor="text1"/>
          <w:kern w:val="0"/>
          <w:sz w:val="24"/>
          <w:highlight w:val="none"/>
          <w14:textFill>
            <w14:solidFill>
              <w14:schemeClr w14:val="tx1"/>
            </w14:solidFill>
          </w14:textFill>
        </w:rPr>
        <w:t>的补充部分。</w:t>
      </w:r>
      <w:r>
        <w:rPr>
          <w:rFonts w:hint="eastAsia" w:ascii="仿宋" w:hAnsi="仿宋" w:eastAsia="仿宋" w:cs="仿宋"/>
          <w:color w:val="000000" w:themeColor="text1"/>
          <w:sz w:val="24"/>
          <w:highlight w:val="none"/>
          <w14:textFill>
            <w14:solidFill>
              <w14:schemeClr w14:val="tx1"/>
            </w14:solidFill>
          </w14:textFill>
        </w:rPr>
        <w:t>当</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响应预备会</w:t>
      </w:r>
    </w:p>
    <w:p>
      <w:pPr>
        <w:spacing w:line="360" w:lineRule="auto"/>
        <w:textAlignment w:val="baseline"/>
        <w:rPr>
          <w:rFonts w:hint="eastAsia" w:ascii="仿宋" w:hAnsi="仿宋" w:eastAsia="仿宋" w:cs="宋体"/>
          <w:color w:val="000000" w:themeColor="text1"/>
          <w:sz w:val="24"/>
          <w:highlight w:val="none"/>
          <w:u w:val="single"/>
          <w:lang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采购人认为必要时，将召开</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响应预备会(答疑会)，公开解答潜在供应商对</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文件提出的疑问</w:t>
      </w:r>
      <w:r>
        <w:rPr>
          <w:rFonts w:hint="eastAsia" w:ascii="仿宋" w:hAnsi="仿宋" w:eastAsia="仿宋" w:cs="宋体"/>
          <w:color w:val="000000" w:themeColor="text1"/>
          <w:sz w:val="24"/>
          <w:highlight w:val="none"/>
          <w:lang w:eastAsia="zh-CN"/>
          <w14:textFill>
            <w14:solidFill>
              <w14:schemeClr w14:val="tx1"/>
            </w14:solidFill>
          </w14:textFill>
        </w:rPr>
        <w:t>。</w:t>
      </w:r>
    </w:p>
    <w:p>
      <w:pPr>
        <w:pStyle w:val="5"/>
        <w:numPr>
          <w:ilvl w:val="0"/>
          <w:numId w:val="0"/>
        </w:num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62" w:name="_Toc14308"/>
      <w:bookmarkStart w:id="63" w:name="_Toc27642"/>
      <w:bookmarkStart w:id="64" w:name="_Toc16985"/>
      <w:bookmarkStart w:id="65" w:name="_Toc13691"/>
      <w:bookmarkStart w:id="66" w:name="_Toc444891339"/>
      <w:bookmarkStart w:id="67" w:name="_Toc287600121"/>
      <w:bookmarkStart w:id="68" w:name="_Toc19783316"/>
      <w:bookmarkStart w:id="69" w:name="_Toc31141"/>
      <w:bookmarkStart w:id="70" w:name="_Toc517281819"/>
      <w:bookmarkStart w:id="71" w:name="_Toc27563"/>
      <w:r>
        <w:rPr>
          <w:rFonts w:hint="eastAsia" w:ascii="仿宋" w:hAnsi="仿宋" w:eastAsia="仿宋" w:cs="仿宋"/>
          <w:color w:val="000000" w:themeColor="text1"/>
          <w:sz w:val="24"/>
          <w:szCs w:val="24"/>
          <w:highlight w:val="none"/>
          <w14:textFill>
            <w14:solidFill>
              <w14:schemeClr w14:val="tx1"/>
            </w14:solidFill>
          </w14:textFill>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.响应文件的组成</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sz w:val="24"/>
          <w:highlight w:val="none"/>
          <w:u w:val="single"/>
          <w14:textFill>
            <w14:solidFill>
              <w14:schemeClr w14:val="tx1"/>
            </w14:solidFill>
          </w14:textFill>
        </w:rPr>
        <w:t>见本须知前附表</w:t>
      </w:r>
      <w:r>
        <w:rPr>
          <w:rFonts w:hint="eastAsia" w:ascii="仿宋" w:hAnsi="仿宋" w:eastAsia="仿宋" w:cs="仿宋"/>
          <w:color w:val="000000" w:themeColor="text1"/>
          <w:sz w:val="24"/>
          <w:highlight w:val="none"/>
          <w14:textFill>
            <w14:solidFill>
              <w14:schemeClr w14:val="tx1"/>
            </w14:solidFill>
          </w14:textFill>
        </w:rPr>
        <w:t>。</w:t>
      </w:r>
    </w:p>
    <w:p>
      <w:pPr>
        <w:pStyle w:val="6"/>
        <w:spacing w:before="0" w:after="0" w:line="360" w:lineRule="auto"/>
        <w:jc w:val="left"/>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.响应文件的编制</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10</w:t>
      </w:r>
      <w:r>
        <w:rPr>
          <w:rFonts w:hint="eastAsia" w:ascii="仿宋" w:hAnsi="仿宋" w:eastAsia="仿宋" w:cs="宋体"/>
          <w:color w:val="000000" w:themeColor="text1"/>
          <w:kern w:val="0"/>
          <w:sz w:val="24"/>
          <w:highlight w:val="none"/>
          <w14:textFill>
            <w14:solidFill>
              <w14:schemeClr w14:val="tx1"/>
            </w14:solidFill>
          </w14:textFill>
        </w:rPr>
        <w:t>.1 供应商应当按照</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文件的要求编制响应文件，并对其提交的响应文件的真实性、合法性承担法律责任。响应文件应当对</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 xml:space="preserve">文件提出的实质性要求和条件作出响应。 </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10</w:t>
      </w:r>
      <w:r>
        <w:rPr>
          <w:rFonts w:hint="eastAsia" w:ascii="仿宋" w:hAnsi="仿宋" w:eastAsia="仿宋" w:cs="宋体"/>
          <w:color w:val="000000" w:themeColor="text1"/>
          <w:kern w:val="0"/>
          <w:sz w:val="24"/>
          <w:highlight w:val="none"/>
          <w14:textFill>
            <w14:solidFill>
              <w14:schemeClr w14:val="tx1"/>
            </w14:solidFill>
          </w14:textFill>
        </w:rPr>
        <w:t>.2 供应商应认真阅读</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文件中所有的事项、格式、条款和技术规范等。供应商没有按照</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文件要求递交全部资料，或者供应商没有对</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文件在各方面都作出实质性响应是供应商的风险，并可能导致其</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 xml:space="preserve">响应被否决。 </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 xml:space="preserve">0.3 </w:t>
      </w:r>
      <w:r>
        <w:rPr>
          <w:rFonts w:hint="eastAsia" w:ascii="仿宋" w:hAnsi="仿宋" w:eastAsia="仿宋" w:cs="宋体"/>
          <w:color w:val="000000" w:themeColor="text1"/>
          <w:kern w:val="0"/>
          <w:sz w:val="24"/>
          <w:highlight w:val="none"/>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文件中要求进行解释或提出建议的除外）。</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 xml:space="preserve">0.4 </w:t>
      </w:r>
      <w:r>
        <w:rPr>
          <w:rFonts w:hint="eastAsia" w:ascii="仿宋" w:hAnsi="仿宋" w:eastAsia="仿宋" w:cs="宋体"/>
          <w:color w:val="000000" w:themeColor="text1"/>
          <w:kern w:val="0"/>
          <w:sz w:val="24"/>
          <w:highlight w:val="none"/>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文件中要求进行解释或提出建议的除外）。</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10</w:t>
      </w:r>
      <w:r>
        <w:rPr>
          <w:rFonts w:hint="eastAsia" w:ascii="仿宋" w:hAnsi="仿宋" w:eastAsia="仿宋" w:cs="宋体"/>
          <w:color w:val="000000" w:themeColor="text1"/>
          <w:kern w:val="0"/>
          <w:sz w:val="24"/>
          <w:highlight w:val="none"/>
          <w14:textFill>
            <w14:solidFill>
              <w14:schemeClr w14:val="tx1"/>
            </w14:solidFill>
          </w14:textFill>
        </w:rPr>
        <w:t>.</w:t>
      </w:r>
      <w:r>
        <w:rPr>
          <w:rFonts w:ascii="仿宋" w:hAnsi="仿宋" w:eastAsia="仿宋" w:cs="宋体"/>
          <w:color w:val="000000" w:themeColor="text1"/>
          <w:kern w:val="0"/>
          <w:sz w:val="24"/>
          <w:highlight w:val="none"/>
          <w14:textFill>
            <w14:solidFill>
              <w14:schemeClr w14:val="tx1"/>
            </w14:solidFill>
          </w14:textFill>
        </w:rPr>
        <w:t>5</w:t>
      </w:r>
      <w:r>
        <w:rPr>
          <w:rFonts w:hint="eastAsia" w:ascii="仿宋" w:hAnsi="仿宋" w:eastAsia="仿宋" w:cs="宋体"/>
          <w:color w:val="000000" w:themeColor="text1"/>
          <w:kern w:val="0"/>
          <w:sz w:val="24"/>
          <w:highlight w:val="none"/>
          <w14:textFill>
            <w14:solidFill>
              <w14:schemeClr w14:val="tx1"/>
            </w14:solidFill>
          </w14:textFill>
        </w:rPr>
        <w:t xml:space="preserve"> 供应商提交的响应文件以及供应商与采购人就有关</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themeColor="text1"/>
          <w:kern w:val="0"/>
          <w:sz w:val="24"/>
          <w:highlight w:val="none"/>
          <w:u w:val="singl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10</w:t>
      </w:r>
      <w:r>
        <w:rPr>
          <w:rFonts w:hint="eastAsia" w:ascii="仿宋" w:hAnsi="仿宋" w:eastAsia="仿宋" w:cs="宋体"/>
          <w:color w:val="000000" w:themeColor="text1"/>
          <w:kern w:val="0"/>
          <w:sz w:val="24"/>
          <w:highlight w:val="none"/>
          <w14:textFill>
            <w14:solidFill>
              <w14:schemeClr w14:val="tx1"/>
            </w14:solidFill>
          </w14:textFill>
        </w:rPr>
        <w:t>.</w:t>
      </w:r>
      <w:r>
        <w:rPr>
          <w:rFonts w:ascii="仿宋" w:hAnsi="仿宋" w:eastAsia="仿宋" w:cs="宋体"/>
          <w:color w:val="000000" w:themeColor="text1"/>
          <w:kern w:val="0"/>
          <w:sz w:val="24"/>
          <w:highlight w:val="none"/>
          <w14:textFill>
            <w14:solidFill>
              <w14:schemeClr w14:val="tx1"/>
            </w14:solidFill>
          </w14:textFill>
        </w:rPr>
        <w:t>6</w:t>
      </w:r>
      <w:r>
        <w:rPr>
          <w:rFonts w:hint="eastAsia" w:ascii="仿宋" w:hAnsi="仿宋" w:eastAsia="仿宋" w:cs="宋体"/>
          <w:color w:val="000000" w:themeColor="text1"/>
          <w:kern w:val="0"/>
          <w:sz w:val="24"/>
          <w:highlight w:val="none"/>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themeColor="text1"/>
          <w:kern w:val="0"/>
          <w:sz w:val="24"/>
          <w:highlight w:val="none"/>
          <w14:textFill>
            <w14:solidFill>
              <w14:schemeClr w14:val="tx1"/>
            </w14:solidFill>
          </w14:textFill>
        </w:rPr>
        <w:t>盖章或者签字另有要求的，</w:t>
      </w:r>
      <w:r>
        <w:rPr>
          <w:rFonts w:hint="eastAsia" w:ascii="仿宋" w:hAnsi="仿宋" w:eastAsia="仿宋" w:cs="宋体"/>
          <w:color w:val="000000" w:themeColor="text1"/>
          <w:kern w:val="0"/>
          <w:sz w:val="24"/>
          <w:highlight w:val="none"/>
          <w:u w:val="single"/>
          <w14:textFill>
            <w14:solidFill>
              <w14:schemeClr w14:val="tx1"/>
            </w14:solidFill>
          </w14:textFill>
        </w:rPr>
        <w:t>见本须知前附表。</w:t>
      </w:r>
    </w:p>
    <w:bookmarkEnd w:id="72"/>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0.7</w:t>
      </w:r>
      <w:r>
        <w:rPr>
          <w:rFonts w:hint="eastAsia" w:ascii="仿宋" w:hAnsi="仿宋" w:eastAsia="仿宋" w:cs="仿宋"/>
          <w:color w:val="000000" w:themeColor="text1"/>
          <w:sz w:val="24"/>
          <w:highlight w:val="none"/>
          <w14:textFill>
            <w14:solidFill>
              <w14:schemeClr w14:val="tx1"/>
            </w14:solidFill>
          </w14:textFill>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响应报价</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供应商应当根据</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文件要求进行报价，供应商应当报出符合</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sz w:val="24"/>
          <w:highlight w:val="none"/>
          <w14:textFill>
            <w14:solidFill>
              <w14:schemeClr w14:val="tx1"/>
            </w14:solidFill>
          </w14:textFill>
        </w:rPr>
        <w:t>见</w:t>
      </w:r>
      <w:r>
        <w:rPr>
          <w:rFonts w:hint="eastAsia" w:ascii="仿宋" w:hAnsi="仿宋" w:eastAsia="仿宋" w:cs="仿宋"/>
          <w:color w:val="000000" w:themeColor="text1"/>
          <w:sz w:val="24"/>
          <w:highlight w:val="none"/>
          <w:u w:val="single"/>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响应有效期</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12</w:t>
      </w:r>
      <w:r>
        <w:rPr>
          <w:rFonts w:hint="eastAsia" w:ascii="仿宋" w:hAnsi="仿宋" w:eastAsia="仿宋" w:cs="宋体"/>
          <w:color w:val="000000" w:themeColor="text1"/>
          <w:kern w:val="0"/>
          <w:sz w:val="24"/>
          <w:highlight w:val="none"/>
          <w14:textFill>
            <w14:solidFill>
              <w14:schemeClr w14:val="tx1"/>
            </w14:solidFill>
          </w14:textFill>
        </w:rPr>
        <w:t xml:space="preserve">.1 </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响应有效期从响应文件递交截止之日起算，具体时间</w:t>
      </w:r>
      <w:r>
        <w:rPr>
          <w:rFonts w:hint="eastAsia" w:ascii="仿宋" w:hAnsi="仿宋" w:eastAsia="仿宋" w:cs="宋体"/>
          <w:color w:val="000000" w:themeColor="text1"/>
          <w:kern w:val="0"/>
          <w:sz w:val="24"/>
          <w:highlight w:val="none"/>
          <w:u w:val="single"/>
          <w14:textFill>
            <w14:solidFill>
              <w14:schemeClr w14:val="tx1"/>
            </w14:solidFill>
          </w14:textFill>
        </w:rPr>
        <w:t>见本须知前附表</w:t>
      </w:r>
      <w:r>
        <w:rPr>
          <w:rFonts w:hint="eastAsia" w:ascii="仿宋" w:hAnsi="仿宋" w:eastAsia="仿宋" w:cs="宋体"/>
          <w:color w:val="000000" w:themeColor="text1"/>
          <w:kern w:val="0"/>
          <w:sz w:val="24"/>
          <w:highlight w:val="none"/>
          <w14:textFill>
            <w14:solidFill>
              <w14:schemeClr w14:val="tx1"/>
            </w14:solidFill>
          </w14:textFill>
        </w:rPr>
        <w:t>，在此期间，供应商不得要求撤销或修改其响应文件。供应商承诺的</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响应有效期必须不短于</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文件规定的</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响应有效期，否则将构成对</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文件的非实质性响应，</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响应将被否决。</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12</w:t>
      </w:r>
      <w:r>
        <w:rPr>
          <w:rFonts w:hint="eastAsia" w:ascii="仿宋" w:hAnsi="仿宋" w:eastAsia="仿宋" w:cs="宋体"/>
          <w:color w:val="000000" w:themeColor="text1"/>
          <w:kern w:val="0"/>
          <w:sz w:val="24"/>
          <w:highlight w:val="none"/>
          <w14:textFill>
            <w14:solidFill>
              <w14:schemeClr w14:val="tx1"/>
            </w14:solidFill>
          </w14:textFill>
        </w:rPr>
        <w:t>.2 在原</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响应有效期结束前，出现特殊情况的，采购人可以书面形式要求所有供应商延长</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响应有效期。供应商同意延长的，不得要求或被允许修改其响应文件的实质性内容</w:t>
      </w:r>
      <w:r>
        <w:rPr>
          <w:rFonts w:hint="eastAsia" w:ascii="仿宋" w:hAnsi="仿宋" w:eastAsia="仿宋" w:cs="宋体"/>
          <w:color w:val="000000" w:themeColor="text1"/>
          <w:kern w:val="0"/>
          <w:sz w:val="24"/>
          <w:highlight w:val="none"/>
          <w:lang w:eastAsia="zh-CN"/>
          <w14:textFill>
            <w14:solidFill>
              <w14:schemeClr w14:val="tx1"/>
            </w14:solidFill>
          </w14:textFill>
        </w:rPr>
        <w:t>。</w:t>
      </w:r>
      <w:r>
        <w:rPr>
          <w:rFonts w:hint="eastAsia" w:ascii="仿宋" w:hAnsi="仿宋" w:eastAsia="仿宋" w:cs="宋体"/>
          <w:color w:val="000000" w:themeColor="text1"/>
          <w:kern w:val="0"/>
          <w:sz w:val="24"/>
          <w:highlight w:val="none"/>
          <w14:textFill>
            <w14:solidFill>
              <w14:schemeClr w14:val="tx1"/>
            </w14:solidFill>
          </w14:textFill>
        </w:rPr>
        <w:t>供应商拒绝延长的，其</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响应失效。</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.响应文件的式样、密封和标记</w:t>
      </w:r>
    </w:p>
    <w:p>
      <w:pPr>
        <w:widowControl/>
        <w:spacing w:line="360" w:lineRule="auto"/>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1</w:t>
      </w:r>
      <w:r>
        <w:rPr>
          <w:rFonts w:hint="eastAsia" w:ascii="仿宋" w:hAnsi="仿宋" w:eastAsia="仿宋" w:cs="宋体"/>
          <w:color w:val="000000" w:themeColor="text1"/>
          <w:sz w:val="24"/>
          <w:highlight w:val="none"/>
          <w:lang w:val="en-US" w:eastAsia="zh-CN"/>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.1供应商应当编制一份响应文件“正本”和</w:t>
      </w:r>
      <w:r>
        <w:rPr>
          <w:rFonts w:hint="eastAsia" w:ascii="仿宋" w:hAnsi="仿宋" w:eastAsia="仿宋" w:cs="宋体"/>
          <w:color w:val="000000" w:themeColor="text1"/>
          <w:sz w:val="24"/>
          <w:highlight w:val="none"/>
          <w:u w:val="single"/>
          <w14:textFill>
            <w14:solidFill>
              <w14:schemeClr w14:val="tx1"/>
            </w14:solidFill>
          </w14:textFill>
        </w:rPr>
        <w:t>本须知前附表</w:t>
      </w:r>
      <w:r>
        <w:rPr>
          <w:rFonts w:hint="eastAsia" w:ascii="仿宋" w:hAnsi="仿宋" w:eastAsia="仿宋" w:cs="宋体"/>
          <w:color w:val="000000" w:themeColor="text1"/>
          <w:sz w:val="24"/>
          <w:highlight w:val="none"/>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sz w:val="24"/>
          <w:highlight w:val="none"/>
          <w:lang w:eastAsia="zh-Hans"/>
          <w14:textFill>
            <w14:solidFill>
              <w14:schemeClr w14:val="tx1"/>
            </w14:solidFill>
          </w14:textFill>
        </w:rPr>
        <w:t>电子版</w:t>
      </w:r>
      <w:r>
        <w:rPr>
          <w:rFonts w:hint="eastAsia" w:ascii="仿宋" w:hAnsi="仿宋" w:eastAsia="仿宋" w:cs="宋体"/>
          <w:color w:val="000000" w:themeColor="text1"/>
          <w:sz w:val="24"/>
          <w:highlight w:val="none"/>
          <w14:textFill>
            <w14:solidFill>
              <w14:schemeClr w14:val="tx1"/>
            </w14:solidFill>
          </w14:textFill>
        </w:rPr>
        <w:t>文件为准;响应文件正本与副本不一致时，以正本为准</w:t>
      </w:r>
      <w:r>
        <w:rPr>
          <w:rFonts w:hint="eastAsia" w:ascii="仿宋" w:hAnsi="仿宋" w:eastAsia="仿宋" w:cs="宋体"/>
          <w:color w:val="000000" w:themeColor="text1"/>
          <w:sz w:val="24"/>
          <w:highlight w:val="none"/>
          <w:lang w:eastAsia="zh-CN"/>
          <w14:textFill>
            <w14:solidFill>
              <w14:schemeClr w14:val="tx1"/>
            </w14:solidFill>
          </w14:textFill>
        </w:rPr>
        <w:t>。</w:t>
      </w:r>
      <w:r>
        <w:rPr>
          <w:rFonts w:hint="eastAsia" w:ascii="仿宋" w:hAnsi="仿宋" w:eastAsia="仿宋" w:cs="宋体"/>
          <w:color w:val="000000" w:themeColor="text1"/>
          <w:sz w:val="24"/>
          <w:highlight w:val="none"/>
          <w14:textFill>
            <w14:solidFill>
              <w14:schemeClr w14:val="tx1"/>
            </w14:solidFill>
          </w14:textFill>
        </w:rPr>
        <w:t xml:space="preserve"> </w:t>
      </w:r>
    </w:p>
    <w:p>
      <w:pPr>
        <w:widowControl/>
        <w:spacing w:line="360" w:lineRule="auto"/>
        <w:rPr>
          <w:rFonts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1</w:t>
      </w:r>
      <w:r>
        <w:rPr>
          <w:rFonts w:hint="eastAsia" w:ascii="仿宋" w:hAnsi="仿宋" w:eastAsia="仿宋" w:cs="宋体"/>
          <w:color w:val="000000" w:themeColor="text1"/>
          <w:sz w:val="24"/>
          <w:highlight w:val="none"/>
          <w:lang w:val="en-US" w:eastAsia="zh-CN"/>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.2每份纸质文件响应文件的正本、副本应当分别装订，并于封面上明确标明“正本”“副本”字样。具体要求</w:t>
      </w:r>
      <w:r>
        <w:rPr>
          <w:rFonts w:hint="eastAsia" w:ascii="仿宋" w:hAnsi="仿宋" w:eastAsia="仿宋" w:cs="宋体"/>
          <w:color w:val="000000" w:themeColor="text1"/>
          <w:sz w:val="24"/>
          <w:highlight w:val="none"/>
          <w:u w:val="single"/>
          <w14:textFill>
            <w14:solidFill>
              <w14:schemeClr w14:val="tx1"/>
            </w14:solidFill>
          </w14:textFill>
        </w:rPr>
        <w:t>见本须知前附表</w:t>
      </w:r>
      <w:r>
        <w:rPr>
          <w:rFonts w:hint="eastAsia" w:ascii="仿宋" w:hAnsi="仿宋" w:eastAsia="仿宋" w:cs="宋体"/>
          <w:color w:val="000000" w:themeColor="text1"/>
          <w:sz w:val="24"/>
          <w:highlight w:val="none"/>
          <w14:textFill>
            <w14:solidFill>
              <w14:schemeClr w14:val="tx1"/>
            </w14:solidFill>
          </w14:textFill>
        </w:rPr>
        <w:t>。</w:t>
      </w:r>
    </w:p>
    <w:p>
      <w:pPr>
        <w:widowControl/>
        <w:spacing w:line="360" w:lineRule="auto"/>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1</w:t>
      </w:r>
      <w:r>
        <w:rPr>
          <w:rFonts w:hint="eastAsia" w:ascii="仿宋" w:hAnsi="仿宋" w:eastAsia="仿宋" w:cs="宋体"/>
          <w:color w:val="000000" w:themeColor="text1"/>
          <w:sz w:val="24"/>
          <w:highlight w:val="none"/>
          <w:lang w:val="en-US" w:eastAsia="zh-CN"/>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w:t>
      </w:r>
      <w:r>
        <w:rPr>
          <w:rFonts w:ascii="仿宋" w:hAnsi="仿宋" w:eastAsia="仿宋" w:cs="宋体"/>
          <w:color w:val="000000" w:themeColor="text1"/>
          <w:sz w:val="24"/>
          <w:highlight w:val="none"/>
          <w14:textFill>
            <w14:solidFill>
              <w14:schemeClr w14:val="tx1"/>
            </w14:solidFill>
          </w14:textFill>
        </w:rPr>
        <w:t>3</w:t>
      </w:r>
      <w:r>
        <w:rPr>
          <w:rFonts w:hint="eastAsia" w:ascii="仿宋" w:hAnsi="仿宋" w:eastAsia="仿宋" w:cs="宋体"/>
          <w:color w:val="000000" w:themeColor="text1"/>
          <w:sz w:val="24"/>
          <w:highlight w:val="none"/>
          <w14:textFill>
            <w14:solidFill>
              <w14:schemeClr w14:val="tx1"/>
            </w14:solidFill>
          </w14:textFill>
        </w:rPr>
        <w:t>对于</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文件中提及的原件或复印件要求，照片件、扫描件、影印件、截图件等与其具有同等效力（</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文件有特殊要求的除外）。</w:t>
      </w:r>
    </w:p>
    <w:p>
      <w:pPr>
        <w:pStyle w:val="2"/>
        <w:spacing w:line="360" w:lineRule="auto"/>
        <w:jc w:val="left"/>
        <w:rPr>
          <w:rStyle w:val="89"/>
          <w:rFonts w:hint="default"/>
          <w:color w:val="000000" w:themeColor="text1"/>
          <w:highlight w:val="none"/>
          <w14:textFill>
            <w14:solidFill>
              <w14:schemeClr w14:val="tx1"/>
            </w14:solidFill>
          </w14:textFill>
        </w:rPr>
      </w:pPr>
    </w:p>
    <w:p>
      <w:pPr>
        <w:pStyle w:val="5"/>
        <w:spacing w:after="0" w:line="360" w:lineRule="auto"/>
        <w:ind w:firstLine="482"/>
        <w:rPr>
          <w:rFonts w:hint="eastAsia" w:ascii="仿宋" w:hAnsi="仿宋" w:eastAsia="仿宋" w:cs="仿宋"/>
          <w:color w:val="000000" w:themeColor="text1"/>
          <w:sz w:val="24"/>
          <w:szCs w:val="24"/>
          <w:highlight w:val="none"/>
          <w14:textFill>
            <w14:solidFill>
              <w14:schemeClr w14:val="tx1"/>
            </w14:solidFill>
          </w14:textFill>
        </w:rPr>
      </w:pPr>
      <w:bookmarkStart w:id="73" w:name="_Toc444891340"/>
      <w:bookmarkStart w:id="74" w:name="_Toc287600122"/>
      <w:bookmarkStart w:id="75" w:name="_Toc21600"/>
      <w:bookmarkStart w:id="76" w:name="_Toc18673"/>
      <w:bookmarkStart w:id="77" w:name="_Toc4155"/>
      <w:bookmarkStart w:id="78" w:name="_Toc19783317"/>
      <w:bookmarkStart w:id="79" w:name="_Toc517281820"/>
      <w:bookmarkStart w:id="80" w:name="_Toc7129"/>
      <w:bookmarkStart w:id="81" w:name="_Toc14726"/>
      <w:bookmarkStart w:id="82" w:name="_Toc17865"/>
      <w:r>
        <w:rPr>
          <w:rFonts w:hint="eastAsia" w:ascii="仿宋" w:hAnsi="仿宋" w:eastAsia="仿宋" w:cs="仿宋"/>
          <w:color w:val="000000" w:themeColor="text1"/>
          <w:sz w:val="24"/>
          <w:szCs w:val="24"/>
          <w:highlight w:val="none"/>
          <w14:textFill>
            <w14:solidFill>
              <w14:schemeClr w14:val="tx1"/>
            </w14:solidFill>
          </w14:textFill>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sz w:val="24"/>
          <w:szCs w:val="24"/>
          <w:highlight w:val="none"/>
          <w14:textFill>
            <w14:solidFill>
              <w14:schemeClr w14:val="tx1"/>
            </w14:solidFill>
          </w14:textFill>
        </w:rPr>
        <w:t>递交</w:t>
      </w:r>
      <w:bookmarkEnd w:id="82"/>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.响应文件的递交</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.1供应商应按</w:t>
      </w:r>
      <w:r>
        <w:rPr>
          <w:rFonts w:hint="eastAsia" w:ascii="仿宋" w:hAnsi="仿宋" w:eastAsia="仿宋" w:cs="仿宋"/>
          <w:color w:val="000000" w:themeColor="text1"/>
          <w:sz w:val="24"/>
          <w:highlight w:val="none"/>
          <w:u w:val="single"/>
          <w14:textFill>
            <w14:solidFill>
              <w14:schemeClr w14:val="tx1"/>
            </w14:solidFill>
          </w14:textFill>
        </w:rPr>
        <w:t>本须知前附表</w:t>
      </w:r>
      <w:r>
        <w:rPr>
          <w:rFonts w:hint="eastAsia" w:ascii="仿宋" w:hAnsi="仿宋" w:eastAsia="仿宋" w:cs="仿宋"/>
          <w:color w:val="000000" w:themeColor="text1"/>
          <w:sz w:val="24"/>
          <w:highlight w:val="none"/>
          <w14:textFill>
            <w14:solidFill>
              <w14:schemeClr w14:val="tx1"/>
            </w14:solidFill>
          </w14:textFill>
        </w:rPr>
        <w:t>规定的时间、方式递交响应文件。</w:t>
      </w:r>
    </w:p>
    <w:p>
      <w:pPr>
        <w:spacing w:line="360" w:lineRule="auto"/>
        <w:jc w:val="left"/>
        <w:rPr>
          <w:rFonts w:hint="eastAsia" w:ascii="仿宋" w:hAnsi="仿宋" w:eastAsia="仿宋" w:cs="宋体"/>
          <w:b/>
          <w:bCs/>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15.2出现下列情形之一时，</w:t>
      </w:r>
      <w:r>
        <w:rPr>
          <w:rFonts w:hint="eastAsia" w:ascii="仿宋" w:hAnsi="仿宋" w:eastAsia="仿宋" w:cs="宋体"/>
          <w:b/>
          <w:bCs/>
          <w:color w:val="000000" w:themeColor="text1"/>
          <w:sz w:val="24"/>
          <w:highlight w:val="none"/>
          <w14:textFill>
            <w14:solidFill>
              <w14:schemeClr w14:val="tx1"/>
            </w14:solidFill>
          </w14:textFill>
        </w:rPr>
        <w:t>响应文件不予接收或已经递交的响应文件无效；</w:t>
      </w:r>
    </w:p>
    <w:p>
      <w:pPr>
        <w:spacing w:line="360" w:lineRule="auto"/>
        <w:jc w:val="left"/>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（1）电子响应文件逾期递交的；</w:t>
      </w:r>
    </w:p>
    <w:p>
      <w:pPr>
        <w:spacing w:line="360" w:lineRule="auto"/>
        <w:jc w:val="left"/>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（2）纸质响应文件逾期递交或者未送达指定地点或者未按照</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文件要求封装的；</w:t>
      </w:r>
    </w:p>
    <w:p>
      <w:pPr>
        <w:spacing w:line="360" w:lineRule="auto"/>
        <w:jc w:val="left"/>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（3）未通过资格预审的申请供应商递交的；</w:t>
      </w:r>
      <w:r>
        <w:rPr>
          <w:rFonts w:hint="eastAsia" w:ascii="仿宋" w:hAnsi="仿宋" w:eastAsia="仿宋" w:cs="宋体"/>
          <w:i/>
          <w:color w:val="000000" w:themeColor="text1"/>
          <w:sz w:val="24"/>
          <w:highlight w:val="none"/>
          <w14:textFill>
            <w14:solidFill>
              <w14:schemeClr w14:val="tx1"/>
            </w14:solidFill>
          </w14:textFill>
        </w:rPr>
        <w:t>（资格预审项目适用）</w:t>
      </w:r>
    </w:p>
    <w:p>
      <w:pPr>
        <w:spacing w:line="360" w:lineRule="auto"/>
        <w:jc w:val="left"/>
        <w:rPr>
          <w:rFonts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（4）未按</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公告或者响应公告书要求获得本项目</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文件的。</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.响应文件的修改、撤回和撤销</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16</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宋体"/>
          <w:color w:val="000000" w:themeColor="text1"/>
          <w:spacing w:val="-4"/>
          <w:kern w:val="0"/>
          <w:sz w:val="24"/>
          <w:highlight w:val="none"/>
          <w14:textFill>
            <w14:solidFill>
              <w14:schemeClr w14:val="tx1"/>
            </w14:solidFill>
          </w14:textFill>
        </w:rPr>
        <w:t>在</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w:t>
      </w:r>
      <w:r>
        <w:rPr>
          <w:rFonts w:hint="eastAsia" w:ascii="仿宋" w:hAnsi="仿宋" w:eastAsia="仿宋" w:cs="宋体"/>
          <w:color w:val="000000" w:themeColor="text1"/>
          <w:spacing w:val="-4"/>
          <w:kern w:val="0"/>
          <w:sz w:val="24"/>
          <w:highlight w:val="none"/>
          <w14:textFill>
            <w14:solidFill>
              <w14:schemeClr w14:val="tx1"/>
            </w14:solidFill>
          </w14:textFill>
        </w:rPr>
        <w:t>规定的</w:t>
      </w:r>
      <w:r>
        <w:rPr>
          <w:rFonts w:hint="eastAsia" w:ascii="仿宋" w:hAnsi="仿宋" w:eastAsia="仿宋" w:cs="仿宋"/>
          <w:color w:val="000000" w:themeColor="text1"/>
          <w:sz w:val="24"/>
          <w:highlight w:val="none"/>
          <w14:textFill>
            <w14:solidFill>
              <w14:schemeClr w14:val="tx1"/>
            </w14:solidFill>
          </w14:textFill>
        </w:rPr>
        <w:t>响应文件</w:t>
      </w:r>
      <w:r>
        <w:rPr>
          <w:rFonts w:hint="eastAsia" w:ascii="仿宋" w:hAnsi="仿宋" w:eastAsia="仿宋" w:cs="宋体"/>
          <w:color w:val="000000" w:themeColor="text1"/>
          <w:spacing w:val="-4"/>
          <w:kern w:val="0"/>
          <w:sz w:val="24"/>
          <w:highlight w:val="none"/>
          <w14:textFill>
            <w14:solidFill>
              <w14:schemeClr w14:val="tx1"/>
            </w14:solidFill>
          </w14:textFill>
        </w:rPr>
        <w:t>递交截止时间前，</w:t>
      </w:r>
      <w:r>
        <w:rPr>
          <w:rFonts w:hint="eastAsia" w:ascii="仿宋" w:hAnsi="仿宋" w:eastAsia="仿宋" w:cs="宋体"/>
          <w:color w:val="000000" w:themeColor="text1"/>
          <w:kern w:val="0"/>
          <w:sz w:val="24"/>
          <w:highlight w:val="none"/>
          <w14:textFill>
            <w14:solidFill>
              <w14:schemeClr w14:val="tx1"/>
            </w14:solidFill>
          </w14:textFill>
        </w:rPr>
        <w:t>可以补充、修改或撤回已提交的响应文件。</w:t>
      </w:r>
      <w:r>
        <w:rPr>
          <w:rFonts w:ascii="仿宋" w:hAnsi="仿宋" w:eastAsia="仿宋" w:cs="宋体"/>
          <w:color w:val="000000" w:themeColor="text1"/>
          <w:kern w:val="0"/>
          <w:sz w:val="24"/>
          <w:highlight w:val="none"/>
          <w14:textFill>
            <w14:solidFill>
              <w14:schemeClr w14:val="tx1"/>
            </w14:solidFill>
          </w14:textFill>
        </w:rPr>
        <w:t>补充、修改的内容为</w:t>
      </w:r>
      <w:r>
        <w:rPr>
          <w:rFonts w:hint="eastAsia" w:ascii="仿宋" w:hAnsi="仿宋" w:eastAsia="仿宋" w:cs="宋体"/>
          <w:color w:val="000000" w:themeColor="text1"/>
          <w:kern w:val="0"/>
          <w:sz w:val="24"/>
          <w:highlight w:val="none"/>
          <w14:textFill>
            <w14:solidFill>
              <w14:schemeClr w14:val="tx1"/>
            </w14:solidFill>
          </w14:textFill>
        </w:rPr>
        <w:t>响应</w:t>
      </w:r>
      <w:r>
        <w:rPr>
          <w:rFonts w:ascii="仿宋" w:hAnsi="仿宋" w:eastAsia="仿宋" w:cs="宋体"/>
          <w:color w:val="000000" w:themeColor="text1"/>
          <w:kern w:val="0"/>
          <w:sz w:val="24"/>
          <w:highlight w:val="none"/>
          <w14:textFill>
            <w14:solidFill>
              <w14:schemeClr w14:val="tx1"/>
            </w14:solidFill>
          </w14:textFill>
        </w:rPr>
        <w:t>文件的组成部分</w:t>
      </w:r>
      <w:r>
        <w:rPr>
          <w:rFonts w:hint="eastAsia" w:ascii="仿宋" w:hAnsi="仿宋" w:eastAsia="仿宋" w:cs="宋体"/>
          <w:color w:val="000000" w:themeColor="text1"/>
          <w:kern w:val="0"/>
          <w:sz w:val="24"/>
          <w:highlight w:val="none"/>
          <w14:textFill>
            <w14:solidFill>
              <w14:schemeClr w14:val="tx1"/>
            </w14:solidFill>
          </w14:textFill>
        </w:rPr>
        <w:t>，应当在响应文件递交截止时间前按照</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文件的规定进行递交。</w:t>
      </w:r>
    </w:p>
    <w:p>
      <w:pPr>
        <w:pStyle w:val="2"/>
        <w:spacing w:line="360" w:lineRule="auto"/>
        <w:jc w:val="left"/>
        <w:rPr>
          <w:rFonts w:hint="eastAsia"/>
          <w:color w:val="000000" w:themeColor="text1"/>
          <w:highlight w:val="none"/>
          <w14:textFill>
            <w14:solidFill>
              <w14:schemeClr w14:val="tx1"/>
            </w14:solidFill>
          </w14:textFill>
        </w:rPr>
      </w:pPr>
      <w:bookmarkStart w:id="83" w:name="_Toc334766948"/>
      <w:bookmarkStart w:id="84" w:name="_Toc246996202"/>
      <w:bookmarkStart w:id="85" w:name="_Toc144974526"/>
      <w:bookmarkStart w:id="86" w:name="_Toc152045558"/>
      <w:bookmarkStart w:id="87" w:name="_Toc247085716"/>
      <w:bookmarkStart w:id="88" w:name="_Toc332188194"/>
      <w:bookmarkStart w:id="89" w:name="_Toc152042334"/>
      <w:bookmarkStart w:id="90" w:name="_Toc246996945"/>
      <w:bookmarkStart w:id="91" w:name="_Toc326223561"/>
      <w:bookmarkStart w:id="92" w:name="_Toc179632576"/>
      <w:r>
        <w:rPr>
          <w:rFonts w:ascii="仿宋" w:hAnsi="仿宋" w:eastAsia="仿宋" w:cs="仿宋"/>
          <w:color w:val="000000" w:themeColor="text1"/>
          <w:sz w:val="24"/>
          <w:highlight w:val="none"/>
          <w14:textFill>
            <w14:solidFill>
              <w14:schemeClr w14:val="tx1"/>
            </w14:solidFill>
          </w14:textFill>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宋体"/>
          <w:color w:val="000000" w:themeColor="text1"/>
          <w:kern w:val="0"/>
          <w:sz w:val="24"/>
          <w:highlight w:val="none"/>
          <w14:textFill>
            <w14:solidFill>
              <w14:schemeClr w14:val="tx1"/>
            </w14:solidFill>
          </w14:textFill>
        </w:rPr>
        <w:t>响应文件递交截止时间后，供应商在响应有效期内撤销其响应文件，</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保证金不予退还。</w:t>
      </w:r>
    </w:p>
    <w:p>
      <w:pPr>
        <w:pStyle w:val="5"/>
        <w:spacing w:before="0" w:after="0" w:line="360" w:lineRule="auto"/>
        <w:ind w:firstLine="482"/>
        <w:rPr>
          <w:rFonts w:hint="eastAsia" w:ascii="仿宋" w:hAnsi="仿宋" w:eastAsia="仿宋" w:cs="仿宋"/>
          <w:color w:val="000000" w:themeColor="text1"/>
          <w:sz w:val="24"/>
          <w:szCs w:val="24"/>
          <w:highlight w:val="none"/>
          <w14:textFill>
            <w14:solidFill>
              <w14:schemeClr w14:val="tx1"/>
            </w14:solidFill>
          </w14:textFill>
        </w:rPr>
      </w:pPr>
      <w:bookmarkStart w:id="93" w:name="_Toc287600123"/>
      <w:bookmarkStart w:id="94" w:name="_Toc30466"/>
      <w:bookmarkStart w:id="95" w:name="_Toc2055"/>
      <w:bookmarkStart w:id="96" w:name="_Toc444891341"/>
      <w:bookmarkStart w:id="97" w:name="_Toc11361"/>
      <w:bookmarkStart w:id="98" w:name="_Toc517281821"/>
      <w:bookmarkStart w:id="99" w:name="_Toc20741"/>
      <w:bookmarkStart w:id="100" w:name="_Toc12797"/>
      <w:bookmarkStart w:id="101" w:name="_Toc2636"/>
      <w:r>
        <w:rPr>
          <w:rFonts w:hint="eastAsia" w:ascii="仿宋" w:hAnsi="仿宋" w:eastAsia="仿宋" w:cs="仿宋"/>
          <w:color w:val="000000" w:themeColor="text1"/>
          <w:sz w:val="24"/>
          <w:szCs w:val="24"/>
          <w:highlight w:val="none"/>
          <w14:textFill>
            <w14:solidFill>
              <w14:schemeClr w14:val="tx1"/>
            </w14:solidFill>
          </w14:textFill>
        </w:rPr>
        <w:t>（五）</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bookmarkStart w:id="102" w:name="_Toc234223229"/>
      <w:bookmarkStart w:id="103" w:name="_Toc234223227"/>
      <w:r>
        <w:rPr>
          <w:rFonts w:ascii="仿宋" w:hAnsi="仿宋" w:eastAsia="仿宋" w:cs="仿宋"/>
          <w:color w:val="000000" w:themeColor="text1"/>
          <w:sz w:val="24"/>
          <w:szCs w:val="24"/>
          <w:highlight w:val="none"/>
          <w14:textFill>
            <w14:solidFill>
              <w14:schemeClr w14:val="tx1"/>
            </w14:solidFill>
          </w14:textFill>
        </w:rPr>
        <w:t>17</w:t>
      </w:r>
      <w:r>
        <w:rPr>
          <w:rFonts w:hint="eastAsia" w:ascii="仿宋" w:hAnsi="仿宋" w:eastAsia="仿宋" w:cs="仿宋"/>
          <w:color w:val="000000" w:themeColor="text1"/>
          <w:sz w:val="24"/>
          <w:szCs w:val="24"/>
          <w:highlight w:val="none"/>
          <w14:textFill>
            <w14:solidFill>
              <w14:schemeClr w14:val="tx1"/>
            </w14:solidFill>
          </w14:textFill>
        </w:rPr>
        <w:t>.组建</w:t>
      </w:r>
      <w:bookmarkEnd w:id="102"/>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小组</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7.1</w:t>
      </w:r>
      <w:r>
        <w:rPr>
          <w:rFonts w:hint="eastAsia" w:ascii="仿宋" w:hAnsi="仿宋" w:eastAsia="仿宋" w:cs="宋体"/>
          <w:color w:val="000000" w:themeColor="text1"/>
          <w:kern w:val="0"/>
          <w:sz w:val="24"/>
          <w:highlight w:val="none"/>
          <w14:textFill>
            <w14:solidFill>
              <w14:schemeClr w14:val="tx1"/>
            </w14:solidFill>
          </w14:textFill>
        </w:rPr>
        <w:t>采购人依照企业采购管理制度的相关规定组建</w:t>
      </w:r>
      <w:r>
        <w:rPr>
          <w:rFonts w:hint="eastAsia" w:ascii="仿宋" w:hAnsi="仿宋" w:eastAsia="仿宋" w:cs="宋体"/>
          <w:color w:val="000000" w:themeColor="text1"/>
          <w:kern w:val="0"/>
          <w:sz w:val="24"/>
          <w:highlight w:val="none"/>
          <w:lang w:val="en-US" w:eastAsia="zh-CN"/>
          <w14:textFill>
            <w14:solidFill>
              <w14:schemeClr w14:val="tx1"/>
            </w14:solidFill>
          </w14:textFill>
        </w:rPr>
        <w:t>5</w:t>
      </w:r>
      <w:r>
        <w:rPr>
          <w:rFonts w:hint="eastAsia" w:ascii="仿宋" w:hAnsi="仿宋" w:eastAsia="仿宋" w:cs="宋体"/>
          <w:color w:val="000000" w:themeColor="text1"/>
          <w:kern w:val="0"/>
          <w:sz w:val="24"/>
          <w:highlight w:val="none"/>
          <w14:textFill>
            <w14:solidFill>
              <w14:schemeClr w14:val="tx1"/>
            </w14:solidFill>
          </w14:textFill>
        </w:rPr>
        <w:t>人及以上单数的</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小组，具体人数</w:t>
      </w:r>
      <w:r>
        <w:rPr>
          <w:rFonts w:hint="eastAsia" w:ascii="仿宋" w:hAnsi="仿宋" w:eastAsia="仿宋" w:cs="仿宋"/>
          <w:color w:val="000000" w:themeColor="text1"/>
          <w:sz w:val="24"/>
          <w:highlight w:val="none"/>
          <w14:textFill>
            <w14:solidFill>
              <w14:schemeClr w14:val="tx1"/>
            </w14:solidFill>
          </w14:textFill>
        </w:rPr>
        <w:t>见</w:t>
      </w:r>
      <w:r>
        <w:rPr>
          <w:rFonts w:hint="eastAsia" w:ascii="仿宋" w:hAnsi="仿宋" w:eastAsia="仿宋" w:cs="仿宋"/>
          <w:color w:val="000000" w:themeColor="text1"/>
          <w:sz w:val="24"/>
          <w:highlight w:val="none"/>
          <w:u w:val="single"/>
          <w14:textFill>
            <w14:solidFill>
              <w14:schemeClr w14:val="tx1"/>
            </w14:solidFill>
          </w14:textFill>
        </w:rPr>
        <w:t>本须知前附表</w:t>
      </w:r>
      <w:r>
        <w:rPr>
          <w:rFonts w:hint="eastAsia" w:ascii="仿宋" w:hAnsi="仿宋" w:eastAsia="仿宋" w:cs="宋体"/>
          <w:color w:val="000000" w:themeColor="text1"/>
          <w:kern w:val="0"/>
          <w:sz w:val="24"/>
          <w:highlight w:val="none"/>
          <w14:textFill>
            <w14:solidFill>
              <w14:schemeClr w14:val="tx1"/>
            </w14:solidFill>
          </w14:textFill>
        </w:rPr>
        <w:t>，</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小组成员名单在成交结果确定前保密。</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7.2</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小组成员应当按照客观、公正、审慎的原则，根据</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文件规定的评审程序、评审方法和评审标准进行独立评审。</w:t>
      </w:r>
    </w:p>
    <w:p>
      <w:pPr>
        <w:pStyle w:val="6"/>
        <w:spacing w:before="0" w:after="0" w:line="360" w:lineRule="auto"/>
        <w:jc w:val="left"/>
        <w:rPr>
          <w:rFonts w:ascii="仿宋" w:hAnsi="仿宋" w:eastAsia="仿宋" w:cs="仿宋"/>
          <w:color w:val="000000" w:themeColor="text1"/>
          <w:sz w:val="24"/>
          <w:szCs w:val="24"/>
          <w:highlight w:val="none"/>
          <w14:textFill>
            <w14:solidFill>
              <w14:schemeClr w14:val="tx1"/>
            </w14:solidFill>
          </w14:textFill>
        </w:rPr>
      </w:pPr>
      <w:bookmarkStart w:id="104" w:name="_Toc234223228"/>
      <w:r>
        <w:rPr>
          <w:rFonts w:ascii="仿宋" w:hAnsi="仿宋" w:eastAsia="仿宋" w:cs="仿宋"/>
          <w:color w:val="000000" w:themeColor="text1"/>
          <w:sz w:val="24"/>
          <w:szCs w:val="24"/>
          <w:highlight w:val="none"/>
          <w14:textFill>
            <w14:solidFill>
              <w14:schemeClr w14:val="tx1"/>
            </w14:solidFill>
          </w14:textFill>
        </w:rPr>
        <w:t>18</w:t>
      </w:r>
      <w:r>
        <w:rPr>
          <w:rFonts w:hint="eastAsia" w:ascii="仿宋" w:hAnsi="仿宋" w:eastAsia="仿宋" w:cs="仿宋"/>
          <w:color w:val="000000" w:themeColor="text1"/>
          <w:sz w:val="24"/>
          <w:szCs w:val="24"/>
          <w:highlight w:val="none"/>
          <w14:textFill>
            <w14:solidFill>
              <w14:schemeClr w14:val="tx1"/>
            </w14:solidFill>
          </w14:textFill>
        </w:rPr>
        <w:t>.初步评审</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8.1</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小组按照第三章</w:t>
      </w:r>
      <w:r>
        <w:rPr>
          <w:rFonts w:hint="eastAsia" w:ascii="仿宋" w:hAnsi="仿宋" w:eastAsia="仿宋" w:cs="宋体"/>
          <w:color w:val="000000" w:themeColor="text1"/>
          <w:kern w:val="0"/>
          <w:sz w:val="24"/>
          <w14:textFill>
            <w14:solidFill>
              <w14:schemeClr w14:val="tx1"/>
            </w14:solidFill>
          </w14:textFill>
        </w:rPr>
        <w:t>评审办法中初步评审的内容及要求</w:t>
      </w:r>
      <w:r>
        <w:rPr>
          <w:rFonts w:hint="eastAsia" w:ascii="仿宋" w:hAnsi="仿宋" w:eastAsia="仿宋" w:cs="宋体"/>
          <w:color w:val="000000" w:themeColor="text1"/>
          <w:kern w:val="0"/>
          <w:sz w:val="24"/>
          <w:highlight w:val="none"/>
          <w14:textFill>
            <w14:solidFill>
              <w14:schemeClr w14:val="tx1"/>
            </w14:solidFill>
          </w14:textFill>
        </w:rPr>
        <w:t>，对响应文件进行初步评审。通过初步评审的供应商进入</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环节，未通过初步评审的供应商，其</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响应将被否决，不进入</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、详细评审等后续环节。</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w:t>
      </w:r>
      <w:r>
        <w:rPr>
          <w:rFonts w:ascii="仿宋" w:hAnsi="仿宋" w:eastAsia="仿宋" w:cs="宋体"/>
          <w:color w:val="000000" w:themeColor="text1"/>
          <w:kern w:val="0"/>
          <w:sz w:val="24"/>
          <w:highlight w:val="none"/>
          <w14:textFill>
            <w14:solidFill>
              <w14:schemeClr w14:val="tx1"/>
            </w14:solidFill>
          </w14:textFill>
        </w:rPr>
        <w:t>8.2</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18</w:t>
      </w:r>
      <w:r>
        <w:rPr>
          <w:rFonts w:ascii="仿宋" w:hAnsi="仿宋" w:eastAsia="仿宋" w:cs="宋体"/>
          <w:color w:val="000000" w:themeColor="text1"/>
          <w:kern w:val="0"/>
          <w:sz w:val="24"/>
          <w:highlight w:val="none"/>
          <w14:textFill>
            <w14:solidFill>
              <w14:schemeClr w14:val="tx1"/>
            </w14:solidFill>
          </w14:textFill>
        </w:rPr>
        <w:t>.3</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小组对供应商递交的澄清、说明或补正有疑问的，可以要求供应商进一步澄清、说明或者补正，直至满足</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小组的要求。拒不按要求进行澄清、说明或者补正的供应商</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eastAsia="zh-CN"/>
          <w14:textFill>
            <w14:solidFill>
              <w14:schemeClr w14:val="tx1"/>
            </w14:solidFill>
          </w14:textFill>
        </w:rPr>
        <w:t>比选</w:t>
      </w:r>
      <w:r>
        <w:rPr>
          <w:rFonts w:hint="eastAsia" w:ascii="仿宋" w:hAnsi="仿宋" w:eastAsia="仿宋" w:cs="仿宋"/>
          <w:b/>
          <w:bCs/>
          <w:color w:val="000000" w:themeColor="text1"/>
          <w:sz w:val="24"/>
          <w:highlight w:val="none"/>
          <w14:textFill>
            <w14:solidFill>
              <w14:schemeClr w14:val="tx1"/>
            </w14:solidFill>
          </w14:textFill>
        </w:rPr>
        <w:t>小组有权对其响应做否决处理。</w:t>
      </w:r>
    </w:p>
    <w:p>
      <w:pPr>
        <w:widowControl/>
        <w:topLinePunct/>
        <w:spacing w:line="360" w:lineRule="auto"/>
        <w:rPr>
          <w:rFonts w:hint="eastAsia"/>
          <w:color w:val="000000" w:themeColor="text1"/>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18</w:t>
      </w:r>
      <w:r>
        <w:rPr>
          <w:rFonts w:ascii="仿宋" w:hAnsi="仿宋" w:eastAsia="仿宋" w:cs="宋体"/>
          <w:color w:val="000000" w:themeColor="text1"/>
          <w:kern w:val="0"/>
          <w:sz w:val="24"/>
          <w:highlight w:val="none"/>
          <w14:textFill>
            <w14:solidFill>
              <w14:schemeClr w14:val="tx1"/>
            </w14:solidFill>
          </w14:textFill>
        </w:rPr>
        <w:t>.4</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小组必要时可以要求供应商提交有关证明和证件的原件，以便核验。拒不按要求提供原件的供应商，</w:t>
      </w:r>
      <w:r>
        <w:rPr>
          <w:rFonts w:hint="eastAsia" w:ascii="仿宋" w:hAnsi="仿宋" w:eastAsia="仿宋" w:cs="仿宋"/>
          <w:b/>
          <w:bCs/>
          <w:color w:val="000000" w:themeColor="text1"/>
          <w:sz w:val="24"/>
          <w:highlight w:val="none"/>
          <w:lang w:eastAsia="zh-CN"/>
          <w14:textFill>
            <w14:solidFill>
              <w14:schemeClr w14:val="tx1"/>
            </w14:solidFill>
          </w14:textFill>
        </w:rPr>
        <w:t>比选</w:t>
      </w:r>
      <w:r>
        <w:rPr>
          <w:rFonts w:hint="eastAsia" w:ascii="仿宋" w:hAnsi="仿宋" w:eastAsia="仿宋" w:cs="仿宋"/>
          <w:b/>
          <w:bCs/>
          <w:color w:val="000000" w:themeColor="text1"/>
          <w:sz w:val="24"/>
          <w:highlight w:val="none"/>
          <w14:textFill>
            <w14:solidFill>
              <w14:schemeClr w14:val="tx1"/>
            </w14:solidFill>
          </w14:textFill>
        </w:rPr>
        <w:t>小组有权对其响应做否决处理。</w:t>
      </w:r>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程序</w:t>
      </w:r>
    </w:p>
    <w:p>
      <w:pPr>
        <w:spacing w:line="360" w:lineRule="auto"/>
        <w:jc w:val="left"/>
        <w:rPr>
          <w:rFonts w:ascii="仿宋" w:hAnsi="仿宋" w:eastAsia="仿宋" w:cs="仿宋"/>
          <w:color w:val="000000" w:themeColor="text1"/>
          <w:sz w:val="24"/>
          <w:highlight w:val="none"/>
          <w:u w:val="singl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19</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小组所有成员应当集中与通过初步评审的单一供应商分别进行</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，并给予所有参加</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的供应商平等的</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机会。供应商</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顺序、</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形式以及其他要求等</w:t>
      </w:r>
      <w:r>
        <w:rPr>
          <w:rFonts w:hint="eastAsia" w:ascii="仿宋" w:hAnsi="仿宋" w:eastAsia="仿宋" w:cs="仿宋"/>
          <w:color w:val="000000" w:themeColor="text1"/>
          <w:sz w:val="24"/>
          <w:highlight w:val="none"/>
          <w:u w:val="single"/>
          <w14:textFill>
            <w14:solidFill>
              <w14:schemeClr w14:val="tx1"/>
            </w14:solidFill>
          </w14:textFill>
        </w:rPr>
        <w:t>详见本须知前附表。</w:t>
      </w:r>
    </w:p>
    <w:p>
      <w:pPr>
        <w:spacing w:line="360" w:lineRule="auto"/>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19.2</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小组与供应商就</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文件中的价格、商务内容、技术内容或有待供应商进一步明确的内容等进行一对一</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，并要求实质性响应的供应商提交最终报价。具体</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内容详见</w:t>
      </w:r>
      <w:r>
        <w:rPr>
          <w:rFonts w:hint="eastAsia" w:ascii="仿宋" w:hAnsi="仿宋" w:eastAsia="仿宋" w:cs="仿宋"/>
          <w:color w:val="000000" w:themeColor="text1"/>
          <w:sz w:val="24"/>
          <w:highlight w:val="none"/>
          <w:u w:val="single"/>
          <w14:textFill>
            <w14:solidFill>
              <w14:schemeClr w14:val="tx1"/>
            </w14:solidFill>
          </w14:textFill>
        </w:rPr>
        <w:t>本须知前附表</w:t>
      </w:r>
      <w:r>
        <w:rPr>
          <w:rFonts w:hint="eastAsia" w:ascii="仿宋" w:hAnsi="仿宋" w:eastAsia="仿宋" w:cs="仿宋"/>
          <w:color w:val="000000" w:themeColor="text1"/>
          <w:sz w:val="24"/>
          <w:highlight w:val="none"/>
          <w14:textFill>
            <w14:solidFill>
              <w14:schemeClr w14:val="tx1"/>
            </w14:solidFill>
          </w14:textFill>
        </w:rPr>
        <w:t>。</w:t>
      </w:r>
    </w:p>
    <w:p>
      <w:pPr>
        <w:spacing w:line="360" w:lineRule="auto"/>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19.3</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小组可视情况要求供应商进行多轮</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及报价。</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中，任何一方不得向第三方透露与</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有关的任何信息。</w:t>
      </w:r>
    </w:p>
    <w:bookmarkEnd w:id="104"/>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19.4各轮报价有算术错误的，</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小组按照以下原则对报价进行修正，修正的价格经供应商书面确认后具有约束力。供应商不接受或不确认修正后价格的，</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w:t>
      </w:r>
      <w:r>
        <w:rPr>
          <w:rFonts w:hint="eastAsia" w:ascii="仿宋" w:hAnsi="仿宋" w:eastAsia="仿宋" w:cs="仿宋"/>
          <w:b/>
          <w:bCs/>
          <w:color w:val="000000" w:themeColor="text1"/>
          <w:sz w:val="24"/>
          <w:highlight w:val="none"/>
          <w14:textFill>
            <w14:solidFill>
              <w14:schemeClr w14:val="tx1"/>
            </w14:solidFill>
          </w14:textFill>
        </w:rPr>
        <w:t>应当否决其响应</w:t>
      </w:r>
      <w:r>
        <w:rPr>
          <w:rFonts w:hint="eastAsia" w:ascii="仿宋" w:hAnsi="仿宋" w:eastAsia="仿宋" w:cs="仿宋"/>
          <w:color w:val="000000" w:themeColor="text1"/>
          <w:sz w:val="24"/>
          <w:highlight w:val="none"/>
          <w14:textFill>
            <w14:solidFill>
              <w14:schemeClr w14:val="tx1"/>
            </w14:solidFill>
          </w14:textFill>
        </w:rPr>
        <w:t>。</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（1）大写金额与小写金额不一致的，以大写金额为准；</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（2）总价金额与根据单价计算出的结果不一致的，以单价金额为准修正总价，但单价金额小数点有明显错误的除外。</w:t>
      </w:r>
    </w:p>
    <w:bookmarkEnd w:id="103"/>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14:textFill>
            <w14:solidFill>
              <w14:schemeClr w14:val="tx1"/>
            </w14:solidFill>
          </w14:textFill>
        </w:rPr>
        <w:t>.详细评审</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小组采用综合评分法对提交最终报价的供应商的响应文件及其最终报价进行综合评分。综合评分法，是指响应文件满足</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文件全部实质性要求且按评审因素的量化指标评审得分最高的供应商为成交候选人的评审方法。</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文件中没有规定的评审标准不得作为评审依据。</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.2发生以下情形之一的，原则上做终止采购处理：</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（1）出现影响采购公正的违法、违规行为的；</w:t>
      </w:r>
    </w:p>
    <w:p>
      <w:pPr>
        <w:spacing w:line="360" w:lineRule="auto"/>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（2）成交候选人报价超过预算金额，采购需求方无法解决的；</w:t>
      </w:r>
    </w:p>
    <w:p>
      <w:pPr>
        <w:spacing w:line="360" w:lineRule="auto"/>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（3）成交人为</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家的项目，有效供应商少于2家（含本数）；成交人为N家（N＞</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）的项目，有效供应商少于N</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 xml:space="preserve">家（含本数）。 </w:t>
      </w:r>
    </w:p>
    <w:p>
      <w:pPr>
        <w:widowControl/>
        <w:topLinePunct/>
        <w:spacing w:line="360" w:lineRule="auto"/>
        <w:rPr>
          <w:rFonts w:hint="eastAsia"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w:t>
      </w:r>
      <w:r>
        <w:rPr>
          <w:rFonts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成交候选人推荐原则</w:t>
      </w:r>
      <w:r>
        <w:rPr>
          <w:rFonts w:hint="eastAsia" w:ascii="仿宋" w:hAnsi="仿宋" w:eastAsia="仿宋" w:cs="仿宋"/>
          <w:color w:val="000000" w:themeColor="text1"/>
          <w:sz w:val="24"/>
          <w:highlight w:val="none"/>
          <w:u w:val="single"/>
          <w14:textFill>
            <w14:solidFill>
              <w14:schemeClr w14:val="tx1"/>
            </w14:solidFill>
          </w14:textFill>
        </w:rPr>
        <w:t>详见本须知前附表</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宋体"/>
          <w:color w:val="000000" w:themeColor="text1"/>
          <w:kern w:val="0"/>
          <w:sz w:val="24"/>
          <w:highlight w:val="none"/>
          <w14:textFill>
            <w14:solidFill>
              <w14:schemeClr w14:val="tx1"/>
            </w14:solidFill>
          </w14:textFill>
        </w:rPr>
        <w:t>成交候选人的经营、财务状况发生较大变化或者存在违法行为，采购人认为可能影响其履约能力的，应当在发出成交通知书前由原</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小组会按照</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文件规定的标准和方法审查确认。</w:t>
      </w:r>
    </w:p>
    <w:p>
      <w:pPr>
        <w:pStyle w:val="5"/>
        <w:numPr>
          <w:ilvl w:val="5"/>
          <w:numId w:val="0"/>
        </w:numPr>
        <w:spacing w:before="0"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105" w:name="_Toc16781"/>
      <w:bookmarkStart w:id="106" w:name="_Toc28031"/>
      <w:bookmarkStart w:id="107" w:name="_Toc234223231"/>
      <w:bookmarkStart w:id="108" w:name="_Toc517281822"/>
      <w:bookmarkStart w:id="109" w:name="_Toc2322"/>
      <w:bookmarkStart w:id="110" w:name="_Toc19451"/>
      <w:bookmarkStart w:id="111" w:name="_Toc13936"/>
      <w:bookmarkStart w:id="112" w:name="_Toc444891342"/>
      <w:bookmarkStart w:id="113" w:name="_Toc287600124"/>
      <w:bookmarkStart w:id="114" w:name="_Toc9911"/>
      <w:r>
        <w:rPr>
          <w:rFonts w:hint="eastAsia" w:ascii="仿宋" w:hAnsi="仿宋" w:eastAsia="仿宋" w:cs="仿宋"/>
          <w:color w:val="000000" w:themeColor="text1"/>
          <w:sz w:val="24"/>
          <w:szCs w:val="24"/>
          <w:highlight w:val="none"/>
          <w14:textFill>
            <w14:solidFill>
              <w14:schemeClr w14:val="tx1"/>
            </w14:solidFill>
          </w14:textFill>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000000" w:themeColor="text1"/>
          <w:sz w:val="24"/>
          <w:szCs w:val="24"/>
          <w:highlight w:val="none"/>
          <w14:textFill>
            <w14:solidFill>
              <w14:schemeClr w14:val="tx1"/>
            </w14:solidFill>
          </w14:textFill>
        </w:rPr>
      </w:pPr>
      <w:bookmarkStart w:id="115" w:name="_Toc234223232"/>
      <w:r>
        <w:rPr>
          <w:rFonts w:hint="eastAsia" w:ascii="仿宋" w:hAnsi="仿宋" w:eastAsia="仿宋" w:cs="仿宋"/>
          <w:color w:val="000000" w:themeColor="text1"/>
          <w:sz w:val="24"/>
          <w:szCs w:val="24"/>
          <w:highlight w:val="none"/>
          <w14:textFill>
            <w14:solidFill>
              <w14:schemeClr w14:val="tx1"/>
            </w14:solidFill>
          </w14:textFill>
        </w:rPr>
        <w:t>2</w:t>
      </w:r>
      <w:r>
        <w:rPr>
          <w:rFonts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.确定</w:t>
      </w:r>
      <w:bookmarkEnd w:id="115"/>
      <w:r>
        <w:rPr>
          <w:rFonts w:hint="eastAsia" w:ascii="仿宋" w:hAnsi="仿宋" w:eastAsia="仿宋" w:cs="仿宋"/>
          <w:color w:val="000000" w:themeColor="text1"/>
          <w:sz w:val="24"/>
          <w:szCs w:val="24"/>
          <w:highlight w:val="none"/>
          <w14:textFill>
            <w14:solidFill>
              <w14:schemeClr w14:val="tx1"/>
            </w14:solidFill>
          </w14:textFill>
        </w:rPr>
        <w:t>成交人</w:t>
      </w:r>
    </w:p>
    <w:p>
      <w:pPr>
        <w:spacing w:line="360" w:lineRule="auto"/>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21.1</w:t>
      </w:r>
      <w:r>
        <w:rPr>
          <w:rFonts w:hint="eastAsia" w:ascii="仿宋" w:hAnsi="仿宋" w:eastAsia="仿宋" w:cs="仿宋"/>
          <w:color w:val="000000" w:themeColor="text1"/>
          <w:sz w:val="24"/>
          <w:highlight w:val="none"/>
          <w14:textFill>
            <w14:solidFill>
              <w14:schemeClr w14:val="tx1"/>
            </w14:solidFill>
          </w14:textFill>
        </w:rPr>
        <w:t>采购人依据</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小组推荐的成交候选人名单确定成交人，成交人数量</w:t>
      </w:r>
      <w:r>
        <w:rPr>
          <w:rFonts w:hint="eastAsia" w:ascii="仿宋" w:hAnsi="仿宋" w:eastAsia="仿宋" w:cs="仿宋"/>
          <w:color w:val="000000" w:themeColor="text1"/>
          <w:sz w:val="24"/>
          <w:highlight w:val="none"/>
          <w:u w:val="single"/>
          <w14:textFill>
            <w14:solidFill>
              <w14:schemeClr w14:val="tx1"/>
            </w14:solidFill>
          </w14:textFill>
        </w:rPr>
        <w:t>见本须知前附表</w:t>
      </w:r>
      <w:r>
        <w:rPr>
          <w:rFonts w:hint="eastAsia" w:ascii="仿宋" w:hAnsi="仿宋" w:eastAsia="仿宋" w:cs="仿宋"/>
          <w:color w:val="000000" w:themeColor="text1"/>
          <w:sz w:val="24"/>
          <w:highlight w:val="none"/>
          <w14:textFill>
            <w14:solidFill>
              <w14:schemeClr w14:val="tx1"/>
            </w14:solidFill>
          </w14:textFill>
        </w:rPr>
        <w:t>。</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21.</w:t>
      </w:r>
      <w:r>
        <w:rPr>
          <w:rFonts w:hint="eastAsia" w:ascii="仿宋" w:hAnsi="仿宋" w:eastAsia="仿宋" w:cs="宋体"/>
          <w:color w:val="000000" w:themeColor="text1"/>
          <w:kern w:val="0"/>
          <w:sz w:val="24"/>
          <w:highlight w:val="none"/>
          <w:lang w:val="en-US" w:eastAsia="zh-CN"/>
          <w14:textFill>
            <w14:solidFill>
              <w14:schemeClr w14:val="tx1"/>
            </w14:solidFill>
          </w14:textFill>
        </w:rPr>
        <w:t>2</w:t>
      </w:r>
      <w:r>
        <w:rPr>
          <w:rFonts w:hint="eastAsia" w:ascii="仿宋" w:hAnsi="仿宋" w:eastAsia="仿宋" w:cs="宋体"/>
          <w:color w:val="000000" w:themeColor="text1"/>
          <w:kern w:val="0"/>
          <w:sz w:val="24"/>
          <w:highlight w:val="none"/>
          <w14:textFill>
            <w14:solidFill>
              <w14:schemeClr w14:val="tx1"/>
            </w14:solidFill>
          </w14:textFill>
        </w:rPr>
        <w:t>成交人确定后，采购人应当向成交人发出成交通知书，同时将成交结果通知所有未成交的供应商。成交通知书对采购人和成交人</w:t>
      </w:r>
      <w:r>
        <w:rPr>
          <w:rFonts w:hint="eastAsia" w:ascii="仿宋" w:hAnsi="仿宋" w:eastAsia="仿宋" w:cs="宋体"/>
          <w:color w:val="000000" w:themeColor="text1"/>
          <w:kern w:val="0"/>
          <w:sz w:val="24"/>
          <w:highlight w:val="none"/>
          <w:lang w:val="en-US" w:eastAsia="zh-CN"/>
          <w14:textFill>
            <w14:solidFill>
              <w14:schemeClr w14:val="tx1"/>
            </w14:solidFill>
          </w14:textFill>
        </w:rPr>
        <w:t>均</w:t>
      </w:r>
      <w:r>
        <w:rPr>
          <w:rFonts w:hint="eastAsia" w:ascii="仿宋" w:hAnsi="仿宋" w:eastAsia="仿宋" w:cs="宋体"/>
          <w:color w:val="000000" w:themeColor="text1"/>
          <w:kern w:val="0"/>
          <w:sz w:val="24"/>
          <w:highlight w:val="none"/>
          <w14:textFill>
            <w14:solidFill>
              <w14:schemeClr w14:val="tx1"/>
            </w14:solidFill>
          </w14:textFill>
        </w:rPr>
        <w:t>具有法律效力。成交人收到成交通知书后放弃成交的，应当承担法律责任。</w:t>
      </w:r>
    </w:p>
    <w:p>
      <w:pPr>
        <w:pStyle w:val="6"/>
        <w:spacing w:before="0" w:after="0" w:line="360" w:lineRule="auto"/>
        <w:jc w:val="left"/>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签订合同</w:t>
      </w:r>
    </w:p>
    <w:p>
      <w:pPr>
        <w:widowControl/>
        <w:topLinePunct/>
        <w:spacing w:line="360" w:lineRule="auto"/>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ascii="仿宋" w:hAnsi="仿宋" w:eastAsia="仿宋" w:cs="仿宋"/>
          <w:color w:val="000000" w:themeColor="text1"/>
          <w:sz w:val="24"/>
          <w:highlight w:val="none"/>
          <w14:textFill>
            <w14:solidFill>
              <w14:schemeClr w14:val="tx1"/>
            </w14:solidFill>
          </w14:textFill>
        </w:rPr>
        <w:t>2.1</w:t>
      </w:r>
      <w:r>
        <w:rPr>
          <w:rFonts w:hint="eastAsia" w:ascii="仿宋" w:hAnsi="仿宋" w:eastAsia="仿宋" w:cs="仿宋"/>
          <w:color w:val="000000" w:themeColor="text1"/>
          <w:sz w:val="24"/>
          <w:highlight w:val="none"/>
          <w14:textFill>
            <w14:solidFill>
              <w14:schemeClr w14:val="tx1"/>
            </w14:solidFill>
          </w14:textFill>
        </w:rPr>
        <w:t>采购人与成交人按照</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文件和成交人的响应文件</w:t>
      </w:r>
      <w:r>
        <w:rPr>
          <w:rFonts w:hint="eastAsia" w:ascii="仿宋" w:hAnsi="仿宋" w:eastAsia="仿宋" w:cs="宋体"/>
          <w:color w:val="000000" w:themeColor="text1"/>
          <w:kern w:val="0"/>
          <w:sz w:val="24"/>
          <w:highlight w:val="none"/>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文件和</w:t>
      </w:r>
      <w:r>
        <w:rPr>
          <w:rFonts w:hint="eastAsia" w:ascii="仿宋" w:hAnsi="仿宋" w:eastAsia="仿宋" w:cs="仿宋"/>
          <w:color w:val="000000" w:themeColor="text1"/>
          <w:sz w:val="24"/>
          <w:highlight w:val="none"/>
          <w14:textFill>
            <w14:solidFill>
              <w14:schemeClr w14:val="tx1"/>
            </w14:solidFill>
          </w14:textFill>
        </w:rPr>
        <w:t>成交</w:t>
      </w:r>
      <w:r>
        <w:rPr>
          <w:rFonts w:hint="eastAsia" w:ascii="仿宋" w:hAnsi="仿宋" w:eastAsia="仿宋" w:cs="宋体"/>
          <w:color w:val="000000" w:themeColor="text1"/>
          <w:kern w:val="0"/>
          <w:sz w:val="24"/>
          <w:highlight w:val="none"/>
          <w14:textFill>
            <w14:solidFill>
              <w14:schemeClr w14:val="tx1"/>
            </w14:solidFill>
          </w14:textFill>
        </w:rPr>
        <w:t>人的</w:t>
      </w:r>
      <w:r>
        <w:rPr>
          <w:rFonts w:hint="eastAsia" w:ascii="仿宋" w:hAnsi="仿宋" w:eastAsia="仿宋" w:cs="仿宋"/>
          <w:color w:val="000000" w:themeColor="text1"/>
          <w:sz w:val="24"/>
          <w:highlight w:val="none"/>
          <w14:textFill>
            <w14:solidFill>
              <w14:schemeClr w14:val="tx1"/>
            </w14:solidFill>
          </w14:textFill>
        </w:rPr>
        <w:t>响应</w:t>
      </w:r>
      <w:r>
        <w:rPr>
          <w:rFonts w:hint="eastAsia" w:ascii="仿宋" w:hAnsi="仿宋" w:eastAsia="仿宋" w:cs="宋体"/>
          <w:color w:val="000000" w:themeColor="text1"/>
          <w:kern w:val="0"/>
          <w:sz w:val="24"/>
          <w:highlight w:val="none"/>
          <w14:textFill>
            <w14:solidFill>
              <w14:schemeClr w14:val="tx1"/>
            </w14:solidFill>
          </w14:textFill>
        </w:rPr>
        <w:t>文件的内容一致。</w:t>
      </w:r>
    </w:p>
    <w:p>
      <w:pPr>
        <w:widowControl/>
        <w:topLinePunct/>
        <w:spacing w:line="360" w:lineRule="auto"/>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ascii="仿宋" w:hAnsi="仿宋" w:eastAsia="仿宋" w:cs="仿宋"/>
          <w:color w:val="000000" w:themeColor="text1"/>
          <w:sz w:val="24"/>
          <w:highlight w:val="none"/>
          <w14:textFill>
            <w14:solidFill>
              <w14:schemeClr w14:val="tx1"/>
            </w14:solidFill>
          </w14:textFill>
        </w:rPr>
        <w:t>2.2</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宋体"/>
          <w:color w:val="000000" w:themeColor="text1"/>
          <w:kern w:val="0"/>
          <w:sz w:val="24"/>
          <w:highlight w:val="none"/>
          <w14:textFill>
            <w14:solidFill>
              <w14:schemeClr w14:val="tx1"/>
            </w14:solidFill>
          </w14:textFill>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ascii="仿宋" w:hAnsi="仿宋" w:eastAsia="仿宋" w:cs="宋体"/>
          <w:color w:val="000000" w:themeColor="text1"/>
          <w:kern w:val="0"/>
          <w:sz w:val="24"/>
          <w:highlight w:val="none"/>
          <w14:textFill>
            <w14:solidFill>
              <w14:schemeClr w14:val="tx1"/>
            </w14:solidFill>
          </w14:textFill>
        </w:rPr>
        <w:t>22.3</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文件要求成交人提交履约保证金的，成交人应当按照</w:t>
      </w:r>
      <w:r>
        <w:rPr>
          <w:rFonts w:hint="eastAsia" w:ascii="仿宋" w:hAnsi="仿宋" w:eastAsia="仿宋" w:cs="宋体"/>
          <w:color w:val="000000" w:themeColor="text1"/>
          <w:kern w:val="0"/>
          <w:sz w:val="24"/>
          <w:highlight w:val="none"/>
          <w:u w:val="single"/>
          <w14:textFill>
            <w14:solidFill>
              <w14:schemeClr w14:val="tx1"/>
            </w14:solidFill>
          </w14:textFill>
        </w:rPr>
        <w:t>本须知前附表</w:t>
      </w:r>
      <w:r>
        <w:rPr>
          <w:rFonts w:hint="eastAsia" w:ascii="仿宋" w:hAnsi="仿宋" w:eastAsia="仿宋" w:cs="宋体"/>
          <w:color w:val="000000" w:themeColor="text1"/>
          <w:kern w:val="0"/>
          <w:sz w:val="24"/>
          <w:highlight w:val="none"/>
          <w14:textFill>
            <w14:solidFill>
              <w14:schemeClr w14:val="tx1"/>
            </w14:solidFill>
          </w14:textFill>
        </w:rPr>
        <w:t>要求的金额和方式递交。成交人如不按要求提交履约保证金，将取消其成交资格，</w:t>
      </w:r>
      <w:r>
        <w:rPr>
          <w:rFonts w:hint="eastAsia" w:ascii="仿宋" w:hAnsi="仿宋" w:eastAsia="仿宋" w:cs="宋体"/>
          <w:color w:val="000000" w:themeColor="text1"/>
          <w:kern w:val="0"/>
          <w:sz w:val="24"/>
          <w:highlight w:val="none"/>
          <w:lang w:eastAsia="zh-CN"/>
          <w14:textFill>
            <w14:solidFill>
              <w14:schemeClr w14:val="tx1"/>
            </w14:solidFill>
          </w14:textFill>
        </w:rPr>
        <w:t>比选</w:t>
      </w:r>
      <w:r>
        <w:rPr>
          <w:rFonts w:hint="eastAsia" w:ascii="仿宋" w:hAnsi="仿宋" w:eastAsia="仿宋" w:cs="宋体"/>
          <w:color w:val="000000" w:themeColor="text1"/>
          <w:kern w:val="0"/>
          <w:sz w:val="24"/>
          <w:highlight w:val="none"/>
          <w14:textFill>
            <w14:solidFill>
              <w14:schemeClr w14:val="tx1"/>
            </w14:solidFill>
          </w14:textFill>
        </w:rPr>
        <w:t>保证金不予退还。</w:t>
      </w:r>
    </w:p>
    <w:p>
      <w:pPr>
        <w:widowControl/>
        <w:topLinePunct/>
        <w:spacing w:line="360" w:lineRule="auto"/>
        <w:rPr>
          <w:rFonts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22.4成交供应商</w:t>
      </w:r>
      <w:r>
        <w:rPr>
          <w:rFonts w:ascii="仿宋" w:hAnsi="仿宋" w:eastAsia="仿宋" w:cs="宋体"/>
          <w:color w:val="000000" w:themeColor="text1"/>
          <w:kern w:val="0"/>
          <w:sz w:val="24"/>
          <w:highlight w:val="none"/>
          <w14:textFill>
            <w14:solidFill>
              <w14:schemeClr w14:val="tx1"/>
            </w14:solidFill>
          </w14:textFill>
        </w:rPr>
        <w:t>不履行与</w:t>
      </w:r>
      <w:r>
        <w:rPr>
          <w:rFonts w:hint="eastAsia" w:ascii="仿宋" w:hAnsi="仿宋" w:eastAsia="仿宋" w:cs="宋体"/>
          <w:color w:val="000000" w:themeColor="text1"/>
          <w:kern w:val="0"/>
          <w:sz w:val="24"/>
          <w:highlight w:val="none"/>
          <w14:textFill>
            <w14:solidFill>
              <w14:schemeClr w14:val="tx1"/>
            </w14:solidFill>
          </w14:textFill>
        </w:rPr>
        <w:t>采购</w:t>
      </w:r>
      <w:r>
        <w:rPr>
          <w:rFonts w:ascii="仿宋" w:hAnsi="仿宋" w:eastAsia="仿宋" w:cs="宋体"/>
          <w:color w:val="000000" w:themeColor="text1"/>
          <w:kern w:val="0"/>
          <w:sz w:val="24"/>
          <w:highlight w:val="none"/>
          <w14:textFill>
            <w14:solidFill>
              <w14:schemeClr w14:val="tx1"/>
            </w14:solidFill>
          </w14:textFill>
        </w:rPr>
        <w:t>人订立的合同的，</w:t>
      </w:r>
      <w:r>
        <w:rPr>
          <w:rFonts w:hint="eastAsia" w:ascii="仿宋" w:hAnsi="仿宋" w:eastAsia="仿宋" w:cs="宋体"/>
          <w:color w:val="000000" w:themeColor="text1"/>
          <w:kern w:val="0"/>
          <w:sz w:val="24"/>
          <w:highlight w:val="none"/>
          <w14:textFill>
            <w14:solidFill>
              <w14:schemeClr w14:val="tx1"/>
            </w14:solidFill>
          </w14:textFill>
        </w:rPr>
        <w:t>履约</w:t>
      </w:r>
      <w:r>
        <w:rPr>
          <w:rFonts w:ascii="仿宋" w:hAnsi="仿宋" w:eastAsia="仿宋" w:cs="宋体"/>
          <w:color w:val="000000" w:themeColor="text1"/>
          <w:kern w:val="0"/>
          <w:sz w:val="24"/>
          <w:highlight w:val="none"/>
          <w14:textFill>
            <w14:solidFill>
              <w14:schemeClr w14:val="tx1"/>
            </w14:solidFill>
          </w14:textFill>
        </w:rPr>
        <w:t>保证金不予退还，给</w:t>
      </w:r>
      <w:r>
        <w:rPr>
          <w:rFonts w:hint="eastAsia" w:ascii="仿宋" w:hAnsi="仿宋" w:eastAsia="仿宋" w:cs="宋体"/>
          <w:color w:val="000000" w:themeColor="text1"/>
          <w:kern w:val="0"/>
          <w:sz w:val="24"/>
          <w:highlight w:val="none"/>
          <w14:textFill>
            <w14:solidFill>
              <w14:schemeClr w14:val="tx1"/>
            </w14:solidFill>
          </w14:textFill>
        </w:rPr>
        <w:t>采购</w:t>
      </w:r>
      <w:r>
        <w:rPr>
          <w:rFonts w:ascii="仿宋" w:hAnsi="仿宋" w:eastAsia="仿宋" w:cs="宋体"/>
          <w:color w:val="000000" w:themeColor="text1"/>
          <w:kern w:val="0"/>
          <w:sz w:val="24"/>
          <w:highlight w:val="none"/>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kern w:val="0"/>
          <w:sz w:val="24"/>
          <w:highlight w:val="none"/>
          <w14:textFill>
            <w14:solidFill>
              <w14:schemeClr w14:val="tx1"/>
            </w14:solidFill>
          </w14:textFill>
        </w:rPr>
        <w:t>采购</w:t>
      </w:r>
      <w:r>
        <w:rPr>
          <w:rFonts w:ascii="仿宋" w:hAnsi="仿宋" w:eastAsia="仿宋" w:cs="宋体"/>
          <w:color w:val="000000" w:themeColor="text1"/>
          <w:kern w:val="0"/>
          <w:sz w:val="24"/>
          <w:highlight w:val="none"/>
          <w14:textFill>
            <w14:solidFill>
              <w14:schemeClr w14:val="tx1"/>
            </w14:solidFill>
          </w14:textFill>
        </w:rPr>
        <w:t>人的损失承担赔偿责任。</w:t>
      </w:r>
    </w:p>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16" w:name="_Toc10670"/>
      <w:bookmarkStart w:id="117" w:name="_Toc517281824"/>
      <w:bookmarkStart w:id="118" w:name="_Toc444891343"/>
    </w:p>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p>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pPr>
        <w:pStyle w:val="3"/>
        <w:spacing w:before="0" w:after="0"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第三章 评审办法</w:t>
      </w:r>
      <w:bookmarkEnd w:id="116"/>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19" w:name="_Toc517281825"/>
      <w:bookmarkStart w:id="120" w:name="_Toc7201"/>
      <w:bookmarkStart w:id="121" w:name="_Toc444891344"/>
      <w:bookmarkStart w:id="122" w:name="_Toc227057964"/>
      <w:bookmarkStart w:id="123" w:name="_Toc226969358"/>
      <w:r>
        <w:rPr>
          <w:rFonts w:hint="eastAsia" w:ascii="仿宋" w:hAnsi="仿宋" w:eastAsia="仿宋" w:cs="仿宋"/>
          <w:color w:val="000000" w:themeColor="text1"/>
          <w:sz w:val="24"/>
          <w:szCs w:val="24"/>
          <w:highlight w:val="none"/>
          <w14:textFill>
            <w14:solidFill>
              <w14:schemeClr w14:val="tx1"/>
            </w14:solidFill>
          </w14:textFill>
        </w:rPr>
        <w:t>一、评审程序</w:t>
      </w:r>
      <w:bookmarkEnd w:id="119"/>
      <w:bookmarkEnd w:id="120"/>
      <w:bookmarkEnd w:id="121"/>
    </w:p>
    <w:p>
      <w:pPr>
        <w:spacing w:line="360" w:lineRule="auto"/>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小组</w:t>
      </w:r>
      <w:r>
        <w:rPr>
          <w:rFonts w:hint="eastAsia" w:ascii="仿宋" w:hAnsi="仿宋" w:eastAsia="仿宋" w:cs="仿宋"/>
          <w:color w:val="000000" w:themeColor="text1"/>
          <w:kern w:val="0"/>
          <w:sz w:val="24"/>
          <w:highlight w:val="none"/>
          <w14:textFill>
            <w14:solidFill>
              <w14:schemeClr w14:val="tx1"/>
            </w14:solidFill>
          </w14:textFill>
        </w:rPr>
        <w:t>对响应文件中的相关内容进行评审。评审按照以下程序进行：</w:t>
      </w:r>
    </w:p>
    <w:p>
      <w:pPr>
        <w:spacing w:line="360" w:lineRule="auto"/>
        <w:ind w:firstLine="420" w:firstLineChars="175"/>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highlight w:val="none"/>
          <w14:textFill>
            <w14:solidFill>
              <w14:schemeClr w14:val="tx1"/>
            </w14:solidFill>
          </w14:textFill>
        </w:rPr>
        <w:t>熟悉</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文件；</w:t>
      </w:r>
    </w:p>
    <w:p>
      <w:pPr>
        <w:spacing w:line="360" w:lineRule="auto"/>
        <w:ind w:firstLine="420" w:firstLineChars="175"/>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highlight w:val="none"/>
          <w14:textFill>
            <w14:solidFill>
              <w14:schemeClr w14:val="tx1"/>
            </w14:solidFill>
          </w14:textFill>
        </w:rPr>
        <w:t>对响应文件进行初步评审，检查响应文件是否满足</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文件的初审要求；初步评审中不符合评审标准的，将做否决</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响应处理；</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供应商有以下情形之一的，</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小组应当否决其</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响应：</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（1）按照</w:t>
      </w:r>
      <w:r>
        <w:rPr>
          <w:rFonts w:hint="eastAsia" w:ascii="仿宋" w:hAnsi="仿宋" w:eastAsia="仿宋" w:cs="仿宋"/>
          <w:color w:val="000000" w:themeColor="text1"/>
          <w:kern w:val="0"/>
          <w:sz w:val="24"/>
          <w:highlight w:val="none"/>
          <w:lang w:val="en-US"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公告要求已经递交电子</w:t>
      </w:r>
      <w:r>
        <w:rPr>
          <w:rFonts w:hint="eastAsia" w:ascii="仿宋" w:hAnsi="仿宋" w:eastAsia="仿宋" w:cs="仿宋"/>
          <w:color w:val="000000" w:themeColor="text1"/>
          <w:kern w:val="0"/>
          <w:sz w:val="24"/>
          <w:highlight w:val="none"/>
          <w:lang w:val="en-US" w:eastAsia="zh-CN"/>
          <w14:textFill>
            <w14:solidFill>
              <w14:schemeClr w14:val="tx1"/>
            </w14:solidFill>
          </w14:textFill>
        </w:rPr>
        <w:t>响应</w:t>
      </w:r>
      <w:r>
        <w:rPr>
          <w:rFonts w:hint="eastAsia" w:ascii="仿宋" w:hAnsi="仿宋" w:eastAsia="仿宋" w:cs="仿宋"/>
          <w:color w:val="000000" w:themeColor="text1"/>
          <w:kern w:val="0"/>
          <w:sz w:val="24"/>
          <w:highlight w:val="none"/>
          <w14:textFill>
            <w14:solidFill>
              <w14:schemeClr w14:val="tx1"/>
            </w14:solidFill>
          </w14:textFill>
        </w:rPr>
        <w:t>文件，</w:t>
      </w:r>
      <w:r>
        <w:rPr>
          <w:rFonts w:hint="eastAsia" w:ascii="仿宋" w:hAnsi="仿宋" w:eastAsia="仿宋" w:cs="仿宋"/>
          <w:color w:val="000000" w:themeColor="text1"/>
          <w:kern w:val="0"/>
          <w:sz w:val="24"/>
          <w:highlight w:val="none"/>
          <w:lang w:val="en-US" w:eastAsia="zh-CN"/>
          <w14:textFill>
            <w14:solidFill>
              <w14:schemeClr w14:val="tx1"/>
            </w14:solidFill>
          </w14:textFill>
        </w:rPr>
        <w:t>但</w:t>
      </w:r>
      <w:r>
        <w:rPr>
          <w:rFonts w:hint="eastAsia" w:ascii="仿宋" w:hAnsi="仿宋" w:eastAsia="仿宋" w:cs="仿宋"/>
          <w:color w:val="000000" w:themeColor="text1"/>
          <w:kern w:val="0"/>
          <w:sz w:val="24"/>
          <w:highlight w:val="none"/>
          <w14:textFill>
            <w14:solidFill>
              <w14:schemeClr w14:val="tx1"/>
            </w14:solidFill>
          </w14:textFill>
        </w:rPr>
        <w:t>未按要求递交纸质响应文件；</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（2）响应文件未经供应商盖章和单位负责人签字；</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（3）允许联合体响应的，联合体没有递交共同响应协议；</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（4）不符合国家或者</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文件规定的资格条件；</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（5）同一供应商提交两个以上不同的响应文件或者响应报价，但</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文件要求提交备选文件的除外；</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仿宋"/>
          <w:color w:val="000000" w:themeColor="text1"/>
          <w:kern w:val="0"/>
          <w:sz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highlight w:val="none"/>
          <w:lang w:eastAsia="zh-CN"/>
          <w14:textFill>
            <w14:solidFill>
              <w14:schemeClr w14:val="tx1"/>
            </w14:solidFill>
          </w14:textFill>
        </w:rPr>
        <w:t>）</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最终</w:t>
      </w:r>
      <w:r>
        <w:rPr>
          <w:rFonts w:hint="eastAsia" w:ascii="仿宋" w:hAnsi="仿宋" w:eastAsia="仿宋" w:cs="宋体"/>
          <w:color w:val="000000" w:themeColor="text1"/>
          <w:kern w:val="0"/>
          <w:sz w:val="24"/>
          <w:szCs w:val="24"/>
          <w:highlight w:val="none"/>
          <w14:textFill>
            <w14:solidFill>
              <w14:schemeClr w14:val="tx1"/>
            </w14:solidFill>
          </w14:textFill>
        </w:rPr>
        <w:t>报价低于成本或者高于</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比选</w:t>
      </w:r>
      <w:r>
        <w:rPr>
          <w:rFonts w:hint="eastAsia" w:ascii="仿宋" w:hAnsi="仿宋" w:eastAsia="仿宋" w:cs="宋体"/>
          <w:color w:val="000000" w:themeColor="text1"/>
          <w:kern w:val="0"/>
          <w:sz w:val="24"/>
          <w:szCs w:val="24"/>
          <w:highlight w:val="none"/>
          <w14:textFill>
            <w14:solidFill>
              <w14:schemeClr w14:val="tx1"/>
            </w14:solidFill>
          </w14:textFill>
        </w:rPr>
        <w:t>文件设定的最高投标限价；</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（7）</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响应</w:t>
      </w:r>
      <w:r>
        <w:rPr>
          <w:rFonts w:hint="eastAsia" w:ascii="仿宋" w:hAnsi="仿宋" w:eastAsia="仿宋" w:cs="宋体"/>
          <w:color w:val="000000" w:themeColor="text1"/>
          <w:kern w:val="0"/>
          <w:sz w:val="24"/>
          <w:szCs w:val="24"/>
          <w:highlight w:val="none"/>
          <w14:textFill>
            <w14:solidFill>
              <w14:schemeClr w14:val="tx1"/>
            </w14:solidFill>
          </w14:textFill>
        </w:rPr>
        <w:t>文件未对</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比选</w:t>
      </w:r>
      <w:r>
        <w:rPr>
          <w:rFonts w:hint="eastAsia" w:ascii="仿宋" w:hAnsi="仿宋" w:eastAsia="仿宋" w:cs="宋体"/>
          <w:color w:val="000000" w:themeColor="text1"/>
          <w:kern w:val="0"/>
          <w:sz w:val="24"/>
          <w:szCs w:val="24"/>
          <w:highlight w:val="none"/>
          <w14:textFill>
            <w14:solidFill>
              <w14:schemeClr w14:val="tx1"/>
            </w14:solidFill>
          </w14:textFill>
        </w:rPr>
        <w:t xml:space="preserve">文件的实质性要求和条件作出响应； </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（8）</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供应商</w:t>
      </w:r>
      <w:r>
        <w:rPr>
          <w:rFonts w:hint="eastAsia" w:ascii="仿宋" w:hAnsi="仿宋" w:eastAsia="仿宋" w:cs="宋体"/>
          <w:color w:val="000000" w:themeColor="text1"/>
          <w:kern w:val="0"/>
          <w:sz w:val="24"/>
          <w:szCs w:val="24"/>
          <w:highlight w:val="none"/>
          <w14:textFill>
            <w14:solidFill>
              <w14:schemeClr w14:val="tx1"/>
            </w14:solidFill>
          </w14:textFill>
        </w:rPr>
        <w:t>有串通投标、弄虚作假、行贿等违法行为；</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（9）不接受或不确认因算术性错误进行的价格修正；</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（10）</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响应</w:t>
      </w:r>
      <w:r>
        <w:rPr>
          <w:rFonts w:hint="eastAsia" w:ascii="仿宋" w:hAnsi="仿宋" w:eastAsia="仿宋" w:cs="宋体"/>
          <w:color w:val="000000" w:themeColor="text1"/>
          <w:kern w:val="0"/>
          <w:sz w:val="24"/>
          <w:szCs w:val="24"/>
          <w:highlight w:val="none"/>
          <w14:textFill>
            <w14:solidFill>
              <w14:schemeClr w14:val="tx1"/>
            </w14:solidFill>
          </w14:textFill>
        </w:rPr>
        <w:t>文件附有</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采购</w:t>
      </w:r>
      <w:r>
        <w:rPr>
          <w:rFonts w:hint="eastAsia" w:ascii="仿宋" w:hAnsi="仿宋" w:eastAsia="仿宋" w:cs="宋体"/>
          <w:color w:val="000000" w:themeColor="text1"/>
          <w:kern w:val="0"/>
          <w:sz w:val="24"/>
          <w:szCs w:val="24"/>
          <w:highlight w:val="none"/>
          <w14:textFill>
            <w14:solidFill>
              <w14:schemeClr w14:val="tx1"/>
            </w14:solidFill>
          </w14:textFill>
        </w:rPr>
        <w:t>人不能接受的条件；</w:t>
      </w:r>
    </w:p>
    <w:p>
      <w:pPr>
        <w:spacing w:line="360" w:lineRule="auto"/>
        <w:ind w:firstLine="420" w:firstLineChars="175"/>
        <w:jc w:val="left"/>
        <w:rPr>
          <w:rFonts w:hint="eastAsia" w:ascii="仿宋" w:hAnsi="仿宋" w:eastAsia="仿宋" w:cs="宋体"/>
          <w:color w:val="000000" w:themeColor="text1"/>
          <w:kern w:val="0"/>
          <w:sz w:val="24"/>
          <w:szCs w:val="24"/>
          <w:highlight w:val="none"/>
          <w14:textFill>
            <w14:solidFill>
              <w14:schemeClr w14:val="tx1"/>
            </w14:solidFill>
          </w14:textFill>
        </w:rPr>
      </w:pPr>
      <w:r>
        <w:rPr>
          <w:rFonts w:hint="eastAsia" w:ascii="仿宋" w:hAnsi="仿宋" w:eastAsia="仿宋" w:cs="宋体"/>
          <w:color w:val="000000" w:themeColor="text1"/>
          <w:kern w:val="0"/>
          <w:sz w:val="24"/>
          <w:szCs w:val="24"/>
          <w:highlight w:val="none"/>
          <w14:textFill>
            <w14:solidFill>
              <w14:schemeClr w14:val="tx1"/>
            </w14:solidFill>
          </w14:textFill>
        </w:rPr>
        <w:t>（11）不符合</w:t>
      </w:r>
      <w:r>
        <w:rPr>
          <w:rFonts w:hint="eastAsia" w:ascii="仿宋" w:hAnsi="仿宋" w:eastAsia="仿宋" w:cs="宋体"/>
          <w:color w:val="000000" w:themeColor="text1"/>
          <w:kern w:val="0"/>
          <w:sz w:val="24"/>
          <w:szCs w:val="24"/>
          <w:highlight w:val="none"/>
          <w:lang w:val="en-US" w:eastAsia="zh-CN"/>
          <w14:textFill>
            <w14:solidFill>
              <w14:schemeClr w14:val="tx1"/>
            </w14:solidFill>
          </w14:textFill>
        </w:rPr>
        <w:t>比选</w:t>
      </w:r>
      <w:r>
        <w:rPr>
          <w:rFonts w:hint="eastAsia" w:ascii="仿宋" w:hAnsi="仿宋" w:eastAsia="仿宋" w:cs="宋体"/>
          <w:color w:val="000000" w:themeColor="text1"/>
          <w:kern w:val="0"/>
          <w:sz w:val="24"/>
          <w:szCs w:val="24"/>
          <w:highlight w:val="none"/>
          <w14:textFill>
            <w14:solidFill>
              <w14:schemeClr w14:val="tx1"/>
            </w14:solidFill>
          </w14:textFill>
        </w:rPr>
        <w:t>文件中规定的其他实质性要求。</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4.初步评审</w:t>
      </w:r>
      <w:r>
        <w:rPr>
          <w:rFonts w:hint="eastAsia" w:ascii="仿宋" w:hAnsi="仿宋" w:eastAsia="仿宋" w:cs="仿宋"/>
          <w:color w:val="000000" w:themeColor="text1"/>
          <w:kern w:val="0"/>
          <w:sz w:val="24"/>
          <w:highlight w:val="none"/>
          <w:lang w:val="zh-CN" w:eastAsia="zh-CN"/>
          <w14:textFill>
            <w14:solidFill>
              <w14:schemeClr w14:val="tx1"/>
            </w14:solidFill>
          </w14:textFill>
        </w:rPr>
        <w:t>内容允许在比选过程中按比选小组规定的时间内补充，若未在规定时间内补充则将导致响应无效。</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highlight w:val="none"/>
          <w14:textFill>
            <w14:solidFill>
              <w14:schemeClr w14:val="tx1"/>
            </w14:solidFill>
          </w14:textFill>
        </w:rPr>
        <w:t>通过初步评审的供应商分别进行</w:t>
      </w:r>
      <w:r>
        <w:rPr>
          <w:rFonts w:hint="eastAsia" w:ascii="仿宋" w:hAnsi="仿宋" w:eastAsia="仿宋" w:cs="仿宋"/>
          <w:color w:val="000000" w:themeColor="text1"/>
          <w:kern w:val="0"/>
          <w:sz w:val="24"/>
          <w:highlight w:val="none"/>
          <w:lang w:eastAsia="zh-CN"/>
          <w14:textFill>
            <w14:solidFill>
              <w14:schemeClr w14:val="tx1"/>
            </w14:solidFill>
          </w14:textFill>
        </w:rPr>
        <w:t>比选</w:t>
      </w:r>
      <w:r>
        <w:rPr>
          <w:rFonts w:hint="eastAsia" w:ascii="仿宋" w:hAnsi="仿宋" w:eastAsia="仿宋" w:cs="仿宋"/>
          <w:color w:val="000000" w:themeColor="text1"/>
          <w:kern w:val="0"/>
          <w:sz w:val="24"/>
          <w:highlight w:val="none"/>
          <w14:textFill>
            <w14:solidFill>
              <w14:schemeClr w14:val="tx1"/>
            </w14:solidFill>
          </w14:textFill>
        </w:rPr>
        <w:t>；</w:t>
      </w:r>
    </w:p>
    <w:p>
      <w:pPr>
        <w:spacing w:line="360" w:lineRule="auto"/>
        <w:ind w:firstLine="420" w:firstLineChars="175"/>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highlight w:val="none"/>
          <w14:textFill>
            <w14:solidFill>
              <w14:schemeClr w14:val="tx1"/>
            </w14:solidFill>
          </w14:textFill>
        </w:rPr>
        <w:t>通过初步评审的供应商进行最终报价；</w:t>
      </w:r>
    </w:p>
    <w:p>
      <w:pPr>
        <w:spacing w:line="360" w:lineRule="auto"/>
        <w:ind w:firstLine="420" w:firstLineChars="175"/>
        <w:jc w:val="left"/>
        <w:rPr>
          <w:rFonts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highlight w:val="none"/>
          <w14:textFill>
            <w14:solidFill>
              <w14:schemeClr w14:val="tx1"/>
            </w14:solidFill>
          </w14:textFill>
        </w:rPr>
        <w:t>通过初步评审的响应文件进行详细评审及打分；</w:t>
      </w:r>
    </w:p>
    <w:p>
      <w:pPr>
        <w:spacing w:line="360" w:lineRule="auto"/>
        <w:ind w:firstLine="420" w:firstLineChars="175"/>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8.</w:t>
      </w:r>
      <w:r>
        <w:rPr>
          <w:rFonts w:hint="eastAsia" w:ascii="仿宋" w:hAnsi="仿宋" w:eastAsia="仿宋" w:cs="仿宋"/>
          <w:color w:val="000000" w:themeColor="text1"/>
          <w:kern w:val="0"/>
          <w:sz w:val="24"/>
          <w:highlight w:val="none"/>
          <w14:textFill>
            <w14:solidFill>
              <w14:schemeClr w14:val="tx1"/>
            </w14:solidFill>
          </w14:textFill>
        </w:rPr>
        <w:t>按照综合评分由高到低的次序推荐成交候选人，提交评审报告，评审报告应包含评审情况说明、排名次序、推荐成交候选人名单及其他说明事项。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24" w:name="_Toc444891345"/>
      <w:bookmarkStart w:id="125" w:name="_Toc517281826"/>
      <w:r>
        <w:rPr>
          <w:rFonts w:hint="eastAsia" w:ascii="仿宋" w:hAnsi="仿宋" w:eastAsia="仿宋" w:cs="仿宋"/>
          <w:color w:val="000000" w:themeColor="text1"/>
          <w:sz w:val="24"/>
          <w:szCs w:val="24"/>
          <w:highlight w:val="none"/>
          <w14:textFill>
            <w14:solidFill>
              <w14:schemeClr w14:val="tx1"/>
            </w14:solidFill>
          </w14:textFill>
        </w:rPr>
        <w:br w:type="page"/>
      </w:r>
      <w:bookmarkStart w:id="126" w:name="_Toc32019"/>
      <w:r>
        <w:rPr>
          <w:rFonts w:hint="eastAsia" w:ascii="仿宋" w:hAnsi="仿宋" w:eastAsia="仿宋" w:cs="仿宋"/>
          <w:color w:val="000000" w:themeColor="text1"/>
          <w:sz w:val="24"/>
          <w:szCs w:val="24"/>
          <w:highlight w:val="none"/>
          <w14:textFill>
            <w14:solidFill>
              <w14:schemeClr w14:val="tx1"/>
            </w14:solidFill>
          </w14:textFill>
        </w:rPr>
        <w:t>二、初步评审</w:t>
      </w:r>
      <w:bookmarkEnd w:id="124"/>
      <w:bookmarkEnd w:id="125"/>
      <w:bookmarkEnd w:id="126"/>
    </w:p>
    <w:bookmarkEnd w:id="122"/>
    <w:bookmarkEnd w:id="123"/>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7"/>
        <w:gridCol w:w="1952"/>
        <w:gridCol w:w="606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noWrap w:val="0"/>
            <w:vAlign w:val="center"/>
          </w:tcPr>
          <w:p>
            <w:pPr>
              <w:widowControl/>
              <w:spacing w:line="360" w:lineRule="auto"/>
              <w:jc w:val="center"/>
              <w:rPr>
                <w:rFonts w:hint="eastAsia" w:ascii="仿宋" w:hAnsi="仿宋" w:eastAsia="仿宋" w:cs="仿宋"/>
                <w:b/>
                <w:color w:val="000000" w:themeColor="text1"/>
                <w:kern w:val="0"/>
                <w:szCs w:val="21"/>
                <w:highlight w:val="none"/>
                <w14:textFill>
                  <w14:solidFill>
                    <w14:schemeClr w14:val="tx1"/>
                  </w14:solidFill>
                </w14:textFill>
              </w:rPr>
            </w:pPr>
            <w:bookmarkStart w:id="127" w:name="_Toc4633"/>
            <w:bookmarkStart w:id="128" w:name="_Toc426620345"/>
            <w:bookmarkStart w:id="129" w:name="_Toc444891346"/>
            <w:bookmarkStart w:id="130" w:name="_Toc9003"/>
            <w:bookmarkStart w:id="131" w:name="_Toc13468"/>
            <w:bookmarkStart w:id="132" w:name="_Toc517281827"/>
            <w:r>
              <w:rPr>
                <w:rFonts w:hint="eastAsia" w:ascii="仿宋" w:hAnsi="仿宋" w:eastAsia="仿宋" w:cs="仿宋"/>
                <w:b/>
                <w:color w:val="000000" w:themeColor="text1"/>
                <w:szCs w:val="21"/>
                <w:highlight w:val="none"/>
                <w14:textFill>
                  <w14:solidFill>
                    <w14:schemeClr w14:val="tx1"/>
                  </w14:solidFill>
                </w14:textFill>
              </w:rPr>
              <w:t>序号</w:t>
            </w:r>
          </w:p>
        </w:tc>
        <w:tc>
          <w:tcPr>
            <w:tcW w:w="1167" w:type="dxa"/>
            <w:noWrap w:val="0"/>
            <w:vAlign w:val="top"/>
          </w:tcPr>
          <w:p>
            <w:pPr>
              <w:widowControl/>
              <w:spacing w:before="24" w:after="24" w:line="360" w:lineRule="auto"/>
              <w:jc w:val="center"/>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评审环节</w:t>
            </w:r>
          </w:p>
        </w:tc>
        <w:tc>
          <w:tcPr>
            <w:tcW w:w="1952" w:type="dxa"/>
            <w:noWrap w:val="0"/>
            <w:vAlign w:val="center"/>
          </w:tcPr>
          <w:p>
            <w:pPr>
              <w:widowControl/>
              <w:spacing w:before="24" w:after="24" w:line="360" w:lineRule="auto"/>
              <w:jc w:val="center"/>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评审因素</w:t>
            </w:r>
          </w:p>
        </w:tc>
        <w:tc>
          <w:tcPr>
            <w:tcW w:w="6069" w:type="dxa"/>
            <w:noWrap w:val="0"/>
            <w:vAlign w:val="center"/>
          </w:tcPr>
          <w:p>
            <w:pPr>
              <w:widowControl/>
              <w:spacing w:line="360" w:lineRule="auto"/>
              <w:jc w:val="center"/>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restart"/>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p>
        </w:tc>
        <w:tc>
          <w:tcPr>
            <w:tcW w:w="1167" w:type="dxa"/>
            <w:vMerge w:val="restart"/>
            <w:noWrap w:val="0"/>
            <w:vAlign w:val="center"/>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形式评审标准</w:t>
            </w:r>
          </w:p>
        </w:tc>
        <w:tc>
          <w:tcPr>
            <w:tcW w:w="1952" w:type="dxa"/>
            <w:noWrap w:val="0"/>
            <w:vAlign w:val="center"/>
          </w:tcPr>
          <w:p>
            <w:pPr>
              <w:spacing w:before="24" w:after="24" w:line="276"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供应商名称</w:t>
            </w:r>
          </w:p>
        </w:tc>
        <w:tc>
          <w:tcPr>
            <w:tcW w:w="6069" w:type="dxa"/>
            <w:noWrap w:val="0"/>
            <w:vAlign w:val="center"/>
          </w:tcPr>
          <w:p>
            <w:pPr>
              <w:spacing w:before="24" w:after="24" w:line="276"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top"/>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eastAsia" w:ascii="仿宋" w:hAnsi="仿宋" w:eastAsia="仿宋" w:cs="仿宋"/>
                <w:color w:val="000000" w:themeColor="text1"/>
                <w:spacing w:val="-4"/>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法定代表人（负责人）身份证明</w:t>
            </w:r>
          </w:p>
        </w:tc>
        <w:tc>
          <w:tcPr>
            <w:tcW w:w="6069" w:type="dxa"/>
            <w:noWrap w:val="0"/>
            <w:vAlign w:val="center"/>
          </w:tcPr>
          <w:p>
            <w:pPr>
              <w:pStyle w:val="174"/>
              <w:jc w:val="left"/>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1、提供法定代表人（负责人）身份证复印件。</w:t>
            </w:r>
          </w:p>
          <w:p>
            <w:pPr>
              <w:pStyle w:val="137"/>
              <w:tabs>
                <w:tab w:val="left" w:pos="630"/>
              </w:tabs>
              <w:spacing w:before="62" w:after="62" w:line="276"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top"/>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法定代表人（负责人）授权委托书</w:t>
            </w:r>
          </w:p>
        </w:tc>
        <w:tc>
          <w:tcPr>
            <w:tcW w:w="6069" w:type="dxa"/>
            <w:noWrap w:val="0"/>
            <w:vAlign w:val="center"/>
          </w:tcPr>
          <w:p>
            <w:pPr>
              <w:pStyle w:val="174"/>
              <w:spacing w:line="276"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1、提供委托代理人身份证复印件。</w:t>
            </w:r>
          </w:p>
          <w:p>
            <w:pPr>
              <w:pStyle w:val="174"/>
              <w:spacing w:line="276" w:lineRule="auto"/>
              <w:rPr>
                <w:rFonts w:hint="eastAsia" w:ascii="仿宋" w:hAnsi="仿宋" w:eastAsia="仿宋" w:cs="Cambria Math"/>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t>2、落款</w:t>
            </w:r>
            <w:r>
              <w:rPr>
                <w:rFonts w:hint="eastAsia" w:ascii="仿宋" w:hAnsi="仿宋" w:eastAsia="仿宋" w:cs="仿宋"/>
                <w:bCs/>
                <w:color w:val="000000" w:themeColor="text1"/>
                <w:sz w:val="22"/>
                <w:highlight w:val="none"/>
                <w14:textFill>
                  <w14:solidFill>
                    <w14:schemeClr w14:val="tx1"/>
                  </w14:solidFill>
                </w14:textFill>
              </w:rPr>
              <w:t>加盖公章</w:t>
            </w:r>
            <w:r>
              <w:rPr>
                <w:rFonts w:hint="eastAsia" w:ascii="仿宋" w:hAnsi="仿宋" w:eastAsia="仿宋" w:cs="仿宋"/>
                <w:b/>
                <w:bCs/>
                <w:color w:val="000000" w:themeColor="text1"/>
                <w:sz w:val="22"/>
                <w:highlight w:val="none"/>
                <w14:textFill>
                  <w14:solidFill>
                    <w14:schemeClr w14:val="tx1"/>
                  </w14:solidFill>
                </w14:textFill>
              </w:rPr>
              <w:t>并由</w:t>
            </w:r>
            <w:r>
              <w:rPr>
                <w:rFonts w:hint="eastAsia" w:ascii="仿宋" w:hAnsi="仿宋" w:eastAsia="仿宋" w:cs="仿宋"/>
                <w:color w:val="000000" w:themeColor="text1"/>
                <w:sz w:val="22"/>
                <w:highlight w:val="none"/>
                <w14:textFill>
                  <w14:solidFill>
                    <w14:schemeClr w14:val="tx1"/>
                  </w14:solidFill>
                </w14:textFill>
              </w:rPr>
              <w:t>法定代表人（负责人）签字</w:t>
            </w:r>
            <w:r>
              <w:rPr>
                <w:rFonts w:hint="eastAsia" w:ascii="仿宋" w:hAnsi="仿宋" w:eastAsia="仿宋" w:cs="仿宋"/>
                <w:b/>
                <w:bCs/>
                <w:color w:val="000000" w:themeColor="text1"/>
                <w:sz w:val="22"/>
                <w:highlight w:val="none"/>
                <w14:textFill>
                  <w14:solidFill>
                    <w14:schemeClr w14:val="tx1"/>
                  </w14:solidFill>
                </w14:textFill>
              </w:rPr>
              <w:t>和</w:t>
            </w:r>
            <w:r>
              <w:rPr>
                <w:rFonts w:hint="eastAsia" w:ascii="仿宋" w:hAnsi="仿宋" w:eastAsia="仿宋" w:cs="仿宋"/>
                <w:color w:val="000000" w:themeColor="text1"/>
                <w:sz w:val="22"/>
                <w:highlight w:val="none"/>
                <w14:textFill>
                  <w14:solidFill>
                    <w14:schemeClr w14:val="tx1"/>
                  </w14:solidFill>
                </w14:textFill>
              </w:rPr>
              <w:t>其委托代理人</w:t>
            </w:r>
            <w:r>
              <w:rPr>
                <w:rFonts w:hint="eastAsia" w:ascii="仿宋" w:hAnsi="仿宋" w:eastAsia="仿宋" w:cs="仿宋"/>
                <w:b/>
                <w:bCs/>
                <w:color w:val="000000" w:themeColor="text1"/>
                <w:sz w:val="22"/>
                <w:highlight w:val="none"/>
                <w14:textFill>
                  <w14:solidFill>
                    <w14:schemeClr w14:val="tx1"/>
                  </w14:solidFill>
                </w14:textFill>
              </w:rPr>
              <w:t>双方</w:t>
            </w:r>
            <w:r>
              <w:rPr>
                <w:rFonts w:hint="eastAsia" w:ascii="仿宋" w:hAnsi="仿宋" w:eastAsia="仿宋" w:cs="仿宋"/>
                <w:bCs/>
                <w:color w:val="000000" w:themeColor="text1"/>
                <w:sz w:val="22"/>
                <w:highlight w:val="none"/>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top"/>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响应文件签字或盖章</w:t>
            </w:r>
          </w:p>
        </w:tc>
        <w:tc>
          <w:tcPr>
            <w:tcW w:w="6069" w:type="dxa"/>
            <w:noWrap w:val="0"/>
            <w:vAlign w:val="center"/>
          </w:tcPr>
          <w:p>
            <w:pPr>
              <w:spacing w:before="24" w:after="24"/>
              <w:jc w:val="left"/>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highlight w:val="none"/>
                <w14:textFill>
                  <w14:solidFill>
                    <w14:schemeClr w14:val="tx1"/>
                  </w14:solidFill>
                </w14:textFill>
              </w:rPr>
              <w:t>均需</w:t>
            </w:r>
            <w:r>
              <w:rPr>
                <w:rFonts w:hint="eastAsia" w:ascii="仿宋" w:hAnsi="仿宋" w:eastAsia="仿宋" w:cs="宋体"/>
                <w:color w:val="000000" w:themeColor="text1"/>
                <w:szCs w:val="21"/>
                <w:highlight w:val="none"/>
                <w14:textFill>
                  <w14:solidFill>
                    <w14:schemeClr w14:val="tx1"/>
                  </w14:solidFill>
                </w14:textFill>
              </w:rPr>
              <w:t>加盖公章</w:t>
            </w:r>
            <w:r>
              <w:rPr>
                <w:rFonts w:hint="eastAsia" w:ascii="仿宋" w:hAnsi="仿宋" w:eastAsia="仿宋" w:cs="宋体"/>
                <w:b/>
                <w:color w:val="000000" w:themeColor="text1"/>
                <w:szCs w:val="21"/>
                <w:highlight w:val="none"/>
                <w14:textFill>
                  <w14:solidFill>
                    <w14:schemeClr w14:val="tx1"/>
                  </w14:solidFill>
                </w14:textFill>
              </w:rPr>
              <w:t>或</w:t>
            </w:r>
            <w:r>
              <w:rPr>
                <w:rFonts w:hint="eastAsia" w:ascii="仿宋" w:hAnsi="仿宋" w:eastAsia="仿宋" w:cs="宋体"/>
                <w:color w:val="000000" w:themeColor="text1"/>
                <w:szCs w:val="21"/>
                <w:highlight w:val="none"/>
                <w14:textFill>
                  <w14:solidFill>
                    <w14:schemeClr w14:val="tx1"/>
                  </w14:solidFill>
                </w14:textFill>
              </w:rPr>
              <w:t>由法定代表人（负责人）签字</w:t>
            </w:r>
            <w:r>
              <w:rPr>
                <w:rFonts w:hint="eastAsia" w:ascii="仿宋" w:hAnsi="仿宋" w:eastAsia="仿宋" w:cs="宋体"/>
                <w:b/>
                <w:color w:val="000000" w:themeColor="text1"/>
                <w:szCs w:val="21"/>
                <w:highlight w:val="none"/>
                <w14:textFill>
                  <w14:solidFill>
                    <w14:schemeClr w14:val="tx1"/>
                  </w14:solidFill>
                </w14:textFill>
              </w:rPr>
              <w:t>或</w:t>
            </w:r>
            <w:r>
              <w:rPr>
                <w:rFonts w:hint="eastAsia" w:ascii="仿宋" w:hAnsi="仿宋" w:eastAsia="仿宋" w:cs="宋体"/>
                <w:color w:val="000000" w:themeColor="text1"/>
                <w:szCs w:val="21"/>
                <w:highlight w:val="none"/>
                <w14:textFill>
                  <w14:solidFill>
                    <w14:schemeClr w14:val="tx1"/>
                  </w14:solidFill>
                </w14:textFill>
              </w:rPr>
              <w:t>其委托代理人签字。</w:t>
            </w:r>
          </w:p>
          <w:p>
            <w:pPr>
              <w:pStyle w:val="156"/>
              <w:spacing w:before="62" w:after="62" w:line="276" w:lineRule="auto"/>
              <w:rPr>
                <w:rFonts w:hint="eastAsia"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2、响应文件的所有签字处均指手写签字</w:t>
            </w:r>
            <w:r>
              <w:rPr>
                <w:rFonts w:hint="eastAsia" w:ascii="仿宋" w:hAnsi="仿宋" w:eastAsia="仿宋" w:cs="宋体"/>
                <w:b/>
                <w:color w:val="000000" w:themeColor="text1"/>
                <w:highlight w:val="none"/>
                <w14:textFill>
                  <w14:solidFill>
                    <w14:schemeClr w14:val="tx1"/>
                  </w14:solidFill>
                </w14:textFill>
              </w:rPr>
              <w:t>或</w:t>
            </w:r>
            <w:r>
              <w:rPr>
                <w:rFonts w:hint="eastAsia" w:ascii="仿宋" w:hAnsi="仿宋" w:eastAsia="仿宋" w:cs="宋体"/>
                <w:color w:val="000000" w:themeColor="text1"/>
                <w:highlight w:val="none"/>
                <w14:textFill>
                  <w14:solidFill>
                    <w14:schemeClr w14:val="tx1"/>
                  </w14:solidFill>
                </w14:textFill>
              </w:rPr>
              <w:t>签名章/印章</w:t>
            </w:r>
            <w:r>
              <w:rPr>
                <w:rFonts w:hint="eastAsia" w:ascii="仿宋" w:hAnsi="仿宋" w:eastAsia="仿宋" w:cs="宋体"/>
                <w:b/>
                <w:bCs/>
                <w:color w:val="000000" w:themeColor="text1"/>
                <w:highlight w:val="none"/>
                <w14:textFill>
                  <w14:solidFill>
                    <w14:schemeClr w14:val="tx1"/>
                  </w14:solidFill>
                </w14:textFill>
              </w:rPr>
              <w:t>或</w:t>
            </w:r>
            <w:r>
              <w:rPr>
                <w:rFonts w:hint="eastAsia" w:ascii="仿宋" w:hAnsi="仿宋" w:eastAsia="仿宋" w:cs="宋体"/>
                <w:color w:val="000000" w:themeColor="text1"/>
                <w:highlight w:val="none"/>
                <w14:textFill>
                  <w14:solidFill>
                    <w14:schemeClr w14:val="tx1"/>
                  </w14:solidFill>
                </w14:textFill>
              </w:rPr>
              <w:t>CA签名章，</w:t>
            </w:r>
            <w:r>
              <w:rPr>
                <w:rFonts w:hint="eastAsia" w:ascii="仿宋" w:hAnsi="仿宋" w:eastAsia="仿宋" w:cs="宋体"/>
                <w:b/>
                <w:color w:val="000000" w:themeColor="text1"/>
                <w:highlight w:val="none"/>
                <w14:textFill>
                  <w14:solidFill>
                    <w14:schemeClr w14:val="tx1"/>
                  </w14:solidFill>
                </w14:textFill>
              </w:rPr>
              <w:t>不得</w:t>
            </w:r>
            <w:r>
              <w:rPr>
                <w:rFonts w:hint="eastAsia" w:ascii="仿宋" w:hAnsi="仿宋" w:eastAsia="仿宋" w:cs="宋体"/>
                <w:color w:val="000000" w:themeColor="text1"/>
                <w:highlight w:val="none"/>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restart"/>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p>
        </w:tc>
        <w:tc>
          <w:tcPr>
            <w:tcW w:w="1167" w:type="dxa"/>
            <w:vMerge w:val="restart"/>
            <w:noWrap w:val="0"/>
            <w:vAlign w:val="center"/>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资格评审标准</w:t>
            </w:r>
          </w:p>
        </w:tc>
        <w:tc>
          <w:tcPr>
            <w:tcW w:w="1952" w:type="dxa"/>
            <w:noWrap w:val="0"/>
            <w:vAlign w:val="center"/>
          </w:tcPr>
          <w:p>
            <w:pPr>
              <w:spacing w:before="24" w:after="24" w:line="276"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营业执照</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符合第一章“</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公告”</w:t>
            </w:r>
            <w:r>
              <w:rPr>
                <w:rFonts w:hint="eastAsia" w:ascii="仿宋" w:hAnsi="仿宋" w:eastAsia="仿宋" w:cs="Cambria Math"/>
                <w:color w:val="000000" w:themeColor="text1"/>
                <w:szCs w:val="21"/>
                <w:highlight w:val="none"/>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center"/>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95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无违法违规记录</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符合第一章“</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公告”</w:t>
            </w:r>
            <w:r>
              <w:rPr>
                <w:rFonts w:hint="eastAsia" w:ascii="仿宋" w:hAnsi="仿宋" w:eastAsia="仿宋" w:cs="Cambria Math"/>
                <w:color w:val="000000" w:themeColor="text1"/>
                <w:szCs w:val="21"/>
                <w:highlight w:val="none"/>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center"/>
          </w:tcPr>
          <w:p>
            <w:pPr>
              <w:spacing w:before="24" w:after="24"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952"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Monaco"/>
                <w:color w:val="000000" w:themeColor="text1"/>
                <w:szCs w:val="21"/>
                <w:highlight w:val="none"/>
                <w14:textFill>
                  <w14:solidFill>
                    <w14:schemeClr w14:val="tx1"/>
                  </w14:solidFill>
                </w14:textFill>
              </w:rPr>
              <w:t>未被列入黑名单</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符合第一章“</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公告”</w:t>
            </w:r>
            <w:r>
              <w:rPr>
                <w:rFonts w:hint="eastAsia" w:ascii="仿宋" w:hAnsi="仿宋" w:eastAsia="仿宋" w:cs="Cambria Math"/>
                <w:color w:val="000000" w:themeColor="text1"/>
                <w:szCs w:val="21"/>
                <w:highlight w:val="none"/>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restart"/>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t>3</w:t>
            </w:r>
          </w:p>
        </w:tc>
        <w:tc>
          <w:tcPr>
            <w:tcW w:w="1167" w:type="dxa"/>
            <w:vMerge w:val="restart"/>
            <w:noWrap w:val="0"/>
            <w:vAlign w:val="center"/>
          </w:tcPr>
          <w:p>
            <w:pPr>
              <w:spacing w:before="24" w:after="24"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响应性评审标准</w:t>
            </w:r>
          </w:p>
        </w:tc>
        <w:tc>
          <w:tcPr>
            <w:tcW w:w="1952" w:type="dxa"/>
            <w:noWrap w:val="0"/>
            <w:vAlign w:val="center"/>
          </w:tcPr>
          <w:p>
            <w:pPr>
              <w:spacing w:before="24" w:after="24" w:line="276"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响应函</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olor w:val="000000" w:themeColor="text1"/>
                <w:szCs w:val="21"/>
                <w:highlight w:val="none"/>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highlight w:val="none"/>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center"/>
          </w:tcPr>
          <w:p>
            <w:pPr>
              <w:spacing w:before="24" w:after="24"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default" w:ascii="仿宋" w:hAnsi="仿宋" w:eastAsia="仿宋" w:cs="仿宋"/>
                <w:color w:val="000000" w:themeColor="text1"/>
                <w:kern w:val="0"/>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供应商行为准则承诺书</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center"/>
          </w:tcPr>
          <w:p>
            <w:pPr>
              <w:spacing w:before="24" w:after="24"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default" w:ascii="仿宋" w:hAnsi="仿宋" w:eastAsia="仿宋" w:cs="仿宋"/>
                <w:color w:val="000000" w:themeColor="text1"/>
                <w:kern w:val="0"/>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供应商廉洁诚信承诺书</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6" w:type="dxa"/>
            <w:vMerge w:val="continue"/>
            <w:noWrap w:val="0"/>
            <w:vAlign w:val="center"/>
          </w:tcPr>
          <w:p>
            <w:pPr>
              <w:widowControl/>
              <w:spacing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167" w:type="dxa"/>
            <w:vMerge w:val="continue"/>
            <w:noWrap w:val="0"/>
            <w:vAlign w:val="center"/>
          </w:tcPr>
          <w:p>
            <w:pPr>
              <w:spacing w:before="24" w:after="24" w:line="360" w:lineRule="auto"/>
              <w:jc w:val="center"/>
              <w:rPr>
                <w:rFonts w:hint="eastAsia" w:ascii="仿宋" w:hAnsi="仿宋" w:eastAsia="仿宋" w:cs="仿宋"/>
                <w:color w:val="000000" w:themeColor="text1"/>
                <w:kern w:val="0"/>
                <w:szCs w:val="21"/>
                <w:highlight w:val="none"/>
                <w14:textFill>
                  <w14:solidFill>
                    <w14:schemeClr w14:val="tx1"/>
                  </w14:solidFill>
                </w14:textFill>
              </w:rPr>
            </w:pPr>
          </w:p>
        </w:tc>
        <w:tc>
          <w:tcPr>
            <w:tcW w:w="1952" w:type="dxa"/>
            <w:noWrap w:val="0"/>
            <w:vAlign w:val="center"/>
          </w:tcPr>
          <w:p>
            <w:pPr>
              <w:spacing w:before="24" w:after="24" w:line="276" w:lineRule="auto"/>
              <w:jc w:val="center"/>
              <w:rPr>
                <w:rFonts w:hint="default" w:ascii="仿宋" w:hAnsi="仿宋" w:eastAsia="仿宋" w:cs="仿宋"/>
                <w:color w:val="000000" w:themeColor="text1"/>
                <w:kern w:val="0"/>
                <w:szCs w:val="21"/>
                <w:highlight w:val="none"/>
                <w:lang w:val="en-US" w:eastAsia="zh-CN"/>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6069" w:type="dxa"/>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《供应商须知应答偏离表》、《合同条款应答偏离表》、《采购需求应答偏离表》》进行了符合第二章“供应商须知”的应答</w:t>
            </w:r>
          </w:p>
        </w:tc>
      </w:tr>
    </w:tbl>
    <w:p>
      <w:pPr>
        <w:pStyle w:val="4"/>
        <w:ind w:firstLine="42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1"/>
          <w:szCs w:val="21"/>
          <w:highlight w:val="none"/>
          <w14:textFill>
            <w14:solidFill>
              <w14:schemeClr w14:val="tx1"/>
            </w14:solidFill>
          </w14:textFill>
        </w:rPr>
        <w:br w:type="page"/>
      </w:r>
      <w:bookmarkStart w:id="133" w:name="_Toc25550"/>
      <w:r>
        <w:rPr>
          <w:rFonts w:hint="eastAsia" w:ascii="仿宋" w:hAnsi="仿宋" w:eastAsia="仿宋" w:cs="仿宋"/>
          <w:color w:val="000000" w:themeColor="text1"/>
          <w:sz w:val="24"/>
          <w:szCs w:val="24"/>
          <w:highlight w:val="none"/>
          <w:lang w:val="en-US" w:eastAsia="zh-CN"/>
          <w14:textFill>
            <w14:solidFill>
              <w14:schemeClr w14:val="tx1"/>
            </w14:solidFill>
          </w14:textFill>
        </w:rPr>
        <w:t>三</w:t>
      </w:r>
      <w:r>
        <w:rPr>
          <w:rFonts w:hint="eastAsia" w:ascii="仿宋" w:hAnsi="仿宋" w:eastAsia="仿宋" w:cs="仿宋"/>
          <w:color w:val="000000" w:themeColor="text1"/>
          <w:sz w:val="24"/>
          <w:szCs w:val="24"/>
          <w:highlight w:val="none"/>
          <w14:textFill>
            <w14:solidFill>
              <w14:schemeClr w14:val="tx1"/>
            </w14:solidFill>
          </w14:textFill>
        </w:rPr>
        <w:t>、</w:t>
      </w:r>
      <w:bookmarkEnd w:id="127"/>
      <w:bookmarkEnd w:id="128"/>
      <w:bookmarkEnd w:id="129"/>
      <w:bookmarkEnd w:id="130"/>
      <w:bookmarkEnd w:id="131"/>
      <w:bookmarkEnd w:id="132"/>
      <w:r>
        <w:rPr>
          <w:rFonts w:hint="eastAsia" w:ascii="仿宋" w:hAnsi="仿宋" w:eastAsia="仿宋" w:cs="仿宋"/>
          <w:color w:val="000000" w:themeColor="text1"/>
          <w:sz w:val="24"/>
          <w:szCs w:val="24"/>
          <w:highlight w:val="none"/>
          <w14:textFill>
            <w14:solidFill>
              <w14:schemeClr w14:val="tx1"/>
            </w14:solidFill>
          </w14:textFill>
        </w:rPr>
        <w:t>详细评审</w:t>
      </w:r>
      <w:bookmarkEnd w:id="133"/>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采购评审标准由项目最终报价、技术质量和服务水平三项标准构成，评审</w:t>
      </w:r>
      <w:r>
        <w:rPr>
          <w:rFonts w:ascii="仿宋" w:hAnsi="仿宋" w:eastAsia="仿宋" w:cs="仿宋"/>
          <w:color w:val="000000" w:themeColor="text1"/>
          <w:sz w:val="24"/>
          <w:szCs w:val="24"/>
          <w:highlight w:val="none"/>
          <w14:textFill>
            <w14:solidFill>
              <w14:schemeClr w14:val="tx1"/>
            </w14:solidFill>
          </w14:textFill>
        </w:rPr>
        <w:t>专家</w:t>
      </w:r>
      <w:r>
        <w:rPr>
          <w:rFonts w:hint="eastAsia" w:ascii="仿宋" w:hAnsi="仿宋" w:eastAsia="仿宋" w:cs="仿宋"/>
          <w:color w:val="000000" w:themeColor="text1"/>
          <w:sz w:val="24"/>
          <w:szCs w:val="24"/>
          <w:highlight w:val="none"/>
          <w14:textFill>
            <w14:solidFill>
              <w14:schemeClr w14:val="tx1"/>
            </w14:solidFill>
          </w14:textFill>
        </w:rPr>
        <w:t>将依据</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ascii="仿宋" w:hAnsi="仿宋" w:eastAsia="仿宋" w:cs="仿宋"/>
          <w:color w:val="000000" w:themeColor="text1"/>
          <w:sz w:val="24"/>
          <w:szCs w:val="24"/>
          <w:highlight w:val="none"/>
          <w14:textFill>
            <w14:solidFill>
              <w14:schemeClr w14:val="tx1"/>
            </w14:solidFill>
          </w14:textFill>
        </w:rPr>
        <w:t>邀请</w:t>
      </w:r>
      <w:r>
        <w:rPr>
          <w:rFonts w:hint="eastAsia" w:ascii="仿宋" w:hAnsi="仿宋" w:eastAsia="仿宋" w:cs="仿宋"/>
          <w:color w:val="000000" w:themeColor="text1"/>
          <w:sz w:val="24"/>
          <w:szCs w:val="24"/>
          <w:highlight w:val="none"/>
          <w14:textFill>
            <w14:solidFill>
              <w14:schemeClr w14:val="tx1"/>
            </w14:solidFill>
          </w14:textFill>
        </w:rPr>
        <w:t>文件要求，结合项目最终报价表、技术方案、服务方案等情况进行评分。各有效供应商的综合得分为各评审专家所评分值的算术平均值，若总得分相同，以价格得分高者排序在先。将把合同授予被确定为实质上响应</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文件要求且评标得分最高的供应商。</w:t>
      </w:r>
    </w:p>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评审标准如下：</w:t>
      </w:r>
    </w:p>
    <w:tbl>
      <w:tblPr>
        <w:tblStyle w:val="4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项 目</w:t>
            </w:r>
          </w:p>
        </w:tc>
        <w:tc>
          <w:tcPr>
            <w:tcW w:w="6454" w:type="dxa"/>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评分内容</w:t>
            </w:r>
          </w:p>
        </w:tc>
        <w:tc>
          <w:tcPr>
            <w:tcW w:w="992" w:type="dxa"/>
            <w:vAlign w:val="center"/>
          </w:tcPr>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价格</w:t>
            </w:r>
            <w:r>
              <w:rPr>
                <w:rFonts w:hint="eastAsia" w:ascii="仿宋" w:hAnsi="仿宋" w:eastAsia="仿宋" w:cs="仿宋"/>
                <w:color w:val="000000" w:themeColor="text1"/>
                <w:sz w:val="24"/>
                <w:szCs w:val="24"/>
                <w:highlight w:val="none"/>
                <w:lang w:val="en-US" w:eastAsia="zh-CN"/>
                <w14:textFill>
                  <w14:solidFill>
                    <w14:schemeClr w14:val="tx1"/>
                  </w14:solidFill>
                </w14:textFill>
              </w:rPr>
              <w:t>部分</w:t>
            </w:r>
            <w:r>
              <w:rPr>
                <w:rFonts w:hint="eastAsia" w:ascii="仿宋" w:hAnsi="仿宋" w:eastAsia="仿宋" w:cs="仿宋"/>
                <w:color w:val="000000" w:themeColor="text1"/>
                <w:sz w:val="24"/>
                <w:szCs w:val="24"/>
                <w:highlight w:val="none"/>
                <w14:textFill>
                  <w14:solidFill>
                    <w14:schemeClr w14:val="tx1"/>
                  </w14:solidFill>
                </w14:textFill>
              </w:rPr>
              <w:t>（50</w:t>
            </w:r>
            <w:r>
              <w:rPr>
                <w:rFonts w:ascii="仿宋" w:hAnsi="仿宋" w:eastAsia="仿宋" w:cs="仿宋"/>
                <w:color w:val="000000" w:themeColor="text1"/>
                <w:sz w:val="24"/>
                <w:szCs w:val="24"/>
                <w:highlight w:val="none"/>
                <w14:textFill>
                  <w14:solidFill>
                    <w14:schemeClr w14:val="tx1"/>
                  </w14:solidFill>
                </w14:textFill>
              </w:rPr>
              <w:t>）</w:t>
            </w:r>
          </w:p>
        </w:tc>
        <w:tc>
          <w:tcPr>
            <w:tcW w:w="6454" w:type="dxa"/>
            <w:vAlign w:val="center"/>
          </w:tcPr>
          <w:p>
            <w:pPr>
              <w:pStyle w:val="111"/>
              <w:tabs>
                <w:tab w:val="left" w:pos="0"/>
              </w:tabs>
              <w:adjustRightInd w:val="0"/>
              <w:snapToGrid w:val="0"/>
              <w:spacing w:line="360" w:lineRule="auto"/>
              <w:ind w:left="0" w:leftChars="0" w:firstLine="0" w:firstLineChars="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评分法中的价格分采用低价优先法计算，即满足招标文件要求且最低的评审价格为评标基准价，等于评标基准价得</w:t>
            </w:r>
            <w:r>
              <w:rPr>
                <w:rFonts w:ascii="仿宋" w:hAnsi="仿宋" w:eastAsia="仿宋" w:cs="仿宋"/>
                <w:color w:val="000000" w:themeColor="text1"/>
                <w:sz w:val="24"/>
                <w:szCs w:val="24"/>
                <w:highlight w:val="none"/>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分。其他供应商的价格分统一按照下列公式计算，精确到小数点后两位</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供应商报价得分＝（评标基准价/评审价格）×</w:t>
            </w:r>
            <w:r>
              <w:rPr>
                <w:rFonts w:ascii="仿宋" w:hAnsi="仿宋" w:eastAsia="仿宋" w:cs="仿宋"/>
                <w:color w:val="000000" w:themeColor="text1"/>
                <w:sz w:val="24"/>
                <w:szCs w:val="24"/>
                <w:highlight w:val="none"/>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w:t>
            </w:r>
          </w:p>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评审价格按照如下方式定义：</w:t>
            </w:r>
          </w:p>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对于承诺提供增值税专用发票的供应商，评审价格即不含税的投标总价净价；</w:t>
            </w:r>
          </w:p>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对于不能提供增值税专用发票的供应商，评审价格是含税的投标总价。</w:t>
            </w:r>
          </w:p>
        </w:tc>
        <w:tc>
          <w:tcPr>
            <w:tcW w:w="992" w:type="dxa"/>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pStyle w:val="111"/>
              <w:tabs>
                <w:tab w:val="left" w:pos="0"/>
              </w:tabs>
              <w:adjustRightInd w:val="0"/>
              <w:snapToGrid w:val="0"/>
              <w:spacing w:line="360" w:lineRule="auto"/>
              <w:ind w:left="0" w:leftChars="0" w:firstLine="0" w:firstLineChars="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技术部分（40分）</w:t>
            </w:r>
          </w:p>
        </w:tc>
        <w:tc>
          <w:tcPr>
            <w:tcW w:w="6454" w:type="dxa"/>
            <w:vAlign w:val="center"/>
          </w:tcPr>
          <w:p>
            <w:pPr>
              <w:pStyle w:val="111"/>
              <w:tabs>
                <w:tab w:val="left" w:pos="0"/>
              </w:tabs>
              <w:adjustRightInd w:val="0"/>
              <w:snapToGrid w:val="0"/>
              <w:spacing w:line="360" w:lineRule="auto"/>
              <w:ind w:left="0" w:leftChars="0" w:firstLine="0" w:firstLineChars="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广告投放方案(满分15分)</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1、结合采购方采购需求免费提供设计方案，并及时更新广告内容。(11-15)</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2、可免费做初次设计，无法根据采购方需求及时更新广告内容。(6-10)</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3、不提供免费设计服务，仅支持内容播放。(0-5)</w:t>
            </w:r>
          </w:p>
        </w:tc>
        <w:tc>
          <w:tcPr>
            <w:tcW w:w="992" w:type="dxa"/>
            <w:vAlign w:val="center"/>
          </w:tcPr>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jc w:val="center"/>
        </w:trPr>
        <w:tc>
          <w:tcPr>
            <w:tcW w:w="1323" w:type="dxa"/>
            <w:vMerge w:val="continue"/>
            <w:shd w:val="clear" w:color="auto" w:fill="auto"/>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tc>
        <w:tc>
          <w:tcPr>
            <w:tcW w:w="6454" w:type="dxa"/>
            <w:vAlign w:val="center"/>
          </w:tcPr>
          <w:p>
            <w:pPr>
              <w:pStyle w:val="111"/>
              <w:tabs>
                <w:tab w:val="left" w:pos="0"/>
              </w:tabs>
              <w:adjustRightInd w:val="0"/>
              <w:snapToGrid w:val="0"/>
              <w:spacing w:line="360" w:lineRule="auto"/>
              <w:ind w:left="0" w:leftChars="0" w:firstLine="0" w:firstLineChars="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人员配备(满分10分)</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1、团队配备完整，具有专业的设计人员、投放人员，运维人员，运维人员。</w:t>
            </w:r>
          </w:p>
          <w:p>
            <w:pPr>
              <w:pStyle w:val="111"/>
              <w:tabs>
                <w:tab w:val="left" w:pos="0"/>
              </w:tabs>
              <w:adjustRightInd w:val="0"/>
              <w:snapToGrid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成员均有2-3年工作经验，可提供相关资质证明。(7-10分)</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2、团队配备不完整，不能实现专人专岗，成员均有1-2年工作经验，无法提供相关资质证明(4-6)</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3、团队配置薄弱，成员工作经验欠缺(0-3分)</w:t>
            </w:r>
          </w:p>
        </w:tc>
        <w:tc>
          <w:tcPr>
            <w:tcW w:w="992" w:type="dxa"/>
            <w:vAlign w:val="center"/>
          </w:tcPr>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jc w:val="center"/>
        </w:trPr>
        <w:tc>
          <w:tcPr>
            <w:tcW w:w="1323" w:type="dxa"/>
            <w:vMerge w:val="continue"/>
            <w:shd w:val="clear" w:color="auto" w:fill="auto"/>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tc>
        <w:tc>
          <w:tcPr>
            <w:tcW w:w="6454" w:type="dxa"/>
            <w:vAlign w:val="center"/>
          </w:tcPr>
          <w:p>
            <w:pPr>
              <w:pStyle w:val="111"/>
              <w:tabs>
                <w:tab w:val="left" w:pos="0"/>
              </w:tabs>
              <w:adjustRightInd w:val="0"/>
              <w:snapToGrid w:val="0"/>
              <w:spacing w:line="360" w:lineRule="auto"/>
              <w:ind w:left="0" w:leftChars="0" w:firstLine="0" w:firstLineChars="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售后服务方案（满分15分）</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1、有健全的巡检、维护流程，建立有效的售后处理机制（10-15分）</w:t>
            </w:r>
          </w:p>
          <w:p>
            <w:pPr>
              <w:pStyle w:val="111"/>
              <w:tabs>
                <w:tab w:val="left" w:pos="0"/>
              </w:tabs>
              <w:adjustRightInd w:val="0"/>
              <w:snapToGrid w:val="0"/>
              <w:spacing w:line="360" w:lineRule="auto"/>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2、对于突发情况处理快速及时，但处理流程有所欠缺（5-9分）</w:t>
            </w:r>
          </w:p>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3、售后方案不全，应急处理能力薄弱（0-4分）</w:t>
            </w:r>
          </w:p>
        </w:tc>
        <w:tc>
          <w:tcPr>
            <w:tcW w:w="992" w:type="dxa"/>
            <w:vAlign w:val="center"/>
          </w:tcPr>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pStyle w:val="111"/>
              <w:tabs>
                <w:tab w:val="left" w:pos="0"/>
              </w:tabs>
              <w:adjustRightInd w:val="0"/>
              <w:snapToGrid w:val="0"/>
              <w:spacing w:line="360" w:lineRule="auto"/>
              <w:ind w:left="0" w:leftChars="0" w:firstLine="0" w:firstLineChars="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商务部分（10分）</w:t>
            </w:r>
          </w:p>
        </w:tc>
        <w:tc>
          <w:tcPr>
            <w:tcW w:w="6454" w:type="dxa"/>
            <w:vAlign w:val="center"/>
          </w:tcPr>
          <w:p>
            <w:pPr>
              <w:pStyle w:val="111"/>
              <w:tabs>
                <w:tab w:val="left" w:pos="0"/>
              </w:tabs>
              <w:adjustRightInd w:val="0"/>
              <w:snapToGrid w:val="0"/>
              <w:spacing w:line="360" w:lineRule="auto"/>
              <w:ind w:left="0" w:leftChars="0" w:firstLine="0" w:firstLineChars="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项目经验（满分10分）：</w:t>
            </w:r>
            <w:r>
              <w:rPr>
                <w:rFonts w:ascii="仿宋" w:hAnsi="仿宋" w:eastAsia="仿宋" w:cs="仿宋"/>
                <w:color w:val="000000" w:themeColor="text1"/>
                <w:sz w:val="24"/>
                <w:szCs w:val="24"/>
                <w:highlight w:val="none"/>
                <w14:textFill>
                  <w14:solidFill>
                    <w14:schemeClr w14:val="tx1"/>
                  </w14:solidFill>
                </w14:textFill>
              </w:rPr>
              <w:t>近3年</w:t>
            </w:r>
            <w:r>
              <w:rPr>
                <w:rFonts w:hint="eastAsia" w:ascii="仿宋" w:hAnsi="仿宋" w:eastAsia="仿宋" w:cs="仿宋"/>
                <w:color w:val="000000" w:themeColor="text1"/>
                <w:sz w:val="24"/>
                <w:szCs w:val="24"/>
                <w:highlight w:val="none"/>
                <w:lang w:val="en-US" w:eastAsia="zh-CN"/>
                <w14:textFill>
                  <w14:solidFill>
                    <w14:schemeClr w14:val="tx1"/>
                  </w14:solidFill>
                </w14:textFill>
              </w:rPr>
              <w:t>内</w:t>
            </w:r>
            <w:r>
              <w:rPr>
                <w:rFonts w:ascii="仿宋" w:hAnsi="仿宋" w:eastAsia="仿宋" w:cs="仿宋"/>
                <w:color w:val="000000" w:themeColor="text1"/>
                <w:sz w:val="24"/>
                <w:szCs w:val="24"/>
                <w:highlight w:val="none"/>
                <w14:textFill>
                  <w14:solidFill>
                    <w14:schemeClr w14:val="tx1"/>
                  </w14:solidFill>
                </w14:textFill>
              </w:rPr>
              <w:t>同类广告服务案例</w:t>
            </w:r>
            <w:r>
              <w:rPr>
                <w:rFonts w:hint="eastAsia" w:ascii="仿宋" w:hAnsi="仿宋" w:eastAsia="仿宋" w:cs="仿宋"/>
                <w:color w:val="000000" w:themeColor="text1"/>
                <w:sz w:val="24"/>
                <w:szCs w:val="24"/>
                <w:highlight w:val="none"/>
                <w14:textFill>
                  <w14:solidFill>
                    <w14:schemeClr w14:val="tx1"/>
                  </w14:solidFill>
                </w14:textFill>
              </w:rPr>
              <w:t>，案例须提供合同</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提供一个得4分，每增加一个得2分，最高得10分，未提供得0分</w:t>
            </w:r>
          </w:p>
        </w:tc>
        <w:tc>
          <w:tcPr>
            <w:tcW w:w="992" w:type="dxa"/>
            <w:vAlign w:val="center"/>
          </w:tcPr>
          <w:p>
            <w:pPr>
              <w:pStyle w:val="111"/>
              <w:tabs>
                <w:tab w:val="left" w:pos="0"/>
              </w:tabs>
              <w:adjustRightInd w:val="0"/>
              <w:snapToGrid w:val="0"/>
              <w:spacing w:line="360" w:lineRule="auto"/>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合计</w:t>
            </w:r>
          </w:p>
        </w:tc>
        <w:tc>
          <w:tcPr>
            <w:tcW w:w="992" w:type="dxa"/>
            <w:vAlign w:val="center"/>
          </w:tcPr>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100</w:t>
            </w:r>
          </w:p>
        </w:tc>
      </w:tr>
    </w:tbl>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firstLine="480"/>
        <w:rPr>
          <w:rFonts w:ascii="仿宋" w:hAnsi="仿宋" w:eastAsia="仿宋" w:cs="仿宋"/>
          <w:color w:val="000000" w:themeColor="text1"/>
          <w:sz w:val="24"/>
          <w:szCs w:val="24"/>
          <w:highlight w:val="none"/>
          <w14:textFill>
            <w14:solidFill>
              <w14:schemeClr w14:val="tx1"/>
            </w14:solidFill>
          </w14:textFill>
        </w:rPr>
      </w:pPr>
    </w:p>
    <w:p>
      <w:pPr>
        <w:pStyle w:val="111"/>
        <w:tabs>
          <w:tab w:val="left" w:pos="0"/>
        </w:tabs>
        <w:adjustRightInd w:val="0"/>
        <w:snapToGrid w:val="0"/>
        <w:spacing w:line="360" w:lineRule="auto"/>
        <w:ind w:left="0" w:leftChars="0" w:firstLine="0" w:firstLineChars="0"/>
        <w:rPr>
          <w:rFonts w:ascii="仿宋" w:hAnsi="仿宋" w:eastAsia="仿宋" w:cs="仿宋"/>
          <w:color w:val="000000" w:themeColor="text1"/>
          <w:sz w:val="24"/>
          <w:szCs w:val="24"/>
          <w:highlight w:val="none"/>
          <w14:textFill>
            <w14:solidFill>
              <w14:schemeClr w14:val="tx1"/>
            </w14:solidFill>
          </w14:textFill>
        </w:rPr>
      </w:pPr>
    </w:p>
    <w:p>
      <w:pPr>
        <w:pStyle w:val="3"/>
        <w:numPr>
          <w:ilvl w:val="0"/>
          <w:numId w:val="0"/>
        </w:numPr>
        <w:spacing w:before="0" w:after="0" w:line="360" w:lineRule="auto"/>
        <w:jc w:val="both"/>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bookmarkStart w:id="134" w:name="_Toc15254"/>
      <w:r>
        <w:rPr>
          <w:rFonts w:hint="eastAsia" w:ascii="仿宋" w:hAnsi="仿宋" w:eastAsia="仿宋" w:cs="仿宋"/>
          <w:color w:val="000000" w:themeColor="text1"/>
          <w:sz w:val="28"/>
          <w:szCs w:val="28"/>
          <w:highlight w:val="none"/>
          <w14:textFill>
            <w14:solidFill>
              <w14:schemeClr w14:val="tx1"/>
            </w14:solidFill>
          </w14:textFill>
        </w:rPr>
        <w:t>合同条款</w:t>
      </w:r>
      <w:bookmarkEnd w:id="134"/>
    </w:p>
    <w:p>
      <w:pPr>
        <w:widowControl w:val="0"/>
        <w:numPr>
          <w:ilvl w:val="0"/>
          <w:numId w:val="0"/>
        </w:numPr>
        <w:jc w:val="both"/>
        <w:rPr>
          <w:rFonts w:hint="eastAsia"/>
          <w:color w:val="000000" w:themeColor="text1"/>
          <w14:textFill>
            <w14:solidFill>
              <w14:schemeClr w14:val="tx1"/>
            </w14:solidFill>
          </w14:textFill>
        </w:rPr>
      </w:pPr>
    </w:p>
    <w:p>
      <w:pPr>
        <w:pStyle w:val="4"/>
        <w:numPr>
          <w:ilvl w:val="0"/>
          <w:numId w:val="0"/>
        </w:numPr>
        <w:adjustRightInd w:val="0"/>
        <w:snapToGrid w:val="0"/>
        <w:spacing w:before="0" w:after="0" w:line="360" w:lineRule="auto"/>
        <w:jc w:val="left"/>
        <w:rPr>
          <w:rFonts w:hint="eastAsia" w:ascii="仿宋_GB2312" w:hAnsi="仿宋_GB2312" w:eastAsia="仿宋_GB2312" w:cs="仿宋_GB2312"/>
          <w:b w:val="0"/>
          <w:bCs w:val="0"/>
          <w:color w:val="000000" w:themeColor="text1"/>
          <w:spacing w:val="0"/>
          <w:kern w:val="0"/>
          <w:sz w:val="21"/>
          <w:szCs w:val="21"/>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0"/>
          <w:kern w:val="0"/>
          <w:sz w:val="21"/>
          <w:szCs w:val="21"/>
          <w:lang w:val="en-US" w:eastAsia="zh-CN" w:bidi="ar-SA"/>
          <w14:textFill>
            <w14:solidFill>
              <w14:schemeClr w14:val="tx1"/>
            </w14:solidFill>
          </w14:textFill>
        </w:rPr>
        <w:t>附件4.1 合同条款</w:t>
      </w:r>
    </w:p>
    <w:p>
      <w:pPr>
        <w:spacing w:line="600" w:lineRule="atLeast"/>
        <w:jc w:val="left"/>
        <w:rPr>
          <w:rFonts w:hint="eastAsia" w:ascii="仿宋" w:hAnsi="仿宋" w:cs="仿宋"/>
          <w:sz w:val="21"/>
          <w:szCs w:val="21"/>
        </w:rPr>
      </w:pPr>
      <w:r>
        <w:rPr>
          <w:rFonts w:hint="eastAsia" w:ascii="仿宋" w:hAnsi="仿宋" w:eastAsia="仿宋" w:cs="仿宋"/>
          <w:sz w:val="21"/>
          <w:szCs w:val="21"/>
        </w:rPr>
        <w:t>甲方：中国人民财产保险股份有限公司阿克苏地区分公司</w:t>
      </w:r>
    </w:p>
    <w:p>
      <w:pPr>
        <w:spacing w:line="600" w:lineRule="atLeast"/>
        <w:jc w:val="left"/>
        <w:rPr>
          <w:rFonts w:hint="eastAsia" w:ascii="仿宋" w:hAnsi="仿宋" w:cs="仿宋"/>
          <w:sz w:val="21"/>
          <w:szCs w:val="21"/>
        </w:rPr>
      </w:pPr>
      <w:r>
        <w:rPr>
          <w:rFonts w:hint="eastAsia" w:ascii="仿宋" w:hAnsi="仿宋" w:eastAsia="仿宋" w:cs="仿宋"/>
          <w:sz w:val="21"/>
          <w:szCs w:val="21"/>
        </w:rPr>
        <w:t>地址：新疆阿克苏地区阿克苏市北京路51号（原市政府综合办公楼）</w:t>
      </w:r>
    </w:p>
    <w:p>
      <w:pPr>
        <w:keepNext w:val="0"/>
        <w:keepLines w:val="0"/>
        <w:widowControl/>
        <w:suppressLineNumbers w:val="0"/>
        <w:jc w:val="left"/>
        <w:rPr>
          <w:rFonts w:hint="default" w:ascii="仿宋" w:hAnsi="仿宋" w:cs="仿宋"/>
          <w:sz w:val="21"/>
          <w:szCs w:val="21"/>
        </w:rPr>
      </w:pPr>
      <w:r>
        <w:rPr>
          <w:rFonts w:hint="default" w:ascii="仿宋" w:hAnsi="仿宋" w:eastAsia="仿宋" w:cs="仿宋"/>
          <w:sz w:val="21"/>
          <w:szCs w:val="21"/>
        </w:rPr>
        <w:t xml:space="preserve"> </w:t>
      </w:r>
    </w:p>
    <w:p>
      <w:pPr>
        <w:spacing w:line="600" w:lineRule="atLeast"/>
        <w:jc w:val="left"/>
        <w:rPr>
          <w:rFonts w:hint="eastAsia" w:ascii="仿宋" w:hAnsi="仿宋" w:cs="仿宋"/>
          <w:sz w:val="21"/>
          <w:szCs w:val="21"/>
        </w:rPr>
      </w:pPr>
      <w:r>
        <w:rPr>
          <w:rFonts w:hint="eastAsia" w:ascii="仿宋" w:hAnsi="仿宋" w:eastAsia="仿宋" w:cs="仿宋"/>
          <w:sz w:val="21"/>
          <w:szCs w:val="21"/>
        </w:rPr>
        <w:t>乙方：</w:t>
      </w:r>
    </w:p>
    <w:p>
      <w:pPr>
        <w:spacing w:line="600" w:lineRule="atLeast"/>
        <w:jc w:val="left"/>
        <w:rPr>
          <w:rFonts w:hint="eastAsia" w:ascii="仿宋" w:hAnsi="仿宋" w:cs="仿宋"/>
          <w:sz w:val="21"/>
          <w:szCs w:val="21"/>
        </w:rPr>
      </w:pPr>
      <w:r>
        <w:rPr>
          <w:rFonts w:hint="eastAsia" w:ascii="仿宋" w:hAnsi="仿宋" w:eastAsia="仿宋" w:cs="仿宋"/>
          <w:sz w:val="21"/>
          <w:szCs w:val="21"/>
        </w:rPr>
        <w:t>地址：</w:t>
      </w:r>
    </w:p>
    <w:p>
      <w:pPr>
        <w:rPr>
          <w:rFonts w:hint="eastAsia"/>
          <w:lang w:val="en-US" w:eastAsia="zh-CN"/>
        </w:rPr>
      </w:pPr>
    </w:p>
    <w:p>
      <w:pPr>
        <w:pStyle w:val="2"/>
        <w:rPr>
          <w:rFonts w:hint="eastAsia"/>
          <w:lang w:val="en-US" w:eastAsia="zh-CN"/>
        </w:rPr>
      </w:pPr>
    </w:p>
    <w:p>
      <w:pPr>
        <w:keepNext w:val="0"/>
        <w:keepLines w:val="0"/>
        <w:widowControl/>
        <w:suppressLineNumbers w:val="0"/>
        <w:spacing w:before="90" w:beforeAutospacing="0" w:line="240" w:lineRule="atLeast"/>
        <w:jc w:val="left"/>
        <w:rPr>
          <w:rFonts w:hint="default" w:ascii="仿宋" w:hAnsi="仿宋" w:cs="仿宋"/>
          <w:sz w:val="21"/>
          <w:szCs w:val="21"/>
        </w:rPr>
      </w:pPr>
      <w:r>
        <w:rPr>
          <w:rFonts w:hint="eastAsia" w:ascii="仿宋" w:hAnsi="仿宋" w:eastAsia="仿宋" w:cs="仿宋"/>
          <w:sz w:val="21"/>
          <w:szCs w:val="21"/>
        </w:rPr>
        <w:t>鉴于：根据《中华人民共和国民法典》及相关的法律、法规的规定，为了明确 双方的权利和义务，双方本着诚实信用、平等互利的原则签订本合同。</w:t>
      </w:r>
    </w:p>
    <w:p>
      <w:pPr>
        <w:rPr>
          <w:rFonts w:hint="eastAsia"/>
          <w:lang w:val="en-US" w:eastAsia="zh-CN"/>
        </w:rPr>
      </w:pPr>
    </w:p>
    <w:p>
      <w:pPr>
        <w:keepNext w:val="0"/>
        <w:keepLines w:val="0"/>
        <w:widowControl/>
        <w:suppressLineNumbers w:val="0"/>
        <w:spacing w:before="0" w:beforeAutospacing="1" w:after="0" w:afterAutospacing="1" w:line="600" w:lineRule="exact"/>
        <w:ind w:left="0" w:right="0"/>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商务部分</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第一条 项目内容及要求（适用于品牌宣传服务合同）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项目内容及要求</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第二条 服务方案及验收</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服务方案及验收</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双方约定的服务方案详见本合同【附件】。</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第三条 合同价格</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本合同总价款为_______元（大写：_______）。合同价格明细见【附件】。</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（三） 本合同付款安排见【附件】。</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第四条 双方的权利和义务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双方的权利和义务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第五条 违约责任</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违约责任</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通用部分</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第六条 双方的权利和义务</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甲方的权利和义务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（1）甲方有权获得本合同项下乙方应提供的全部合格的服务；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（2）甲方有权在合同期内对乙方的服务进行监督；</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（3）乙方未按照合同约定履行义务的，甲方有权采取相应的措施；</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（4）甲方应按照合同约定向乙方支付合同价款；</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（5）甲方对其提供的样本、稿件本身及其内容的真实性、合法性、知识产权的独立性等承担全部责任，所提供样本、稿件引起的纠纷、争议及相关损失由甲方自行承担；</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（7）甲方享有其它双方约定的权利、承担其它双方约定的义务。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乙方的权利和义务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（1）乙方有权获得甲方支付的合同价款；</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（2）乙方应按照合同约定向甲方提供全部合格的服务；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（3）乙方应按照合同约定履行相应的维护和保修或其他后续义务；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（4）乙方必须遵守甲方制定的各项服务标准、工作流程及各项要求；</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（5）乙方应当按照甲方提出的变更需求及时调整和完善服务内容；</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（6）乙方服务团队成员有_______，乙方人员如需变更应提前两周与甲方协调并取得同意；</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（7）乙方承担由于自身或合作施工单位由于服务效果与服务设计方案偏差原因造成的损失；</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（8）乙方享有其它双方约定的权利、承担其它双方约定的义务。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第七条 禁止转让</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禁止转让</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第八条 知识产权保障及权利保证</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知识产权保障</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第九条 违约责任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（三） 因违约而解除合同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（1）如乙方服务团队负责人发生变更或核心服务团队发生重大变化，乙方未能及时书面告知甲方造成服务水平下降，或变更后人员资质不符合甲方要求的，甲方有权即时解除本合同。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（2）如乙方未经甲方书面许可，以甲方名义向媒体或其他第三方进行任何商业行为的，甲方有权即时解除本合同。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第十条 保密义务</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第十一条 不可抗力</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第十二条 合同变更</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合同变更</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第十三条 合同特别终止</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（1）乙方破产、解散（包括但不限于乙方股东会决议解散、乙方被吊销营业执照、被责令关闭、被撤销、被司法机关裁决解散等情形）；</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第十四条 法律适用与争议解决</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第十五条 合同生效及其他</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第十六条 合同效力</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第十七条 附件的组成（适用于品牌宣传服务合同）</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附件的组成</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附件一、服务内容及要求</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附件二、服务方案</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附件三、付款</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附件四、双方的权利和义务</w:t>
      </w:r>
      <w:r>
        <w:rPr>
          <w:rFonts w:hint="eastAsia" w:ascii="仿宋_GB2312" w:hAnsi="仿宋_GB2312" w:eastAsia="仿宋_GB2312" w:cs="仿宋_GB2312"/>
          <w:b w:val="0"/>
          <w:bCs w:val="0"/>
          <w:color w:val="auto"/>
          <w:spacing w:val="0"/>
          <w:kern w:val="0"/>
          <w:sz w:val="21"/>
          <w:szCs w:val="21"/>
          <w:lang w:val="en-US" w:eastAsia="zh-CN" w:bidi="ar-SA"/>
        </w:rPr>
        <w:br w:type="textWrapping"/>
      </w:r>
      <w:r>
        <w:rPr>
          <w:rFonts w:hint="eastAsia" w:ascii="仿宋_GB2312" w:hAnsi="仿宋_GB2312" w:eastAsia="仿宋_GB2312" w:cs="仿宋_GB2312"/>
          <w:b w:val="0"/>
          <w:bCs w:val="0"/>
          <w:color w:val="auto"/>
          <w:spacing w:val="0"/>
          <w:kern w:val="0"/>
          <w:sz w:val="21"/>
          <w:szCs w:val="21"/>
          <w:lang w:val="en-US" w:eastAsia="zh-CN" w:bidi="ar-SA"/>
        </w:rPr>
        <w:t>附件五、违约责任</w:t>
      </w:r>
    </w:p>
    <w:p>
      <w:pPr>
        <w:pStyle w:val="2"/>
        <w:rPr>
          <w:rFonts w:hint="eastAsia" w:ascii="仿宋_GB2312" w:hAnsi="仿宋_GB2312" w:eastAsia="仿宋_GB2312" w:cs="仿宋_GB2312"/>
          <w:b w:val="0"/>
          <w:bCs w:val="0"/>
          <w:color w:val="auto"/>
          <w:spacing w:val="0"/>
          <w:kern w:val="0"/>
          <w:sz w:val="21"/>
          <w:szCs w:val="21"/>
          <w:lang w:val="en-US" w:eastAsia="zh-CN" w:bidi="ar-SA"/>
        </w:rPr>
      </w:pPr>
    </w:p>
    <w:p>
      <w:pPr>
        <w:pStyle w:val="2"/>
        <w:rPr>
          <w:rFonts w:hint="eastAsia" w:ascii="仿宋_GB2312" w:hAnsi="仿宋_GB2312" w:eastAsia="仿宋_GB2312" w:cs="仿宋_GB2312"/>
          <w:b w:val="0"/>
          <w:bCs w:val="0"/>
          <w:color w:val="auto"/>
          <w:spacing w:val="0"/>
          <w:kern w:val="0"/>
          <w:sz w:val="21"/>
          <w:szCs w:val="21"/>
          <w:lang w:val="en-US" w:eastAsia="zh-CN" w:bidi="ar-SA"/>
        </w:rPr>
      </w:pPr>
    </w:p>
    <w:p>
      <w:pPr>
        <w:pStyle w:val="2"/>
        <w:rPr>
          <w:rFonts w:hint="eastAsia" w:ascii="仿宋_GB2312" w:hAnsi="仿宋_GB2312" w:eastAsia="仿宋_GB2312" w:cs="仿宋_GB2312"/>
          <w:b w:val="0"/>
          <w:bCs w:val="0"/>
          <w:color w:val="auto"/>
          <w:spacing w:val="0"/>
          <w:kern w:val="0"/>
          <w:sz w:val="21"/>
          <w:szCs w:val="21"/>
          <w:lang w:val="en-US" w:eastAsia="zh-CN" w:bidi="ar-SA"/>
        </w:rPr>
      </w:pPr>
    </w:p>
    <w:p>
      <w:pPr>
        <w:pStyle w:val="2"/>
        <w:rPr>
          <w:rFonts w:hint="eastAsia" w:ascii="仿宋_GB2312" w:hAnsi="仿宋_GB2312" w:eastAsia="仿宋_GB2312" w:cs="仿宋_GB2312"/>
          <w:b w:val="0"/>
          <w:bCs w:val="0"/>
          <w:color w:val="auto"/>
          <w:spacing w:val="0"/>
          <w:kern w:val="0"/>
          <w:sz w:val="21"/>
          <w:szCs w:val="21"/>
          <w:lang w:val="en-US" w:eastAsia="zh-CN" w:bidi="ar-SA"/>
        </w:rPr>
      </w:pPr>
    </w:p>
    <w:p>
      <w:pP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br w:type="page"/>
      </w:r>
    </w:p>
    <w:p>
      <w:pPr>
        <w:snapToGrid w:val="0"/>
        <w:spacing w:line="360" w:lineRule="auto"/>
        <w:jc w:val="left"/>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附件一</w:t>
      </w:r>
    </w:p>
    <w:p>
      <w:pPr>
        <w:snapToGrid w:val="0"/>
        <w:spacing w:line="360" w:lineRule="auto"/>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服务内容及要求</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双方约定乙方向甲方提供的广告投放代理服务包括但不限于如下内容：</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（1）户外广告投放</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乙方在获得甲方的书面确认书批准后，代理甲方实施广告投放的审批、制作、执行、投放、维护等全程服务和后期维护工作，并保证所有流程的合法合规性。投放期结束时，乙方代理甲方办理投放终止手续。</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（2）系统广告服务</w:t>
      </w:r>
    </w:p>
    <w:p>
      <w:pPr>
        <w:snapToGrid w:val="0"/>
        <w:spacing w:line="360" w:lineRule="auto"/>
        <w:ind w:firstLine="420" w:firstLineChars="200"/>
        <w:rPr>
          <w:rFonts w:hint="default"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乙方根据甲方广告投放计划负责向甲方推荐相应的广告位，乙方根据甲方的计划和时间要求，为甲方提供</w:t>
      </w:r>
      <w:r>
        <w:rPr>
          <w:rFonts w:hint="eastAsia" w:ascii="仿宋" w:hAnsi="仿宋" w:eastAsia="仿宋" w:cs="宋体"/>
          <w:color w:val="000000" w:themeColor="text1"/>
          <w:kern w:val="2"/>
          <w:sz w:val="24"/>
          <w:szCs w:val="24"/>
          <w:highlight w:val="none"/>
          <w:lang w:val="en-US" w:eastAsia="zh-CN" w:bidi="ar-SA"/>
          <w14:textFill>
            <w14:solidFill>
              <w14:schemeClr w14:val="tx1"/>
            </w14:solidFill>
          </w14:textFill>
        </w:rPr>
        <w:t>电影院映前</w:t>
      </w:r>
      <w:r>
        <w:rPr>
          <w:rFonts w:hint="eastAsia" w:ascii="仿宋_GB2312" w:hAnsi="仿宋_GB2312" w:eastAsia="仿宋_GB2312" w:cs="仿宋_GB2312"/>
          <w:b w:val="0"/>
          <w:bCs w:val="0"/>
          <w:color w:val="auto"/>
          <w:spacing w:val="0"/>
          <w:kern w:val="0"/>
          <w:sz w:val="21"/>
          <w:szCs w:val="21"/>
          <w:lang w:val="en-US" w:eastAsia="zh-CN" w:bidi="ar-SA"/>
        </w:rPr>
        <w:t>广告投放方案。</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 xml:space="preserve">乙方同意为甲方提供以下增值服务：                    。  </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附件二</w:t>
      </w:r>
    </w:p>
    <w:p>
      <w:pPr>
        <w:snapToGrid w:val="0"/>
        <w:spacing w:line="360" w:lineRule="auto"/>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服务方案及验收</w:t>
      </w:r>
    </w:p>
    <w:p>
      <w:pPr>
        <w:pStyle w:val="107"/>
        <w:numPr>
          <w:ilvl w:val="0"/>
          <w:numId w:val="4"/>
        </w:numPr>
        <w:snapToGrid w:val="0"/>
        <w:spacing w:line="360" w:lineRule="auto"/>
        <w:ind w:left="480" w:leftChars="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双方约定的广告投放方案为：</w:t>
      </w:r>
    </w:p>
    <w:p>
      <w:pPr>
        <w:pStyle w:val="107"/>
        <w:numPr>
          <w:ilvl w:val="0"/>
          <w:numId w:val="0"/>
        </w:numPr>
        <w:snapToGrid w:val="0"/>
        <w:spacing w:line="360" w:lineRule="auto"/>
        <w:ind w:left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 xml:space="preserve">                                                     </w:t>
      </w:r>
    </w:p>
    <w:p>
      <w:pPr>
        <w:numPr>
          <w:ilvl w:val="0"/>
          <w:numId w:val="5"/>
        </w:num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乙方应在广告投放完毕后书面通知甲方进行验收，并向甲方提供实景照片作为广告已完成投放的依据。甲方须在接到通知后3天内进行验收，并在广告验收报告上签字。如对投放广告的内容等有任何异议，需在验收时以书面的方式提出，在通过甲方验收后方可正式计算广告投放时间。</w:t>
      </w:r>
    </w:p>
    <w:p>
      <w:pPr>
        <w:pStyle w:val="2"/>
        <w:widowControl w:val="0"/>
        <w:numPr>
          <w:ilvl w:val="0"/>
          <w:numId w:val="0"/>
        </w:numPr>
        <w:jc w:val="center"/>
        <w:rPr>
          <w:rFonts w:hint="eastAsia" w:ascii="仿宋_GB2312" w:hAnsi="仿宋_GB2312" w:eastAsia="仿宋_GB2312" w:cs="仿宋_GB2312"/>
          <w:b w:val="0"/>
          <w:bCs w:val="0"/>
          <w:color w:val="auto"/>
          <w:spacing w:val="0"/>
          <w:kern w:val="0"/>
          <w:sz w:val="21"/>
          <w:szCs w:val="21"/>
          <w:lang w:val="en-US" w:eastAsia="zh-CN" w:bidi="ar-SA"/>
        </w:rPr>
      </w:pPr>
    </w:p>
    <w:p>
      <w:pPr>
        <w:numPr>
          <w:ilvl w:val="0"/>
          <w:numId w:val="0"/>
        </w:num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附件三</w:t>
      </w:r>
    </w:p>
    <w:p>
      <w:pPr>
        <w:snapToGrid w:val="0"/>
        <w:spacing w:line="360" w:lineRule="auto"/>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付款</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 本合同使用货币种类为人民币。</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 付款方式：转账[现金/支票]。双方采用转账方式付款的，甲方应向乙方以下账户进行付费：</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乙方：</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开户行：</w:t>
      </w:r>
    </w:p>
    <w:p>
      <w:pPr>
        <w:snapToGrid w:val="0"/>
        <w:spacing w:line="360" w:lineRule="auto"/>
        <w:ind w:left="487" w:leftChars="232" w:firstLine="0" w:firstLineChars="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账户名称：</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账号：</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乙方如需改变上述账户，应提前10日以书面通知甲方。</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3. 付款安排</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甲方应于验收合格且收到乙方提供的足额有效增值税专用发票后10个工作日内，将合同价款           元支付给乙方。</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4.增值税专用发票的相关约定</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 xml:space="preserve">（1）乙方应向甲方开具增值税专用发票，甲方开票信息如下： </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公司名称：中国人民财产保险股份有限公司阿克苏地区分公司</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纳税识别号：9165290192969032XA</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银行账号：3014020209023100105</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开户银行：中国工商银行股份有限公司阿克苏解放路支行</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开票地址：新疆阿克苏地区阿克苏市北京路51号(原市政府综合办公楼)</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开票电话：0997-2528657</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附件四</w:t>
      </w:r>
    </w:p>
    <w:p>
      <w:pPr>
        <w:snapToGrid w:val="0"/>
        <w:spacing w:line="360" w:lineRule="auto"/>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双方的权利和义务</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 甲方的权利和义务：</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（1）指派专门人员参与乙方提供服务时需要甲方参与的工作过程；</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（2）配合提供乙方完成服务所必要的数据、信息、背景材料等资料；</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（3）提供广告设计样本和投放内容，并对所提供的设计稿件本身及其内容的真实性、合法性、知识产权的独立性等承担全部责任；</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（4）广告版面设计内容和最终样本由甲方确定，乙方不得修改。甲方对广告投放内容可以随时提出修改要求，并及时以书面形式通知乙方，乙方在收到文件后的当天开始按新的要求执行；</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（5）乙方广告投放的总体额度、制作品质等所有标准一律由甲方确定；</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（6）评估乙方服务质量和履行承诺情况；</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（7）如甲方与乙方其他客户同时选中相同点位，甲方享有优先投放权；</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（8）甲方对乙方代理的广告投放情况随时进行检查，方式为实地检查或委托检查，乙方必须予以积极全面配合。经甲方检查发现不合格的，乙方应当负责在5个工作日内完成整改；</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（9）本合同其他条款中约定的甲方的权利和义务。</w:t>
      </w:r>
    </w:p>
    <w:p>
      <w:pPr>
        <w:snapToGrid w:val="0"/>
        <w:spacing w:line="360" w:lineRule="auto"/>
        <w:ind w:firstLine="210" w:firstLineChars="1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2.乙方的权利和义务：</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（1）乙方在本合同有效期内，有权代理经甲方核准后的广告投放的相关事项，包括和广告位合法出租人进行谈判，拟定乙方承租的价格、期限和其它条件等；</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（2）乙方必须遵守甲方制定的各项投放标准、工作流程及各项要求；</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3）乙方在本合同有效期内不再为其他财产保险公司进行广告代理投放；乙方服务团队成员有4人，乙方人员如需变更应提前两周与甲方协调并取得同意，并保证未经甲方同意该团队成员在本合同有效期内不再为其他财产保险公司服务；</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（4）乙方须向甲方提供每块广告媒介的授权证明；</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（5）单块广告媒介的投放期限超过本合同有效期的，乙方应依据该广告媒介确认书的投放期限，完成甲方广告的维护等服务管理工作；</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6）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10%的违约金，如违约金不足以弥补甲方损失的，超出部分由乙方继续承担赔偿责任；</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（7）乙方承担由于自身或合作施工单位由于广告投放效果与原广告设计偏差原因造成的损失；</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8）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（9）未经甲方同意，乙方不得擅自更改广告的任何内容；</w:t>
      </w:r>
    </w:p>
    <w:p>
      <w:pPr>
        <w:snapToGrid w:val="0"/>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（10）本合同其他条款中约定的乙方的权利和义务。</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jc w:val="both"/>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jc w:val="both"/>
        <w:rPr>
          <w:rFonts w:hint="eastAsia" w:ascii="仿宋_GB2312" w:hAnsi="仿宋_GB2312" w:eastAsia="仿宋_GB2312" w:cs="仿宋_GB2312"/>
          <w:b w:val="0"/>
          <w:bCs w:val="0"/>
          <w:color w:val="auto"/>
          <w:spacing w:val="0"/>
          <w:kern w:val="0"/>
          <w:sz w:val="21"/>
          <w:szCs w:val="21"/>
          <w:lang w:val="en-US" w:eastAsia="zh-CN" w:bidi="ar-SA"/>
        </w:rPr>
      </w:pPr>
    </w:p>
    <w:p>
      <w:pPr>
        <w:snapToGrid w:val="0"/>
        <w:spacing w:line="360" w:lineRule="auto"/>
        <w:jc w:val="both"/>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附件五</w:t>
      </w:r>
    </w:p>
    <w:p>
      <w:pPr>
        <w:snapToGrid w:val="0"/>
        <w:spacing w:line="360" w:lineRule="auto"/>
        <w:jc w:val="center"/>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违约责任</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1.乙方瑕疵履行的违约责任</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1）如因乙方原因发生影响广告正常投放的故障，且合同价款支付当期（指合同中约定的合同价款的每个支付期间）故障未超过7天（含）的，甲方有权在当期剩余合同价款中扣除故障天数对应的合同价款；如因乙方原因影响广告正常投放故障超过7天的，甲方有权解除本合同并要求乙方返还相应的合同价款，返还价款=日均合同价款*（约定广告期总天数-已履行投放天数）。</w:t>
      </w:r>
    </w:p>
    <w:p>
      <w:pPr>
        <w:snapToGrid w:val="0"/>
        <w:spacing w:line="360" w:lineRule="auto"/>
        <w:ind w:firstLine="48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如因非可归责于乙方的原因发生广告正常投放的故障情况，或出现广告媒体周边的任何建筑、设施或者物体影响广告正常投放的情形，或道路封堵等其他导致无法达到广告投放目的或效果的情况的，乙方应尽快通知甲方并设法排除，并负责安排和协调广告位出租人以1：1的原则延迟投放时间的方式予以补偿，即发生故障一日不能正常投放补偿一日投放期。如乙方未能按照前述补偿方案执行，除退还甲方广告投放受影响天数的相应合同价款外，需要以相应合同价款一倍的金额补偿甲方，甲方在补偿投放、补偿金或其他弥补方式完成后7个工作日内向乙方支付当期的剩余代理费。</w:t>
      </w:r>
    </w:p>
    <w:p>
      <w:pPr>
        <w:spacing w:line="360" w:lineRule="auto"/>
        <w:ind w:firstLine="420" w:firstLineChars="2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2.除合同约定的违约责任以外，任何一方存在以下约定情形的，应承担相应的违约责任：</w:t>
      </w:r>
    </w:p>
    <w:p>
      <w:pPr>
        <w:snapToGrid w:val="0"/>
        <w:spacing w:line="360" w:lineRule="auto"/>
        <w:ind w:firstLine="630" w:firstLineChars="300"/>
        <w:rPr>
          <w:rFonts w:hint="eastAsia" w:ascii="仿宋_GB2312" w:hAnsi="仿宋_GB2312" w:eastAsia="仿宋_GB2312" w:cs="仿宋_GB2312"/>
          <w:b w:val="0"/>
          <w:bCs w:val="0"/>
          <w:color w:val="auto"/>
          <w:spacing w:val="0"/>
          <w:kern w:val="0"/>
          <w:sz w:val="21"/>
          <w:szCs w:val="21"/>
          <w:lang w:val="en-US" w:eastAsia="zh-CN" w:bidi="ar-SA"/>
        </w:rPr>
      </w:pPr>
      <w:r>
        <w:rPr>
          <w:rFonts w:hint="eastAsia" w:ascii="仿宋_GB2312" w:hAnsi="仿宋_GB2312" w:eastAsia="仿宋_GB2312" w:cs="仿宋_GB2312"/>
          <w:b w:val="0"/>
          <w:bCs w:val="0"/>
          <w:color w:val="auto"/>
          <w:spacing w:val="0"/>
          <w:kern w:val="0"/>
          <w:sz w:val="21"/>
          <w:szCs w:val="21"/>
          <w:lang w:val="en-US" w:eastAsia="zh-CN" w:bidi="ar-SA"/>
        </w:rPr>
        <w:t>无其他违约责任</w:t>
      </w:r>
    </w:p>
    <w:p>
      <w:pPr>
        <w:pStyle w:val="2"/>
        <w:rPr>
          <w:rFonts w:hint="eastAsia"/>
        </w:rPr>
        <w:sectPr>
          <w:headerReference r:id="rId8" w:type="default"/>
          <w:footerReference r:id="rId9" w:type="default"/>
          <w:pgSz w:w="11906" w:h="16838"/>
          <w:pgMar w:top="1417" w:right="1134" w:bottom="1134" w:left="1134" w:header="851" w:footer="992" w:gutter="0"/>
          <w:cols w:space="720" w:num="1"/>
          <w:titlePg/>
          <w:docGrid w:type="lines" w:linePitch="312" w:charSpace="0"/>
        </w:sectPr>
      </w:pPr>
    </w:p>
    <w:bookmarkEnd w:id="117"/>
    <w:bookmarkEnd w:id="118"/>
    <w:p>
      <w:pPr>
        <w:pStyle w:val="3"/>
        <w:spacing w:before="0" w:after="0" w:line="360" w:lineRule="auto"/>
        <w:jc w:val="center"/>
        <w:rPr>
          <w:rFonts w:hint="eastAsia" w:ascii="仿宋" w:hAnsi="仿宋" w:eastAsia="仿宋" w:cs="仿宋"/>
          <w:color w:val="000000" w:themeColor="text1"/>
          <w:highlight w:val="none"/>
          <w14:textFill>
            <w14:solidFill>
              <w14:schemeClr w14:val="tx1"/>
            </w14:solidFill>
          </w14:textFill>
        </w:rPr>
      </w:pPr>
      <w:bookmarkStart w:id="135" w:name="_Toc24143"/>
      <w:bookmarkStart w:id="136" w:name="_Toc24217"/>
      <w:bookmarkStart w:id="137" w:name="_Toc16424"/>
      <w:bookmarkStart w:id="138" w:name="_Toc28349"/>
      <w:bookmarkStart w:id="139" w:name="_Toc444891347"/>
      <w:bookmarkStart w:id="140" w:name="_Toc517281828"/>
      <w:bookmarkStart w:id="141" w:name="_Toc22083"/>
      <w:r>
        <w:rPr>
          <w:rFonts w:hint="eastAsia" w:ascii="仿宋" w:hAnsi="仿宋" w:eastAsia="仿宋" w:cs="仿宋"/>
          <w:color w:val="000000" w:themeColor="text1"/>
          <w:sz w:val="28"/>
          <w:szCs w:val="28"/>
          <w:highlight w:val="none"/>
          <w14:textFill>
            <w14:solidFill>
              <w14:schemeClr w14:val="tx1"/>
            </w14:solidFill>
          </w14:textFill>
        </w:rPr>
        <w:t xml:space="preserve">第五章 </w:t>
      </w:r>
      <w:bookmarkEnd w:id="135"/>
      <w:bookmarkEnd w:id="136"/>
      <w:bookmarkEnd w:id="137"/>
      <w:bookmarkEnd w:id="138"/>
      <w:bookmarkEnd w:id="139"/>
      <w:r>
        <w:rPr>
          <w:rFonts w:hint="eastAsia" w:ascii="仿宋" w:hAnsi="仿宋" w:eastAsia="仿宋" w:cs="仿宋"/>
          <w:color w:val="000000" w:themeColor="text1"/>
          <w:sz w:val="28"/>
          <w:szCs w:val="28"/>
          <w:highlight w:val="none"/>
          <w14:textFill>
            <w14:solidFill>
              <w14:schemeClr w14:val="tx1"/>
            </w14:solidFill>
          </w14:textFill>
        </w:rPr>
        <w:t>采购需求</w:t>
      </w:r>
      <w:bookmarkEnd w:id="140"/>
      <w:bookmarkEnd w:id="141"/>
    </w:p>
    <w:p>
      <w:pPr>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rPr>
          <w:rFonts w:hint="eastAsia" w:ascii="仿宋_GB2312" w:hAnsi="仿宋_GB2312" w:eastAsia="仿宋_GB2312" w:cs="仿宋_GB2312"/>
          <w:b/>
          <w:bCs/>
          <w:spacing w:val="0"/>
          <w:kern w:val="0"/>
          <w:sz w:val="21"/>
          <w:szCs w:val="21"/>
          <w:lang w:val="en-US" w:eastAsia="zh-CN"/>
        </w:rPr>
      </w:pPr>
      <w:bookmarkStart w:id="142" w:name="_Toc517281835"/>
      <w:bookmarkStart w:id="143" w:name="_Toc17141"/>
      <w:bookmarkStart w:id="144" w:name="_Toc11206"/>
      <w:bookmarkStart w:id="145" w:name="_Toc287600128"/>
      <w:bookmarkStart w:id="146" w:name="_Toc21125"/>
      <w:bookmarkStart w:id="147" w:name="_Toc444891352"/>
      <w:bookmarkStart w:id="148" w:name="_Toc10693"/>
      <w:r>
        <w:rPr>
          <w:rFonts w:hint="eastAsia" w:ascii="仿宋_GB2312" w:hAnsi="仿宋_GB2312" w:eastAsia="仿宋_GB2312" w:cs="仿宋_GB2312"/>
          <w:b/>
          <w:bCs/>
          <w:spacing w:val="0"/>
          <w:kern w:val="0"/>
          <w:sz w:val="21"/>
          <w:szCs w:val="21"/>
          <w:lang w:val="en-US" w:eastAsia="zh-CN"/>
        </w:rPr>
        <w:t>一、采购需求</w:t>
      </w:r>
    </w:p>
    <w:p>
      <w:pPr>
        <w:pStyle w:val="126"/>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eastAsia="仿宋_GB2312"/>
          <w:sz w:val="21"/>
          <w:szCs w:val="21"/>
          <w:highlight w:val="none"/>
          <w:lang w:eastAsia="zh-CN"/>
          <w14:ligatures w14:val="none"/>
        </w:rPr>
      </w:pPr>
      <w:r>
        <w:rPr>
          <w:rFonts w:hint="eastAsia" w:ascii="仿宋_GB2312" w:hAnsi="Times New Roman" w:eastAsia="仿宋_GB2312" w:cs="Times New Roman"/>
          <w:sz w:val="21"/>
          <w:szCs w:val="21"/>
          <w:lang w:val="en-US" w:eastAsia="zh-CN" w:bidi="ar-SA"/>
        </w:rPr>
        <w:t>本项目拟选定1家供应商，为</w:t>
      </w:r>
      <w:r>
        <w:rPr>
          <w:rFonts w:hint="eastAsia" w:ascii="仿宋_GB2312" w:eastAsia="仿宋_GB2312" w:cs="Times New Roman"/>
          <w:sz w:val="21"/>
          <w:szCs w:val="21"/>
          <w:lang w:val="en-US" w:eastAsia="zh-CN" w:bidi="ar-SA"/>
        </w:rPr>
        <w:t>采购方</w:t>
      </w:r>
      <w:r>
        <w:rPr>
          <w:rFonts w:hint="eastAsia" w:ascii="仿宋_GB2312" w:hAnsi="Times New Roman" w:eastAsia="仿宋_GB2312" w:cs="Times New Roman"/>
          <w:sz w:val="21"/>
          <w:szCs w:val="21"/>
          <w:lang w:val="en-US" w:eastAsia="zh-CN" w:bidi="ar-SA"/>
        </w:rPr>
        <w:t>提供为期</w:t>
      </w:r>
      <w:r>
        <w:rPr>
          <w:rFonts w:hint="eastAsia" w:ascii="仿宋_GB2312" w:eastAsia="仿宋_GB2312" w:cs="Times New Roman"/>
          <w:sz w:val="21"/>
          <w:szCs w:val="21"/>
          <w:lang w:val="en-US" w:eastAsia="zh-CN" w:bidi="ar-SA"/>
        </w:rPr>
        <w:t>12个月</w:t>
      </w:r>
      <w:r>
        <w:rPr>
          <w:rFonts w:hint="eastAsia" w:ascii="仿宋_GB2312" w:hAnsi="Times New Roman" w:eastAsia="仿宋_GB2312" w:cs="Times New Roman"/>
          <w:sz w:val="21"/>
          <w:szCs w:val="21"/>
          <w:lang w:val="en-US" w:eastAsia="zh-CN" w:bidi="ar-SA"/>
        </w:rPr>
        <w:t>的</w:t>
      </w:r>
      <w:r>
        <w:rPr>
          <w:rFonts w:hint="eastAsia" w:ascii="仿宋_GB2312" w:eastAsia="仿宋_GB2312" w:cs="Times New Roman"/>
          <w:sz w:val="21"/>
          <w:szCs w:val="21"/>
          <w:lang w:val="en-US" w:eastAsia="zh-CN" w:bidi="ar-SA"/>
        </w:rPr>
        <w:t>电影院映前</w:t>
      </w:r>
      <w:r>
        <w:rPr>
          <w:rFonts w:hint="eastAsia" w:ascii="仿宋_GB2312" w:hAnsi="Times New Roman" w:eastAsia="仿宋_GB2312" w:cs="Times New Roman"/>
          <w:sz w:val="21"/>
          <w:szCs w:val="21"/>
          <w:lang w:val="en-US" w:eastAsia="zh-CN" w:bidi="ar-SA"/>
        </w:rPr>
        <w:t>广告</w:t>
      </w:r>
      <w:r>
        <w:rPr>
          <w:rFonts w:hint="eastAsia" w:ascii="仿宋_GB2312" w:eastAsia="仿宋_GB2312" w:cs="Times New Roman"/>
          <w:sz w:val="21"/>
          <w:szCs w:val="21"/>
          <w:lang w:val="en-US" w:eastAsia="zh-CN" w:bidi="ar-SA"/>
        </w:rPr>
        <w:t>投放</w:t>
      </w:r>
      <w:r>
        <w:rPr>
          <w:rFonts w:hint="eastAsia" w:ascii="仿宋_GB2312" w:hAnsi="Times New Roman" w:eastAsia="仿宋_GB2312" w:cs="Times New Roman"/>
          <w:sz w:val="21"/>
          <w:szCs w:val="21"/>
          <w:lang w:val="en-US" w:eastAsia="zh-CN" w:bidi="ar-SA"/>
        </w:rPr>
        <w:t>服务。服务内容明确如下：覆盖4个影厅，投放</w:t>
      </w:r>
      <w:r>
        <w:rPr>
          <w:rFonts w:hint="eastAsia" w:ascii="仿宋_GB2312" w:eastAsia="仿宋_GB2312" w:cs="Times New Roman"/>
          <w:sz w:val="21"/>
          <w:szCs w:val="21"/>
          <w:lang w:val="en-US" w:eastAsia="zh-CN" w:bidi="ar-SA"/>
        </w:rPr>
        <w:t>采购方</w:t>
      </w:r>
      <w:r>
        <w:rPr>
          <w:rFonts w:hint="eastAsia" w:ascii="仿宋_GB2312" w:hAnsi="Times New Roman" w:eastAsia="仿宋_GB2312" w:cs="Times New Roman"/>
          <w:sz w:val="21"/>
          <w:szCs w:val="21"/>
          <w:lang w:val="en-US" w:eastAsia="zh-CN" w:bidi="ar-SA"/>
        </w:rPr>
        <w:t>车险广告，确保每场电影放映前按约定频次播出。</w:t>
      </w:r>
    </w:p>
    <w:p>
      <w:pPr>
        <w:pStyle w:val="126"/>
        <w:keepNext w:val="0"/>
        <w:keepLines w:val="0"/>
        <w:pageBreakBefore w:val="0"/>
        <w:numPr>
          <w:ilvl w:val="0"/>
          <w:numId w:val="6"/>
        </w:numPr>
        <w:kinsoku/>
        <w:wordWrap/>
        <w:overflowPunct/>
        <w:topLinePunct w:val="0"/>
        <w:autoSpaceDE/>
        <w:autoSpaceDN/>
        <w:bidi w:val="0"/>
        <w:adjustRightInd/>
        <w:snapToGrid/>
        <w:spacing w:line="360" w:lineRule="auto"/>
        <w:ind w:left="0" w:firstLine="422" w:firstLineChars="200"/>
        <w:textAlignment w:val="auto"/>
        <w:rPr>
          <w:rFonts w:hint="eastAsia" w:ascii="仿宋_GB2312" w:hAnsi="宋体" w:eastAsia="仿宋_GB2312" w:cs="宋体"/>
          <w:b/>
          <w:sz w:val="21"/>
          <w:szCs w:val="21"/>
          <w:lang w:val="en-US" w:eastAsia="zh-CN"/>
        </w:rPr>
      </w:pPr>
      <w:r>
        <w:rPr>
          <w:rFonts w:hint="eastAsia" w:ascii="仿宋_GB2312" w:hAnsi="宋体" w:eastAsia="仿宋_GB2312" w:cs="宋体"/>
          <w:b/>
          <w:sz w:val="21"/>
          <w:szCs w:val="21"/>
          <w:lang w:val="en-US" w:eastAsia="zh-CN"/>
        </w:rPr>
        <w:t>质量标准及技术服务标准</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kern w:val="0"/>
          <w:sz w:val="21"/>
          <w:szCs w:val="21"/>
          <w:highlight w:val="none"/>
          <w:lang w:val="en-US" w:eastAsia="zh-CN"/>
        </w:rPr>
      </w:pPr>
      <w:r>
        <w:rPr>
          <w:rFonts w:hint="eastAsia" w:ascii="仿宋_GB2312" w:hAnsi="仿宋_GB2312" w:eastAsia="仿宋_GB2312" w:cs="仿宋_GB2312"/>
          <w:kern w:val="0"/>
          <w:sz w:val="21"/>
          <w:szCs w:val="21"/>
          <w:highlight w:val="none"/>
          <w:lang w:val="en-US" w:eastAsia="zh-CN"/>
        </w:rPr>
        <w:t>1.画面与声音：必须采用数字拷贝或高清数字信号，画质需无抖动、清晰完整。声音必须与正片响度一致，不允许出现静音或音量过小的情况。</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kern w:val="0"/>
          <w:sz w:val="21"/>
          <w:szCs w:val="21"/>
          <w:highlight w:val="none"/>
          <w:lang w:val="en-US" w:eastAsia="zh-CN"/>
        </w:rPr>
      </w:pPr>
      <w:r>
        <w:rPr>
          <w:rFonts w:hint="eastAsia" w:ascii="仿宋_GB2312" w:hAnsi="仿宋_GB2312" w:eastAsia="仿宋_GB2312" w:cs="仿宋_GB2312"/>
          <w:kern w:val="0"/>
          <w:sz w:val="21"/>
          <w:szCs w:val="21"/>
          <w:highlight w:val="none"/>
          <w:lang w:val="en-US" w:eastAsia="zh-CN"/>
        </w:rPr>
        <w:t>2.播放位置：广告必须在每场电影正片开始前、龙标（公映许可证）出现前的“映前广告时段”内播放，不得在正片开始后以任何形式插播。</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kern w:val="0"/>
          <w:sz w:val="21"/>
          <w:szCs w:val="21"/>
          <w:highlight w:val="none"/>
          <w:lang w:val="en-US" w:eastAsia="zh-CN"/>
        </w:rPr>
      </w:pPr>
      <w:r>
        <w:rPr>
          <w:rFonts w:hint="eastAsia" w:ascii="仿宋_GB2312" w:hAnsi="仿宋_GB2312" w:eastAsia="仿宋_GB2312" w:cs="仿宋_GB2312"/>
          <w:kern w:val="0"/>
          <w:sz w:val="21"/>
          <w:szCs w:val="21"/>
          <w:highlight w:val="none"/>
          <w:lang w:val="en-US" w:eastAsia="zh-CN"/>
        </w:rPr>
        <w:t>3.投放频次：广告须覆盖合同约定的全部影厅及全部电影场次（含首映场、普通场、午夜场），即100%影厅、100%场次投放。</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kern w:val="0"/>
          <w:sz w:val="21"/>
          <w:szCs w:val="21"/>
          <w:highlight w:val="none"/>
          <w:lang w:val="en-US" w:eastAsia="zh-CN"/>
        </w:rPr>
      </w:pPr>
      <w:r>
        <w:rPr>
          <w:rFonts w:hint="eastAsia" w:ascii="仿宋_GB2312" w:hAnsi="仿宋_GB2312" w:eastAsia="仿宋_GB2312" w:cs="仿宋_GB2312"/>
          <w:kern w:val="0"/>
          <w:sz w:val="21"/>
          <w:szCs w:val="21"/>
          <w:highlight w:val="none"/>
          <w:lang w:val="en-US" w:eastAsia="zh-CN"/>
        </w:rPr>
        <w:t>4. 播放时长：单支广告时长按合同约定执行，单场次内本项目广告总时长不得超过约定分钟数。</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5.遵循人保VI体系，禁用杂乱配色使用文字，必须选择笔画清晰、无衬线的字体，字号要足够大，电子屏需保障行驶中播放稳定，无卡顿闪烁，确保显示内容无遮挡，显示完整。</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sz w:val="21"/>
          <w:szCs w:val="21"/>
          <w:highlight w:val="none"/>
          <w:lang w:val="en-US" w:eastAsia="zh-CN" w:bidi="ar-SA"/>
          <w14:ligatures w14:val="none"/>
        </w:rPr>
      </w:pPr>
      <w:r>
        <w:rPr>
          <w:rFonts w:hint="eastAsia" w:ascii="仿宋_GB2312" w:hAnsi="仿宋_GB2312" w:eastAsia="仿宋_GB2312" w:cs="仿宋_GB2312"/>
          <w:sz w:val="21"/>
          <w:szCs w:val="21"/>
          <w:highlight w:val="none"/>
          <w:lang w:val="en-US" w:eastAsia="zh-CN"/>
        </w:rPr>
        <w:t>6.内容必须符合《中华人民共和国广告法》及地方相关管理规定，不得含有虚假、误导性信息，宣传内容需采</w:t>
      </w:r>
      <w:r>
        <w:rPr>
          <w:rFonts w:hint="eastAsia" w:ascii="仿宋_GB2312" w:hAnsi="仿宋_GB2312" w:eastAsia="仿宋_GB2312" w:cs="仿宋_GB2312"/>
          <w:sz w:val="21"/>
          <w:szCs w:val="21"/>
          <w:highlight w:val="none"/>
          <w:lang w:val="en-US" w:eastAsia="zh-CN" w:bidi="ar-SA"/>
        </w:rPr>
        <w:t>购方审核同意后发布，广告公司不得擅自修改核心信息。</w:t>
      </w:r>
    </w:p>
    <w:p>
      <w:pPr>
        <w:pStyle w:val="126"/>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sz w:val="21"/>
          <w:szCs w:val="21"/>
          <w:highlight w:val="none"/>
          <w:lang w:val="en-US" w:eastAsia="zh-CN"/>
          <w14:ligatures w14:val="none"/>
        </w:rPr>
      </w:pPr>
      <w:r>
        <w:rPr>
          <w:rFonts w:hint="eastAsia" w:ascii="仿宋_GB2312" w:hAnsi="仿宋_GB2312" w:eastAsia="仿宋_GB2312" w:cs="仿宋_GB2312"/>
          <w:sz w:val="21"/>
          <w:szCs w:val="21"/>
          <w:highlight w:val="none"/>
          <w:lang w:val="en-US" w:eastAsia="zh-CN" w:bidi="ar-SA"/>
        </w:rPr>
        <w:t>7.供应商在投放广告之前需取得电影院的广告投放许可授权。</w:t>
      </w:r>
    </w:p>
    <w:p>
      <w:pPr>
        <w:pStyle w:val="126"/>
        <w:keepNext w:val="0"/>
        <w:keepLines w:val="0"/>
        <w:pageBreakBefore w:val="0"/>
        <w:numPr>
          <w:ilvl w:val="0"/>
          <w:numId w:val="0"/>
        </w:numPr>
        <w:kinsoku/>
        <w:wordWrap/>
        <w:overflowPunct/>
        <w:topLinePunct w:val="0"/>
        <w:autoSpaceDE/>
        <w:autoSpaceDN/>
        <w:bidi w:val="0"/>
        <w:adjustRightInd/>
        <w:snapToGrid/>
        <w:spacing w:line="360" w:lineRule="auto"/>
        <w:ind w:left="0" w:firstLine="422" w:firstLineChars="200"/>
        <w:textAlignment w:val="auto"/>
        <w:rPr>
          <w:rFonts w:hint="default" w:ascii="仿宋_GB2312" w:hAnsi="宋体" w:eastAsia="仿宋_GB2312" w:cs="宋体"/>
          <w:b/>
          <w:bCs/>
          <w:sz w:val="21"/>
          <w:szCs w:val="21"/>
          <w:highlight w:val="none"/>
          <w:lang w:val="en-US" w:eastAsia="zh-CN" w:bidi="ar-SA"/>
        </w:rPr>
      </w:pPr>
      <w:r>
        <w:rPr>
          <w:rFonts w:hint="eastAsia" w:ascii="仿宋_GB2312" w:hAnsi="宋体" w:eastAsia="仿宋_GB2312" w:cs="宋体"/>
          <w:b/>
          <w:bCs/>
          <w:sz w:val="21"/>
          <w:szCs w:val="21"/>
          <w:highlight w:val="none"/>
          <w:lang w:val="en-US" w:eastAsia="zh-CN" w:bidi="ar-SA"/>
        </w:rPr>
        <w:t>（二）验收</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广告投放至相应影厅后，由供应商通知采购方进行验收。采购方应在收到通知后 3个工作日内完成对广告内容及投放质量的验收，并签署《验收单》。验收通过后，正式进入广告投放期限计算。</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如验收不通过，供应商须在3个工作日内完成整改，并再次通知采购方验收；整改期间不计入投放期限。</w:t>
      </w:r>
    </w:p>
    <w:p>
      <w:pPr>
        <w:pStyle w:val="126"/>
        <w:keepNext w:val="0"/>
        <w:keepLines w:val="0"/>
        <w:pageBreakBefore w:val="0"/>
        <w:numPr>
          <w:ilvl w:val="0"/>
          <w:numId w:val="0"/>
        </w:numPr>
        <w:kinsoku/>
        <w:wordWrap/>
        <w:overflowPunct/>
        <w:topLinePunct w:val="0"/>
        <w:autoSpaceDE/>
        <w:autoSpaceDN/>
        <w:bidi w:val="0"/>
        <w:adjustRightInd/>
        <w:snapToGrid/>
        <w:spacing w:line="360" w:lineRule="auto"/>
        <w:ind w:left="0" w:firstLine="422" w:firstLineChars="200"/>
        <w:textAlignment w:val="auto"/>
        <w:rPr>
          <w:rFonts w:hint="default" w:ascii="Calibri" w:hAnsi="Calibri" w:eastAsia="仿宋_GB2312" w:cs="Times New Roman"/>
          <w:b/>
          <w:bCs/>
          <w:sz w:val="21"/>
          <w:szCs w:val="21"/>
          <w:lang w:val="en-US" w:eastAsia="zh-CN" w:bidi="ar-SA"/>
        </w:rPr>
      </w:pPr>
      <w:r>
        <w:rPr>
          <w:rFonts w:hint="eastAsia" w:ascii="Calibri" w:hAnsi="Calibri" w:eastAsia="仿宋_GB2312" w:cs="Times New Roman"/>
          <w:b/>
          <w:bCs/>
          <w:sz w:val="21"/>
          <w:szCs w:val="21"/>
          <w:lang w:val="en-US" w:eastAsia="zh-CN" w:bidi="ar-SA"/>
        </w:rPr>
        <w:t>（三）付款安排</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仿宋" w:hAnsi="仿宋" w:eastAsia="仿宋" w:cs="仿宋"/>
          <w:color w:val="000000"/>
          <w:sz w:val="28"/>
          <w:szCs w:val="28"/>
          <w:highlight w:val="none"/>
        </w:rPr>
      </w:pPr>
      <w:r>
        <w:rPr>
          <w:rFonts w:hint="eastAsia" w:ascii="仿宋_GB2312" w:hAnsi="仿宋_GB2312" w:eastAsia="仿宋_GB2312" w:cs="仿宋_GB2312"/>
          <w:sz w:val="21"/>
          <w:szCs w:val="21"/>
          <w:lang w:val="en-US" w:eastAsia="zh-CN"/>
        </w:rPr>
        <w:t>验收通过后，供应商提供广告投放照片及合规的增值税发票，采购方收到上述材料后一次性支付全款。</w:t>
      </w:r>
      <w:r>
        <w:rPr>
          <w:rFonts w:hint="eastAsia" w:ascii="仿宋" w:hAnsi="仿宋" w:eastAsia="仿宋" w:cs="仿宋"/>
          <w:color w:val="000000"/>
          <w:sz w:val="28"/>
          <w:szCs w:val="28"/>
          <w:highlight w:val="none"/>
        </w:rPr>
        <w:br w:type="page"/>
      </w:r>
      <w:bookmarkStart w:id="149" w:name="_Toc3675"/>
      <w:r>
        <w:rPr>
          <w:rFonts w:hint="eastAsia" w:ascii="仿宋" w:hAnsi="仿宋" w:eastAsia="仿宋" w:cs="仿宋"/>
          <w:color w:val="000000"/>
          <w:sz w:val="28"/>
          <w:szCs w:val="28"/>
          <w:highlight w:val="none"/>
        </w:rPr>
        <w:t>第六章 响应文件格式</w:t>
      </w:r>
      <w:bookmarkEnd w:id="142"/>
      <w:bookmarkEnd w:id="143"/>
      <w:bookmarkEnd w:id="144"/>
      <w:bookmarkEnd w:id="145"/>
      <w:bookmarkEnd w:id="146"/>
      <w:bookmarkEnd w:id="147"/>
      <w:bookmarkEnd w:id="148"/>
      <w:bookmarkEnd w:id="149"/>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6"/>
              <w:ind w:right="-284" w:firstLine="2240"/>
              <w:rPr>
                <w:rFonts w:hint="eastAsia" w:ascii="仿宋" w:hAnsi="仿宋" w:eastAsia="仿宋" w:cs="仿宋"/>
                <w:color w:val="000000"/>
                <w:sz w:val="28"/>
                <w:highlight w:val="none"/>
                <w:u w:val="single"/>
              </w:rPr>
            </w:pPr>
          </w:p>
          <w:p>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eastAsia="zh-CN"/>
              </w:rPr>
              <w:t>比选</w:t>
            </w:r>
            <w:r>
              <w:rPr>
                <w:rFonts w:hint="eastAsia" w:ascii="仿宋" w:hAnsi="仿宋" w:eastAsia="仿宋" w:cs="仿宋"/>
                <w:color w:val="000000"/>
                <w:sz w:val="52"/>
                <w:highlight w:val="none"/>
              </w:rPr>
              <w:t>响应文件</w:t>
            </w:r>
          </w:p>
          <w:p>
            <w:pPr>
              <w:pStyle w:val="156"/>
              <w:spacing w:before="624" w:after="156" w:line="160" w:lineRule="atLeast"/>
              <w:ind w:right="-284"/>
              <w:jc w:val="center"/>
              <w:rPr>
                <w:rFonts w:hint="eastAsia" w:ascii="仿宋" w:hAnsi="仿宋" w:eastAsia="仿宋" w:cs="仿宋"/>
                <w:color w:val="000000"/>
                <w:sz w:val="52"/>
                <w:highlight w:val="none"/>
              </w:rPr>
            </w:pPr>
          </w:p>
          <w:p>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6"/>
              <w:spacing w:after="624"/>
              <w:ind w:right="-284"/>
              <w:jc w:val="center"/>
              <w:rPr>
                <w:rFonts w:hint="eastAsia" w:ascii="仿宋" w:hAnsi="仿宋" w:eastAsia="仿宋" w:cs="仿宋"/>
                <w:color w:val="000000"/>
                <w:sz w:val="24"/>
                <w:highlight w:val="none"/>
              </w:rPr>
            </w:pPr>
          </w:p>
          <w:p>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年</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月</w:t>
            </w:r>
            <w:r>
              <w:rPr>
                <w:rFonts w:hint="eastAsia" w:ascii="仿宋" w:hAnsi="仿宋" w:eastAsia="仿宋" w:cs="仿宋"/>
                <w:b/>
                <w:color w:val="000000"/>
                <w:highlight w:val="none"/>
                <w:lang w:val="en-US" w:eastAsia="zh-CN"/>
              </w:rPr>
              <w:t xml:space="preserve">  </w:t>
            </w:r>
            <w:r>
              <w:rPr>
                <w:rFonts w:hint="eastAsia" w:ascii="仿宋" w:hAnsi="仿宋" w:eastAsia="仿宋" w:cs="仿宋"/>
                <w:b/>
                <w:color w:val="000000"/>
                <w:highlight w:val="none"/>
              </w:rPr>
              <w:t>日时分之前不准启封（公章）------------</w:t>
            </w:r>
          </w:p>
        </w:tc>
      </w:tr>
    </w:tbl>
    <w:p>
      <w:pPr>
        <w:rPr>
          <w:rFonts w:hint="eastAsia" w:ascii="仿宋" w:hAnsi="仿宋" w:eastAsia="仿宋" w:cs="仿宋"/>
          <w:color w:val="000000"/>
          <w:kern w:val="0"/>
          <w:szCs w:val="21"/>
          <w:highlight w:val="none"/>
        </w:rPr>
      </w:pPr>
    </w:p>
    <w:p>
      <w:pPr>
        <w:pStyle w:val="4"/>
        <w:numPr>
          <w:ilvl w:val="0"/>
          <w:numId w:val="0"/>
        </w:numPr>
        <w:ind w:leftChars="0"/>
        <w:jc w:val="both"/>
        <w:rPr>
          <w:rFonts w:ascii="仿宋" w:hAnsi="仿宋" w:eastAsia="仿宋" w:cs="仿宋"/>
          <w:color w:val="000000"/>
          <w:sz w:val="24"/>
          <w:szCs w:val="24"/>
          <w:highlight w:val="none"/>
        </w:rPr>
      </w:pPr>
      <w:bookmarkStart w:id="150" w:name="_Toc3936"/>
      <w:bookmarkStart w:id="151" w:name="_Toc19783362"/>
      <w:bookmarkStart w:id="152" w:name="_Toc517281836"/>
      <w:bookmarkStart w:id="153" w:name="_Toc11783"/>
      <w:bookmarkStart w:id="154" w:name="_Toc21280"/>
      <w:bookmarkStart w:id="155" w:name="_Toc19910"/>
      <w:bookmarkStart w:id="156" w:name="_Toc444891353"/>
      <w:bookmarkStart w:id="157" w:name="_Toc25957"/>
      <w:bookmarkStart w:id="158" w:name="_Toc287600131"/>
      <w:bookmarkStart w:id="159" w:name="_Toc287600129"/>
      <w:bookmarkStart w:id="160" w:name="_Toc19783360"/>
      <w:r>
        <w:rPr>
          <w:rFonts w:ascii="仿宋" w:hAnsi="仿宋" w:eastAsia="仿宋" w:cs="仿宋"/>
          <w:color w:val="000000"/>
          <w:sz w:val="24"/>
          <w:szCs w:val="24"/>
          <w:highlight w:val="none"/>
        </w:rPr>
        <w:br w:type="page"/>
      </w:r>
      <w:bookmarkStart w:id="161" w:name="_Toc17191"/>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0"/>
      <w:bookmarkEnd w:id="161"/>
    </w:p>
    <w:p>
      <w:pPr>
        <w:bidi w:val="0"/>
        <w:jc w:val="center"/>
        <w:rPr>
          <w:rFonts w:hint="eastAsia"/>
        </w:rPr>
      </w:pPr>
      <w:bookmarkStart w:id="162" w:name="_Toc26744"/>
      <w:r>
        <w:rPr>
          <w:rFonts w:hint="eastAsia" w:ascii="仿宋" w:hAnsi="仿宋" w:eastAsia="仿宋" w:cs="仿宋"/>
          <w:b/>
          <w:bCs/>
          <w:sz w:val="24"/>
          <w:szCs w:val="24"/>
        </w:rPr>
        <w:t>初步评审索引表</w:t>
      </w:r>
      <w:bookmarkEnd w:id="162"/>
    </w:p>
    <w:tbl>
      <w:tblPr>
        <w:tblStyle w:val="40"/>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299"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6"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6" w:type="dxa"/>
            <w:noWrap w:val="0"/>
            <w:vAlign w:val="center"/>
          </w:tcPr>
          <w:p>
            <w:pPr>
              <w:spacing w:before="24" w:after="24" w:line="276" w:lineRule="auto"/>
              <w:jc w:val="left"/>
              <w:rPr>
                <w:rFonts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6"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6"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6" w:type="dxa"/>
            <w:noWrap w:val="0"/>
            <w:vAlign w:val="center"/>
          </w:tcPr>
          <w:p>
            <w:pPr>
              <w:pStyle w:val="156"/>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299"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9"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9"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4216"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highlight w:val="none"/>
        </w:rPr>
        <w:sectPr>
          <w:footerReference r:id="rId10" w:type="default"/>
          <w:pgSz w:w="11906" w:h="16838"/>
          <w:pgMar w:top="1417" w:right="1134" w:bottom="1134" w:left="1134" w:header="964" w:footer="964" w:gutter="0"/>
          <w:cols w:space="720" w:num="1"/>
          <w:docGrid w:linePitch="312" w:charSpace="0"/>
        </w:sectPr>
      </w:pPr>
    </w:p>
    <w:bookmarkEnd w:id="151"/>
    <w:bookmarkEnd w:id="152"/>
    <w:bookmarkEnd w:id="153"/>
    <w:bookmarkEnd w:id="154"/>
    <w:bookmarkEnd w:id="155"/>
    <w:bookmarkEnd w:id="156"/>
    <w:bookmarkEnd w:id="157"/>
    <w:bookmarkEnd w:id="158"/>
    <w:p>
      <w:pPr>
        <w:bidi w:val="0"/>
        <w:jc w:val="center"/>
        <w:rPr>
          <w:rFonts w:hint="eastAsia" w:ascii="仿宋" w:hAnsi="仿宋" w:eastAsia="仿宋" w:cs="仿宋"/>
          <w:b/>
          <w:bCs/>
          <w:sz w:val="24"/>
          <w:szCs w:val="24"/>
        </w:rPr>
      </w:pPr>
      <w:bookmarkStart w:id="163" w:name="_Toc444891354"/>
      <w:bookmarkStart w:id="164" w:name="_Toc27799"/>
      <w:bookmarkStart w:id="165" w:name="_Toc25121"/>
      <w:bookmarkStart w:id="166" w:name="_Toc517281837"/>
      <w:bookmarkStart w:id="167" w:name="_Toc7202"/>
      <w:bookmarkStart w:id="168" w:name="_Toc12140"/>
      <w:r>
        <w:rPr>
          <w:rFonts w:hint="eastAsia" w:ascii="仿宋" w:hAnsi="仿宋" w:eastAsia="仿宋" w:cs="仿宋"/>
          <w:b/>
          <w:bCs/>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noWrap w:val="0"/>
            <w:tcMar>
              <w:top w:w="15" w:type="dxa"/>
              <w:left w:w="15" w:type="dxa"/>
              <w:right w:w="15" w:type="dxa"/>
            </w:tcMar>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lang w:val="en-US" w:eastAsia="zh-CN"/>
              </w:rPr>
              <w:t>商务部分（10分）</w:t>
            </w:r>
          </w:p>
        </w:tc>
        <w:tc>
          <w:tcPr>
            <w:tcW w:w="2268" w:type="dxa"/>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lang w:val="en-US" w:eastAsia="zh-CN"/>
              </w:rPr>
              <w:t>项目经验（满分10分）：</w:t>
            </w:r>
            <w:r>
              <w:rPr>
                <w:rFonts w:hint="eastAsia" w:ascii="仿宋" w:hAnsi="仿宋" w:eastAsia="仿宋" w:cs="仿宋"/>
                <w:color w:val="000000"/>
                <w:kern w:val="0"/>
                <w:szCs w:val="21"/>
                <w:highlight w:val="none"/>
              </w:rPr>
              <w:t>近3年</w:t>
            </w:r>
            <w:r>
              <w:rPr>
                <w:rFonts w:hint="eastAsia" w:ascii="仿宋" w:hAnsi="仿宋" w:eastAsia="仿宋" w:cs="仿宋"/>
                <w:color w:val="000000"/>
                <w:kern w:val="0"/>
                <w:szCs w:val="21"/>
                <w:highlight w:val="none"/>
                <w:lang w:val="en-US" w:eastAsia="zh-CN"/>
              </w:rPr>
              <w:t>内</w:t>
            </w:r>
            <w:r>
              <w:rPr>
                <w:rFonts w:hint="eastAsia" w:ascii="仿宋" w:hAnsi="仿宋" w:eastAsia="仿宋" w:cs="仿宋"/>
                <w:color w:val="000000"/>
                <w:kern w:val="0"/>
                <w:szCs w:val="21"/>
                <w:highlight w:val="none"/>
              </w:rPr>
              <w:t>同类广告服务案例，案例须提供合同</w:t>
            </w:r>
            <w:r>
              <w:rPr>
                <w:rFonts w:hint="eastAsia" w:ascii="仿宋" w:hAnsi="仿宋" w:eastAsia="仿宋" w:cs="仿宋"/>
                <w:color w:val="000000"/>
                <w:kern w:val="0"/>
                <w:szCs w:val="21"/>
                <w:highlight w:val="none"/>
                <w:lang w:eastAsia="zh-CN"/>
              </w:rPr>
              <w:t>。</w:t>
            </w:r>
            <w:r>
              <w:rPr>
                <w:rFonts w:hint="eastAsia" w:ascii="仿宋" w:hAnsi="仿宋" w:eastAsia="仿宋" w:cs="仿宋"/>
                <w:color w:val="000000"/>
                <w:kern w:val="0"/>
                <w:szCs w:val="21"/>
                <w:highlight w:val="none"/>
                <w:lang w:val="en-US" w:eastAsia="zh-CN"/>
              </w:rPr>
              <w:t>提供一个得4分，每增加一个得2分，最高得10分，未提供得0分</w:t>
            </w:r>
          </w:p>
        </w:tc>
        <w:tc>
          <w:tcPr>
            <w:tcW w:w="4820" w:type="dxa"/>
            <w:noWrap w:val="0"/>
            <w:tcMar>
              <w:top w:w="15" w:type="dxa"/>
              <w:left w:w="15" w:type="dxa"/>
              <w:right w:w="15" w:type="dxa"/>
            </w:tcMar>
            <w:vAlign w:val="center"/>
          </w:tcPr>
          <w:p>
            <w:pPr>
              <w:spacing w:before="24" w:after="24" w:line="360" w:lineRule="auto"/>
              <w:jc w:val="center"/>
              <w:rPr>
                <w:rFonts w:hint="default" w:ascii="仿宋" w:hAnsi="仿宋" w:eastAsia="仿宋" w:cs="仿宋"/>
                <w:color w:val="000000"/>
                <w:kern w:val="0"/>
                <w:szCs w:val="21"/>
                <w:highlight w:val="none"/>
              </w:rPr>
            </w:pPr>
            <w:r>
              <w:rPr>
                <w:rFonts w:hint="eastAsia" w:ascii="仿宋" w:hAnsi="仿宋" w:eastAsia="仿宋" w:cs="仿宋"/>
                <w:color w:val="000000"/>
                <w:kern w:val="0"/>
                <w:szCs w:val="21"/>
                <w:highlight w:val="none"/>
                <w:lang w:val="en-US" w:eastAsia="zh-CN"/>
              </w:rPr>
              <w:t>10</w:t>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pPr>
        <w:pStyle w:val="5"/>
        <w:numPr>
          <w:ilvl w:val="0"/>
          <w:numId w:val="0"/>
        </w:numPr>
        <w:spacing w:before="0" w:line="440" w:lineRule="exact"/>
        <w:rPr>
          <w:rFonts w:hint="eastAsia" w:ascii="仿宋" w:hAnsi="仿宋" w:eastAsia="仿宋" w:cs="仿宋"/>
          <w:color w:val="000000"/>
          <w:sz w:val="24"/>
          <w:szCs w:val="24"/>
          <w:highlight w:val="none"/>
        </w:rPr>
      </w:pPr>
      <w:bookmarkStart w:id="169" w:name="_Toc27958"/>
      <w:r>
        <w:rPr>
          <w:rFonts w:hint="eastAsia" w:ascii="仿宋" w:hAnsi="仿宋" w:eastAsia="仿宋" w:cs="仿宋"/>
          <w:color w:val="000000"/>
          <w:sz w:val="24"/>
          <w:szCs w:val="24"/>
          <w:highlight w:val="none"/>
        </w:rPr>
        <w:t>（一）响应函</w:t>
      </w:r>
      <w:bookmarkEnd w:id="169"/>
    </w:p>
    <w:p>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val="en-US" w:eastAsia="zh-CN"/>
        </w:rPr>
        <w:t>中国人民财产保险股份有限公司阿克苏地区分公司</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lang w:val="en-US" w:eastAsia="zh-CN"/>
        </w:rPr>
        <w:t>人保财险新疆沙雅支公司电影院映前广告采购项目</w:t>
      </w:r>
      <w:r>
        <w:rPr>
          <w:rFonts w:hint="eastAsia"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文件的全部内容，包括澄清或者修改文件以及有关附件，我方将严格按照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文件要求递交符合要求的全部</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响应文件自</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2.我方承诺提供</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文件规定递交履约保证金、支付采购代理服务费。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59"/>
      <w:bookmarkEnd w:id="160"/>
      <w:bookmarkEnd w:id="163"/>
      <w:bookmarkEnd w:id="164"/>
      <w:bookmarkEnd w:id="165"/>
      <w:bookmarkEnd w:id="166"/>
      <w:bookmarkEnd w:id="167"/>
      <w:bookmarkEnd w:id="168"/>
      <w:bookmarkStart w:id="170" w:name="_Toc13983"/>
      <w:r>
        <w:rPr>
          <w:rFonts w:hint="eastAsia" w:ascii="仿宋" w:hAnsi="仿宋" w:eastAsia="仿宋" w:cs="仿宋"/>
          <w:color w:val="000000"/>
          <w:sz w:val="24"/>
          <w:szCs w:val="24"/>
          <w:highlight w:val="none"/>
        </w:rPr>
        <w:t>（二）法定代表人（负责人）身份证明书</w:t>
      </w:r>
      <w:bookmarkEnd w:id="170"/>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1" w:name="_Toc5582"/>
      <w:bookmarkStart w:id="172" w:name="_Toc4426"/>
      <w:bookmarkStart w:id="173" w:name="_Toc24788"/>
      <w:bookmarkStart w:id="174" w:name="_Toc26267"/>
      <w:bookmarkStart w:id="175" w:name="_Toc517281838"/>
      <w:bookmarkStart w:id="176" w:name="_Toc19783361"/>
      <w:bookmarkStart w:id="177" w:name="_Toc444891355"/>
      <w:bookmarkStart w:id="178" w:name="_Toc287600130"/>
      <w:bookmarkStart w:id="179" w:name="_Toc20707"/>
      <w:r>
        <w:rPr>
          <w:rFonts w:hint="eastAsia" w:ascii="仿宋" w:hAnsi="仿宋" w:eastAsia="仿宋" w:cs="仿宋"/>
          <w:color w:val="000000"/>
          <w:sz w:val="24"/>
          <w:szCs w:val="24"/>
          <w:highlight w:val="none"/>
        </w:rPr>
        <w:t>（三）法定代表人（负责人）授权委托书</w:t>
      </w:r>
      <w:bookmarkEnd w:id="171"/>
      <w:bookmarkEnd w:id="172"/>
      <w:bookmarkEnd w:id="173"/>
      <w:bookmarkEnd w:id="174"/>
      <w:bookmarkEnd w:id="175"/>
      <w:bookmarkEnd w:id="176"/>
      <w:bookmarkEnd w:id="177"/>
      <w:bookmarkEnd w:id="178"/>
      <w:bookmarkEnd w:id="179"/>
    </w:p>
    <w:p>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lang w:eastAsia="zh-CN"/>
        </w:rPr>
        <w:t>比选</w:t>
      </w:r>
      <w:r>
        <w:rPr>
          <w:rFonts w:hint="eastAsia" w:ascii="仿宋" w:hAnsi="仿宋" w:eastAsia="仿宋" w:cs="Cambria Math"/>
          <w:color w:val="000000"/>
          <w:sz w:val="24"/>
          <w:szCs w:val="24"/>
          <w:highlight w:val="none"/>
        </w:rPr>
        <w:t>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之日起至</w:t>
      </w:r>
      <w:r>
        <w:rPr>
          <w:rFonts w:hint="eastAsia" w:ascii="仿宋" w:hAnsi="仿宋" w:eastAsia="仿宋" w:cs="Cambria Math"/>
          <w:color w:val="000000"/>
          <w:kern w:val="0"/>
          <w:sz w:val="24"/>
          <w:highlight w:val="none"/>
          <w:u w:val="single"/>
          <w:lang w:eastAsia="zh-CN"/>
        </w:rPr>
        <w:t>比选</w:t>
      </w:r>
      <w:r>
        <w:rPr>
          <w:rFonts w:hint="eastAsia" w:ascii="仿宋" w:hAnsi="仿宋" w:eastAsia="仿宋" w:cs="Cambria Math"/>
          <w:color w:val="000000"/>
          <w:kern w:val="0"/>
          <w:sz w:val="24"/>
          <w:highlight w:val="none"/>
          <w:u w:val="single"/>
        </w:rPr>
        <w:t xml:space="preserve">响应有效期到期之日为止 </w:t>
      </w:r>
      <w:r>
        <w:rPr>
          <w:rFonts w:hint="eastAsia" w:ascii="仿宋" w:hAnsi="仿宋" w:eastAsia="仿宋" w:cs="Cambria Math"/>
          <w:color w:val="000000"/>
          <w:kern w:val="0"/>
          <w:sz w:val="24"/>
          <w:highlight w:val="none"/>
        </w:rPr>
        <w:t>。</w:t>
      </w:r>
    </w:p>
    <w:p>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6"/>
        <w:spacing w:line="360" w:lineRule="auto"/>
        <w:ind w:firstLine="482" w:firstLineChars="200"/>
        <w:rPr>
          <w:rFonts w:ascii="仿宋" w:hAnsi="仿宋" w:eastAsia="仿宋" w:cs="Cambria Math"/>
          <w:b/>
          <w:bCs/>
          <w:color w:val="000000"/>
          <w:sz w:val="24"/>
          <w:szCs w:val="24"/>
          <w:highlight w:val="none"/>
        </w:rPr>
      </w:pPr>
    </w:p>
    <w:p>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2"/>
        <w:rPr>
          <w:rFonts w:ascii="宋体" w:hAnsi="宋体"/>
          <w:kern w:val="0"/>
          <w:szCs w:val="21"/>
          <w:highlight w:val="none"/>
        </w:rPr>
      </w:pPr>
    </w:p>
    <w:p>
      <w:pPr>
        <w:pStyle w:val="2"/>
        <w:rPr>
          <w:rFonts w:ascii="宋体" w:hAnsi="宋体"/>
          <w:kern w:val="0"/>
          <w:szCs w:val="21"/>
          <w:highlight w:val="none"/>
        </w:rPr>
      </w:pPr>
    </w:p>
    <w:p>
      <w:pPr>
        <w:pStyle w:val="2"/>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180" w:name="_Toc30551"/>
      <w:bookmarkStart w:id="181" w:name="_Toc517281841"/>
      <w:bookmarkStart w:id="182" w:name="_Toc444891357"/>
      <w:bookmarkStart w:id="183" w:name="_Toc287600135"/>
      <w:bookmarkStart w:id="184" w:name="_Toc34822258"/>
      <w:bookmarkStart w:id="185" w:name="_Toc16561"/>
      <w:bookmarkStart w:id="186" w:name="_Toc35957216"/>
      <w:bookmarkStart w:id="187" w:name="_Toc287600132"/>
      <w:bookmarkStart w:id="188" w:name="_Toc34779170"/>
      <w:bookmarkStart w:id="189" w:name="_Toc34779216"/>
      <w:bookmarkStart w:id="190" w:name="_Toc27026"/>
      <w:bookmarkStart w:id="191" w:name="_Toc5406"/>
      <w:bookmarkStart w:id="192" w:name="_Toc11396"/>
      <w:bookmarkStart w:id="193" w:name="_Toc34779120"/>
      <w:r>
        <w:rPr>
          <w:rFonts w:hint="eastAsia" w:ascii="仿宋" w:hAnsi="仿宋" w:eastAsia="仿宋" w:cs="仿宋"/>
          <w:color w:val="000000"/>
          <w:sz w:val="24"/>
          <w:szCs w:val="24"/>
          <w:highlight w:val="none"/>
        </w:rPr>
        <w:t>（四）资格证明文件</w:t>
      </w:r>
      <w:bookmarkEnd w:id="180"/>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bl>
    <w:p>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6"/>
        <w:jc w:val="left"/>
        <w:rPr>
          <w:rFonts w:hint="eastAsia" w:ascii="仿宋" w:hAnsi="仿宋" w:eastAsia="仿宋" w:cs="仿宋"/>
          <w:b/>
          <w:color w:val="000000"/>
          <w:highlight w:val="none"/>
        </w:rPr>
      </w:pPr>
    </w:p>
    <w:p>
      <w:pPr>
        <w:pStyle w:val="156"/>
        <w:jc w:val="left"/>
        <w:rPr>
          <w:rFonts w:hint="eastAsia" w:ascii="仿宋" w:hAnsi="仿宋" w:eastAsia="仿宋" w:cs="仿宋"/>
          <w:b/>
          <w:color w:val="000000"/>
          <w:highlight w:val="none"/>
          <w:lang w:eastAsia="zh-CN"/>
        </w:rPr>
      </w:pPr>
    </w:p>
    <w:p>
      <w:pPr>
        <w:pStyle w:val="156"/>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无违法违规记录查询截图</w:t>
      </w:r>
    </w:p>
    <w:p>
      <w:pPr>
        <w:spacing w:line="360" w:lineRule="auto"/>
        <w:ind w:firstLine="480"/>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pPr>
        <w:spacing w:line="360" w:lineRule="auto"/>
        <w:rPr>
          <w:color w:val="333333"/>
          <w:highlight w:val="none"/>
        </w:rPr>
      </w:pPr>
      <w:r>
        <w:rPr>
          <w:rFonts w:hint="eastAsia" w:ascii="仿宋" w:hAnsi="仿宋" w:eastAsia="仿宋" w:cs="Cambria Math"/>
          <w:sz w:val="24"/>
          <w:highlight w:val="none"/>
        </w:rPr>
        <w:t>（1）失信被执行人查询截图范例：</w:t>
      </w:r>
    </w:p>
    <w:p>
      <w:pPr>
        <w:ind w:firstLine="210"/>
        <w:rPr>
          <w:highlight w:val="none"/>
        </w:rPr>
      </w:pPr>
      <w:r>
        <w:rPr>
          <w:highlight w:val="none"/>
        </w:rPr>
        <w:drawing>
          <wp:inline distT="0" distB="0" distL="0" distR="0">
            <wp:extent cx="5909310" cy="3769360"/>
            <wp:effectExtent l="0" t="0" r="15240" b="2540"/>
            <wp:docPr id="10"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cca28b419ce15d5afdeea5a744e8556"/>
                    <pic:cNvPicPr>
                      <a:picLocks noChangeAspect="1"/>
                    </pic:cNvPicPr>
                  </pic:nvPicPr>
                  <pic:blipFill>
                    <a:blip r:embed="rId12"/>
                    <a:srcRect b="11950"/>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0" distR="0">
            <wp:extent cx="6119495" cy="3312795"/>
            <wp:effectExtent l="0" t="0" r="14605" b="1905"/>
            <wp:docPr id="13"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微信图片_20220713154746"/>
                    <pic:cNvPicPr>
                      <a:picLocks noChangeAspect="1"/>
                    </pic:cNvPicPr>
                  </pic:nvPicPr>
                  <pic:blipFill>
                    <a:blip r:embed="rId13"/>
                    <a:stretch>
                      <a:fillRect/>
                    </a:stretch>
                  </pic:blipFill>
                  <pic:spPr>
                    <a:xfrm>
                      <a:off x="0" y="0"/>
                      <a:ext cx="6119495" cy="3312795"/>
                    </a:xfrm>
                    <a:prstGeom prst="rect">
                      <a:avLst/>
                    </a:prstGeom>
                    <a:noFill/>
                    <a:ln>
                      <a:noFill/>
                    </a:ln>
                  </pic:spPr>
                </pic:pic>
              </a:graphicData>
            </a:graphic>
          </wp:inline>
        </w:drawing>
      </w:r>
    </w:p>
    <w:p>
      <w:pPr>
        <w:ind w:firstLine="24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spacing w:line="360" w:lineRule="auto"/>
        <w:ind w:firstLine="420" w:firstLineChars="200"/>
        <w:textAlignment w:val="baseline"/>
        <w:rPr>
          <w:rFonts w:ascii="仿宋" w:hAnsi="仿宋" w:eastAsia="仿宋" w:cs="仿宋"/>
          <w:color w:val="000000"/>
          <w:sz w:val="24"/>
          <w:highlight w:val="none"/>
        </w:rPr>
      </w:pPr>
      <w:r>
        <w:rPr>
          <w:highlight w:val="none"/>
        </w:rPr>
        <w:drawing>
          <wp:inline distT="0" distB="0" distL="0" distR="0">
            <wp:extent cx="5976620" cy="3242310"/>
            <wp:effectExtent l="0" t="0" r="5080" b="1524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4"/>
                    <a:stretch>
                      <a:fillRect/>
                    </a:stretch>
                  </pic:blipFill>
                  <pic:spPr>
                    <a:xfrm>
                      <a:off x="0" y="0"/>
                      <a:ext cx="5976620" cy="3242310"/>
                    </a:xfrm>
                    <a:prstGeom prst="rect">
                      <a:avLst/>
                    </a:prstGeom>
                    <a:noFill/>
                    <a:ln>
                      <a:noFill/>
                    </a:ln>
                  </pic:spPr>
                </pic:pic>
              </a:graphicData>
            </a:graphic>
          </wp:inline>
        </w:drawing>
      </w:r>
      <w:r>
        <w:rPr>
          <w:rFonts w:ascii="仿宋" w:hAnsi="仿宋" w:eastAsia="仿宋" w:cs="仿宋"/>
          <w:color w:val="000000"/>
          <w:sz w:val="24"/>
          <w:highlight w:val="none"/>
        </w:rPr>
        <w:br w:type="page"/>
      </w:r>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szCs w:val="24"/>
          <w:highlight w:val="none"/>
          <w:u w:val="single"/>
          <w:lang w:val="en-US" w:eastAsia="zh-CN"/>
        </w:rPr>
        <w:t>中国人民财产保险股份有限公司阿克苏地区分公司</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000000"/>
          <w:sz w:val="24"/>
          <w:highlight w:val="none"/>
        </w:rPr>
      </w:pP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94" w:name="_Hlk69983040"/>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非联合体</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响应声明</w:t>
      </w:r>
    </w:p>
    <w:bookmarkEnd w:id="181"/>
    <w:bookmarkEnd w:id="194"/>
    <w:p>
      <w:pPr>
        <w:pStyle w:val="2"/>
        <w:spacing w:before="240"/>
        <w:rPr>
          <w:rFonts w:hint="eastAsia" w:ascii="仿宋" w:hAnsi="仿宋" w:eastAsia="仿宋" w:cs="Cambria Math"/>
          <w:b/>
          <w:bCs/>
          <w:color w:val="000000"/>
          <w:sz w:val="24"/>
          <w:highlight w:val="none"/>
        </w:rPr>
      </w:pPr>
      <w:bookmarkStart w:id="195" w:name="_Toc71192048"/>
      <w:bookmarkStart w:id="196" w:name="_Toc20195"/>
      <w:bookmarkStart w:id="197" w:name="_Toc517281859"/>
      <w:bookmarkStart w:id="198" w:name="_Toc432420841"/>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eastAsia="zh-CN"/>
        </w:rPr>
        <w:t>比选</w:t>
      </w:r>
      <w:r>
        <w:rPr>
          <w:rFonts w:hint="eastAsia" w:ascii="仿宋" w:hAnsi="仿宋" w:eastAsia="仿宋" w:cs="Cambria Math"/>
          <w:b/>
          <w:bCs/>
          <w:color w:val="000000"/>
          <w:sz w:val="24"/>
          <w:highlight w:val="none"/>
        </w:rPr>
        <w:t>响应声明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szCs w:val="24"/>
          <w:highlight w:val="none"/>
          <w:u w:val="single"/>
          <w:lang w:val="en-US" w:eastAsia="zh-CN"/>
        </w:rPr>
        <w:t>中国人民财产保险股份有限公司阿克苏地区分公司</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响应，非联合体参与</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w:t>
      </w:r>
      <w:r>
        <w:rPr>
          <w:rFonts w:ascii="仿宋" w:hAnsi="仿宋" w:eastAsia="仿宋" w:cs="Cambria Math"/>
          <w:color w:val="000000"/>
          <w:sz w:val="24"/>
          <w:highlight w:val="none"/>
        </w:rPr>
        <w:t xml:space="preserve"> </w:t>
      </w: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5"/>
        <w:numPr>
          <w:ilvl w:val="0"/>
          <w:numId w:val="0"/>
        </w:numPr>
        <w:tabs>
          <w:tab w:val="clear" w:pos="1440"/>
        </w:tabs>
        <w:spacing w:before="0" w:after="0" w:line="360" w:lineRule="auto"/>
        <w:rPr>
          <w:rFonts w:ascii="仿宋" w:hAnsi="仿宋" w:cs="宋体"/>
          <w:color w:val="000000"/>
          <w:szCs w:val="24"/>
          <w:highlight w:val="none"/>
        </w:rPr>
      </w:pPr>
      <w:bookmarkStart w:id="199" w:name="_Toc15130"/>
      <w:bookmarkStart w:id="200" w:name="_Toc112068411"/>
      <w:bookmarkStart w:id="201" w:name="_Toc18208"/>
      <w:bookmarkStart w:id="202" w:name="_Toc144139212"/>
      <w:bookmarkStart w:id="203" w:name="_Toc65683009"/>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99"/>
      <w:bookmarkEnd w:id="200"/>
      <w:bookmarkEnd w:id="201"/>
      <w:bookmarkEnd w:id="202"/>
      <w:bookmarkEnd w:id="203"/>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bl>
    <w:p>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600" w:lineRule="exact"/>
        <w:rPr>
          <w:rFonts w:hint="eastAsia" w:ascii="仿宋" w:hAnsi="仿宋" w:eastAsia="仿宋" w:cs="仿宋"/>
          <w:color w:val="000000"/>
          <w:szCs w:val="21"/>
          <w:highlight w:val="none"/>
        </w:rPr>
      </w:pPr>
    </w:p>
    <w:p>
      <w:pPr>
        <w:spacing w:line="360" w:lineRule="auto"/>
        <w:ind w:firstLine="42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highlight w:val="none"/>
          <w:u w:val="single"/>
        </w:rPr>
      </w:pPr>
    </w:p>
    <w:p>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4" w:name="_Toc1789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4"/>
    </w:p>
    <w:p>
      <w:pPr>
        <w:spacing w:line="240" w:lineRule="auto"/>
        <w:jc w:val="center"/>
        <w:rPr>
          <w:rFonts w:ascii="仿宋" w:hAnsi="仿宋" w:eastAsia="仿宋" w:cs="宋体"/>
          <w:b/>
          <w:bCs/>
          <w:color w:val="000000"/>
          <w:sz w:val="28"/>
          <w:szCs w:val="28"/>
          <w:highlight w:val="none"/>
        </w:rPr>
      </w:pPr>
      <w:bookmarkStart w:id="205"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6" w:name="_Toc8068"/>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5"/>
      <w:bookmarkEnd w:id="206"/>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p>
    <w:bookmarkEnd w:id="195"/>
    <w:p>
      <w:pPr>
        <w:pStyle w:val="4"/>
        <w:ind w:firstLine="0" w:firstLineChars="0"/>
        <w:jc w:val="both"/>
        <w:rPr>
          <w:rFonts w:hint="eastAsia" w:ascii="仿宋" w:hAnsi="仿宋" w:eastAsia="仿宋" w:cs="仿宋"/>
          <w:color w:val="000000"/>
          <w:sz w:val="24"/>
          <w:szCs w:val="24"/>
          <w:highlight w:val="none"/>
        </w:rPr>
      </w:pPr>
      <w:bookmarkStart w:id="207" w:name="_Toc28698"/>
      <w:r>
        <w:rPr>
          <w:rFonts w:hint="eastAsia" w:ascii="仿宋" w:hAnsi="仿宋" w:eastAsia="仿宋" w:cs="仿宋"/>
          <w:color w:val="000000"/>
          <w:sz w:val="24"/>
          <w:szCs w:val="24"/>
          <w:highlight w:val="none"/>
        </w:rPr>
        <w:t>二、技术文件</w:t>
      </w:r>
      <w:bookmarkEnd w:id="196"/>
      <w:bookmarkEnd w:id="207"/>
    </w:p>
    <w:bookmarkEnd w:id="197"/>
    <w:bookmarkEnd w:id="198"/>
    <w:p>
      <w:pPr>
        <w:bidi w:val="0"/>
        <w:jc w:val="center"/>
        <w:rPr>
          <w:rFonts w:hint="eastAsia" w:ascii="仿宋" w:hAnsi="仿宋" w:eastAsia="仿宋" w:cs="仿宋"/>
          <w:b/>
          <w:bCs/>
          <w:sz w:val="24"/>
          <w:szCs w:val="24"/>
        </w:rPr>
      </w:pPr>
      <w:bookmarkStart w:id="208" w:name="_Toc30870"/>
      <w:bookmarkStart w:id="209" w:name="_Toc23108"/>
      <w:r>
        <w:rPr>
          <w:rFonts w:hint="eastAsia" w:ascii="仿宋" w:hAnsi="仿宋" w:eastAsia="仿宋" w:cs="仿宋"/>
          <w:b/>
          <w:bCs/>
          <w:sz w:val="24"/>
          <w:szCs w:val="24"/>
        </w:rPr>
        <w:t>详细评审索引表</w:t>
      </w:r>
      <w:bookmarkEnd w:id="208"/>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2109"/>
        <w:gridCol w:w="4600"/>
        <w:gridCol w:w="20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2109"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4600"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2075"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2109" w:type="dxa"/>
            <w:vMerge w:val="restart"/>
            <w:noWrap w:val="0"/>
            <w:tcMar>
              <w:top w:w="15" w:type="dxa"/>
              <w:left w:w="15" w:type="dxa"/>
              <w:right w:w="15" w:type="dxa"/>
            </w:tcMar>
            <w:vAlign w:val="center"/>
          </w:tcPr>
          <w:p>
            <w:pPr>
              <w:widowControl/>
              <w:jc w:val="center"/>
              <w:rPr>
                <w:rFonts w:hint="eastAsia"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技术部分（40分）</w:t>
            </w:r>
          </w:p>
        </w:tc>
        <w:tc>
          <w:tcPr>
            <w:tcW w:w="4600" w:type="dxa"/>
            <w:noWrap w:val="0"/>
            <w:vAlign w:val="center"/>
          </w:tcPr>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广告投放方案(满分15分)</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1、结合采购方采购需求免费提供设计方案，并及时更新广告内容(11-15)</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2、可免费做初次设计，无法根据采购方需求及时更新广告内容。(6-10)</w:t>
            </w:r>
          </w:p>
          <w:p>
            <w:pPr>
              <w:widowControl/>
              <w:jc w:val="left"/>
              <w:rPr>
                <w:rFonts w:hint="eastAsia"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3、不提供免费设计服务，仅支持内容播放。(0-5)</w:t>
            </w:r>
          </w:p>
        </w:tc>
        <w:tc>
          <w:tcPr>
            <w:tcW w:w="2075" w:type="dxa"/>
            <w:noWrap w:val="0"/>
            <w:tcMar>
              <w:top w:w="15" w:type="dxa"/>
              <w:left w:w="15" w:type="dxa"/>
              <w:right w:w="15" w:type="dxa"/>
            </w:tcMar>
            <w:vAlign w:val="center"/>
          </w:tcPr>
          <w:p>
            <w:pPr>
              <w:widowControl/>
              <w:jc w:val="center"/>
              <w:rPr>
                <w:rFonts w:hint="default"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2109" w:type="dxa"/>
            <w:vMerge w:val="continue"/>
            <w:noWrap w:val="0"/>
            <w:tcMar>
              <w:top w:w="15" w:type="dxa"/>
              <w:left w:w="15" w:type="dxa"/>
              <w:right w:w="15" w:type="dxa"/>
            </w:tcMar>
            <w:vAlign w:val="center"/>
          </w:tcPr>
          <w:p>
            <w:pPr>
              <w:widowControl/>
              <w:jc w:val="center"/>
              <w:rPr>
                <w:rFonts w:hint="eastAsia" w:ascii="仿宋" w:hAnsi="仿宋" w:eastAsia="仿宋" w:cs="宋体"/>
                <w:b w:val="0"/>
                <w:bCs/>
                <w:color w:val="000000"/>
                <w:kern w:val="0"/>
                <w:szCs w:val="21"/>
                <w:highlight w:val="none"/>
                <w:lang w:bidi="ar"/>
              </w:rPr>
            </w:pPr>
          </w:p>
        </w:tc>
        <w:tc>
          <w:tcPr>
            <w:tcW w:w="4600" w:type="dxa"/>
            <w:noWrap w:val="0"/>
            <w:vAlign w:val="center"/>
          </w:tcPr>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人员配备(满分10分)</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1、团队配备完整，具有专业的设计人员、投放人员，运维人员，运维人员</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成员均有2-3年工作经验，可提供相关资质证明。(7-10分)</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2、团队配备不完整，不能实现专人专岗，成员均有1-2年工作经验，无法提供相关资质证明(4-6)</w:t>
            </w:r>
          </w:p>
          <w:p>
            <w:pPr>
              <w:widowControl/>
              <w:jc w:val="left"/>
              <w:rPr>
                <w:rFonts w:hint="eastAsia"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3、团队配置薄弱，成员工作经验欠缺(0-3分)</w:t>
            </w:r>
          </w:p>
        </w:tc>
        <w:tc>
          <w:tcPr>
            <w:tcW w:w="2075" w:type="dxa"/>
            <w:noWrap w:val="0"/>
            <w:tcMar>
              <w:top w:w="15" w:type="dxa"/>
              <w:left w:w="15" w:type="dxa"/>
              <w:right w:w="15" w:type="dxa"/>
            </w:tcMar>
            <w:vAlign w:val="center"/>
          </w:tcPr>
          <w:p>
            <w:pPr>
              <w:widowControl/>
              <w:jc w:val="center"/>
              <w:rPr>
                <w:rFonts w:hint="default"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2109" w:type="dxa"/>
            <w:vMerge w:val="continue"/>
            <w:noWrap w:val="0"/>
            <w:tcMar>
              <w:top w:w="15" w:type="dxa"/>
              <w:left w:w="15" w:type="dxa"/>
              <w:right w:w="15" w:type="dxa"/>
            </w:tcMar>
            <w:vAlign w:val="center"/>
          </w:tcPr>
          <w:p>
            <w:pPr>
              <w:widowControl/>
              <w:jc w:val="center"/>
              <w:rPr>
                <w:rFonts w:hint="eastAsia" w:ascii="仿宋" w:hAnsi="仿宋" w:eastAsia="仿宋" w:cs="宋体"/>
                <w:b w:val="0"/>
                <w:bCs/>
                <w:color w:val="000000"/>
                <w:kern w:val="0"/>
                <w:szCs w:val="21"/>
                <w:highlight w:val="none"/>
                <w:lang w:bidi="ar"/>
              </w:rPr>
            </w:pPr>
          </w:p>
        </w:tc>
        <w:tc>
          <w:tcPr>
            <w:tcW w:w="4600" w:type="dxa"/>
            <w:noWrap w:val="0"/>
            <w:vAlign w:val="center"/>
          </w:tcPr>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售后服务方案（满分15分）</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1.有健全的巡检、维护流程，建立有效的售后处理机制（10-15分）</w:t>
            </w:r>
          </w:p>
          <w:p>
            <w:pPr>
              <w:widowControl/>
              <w:jc w:val="left"/>
              <w:rPr>
                <w:rFonts w:hint="eastAsia" w:ascii="仿宋" w:hAnsi="仿宋" w:eastAsia="仿宋" w:cs="宋体"/>
                <w:b w:val="0"/>
                <w:bCs/>
                <w:color w:val="000000"/>
                <w:kern w:val="0"/>
                <w:szCs w:val="21"/>
                <w:highlight w:val="none"/>
                <w:lang w:val="en-US" w:eastAsia="zh-CN" w:bidi="ar"/>
              </w:rPr>
            </w:pPr>
            <w:r>
              <w:rPr>
                <w:rFonts w:hint="eastAsia" w:ascii="仿宋" w:hAnsi="仿宋" w:eastAsia="仿宋" w:cs="宋体"/>
                <w:b w:val="0"/>
                <w:bCs/>
                <w:color w:val="000000"/>
                <w:kern w:val="0"/>
                <w:szCs w:val="21"/>
                <w:highlight w:val="none"/>
                <w:lang w:val="en-US" w:eastAsia="zh-CN" w:bidi="ar"/>
              </w:rPr>
              <w:t>2.对于突发情况处理快速及时，但处理流程有所欠缺（5-9分）</w:t>
            </w:r>
          </w:p>
          <w:p>
            <w:pPr>
              <w:widowControl/>
              <w:jc w:val="left"/>
              <w:rPr>
                <w:rFonts w:hint="eastAsia"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3.售后方案不全，应急处理能力薄弱（0-4分）</w:t>
            </w:r>
          </w:p>
        </w:tc>
        <w:tc>
          <w:tcPr>
            <w:tcW w:w="2075" w:type="dxa"/>
            <w:noWrap w:val="0"/>
            <w:tcMar>
              <w:top w:w="15" w:type="dxa"/>
              <w:left w:w="15" w:type="dxa"/>
              <w:right w:w="15" w:type="dxa"/>
            </w:tcMar>
            <w:vAlign w:val="center"/>
          </w:tcPr>
          <w:p>
            <w:pPr>
              <w:widowControl/>
              <w:jc w:val="center"/>
              <w:rPr>
                <w:rFonts w:hint="default" w:ascii="仿宋" w:hAnsi="仿宋" w:eastAsia="仿宋" w:cs="宋体"/>
                <w:b w:val="0"/>
                <w:bCs/>
                <w:color w:val="000000"/>
                <w:kern w:val="0"/>
                <w:szCs w:val="21"/>
                <w:highlight w:val="none"/>
                <w:lang w:bidi="ar"/>
              </w:rPr>
            </w:pPr>
            <w:r>
              <w:rPr>
                <w:rFonts w:hint="eastAsia" w:ascii="仿宋" w:hAnsi="仿宋" w:eastAsia="仿宋" w:cs="宋体"/>
                <w:b w:val="0"/>
                <w:bCs/>
                <w:color w:val="000000"/>
                <w:kern w:val="0"/>
                <w:szCs w:val="21"/>
                <w:highlight w:val="none"/>
                <w:lang w:val="en-US" w:eastAsia="zh-CN" w:bidi="ar"/>
              </w:rPr>
              <w:t>15</w:t>
            </w: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10" w:name="_Toc17302"/>
      <w:r>
        <w:rPr>
          <w:rFonts w:hint="eastAsia" w:ascii="仿宋" w:hAnsi="仿宋" w:eastAsia="仿宋" w:cs="仿宋"/>
          <w:color w:val="000000"/>
          <w:sz w:val="24"/>
          <w:szCs w:val="24"/>
          <w:highlight w:val="none"/>
        </w:rPr>
        <w:t>（一）采购需求应答偏离表</w:t>
      </w:r>
      <w:bookmarkEnd w:id="209"/>
      <w:bookmarkEnd w:id="210"/>
    </w:p>
    <w:p>
      <w:pPr>
        <w:spacing w:line="360" w:lineRule="auto"/>
        <w:jc w:val="center"/>
        <w:rPr>
          <w:rFonts w:hint="eastAsia" w:ascii="仿宋" w:hAnsi="仿宋" w:eastAsia="仿宋" w:cs="仿宋"/>
          <w:b/>
          <w:bCs/>
          <w:color w:val="000000"/>
          <w:sz w:val="24"/>
          <w:highlight w:val="none"/>
        </w:rPr>
      </w:pPr>
      <w:bookmarkStart w:id="211" w:name="_Toc125561188"/>
      <w:bookmarkStart w:id="212" w:name="_Toc293297544"/>
      <w:bookmarkStart w:id="213" w:name="_Toc125771198"/>
      <w:r>
        <w:rPr>
          <w:rFonts w:hint="eastAsia" w:ascii="仿宋" w:hAnsi="仿宋" w:eastAsia="仿宋" w:cs="仿宋"/>
          <w:b/>
          <w:bCs/>
          <w:color w:val="000000"/>
          <w:sz w:val="24"/>
          <w:highlight w:val="none"/>
        </w:rPr>
        <w:t>采购需求应答偏离表</w:t>
      </w:r>
      <w:bookmarkEnd w:id="211"/>
      <w:bookmarkEnd w:id="212"/>
      <w:bookmarkEnd w:id="213"/>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bl>
    <w:p>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360" w:lineRule="auto"/>
        <w:ind w:left="480" w:hanging="480" w:hangingChars="200"/>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sz w:val="24"/>
          <w:highlight w:val="none"/>
        </w:rPr>
      </w:pPr>
    </w:p>
    <w:p>
      <w:pPr>
        <w:pStyle w:val="5"/>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14" w:name="_Toc8284"/>
      <w:r>
        <w:rPr>
          <w:rFonts w:hint="eastAsia" w:ascii="仿宋" w:hAnsi="仿宋" w:eastAsia="仿宋" w:cs="仿宋"/>
          <w:color w:val="000000"/>
          <w:sz w:val="24"/>
          <w:szCs w:val="24"/>
          <w:highlight w:val="none"/>
        </w:rPr>
        <w:t>（二）技术方案</w:t>
      </w:r>
      <w:bookmarkEnd w:id="214"/>
    </w:p>
    <w:p>
      <w:pPr>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2"/>
      <w:bookmarkEnd w:id="183"/>
      <w:bookmarkEnd w:id="184"/>
      <w:bookmarkEnd w:id="185"/>
      <w:bookmarkEnd w:id="186"/>
      <w:bookmarkEnd w:id="187"/>
      <w:bookmarkEnd w:id="188"/>
      <w:bookmarkEnd w:id="189"/>
      <w:bookmarkEnd w:id="190"/>
      <w:bookmarkEnd w:id="191"/>
      <w:bookmarkEnd w:id="192"/>
      <w:bookmarkEnd w:id="193"/>
      <w:r>
        <w:rPr>
          <w:rFonts w:hint="eastAsia" w:ascii="仿宋" w:hAnsi="仿宋" w:eastAsia="仿宋" w:cs="仿宋"/>
          <w:color w:val="000000"/>
          <w:sz w:val="24"/>
          <w:szCs w:val="24"/>
          <w:highlight w:val="none"/>
        </w:rPr>
        <w:br w:type="page"/>
      </w:r>
      <w:bookmarkStart w:id="215" w:name="_Toc20443"/>
      <w:r>
        <w:rPr>
          <w:rFonts w:hint="eastAsia" w:ascii="仿宋" w:hAnsi="仿宋" w:eastAsia="仿宋" w:cs="仿宋"/>
          <w:color w:val="000000"/>
          <w:sz w:val="24"/>
          <w:szCs w:val="24"/>
          <w:highlight w:val="none"/>
        </w:rPr>
        <w:t>三、报价文件</w:t>
      </w:r>
      <w:bookmarkEnd w:id="215"/>
    </w:p>
    <w:p>
      <w:pPr>
        <w:pStyle w:val="5"/>
        <w:spacing w:before="0" w:after="0" w:line="360" w:lineRule="auto"/>
        <w:ind w:firstLine="482"/>
        <w:rPr>
          <w:rFonts w:hint="eastAsia" w:ascii="仿宋" w:hAnsi="仿宋" w:eastAsia="仿宋" w:cs="仿宋"/>
          <w:color w:val="000000"/>
          <w:sz w:val="24"/>
          <w:szCs w:val="24"/>
          <w:highlight w:val="none"/>
        </w:rPr>
      </w:pPr>
      <w:bookmarkStart w:id="216" w:name="_Toc511726864"/>
      <w:bookmarkStart w:id="217" w:name="_Toc18942"/>
      <w:r>
        <w:rPr>
          <w:rFonts w:hint="eastAsia" w:ascii="仿宋" w:hAnsi="仿宋" w:eastAsia="仿宋" w:cs="仿宋"/>
          <w:color w:val="000000"/>
          <w:sz w:val="24"/>
          <w:szCs w:val="24"/>
          <w:highlight w:val="none"/>
        </w:rPr>
        <w:t>（一）报价</w:t>
      </w:r>
      <w:bookmarkEnd w:id="216"/>
      <w:r>
        <w:rPr>
          <w:rFonts w:hint="eastAsia" w:ascii="仿宋" w:hAnsi="仿宋" w:eastAsia="仿宋" w:cs="仿宋"/>
          <w:color w:val="000000"/>
          <w:sz w:val="24"/>
          <w:szCs w:val="24"/>
          <w:highlight w:val="none"/>
        </w:rPr>
        <w:t>一览表</w:t>
      </w:r>
      <w:bookmarkEnd w:id="217"/>
    </w:p>
    <w:p>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lang w:val="en-US" w:eastAsia="zh-CN"/>
        </w:rPr>
        <w:t>人保财险新疆沙雅支公司电影院映前广告采购项目</w:t>
      </w:r>
      <w:r>
        <w:rPr>
          <w:rFonts w:hint="eastAsia" w:ascii="仿宋" w:hAnsi="仿宋" w:eastAsia="仿宋" w:cs="仿宋"/>
          <w:color w:val="000000"/>
          <w:sz w:val="24"/>
          <w:szCs w:val="24"/>
          <w:highlight w:val="none"/>
        </w:rPr>
        <w:t xml:space="preserve">  </w:t>
      </w:r>
    </w:p>
    <w:p>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w:t>
      </w:r>
      <w:r>
        <w:rPr>
          <w:rFonts w:hint="eastAsia" w:ascii="仿宋" w:hAnsi="仿宋" w:eastAsia="仿宋" w:cs="仿宋"/>
          <w:color w:val="000000"/>
          <w:sz w:val="24"/>
          <w:szCs w:val="24"/>
          <w:highlight w:val="none"/>
          <w:u w:val="single"/>
          <w:lang w:val="en-US" w:eastAsia="zh-CN"/>
        </w:rPr>
        <w:t>/</w:t>
      </w:r>
      <w:r>
        <w:rPr>
          <w:rFonts w:hint="eastAsia" w:ascii="仿宋" w:hAnsi="仿宋" w:eastAsia="仿宋" w:cs="仿宋"/>
          <w:color w:val="000000"/>
          <w:sz w:val="24"/>
          <w:szCs w:val="24"/>
          <w:highlight w:val="none"/>
          <w:u w:val="single"/>
        </w:rPr>
        <w:t xml:space="preserve">元    </w:t>
      </w:r>
    </w:p>
    <w:p>
      <w:pPr>
        <w:widowControl/>
        <w:jc w:val="center"/>
        <w:textAlignment w:val="center"/>
        <w:rPr>
          <w:rFonts w:hint="eastAsia" w:ascii="仿宋" w:hAnsi="仿宋" w:eastAsia="仿宋" w:cs="仿宋"/>
          <w:color w:val="000000"/>
          <w:kern w:val="0"/>
          <w:szCs w:val="21"/>
          <w:highlight w:val="none"/>
          <w:lang w:bidi="ar"/>
        </w:rPr>
      </w:pPr>
    </w:p>
    <w:tbl>
      <w:tblPr>
        <w:tblStyle w:val="40"/>
        <w:tblW w:w="4242" w:type="pct"/>
        <w:jc w:val="center"/>
        <w:tblLayout w:type="autofit"/>
        <w:tblCellMar>
          <w:top w:w="0" w:type="dxa"/>
          <w:left w:w="108" w:type="dxa"/>
          <w:bottom w:w="0" w:type="dxa"/>
          <w:right w:w="108" w:type="dxa"/>
        </w:tblCellMar>
      </w:tblPr>
      <w:tblGrid>
        <w:gridCol w:w="427"/>
        <w:gridCol w:w="1211"/>
        <w:gridCol w:w="1119"/>
        <w:gridCol w:w="1127"/>
        <w:gridCol w:w="1127"/>
        <w:gridCol w:w="1120"/>
        <w:gridCol w:w="939"/>
        <w:gridCol w:w="744"/>
        <w:gridCol w:w="546"/>
      </w:tblGrid>
      <w:tr>
        <w:tblPrEx>
          <w:tblCellMar>
            <w:top w:w="0" w:type="dxa"/>
            <w:left w:w="108" w:type="dxa"/>
            <w:bottom w:w="0" w:type="dxa"/>
            <w:right w:w="108" w:type="dxa"/>
          </w:tblCellMar>
        </w:tblPrEx>
        <w:trPr>
          <w:trHeight w:val="927" w:hRule="atLeast"/>
          <w:jc w:val="center"/>
        </w:trPr>
        <w:tc>
          <w:tcPr>
            <w:tcW w:w="25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724"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669" w:type="pct"/>
            <w:tcBorders>
              <w:top w:val="single" w:color="auto" w:sz="4" w:space="0"/>
              <w:left w:val="nil"/>
              <w:bottom w:val="single" w:color="auto" w:sz="4" w:space="0"/>
              <w:right w:val="single" w:color="auto" w:sz="4" w:space="0"/>
            </w:tcBorders>
            <w:noWrap w:val="0"/>
            <w:vAlign w:val="center"/>
          </w:tcPr>
          <w:p>
            <w:pPr>
              <w:widowControl/>
              <w:adjustRightInd w:val="0"/>
              <w:snapToGrid w:val="0"/>
              <w:spacing w:line="360" w:lineRule="auto"/>
              <w:jc w:val="center"/>
              <w:textAlignment w:val="center"/>
              <w:rPr>
                <w:rFonts w:hint="eastAsia" w:ascii="宋体" w:hAnsi="宋体" w:eastAsia="宋体" w:cs="宋体"/>
                <w:color w:val="000000" w:themeColor="text1"/>
                <w:kern w:val="2"/>
                <w:sz w:val="20"/>
                <w:szCs w:val="24"/>
                <w:lang w:val="en-US" w:eastAsia="zh-CN" w:bidi="ar-SA"/>
                <w14:textFill>
                  <w14:solidFill>
                    <w14:schemeClr w14:val="tx1"/>
                  </w14:solidFill>
                </w14:textFill>
              </w:rPr>
            </w:pPr>
            <w:r>
              <w:rPr>
                <w:rFonts w:hint="eastAsia" w:ascii="仿宋" w:hAnsi="仿宋" w:eastAsia="仿宋" w:cs="宋体"/>
                <w:b/>
                <w:bCs/>
                <w:color w:val="000000"/>
                <w:kern w:val="0"/>
                <w:szCs w:val="21"/>
                <w:highlight w:val="none"/>
              </w:rPr>
              <w:t>数量</w:t>
            </w:r>
            <w:r>
              <w:rPr>
                <w:rFonts w:hint="eastAsia" w:ascii="仿宋" w:hAnsi="仿宋" w:eastAsia="仿宋" w:cs="宋体"/>
                <w:b/>
                <w:bCs/>
                <w:color w:val="000000"/>
                <w:kern w:val="0"/>
                <w:szCs w:val="21"/>
                <w:highlight w:val="none"/>
                <w:lang w:eastAsia="zh-CN"/>
              </w:rPr>
              <w:t>（</w:t>
            </w:r>
            <w:r>
              <w:rPr>
                <w:rFonts w:hint="eastAsia" w:ascii="仿宋" w:hAnsi="仿宋" w:eastAsia="仿宋" w:cs="宋体"/>
                <w:b/>
                <w:bCs/>
                <w:color w:val="000000"/>
                <w:kern w:val="0"/>
                <w:szCs w:val="21"/>
                <w:highlight w:val="none"/>
                <w:lang w:val="en-US" w:eastAsia="zh-CN"/>
              </w:rPr>
              <w:t>厅</w:t>
            </w:r>
            <w:r>
              <w:rPr>
                <w:rFonts w:hint="eastAsia" w:ascii="仿宋" w:hAnsi="仿宋" w:eastAsia="仿宋" w:cs="宋体"/>
                <w:b/>
                <w:bCs/>
                <w:color w:val="000000"/>
                <w:kern w:val="0"/>
                <w:szCs w:val="21"/>
                <w:highlight w:val="none"/>
                <w:lang w:eastAsia="zh-CN"/>
              </w:rPr>
              <w:t>）</w:t>
            </w:r>
          </w:p>
        </w:tc>
        <w:tc>
          <w:tcPr>
            <w:tcW w:w="673"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lang w:val="en-US" w:eastAsia="zh-CN"/>
              </w:rPr>
              <w:t>服务期限（月）</w:t>
            </w:r>
          </w:p>
        </w:tc>
        <w:tc>
          <w:tcPr>
            <w:tcW w:w="673"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lang w:val="en-US" w:eastAsia="zh-CN"/>
              </w:rPr>
              <w:t>最高单价限价</w:t>
            </w:r>
          </w:p>
        </w:tc>
        <w:tc>
          <w:tcPr>
            <w:tcW w:w="669"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含税总价</w:t>
            </w:r>
            <w:r>
              <w:rPr>
                <w:rFonts w:hint="eastAsia" w:ascii="仿宋" w:hAnsi="仿宋" w:eastAsia="仿宋" w:cs="宋体"/>
                <w:b/>
                <w:color w:val="000000"/>
                <w:szCs w:val="21"/>
                <w:highlight w:val="none"/>
              </w:rPr>
              <w:t>（元）</w:t>
            </w:r>
          </w:p>
        </w:tc>
        <w:tc>
          <w:tcPr>
            <w:tcW w:w="56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不含税总价</w:t>
            </w:r>
            <w:r>
              <w:rPr>
                <w:rFonts w:hint="eastAsia" w:ascii="仿宋" w:hAnsi="仿宋" w:eastAsia="仿宋" w:cs="宋体"/>
                <w:b/>
                <w:color w:val="000000"/>
                <w:szCs w:val="21"/>
                <w:highlight w:val="none"/>
              </w:rPr>
              <w:t>（元）</w:t>
            </w:r>
          </w:p>
        </w:tc>
        <w:tc>
          <w:tcPr>
            <w:tcW w:w="44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3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tblPrEx>
          <w:tblCellMar>
            <w:top w:w="0" w:type="dxa"/>
            <w:left w:w="108" w:type="dxa"/>
            <w:bottom w:w="0" w:type="dxa"/>
            <w:right w:w="108" w:type="dxa"/>
          </w:tblCellMar>
        </w:tblPrEx>
        <w:trPr>
          <w:trHeight w:val="1409" w:hRule="atLeast"/>
          <w:jc w:val="center"/>
        </w:trPr>
        <w:tc>
          <w:tcPr>
            <w:tcW w:w="255"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724"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yellow"/>
                <w:lang w:val="en-US" w:eastAsia="zh-CN"/>
              </w:rPr>
            </w:pPr>
            <w:r>
              <w:rPr>
                <w:rFonts w:hint="eastAsia" w:ascii="仿宋" w:hAnsi="仿宋" w:eastAsia="仿宋" w:cs="宋体"/>
                <w:bCs/>
                <w:color w:val="000000"/>
                <w:kern w:val="0"/>
                <w:szCs w:val="21"/>
                <w:highlight w:val="none"/>
                <w:lang w:val="en-US" w:eastAsia="zh-CN"/>
              </w:rPr>
              <w:t>电影院映前广告</w:t>
            </w:r>
          </w:p>
        </w:tc>
        <w:tc>
          <w:tcPr>
            <w:tcW w:w="669"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color w:val="000000"/>
                <w:kern w:val="0"/>
                <w:szCs w:val="21"/>
                <w:highlight w:val="yellow"/>
                <w:lang w:val="en-US" w:eastAsia="zh-CN"/>
              </w:rPr>
            </w:pPr>
            <w:r>
              <w:rPr>
                <w:rFonts w:hint="eastAsia" w:ascii="仿宋" w:hAnsi="仿宋" w:eastAsia="仿宋" w:cs="宋体"/>
                <w:color w:val="000000"/>
                <w:kern w:val="0"/>
                <w:szCs w:val="21"/>
                <w:highlight w:val="none"/>
                <w:lang w:val="en-US" w:eastAsia="zh-CN"/>
              </w:rPr>
              <w:t>4</w:t>
            </w:r>
          </w:p>
        </w:tc>
        <w:tc>
          <w:tcPr>
            <w:tcW w:w="673"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yellow"/>
              </w:rPr>
            </w:pPr>
            <w:r>
              <w:rPr>
                <w:rFonts w:hint="eastAsia" w:ascii="仿宋" w:hAnsi="仿宋" w:eastAsia="仿宋" w:cs="宋体"/>
                <w:color w:val="000000"/>
                <w:kern w:val="0"/>
                <w:szCs w:val="21"/>
                <w:highlight w:val="none"/>
                <w:lang w:val="en-US" w:eastAsia="zh-CN"/>
              </w:rPr>
              <w:t>12</w:t>
            </w:r>
          </w:p>
        </w:tc>
        <w:tc>
          <w:tcPr>
            <w:tcW w:w="673"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yellow"/>
              </w:rPr>
            </w:pPr>
            <w:r>
              <w:rPr>
                <w:rFonts w:hint="eastAsia" w:ascii="仿宋" w:hAnsi="仿宋" w:eastAsia="仿宋" w:cs="宋体"/>
                <w:color w:val="000000"/>
                <w:kern w:val="0"/>
                <w:szCs w:val="21"/>
                <w:highlight w:val="none"/>
                <w:lang w:val="en-US" w:eastAsia="zh-CN"/>
              </w:rPr>
              <w:t>3083元/月/厅</w:t>
            </w:r>
          </w:p>
        </w:tc>
        <w:tc>
          <w:tcPr>
            <w:tcW w:w="669"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yellow"/>
              </w:rPr>
            </w:pPr>
          </w:p>
        </w:tc>
        <w:tc>
          <w:tcPr>
            <w:tcW w:w="561"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444"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 </w:t>
            </w:r>
          </w:p>
        </w:tc>
        <w:tc>
          <w:tcPr>
            <w:tcW w:w="32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yellow"/>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107"/>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pPr>
        <w:spacing w:line="360" w:lineRule="auto"/>
        <w:jc w:val="both"/>
        <w:rPr>
          <w:rFonts w:hint="eastAsia" w:ascii="仿宋" w:hAnsi="仿宋" w:eastAsia="仿宋" w:cs="仿宋"/>
          <w:color w:val="000000"/>
          <w:sz w:val="24"/>
          <w:highlight w:val="none"/>
        </w:rPr>
      </w:pPr>
    </w:p>
    <w:p>
      <w:pPr>
        <w:numPr>
          <w:ilvl w:val="0"/>
          <w:numId w:val="1"/>
        </w:numPr>
        <w:spacing w:line="440" w:lineRule="exact"/>
        <w:jc w:val="right"/>
        <w:rPr>
          <w:rFonts w:ascii="仿宋" w:hAnsi="仿宋" w:eastAsia="仿宋" w:cs="宋体"/>
          <w:color w:val="000000"/>
          <w:sz w:val="24"/>
          <w:highlight w:val="none"/>
        </w:rPr>
      </w:pPr>
      <w:bookmarkStart w:id="218" w:name="_Toc530319762"/>
      <w:bookmarkStart w:id="219" w:name="_Toc16591840"/>
      <w:bookmarkStart w:id="220" w:name="_Toc482180015"/>
      <w:bookmarkStart w:id="221" w:name="_Toc518302646"/>
      <w:bookmarkStart w:id="222" w:name="_Toc517281864"/>
      <w:bookmarkStart w:id="223" w:name="_Toc2267055"/>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bookmarkEnd w:id="218"/>
    <w:bookmarkEnd w:id="219"/>
    <w:bookmarkEnd w:id="220"/>
    <w:bookmarkEnd w:id="221"/>
    <w:bookmarkEnd w:id="222"/>
    <w:bookmarkEnd w:id="223"/>
    <w:p>
      <w:pPr>
        <w:rPr>
          <w:rFonts w:hint="eastAsia"/>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lang w:eastAsia="zh-CN"/>
      </w:rPr>
      <w:t>比选</w:t>
    </w:r>
    <w:r>
      <w:rPr>
        <w:rFonts w:hint="eastAsia" w:ascii="仿宋" w:hAnsi="仿宋" w:eastAsia="仿宋" w:cs="仿宋"/>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lang w:eastAsia="zh-CN"/>
      </w:rPr>
      <w:t>比选</w:t>
    </w:r>
    <w:r>
      <w:rPr>
        <w:rFonts w:hint="eastAsia" w:ascii="仿宋" w:hAnsi="仿宋" w:eastAsia="仿宋" w:cs="仿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pPr>
        <w:ind w:left="-10"/>
      </w:pPr>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D8474B33"/>
    <w:multiLevelType w:val="singleLevel"/>
    <w:tmpl w:val="D8474B33"/>
    <w:lvl w:ilvl="0" w:tentative="0">
      <w:start w:val="2"/>
      <w:numFmt w:val="decimal"/>
      <w:suff w:val="nothing"/>
      <w:lvlText w:val="%1、"/>
      <w:lvlJc w:val="left"/>
    </w:lvl>
  </w:abstractNum>
  <w:abstractNum w:abstractNumId="2">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5">
    <w:nsid w:val="590F7728"/>
    <w:multiLevelType w:val="singleLevel"/>
    <w:tmpl w:val="590F7728"/>
    <w:lvl w:ilvl="0" w:tentative="0">
      <w:start w:val="1"/>
      <w:numFmt w:val="decimal"/>
      <w:suff w:val="nothing"/>
      <w:lvlText w:val="%1、"/>
      <w:lvlJc w:val="left"/>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20B1354"/>
    <w:rsid w:val="022D32CB"/>
    <w:rsid w:val="025A55E9"/>
    <w:rsid w:val="0260104F"/>
    <w:rsid w:val="029442A4"/>
    <w:rsid w:val="02A23766"/>
    <w:rsid w:val="02BC63B4"/>
    <w:rsid w:val="0317318F"/>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735DE0"/>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06525D"/>
    <w:rsid w:val="11437F75"/>
    <w:rsid w:val="115A4A6C"/>
    <w:rsid w:val="117A67CD"/>
    <w:rsid w:val="118A5482"/>
    <w:rsid w:val="11CB154F"/>
    <w:rsid w:val="11D57FF6"/>
    <w:rsid w:val="11EC0DBF"/>
    <w:rsid w:val="11EF5B10"/>
    <w:rsid w:val="12003074"/>
    <w:rsid w:val="12042B6A"/>
    <w:rsid w:val="127A3676"/>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E145A4"/>
    <w:rsid w:val="14E20675"/>
    <w:rsid w:val="151D2E85"/>
    <w:rsid w:val="152315CE"/>
    <w:rsid w:val="153A298B"/>
    <w:rsid w:val="155C7174"/>
    <w:rsid w:val="15702ADB"/>
    <w:rsid w:val="157F4238"/>
    <w:rsid w:val="15942E62"/>
    <w:rsid w:val="15B8776F"/>
    <w:rsid w:val="15BA39B2"/>
    <w:rsid w:val="15C80049"/>
    <w:rsid w:val="15DC403B"/>
    <w:rsid w:val="15FC4DAB"/>
    <w:rsid w:val="161F262E"/>
    <w:rsid w:val="16444AAD"/>
    <w:rsid w:val="164729D6"/>
    <w:rsid w:val="16623343"/>
    <w:rsid w:val="167639EE"/>
    <w:rsid w:val="168542DB"/>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57547F"/>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DD16AA"/>
    <w:rsid w:val="1BF442EC"/>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3E46"/>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4E6C3C"/>
    <w:rsid w:val="24643671"/>
    <w:rsid w:val="246739F8"/>
    <w:rsid w:val="24A30FBB"/>
    <w:rsid w:val="24C00E4A"/>
    <w:rsid w:val="24CB1BFD"/>
    <w:rsid w:val="24DB1B09"/>
    <w:rsid w:val="24E60780"/>
    <w:rsid w:val="24F43B92"/>
    <w:rsid w:val="24FF19C4"/>
    <w:rsid w:val="25041590"/>
    <w:rsid w:val="254A6BBF"/>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22DDA"/>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359ED"/>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97587"/>
    <w:rsid w:val="2C5F0A97"/>
    <w:rsid w:val="2C854E4C"/>
    <w:rsid w:val="2C8A3639"/>
    <w:rsid w:val="2CA8549C"/>
    <w:rsid w:val="2CC35E7E"/>
    <w:rsid w:val="2CD63D6C"/>
    <w:rsid w:val="2CF748AA"/>
    <w:rsid w:val="2D157538"/>
    <w:rsid w:val="2D2F720D"/>
    <w:rsid w:val="2D310B09"/>
    <w:rsid w:val="2D4828C3"/>
    <w:rsid w:val="2D57345B"/>
    <w:rsid w:val="2D5F3EE2"/>
    <w:rsid w:val="2D764F47"/>
    <w:rsid w:val="2DD91851"/>
    <w:rsid w:val="2DED071F"/>
    <w:rsid w:val="2DF9093A"/>
    <w:rsid w:val="2E4D6A38"/>
    <w:rsid w:val="2E9025A4"/>
    <w:rsid w:val="2EBD40A4"/>
    <w:rsid w:val="2EE158E9"/>
    <w:rsid w:val="2EF35252"/>
    <w:rsid w:val="2F080823"/>
    <w:rsid w:val="2F08776A"/>
    <w:rsid w:val="2F0D5D93"/>
    <w:rsid w:val="2F173E47"/>
    <w:rsid w:val="2F1A5051"/>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2F8107B"/>
    <w:rsid w:val="332E3950"/>
    <w:rsid w:val="335202DB"/>
    <w:rsid w:val="336E5F6C"/>
    <w:rsid w:val="33732317"/>
    <w:rsid w:val="33790B91"/>
    <w:rsid w:val="337B4EF0"/>
    <w:rsid w:val="3396767F"/>
    <w:rsid w:val="33A337D5"/>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5E51815"/>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E37660"/>
    <w:rsid w:val="3A291850"/>
    <w:rsid w:val="3A2A56F0"/>
    <w:rsid w:val="3A347BA7"/>
    <w:rsid w:val="3A4A0DF3"/>
    <w:rsid w:val="3A86131C"/>
    <w:rsid w:val="3A904DA0"/>
    <w:rsid w:val="3AA14CC2"/>
    <w:rsid w:val="3AC96B3C"/>
    <w:rsid w:val="3ADA7F84"/>
    <w:rsid w:val="3AE22A52"/>
    <w:rsid w:val="3B0A2B10"/>
    <w:rsid w:val="3B2A3A82"/>
    <w:rsid w:val="3B470C18"/>
    <w:rsid w:val="3B5269DA"/>
    <w:rsid w:val="3B9A0AD5"/>
    <w:rsid w:val="3BAA2DFB"/>
    <w:rsid w:val="3BB98257"/>
    <w:rsid w:val="3BBE0B39"/>
    <w:rsid w:val="3BD45B11"/>
    <w:rsid w:val="3BEB5437"/>
    <w:rsid w:val="3C195C5A"/>
    <w:rsid w:val="3C504855"/>
    <w:rsid w:val="3CA91485"/>
    <w:rsid w:val="3CC17E22"/>
    <w:rsid w:val="3D0A686C"/>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C06248"/>
    <w:rsid w:val="42226A27"/>
    <w:rsid w:val="425C78EF"/>
    <w:rsid w:val="425D4FF7"/>
    <w:rsid w:val="425F7C30"/>
    <w:rsid w:val="42655A33"/>
    <w:rsid w:val="42680B06"/>
    <w:rsid w:val="429F46BC"/>
    <w:rsid w:val="42A34DFA"/>
    <w:rsid w:val="42F26E0D"/>
    <w:rsid w:val="43005F1C"/>
    <w:rsid w:val="43100FE2"/>
    <w:rsid w:val="43242DC6"/>
    <w:rsid w:val="43463A91"/>
    <w:rsid w:val="435A6AF8"/>
    <w:rsid w:val="439E6277"/>
    <w:rsid w:val="43A254B1"/>
    <w:rsid w:val="43B943DD"/>
    <w:rsid w:val="43BF143F"/>
    <w:rsid w:val="43F50014"/>
    <w:rsid w:val="44240C6A"/>
    <w:rsid w:val="44272CAC"/>
    <w:rsid w:val="443A54EB"/>
    <w:rsid w:val="44451BDC"/>
    <w:rsid w:val="444F6481"/>
    <w:rsid w:val="447B6726"/>
    <w:rsid w:val="449A1973"/>
    <w:rsid w:val="44F02F62"/>
    <w:rsid w:val="451A0FD3"/>
    <w:rsid w:val="45712308"/>
    <w:rsid w:val="457D2990"/>
    <w:rsid w:val="458B1522"/>
    <w:rsid w:val="45ED0241"/>
    <w:rsid w:val="460434E4"/>
    <w:rsid w:val="466B00B6"/>
    <w:rsid w:val="46706F3F"/>
    <w:rsid w:val="46742883"/>
    <w:rsid w:val="46757EF5"/>
    <w:rsid w:val="468375BE"/>
    <w:rsid w:val="46876032"/>
    <w:rsid w:val="46A87C88"/>
    <w:rsid w:val="46C96C6F"/>
    <w:rsid w:val="46FD0882"/>
    <w:rsid w:val="470A6EC1"/>
    <w:rsid w:val="471513C1"/>
    <w:rsid w:val="47245012"/>
    <w:rsid w:val="472B40E0"/>
    <w:rsid w:val="473461A6"/>
    <w:rsid w:val="473D42FE"/>
    <w:rsid w:val="47793752"/>
    <w:rsid w:val="477E751F"/>
    <w:rsid w:val="47A31B07"/>
    <w:rsid w:val="47A9364D"/>
    <w:rsid w:val="47C81250"/>
    <w:rsid w:val="47C84FBA"/>
    <w:rsid w:val="47E051A9"/>
    <w:rsid w:val="47EFACDD"/>
    <w:rsid w:val="485278BE"/>
    <w:rsid w:val="486A12CE"/>
    <w:rsid w:val="487D2A9B"/>
    <w:rsid w:val="48C75219"/>
    <w:rsid w:val="48D23E7A"/>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875D8A"/>
    <w:rsid w:val="4C88552C"/>
    <w:rsid w:val="4CD90354"/>
    <w:rsid w:val="4CE354D3"/>
    <w:rsid w:val="4D071927"/>
    <w:rsid w:val="4D092A65"/>
    <w:rsid w:val="4D3E119B"/>
    <w:rsid w:val="4D5D5079"/>
    <w:rsid w:val="4D63426D"/>
    <w:rsid w:val="4D6F1F18"/>
    <w:rsid w:val="4D7376F9"/>
    <w:rsid w:val="4D9E38E4"/>
    <w:rsid w:val="4DC82BF0"/>
    <w:rsid w:val="4DD013FD"/>
    <w:rsid w:val="4DE577AB"/>
    <w:rsid w:val="4E037034"/>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A77A7"/>
    <w:rsid w:val="506B2F52"/>
    <w:rsid w:val="507951EA"/>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9359DC"/>
    <w:rsid w:val="52AF3E2F"/>
    <w:rsid w:val="52FB705C"/>
    <w:rsid w:val="5304202F"/>
    <w:rsid w:val="53155197"/>
    <w:rsid w:val="531B7C6E"/>
    <w:rsid w:val="53314D4C"/>
    <w:rsid w:val="53316789"/>
    <w:rsid w:val="53341425"/>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1C69A0"/>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D35916"/>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320C7E"/>
    <w:rsid w:val="5D4024FF"/>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1279ED"/>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481AB7"/>
    <w:rsid w:val="64497B3B"/>
    <w:rsid w:val="646F08D5"/>
    <w:rsid w:val="648630F3"/>
    <w:rsid w:val="64B30F39"/>
    <w:rsid w:val="64BA7177"/>
    <w:rsid w:val="64C45F03"/>
    <w:rsid w:val="64CB5E68"/>
    <w:rsid w:val="64D5736A"/>
    <w:rsid w:val="64D840E1"/>
    <w:rsid w:val="64F851F1"/>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2E9"/>
    <w:rsid w:val="672E4A21"/>
    <w:rsid w:val="673426E5"/>
    <w:rsid w:val="67812CEA"/>
    <w:rsid w:val="679D4CF3"/>
    <w:rsid w:val="679E080A"/>
    <w:rsid w:val="67EE11BE"/>
    <w:rsid w:val="681E63B1"/>
    <w:rsid w:val="683B1C26"/>
    <w:rsid w:val="6889713A"/>
    <w:rsid w:val="68D75FD1"/>
    <w:rsid w:val="68DC0F3F"/>
    <w:rsid w:val="68E258A1"/>
    <w:rsid w:val="68FA6BF9"/>
    <w:rsid w:val="691463FB"/>
    <w:rsid w:val="691A565F"/>
    <w:rsid w:val="69541AD9"/>
    <w:rsid w:val="69650E2F"/>
    <w:rsid w:val="69A9488B"/>
    <w:rsid w:val="69C96177"/>
    <w:rsid w:val="69E16BE6"/>
    <w:rsid w:val="6A230268"/>
    <w:rsid w:val="6A457122"/>
    <w:rsid w:val="6A4D68CC"/>
    <w:rsid w:val="6A5F513A"/>
    <w:rsid w:val="6A7150A8"/>
    <w:rsid w:val="6A7401B1"/>
    <w:rsid w:val="6ABF2D94"/>
    <w:rsid w:val="6AF4232A"/>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5E5166"/>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2007C"/>
    <w:rsid w:val="70D74AB3"/>
    <w:rsid w:val="70DA6154"/>
    <w:rsid w:val="70DD0315"/>
    <w:rsid w:val="70E95D7A"/>
    <w:rsid w:val="70FA5CE4"/>
    <w:rsid w:val="71136C4F"/>
    <w:rsid w:val="712E15B0"/>
    <w:rsid w:val="714D0A49"/>
    <w:rsid w:val="71673F9B"/>
    <w:rsid w:val="717520A9"/>
    <w:rsid w:val="719F0B7C"/>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17BC9"/>
    <w:rsid w:val="73870389"/>
    <w:rsid w:val="73B44DF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41647"/>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3</TotalTime>
  <ScaleCrop>false</ScaleCrop>
  <LinksUpToDate>false</LinksUpToDate>
  <CharactersWithSpaces>27898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阿迪力·热合曼</cp:lastModifiedBy>
  <cp:lastPrinted>2026-03-07T05:47:00Z</cp:lastPrinted>
  <dcterms:modified xsi:type="dcterms:W3CDTF">2026-05-16T08:43:43Z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D3ACF701D4C8446B82E4D31B6787B113</vt:lpwstr>
  </property>
</Properties>
</file>